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F81" w14:textId="77777777" w:rsidR="00D0002D" w:rsidRPr="00732B0A" w:rsidRDefault="00D0002D" w:rsidP="00D0002D">
      <w:pPr>
        <w:spacing w:before="100" w:beforeAutospacing="1"/>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789"/>
        <w:gridCol w:w="655"/>
        <w:gridCol w:w="2271"/>
      </w:tblGrid>
      <w:tr w:rsidR="00794674" w:rsidRPr="00732B0A" w14:paraId="5FB10048" w14:textId="77777777" w:rsidTr="00794674">
        <w:trPr>
          <w:gridAfter w:val="2"/>
          <w:wAfter w:w="2926" w:type="dxa"/>
        </w:trPr>
        <w:tc>
          <w:tcPr>
            <w:tcW w:w="6237" w:type="dxa"/>
            <w:gridSpan w:val="2"/>
          </w:tcPr>
          <w:p w14:paraId="2DB6FA67" w14:textId="777447E3" w:rsidR="00794674" w:rsidRPr="00732B0A" w:rsidRDefault="00D0002D" w:rsidP="00D0002D">
            <w:pPr>
              <w:pStyle w:val="Neotevilenodstavek"/>
              <w:spacing w:before="120" w:after="120"/>
              <w:rPr>
                <w:rFonts w:cs="Arial"/>
                <w:sz w:val="20"/>
                <w:lang w:eastAsia="sl-SI"/>
              </w:rPr>
            </w:pPr>
            <w:bookmarkStart w:id="0" w:name="_Hlk98245576"/>
            <w:r w:rsidRPr="00732B0A">
              <w:rPr>
                <w:rFonts w:cs="Arial"/>
                <w:sz w:val="20"/>
                <w:lang w:eastAsia="sl-SI"/>
              </w:rPr>
              <w:t>Š</w:t>
            </w:r>
            <w:r w:rsidR="00794674" w:rsidRPr="00732B0A">
              <w:rPr>
                <w:rFonts w:cs="Arial"/>
                <w:sz w:val="20"/>
                <w:lang w:eastAsia="sl-SI"/>
              </w:rPr>
              <w:t xml:space="preserve">tevilka: </w:t>
            </w:r>
            <w:bookmarkStart w:id="1" w:name="_Hlk68007749"/>
            <w:r w:rsidR="00DB387A">
              <w:rPr>
                <w:rFonts w:cs="Arial"/>
                <w:sz w:val="20"/>
                <w:lang w:eastAsia="sl-SI"/>
              </w:rPr>
              <w:t xml:space="preserve">IPP </w:t>
            </w:r>
            <w:r w:rsidR="00366BA8" w:rsidRPr="00366BA8">
              <w:rPr>
                <w:rFonts w:cs="Arial"/>
                <w:sz w:val="20"/>
                <w:lang w:eastAsia="sl-SI"/>
              </w:rPr>
              <w:t>007-209/2025</w:t>
            </w:r>
            <w:bookmarkEnd w:id="1"/>
          </w:p>
        </w:tc>
      </w:tr>
      <w:tr w:rsidR="00794674" w:rsidRPr="00732B0A" w14:paraId="463BC50E" w14:textId="77777777" w:rsidTr="00794674">
        <w:trPr>
          <w:gridAfter w:val="2"/>
          <w:wAfter w:w="2926" w:type="dxa"/>
        </w:trPr>
        <w:tc>
          <w:tcPr>
            <w:tcW w:w="6237" w:type="dxa"/>
            <w:gridSpan w:val="2"/>
          </w:tcPr>
          <w:p w14:paraId="2464B335" w14:textId="0284DB30" w:rsidR="00794674" w:rsidRPr="00732B0A" w:rsidRDefault="00794674" w:rsidP="00D0002D">
            <w:pPr>
              <w:pStyle w:val="Neotevilenodstavek"/>
              <w:spacing w:before="120" w:after="120"/>
              <w:rPr>
                <w:rFonts w:cs="Arial"/>
                <w:sz w:val="20"/>
                <w:lang w:eastAsia="sl-SI"/>
              </w:rPr>
            </w:pPr>
            <w:r w:rsidRPr="00545C23">
              <w:rPr>
                <w:rFonts w:cs="Arial"/>
                <w:sz w:val="20"/>
                <w:lang w:eastAsia="sl-SI"/>
              </w:rPr>
              <w:t xml:space="preserve">Ljubljana, </w:t>
            </w:r>
            <w:r w:rsidR="0003210C">
              <w:rPr>
                <w:rFonts w:cs="Arial"/>
                <w:sz w:val="20"/>
                <w:lang w:eastAsia="sl-SI"/>
              </w:rPr>
              <w:t>1</w:t>
            </w:r>
            <w:r w:rsidR="00EB5E5A">
              <w:rPr>
                <w:rFonts w:cs="Arial"/>
                <w:sz w:val="20"/>
                <w:lang w:eastAsia="sl-SI"/>
              </w:rPr>
              <w:t>7</w:t>
            </w:r>
            <w:r w:rsidR="00545C23" w:rsidRPr="00545C23">
              <w:rPr>
                <w:rFonts w:cs="Arial"/>
                <w:sz w:val="20"/>
                <w:lang w:eastAsia="sl-SI"/>
              </w:rPr>
              <w:t xml:space="preserve">. </w:t>
            </w:r>
            <w:r w:rsidR="00445B9C">
              <w:rPr>
                <w:rFonts w:cs="Arial"/>
                <w:sz w:val="20"/>
                <w:lang w:eastAsia="sl-SI"/>
              </w:rPr>
              <w:t>6</w:t>
            </w:r>
            <w:r w:rsidR="00545C23" w:rsidRPr="00545C23">
              <w:rPr>
                <w:rFonts w:cs="Arial"/>
                <w:sz w:val="20"/>
                <w:lang w:eastAsia="sl-SI"/>
              </w:rPr>
              <w:t xml:space="preserve">. </w:t>
            </w:r>
            <w:r w:rsidR="00792CFB" w:rsidRPr="00545C23">
              <w:rPr>
                <w:rFonts w:cs="Arial"/>
                <w:sz w:val="20"/>
                <w:lang w:eastAsia="sl-SI"/>
              </w:rPr>
              <w:t>2025</w:t>
            </w:r>
          </w:p>
        </w:tc>
      </w:tr>
      <w:tr w:rsidR="00794674" w:rsidRPr="00732B0A" w14:paraId="68F440BD" w14:textId="77777777" w:rsidTr="00794674">
        <w:trPr>
          <w:gridAfter w:val="2"/>
          <w:wAfter w:w="2926" w:type="dxa"/>
        </w:trPr>
        <w:tc>
          <w:tcPr>
            <w:tcW w:w="6237" w:type="dxa"/>
            <w:gridSpan w:val="2"/>
          </w:tcPr>
          <w:p w14:paraId="7E038AE4" w14:textId="77777777" w:rsidR="00794674" w:rsidRPr="00732B0A" w:rsidRDefault="00794674" w:rsidP="00D0002D">
            <w:pPr>
              <w:pStyle w:val="Neotevilenodstavek"/>
              <w:spacing w:before="120" w:after="120"/>
              <w:rPr>
                <w:rFonts w:cs="Arial"/>
                <w:sz w:val="20"/>
                <w:lang w:eastAsia="sl-SI"/>
              </w:rPr>
            </w:pPr>
            <w:r w:rsidRPr="00732B0A">
              <w:rPr>
                <w:rFonts w:cs="Arial"/>
                <w:sz w:val="20"/>
                <w:lang w:eastAsia="sl-SI"/>
              </w:rPr>
              <w:t xml:space="preserve">EVA: </w:t>
            </w:r>
            <w:r w:rsidR="008139C3" w:rsidRPr="008139C3">
              <w:rPr>
                <w:rFonts w:cs="Arial"/>
                <w:sz w:val="20"/>
                <w:lang w:eastAsia="sl-SI"/>
              </w:rPr>
              <w:t>2025-1611-0032</w:t>
            </w:r>
          </w:p>
        </w:tc>
      </w:tr>
      <w:tr w:rsidR="00794674" w:rsidRPr="00732B0A" w14:paraId="5533F40E" w14:textId="77777777" w:rsidTr="00794674">
        <w:trPr>
          <w:gridAfter w:val="2"/>
          <w:wAfter w:w="2926" w:type="dxa"/>
        </w:trPr>
        <w:tc>
          <w:tcPr>
            <w:tcW w:w="6237" w:type="dxa"/>
            <w:gridSpan w:val="2"/>
          </w:tcPr>
          <w:p w14:paraId="7D6492DC" w14:textId="77777777" w:rsidR="00794674" w:rsidRPr="00732B0A" w:rsidRDefault="00794674" w:rsidP="00D0002D">
            <w:pPr>
              <w:pStyle w:val="Brezrazmikov"/>
              <w:rPr>
                <w:rFonts w:cs="Arial"/>
                <w:szCs w:val="20"/>
                <w:lang w:val="sl-SI"/>
              </w:rPr>
            </w:pPr>
          </w:p>
          <w:p w14:paraId="1662F9F6" w14:textId="77777777" w:rsidR="00794674" w:rsidRPr="00732B0A" w:rsidRDefault="00794674" w:rsidP="00D0002D">
            <w:pPr>
              <w:pStyle w:val="Brezrazmikov"/>
              <w:rPr>
                <w:rFonts w:cs="Arial"/>
                <w:szCs w:val="20"/>
                <w:lang w:val="sl-SI"/>
              </w:rPr>
            </w:pPr>
            <w:r w:rsidRPr="00732B0A">
              <w:rPr>
                <w:rFonts w:cs="Arial"/>
                <w:szCs w:val="20"/>
                <w:lang w:val="sl-SI"/>
              </w:rPr>
              <w:t>GENERALNI SEKRETARIAT VLADE REPUBLIKE SLOVENIJE</w:t>
            </w:r>
          </w:p>
          <w:p w14:paraId="6E1C058A" w14:textId="088BA557" w:rsidR="00794674" w:rsidRPr="00732B0A" w:rsidRDefault="00EB5E5A" w:rsidP="00D0002D">
            <w:pPr>
              <w:pStyle w:val="Brezrazmikov"/>
              <w:rPr>
                <w:rFonts w:cs="Arial"/>
                <w:szCs w:val="20"/>
                <w:lang w:val="sl-SI"/>
              </w:rPr>
            </w:pPr>
            <w:hyperlink r:id="rId12" w:history="1">
              <w:r w:rsidR="00794674" w:rsidRPr="00732B0A">
                <w:rPr>
                  <w:rStyle w:val="Hiperpovezava"/>
                  <w:rFonts w:cs="Arial"/>
                  <w:color w:val="auto"/>
                  <w:szCs w:val="20"/>
                  <w:lang w:val="sl-SI"/>
                </w:rPr>
                <w:t>Gp.gs@gov.si</w:t>
              </w:r>
            </w:hyperlink>
          </w:p>
          <w:p w14:paraId="440D81A8" w14:textId="77777777" w:rsidR="00794674" w:rsidRPr="00732B0A" w:rsidRDefault="00794674" w:rsidP="00D0002D">
            <w:pPr>
              <w:pStyle w:val="Brezrazmikov"/>
              <w:rPr>
                <w:rFonts w:cs="Arial"/>
                <w:szCs w:val="20"/>
                <w:lang w:val="sl-SI"/>
              </w:rPr>
            </w:pPr>
          </w:p>
        </w:tc>
      </w:tr>
      <w:tr w:rsidR="00794674" w:rsidRPr="00732B0A" w14:paraId="7B75C875" w14:textId="77777777" w:rsidTr="00794674">
        <w:tc>
          <w:tcPr>
            <w:tcW w:w="9163" w:type="dxa"/>
            <w:gridSpan w:val="4"/>
          </w:tcPr>
          <w:p w14:paraId="452697C0" w14:textId="77777777" w:rsidR="00D0002D" w:rsidRPr="00732B0A" w:rsidRDefault="00D0002D" w:rsidP="00D0002D">
            <w:pPr>
              <w:autoSpaceDE w:val="0"/>
              <w:autoSpaceDN w:val="0"/>
              <w:adjustRightInd w:val="0"/>
              <w:spacing w:line="240" w:lineRule="auto"/>
              <w:jc w:val="both"/>
              <w:rPr>
                <w:rFonts w:cs="Arial"/>
                <w:b/>
                <w:szCs w:val="20"/>
              </w:rPr>
            </w:pPr>
          </w:p>
          <w:p w14:paraId="74987258" w14:textId="48E7FD13" w:rsidR="00794674" w:rsidRPr="00732B0A" w:rsidRDefault="00794674" w:rsidP="00D0002D">
            <w:pPr>
              <w:autoSpaceDE w:val="0"/>
              <w:autoSpaceDN w:val="0"/>
              <w:adjustRightInd w:val="0"/>
              <w:spacing w:line="240" w:lineRule="auto"/>
              <w:jc w:val="both"/>
              <w:rPr>
                <w:rFonts w:cs="Arial"/>
                <w:b/>
                <w:szCs w:val="20"/>
              </w:rPr>
            </w:pPr>
            <w:r w:rsidRPr="00732B0A">
              <w:rPr>
                <w:rFonts w:cs="Arial"/>
                <w:b/>
                <w:szCs w:val="20"/>
              </w:rPr>
              <w:t xml:space="preserve">ZADEVA: </w:t>
            </w:r>
            <w:r w:rsidR="008D6617" w:rsidRPr="00732B0A">
              <w:rPr>
                <w:rFonts w:cs="Arial"/>
                <w:b/>
                <w:szCs w:val="20"/>
              </w:rPr>
              <w:t>Z</w:t>
            </w:r>
            <w:r w:rsidRPr="00732B0A">
              <w:rPr>
                <w:rFonts w:cs="Arial"/>
                <w:b/>
                <w:szCs w:val="20"/>
              </w:rPr>
              <w:t xml:space="preserve">akon o </w:t>
            </w:r>
            <w:r w:rsidR="005128F9" w:rsidRPr="00732B0A">
              <w:rPr>
                <w:rFonts w:cs="Arial"/>
                <w:b/>
                <w:szCs w:val="20"/>
              </w:rPr>
              <w:t xml:space="preserve">spremembah </w:t>
            </w:r>
            <w:r w:rsidR="00777D4C" w:rsidRPr="00732B0A">
              <w:rPr>
                <w:rFonts w:cs="Arial"/>
                <w:b/>
                <w:szCs w:val="20"/>
              </w:rPr>
              <w:t xml:space="preserve">in dopolnitvah </w:t>
            </w:r>
            <w:r w:rsidR="00F624B0" w:rsidRPr="00732B0A">
              <w:rPr>
                <w:rFonts w:cs="Arial"/>
                <w:b/>
                <w:szCs w:val="20"/>
              </w:rPr>
              <w:t>Z</w:t>
            </w:r>
            <w:r w:rsidR="00D57B4E" w:rsidRPr="00732B0A">
              <w:rPr>
                <w:rFonts w:cs="Arial"/>
                <w:b/>
                <w:szCs w:val="20"/>
              </w:rPr>
              <w:t xml:space="preserve">akona o trgu finančnih instrumentov </w:t>
            </w:r>
            <w:r w:rsidR="00E50378">
              <w:rPr>
                <w:rFonts w:cs="Arial"/>
                <w:b/>
                <w:szCs w:val="20"/>
              </w:rPr>
              <w:t xml:space="preserve">– </w:t>
            </w:r>
            <w:r w:rsidR="00D57B4E" w:rsidRPr="00732B0A">
              <w:rPr>
                <w:rFonts w:cs="Arial"/>
                <w:b/>
                <w:szCs w:val="20"/>
              </w:rPr>
              <w:t xml:space="preserve">predlog za obravnavo </w:t>
            </w:r>
          </w:p>
          <w:p w14:paraId="176792C2" w14:textId="77777777" w:rsidR="00D0002D" w:rsidRPr="00732B0A" w:rsidRDefault="00D0002D" w:rsidP="00D0002D">
            <w:pPr>
              <w:autoSpaceDE w:val="0"/>
              <w:autoSpaceDN w:val="0"/>
              <w:adjustRightInd w:val="0"/>
              <w:spacing w:line="240" w:lineRule="auto"/>
              <w:jc w:val="both"/>
              <w:rPr>
                <w:rFonts w:cs="Arial"/>
                <w:b/>
                <w:snapToGrid w:val="0"/>
                <w:szCs w:val="20"/>
              </w:rPr>
            </w:pPr>
          </w:p>
        </w:tc>
      </w:tr>
      <w:tr w:rsidR="00794674" w:rsidRPr="00732B0A" w14:paraId="17669A8A" w14:textId="77777777" w:rsidTr="00794674">
        <w:tc>
          <w:tcPr>
            <w:tcW w:w="9163" w:type="dxa"/>
            <w:gridSpan w:val="4"/>
          </w:tcPr>
          <w:p w14:paraId="7098223E" w14:textId="77777777" w:rsidR="00794674" w:rsidRPr="00732B0A" w:rsidRDefault="00794674" w:rsidP="00D0002D">
            <w:pPr>
              <w:pStyle w:val="Brezrazmikov"/>
              <w:rPr>
                <w:rFonts w:cs="Arial"/>
                <w:b/>
                <w:szCs w:val="20"/>
                <w:lang w:val="sl-SI"/>
              </w:rPr>
            </w:pPr>
            <w:r w:rsidRPr="00732B0A">
              <w:rPr>
                <w:rFonts w:cs="Arial"/>
                <w:b/>
                <w:szCs w:val="20"/>
                <w:lang w:val="sl-SI"/>
              </w:rPr>
              <w:t>1. Predlog sklepa vlade:</w:t>
            </w:r>
          </w:p>
        </w:tc>
      </w:tr>
      <w:tr w:rsidR="00794674" w:rsidRPr="00732B0A" w14:paraId="1E217B12" w14:textId="77777777" w:rsidTr="00794674">
        <w:tc>
          <w:tcPr>
            <w:tcW w:w="9163" w:type="dxa"/>
            <w:gridSpan w:val="4"/>
          </w:tcPr>
          <w:p w14:paraId="564356E8" w14:textId="77777777" w:rsidR="00794674" w:rsidRPr="00732B0A" w:rsidRDefault="00794674" w:rsidP="00D0002D">
            <w:pPr>
              <w:pStyle w:val="Brezrazmikov"/>
              <w:jc w:val="both"/>
              <w:rPr>
                <w:rFonts w:cs="Arial"/>
                <w:szCs w:val="20"/>
                <w:lang w:val="sl-SI"/>
              </w:rPr>
            </w:pPr>
          </w:p>
          <w:p w14:paraId="7069D3A7" w14:textId="06E4948D" w:rsidR="00794674" w:rsidRPr="00732B0A" w:rsidRDefault="00794674" w:rsidP="00D0002D">
            <w:pPr>
              <w:pStyle w:val="Brezrazmikov"/>
              <w:jc w:val="both"/>
              <w:rPr>
                <w:rFonts w:cs="Arial"/>
                <w:szCs w:val="20"/>
                <w:lang w:val="sl-SI"/>
              </w:rPr>
            </w:pPr>
            <w:r w:rsidRPr="00732B0A">
              <w:rPr>
                <w:rFonts w:cs="Arial"/>
                <w:szCs w:val="20"/>
                <w:lang w:val="sl-SI"/>
              </w:rPr>
              <w:t xml:space="preserve">Na podlagi drugega odstavka 2. člena Zakona o Vladi Republike Slovenije (Uradni list RS, št. 24/05 – uradno prečiščeno besedilo, 109/08, 38/10 – ZUKN, 8/12, 21/13, 47/13 – ZDU-1G, </w:t>
            </w:r>
            <w:r w:rsidR="0003422E" w:rsidRPr="00732B0A">
              <w:rPr>
                <w:rFonts w:cs="Arial"/>
                <w:szCs w:val="20"/>
                <w:lang w:val="sl-SI"/>
              </w:rPr>
              <w:t>65/14, 55/17 in 163/22</w:t>
            </w:r>
            <w:r w:rsidRPr="00732B0A">
              <w:rPr>
                <w:rFonts w:cs="Arial"/>
                <w:szCs w:val="20"/>
                <w:lang w:val="sl-SI"/>
              </w:rPr>
              <w:t xml:space="preserve">) je Vlada Republike Slovenije na  … seji </w:t>
            </w:r>
            <w:r w:rsidR="00580D6D">
              <w:rPr>
                <w:rFonts w:cs="Arial"/>
                <w:szCs w:val="20"/>
                <w:lang w:val="sl-SI"/>
              </w:rPr>
              <w:t xml:space="preserve">dne </w:t>
            </w:r>
            <w:r w:rsidRPr="00732B0A">
              <w:rPr>
                <w:rFonts w:cs="Arial"/>
                <w:szCs w:val="20"/>
                <w:lang w:val="sl-SI"/>
              </w:rPr>
              <w:t xml:space="preserve">… pod točko … sprejela </w:t>
            </w:r>
            <w:r w:rsidR="003B49E9">
              <w:rPr>
                <w:rFonts w:cs="Arial"/>
                <w:szCs w:val="20"/>
                <w:lang w:val="sl-SI"/>
              </w:rPr>
              <w:t>naslednji</w:t>
            </w:r>
          </w:p>
          <w:p w14:paraId="26E9918D" w14:textId="77777777" w:rsidR="00D0002D" w:rsidRPr="00732B0A" w:rsidRDefault="00D0002D" w:rsidP="00D0002D">
            <w:pPr>
              <w:pStyle w:val="Brezrazmikov"/>
              <w:jc w:val="center"/>
              <w:rPr>
                <w:rFonts w:cs="Arial"/>
                <w:szCs w:val="20"/>
                <w:lang w:val="sl-SI"/>
              </w:rPr>
            </w:pPr>
          </w:p>
          <w:p w14:paraId="698186A4" w14:textId="77777777" w:rsidR="00794674" w:rsidRPr="00732B0A" w:rsidRDefault="00794674" w:rsidP="00D0002D">
            <w:pPr>
              <w:pStyle w:val="Brezrazmikov"/>
              <w:jc w:val="center"/>
              <w:rPr>
                <w:rFonts w:cs="Arial"/>
                <w:szCs w:val="20"/>
                <w:lang w:val="sl-SI" w:eastAsia="sl-SI"/>
              </w:rPr>
            </w:pPr>
            <w:r w:rsidRPr="00732B0A">
              <w:rPr>
                <w:rFonts w:cs="Arial"/>
                <w:szCs w:val="20"/>
                <w:lang w:val="sl-SI"/>
              </w:rPr>
              <w:t xml:space="preserve">S K L E P : </w:t>
            </w:r>
          </w:p>
          <w:p w14:paraId="2917392A" w14:textId="77777777" w:rsidR="00794674" w:rsidRPr="00732B0A" w:rsidRDefault="00794674" w:rsidP="00D0002D">
            <w:pPr>
              <w:autoSpaceDE w:val="0"/>
              <w:autoSpaceDN w:val="0"/>
              <w:adjustRightInd w:val="0"/>
              <w:ind w:left="540"/>
              <w:jc w:val="both"/>
              <w:rPr>
                <w:rFonts w:cs="Arial"/>
                <w:szCs w:val="20"/>
              </w:rPr>
            </w:pPr>
          </w:p>
          <w:p w14:paraId="7AF8D633" w14:textId="0770A8FA" w:rsidR="00794674" w:rsidRPr="00732B0A" w:rsidRDefault="00794674" w:rsidP="00D0002D">
            <w:pPr>
              <w:pStyle w:val="Brezrazmikov"/>
              <w:jc w:val="both"/>
              <w:rPr>
                <w:rFonts w:cs="Arial"/>
                <w:szCs w:val="20"/>
                <w:lang w:val="sl-SI"/>
              </w:rPr>
            </w:pPr>
            <w:r w:rsidRPr="00732B0A">
              <w:rPr>
                <w:rFonts w:cs="Arial"/>
                <w:szCs w:val="20"/>
                <w:lang w:val="sl-SI"/>
              </w:rPr>
              <w:t xml:space="preserve">Vlada Republike Slovenije je določila besedilo </w:t>
            </w:r>
            <w:r w:rsidR="0033107D">
              <w:rPr>
                <w:rFonts w:cs="Arial"/>
                <w:szCs w:val="20"/>
                <w:lang w:val="sl-SI"/>
              </w:rPr>
              <w:t>P</w:t>
            </w:r>
            <w:r w:rsidRPr="00732B0A">
              <w:rPr>
                <w:rFonts w:cs="Arial"/>
                <w:szCs w:val="20"/>
                <w:lang w:val="sl-SI"/>
              </w:rPr>
              <w:t>redlog</w:t>
            </w:r>
            <w:r w:rsidR="0066209E">
              <w:rPr>
                <w:rFonts w:cs="Arial"/>
                <w:szCs w:val="20"/>
                <w:lang w:val="sl-SI"/>
              </w:rPr>
              <w:t>a</w:t>
            </w:r>
            <w:r w:rsidRPr="00732B0A">
              <w:rPr>
                <w:rFonts w:cs="Arial"/>
                <w:szCs w:val="20"/>
                <w:lang w:val="sl-SI"/>
              </w:rPr>
              <w:t xml:space="preserve"> </w:t>
            </w:r>
            <w:r w:rsidR="0033107D">
              <w:rPr>
                <w:rFonts w:cs="Arial"/>
                <w:szCs w:val="20"/>
                <w:lang w:val="sl-SI"/>
              </w:rPr>
              <w:t>z</w:t>
            </w:r>
            <w:r w:rsidRPr="00732B0A">
              <w:rPr>
                <w:rFonts w:cs="Arial"/>
                <w:szCs w:val="20"/>
                <w:lang w:val="sl-SI"/>
              </w:rPr>
              <w:t>akona</w:t>
            </w:r>
            <w:r w:rsidR="0071396D" w:rsidRPr="00732B0A">
              <w:rPr>
                <w:rFonts w:cs="Arial"/>
                <w:szCs w:val="20"/>
                <w:lang w:val="sl-SI"/>
              </w:rPr>
              <w:t xml:space="preserve"> o</w:t>
            </w:r>
            <w:r w:rsidRPr="00732B0A">
              <w:rPr>
                <w:rFonts w:cs="Arial"/>
                <w:szCs w:val="20"/>
                <w:lang w:val="sl-SI"/>
              </w:rPr>
              <w:t xml:space="preserve"> </w:t>
            </w:r>
            <w:r w:rsidR="005128F9" w:rsidRPr="00732B0A">
              <w:rPr>
                <w:rFonts w:cs="Arial"/>
                <w:szCs w:val="20"/>
                <w:lang w:val="sl-SI"/>
              </w:rPr>
              <w:t>spremembah</w:t>
            </w:r>
            <w:r w:rsidR="00DE4759" w:rsidRPr="00732B0A">
              <w:rPr>
                <w:rFonts w:cs="Arial"/>
                <w:szCs w:val="20"/>
                <w:lang w:val="sl-SI"/>
              </w:rPr>
              <w:t xml:space="preserve"> in dopolnitvah</w:t>
            </w:r>
            <w:r w:rsidR="005128F9" w:rsidRPr="00732B0A">
              <w:rPr>
                <w:rFonts w:cs="Arial"/>
                <w:szCs w:val="20"/>
                <w:lang w:val="sl-SI"/>
              </w:rPr>
              <w:t xml:space="preserve"> Zakona </w:t>
            </w:r>
            <w:r w:rsidR="00F624B0" w:rsidRPr="00732B0A">
              <w:rPr>
                <w:rFonts w:cs="Arial"/>
                <w:szCs w:val="20"/>
                <w:lang w:val="sl-SI"/>
              </w:rPr>
              <w:t xml:space="preserve">o trgu finančnih instrumentov </w:t>
            </w:r>
            <w:r w:rsidR="009E0A8F" w:rsidRPr="00732B0A">
              <w:rPr>
                <w:rFonts w:cs="Arial"/>
                <w:szCs w:val="20"/>
                <w:lang w:val="sl-SI"/>
              </w:rPr>
              <w:t>ter</w:t>
            </w:r>
            <w:r w:rsidRPr="00732B0A">
              <w:rPr>
                <w:rFonts w:cs="Arial"/>
                <w:szCs w:val="20"/>
                <w:lang w:val="sl-SI"/>
              </w:rPr>
              <w:t xml:space="preserve"> ga </w:t>
            </w:r>
            <w:r w:rsidR="0033107D">
              <w:rPr>
                <w:rFonts w:cs="Arial"/>
                <w:szCs w:val="20"/>
                <w:lang w:val="sl-SI"/>
              </w:rPr>
              <w:t>pošlje v obravnavo</w:t>
            </w:r>
            <w:r w:rsidRPr="00732B0A">
              <w:rPr>
                <w:rFonts w:cs="Arial"/>
                <w:szCs w:val="20"/>
                <w:lang w:val="sl-SI"/>
              </w:rPr>
              <w:t xml:space="preserve"> Državnemu zboru.</w:t>
            </w:r>
            <w:r w:rsidR="00F624B0" w:rsidRPr="00732B0A">
              <w:rPr>
                <w:rFonts w:cs="Arial"/>
                <w:szCs w:val="20"/>
                <w:lang w:val="sl-SI"/>
              </w:rPr>
              <w:t xml:space="preserve"> </w:t>
            </w:r>
          </w:p>
          <w:p w14:paraId="373E497B" w14:textId="77777777" w:rsidR="00D0002D" w:rsidRPr="00732B0A" w:rsidRDefault="00D0002D" w:rsidP="00D0002D">
            <w:pPr>
              <w:rPr>
                <w:rFonts w:cs="Arial"/>
                <w:bCs/>
                <w:szCs w:val="20"/>
                <w:lang w:eastAsia="ar-SA"/>
              </w:rPr>
            </w:pPr>
          </w:p>
          <w:p w14:paraId="6B95BD56" w14:textId="77777777" w:rsidR="00794674" w:rsidRPr="00732B0A" w:rsidRDefault="00794674" w:rsidP="00D0002D">
            <w:pPr>
              <w:rPr>
                <w:rFonts w:cs="Arial"/>
                <w:bCs/>
                <w:szCs w:val="20"/>
                <w:lang w:eastAsia="ar-SA"/>
              </w:rPr>
            </w:pPr>
          </w:p>
          <w:p w14:paraId="6A8D7B49" w14:textId="77777777" w:rsidR="00DD53D2" w:rsidRPr="00732B0A" w:rsidRDefault="00794674" w:rsidP="00D0002D">
            <w:pPr>
              <w:rPr>
                <w:rFonts w:cs="Arial"/>
                <w:bCs/>
                <w:szCs w:val="20"/>
                <w:lang w:eastAsia="ar-SA"/>
              </w:rPr>
            </w:pPr>
            <w:r w:rsidRPr="00732B0A">
              <w:rPr>
                <w:rFonts w:cs="Arial"/>
                <w:bCs/>
                <w:szCs w:val="20"/>
                <w:lang w:eastAsia="ar-SA"/>
              </w:rPr>
              <w:t xml:space="preserve">                                                                                            </w:t>
            </w:r>
            <w:r w:rsidR="00DD53D2" w:rsidRPr="00732B0A">
              <w:rPr>
                <w:rFonts w:cs="Arial"/>
                <w:bCs/>
                <w:szCs w:val="20"/>
                <w:lang w:eastAsia="ar-SA"/>
              </w:rPr>
              <w:t>Barbara Kolenko Helbl</w:t>
            </w:r>
          </w:p>
          <w:p w14:paraId="50BF80DA" w14:textId="77777777" w:rsidR="00794674" w:rsidRPr="00732B0A" w:rsidRDefault="00DD53D2" w:rsidP="00D0002D">
            <w:pPr>
              <w:rPr>
                <w:rFonts w:cs="Arial"/>
                <w:bCs/>
                <w:szCs w:val="20"/>
                <w:lang w:eastAsia="ar-SA"/>
              </w:rPr>
            </w:pPr>
            <w:r w:rsidRPr="00732B0A">
              <w:rPr>
                <w:rFonts w:cs="Arial"/>
                <w:bCs/>
                <w:szCs w:val="20"/>
                <w:lang w:eastAsia="ar-SA"/>
              </w:rPr>
              <w:t xml:space="preserve">                                                                                        GENERALNA SEKRETARKA</w:t>
            </w:r>
          </w:p>
          <w:p w14:paraId="5DBF0329" w14:textId="77777777" w:rsidR="00794674" w:rsidRPr="00732B0A" w:rsidRDefault="00794674" w:rsidP="00D0002D">
            <w:pPr>
              <w:pStyle w:val="Brezrazmikov"/>
              <w:rPr>
                <w:rFonts w:cs="Arial"/>
                <w:szCs w:val="20"/>
                <w:lang w:val="sl-SI"/>
              </w:rPr>
            </w:pPr>
          </w:p>
          <w:p w14:paraId="03E91F2E" w14:textId="77777777" w:rsidR="00794674" w:rsidRPr="00732B0A" w:rsidRDefault="00794674" w:rsidP="00D0002D">
            <w:pPr>
              <w:pStyle w:val="Brezrazmikov"/>
              <w:rPr>
                <w:rFonts w:cs="Arial"/>
                <w:szCs w:val="20"/>
                <w:lang w:val="sl-SI"/>
              </w:rPr>
            </w:pPr>
            <w:r w:rsidRPr="00732B0A">
              <w:rPr>
                <w:rFonts w:cs="Arial"/>
                <w:szCs w:val="20"/>
                <w:lang w:val="sl-SI"/>
              </w:rPr>
              <w:t>Prejmejo:</w:t>
            </w:r>
          </w:p>
          <w:p w14:paraId="215DCEAD" w14:textId="77777777" w:rsidR="00794674" w:rsidRPr="00732B0A" w:rsidRDefault="00FA7965" w:rsidP="00D0002D">
            <w:pPr>
              <w:pStyle w:val="Brezrazmikov"/>
              <w:jc w:val="both"/>
              <w:rPr>
                <w:rFonts w:cs="Arial"/>
                <w:szCs w:val="20"/>
                <w:lang w:val="sl-SI"/>
              </w:rPr>
            </w:pPr>
            <w:r w:rsidRPr="00732B0A">
              <w:rPr>
                <w:rFonts w:cs="Arial"/>
                <w:szCs w:val="20"/>
                <w:lang w:val="sl-SI"/>
              </w:rPr>
              <w:t>–</w:t>
            </w:r>
            <w:r w:rsidR="00794674" w:rsidRPr="00732B0A">
              <w:rPr>
                <w:rFonts w:cs="Arial"/>
                <w:szCs w:val="20"/>
                <w:lang w:val="sl-SI"/>
              </w:rPr>
              <w:t xml:space="preserve"> Državni zbor Republike Slovenije,</w:t>
            </w:r>
          </w:p>
          <w:p w14:paraId="26CE87B5" w14:textId="77777777" w:rsidR="00794674" w:rsidRPr="00732B0A" w:rsidRDefault="00FA7965" w:rsidP="00D0002D">
            <w:pPr>
              <w:pStyle w:val="Brezrazmikov"/>
              <w:jc w:val="both"/>
              <w:rPr>
                <w:rFonts w:cs="Arial"/>
                <w:szCs w:val="20"/>
                <w:lang w:val="sl-SI"/>
              </w:rPr>
            </w:pPr>
            <w:r w:rsidRPr="00732B0A">
              <w:rPr>
                <w:rFonts w:cs="Arial"/>
                <w:szCs w:val="20"/>
                <w:lang w:val="sl-SI"/>
              </w:rPr>
              <w:t>–</w:t>
            </w:r>
            <w:r w:rsidR="00794674" w:rsidRPr="00732B0A">
              <w:rPr>
                <w:rFonts w:cs="Arial"/>
                <w:szCs w:val="20"/>
                <w:lang w:val="sl-SI"/>
              </w:rPr>
              <w:t xml:space="preserve"> Ministrstvo za finance,</w:t>
            </w:r>
          </w:p>
          <w:p w14:paraId="5C3901D2" w14:textId="77777777" w:rsidR="00794674" w:rsidRPr="00732B0A" w:rsidRDefault="00FA7965" w:rsidP="00D0002D">
            <w:pPr>
              <w:pStyle w:val="Brezrazmikov"/>
              <w:jc w:val="both"/>
              <w:rPr>
                <w:rFonts w:cs="Arial"/>
                <w:szCs w:val="20"/>
                <w:lang w:val="sl-SI"/>
              </w:rPr>
            </w:pPr>
            <w:r w:rsidRPr="00732B0A">
              <w:rPr>
                <w:rFonts w:cs="Arial"/>
                <w:szCs w:val="20"/>
                <w:lang w:val="sl-SI"/>
              </w:rPr>
              <w:t>–</w:t>
            </w:r>
            <w:r w:rsidR="00794674" w:rsidRPr="00732B0A">
              <w:rPr>
                <w:rFonts w:cs="Arial"/>
                <w:szCs w:val="20"/>
                <w:lang w:val="sl-SI"/>
              </w:rPr>
              <w:t xml:space="preserve"> Služba Vlade Republike Slovenije za zakonodajo.</w:t>
            </w:r>
          </w:p>
          <w:p w14:paraId="1207B1AE" w14:textId="77777777" w:rsidR="00D0002D" w:rsidRPr="00732B0A" w:rsidRDefault="00D0002D" w:rsidP="00D0002D">
            <w:pPr>
              <w:pStyle w:val="Brezrazmikov"/>
              <w:jc w:val="both"/>
              <w:rPr>
                <w:rFonts w:cs="Arial"/>
                <w:szCs w:val="20"/>
                <w:lang w:val="sl-SI"/>
              </w:rPr>
            </w:pPr>
          </w:p>
          <w:p w14:paraId="4C381243" w14:textId="77777777" w:rsidR="00794674" w:rsidRPr="00732B0A" w:rsidRDefault="00794674" w:rsidP="00D0002D">
            <w:pPr>
              <w:pStyle w:val="Brezrazmikov"/>
              <w:jc w:val="both"/>
              <w:rPr>
                <w:rFonts w:cs="Arial"/>
                <w:iCs/>
                <w:szCs w:val="20"/>
                <w:lang w:val="sl-SI"/>
              </w:rPr>
            </w:pPr>
          </w:p>
        </w:tc>
      </w:tr>
      <w:tr w:rsidR="00794674" w:rsidRPr="00732B0A" w14:paraId="5E0D2A2F" w14:textId="77777777" w:rsidTr="00794674">
        <w:tc>
          <w:tcPr>
            <w:tcW w:w="9163" w:type="dxa"/>
            <w:gridSpan w:val="4"/>
          </w:tcPr>
          <w:p w14:paraId="057B1625" w14:textId="77777777" w:rsidR="00794674" w:rsidRPr="00732B0A" w:rsidRDefault="00794674" w:rsidP="00D0002D">
            <w:pPr>
              <w:pStyle w:val="Brezrazmikov"/>
              <w:rPr>
                <w:rFonts w:cs="Arial"/>
                <w:b/>
                <w:szCs w:val="20"/>
                <w:lang w:val="sl-SI"/>
              </w:rPr>
            </w:pPr>
            <w:r w:rsidRPr="00732B0A">
              <w:rPr>
                <w:rFonts w:cs="Arial"/>
                <w:b/>
                <w:szCs w:val="20"/>
                <w:lang w:val="sl-SI"/>
              </w:rPr>
              <w:t>2. Predlog za obravnavo predloga zakona po nujnem ali skrajšanem postopku v državnem zboru z obrazložitvijo razlogov:</w:t>
            </w:r>
          </w:p>
        </w:tc>
      </w:tr>
      <w:tr w:rsidR="00794674" w:rsidRPr="00732B0A" w14:paraId="4DC477B8" w14:textId="77777777" w:rsidTr="00794674">
        <w:tc>
          <w:tcPr>
            <w:tcW w:w="9163" w:type="dxa"/>
            <w:gridSpan w:val="4"/>
          </w:tcPr>
          <w:p w14:paraId="3A183560" w14:textId="1AA27E69" w:rsidR="003A514B" w:rsidRPr="00732B0A" w:rsidRDefault="003A514B" w:rsidP="00792CFB">
            <w:pPr>
              <w:pStyle w:val="Brezrazmikov"/>
              <w:jc w:val="both"/>
              <w:rPr>
                <w:rFonts w:cs="Arial"/>
                <w:szCs w:val="20"/>
                <w:lang w:val="sl-SI"/>
              </w:rPr>
            </w:pPr>
            <w:r w:rsidRPr="003A514B">
              <w:rPr>
                <w:rFonts w:cs="Arial"/>
                <w:szCs w:val="20"/>
                <w:lang w:val="sl-SI"/>
              </w:rPr>
              <w:t>Vlada Republike Slovenije predlaga, da se predlog zakona v Državnem zboru obravnava po skrajšanem postopku</w:t>
            </w:r>
            <w:r w:rsidR="00C70FDB">
              <w:rPr>
                <w:rFonts w:cs="Arial"/>
                <w:szCs w:val="20"/>
                <w:lang w:val="sl-SI"/>
              </w:rPr>
              <w:t xml:space="preserve">. </w:t>
            </w:r>
            <w:r w:rsidR="00C70FDB" w:rsidRPr="00C70FDB">
              <w:rPr>
                <w:rFonts w:cs="Arial"/>
                <w:szCs w:val="20"/>
                <w:lang w:val="sl-SI"/>
              </w:rPr>
              <w:t xml:space="preserve">Sprejem zakona po skrajšanem postopku je potreben zaradi izteka roka za prenos Direktive (EU) 2022/2556 v nacionalni pravni red, ki je potekel 17. januarja 2025 in uradnega opomina Evropske komisije z dne 26. 3. 2025 Republiki Sloveniji, zaradi </w:t>
            </w:r>
            <w:proofErr w:type="spellStart"/>
            <w:r w:rsidR="00C70FDB" w:rsidRPr="00C70FDB">
              <w:rPr>
                <w:rFonts w:cs="Arial"/>
                <w:szCs w:val="20"/>
                <w:lang w:val="sl-SI"/>
              </w:rPr>
              <w:t>nenotifikacije</w:t>
            </w:r>
            <w:proofErr w:type="spellEnd"/>
            <w:r w:rsidR="00C70FDB" w:rsidRPr="00C70FDB">
              <w:rPr>
                <w:rFonts w:cs="Arial"/>
                <w:szCs w:val="20"/>
                <w:lang w:val="sl-SI"/>
              </w:rPr>
              <w:t xml:space="preserve"> predpisov za prenos te direktive v pravni red Republike Slovenije (kršitev št. 2025/0173), zato je nujno hitro ukrepanje za omejitev zamude pri prenosu direktive in uskladitev nacionalne zakonodaje z evropskim pravnim redom.</w:t>
            </w:r>
          </w:p>
        </w:tc>
      </w:tr>
      <w:tr w:rsidR="00794674" w:rsidRPr="00732B0A" w14:paraId="5E73454E" w14:textId="77777777" w:rsidTr="00794674">
        <w:tc>
          <w:tcPr>
            <w:tcW w:w="9163" w:type="dxa"/>
            <w:gridSpan w:val="4"/>
          </w:tcPr>
          <w:p w14:paraId="0531B181" w14:textId="77777777" w:rsidR="00794674" w:rsidRPr="00732B0A" w:rsidRDefault="00794674" w:rsidP="00D0002D">
            <w:pPr>
              <w:pStyle w:val="Brezrazmikov"/>
              <w:rPr>
                <w:rFonts w:cs="Arial"/>
                <w:b/>
                <w:szCs w:val="20"/>
                <w:lang w:val="sl-SI"/>
              </w:rPr>
            </w:pPr>
            <w:r w:rsidRPr="00732B0A">
              <w:rPr>
                <w:rFonts w:cs="Arial"/>
                <w:b/>
                <w:szCs w:val="20"/>
                <w:lang w:val="sl-SI"/>
              </w:rPr>
              <w:t>3.a Osebe, odgovorne za strokovno pripravo in usklajenost gradiva:</w:t>
            </w:r>
          </w:p>
        </w:tc>
      </w:tr>
      <w:tr w:rsidR="00794674" w:rsidRPr="00732B0A" w14:paraId="17BEF2C3" w14:textId="77777777" w:rsidTr="00794674">
        <w:tc>
          <w:tcPr>
            <w:tcW w:w="9163" w:type="dxa"/>
            <w:gridSpan w:val="4"/>
          </w:tcPr>
          <w:p w14:paraId="073697F5" w14:textId="77777777" w:rsidR="00794674" w:rsidRDefault="00B953CC" w:rsidP="00D0002D">
            <w:pPr>
              <w:spacing w:line="276" w:lineRule="auto"/>
              <w:jc w:val="both"/>
              <w:rPr>
                <w:rFonts w:cs="Arial"/>
                <w:szCs w:val="20"/>
              </w:rPr>
            </w:pPr>
            <w:r w:rsidRPr="00732B0A">
              <w:rPr>
                <w:rFonts w:cs="Arial"/>
                <w:szCs w:val="20"/>
              </w:rPr>
              <w:t xml:space="preserve">– </w:t>
            </w:r>
            <w:r w:rsidR="00794674" w:rsidRPr="00732B0A">
              <w:rPr>
                <w:rFonts w:cs="Arial"/>
                <w:szCs w:val="20"/>
              </w:rPr>
              <w:t>Urška Cvelbar, generalna direktorica Direktorata za finančni sistem,</w:t>
            </w:r>
          </w:p>
          <w:p w14:paraId="54704494" w14:textId="57205F02" w:rsidR="00BE3760" w:rsidRDefault="00B953CC" w:rsidP="00BE3760">
            <w:pPr>
              <w:spacing w:line="276" w:lineRule="auto"/>
              <w:jc w:val="both"/>
              <w:rPr>
                <w:rFonts w:cs="Arial"/>
                <w:szCs w:val="20"/>
              </w:rPr>
            </w:pPr>
            <w:r w:rsidRPr="00732B0A">
              <w:rPr>
                <w:rFonts w:cs="Arial"/>
                <w:szCs w:val="20"/>
              </w:rPr>
              <w:t xml:space="preserve">– </w:t>
            </w:r>
            <w:r w:rsidR="00381DF6">
              <w:rPr>
                <w:rFonts w:cs="Arial"/>
                <w:szCs w:val="20"/>
              </w:rPr>
              <w:t>Leon Brčina, sekretar, Sektor za zavarovalništvo in trg kapitala, Direktorat za finančni sistem</w:t>
            </w:r>
            <w:r w:rsidR="00DD6679">
              <w:rPr>
                <w:rFonts w:cs="Arial"/>
                <w:szCs w:val="20"/>
              </w:rPr>
              <w:t>,</w:t>
            </w:r>
          </w:p>
          <w:p w14:paraId="7203D2E8" w14:textId="77777777" w:rsidR="00610BCD" w:rsidRPr="00732B0A" w:rsidRDefault="00B953CC" w:rsidP="00227845">
            <w:pPr>
              <w:pStyle w:val="Brezrazmikov"/>
              <w:rPr>
                <w:rFonts w:cs="Arial"/>
                <w:szCs w:val="20"/>
                <w:lang w:val="sl-SI"/>
              </w:rPr>
            </w:pPr>
            <w:r w:rsidRPr="00483AE8">
              <w:rPr>
                <w:rFonts w:cs="Arial"/>
                <w:szCs w:val="20"/>
                <w:lang w:val="sl-SI"/>
              </w:rPr>
              <w:t xml:space="preserve">– </w:t>
            </w:r>
            <w:r w:rsidR="00792CFB">
              <w:rPr>
                <w:rFonts w:cs="Arial"/>
                <w:szCs w:val="20"/>
                <w:lang w:val="sl-SI"/>
              </w:rPr>
              <w:t>Katja Vidmar, višja svetovalka</w:t>
            </w:r>
            <w:r w:rsidR="00D30112" w:rsidRPr="00732B0A">
              <w:rPr>
                <w:rFonts w:cs="Arial"/>
                <w:szCs w:val="20"/>
                <w:lang w:val="sl-SI"/>
              </w:rPr>
              <w:t>, Sektor za zavarovalništvo in trg kapitala</w:t>
            </w:r>
            <w:r w:rsidR="007B5A98" w:rsidRPr="00732B0A">
              <w:rPr>
                <w:rFonts w:cs="Arial"/>
                <w:szCs w:val="20"/>
                <w:lang w:val="sl-SI"/>
              </w:rPr>
              <w:t>, Direktorat za finančni sistem</w:t>
            </w:r>
            <w:r w:rsidR="00F624B0" w:rsidRPr="00732B0A">
              <w:rPr>
                <w:rFonts w:cs="Arial"/>
                <w:szCs w:val="20"/>
                <w:lang w:val="sl-SI"/>
              </w:rPr>
              <w:t>.</w:t>
            </w:r>
          </w:p>
        </w:tc>
      </w:tr>
      <w:tr w:rsidR="00794674" w:rsidRPr="00732B0A" w14:paraId="614A4C8F" w14:textId="77777777" w:rsidTr="00794674">
        <w:tc>
          <w:tcPr>
            <w:tcW w:w="9163" w:type="dxa"/>
            <w:gridSpan w:val="4"/>
          </w:tcPr>
          <w:p w14:paraId="1373ECA6" w14:textId="77777777" w:rsidR="00794674" w:rsidRPr="00732B0A" w:rsidRDefault="00794674" w:rsidP="00D0002D">
            <w:pPr>
              <w:pStyle w:val="Brezrazmikov"/>
              <w:rPr>
                <w:rFonts w:cs="Arial"/>
                <w:b/>
                <w:szCs w:val="20"/>
                <w:lang w:val="sl-SI"/>
              </w:rPr>
            </w:pPr>
            <w:r w:rsidRPr="00732B0A">
              <w:rPr>
                <w:rFonts w:cs="Arial"/>
                <w:b/>
                <w:szCs w:val="20"/>
                <w:lang w:val="sl-SI"/>
              </w:rPr>
              <w:t>3.b Zunanji strokovnjaki, ki so sodelovali pri pripravi dela ali celotnega gradiva:</w:t>
            </w:r>
          </w:p>
        </w:tc>
      </w:tr>
      <w:tr w:rsidR="00794674" w:rsidRPr="00732B0A" w14:paraId="7E780F9A" w14:textId="77777777" w:rsidTr="00794674">
        <w:tc>
          <w:tcPr>
            <w:tcW w:w="9163" w:type="dxa"/>
            <w:gridSpan w:val="4"/>
          </w:tcPr>
          <w:p w14:paraId="7A67E2E3" w14:textId="77777777" w:rsidR="00D0002D" w:rsidRPr="00732B0A" w:rsidRDefault="00794674" w:rsidP="00D0002D">
            <w:pPr>
              <w:pStyle w:val="Brezrazmikov"/>
              <w:rPr>
                <w:rFonts w:cs="Arial"/>
                <w:szCs w:val="20"/>
                <w:lang w:val="sl-SI"/>
              </w:rPr>
            </w:pPr>
            <w:r w:rsidRPr="00732B0A">
              <w:rPr>
                <w:rFonts w:cs="Arial"/>
                <w:szCs w:val="20"/>
                <w:lang w:val="sl-SI"/>
              </w:rPr>
              <w:t>/</w:t>
            </w:r>
          </w:p>
        </w:tc>
      </w:tr>
      <w:tr w:rsidR="00794674" w:rsidRPr="00732B0A" w14:paraId="741A7BED" w14:textId="77777777" w:rsidTr="00794674">
        <w:tc>
          <w:tcPr>
            <w:tcW w:w="9163" w:type="dxa"/>
            <w:gridSpan w:val="4"/>
          </w:tcPr>
          <w:p w14:paraId="5EFB91F0" w14:textId="77777777" w:rsidR="00794674" w:rsidRPr="00732B0A" w:rsidRDefault="00794674" w:rsidP="00D0002D">
            <w:pPr>
              <w:pStyle w:val="Brezrazmikov"/>
              <w:rPr>
                <w:rFonts w:cs="Arial"/>
                <w:b/>
                <w:iCs/>
                <w:szCs w:val="20"/>
                <w:lang w:val="sl-SI"/>
              </w:rPr>
            </w:pPr>
            <w:r w:rsidRPr="00732B0A">
              <w:rPr>
                <w:rFonts w:cs="Arial"/>
                <w:b/>
                <w:iCs/>
                <w:szCs w:val="20"/>
                <w:lang w:val="sl-SI"/>
              </w:rPr>
              <w:t>4. Predstavniki vlade, ki bodo sodelovali pri delu državnega zbora:</w:t>
            </w:r>
          </w:p>
        </w:tc>
      </w:tr>
      <w:tr w:rsidR="00794674" w:rsidRPr="00732B0A" w14:paraId="5D65B021" w14:textId="77777777" w:rsidTr="00794674">
        <w:tc>
          <w:tcPr>
            <w:tcW w:w="9163" w:type="dxa"/>
            <w:gridSpan w:val="4"/>
          </w:tcPr>
          <w:p w14:paraId="371127D6" w14:textId="77777777" w:rsidR="00794674" w:rsidRPr="00732B0A" w:rsidRDefault="00FA7965" w:rsidP="00D0002D">
            <w:pPr>
              <w:spacing w:line="276" w:lineRule="auto"/>
              <w:jc w:val="both"/>
              <w:rPr>
                <w:rFonts w:cs="Arial"/>
                <w:szCs w:val="20"/>
              </w:rPr>
            </w:pPr>
            <w:r w:rsidRPr="00732B0A">
              <w:rPr>
                <w:rFonts w:cs="Arial"/>
                <w:szCs w:val="20"/>
              </w:rPr>
              <w:lastRenderedPageBreak/>
              <w:t>–</w:t>
            </w:r>
            <w:r w:rsidR="00794674" w:rsidRPr="00732B0A">
              <w:rPr>
                <w:rFonts w:cs="Arial"/>
                <w:szCs w:val="20"/>
              </w:rPr>
              <w:t xml:space="preserve"> </w:t>
            </w:r>
            <w:r w:rsidR="00D94848" w:rsidRPr="00732B0A">
              <w:rPr>
                <w:rFonts w:cs="Arial"/>
                <w:szCs w:val="20"/>
              </w:rPr>
              <w:t>Klemen Boštjančič</w:t>
            </w:r>
            <w:r w:rsidR="00794674" w:rsidRPr="00732B0A">
              <w:rPr>
                <w:rFonts w:cs="Arial"/>
                <w:szCs w:val="20"/>
              </w:rPr>
              <w:t>, minister,</w:t>
            </w:r>
          </w:p>
          <w:p w14:paraId="28321695" w14:textId="77777777" w:rsidR="00794674" w:rsidRPr="00732B0A" w:rsidRDefault="00FA7965" w:rsidP="00D0002D">
            <w:pPr>
              <w:spacing w:line="276" w:lineRule="auto"/>
              <w:jc w:val="both"/>
              <w:rPr>
                <w:rFonts w:cs="Arial"/>
                <w:szCs w:val="20"/>
              </w:rPr>
            </w:pPr>
            <w:r w:rsidRPr="00732B0A">
              <w:rPr>
                <w:rFonts w:cs="Arial"/>
                <w:szCs w:val="20"/>
              </w:rPr>
              <w:t>–</w:t>
            </w:r>
            <w:r w:rsidR="00794674" w:rsidRPr="00732B0A">
              <w:rPr>
                <w:rFonts w:cs="Arial"/>
                <w:szCs w:val="20"/>
              </w:rPr>
              <w:t xml:space="preserve"> mag. </w:t>
            </w:r>
            <w:r w:rsidR="00D94848" w:rsidRPr="00732B0A">
              <w:rPr>
                <w:rFonts w:cs="Arial"/>
                <w:szCs w:val="20"/>
              </w:rPr>
              <w:t>Saša Jazbec</w:t>
            </w:r>
            <w:r w:rsidR="00794674" w:rsidRPr="00732B0A">
              <w:rPr>
                <w:rFonts w:cs="Arial"/>
                <w:szCs w:val="20"/>
              </w:rPr>
              <w:t>, državna sekretarka,</w:t>
            </w:r>
          </w:p>
          <w:p w14:paraId="249923CE" w14:textId="20D88311" w:rsidR="001A5E65" w:rsidRPr="00732B0A" w:rsidRDefault="001A5E65" w:rsidP="00D0002D">
            <w:pPr>
              <w:spacing w:line="276" w:lineRule="auto"/>
              <w:jc w:val="both"/>
              <w:rPr>
                <w:rFonts w:cs="Arial"/>
                <w:szCs w:val="20"/>
              </w:rPr>
            </w:pPr>
            <w:r w:rsidRPr="00732B0A">
              <w:rPr>
                <w:rFonts w:cs="Arial"/>
                <w:szCs w:val="20"/>
              </w:rPr>
              <w:t xml:space="preserve">– </w:t>
            </w:r>
            <w:r w:rsidR="00773098" w:rsidRPr="00732B0A">
              <w:rPr>
                <w:rFonts w:cs="Arial"/>
                <w:szCs w:val="20"/>
              </w:rPr>
              <w:t>Gordana Pipan, državna sekretarka</w:t>
            </w:r>
            <w:r w:rsidRPr="00732B0A">
              <w:rPr>
                <w:rFonts w:cs="Arial"/>
                <w:szCs w:val="20"/>
              </w:rPr>
              <w:t>,</w:t>
            </w:r>
          </w:p>
          <w:p w14:paraId="21FF48DD" w14:textId="77777777" w:rsidR="00D30112" w:rsidRPr="00732B0A" w:rsidRDefault="00D30112" w:rsidP="00D0002D">
            <w:pPr>
              <w:spacing w:line="276" w:lineRule="auto"/>
              <w:jc w:val="both"/>
              <w:rPr>
                <w:rFonts w:cs="Arial"/>
                <w:szCs w:val="20"/>
              </w:rPr>
            </w:pPr>
            <w:r w:rsidRPr="00732B0A">
              <w:rPr>
                <w:rFonts w:cs="Arial"/>
                <w:szCs w:val="20"/>
              </w:rPr>
              <w:t>– mag. Katja Božič, državna sekretarka,</w:t>
            </w:r>
          </w:p>
          <w:p w14:paraId="599B1482" w14:textId="77777777" w:rsidR="00F40722" w:rsidRPr="00732B0A" w:rsidRDefault="00F40722" w:rsidP="00D0002D">
            <w:pPr>
              <w:spacing w:line="240" w:lineRule="auto"/>
              <w:rPr>
                <w:rFonts w:cs="Arial"/>
                <w:szCs w:val="20"/>
              </w:rPr>
            </w:pPr>
            <w:r w:rsidRPr="00732B0A">
              <w:rPr>
                <w:rFonts w:cs="Arial"/>
                <w:szCs w:val="20"/>
              </w:rPr>
              <w:t>– Nikolina Prah, državna sekretarka,</w:t>
            </w:r>
          </w:p>
          <w:p w14:paraId="2D6EB158" w14:textId="77777777" w:rsidR="00AD53FA" w:rsidRDefault="00FA7965" w:rsidP="00D0002D">
            <w:pPr>
              <w:spacing w:line="276" w:lineRule="auto"/>
              <w:jc w:val="both"/>
              <w:rPr>
                <w:rFonts w:cs="Arial"/>
                <w:szCs w:val="20"/>
              </w:rPr>
            </w:pPr>
            <w:r w:rsidRPr="00732B0A">
              <w:rPr>
                <w:rFonts w:cs="Arial"/>
                <w:szCs w:val="20"/>
              </w:rPr>
              <w:t>–</w:t>
            </w:r>
            <w:r w:rsidR="00794674" w:rsidRPr="00732B0A">
              <w:rPr>
                <w:rFonts w:cs="Arial"/>
                <w:szCs w:val="20"/>
              </w:rPr>
              <w:t xml:space="preserve"> Urška Cvelbar, generalna direktorica Direktorata za finančni sistem,</w:t>
            </w:r>
          </w:p>
          <w:p w14:paraId="0A9648F3" w14:textId="77777777" w:rsidR="006B4A08" w:rsidRDefault="00593F66" w:rsidP="00D0002D">
            <w:pPr>
              <w:spacing w:line="276" w:lineRule="auto"/>
              <w:jc w:val="both"/>
              <w:rPr>
                <w:rFonts w:cs="Arial"/>
                <w:szCs w:val="20"/>
              </w:rPr>
            </w:pPr>
            <w:r w:rsidRPr="00732B0A">
              <w:rPr>
                <w:rFonts w:cs="Arial"/>
                <w:szCs w:val="20"/>
              </w:rPr>
              <w:t xml:space="preserve">– </w:t>
            </w:r>
            <w:r w:rsidR="006B4A08">
              <w:rPr>
                <w:rFonts w:cs="Arial"/>
                <w:szCs w:val="20"/>
              </w:rPr>
              <w:t>Leon Brčina, sekretar, Sektor za zavarovalništvo in trg kapitala, Direktorat za finančni sistem</w:t>
            </w:r>
            <w:r w:rsidR="00723D68">
              <w:rPr>
                <w:rFonts w:cs="Arial"/>
                <w:szCs w:val="20"/>
              </w:rPr>
              <w:t>,</w:t>
            </w:r>
            <w:r w:rsidR="006B4A08">
              <w:rPr>
                <w:rFonts w:cs="Arial"/>
                <w:szCs w:val="20"/>
              </w:rPr>
              <w:t xml:space="preserve"> </w:t>
            </w:r>
          </w:p>
          <w:p w14:paraId="42794CCC" w14:textId="77777777" w:rsidR="00593F66" w:rsidRDefault="006B4A08" w:rsidP="00D0002D">
            <w:pPr>
              <w:spacing w:line="276" w:lineRule="auto"/>
              <w:jc w:val="both"/>
              <w:rPr>
                <w:rFonts w:cs="Arial"/>
                <w:szCs w:val="20"/>
              </w:rPr>
            </w:pPr>
            <w:r w:rsidRPr="006B4A08">
              <w:rPr>
                <w:rFonts w:cs="Arial"/>
                <w:szCs w:val="20"/>
              </w:rPr>
              <w:t>–</w:t>
            </w:r>
            <w:r>
              <w:rPr>
                <w:rFonts w:cs="Arial"/>
                <w:szCs w:val="20"/>
              </w:rPr>
              <w:t xml:space="preserve"> </w:t>
            </w:r>
            <w:r w:rsidR="00792CFB">
              <w:rPr>
                <w:rFonts w:cs="Arial"/>
                <w:szCs w:val="20"/>
              </w:rPr>
              <w:t>Katja Vidmar, višja svetovalka</w:t>
            </w:r>
            <w:r w:rsidR="005252B4">
              <w:rPr>
                <w:rFonts w:cs="Arial"/>
                <w:szCs w:val="20"/>
              </w:rPr>
              <w:t xml:space="preserve">, </w:t>
            </w:r>
            <w:r w:rsidR="00792CFB">
              <w:rPr>
                <w:rFonts w:cs="Arial"/>
                <w:szCs w:val="20"/>
              </w:rPr>
              <w:t>Sektor</w:t>
            </w:r>
            <w:r w:rsidR="00593F66" w:rsidRPr="00BE3760">
              <w:rPr>
                <w:rFonts w:cs="Arial"/>
                <w:szCs w:val="20"/>
              </w:rPr>
              <w:t xml:space="preserve"> za zavarovalništvo in trg kapitala, Direktorat za finančni sistem</w:t>
            </w:r>
            <w:r w:rsidR="00723D68">
              <w:rPr>
                <w:rFonts w:cs="Arial"/>
                <w:szCs w:val="20"/>
              </w:rPr>
              <w:t>.</w:t>
            </w:r>
          </w:p>
          <w:p w14:paraId="428402A1" w14:textId="77777777" w:rsidR="00AD53FA" w:rsidRPr="00483AE8" w:rsidDel="003F52A3" w:rsidRDefault="00AD53FA" w:rsidP="00364840">
            <w:pPr>
              <w:pStyle w:val="Brezrazmikov"/>
              <w:rPr>
                <w:rFonts w:cs="Arial"/>
                <w:szCs w:val="20"/>
                <w:lang w:val="sl-SI"/>
              </w:rPr>
            </w:pPr>
          </w:p>
        </w:tc>
      </w:tr>
      <w:tr w:rsidR="00794674" w:rsidRPr="00732B0A" w14:paraId="5015FCF3" w14:textId="77777777" w:rsidTr="00794674">
        <w:tc>
          <w:tcPr>
            <w:tcW w:w="9163" w:type="dxa"/>
            <w:gridSpan w:val="4"/>
          </w:tcPr>
          <w:p w14:paraId="2122D36F" w14:textId="77777777" w:rsidR="00794674" w:rsidRPr="00545C23" w:rsidRDefault="00794674" w:rsidP="00D0002D">
            <w:pPr>
              <w:pStyle w:val="Brezrazmikov"/>
              <w:rPr>
                <w:rFonts w:cs="Arial"/>
                <w:b/>
                <w:szCs w:val="20"/>
                <w:lang w:val="sl-SI"/>
              </w:rPr>
            </w:pPr>
            <w:r w:rsidRPr="00545C23">
              <w:rPr>
                <w:rFonts w:cs="Arial"/>
                <w:b/>
                <w:szCs w:val="20"/>
                <w:lang w:val="sl-SI"/>
              </w:rPr>
              <w:t>5. Kratek povzetek gradiva</w:t>
            </w:r>
          </w:p>
        </w:tc>
      </w:tr>
      <w:tr w:rsidR="00794674" w:rsidRPr="00732B0A" w14:paraId="13AAF416" w14:textId="77777777" w:rsidTr="00794674">
        <w:tc>
          <w:tcPr>
            <w:tcW w:w="9163" w:type="dxa"/>
            <w:gridSpan w:val="4"/>
          </w:tcPr>
          <w:p w14:paraId="7695D5E2" w14:textId="502B25F5" w:rsidR="0092245E" w:rsidRPr="00545C23" w:rsidRDefault="00947D1F" w:rsidP="0092245E">
            <w:pPr>
              <w:spacing w:line="240" w:lineRule="auto"/>
              <w:jc w:val="both"/>
              <w:rPr>
                <w:rFonts w:cs="Arial"/>
                <w:szCs w:val="20"/>
              </w:rPr>
            </w:pPr>
            <w:bookmarkStart w:id="2" w:name="_Hlk148364986"/>
            <w:r w:rsidRPr="00545C23">
              <w:rPr>
                <w:rFonts w:cs="Arial"/>
                <w:szCs w:val="20"/>
              </w:rPr>
              <w:t xml:space="preserve">S predlaganimi spremembami </w:t>
            </w:r>
            <w:r w:rsidR="00C66B13" w:rsidRPr="00545C23">
              <w:rPr>
                <w:rFonts w:cs="Arial"/>
                <w:szCs w:val="20"/>
              </w:rPr>
              <w:t xml:space="preserve">Zakona o trgu finančnih instrumentov (Uradni list RS, št. 77/18, </w:t>
            </w:r>
            <w:r w:rsidR="004511B9" w:rsidRPr="00545C23">
              <w:rPr>
                <w:rFonts w:cs="Arial"/>
                <w:szCs w:val="20"/>
              </w:rPr>
              <w:t xml:space="preserve">17/19 </w:t>
            </w:r>
            <w:r w:rsidR="00C66B13" w:rsidRPr="00545C23">
              <w:rPr>
                <w:rFonts w:cs="Arial"/>
                <w:szCs w:val="20"/>
              </w:rPr>
              <w:t>– popr., 66/19</w:t>
            </w:r>
            <w:r w:rsidR="0054178C">
              <w:rPr>
                <w:rFonts w:cs="Arial"/>
                <w:szCs w:val="20"/>
              </w:rPr>
              <w:t>,</w:t>
            </w:r>
            <w:r w:rsidR="00C66B13" w:rsidRPr="00545C23">
              <w:rPr>
                <w:rFonts w:cs="Arial"/>
                <w:szCs w:val="20"/>
              </w:rPr>
              <w:t xml:space="preserve"> 123/21</w:t>
            </w:r>
            <w:r w:rsidR="0054178C">
              <w:t xml:space="preserve"> in </w:t>
            </w:r>
            <w:r w:rsidR="00264CD6" w:rsidRPr="00264CD6">
              <w:t>45/24</w:t>
            </w:r>
            <w:r w:rsidR="00C66B13" w:rsidRPr="00545C23">
              <w:rPr>
                <w:rFonts w:cs="Arial"/>
                <w:szCs w:val="20"/>
              </w:rPr>
              <w:t xml:space="preserve">; v nadaljnjem besedilu: ZTFI-1) </w:t>
            </w:r>
            <w:r w:rsidRPr="00545C23">
              <w:rPr>
                <w:rFonts w:cs="Arial"/>
                <w:szCs w:val="20"/>
              </w:rPr>
              <w:t>se v pravni red Republike Slovenije pren</w:t>
            </w:r>
            <w:r w:rsidR="0089434D">
              <w:rPr>
                <w:rFonts w:cs="Arial"/>
                <w:szCs w:val="20"/>
              </w:rPr>
              <w:t>ašajo</w:t>
            </w:r>
            <w:r w:rsidRPr="00545C23">
              <w:rPr>
                <w:rFonts w:cs="Arial"/>
                <w:szCs w:val="20"/>
              </w:rPr>
              <w:t xml:space="preserve"> </w:t>
            </w:r>
            <w:bookmarkEnd w:id="2"/>
            <w:r w:rsidR="00663DA2" w:rsidRPr="00545C23">
              <w:rPr>
                <w:rFonts w:cs="Arial"/>
                <w:szCs w:val="20"/>
              </w:rPr>
              <w:t>določbe Direktive 2022/2556/EU v delu, ki sprem</w:t>
            </w:r>
            <w:r w:rsidR="0089434D">
              <w:rPr>
                <w:rFonts w:cs="Arial"/>
                <w:szCs w:val="20"/>
              </w:rPr>
              <w:t>inja</w:t>
            </w:r>
            <w:r w:rsidR="00663DA2" w:rsidRPr="00545C23">
              <w:rPr>
                <w:rFonts w:cs="Arial"/>
                <w:szCs w:val="20"/>
              </w:rPr>
              <w:t xml:space="preserve"> Direktivo 2014/65/EU, določbe Direktive 2024/790/EU, ki sprem</w:t>
            </w:r>
            <w:r w:rsidR="0089434D">
              <w:rPr>
                <w:rFonts w:cs="Arial"/>
                <w:szCs w:val="20"/>
              </w:rPr>
              <w:t>inja</w:t>
            </w:r>
            <w:r w:rsidR="00663DA2" w:rsidRPr="00545C23">
              <w:rPr>
                <w:rFonts w:cs="Arial"/>
                <w:szCs w:val="20"/>
              </w:rPr>
              <w:t xml:space="preserve"> Direktivo 2014/65/EU</w:t>
            </w:r>
            <w:r w:rsidR="0089434D">
              <w:rPr>
                <w:rFonts w:cs="Arial"/>
                <w:szCs w:val="20"/>
              </w:rPr>
              <w:t>,</w:t>
            </w:r>
            <w:r w:rsidR="00663DA2" w:rsidRPr="00545C23">
              <w:rPr>
                <w:rFonts w:cs="Arial"/>
                <w:szCs w:val="20"/>
              </w:rPr>
              <w:t xml:space="preserve"> in določbe </w:t>
            </w:r>
            <w:r w:rsidR="0089434D">
              <w:rPr>
                <w:rFonts w:cs="Arial"/>
                <w:szCs w:val="20"/>
              </w:rPr>
              <w:t>D</w:t>
            </w:r>
            <w:r w:rsidR="00663DA2" w:rsidRPr="00545C23">
              <w:rPr>
                <w:rFonts w:cs="Arial"/>
                <w:szCs w:val="20"/>
              </w:rPr>
              <w:t>irektive 2023/2864/EU v delu, ki sprem</w:t>
            </w:r>
            <w:r w:rsidR="0089434D">
              <w:rPr>
                <w:rFonts w:cs="Arial"/>
                <w:szCs w:val="20"/>
              </w:rPr>
              <w:t>inja</w:t>
            </w:r>
            <w:r w:rsidR="00663DA2" w:rsidRPr="00545C23">
              <w:rPr>
                <w:rFonts w:cs="Arial"/>
                <w:szCs w:val="20"/>
              </w:rPr>
              <w:t xml:space="preserve"> Direktivo 2004/109/ES</w:t>
            </w:r>
            <w:r w:rsidR="0092245E" w:rsidRPr="00545C23">
              <w:rPr>
                <w:rFonts w:cs="Arial"/>
                <w:szCs w:val="20"/>
              </w:rPr>
              <w:t xml:space="preserve"> </w:t>
            </w:r>
            <w:r w:rsidR="006E5198">
              <w:rPr>
                <w:rFonts w:cs="Arial"/>
                <w:szCs w:val="20"/>
              </w:rPr>
              <w:t>ter</w:t>
            </w:r>
            <w:r w:rsidR="0092245E" w:rsidRPr="00545C23">
              <w:rPr>
                <w:rFonts w:cs="Arial"/>
                <w:szCs w:val="20"/>
              </w:rPr>
              <w:t xml:space="preserve"> Direktivo 2014/65/EU</w:t>
            </w:r>
            <w:r w:rsidR="00663DA2" w:rsidRPr="00545C23">
              <w:rPr>
                <w:rFonts w:cs="Arial"/>
                <w:szCs w:val="20"/>
              </w:rPr>
              <w:t>.</w:t>
            </w:r>
            <w:r w:rsidR="0092245E" w:rsidRPr="00545C23">
              <w:rPr>
                <w:rFonts w:cs="Arial"/>
                <w:szCs w:val="20"/>
              </w:rPr>
              <w:t xml:space="preserve"> Poleg tega se odpravlja neskladnost 133</w:t>
            </w:r>
            <w:r w:rsidR="0089434D">
              <w:rPr>
                <w:rFonts w:cs="Arial"/>
                <w:szCs w:val="20"/>
              </w:rPr>
              <w:t>. in</w:t>
            </w:r>
            <w:r w:rsidR="0092245E" w:rsidRPr="00545C23">
              <w:rPr>
                <w:rFonts w:cs="Arial"/>
                <w:szCs w:val="20"/>
              </w:rPr>
              <w:t xml:space="preserve"> 134. </w:t>
            </w:r>
            <w:r w:rsidR="0089434D">
              <w:rPr>
                <w:rFonts w:cs="Arial"/>
                <w:szCs w:val="20"/>
              </w:rPr>
              <w:t>člena ter</w:t>
            </w:r>
            <w:r w:rsidR="0092245E" w:rsidRPr="00545C23">
              <w:rPr>
                <w:rFonts w:cs="Arial"/>
                <w:szCs w:val="20"/>
              </w:rPr>
              <w:t xml:space="preserve"> četrtega odstavka 141. člena ZTFI-1</w:t>
            </w:r>
            <w:r w:rsidR="00264CD6">
              <w:rPr>
                <w:rFonts w:cs="Arial"/>
                <w:szCs w:val="20"/>
              </w:rPr>
              <w:t xml:space="preserve"> in</w:t>
            </w:r>
            <w:r w:rsidR="0092245E" w:rsidRPr="00545C23">
              <w:rPr>
                <w:rFonts w:cs="Arial"/>
                <w:szCs w:val="20"/>
              </w:rPr>
              <w:t xml:space="preserve"> dodaja opredelitev pojma »kreditna institucija«.</w:t>
            </w:r>
          </w:p>
          <w:p w14:paraId="6D3B369C" w14:textId="77777777" w:rsidR="005F1B6B" w:rsidRPr="00545C23" w:rsidRDefault="005F1B6B" w:rsidP="0004335F">
            <w:pPr>
              <w:spacing w:line="240" w:lineRule="auto"/>
              <w:jc w:val="both"/>
              <w:rPr>
                <w:rFonts w:cs="Arial"/>
                <w:szCs w:val="20"/>
              </w:rPr>
            </w:pPr>
          </w:p>
        </w:tc>
      </w:tr>
      <w:tr w:rsidR="00794674" w:rsidRPr="00732B0A" w14:paraId="06C95A5E" w14:textId="77777777" w:rsidTr="00794674">
        <w:tc>
          <w:tcPr>
            <w:tcW w:w="9163" w:type="dxa"/>
            <w:gridSpan w:val="4"/>
          </w:tcPr>
          <w:p w14:paraId="2062BBBF" w14:textId="77777777" w:rsidR="00794674" w:rsidRPr="00732B0A" w:rsidRDefault="00794674" w:rsidP="00D0002D">
            <w:pPr>
              <w:pStyle w:val="Brezrazmikov"/>
              <w:rPr>
                <w:rFonts w:cs="Arial"/>
                <w:szCs w:val="20"/>
                <w:lang w:val="sl-SI"/>
              </w:rPr>
            </w:pPr>
            <w:r w:rsidRPr="00732B0A">
              <w:rPr>
                <w:rFonts w:cs="Arial"/>
                <w:szCs w:val="20"/>
                <w:lang w:val="sl-SI"/>
              </w:rPr>
              <w:t>6. Presoja posledic za:</w:t>
            </w:r>
          </w:p>
        </w:tc>
      </w:tr>
      <w:tr w:rsidR="00794674" w:rsidRPr="00732B0A" w14:paraId="7DB618C8" w14:textId="77777777" w:rsidTr="00794674">
        <w:tc>
          <w:tcPr>
            <w:tcW w:w="1448" w:type="dxa"/>
          </w:tcPr>
          <w:p w14:paraId="759C82AA" w14:textId="77777777" w:rsidR="00794674" w:rsidRPr="00732B0A" w:rsidRDefault="00794674" w:rsidP="00D0002D">
            <w:pPr>
              <w:pStyle w:val="Brezrazmikov"/>
              <w:rPr>
                <w:rFonts w:cs="Arial"/>
                <w:iCs/>
                <w:szCs w:val="20"/>
                <w:lang w:val="sl-SI"/>
              </w:rPr>
            </w:pPr>
            <w:r w:rsidRPr="00732B0A">
              <w:rPr>
                <w:rFonts w:cs="Arial"/>
                <w:iCs/>
                <w:szCs w:val="20"/>
                <w:lang w:val="sl-SI"/>
              </w:rPr>
              <w:t>a)</w:t>
            </w:r>
          </w:p>
        </w:tc>
        <w:tc>
          <w:tcPr>
            <w:tcW w:w="5444" w:type="dxa"/>
            <w:gridSpan w:val="2"/>
          </w:tcPr>
          <w:p w14:paraId="104DAEA5" w14:textId="77777777" w:rsidR="00794674" w:rsidRPr="00732B0A" w:rsidRDefault="00794674" w:rsidP="00D0002D">
            <w:pPr>
              <w:pStyle w:val="Brezrazmikov"/>
              <w:rPr>
                <w:rFonts w:cs="Arial"/>
                <w:szCs w:val="20"/>
                <w:lang w:val="sl-SI"/>
              </w:rPr>
            </w:pPr>
            <w:r w:rsidRPr="00732B0A">
              <w:rPr>
                <w:rFonts w:cs="Arial"/>
                <w:szCs w:val="20"/>
                <w:lang w:val="sl-SI"/>
              </w:rPr>
              <w:t>javnofinančna sredstva nad 40 000 EUR v tekočem in naslednjih treh letih</w:t>
            </w:r>
          </w:p>
        </w:tc>
        <w:tc>
          <w:tcPr>
            <w:tcW w:w="2271" w:type="dxa"/>
          </w:tcPr>
          <w:p w14:paraId="0F319F39"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37F49A32" w14:textId="77777777" w:rsidTr="00794674">
        <w:tc>
          <w:tcPr>
            <w:tcW w:w="1448" w:type="dxa"/>
          </w:tcPr>
          <w:p w14:paraId="4DE1B102" w14:textId="77777777" w:rsidR="00794674" w:rsidRPr="00732B0A" w:rsidRDefault="00794674" w:rsidP="00D0002D">
            <w:pPr>
              <w:pStyle w:val="Brezrazmikov"/>
              <w:rPr>
                <w:rFonts w:cs="Arial"/>
                <w:iCs/>
                <w:szCs w:val="20"/>
                <w:lang w:val="sl-SI"/>
              </w:rPr>
            </w:pPr>
            <w:r w:rsidRPr="00732B0A">
              <w:rPr>
                <w:rFonts w:cs="Arial"/>
                <w:iCs/>
                <w:szCs w:val="20"/>
                <w:lang w:val="sl-SI"/>
              </w:rPr>
              <w:t>b)</w:t>
            </w:r>
          </w:p>
        </w:tc>
        <w:tc>
          <w:tcPr>
            <w:tcW w:w="5444" w:type="dxa"/>
            <w:gridSpan w:val="2"/>
          </w:tcPr>
          <w:p w14:paraId="66507968" w14:textId="77777777" w:rsidR="00794674" w:rsidRPr="00732B0A" w:rsidRDefault="00794674" w:rsidP="00D0002D">
            <w:pPr>
              <w:pStyle w:val="Brezrazmikov"/>
              <w:rPr>
                <w:rFonts w:cs="Arial"/>
                <w:iCs/>
                <w:szCs w:val="20"/>
                <w:lang w:val="sl-SI"/>
              </w:rPr>
            </w:pPr>
            <w:r w:rsidRPr="00732B0A">
              <w:rPr>
                <w:rFonts w:cs="Arial"/>
                <w:bCs/>
                <w:szCs w:val="20"/>
                <w:lang w:val="sl-SI"/>
              </w:rPr>
              <w:t>usklajenost slovenskega pravnega reda s pravnim redom Evropske unije</w:t>
            </w:r>
          </w:p>
        </w:tc>
        <w:tc>
          <w:tcPr>
            <w:tcW w:w="2271" w:type="dxa"/>
          </w:tcPr>
          <w:p w14:paraId="384E8943" w14:textId="77777777" w:rsidR="00794674" w:rsidRPr="00732B0A" w:rsidRDefault="00794674" w:rsidP="00794674">
            <w:pPr>
              <w:pStyle w:val="Brezrazmikov"/>
              <w:jc w:val="center"/>
              <w:rPr>
                <w:rFonts w:cs="Arial"/>
                <w:iCs/>
                <w:szCs w:val="20"/>
                <w:lang w:val="sl-SI"/>
              </w:rPr>
            </w:pPr>
            <w:r w:rsidRPr="00732B0A">
              <w:rPr>
                <w:rFonts w:cs="Arial"/>
                <w:iCs/>
                <w:szCs w:val="20"/>
                <w:lang w:val="sl-SI"/>
              </w:rPr>
              <w:t>DA</w:t>
            </w:r>
          </w:p>
        </w:tc>
      </w:tr>
      <w:tr w:rsidR="00794674" w:rsidRPr="00732B0A" w14:paraId="1E3BAD75" w14:textId="77777777" w:rsidTr="00794674">
        <w:tc>
          <w:tcPr>
            <w:tcW w:w="1448" w:type="dxa"/>
          </w:tcPr>
          <w:p w14:paraId="3DCC3540" w14:textId="77777777" w:rsidR="00794674" w:rsidRPr="00732B0A" w:rsidRDefault="00794674" w:rsidP="00D0002D">
            <w:pPr>
              <w:pStyle w:val="Brezrazmikov"/>
              <w:rPr>
                <w:rFonts w:cs="Arial"/>
                <w:iCs/>
                <w:szCs w:val="20"/>
                <w:lang w:val="sl-SI"/>
              </w:rPr>
            </w:pPr>
            <w:r w:rsidRPr="00732B0A">
              <w:rPr>
                <w:rFonts w:cs="Arial"/>
                <w:iCs/>
                <w:szCs w:val="20"/>
                <w:lang w:val="sl-SI"/>
              </w:rPr>
              <w:t>c)</w:t>
            </w:r>
          </w:p>
        </w:tc>
        <w:tc>
          <w:tcPr>
            <w:tcW w:w="5444" w:type="dxa"/>
            <w:gridSpan w:val="2"/>
          </w:tcPr>
          <w:p w14:paraId="5E239DDB" w14:textId="77777777" w:rsidR="00794674" w:rsidRPr="00732B0A" w:rsidRDefault="00794674" w:rsidP="00D0002D">
            <w:pPr>
              <w:pStyle w:val="Brezrazmikov"/>
              <w:rPr>
                <w:rFonts w:cs="Arial"/>
                <w:iCs/>
                <w:szCs w:val="20"/>
                <w:lang w:val="sl-SI"/>
              </w:rPr>
            </w:pPr>
            <w:r w:rsidRPr="00732B0A">
              <w:rPr>
                <w:rFonts w:cs="Arial"/>
                <w:szCs w:val="20"/>
                <w:lang w:val="sl-SI"/>
              </w:rPr>
              <w:t>administrativne posledice</w:t>
            </w:r>
          </w:p>
        </w:tc>
        <w:tc>
          <w:tcPr>
            <w:tcW w:w="2271" w:type="dxa"/>
          </w:tcPr>
          <w:p w14:paraId="176BD0F3"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681552A8" w14:textId="77777777" w:rsidTr="00794674">
        <w:tc>
          <w:tcPr>
            <w:tcW w:w="1448" w:type="dxa"/>
          </w:tcPr>
          <w:p w14:paraId="727A174D" w14:textId="77777777" w:rsidR="00794674" w:rsidRPr="00732B0A" w:rsidRDefault="00794674" w:rsidP="00D0002D">
            <w:pPr>
              <w:pStyle w:val="Brezrazmikov"/>
              <w:rPr>
                <w:rFonts w:cs="Arial"/>
                <w:iCs/>
                <w:szCs w:val="20"/>
                <w:lang w:val="sl-SI"/>
              </w:rPr>
            </w:pPr>
            <w:r w:rsidRPr="00732B0A">
              <w:rPr>
                <w:rFonts w:cs="Arial"/>
                <w:iCs/>
                <w:szCs w:val="20"/>
                <w:lang w:val="sl-SI"/>
              </w:rPr>
              <w:t>č)</w:t>
            </w:r>
          </w:p>
        </w:tc>
        <w:tc>
          <w:tcPr>
            <w:tcW w:w="5444" w:type="dxa"/>
            <w:gridSpan w:val="2"/>
          </w:tcPr>
          <w:p w14:paraId="50DCCED8" w14:textId="77777777" w:rsidR="00794674" w:rsidRPr="00732B0A" w:rsidRDefault="00794674" w:rsidP="00D0002D">
            <w:pPr>
              <w:pStyle w:val="Brezrazmikov"/>
              <w:rPr>
                <w:rFonts w:cs="Arial"/>
                <w:bCs/>
                <w:szCs w:val="20"/>
                <w:lang w:val="sl-SI"/>
              </w:rPr>
            </w:pPr>
            <w:r w:rsidRPr="00732B0A">
              <w:rPr>
                <w:rFonts w:cs="Arial"/>
                <w:szCs w:val="20"/>
                <w:lang w:val="sl-SI"/>
              </w:rPr>
              <w:t>gospodarstvo, zlasti</w:t>
            </w:r>
            <w:r w:rsidRPr="00732B0A">
              <w:rPr>
                <w:rFonts w:cs="Arial"/>
                <w:bCs/>
                <w:szCs w:val="20"/>
                <w:lang w:val="sl-SI"/>
              </w:rPr>
              <w:t xml:space="preserve"> mala in srednja podjetja ter konkurenčnost podjetij</w:t>
            </w:r>
          </w:p>
        </w:tc>
        <w:tc>
          <w:tcPr>
            <w:tcW w:w="2271" w:type="dxa"/>
          </w:tcPr>
          <w:p w14:paraId="41F827A2" w14:textId="77777777" w:rsidR="00794674" w:rsidRPr="00732B0A" w:rsidRDefault="00DE3755" w:rsidP="00794674">
            <w:pPr>
              <w:pStyle w:val="Brezrazmikov"/>
              <w:jc w:val="center"/>
              <w:rPr>
                <w:rFonts w:cs="Arial"/>
                <w:iCs/>
                <w:szCs w:val="20"/>
                <w:lang w:val="sl-SI"/>
              </w:rPr>
            </w:pPr>
            <w:r w:rsidRPr="00732B0A">
              <w:rPr>
                <w:rFonts w:cs="Arial"/>
                <w:szCs w:val="20"/>
                <w:lang w:val="sl-SI"/>
              </w:rPr>
              <w:t>NE</w:t>
            </w:r>
          </w:p>
        </w:tc>
      </w:tr>
      <w:tr w:rsidR="00794674" w:rsidRPr="00732B0A" w14:paraId="7A398E84" w14:textId="77777777" w:rsidTr="00794674">
        <w:tc>
          <w:tcPr>
            <w:tcW w:w="1448" w:type="dxa"/>
          </w:tcPr>
          <w:p w14:paraId="1510EAF3" w14:textId="77777777" w:rsidR="00794674" w:rsidRPr="00732B0A" w:rsidRDefault="00794674" w:rsidP="00D0002D">
            <w:pPr>
              <w:pStyle w:val="Brezrazmikov"/>
              <w:rPr>
                <w:rFonts w:cs="Arial"/>
                <w:iCs/>
                <w:szCs w:val="20"/>
                <w:lang w:val="sl-SI"/>
              </w:rPr>
            </w:pPr>
            <w:r w:rsidRPr="00732B0A">
              <w:rPr>
                <w:rFonts w:cs="Arial"/>
                <w:iCs/>
                <w:szCs w:val="20"/>
                <w:lang w:val="sl-SI"/>
              </w:rPr>
              <w:t>d)</w:t>
            </w:r>
          </w:p>
        </w:tc>
        <w:tc>
          <w:tcPr>
            <w:tcW w:w="5444" w:type="dxa"/>
            <w:gridSpan w:val="2"/>
          </w:tcPr>
          <w:p w14:paraId="45121FAE" w14:textId="77777777" w:rsidR="00794674" w:rsidRPr="00732B0A" w:rsidRDefault="00794674" w:rsidP="00D0002D">
            <w:pPr>
              <w:pStyle w:val="Brezrazmikov"/>
              <w:rPr>
                <w:rFonts w:cs="Arial"/>
                <w:bCs/>
                <w:szCs w:val="20"/>
                <w:lang w:val="sl-SI"/>
              </w:rPr>
            </w:pPr>
            <w:r w:rsidRPr="00732B0A">
              <w:rPr>
                <w:rFonts w:cs="Arial"/>
                <w:bCs/>
                <w:szCs w:val="20"/>
                <w:lang w:val="sl-SI"/>
              </w:rPr>
              <w:t>okolje, vključno s prostorskimi in varstvenimi vidik</w:t>
            </w:r>
            <w:r w:rsidR="001B13E2" w:rsidRPr="00732B0A">
              <w:rPr>
                <w:rFonts w:cs="Arial"/>
                <w:bCs/>
                <w:szCs w:val="20"/>
                <w:lang w:val="sl-SI"/>
              </w:rPr>
              <w:t>i</w:t>
            </w:r>
          </w:p>
        </w:tc>
        <w:tc>
          <w:tcPr>
            <w:tcW w:w="2271" w:type="dxa"/>
          </w:tcPr>
          <w:p w14:paraId="635620EA"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62DB9BD4" w14:textId="77777777" w:rsidTr="00794674">
        <w:tc>
          <w:tcPr>
            <w:tcW w:w="1448" w:type="dxa"/>
          </w:tcPr>
          <w:p w14:paraId="0D1D522C" w14:textId="77777777" w:rsidR="00794674" w:rsidRPr="00732B0A" w:rsidRDefault="00794674" w:rsidP="00D0002D">
            <w:pPr>
              <w:pStyle w:val="Brezrazmikov"/>
              <w:rPr>
                <w:rFonts w:cs="Arial"/>
                <w:iCs/>
                <w:szCs w:val="20"/>
                <w:lang w:val="sl-SI"/>
              </w:rPr>
            </w:pPr>
            <w:r w:rsidRPr="00732B0A">
              <w:rPr>
                <w:rFonts w:cs="Arial"/>
                <w:iCs/>
                <w:szCs w:val="20"/>
                <w:lang w:val="sl-SI"/>
              </w:rPr>
              <w:t>e)</w:t>
            </w:r>
          </w:p>
        </w:tc>
        <w:tc>
          <w:tcPr>
            <w:tcW w:w="5444" w:type="dxa"/>
            <w:gridSpan w:val="2"/>
          </w:tcPr>
          <w:p w14:paraId="38E60AF9" w14:textId="77777777" w:rsidR="00794674" w:rsidRPr="00732B0A" w:rsidRDefault="00794674" w:rsidP="00D0002D">
            <w:pPr>
              <w:pStyle w:val="Brezrazmikov"/>
              <w:rPr>
                <w:rFonts w:cs="Arial"/>
                <w:bCs/>
                <w:szCs w:val="20"/>
                <w:lang w:val="sl-SI"/>
              </w:rPr>
            </w:pPr>
            <w:r w:rsidRPr="00732B0A">
              <w:rPr>
                <w:rFonts w:cs="Arial"/>
                <w:bCs/>
                <w:szCs w:val="20"/>
                <w:lang w:val="sl-SI"/>
              </w:rPr>
              <w:t>socialno področje</w:t>
            </w:r>
          </w:p>
        </w:tc>
        <w:tc>
          <w:tcPr>
            <w:tcW w:w="2271" w:type="dxa"/>
          </w:tcPr>
          <w:p w14:paraId="6C3FB3A4" w14:textId="77777777" w:rsidR="00794674" w:rsidRPr="00732B0A" w:rsidRDefault="004F40BD" w:rsidP="00794674">
            <w:pPr>
              <w:pStyle w:val="Brezrazmikov"/>
              <w:jc w:val="center"/>
              <w:rPr>
                <w:rFonts w:cs="Arial"/>
                <w:iCs/>
                <w:szCs w:val="20"/>
                <w:lang w:val="sl-SI"/>
              </w:rPr>
            </w:pPr>
            <w:r w:rsidRPr="00732B0A">
              <w:rPr>
                <w:rFonts w:cs="Arial"/>
                <w:iCs/>
                <w:szCs w:val="20"/>
                <w:lang w:val="sl-SI"/>
              </w:rPr>
              <w:t>NE</w:t>
            </w:r>
          </w:p>
        </w:tc>
      </w:tr>
      <w:tr w:rsidR="00794674" w:rsidRPr="00732B0A" w14:paraId="24BD162A" w14:textId="77777777" w:rsidTr="00794674">
        <w:tc>
          <w:tcPr>
            <w:tcW w:w="1448" w:type="dxa"/>
          </w:tcPr>
          <w:p w14:paraId="1DF5FA98" w14:textId="77777777" w:rsidR="00794674" w:rsidRPr="00732B0A" w:rsidRDefault="00794674" w:rsidP="00D0002D">
            <w:pPr>
              <w:pStyle w:val="Brezrazmikov"/>
              <w:rPr>
                <w:rFonts w:cs="Arial"/>
                <w:iCs/>
                <w:szCs w:val="20"/>
                <w:lang w:val="sl-SI"/>
              </w:rPr>
            </w:pPr>
            <w:r w:rsidRPr="00732B0A">
              <w:rPr>
                <w:rFonts w:cs="Arial"/>
                <w:iCs/>
                <w:szCs w:val="20"/>
                <w:lang w:val="sl-SI"/>
              </w:rPr>
              <w:t>f)</w:t>
            </w:r>
          </w:p>
        </w:tc>
        <w:tc>
          <w:tcPr>
            <w:tcW w:w="5444" w:type="dxa"/>
            <w:gridSpan w:val="2"/>
          </w:tcPr>
          <w:p w14:paraId="009B6640" w14:textId="77777777" w:rsidR="00794674" w:rsidRPr="00732B0A" w:rsidRDefault="00794674" w:rsidP="00D0002D">
            <w:pPr>
              <w:pStyle w:val="Brezrazmikov"/>
              <w:rPr>
                <w:rFonts w:cs="Arial"/>
                <w:bCs/>
                <w:szCs w:val="20"/>
                <w:lang w:val="sl-SI"/>
              </w:rPr>
            </w:pPr>
            <w:r w:rsidRPr="00732B0A">
              <w:rPr>
                <w:rFonts w:cs="Arial"/>
                <w:bCs/>
                <w:szCs w:val="20"/>
                <w:lang w:val="sl-SI"/>
              </w:rPr>
              <w:t>dokumente razvojnega načrtovanja:</w:t>
            </w:r>
          </w:p>
          <w:p w14:paraId="64AE4E3C" w14:textId="77777777" w:rsidR="00794674" w:rsidRPr="00732B0A" w:rsidRDefault="00794674" w:rsidP="00D0002D">
            <w:pPr>
              <w:pStyle w:val="Brezrazmikov"/>
              <w:numPr>
                <w:ilvl w:val="0"/>
                <w:numId w:val="5"/>
              </w:numPr>
              <w:tabs>
                <w:tab w:val="clear" w:pos="600"/>
                <w:tab w:val="num" w:pos="444"/>
              </w:tabs>
              <w:ind w:hanging="456"/>
              <w:rPr>
                <w:rFonts w:cs="Arial"/>
                <w:bCs/>
                <w:szCs w:val="20"/>
                <w:lang w:val="sl-SI"/>
              </w:rPr>
            </w:pPr>
            <w:r w:rsidRPr="00732B0A">
              <w:rPr>
                <w:rFonts w:cs="Arial"/>
                <w:bCs/>
                <w:szCs w:val="20"/>
                <w:lang w:val="sl-SI"/>
              </w:rPr>
              <w:t>nacionalne dokumente razvojnega načrtovanja,</w:t>
            </w:r>
          </w:p>
          <w:p w14:paraId="0DFC3B5A" w14:textId="77777777" w:rsidR="00794674" w:rsidRPr="00732B0A" w:rsidRDefault="00794674" w:rsidP="00D0002D">
            <w:pPr>
              <w:pStyle w:val="Brezrazmikov"/>
              <w:numPr>
                <w:ilvl w:val="0"/>
                <w:numId w:val="5"/>
              </w:numPr>
              <w:tabs>
                <w:tab w:val="clear" w:pos="600"/>
                <w:tab w:val="num" w:pos="444"/>
              </w:tabs>
              <w:ind w:left="444" w:hanging="300"/>
              <w:rPr>
                <w:rFonts w:cs="Arial"/>
                <w:bCs/>
                <w:szCs w:val="20"/>
                <w:lang w:val="sl-SI"/>
              </w:rPr>
            </w:pPr>
            <w:r w:rsidRPr="00732B0A">
              <w:rPr>
                <w:rFonts w:cs="Arial"/>
                <w:bCs/>
                <w:szCs w:val="20"/>
                <w:lang w:val="sl-SI"/>
              </w:rPr>
              <w:t>razvojne politike na ravni programov po strukturi razvojne klasifikacije programskega proračuna</w:t>
            </w:r>
          </w:p>
          <w:p w14:paraId="207DABB0" w14:textId="77777777" w:rsidR="00794674" w:rsidRPr="00732B0A" w:rsidRDefault="00794674" w:rsidP="00D0002D">
            <w:pPr>
              <w:pStyle w:val="Brezrazmikov"/>
              <w:numPr>
                <w:ilvl w:val="0"/>
                <w:numId w:val="5"/>
              </w:numPr>
              <w:tabs>
                <w:tab w:val="clear" w:pos="600"/>
                <w:tab w:val="num" w:pos="444"/>
              </w:tabs>
              <w:ind w:left="344" w:hanging="200"/>
              <w:rPr>
                <w:rFonts w:cs="Arial"/>
                <w:bCs/>
                <w:szCs w:val="20"/>
                <w:lang w:val="sl-SI"/>
              </w:rPr>
            </w:pPr>
            <w:r w:rsidRPr="00732B0A">
              <w:rPr>
                <w:rFonts w:cs="Arial"/>
                <w:bCs/>
                <w:szCs w:val="20"/>
                <w:lang w:val="sl-SI"/>
              </w:rPr>
              <w:t>razvojne dokumente Evropske unije in mednarodnih organizacij</w:t>
            </w:r>
          </w:p>
        </w:tc>
        <w:tc>
          <w:tcPr>
            <w:tcW w:w="2271" w:type="dxa"/>
          </w:tcPr>
          <w:p w14:paraId="10303710" w14:textId="77777777" w:rsidR="00794674" w:rsidRPr="00732B0A" w:rsidRDefault="00794674" w:rsidP="00794674">
            <w:pPr>
              <w:pStyle w:val="Brezrazmikov"/>
              <w:jc w:val="center"/>
              <w:rPr>
                <w:rFonts w:cs="Arial"/>
                <w:iCs/>
                <w:szCs w:val="20"/>
                <w:lang w:val="sl-SI"/>
              </w:rPr>
            </w:pPr>
            <w:r w:rsidRPr="00732B0A">
              <w:rPr>
                <w:rFonts w:cs="Arial"/>
                <w:szCs w:val="20"/>
                <w:lang w:val="sl-SI"/>
              </w:rPr>
              <w:t>NE</w:t>
            </w:r>
          </w:p>
        </w:tc>
      </w:tr>
      <w:tr w:rsidR="00794674" w:rsidRPr="00732B0A" w14:paraId="492A461D" w14:textId="77777777" w:rsidTr="00794674">
        <w:tc>
          <w:tcPr>
            <w:tcW w:w="9163" w:type="dxa"/>
            <w:gridSpan w:val="4"/>
          </w:tcPr>
          <w:p w14:paraId="05080953"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7.a Predstavitev ocene finančnih posledic nad 40 000 EUR</w:t>
            </w:r>
          </w:p>
          <w:p w14:paraId="205A743F" w14:textId="77777777" w:rsidR="00794674" w:rsidRPr="00732B0A" w:rsidRDefault="00794674" w:rsidP="00D0002D">
            <w:pPr>
              <w:pStyle w:val="Brezrazmikov"/>
              <w:rPr>
                <w:rFonts w:cs="Arial"/>
                <w:b/>
                <w:szCs w:val="20"/>
                <w:lang w:val="sl-SI"/>
              </w:rPr>
            </w:pPr>
            <w:r w:rsidRPr="00732B0A">
              <w:rPr>
                <w:rFonts w:cs="Arial"/>
                <w:b/>
                <w:szCs w:val="20"/>
                <w:lang w:val="sl-SI"/>
              </w:rPr>
              <w:t>/</w:t>
            </w:r>
          </w:p>
        </w:tc>
      </w:tr>
      <w:tr w:rsidR="00794674" w:rsidRPr="00732B0A" w14:paraId="70C7AC1A" w14:textId="77777777" w:rsidTr="00794674">
        <w:trPr>
          <w:trHeight w:val="1910"/>
        </w:trPr>
        <w:tc>
          <w:tcPr>
            <w:tcW w:w="9163" w:type="dxa"/>
            <w:gridSpan w:val="4"/>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085"/>
              <w:gridCol w:w="1149"/>
              <w:gridCol w:w="424"/>
              <w:gridCol w:w="1181"/>
              <w:gridCol w:w="702"/>
              <w:gridCol w:w="703"/>
              <w:gridCol w:w="1510"/>
            </w:tblGrid>
            <w:tr w:rsidR="00794674" w:rsidRPr="00732B0A" w14:paraId="61969E2C" w14:textId="77777777" w:rsidTr="00794674">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D0AD55"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 Ocena finančnih posledic, ki niso načrtovane v sprejetem proračunu</w:t>
                  </w:r>
                </w:p>
              </w:tc>
            </w:tr>
            <w:tr w:rsidR="00794674" w:rsidRPr="00732B0A" w14:paraId="778913F5" w14:textId="77777777" w:rsidTr="00794674">
              <w:trPr>
                <w:cantSplit/>
                <w:trHeight w:val="276"/>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A3EE768" w14:textId="77777777" w:rsidR="00794674" w:rsidRPr="00732B0A" w:rsidRDefault="00794674" w:rsidP="00D0002D">
                  <w:pPr>
                    <w:pStyle w:val="Brezrazmikov"/>
                    <w:jc w:val="center"/>
                    <w:rPr>
                      <w:rFonts w:cs="Arial"/>
                      <w:szCs w:val="20"/>
                      <w:lang w:val="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A40706E" w14:textId="77777777" w:rsidR="00794674" w:rsidRPr="00732B0A" w:rsidRDefault="00794674" w:rsidP="00D0002D">
                  <w:pPr>
                    <w:pStyle w:val="Brezrazmikov"/>
                    <w:jc w:val="center"/>
                    <w:rPr>
                      <w:rFonts w:cs="Arial"/>
                      <w:szCs w:val="20"/>
                      <w:lang w:val="sl-SI"/>
                    </w:rPr>
                  </w:pPr>
                  <w:r w:rsidRPr="00732B0A">
                    <w:rPr>
                      <w:rFonts w:cs="Arial"/>
                      <w:szCs w:val="20"/>
                      <w:lang w:val="sl-SI"/>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6525D1CC" w14:textId="77777777" w:rsidR="00794674" w:rsidRPr="00732B0A" w:rsidRDefault="00794674" w:rsidP="00D0002D">
                  <w:pPr>
                    <w:pStyle w:val="Brezrazmikov"/>
                    <w:jc w:val="center"/>
                    <w:rPr>
                      <w:rFonts w:cs="Arial"/>
                      <w:szCs w:val="20"/>
                      <w:lang w:val="sl-SI"/>
                    </w:rPr>
                  </w:pPr>
                  <w:r w:rsidRPr="00732B0A">
                    <w:rPr>
                      <w:rFonts w:cs="Arial"/>
                      <w:szCs w:val="20"/>
                      <w:lang w:val="sl-SI"/>
                    </w:rPr>
                    <w:t>t + 1</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6EE74E5" w14:textId="77777777" w:rsidR="00794674" w:rsidRPr="00732B0A" w:rsidRDefault="00794674" w:rsidP="00D0002D">
                  <w:pPr>
                    <w:pStyle w:val="Brezrazmikov"/>
                    <w:jc w:val="center"/>
                    <w:rPr>
                      <w:rFonts w:cs="Arial"/>
                      <w:szCs w:val="20"/>
                      <w:lang w:val="sl-SI"/>
                    </w:rPr>
                  </w:pPr>
                  <w:r w:rsidRPr="00732B0A">
                    <w:rPr>
                      <w:rFonts w:cs="Arial"/>
                      <w:szCs w:val="20"/>
                      <w:lang w:val="sl-SI"/>
                    </w:rPr>
                    <w:t>t + 2</w:t>
                  </w:r>
                </w:p>
              </w:tc>
              <w:tc>
                <w:tcPr>
                  <w:tcW w:w="1510" w:type="dxa"/>
                  <w:tcBorders>
                    <w:top w:val="single" w:sz="4" w:space="0" w:color="auto"/>
                    <w:left w:val="single" w:sz="4" w:space="0" w:color="auto"/>
                    <w:bottom w:val="single" w:sz="4" w:space="0" w:color="auto"/>
                    <w:right w:val="single" w:sz="4" w:space="0" w:color="auto"/>
                  </w:tcBorders>
                  <w:vAlign w:val="center"/>
                </w:tcPr>
                <w:p w14:paraId="350763B6" w14:textId="77777777" w:rsidR="00794674" w:rsidRPr="00732B0A" w:rsidRDefault="00794674" w:rsidP="00D0002D">
                  <w:pPr>
                    <w:pStyle w:val="Brezrazmikov"/>
                    <w:jc w:val="center"/>
                    <w:rPr>
                      <w:rFonts w:cs="Arial"/>
                      <w:szCs w:val="20"/>
                      <w:lang w:val="sl-SI"/>
                    </w:rPr>
                  </w:pPr>
                  <w:r w:rsidRPr="00732B0A">
                    <w:rPr>
                      <w:rFonts w:cs="Arial"/>
                      <w:szCs w:val="20"/>
                      <w:lang w:val="sl-SI"/>
                    </w:rPr>
                    <w:t>t + 3</w:t>
                  </w:r>
                </w:p>
              </w:tc>
            </w:tr>
            <w:tr w:rsidR="00794674" w:rsidRPr="00732B0A" w14:paraId="3629FEBB"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0CF8BD9"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prihodkov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534E8C3"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29D24E05"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407CCBE"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A464DF8" w14:textId="77777777" w:rsidR="00794674" w:rsidRPr="00732B0A" w:rsidRDefault="00794674" w:rsidP="00D0002D">
                  <w:pPr>
                    <w:pStyle w:val="Brezrazmikov"/>
                    <w:rPr>
                      <w:rFonts w:cs="Arial"/>
                      <w:b/>
                      <w:bCs/>
                      <w:szCs w:val="20"/>
                      <w:lang w:val="sl-SI" w:eastAsia="sl-SI"/>
                    </w:rPr>
                  </w:pPr>
                </w:p>
              </w:tc>
            </w:tr>
            <w:tr w:rsidR="00794674" w:rsidRPr="00732B0A" w14:paraId="798BEF4A"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41E2B65"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prihodkov občinskih proračunov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47384E8"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2EBE6923"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9D427AC"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B02E806" w14:textId="77777777" w:rsidR="00794674" w:rsidRPr="00732B0A" w:rsidRDefault="00794674" w:rsidP="00D0002D">
                  <w:pPr>
                    <w:pStyle w:val="Brezrazmikov"/>
                    <w:rPr>
                      <w:rFonts w:cs="Arial"/>
                      <w:b/>
                      <w:bCs/>
                      <w:szCs w:val="20"/>
                      <w:lang w:val="sl-SI" w:eastAsia="sl-SI"/>
                    </w:rPr>
                  </w:pPr>
                </w:p>
              </w:tc>
            </w:tr>
            <w:tr w:rsidR="00794674" w:rsidRPr="00732B0A" w14:paraId="4EDD2DC3"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867E42B" w14:textId="77777777" w:rsidR="00794674" w:rsidRPr="00732B0A" w:rsidRDefault="00794674" w:rsidP="00D0002D">
                  <w:pPr>
                    <w:pStyle w:val="Brezrazmikov"/>
                    <w:rPr>
                      <w:rFonts w:cs="Arial"/>
                      <w:bCs/>
                      <w:szCs w:val="20"/>
                      <w:lang w:val="sl-SI"/>
                    </w:rPr>
                  </w:pPr>
                  <w:r w:rsidRPr="00732B0A">
                    <w:rPr>
                      <w:rFonts w:cs="Arial"/>
                      <w:bCs/>
                      <w:szCs w:val="20"/>
                      <w:lang w:val="sl-SI"/>
                    </w:rPr>
                    <w:t xml:space="preserve">Predvideno povečanje (+) ali zmanjšanje (–) odhodkov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4A909E2" w14:textId="77777777" w:rsidR="00794674" w:rsidRPr="00732B0A" w:rsidRDefault="00794674" w:rsidP="00D0002D">
                  <w:pPr>
                    <w:pStyle w:val="Brezrazmikov"/>
                    <w:rPr>
                      <w:rFonts w:cs="Arial"/>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33ECE8C9" w14:textId="77777777" w:rsidR="00794674" w:rsidRPr="00732B0A" w:rsidRDefault="00794674" w:rsidP="00D0002D">
                  <w:pPr>
                    <w:pStyle w:val="Brezrazmikov"/>
                    <w:rPr>
                      <w:rFonts w:cs="Arial"/>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2AB3E03" w14:textId="77777777" w:rsidR="00794674" w:rsidRPr="00732B0A" w:rsidRDefault="00794674" w:rsidP="00D0002D">
                  <w:pPr>
                    <w:pStyle w:val="Brezrazmikov"/>
                    <w:rPr>
                      <w:rFonts w:cs="Arial"/>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E76CE83" w14:textId="77777777" w:rsidR="00794674" w:rsidRPr="00732B0A" w:rsidRDefault="00794674" w:rsidP="00D0002D">
                  <w:pPr>
                    <w:pStyle w:val="Brezrazmikov"/>
                    <w:rPr>
                      <w:rFonts w:cs="Arial"/>
                      <w:szCs w:val="20"/>
                      <w:lang w:val="sl-SI"/>
                    </w:rPr>
                  </w:pPr>
                </w:p>
              </w:tc>
            </w:tr>
            <w:tr w:rsidR="00794674" w:rsidRPr="00732B0A" w14:paraId="509C8AD6" w14:textId="77777777" w:rsidTr="00794674">
              <w:trPr>
                <w:cantSplit/>
                <w:trHeight w:val="6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16317832" w14:textId="77777777" w:rsidR="00794674" w:rsidRPr="00732B0A" w:rsidRDefault="00794674" w:rsidP="00D0002D">
                  <w:pPr>
                    <w:pStyle w:val="Brezrazmikov"/>
                    <w:rPr>
                      <w:rFonts w:cs="Arial"/>
                      <w:bCs/>
                      <w:szCs w:val="20"/>
                      <w:lang w:val="sl-SI"/>
                    </w:rPr>
                  </w:pPr>
                  <w:r w:rsidRPr="00732B0A">
                    <w:rPr>
                      <w:rFonts w:cs="Arial"/>
                      <w:bCs/>
                      <w:szCs w:val="20"/>
                      <w:lang w:val="sl-SI"/>
                    </w:rPr>
                    <w:t>Predvideno povečanje (+) ali zmanjšanje (–) odhodkov občinskih proračunov</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02DCCE4A" w14:textId="77777777" w:rsidR="00794674" w:rsidRPr="00732B0A" w:rsidRDefault="00794674" w:rsidP="00D0002D">
                  <w:pPr>
                    <w:pStyle w:val="Brezrazmikov"/>
                    <w:rPr>
                      <w:rFonts w:cs="Arial"/>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6BE2A23B" w14:textId="77777777" w:rsidR="00794674" w:rsidRPr="00732B0A" w:rsidRDefault="00794674" w:rsidP="00D0002D">
                  <w:pPr>
                    <w:pStyle w:val="Brezrazmikov"/>
                    <w:rPr>
                      <w:rFonts w:cs="Arial"/>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07697DC" w14:textId="77777777" w:rsidR="00794674" w:rsidRPr="00732B0A" w:rsidRDefault="00794674" w:rsidP="00D0002D">
                  <w:pPr>
                    <w:pStyle w:val="Brezrazmikov"/>
                    <w:rPr>
                      <w:rFonts w:cs="Arial"/>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10ACCF62" w14:textId="77777777" w:rsidR="00794674" w:rsidRPr="00732B0A" w:rsidRDefault="00794674" w:rsidP="00D0002D">
                  <w:pPr>
                    <w:pStyle w:val="Brezrazmikov"/>
                    <w:rPr>
                      <w:rFonts w:cs="Arial"/>
                      <w:szCs w:val="20"/>
                      <w:lang w:val="sl-SI"/>
                    </w:rPr>
                  </w:pPr>
                </w:p>
              </w:tc>
            </w:tr>
            <w:tr w:rsidR="00794674" w:rsidRPr="00732B0A" w14:paraId="6BD90CAE" w14:textId="77777777" w:rsidTr="00794674">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20872257" w14:textId="77777777" w:rsidR="00794674" w:rsidRPr="00732B0A" w:rsidRDefault="00794674" w:rsidP="00D0002D">
                  <w:pPr>
                    <w:pStyle w:val="Brezrazmikov"/>
                    <w:rPr>
                      <w:rFonts w:cs="Arial"/>
                      <w:bCs/>
                      <w:szCs w:val="20"/>
                      <w:lang w:val="sl-SI"/>
                    </w:rPr>
                  </w:pPr>
                  <w:r w:rsidRPr="00732B0A">
                    <w:rPr>
                      <w:rFonts w:cs="Arial"/>
                      <w:bCs/>
                      <w:szCs w:val="20"/>
                      <w:lang w:val="sl-SI"/>
                    </w:rPr>
                    <w:t>Predvideno povečanje (+) ali zmanjšanje (–) obveznosti za druga javnofinančna sredstva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B3D1AF9" w14:textId="77777777" w:rsidR="00794674" w:rsidRPr="00732B0A" w:rsidRDefault="00794674" w:rsidP="00D0002D">
                  <w:pPr>
                    <w:pStyle w:val="Brezrazmikov"/>
                    <w:rPr>
                      <w:rFonts w:cs="Arial"/>
                      <w:b/>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7240CB93"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ACEAFD4" w14:textId="77777777" w:rsidR="00794674" w:rsidRPr="00732B0A" w:rsidRDefault="00794674" w:rsidP="00D0002D">
                  <w:pPr>
                    <w:pStyle w:val="Brezrazmikov"/>
                    <w:rPr>
                      <w:rFonts w:cs="Arial"/>
                      <w:b/>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263C215F" w14:textId="77777777" w:rsidR="00794674" w:rsidRPr="00732B0A" w:rsidRDefault="00794674" w:rsidP="00D0002D">
                  <w:pPr>
                    <w:pStyle w:val="Brezrazmikov"/>
                    <w:rPr>
                      <w:rFonts w:cs="Arial"/>
                      <w:b/>
                      <w:bCs/>
                      <w:szCs w:val="20"/>
                      <w:lang w:val="sl-SI" w:eastAsia="sl-SI"/>
                    </w:rPr>
                  </w:pPr>
                </w:p>
              </w:tc>
            </w:tr>
            <w:tr w:rsidR="00794674" w:rsidRPr="00732B0A" w14:paraId="22396059" w14:textId="77777777" w:rsidTr="00794674">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C860E2"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II. Finančne posledice za državni proračun</w:t>
                  </w:r>
                </w:p>
              </w:tc>
            </w:tr>
            <w:tr w:rsidR="00794674" w:rsidRPr="00732B0A" w14:paraId="2BF1E6BA" w14:textId="77777777" w:rsidTr="00794674">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31EA30"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II.a. Pravice porabe za izvedbo predlaganih rešitev so zagotovljene:</w:t>
                  </w:r>
                </w:p>
              </w:tc>
            </w:tr>
            <w:tr w:rsidR="00794674" w:rsidRPr="00732B0A" w14:paraId="02E14D05" w14:textId="77777777" w:rsidTr="00794674">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7A2D4100" w14:textId="77777777" w:rsidR="00794674" w:rsidRPr="00732B0A" w:rsidRDefault="00794674" w:rsidP="00D0002D">
                  <w:pPr>
                    <w:pStyle w:val="Brezrazmikov"/>
                    <w:jc w:val="center"/>
                    <w:rPr>
                      <w:rFonts w:cs="Arial"/>
                      <w:szCs w:val="20"/>
                      <w:lang w:val="sl-SI"/>
                    </w:rPr>
                  </w:pPr>
                  <w:r w:rsidRPr="00732B0A">
                    <w:rPr>
                      <w:rFonts w:cs="Arial"/>
                      <w:szCs w:val="20"/>
                      <w:lang w:val="sl-SI"/>
                    </w:rPr>
                    <w:lastRenderedPageBreak/>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352393E0"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0ECC5C7"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66C2F20"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7F588B34" w14:textId="77777777" w:rsidR="00794674" w:rsidRPr="00732B0A" w:rsidRDefault="00794674" w:rsidP="00D0002D">
                  <w:pPr>
                    <w:pStyle w:val="Brezrazmikov"/>
                    <w:jc w:val="center"/>
                    <w:rPr>
                      <w:rFonts w:cs="Arial"/>
                      <w:szCs w:val="20"/>
                      <w:lang w:val="sl-SI"/>
                    </w:rPr>
                  </w:pPr>
                  <w:r w:rsidRPr="00732B0A">
                    <w:rPr>
                      <w:rFonts w:cs="Arial"/>
                      <w:szCs w:val="20"/>
                      <w:lang w:val="sl-SI"/>
                    </w:rPr>
                    <w:t>Znesek z t + 1</w:t>
                  </w:r>
                </w:p>
              </w:tc>
            </w:tr>
            <w:tr w:rsidR="00794674" w:rsidRPr="00732B0A" w14:paraId="63FB9E8B" w14:textId="77777777" w:rsidTr="00794674">
              <w:trPr>
                <w:cantSplit/>
                <w:trHeight w:val="328"/>
              </w:trPr>
              <w:tc>
                <w:tcPr>
                  <w:tcW w:w="2183" w:type="dxa"/>
                  <w:tcBorders>
                    <w:top w:val="single" w:sz="4" w:space="0" w:color="auto"/>
                    <w:left w:val="single" w:sz="4" w:space="0" w:color="auto"/>
                    <w:bottom w:val="single" w:sz="4" w:space="0" w:color="auto"/>
                    <w:right w:val="single" w:sz="4" w:space="0" w:color="auto"/>
                  </w:tcBorders>
                  <w:vAlign w:val="center"/>
                </w:tcPr>
                <w:p w14:paraId="18546780"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79135332"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56B90C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3A9D5C63"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41EE09D2" w14:textId="77777777" w:rsidR="00794674" w:rsidRPr="00732B0A" w:rsidRDefault="00794674" w:rsidP="00D0002D">
                  <w:pPr>
                    <w:pStyle w:val="Brezrazmikov"/>
                    <w:rPr>
                      <w:rFonts w:cs="Arial"/>
                      <w:b/>
                      <w:szCs w:val="20"/>
                      <w:lang w:val="sl-SI" w:eastAsia="sl-SI"/>
                    </w:rPr>
                  </w:pPr>
                </w:p>
              </w:tc>
            </w:tr>
            <w:tr w:rsidR="00794674" w:rsidRPr="00732B0A" w14:paraId="435AE9C2"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46FE31DB"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0CB85F6"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ADEFB5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75C412C"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493CFA4B" w14:textId="77777777" w:rsidR="00794674" w:rsidRPr="00732B0A" w:rsidRDefault="00794674" w:rsidP="00D0002D">
                  <w:pPr>
                    <w:pStyle w:val="Brezrazmikov"/>
                    <w:rPr>
                      <w:rFonts w:cs="Arial"/>
                      <w:b/>
                      <w:szCs w:val="20"/>
                      <w:lang w:val="sl-SI" w:eastAsia="sl-SI"/>
                    </w:rPr>
                  </w:pPr>
                </w:p>
              </w:tc>
            </w:tr>
            <w:tr w:rsidR="00794674" w:rsidRPr="00732B0A" w14:paraId="2ABC05FB" w14:textId="77777777" w:rsidTr="00794674">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11C6A181"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C2E862B" w14:textId="77777777" w:rsidR="00794674" w:rsidRPr="00732B0A" w:rsidRDefault="00794674" w:rsidP="00D0002D">
                  <w:pPr>
                    <w:pStyle w:val="Brezrazmikov"/>
                    <w:rPr>
                      <w:rFonts w:cs="Arial"/>
                      <w:b/>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6FDDCADA" w14:textId="77777777" w:rsidR="00794674" w:rsidRPr="00732B0A" w:rsidRDefault="00794674" w:rsidP="00D0002D">
                  <w:pPr>
                    <w:pStyle w:val="Brezrazmikov"/>
                    <w:rPr>
                      <w:rFonts w:cs="Arial"/>
                      <w:bCs/>
                      <w:szCs w:val="20"/>
                      <w:lang w:val="sl-SI" w:eastAsia="sl-SI"/>
                    </w:rPr>
                  </w:pPr>
                </w:p>
              </w:tc>
            </w:tr>
            <w:tr w:rsidR="00794674" w:rsidRPr="00732B0A" w14:paraId="113E6CCA" w14:textId="77777777" w:rsidTr="00794674">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3E4089"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II.b. Manjkajoče pravice porabe bodo zagotovljene s prerazporeditvijo:</w:t>
                  </w:r>
                </w:p>
              </w:tc>
            </w:tr>
            <w:tr w:rsidR="00794674" w:rsidRPr="00732B0A" w14:paraId="10266397" w14:textId="77777777" w:rsidTr="00794674">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22E02A85" w14:textId="77777777" w:rsidR="00794674" w:rsidRPr="00732B0A" w:rsidRDefault="00794674" w:rsidP="00D0002D">
                  <w:pPr>
                    <w:pStyle w:val="Brezrazmikov"/>
                    <w:jc w:val="center"/>
                    <w:rPr>
                      <w:rFonts w:cs="Arial"/>
                      <w:szCs w:val="20"/>
                      <w:lang w:val="sl-SI"/>
                    </w:rPr>
                  </w:pPr>
                  <w:r w:rsidRPr="00732B0A">
                    <w:rPr>
                      <w:rFonts w:cs="Arial"/>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0CCBFF72"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91364B3" w14:textId="77777777" w:rsidR="00794674" w:rsidRPr="00732B0A" w:rsidRDefault="00794674" w:rsidP="00D0002D">
                  <w:pPr>
                    <w:pStyle w:val="Brezrazmikov"/>
                    <w:jc w:val="center"/>
                    <w:rPr>
                      <w:rFonts w:cs="Arial"/>
                      <w:szCs w:val="20"/>
                      <w:lang w:val="sl-SI"/>
                    </w:rPr>
                  </w:pPr>
                  <w:r w:rsidRPr="00732B0A">
                    <w:rPr>
                      <w:rFonts w:cs="Arial"/>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80AE7EA"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656FE162"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 + 1</w:t>
                  </w:r>
                </w:p>
              </w:tc>
            </w:tr>
            <w:tr w:rsidR="00794674" w:rsidRPr="00732B0A" w14:paraId="0408B55E"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2BC75C6B"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A313011"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C0DC2AE"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6F28A7D"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01B7D23A" w14:textId="77777777" w:rsidR="00794674" w:rsidRPr="00732B0A" w:rsidRDefault="00794674" w:rsidP="00D0002D">
                  <w:pPr>
                    <w:pStyle w:val="Brezrazmikov"/>
                    <w:rPr>
                      <w:rFonts w:cs="Arial"/>
                      <w:b/>
                      <w:szCs w:val="20"/>
                      <w:lang w:val="sl-SI" w:eastAsia="sl-SI"/>
                    </w:rPr>
                  </w:pPr>
                </w:p>
              </w:tc>
            </w:tr>
            <w:tr w:rsidR="00794674" w:rsidRPr="00732B0A" w14:paraId="3E6BAF42" w14:textId="77777777" w:rsidTr="00794674">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5D2296C3" w14:textId="77777777" w:rsidR="00794674" w:rsidRPr="00732B0A" w:rsidRDefault="00794674" w:rsidP="00D0002D">
                  <w:pPr>
                    <w:pStyle w:val="Brezrazmikov"/>
                    <w:rPr>
                      <w:rFonts w:cs="Arial"/>
                      <w:b/>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2FEAFD8" w14:textId="77777777" w:rsidR="00794674" w:rsidRPr="00732B0A" w:rsidRDefault="00794674" w:rsidP="00D0002D">
                  <w:pPr>
                    <w:pStyle w:val="Brezrazmikov"/>
                    <w:rPr>
                      <w:rFonts w:cs="Arial"/>
                      <w:b/>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FACA312" w14:textId="77777777" w:rsidR="00794674" w:rsidRPr="00732B0A" w:rsidRDefault="00794674" w:rsidP="00D0002D">
                  <w:pPr>
                    <w:pStyle w:val="Brezrazmikov"/>
                    <w:rPr>
                      <w:rFonts w:cs="Arial"/>
                      <w:b/>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CF8CCD2" w14:textId="77777777" w:rsidR="00794674" w:rsidRPr="00732B0A" w:rsidRDefault="00794674" w:rsidP="00D0002D">
                  <w:pPr>
                    <w:pStyle w:val="Brezrazmikov"/>
                    <w:rPr>
                      <w:rFonts w:cs="Arial"/>
                      <w:b/>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5FD6619D" w14:textId="77777777" w:rsidR="00794674" w:rsidRPr="00732B0A" w:rsidRDefault="00794674" w:rsidP="00D0002D">
                  <w:pPr>
                    <w:pStyle w:val="Brezrazmikov"/>
                    <w:rPr>
                      <w:rFonts w:cs="Arial"/>
                      <w:b/>
                      <w:szCs w:val="20"/>
                      <w:lang w:val="sl-SI" w:eastAsia="sl-SI"/>
                    </w:rPr>
                  </w:pPr>
                </w:p>
              </w:tc>
            </w:tr>
            <w:tr w:rsidR="00794674" w:rsidRPr="00732B0A" w14:paraId="1078802F" w14:textId="77777777" w:rsidTr="00794674">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442F4E0B"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5D1D861" w14:textId="77777777" w:rsidR="00794674" w:rsidRPr="00732B0A" w:rsidRDefault="00794674" w:rsidP="00D0002D">
                  <w:pPr>
                    <w:pStyle w:val="Brezrazmikov"/>
                    <w:rPr>
                      <w:rFonts w:cs="Arial"/>
                      <w:bCs/>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E670004" w14:textId="77777777" w:rsidR="00794674" w:rsidRPr="00732B0A" w:rsidRDefault="00794674" w:rsidP="00D0002D">
                  <w:pPr>
                    <w:pStyle w:val="Brezrazmikov"/>
                    <w:rPr>
                      <w:rFonts w:cs="Arial"/>
                      <w:bCs/>
                      <w:szCs w:val="20"/>
                      <w:lang w:val="sl-SI" w:eastAsia="sl-SI"/>
                    </w:rPr>
                  </w:pPr>
                </w:p>
              </w:tc>
            </w:tr>
            <w:tr w:rsidR="00794674" w:rsidRPr="00732B0A" w14:paraId="44C996F4" w14:textId="77777777" w:rsidTr="00794674">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DA3FAC"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II.c. Načrtovana nadomestitev zmanjšanih prihodkov oz. povečanih odhodkov proračuna:</w:t>
                  </w:r>
                </w:p>
              </w:tc>
            </w:tr>
            <w:tr w:rsidR="00794674" w:rsidRPr="00732B0A" w14:paraId="0477A558" w14:textId="77777777" w:rsidTr="00794674">
              <w:trPr>
                <w:cantSplit/>
                <w:trHeight w:val="100"/>
              </w:trPr>
              <w:tc>
                <w:tcPr>
                  <w:tcW w:w="4417" w:type="dxa"/>
                  <w:gridSpan w:val="3"/>
                  <w:tcBorders>
                    <w:top w:val="single" w:sz="4" w:space="0" w:color="auto"/>
                    <w:left w:val="single" w:sz="4" w:space="0" w:color="auto"/>
                    <w:bottom w:val="single" w:sz="4" w:space="0" w:color="auto"/>
                    <w:right w:val="single" w:sz="4" w:space="0" w:color="auto"/>
                  </w:tcBorders>
                  <w:vAlign w:val="center"/>
                </w:tcPr>
                <w:p w14:paraId="04B0F705" w14:textId="77777777" w:rsidR="00794674" w:rsidRPr="00732B0A" w:rsidRDefault="00794674" w:rsidP="00D0002D">
                  <w:pPr>
                    <w:pStyle w:val="Brezrazmikov"/>
                    <w:jc w:val="center"/>
                    <w:rPr>
                      <w:rFonts w:cs="Arial"/>
                      <w:szCs w:val="20"/>
                      <w:lang w:val="sl-SI"/>
                    </w:rPr>
                  </w:pPr>
                  <w:r w:rsidRPr="00732B0A">
                    <w:rPr>
                      <w:rFonts w:cs="Arial"/>
                      <w:szCs w:val="20"/>
                      <w:lang w:val="sl-SI"/>
                    </w:rPr>
                    <w:t>Novi prihodki</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14012F45"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tekoče leto (t)</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C7F233D" w14:textId="77777777" w:rsidR="00794674" w:rsidRPr="00732B0A" w:rsidRDefault="00794674" w:rsidP="00D0002D">
                  <w:pPr>
                    <w:pStyle w:val="Brezrazmikov"/>
                    <w:jc w:val="center"/>
                    <w:rPr>
                      <w:rFonts w:cs="Arial"/>
                      <w:szCs w:val="20"/>
                      <w:lang w:val="sl-SI"/>
                    </w:rPr>
                  </w:pPr>
                  <w:r w:rsidRPr="00732B0A">
                    <w:rPr>
                      <w:rFonts w:cs="Arial"/>
                      <w:szCs w:val="20"/>
                      <w:lang w:val="sl-SI"/>
                    </w:rPr>
                    <w:t>Znesek za t + </w:t>
                  </w:r>
                </w:p>
              </w:tc>
            </w:tr>
            <w:tr w:rsidR="00794674" w:rsidRPr="00732B0A" w14:paraId="26923F94"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7D0ECDB3"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3BF636BA"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6F9E4A38" w14:textId="77777777" w:rsidR="00794674" w:rsidRPr="00732B0A" w:rsidRDefault="00794674" w:rsidP="00D0002D">
                  <w:pPr>
                    <w:pStyle w:val="Brezrazmikov"/>
                    <w:rPr>
                      <w:rFonts w:cs="Arial"/>
                      <w:b/>
                      <w:szCs w:val="20"/>
                      <w:lang w:val="sl-SI" w:eastAsia="sl-SI"/>
                    </w:rPr>
                  </w:pPr>
                </w:p>
              </w:tc>
            </w:tr>
            <w:tr w:rsidR="00794674" w:rsidRPr="00732B0A" w14:paraId="4DCC9E28"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539DE6B5"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6BA894B4"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D5DAD42" w14:textId="77777777" w:rsidR="00794674" w:rsidRPr="00732B0A" w:rsidRDefault="00794674" w:rsidP="00D0002D">
                  <w:pPr>
                    <w:pStyle w:val="Brezrazmikov"/>
                    <w:rPr>
                      <w:rFonts w:cs="Arial"/>
                      <w:b/>
                      <w:szCs w:val="20"/>
                      <w:lang w:val="sl-SI" w:eastAsia="sl-SI"/>
                    </w:rPr>
                  </w:pPr>
                </w:p>
              </w:tc>
            </w:tr>
            <w:tr w:rsidR="00794674" w:rsidRPr="00732B0A" w14:paraId="593BF87D"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3DDC54ED" w14:textId="77777777" w:rsidR="00794674" w:rsidRPr="00732B0A" w:rsidRDefault="00794674" w:rsidP="00D0002D">
                  <w:pPr>
                    <w:pStyle w:val="Brezrazmikov"/>
                    <w:rPr>
                      <w:rFonts w:cs="Arial"/>
                      <w:b/>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48B2CD42" w14:textId="77777777" w:rsidR="00794674" w:rsidRPr="00732B0A" w:rsidRDefault="00794674" w:rsidP="00D0002D">
                  <w:pPr>
                    <w:pStyle w:val="Brezrazmikov"/>
                    <w:rPr>
                      <w:rFonts w:cs="Arial"/>
                      <w:b/>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E79298E" w14:textId="77777777" w:rsidR="00794674" w:rsidRPr="00732B0A" w:rsidRDefault="00794674" w:rsidP="00D0002D">
                  <w:pPr>
                    <w:pStyle w:val="Brezrazmikov"/>
                    <w:rPr>
                      <w:rFonts w:cs="Arial"/>
                      <w:b/>
                      <w:szCs w:val="20"/>
                      <w:lang w:val="sl-SI" w:eastAsia="sl-SI"/>
                    </w:rPr>
                  </w:pPr>
                </w:p>
              </w:tc>
            </w:tr>
            <w:tr w:rsidR="00794674" w:rsidRPr="00732B0A" w14:paraId="0C31CDED" w14:textId="77777777" w:rsidTr="00794674">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CB8AD52" w14:textId="77777777" w:rsidR="00794674" w:rsidRPr="00732B0A" w:rsidRDefault="00794674" w:rsidP="00D0002D">
                  <w:pPr>
                    <w:pStyle w:val="Brezrazmikov"/>
                    <w:rPr>
                      <w:rFonts w:cs="Arial"/>
                      <w:bCs/>
                      <w:szCs w:val="20"/>
                      <w:lang w:val="sl-SI" w:eastAsia="sl-SI"/>
                    </w:rPr>
                  </w:pPr>
                  <w:r w:rsidRPr="00732B0A">
                    <w:rPr>
                      <w:rFonts w:cs="Arial"/>
                      <w:bCs/>
                      <w:szCs w:val="20"/>
                      <w:lang w:val="sl-SI" w:eastAsia="sl-SI"/>
                    </w:rPr>
                    <w:t>SKUPAJ:</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03DE21CC" w14:textId="77777777" w:rsidR="00794674" w:rsidRPr="00732B0A" w:rsidRDefault="00794674" w:rsidP="00D0002D">
                  <w:pPr>
                    <w:pStyle w:val="Brezrazmikov"/>
                    <w:rPr>
                      <w:rFonts w:cs="Arial"/>
                      <w:bCs/>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BC33E16" w14:textId="77777777" w:rsidR="00794674" w:rsidRPr="00732B0A" w:rsidRDefault="00794674" w:rsidP="00D0002D">
                  <w:pPr>
                    <w:pStyle w:val="Brezrazmikov"/>
                    <w:rPr>
                      <w:rFonts w:cs="Arial"/>
                      <w:bCs/>
                      <w:szCs w:val="20"/>
                      <w:lang w:val="sl-SI" w:eastAsia="sl-SI"/>
                    </w:rPr>
                  </w:pPr>
                </w:p>
              </w:tc>
            </w:tr>
          </w:tbl>
          <w:p w14:paraId="6DB5C15B" w14:textId="77777777" w:rsidR="00794674" w:rsidRPr="00732B0A" w:rsidRDefault="00794674" w:rsidP="00D0002D">
            <w:pPr>
              <w:pStyle w:val="Brezrazmikov"/>
              <w:rPr>
                <w:rFonts w:cs="Arial"/>
                <w:bCs/>
                <w:szCs w:val="20"/>
                <w:lang w:val="sl-SI"/>
              </w:rPr>
            </w:pPr>
          </w:p>
        </w:tc>
      </w:tr>
      <w:tr w:rsidR="00794674" w:rsidRPr="00732B0A" w14:paraId="57BD9F65" w14:textId="77777777" w:rsidTr="00794674">
        <w:tc>
          <w:tcPr>
            <w:tcW w:w="9163" w:type="dxa"/>
            <w:gridSpan w:val="4"/>
          </w:tcPr>
          <w:p w14:paraId="37225EF3" w14:textId="77777777" w:rsidR="00794674" w:rsidRPr="00732B0A" w:rsidRDefault="00794674" w:rsidP="00D0002D">
            <w:pPr>
              <w:widowControl w:val="0"/>
              <w:rPr>
                <w:rFonts w:cs="Arial"/>
                <w:b/>
                <w:szCs w:val="20"/>
              </w:rPr>
            </w:pPr>
            <w:r w:rsidRPr="00732B0A">
              <w:rPr>
                <w:rFonts w:cs="Arial"/>
                <w:b/>
                <w:szCs w:val="20"/>
              </w:rPr>
              <w:lastRenderedPageBreak/>
              <w:t>OBRAZLOŽITEV:</w:t>
            </w:r>
          </w:p>
          <w:p w14:paraId="3CA173B5" w14:textId="77777777" w:rsidR="00794674" w:rsidRPr="00732B0A" w:rsidRDefault="00794674" w:rsidP="00D0002D">
            <w:pPr>
              <w:widowControl w:val="0"/>
              <w:numPr>
                <w:ilvl w:val="0"/>
                <w:numId w:val="1"/>
              </w:numPr>
              <w:suppressAutoHyphens/>
              <w:spacing w:line="260" w:lineRule="exact"/>
              <w:ind w:left="284" w:hanging="284"/>
              <w:jc w:val="both"/>
              <w:rPr>
                <w:rFonts w:cs="Arial"/>
                <w:b/>
                <w:szCs w:val="20"/>
                <w:lang w:eastAsia="sl-SI"/>
              </w:rPr>
            </w:pPr>
            <w:r w:rsidRPr="00732B0A">
              <w:rPr>
                <w:rFonts w:cs="Arial"/>
                <w:b/>
                <w:szCs w:val="20"/>
                <w:lang w:eastAsia="sl-SI"/>
              </w:rPr>
              <w:t>Ocena finančnih posledic, ki niso načrtovane v sprejetem proračunu</w:t>
            </w:r>
          </w:p>
          <w:p w14:paraId="18E0C205" w14:textId="77777777" w:rsidR="00794674" w:rsidRPr="00732B0A" w:rsidRDefault="00794674" w:rsidP="00D0002D">
            <w:pPr>
              <w:widowControl w:val="0"/>
              <w:ind w:left="360" w:hanging="76"/>
              <w:jc w:val="both"/>
              <w:rPr>
                <w:rFonts w:cs="Arial"/>
                <w:szCs w:val="20"/>
                <w:lang w:eastAsia="sl-SI"/>
              </w:rPr>
            </w:pPr>
            <w:r w:rsidRPr="00732B0A">
              <w:rPr>
                <w:rFonts w:cs="Arial"/>
                <w:szCs w:val="20"/>
                <w:lang w:eastAsia="sl-SI"/>
              </w:rPr>
              <w:t>V zvezi s predlaganim vladnim gradivom se navedejo predvidene spremembe (povečanje, zmanjšanje):</w:t>
            </w:r>
          </w:p>
          <w:p w14:paraId="017FF670"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prihodkov državnega proračuna in občinskih proračunov,</w:t>
            </w:r>
          </w:p>
          <w:p w14:paraId="251DD824"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odhodkov državnega proračuna, ki niso načrtovani na ukrepih oziroma projektih sprejetih proračunov,</w:t>
            </w:r>
          </w:p>
          <w:p w14:paraId="04F9B26D" w14:textId="77777777" w:rsidR="00794674" w:rsidRPr="00732B0A" w:rsidRDefault="00794674" w:rsidP="00D0002D">
            <w:pPr>
              <w:widowControl w:val="0"/>
              <w:numPr>
                <w:ilvl w:val="0"/>
                <w:numId w:val="3"/>
              </w:numPr>
              <w:suppressAutoHyphens/>
              <w:spacing w:line="260" w:lineRule="exact"/>
              <w:jc w:val="both"/>
              <w:rPr>
                <w:rFonts w:cs="Arial"/>
                <w:szCs w:val="20"/>
              </w:rPr>
            </w:pPr>
            <w:r w:rsidRPr="00732B0A">
              <w:rPr>
                <w:rFonts w:cs="Arial"/>
                <w:szCs w:val="20"/>
                <w:lang w:eastAsia="sl-SI"/>
              </w:rPr>
              <w:t>obveznosti za druga javnofinančna sredstva (drugi viri), ki niso načrtovana na ukrepih oziroma projektih sprejetih proračunov.</w:t>
            </w:r>
          </w:p>
          <w:p w14:paraId="7A3EBA4D" w14:textId="77777777" w:rsidR="00794674" w:rsidRPr="00732B0A" w:rsidRDefault="00794674" w:rsidP="00D0002D">
            <w:pPr>
              <w:widowControl w:val="0"/>
              <w:ind w:left="284"/>
              <w:rPr>
                <w:rFonts w:cs="Arial"/>
                <w:szCs w:val="20"/>
                <w:lang w:eastAsia="sl-SI"/>
              </w:rPr>
            </w:pPr>
          </w:p>
          <w:p w14:paraId="537E1518" w14:textId="77777777" w:rsidR="00794674" w:rsidRPr="00732B0A" w:rsidRDefault="00794674" w:rsidP="00D0002D">
            <w:pPr>
              <w:widowControl w:val="0"/>
              <w:numPr>
                <w:ilvl w:val="0"/>
                <w:numId w:val="1"/>
              </w:numPr>
              <w:suppressAutoHyphens/>
              <w:spacing w:line="260" w:lineRule="exact"/>
              <w:ind w:left="284" w:hanging="284"/>
              <w:jc w:val="both"/>
              <w:rPr>
                <w:rFonts w:cs="Arial"/>
                <w:b/>
                <w:szCs w:val="20"/>
                <w:lang w:eastAsia="sl-SI"/>
              </w:rPr>
            </w:pPr>
            <w:r w:rsidRPr="00732B0A">
              <w:rPr>
                <w:rFonts w:cs="Arial"/>
                <w:b/>
                <w:szCs w:val="20"/>
                <w:lang w:eastAsia="sl-SI"/>
              </w:rPr>
              <w:t>Finančne posledice za državni proračun</w:t>
            </w:r>
          </w:p>
          <w:p w14:paraId="26FC185B"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Prikazane morajo biti finančne posledice za državni proračun, ki so na proračunskih postavkah načrtovane v dinamiki projektov oziroma ukrepov:</w:t>
            </w:r>
          </w:p>
          <w:p w14:paraId="303F1E58" w14:textId="77777777" w:rsidR="00794674" w:rsidRPr="00732B0A" w:rsidRDefault="00794674" w:rsidP="00D0002D">
            <w:pPr>
              <w:widowControl w:val="0"/>
              <w:suppressAutoHyphens/>
              <w:ind w:left="720"/>
              <w:jc w:val="both"/>
              <w:rPr>
                <w:rFonts w:cs="Arial"/>
                <w:b/>
                <w:szCs w:val="20"/>
                <w:lang w:eastAsia="sl-SI"/>
              </w:rPr>
            </w:pPr>
            <w:proofErr w:type="spellStart"/>
            <w:r w:rsidRPr="00732B0A">
              <w:rPr>
                <w:rFonts w:cs="Arial"/>
                <w:b/>
                <w:szCs w:val="20"/>
                <w:lang w:eastAsia="sl-SI"/>
              </w:rPr>
              <w:t>II.a</w:t>
            </w:r>
            <w:proofErr w:type="spellEnd"/>
            <w:r w:rsidRPr="00732B0A">
              <w:rPr>
                <w:rFonts w:cs="Arial"/>
                <w:b/>
                <w:szCs w:val="20"/>
                <w:lang w:eastAsia="sl-SI"/>
              </w:rPr>
              <w:t xml:space="preserve"> Pravice porabe za izvedbo predlaganih rešitev so zagotovljene:</w:t>
            </w:r>
          </w:p>
          <w:p w14:paraId="007BF428"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32B0A">
              <w:rPr>
                <w:rFonts w:cs="Arial"/>
                <w:szCs w:val="20"/>
                <w:lang w:eastAsia="sl-SI"/>
              </w:rPr>
              <w:t>II.b</w:t>
            </w:r>
            <w:proofErr w:type="spellEnd"/>
            <w:r w:rsidRPr="00732B0A">
              <w:rPr>
                <w:rFonts w:cs="Arial"/>
                <w:szCs w:val="20"/>
                <w:lang w:eastAsia="sl-SI"/>
              </w:rPr>
              <w:t>). Pri uvrstitvi novega projekta oziroma ukrepa v načrt razvojnih programov se navedejo:</w:t>
            </w:r>
          </w:p>
          <w:p w14:paraId="2E52625F"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proračunski uporabnik, ki bo financiral novi projekt oziroma ukrep,</w:t>
            </w:r>
          </w:p>
          <w:p w14:paraId="2994A710"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 xml:space="preserve">projekt oziroma ukrep, s katerim se bodo dosegli cilji vladnega gradiva, in </w:t>
            </w:r>
          </w:p>
          <w:p w14:paraId="46D9D9E8" w14:textId="77777777" w:rsidR="00794674" w:rsidRPr="00732B0A" w:rsidRDefault="00794674" w:rsidP="00D0002D">
            <w:pPr>
              <w:widowControl w:val="0"/>
              <w:numPr>
                <w:ilvl w:val="0"/>
                <w:numId w:val="4"/>
              </w:numPr>
              <w:suppressAutoHyphens/>
              <w:spacing w:line="260" w:lineRule="exact"/>
              <w:jc w:val="both"/>
              <w:rPr>
                <w:rFonts w:cs="Arial"/>
                <w:szCs w:val="20"/>
                <w:lang w:eastAsia="sl-SI"/>
              </w:rPr>
            </w:pPr>
            <w:r w:rsidRPr="00732B0A">
              <w:rPr>
                <w:rFonts w:cs="Arial"/>
                <w:szCs w:val="20"/>
                <w:lang w:eastAsia="sl-SI"/>
              </w:rPr>
              <w:t>proračunske postavke.</w:t>
            </w:r>
          </w:p>
          <w:p w14:paraId="2E89673F"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Za zagotovitev pravic porabe na proračunskih postavkah, s katerih se bo financiral novi projekt oziroma ukrep, je treba izpolniti tudi točko </w:t>
            </w:r>
            <w:proofErr w:type="spellStart"/>
            <w:r w:rsidRPr="00732B0A">
              <w:rPr>
                <w:rFonts w:cs="Arial"/>
                <w:szCs w:val="20"/>
                <w:lang w:eastAsia="sl-SI"/>
              </w:rPr>
              <w:t>II.b</w:t>
            </w:r>
            <w:proofErr w:type="spellEnd"/>
            <w:r w:rsidRPr="00732B0A">
              <w:rPr>
                <w:rFonts w:cs="Arial"/>
                <w:szCs w:val="20"/>
                <w:lang w:eastAsia="sl-SI"/>
              </w:rPr>
              <w:t>, saj je za novi projekt oziroma ukrep mogoče zagotoviti pravice porabe le s prerazporeditvijo s proračunskih postavk, s katerih se financirajo že sprejeti oziroma veljavni projekti in ukrepi.</w:t>
            </w:r>
          </w:p>
          <w:p w14:paraId="684AA278" w14:textId="77777777" w:rsidR="00794674" w:rsidRPr="00732B0A" w:rsidRDefault="00794674" w:rsidP="00D0002D">
            <w:pPr>
              <w:widowControl w:val="0"/>
              <w:suppressAutoHyphens/>
              <w:ind w:left="714"/>
              <w:jc w:val="both"/>
              <w:rPr>
                <w:rFonts w:cs="Arial"/>
                <w:b/>
                <w:szCs w:val="20"/>
                <w:lang w:eastAsia="sl-SI"/>
              </w:rPr>
            </w:pPr>
            <w:proofErr w:type="spellStart"/>
            <w:r w:rsidRPr="00732B0A">
              <w:rPr>
                <w:rFonts w:cs="Arial"/>
                <w:b/>
                <w:szCs w:val="20"/>
                <w:lang w:eastAsia="sl-SI"/>
              </w:rPr>
              <w:t>II.b</w:t>
            </w:r>
            <w:proofErr w:type="spellEnd"/>
            <w:r w:rsidRPr="00732B0A">
              <w:rPr>
                <w:rFonts w:cs="Arial"/>
                <w:b/>
                <w:szCs w:val="20"/>
                <w:lang w:eastAsia="sl-SI"/>
              </w:rPr>
              <w:t xml:space="preserve"> Manjkajoče pravice porabe bodo zagotovljene s prerazporeditvijo:</w:t>
            </w:r>
          </w:p>
          <w:p w14:paraId="1247B37B"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3BD4003" w14:textId="77777777" w:rsidR="00794674" w:rsidRPr="00732B0A" w:rsidRDefault="00794674" w:rsidP="00D0002D">
            <w:pPr>
              <w:widowControl w:val="0"/>
              <w:suppressAutoHyphens/>
              <w:ind w:left="714"/>
              <w:jc w:val="both"/>
              <w:rPr>
                <w:rFonts w:cs="Arial"/>
                <w:b/>
                <w:szCs w:val="20"/>
                <w:lang w:eastAsia="sl-SI"/>
              </w:rPr>
            </w:pPr>
            <w:proofErr w:type="spellStart"/>
            <w:r w:rsidRPr="00732B0A">
              <w:rPr>
                <w:rFonts w:cs="Arial"/>
                <w:b/>
                <w:szCs w:val="20"/>
                <w:lang w:eastAsia="sl-SI"/>
              </w:rPr>
              <w:lastRenderedPageBreak/>
              <w:t>II.c</w:t>
            </w:r>
            <w:proofErr w:type="spellEnd"/>
            <w:r w:rsidRPr="00732B0A">
              <w:rPr>
                <w:rFonts w:cs="Arial"/>
                <w:b/>
                <w:szCs w:val="20"/>
                <w:lang w:eastAsia="sl-SI"/>
              </w:rPr>
              <w:t xml:space="preserve"> Načrtovana nadomestitev zmanjšanih prihodkov in povečanih odhodkov proračuna:</w:t>
            </w:r>
          </w:p>
          <w:p w14:paraId="6E4D941F" w14:textId="77777777" w:rsidR="00794674" w:rsidRPr="00732B0A" w:rsidRDefault="00794674" w:rsidP="00D0002D">
            <w:pPr>
              <w:widowControl w:val="0"/>
              <w:ind w:left="284"/>
              <w:jc w:val="both"/>
              <w:rPr>
                <w:rFonts w:cs="Arial"/>
                <w:szCs w:val="20"/>
                <w:lang w:eastAsia="sl-SI"/>
              </w:rPr>
            </w:pPr>
            <w:r w:rsidRPr="00732B0A">
              <w:rPr>
                <w:rFonts w:cs="Arial"/>
                <w:szCs w:val="20"/>
                <w:lang w:eastAsia="sl-SI"/>
              </w:rPr>
              <w:t xml:space="preserve">Če se povečani odhodki (pravice porabe) ne bodo zagotovili tako, kot je določeno v točkah </w:t>
            </w:r>
            <w:proofErr w:type="spellStart"/>
            <w:r w:rsidRPr="00732B0A">
              <w:rPr>
                <w:rFonts w:cs="Arial"/>
                <w:szCs w:val="20"/>
                <w:lang w:eastAsia="sl-SI"/>
              </w:rPr>
              <w:t>II.a</w:t>
            </w:r>
            <w:proofErr w:type="spellEnd"/>
            <w:r w:rsidRPr="00732B0A">
              <w:rPr>
                <w:rFonts w:cs="Arial"/>
                <w:szCs w:val="20"/>
                <w:lang w:eastAsia="sl-SI"/>
              </w:rPr>
              <w:t xml:space="preserve"> in </w:t>
            </w:r>
            <w:proofErr w:type="spellStart"/>
            <w:r w:rsidRPr="00732B0A">
              <w:rPr>
                <w:rFonts w:cs="Arial"/>
                <w:szCs w:val="20"/>
                <w:lang w:eastAsia="sl-SI"/>
              </w:rPr>
              <w:t>II.b</w:t>
            </w:r>
            <w:proofErr w:type="spellEnd"/>
            <w:r w:rsidRPr="00732B0A">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1384BB8" w14:textId="77777777" w:rsidR="00794674" w:rsidRPr="00732B0A" w:rsidRDefault="00794674" w:rsidP="00D0002D">
            <w:pPr>
              <w:pStyle w:val="Brezrazmikov"/>
              <w:rPr>
                <w:rFonts w:cs="Arial"/>
                <w:szCs w:val="20"/>
                <w:lang w:val="sl-SI"/>
              </w:rPr>
            </w:pPr>
          </w:p>
        </w:tc>
      </w:tr>
      <w:tr w:rsidR="00794674" w:rsidRPr="00732B0A" w14:paraId="0896E90F" w14:textId="77777777" w:rsidTr="00794674">
        <w:tc>
          <w:tcPr>
            <w:tcW w:w="9163" w:type="dxa"/>
            <w:gridSpan w:val="4"/>
          </w:tcPr>
          <w:p w14:paraId="2098BF75"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lastRenderedPageBreak/>
              <w:t>7.b Predstavitev ocene finančnih posledic pod 40.000 EUR:</w:t>
            </w:r>
          </w:p>
          <w:p w14:paraId="1EF5B636" w14:textId="77777777" w:rsidR="00794674" w:rsidRPr="00732B0A" w:rsidRDefault="00794674" w:rsidP="00D0002D">
            <w:pPr>
              <w:pStyle w:val="Oddelek"/>
              <w:numPr>
                <w:ilvl w:val="0"/>
                <w:numId w:val="0"/>
              </w:numPr>
              <w:spacing w:before="0" w:after="0" w:line="240" w:lineRule="auto"/>
              <w:jc w:val="left"/>
              <w:rPr>
                <w:rFonts w:cs="Arial"/>
                <w:b w:val="0"/>
                <w:sz w:val="20"/>
                <w:lang w:eastAsia="sl-SI"/>
              </w:rPr>
            </w:pPr>
          </w:p>
          <w:p w14:paraId="535BECC3" w14:textId="77777777" w:rsidR="00794674" w:rsidRPr="00732B0A" w:rsidRDefault="00794674" w:rsidP="00D0002D">
            <w:pPr>
              <w:pStyle w:val="Oddelek"/>
              <w:numPr>
                <w:ilvl w:val="0"/>
                <w:numId w:val="0"/>
              </w:numPr>
              <w:spacing w:before="0" w:after="0" w:line="240" w:lineRule="auto"/>
              <w:jc w:val="left"/>
              <w:rPr>
                <w:rFonts w:cs="Arial"/>
                <w:sz w:val="20"/>
                <w:lang w:eastAsia="sl-SI"/>
              </w:rPr>
            </w:pPr>
            <w:r w:rsidRPr="00732B0A">
              <w:rPr>
                <w:rFonts w:cs="Arial"/>
                <w:b w:val="0"/>
                <w:sz w:val="20"/>
                <w:lang w:eastAsia="sl-SI"/>
              </w:rPr>
              <w:t>Predlagano gradivo nima finančnih posledic za državni proračun.</w:t>
            </w:r>
          </w:p>
        </w:tc>
      </w:tr>
      <w:tr w:rsidR="00794674" w:rsidRPr="00732B0A" w14:paraId="2576E302" w14:textId="77777777" w:rsidTr="00794674">
        <w:tc>
          <w:tcPr>
            <w:tcW w:w="9163" w:type="dxa"/>
            <w:gridSpan w:val="4"/>
          </w:tcPr>
          <w:p w14:paraId="20778D5D"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8. Predstavitev sodelovanja z združenji občin:</w:t>
            </w:r>
          </w:p>
        </w:tc>
      </w:tr>
      <w:tr w:rsidR="00794674" w:rsidRPr="00732B0A" w14:paraId="7F7F88B0" w14:textId="77777777" w:rsidTr="00794674">
        <w:tc>
          <w:tcPr>
            <w:tcW w:w="6892" w:type="dxa"/>
            <w:gridSpan w:val="3"/>
          </w:tcPr>
          <w:p w14:paraId="5CEF7C5F"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Vsebina predloženega gradiva (predpisa) vpliva na:</w:t>
            </w:r>
          </w:p>
          <w:p w14:paraId="6A832EA3" w14:textId="77777777" w:rsidR="00794674" w:rsidRPr="00732B0A" w:rsidRDefault="00794674" w:rsidP="00D0002D">
            <w:pPr>
              <w:pStyle w:val="Neotevilenodstavek"/>
              <w:widowControl w:val="0"/>
              <w:numPr>
                <w:ilvl w:val="0"/>
                <w:numId w:val="7"/>
              </w:numPr>
              <w:spacing w:before="0" w:after="0" w:line="276" w:lineRule="auto"/>
              <w:textAlignment w:val="auto"/>
              <w:rPr>
                <w:rFonts w:cs="Arial"/>
                <w:iCs/>
                <w:sz w:val="20"/>
              </w:rPr>
            </w:pPr>
            <w:r w:rsidRPr="00732B0A">
              <w:rPr>
                <w:rFonts w:cs="Arial"/>
                <w:iCs/>
                <w:sz w:val="20"/>
              </w:rPr>
              <w:t>pristojnosti občin,</w:t>
            </w:r>
          </w:p>
          <w:p w14:paraId="45A11328" w14:textId="77777777" w:rsidR="00794674" w:rsidRPr="00732B0A" w:rsidRDefault="00794674" w:rsidP="00D0002D">
            <w:pPr>
              <w:pStyle w:val="Neotevilenodstavek"/>
              <w:widowControl w:val="0"/>
              <w:numPr>
                <w:ilvl w:val="0"/>
                <w:numId w:val="7"/>
              </w:numPr>
              <w:spacing w:before="0" w:after="0" w:line="276" w:lineRule="auto"/>
              <w:textAlignment w:val="auto"/>
              <w:rPr>
                <w:rFonts w:cs="Arial"/>
                <w:iCs/>
                <w:sz w:val="20"/>
              </w:rPr>
            </w:pPr>
            <w:r w:rsidRPr="00732B0A">
              <w:rPr>
                <w:rFonts w:cs="Arial"/>
                <w:iCs/>
                <w:sz w:val="20"/>
              </w:rPr>
              <w:t>delovanje občin,</w:t>
            </w:r>
          </w:p>
          <w:p w14:paraId="4F68CD9B" w14:textId="77777777" w:rsidR="00794674" w:rsidRPr="00732B0A" w:rsidRDefault="00794674" w:rsidP="00D0002D">
            <w:pPr>
              <w:pStyle w:val="Neotevilenodstavek"/>
              <w:widowControl w:val="0"/>
              <w:numPr>
                <w:ilvl w:val="0"/>
                <w:numId w:val="7"/>
              </w:numPr>
              <w:spacing w:before="0" w:after="0" w:line="276" w:lineRule="auto"/>
              <w:textAlignment w:val="auto"/>
              <w:rPr>
                <w:rFonts w:cs="Arial"/>
                <w:sz w:val="20"/>
              </w:rPr>
            </w:pPr>
            <w:r w:rsidRPr="00732B0A">
              <w:rPr>
                <w:rFonts w:cs="Arial"/>
                <w:iCs/>
                <w:sz w:val="20"/>
              </w:rPr>
              <w:t>financiranje občin.</w:t>
            </w:r>
          </w:p>
        </w:tc>
        <w:tc>
          <w:tcPr>
            <w:tcW w:w="2271" w:type="dxa"/>
          </w:tcPr>
          <w:p w14:paraId="02A4989E" w14:textId="77777777" w:rsidR="00794674" w:rsidRPr="00732B0A" w:rsidRDefault="00794674" w:rsidP="00794674">
            <w:pPr>
              <w:widowControl w:val="0"/>
              <w:overflowPunct w:val="0"/>
              <w:autoSpaceDE w:val="0"/>
              <w:autoSpaceDN w:val="0"/>
              <w:adjustRightInd w:val="0"/>
              <w:spacing w:line="276" w:lineRule="auto"/>
              <w:jc w:val="center"/>
              <w:textAlignment w:val="baseline"/>
              <w:rPr>
                <w:rFonts w:cs="Arial"/>
                <w:iCs/>
                <w:szCs w:val="20"/>
                <w:lang w:eastAsia="sl-SI"/>
              </w:rPr>
            </w:pPr>
            <w:r w:rsidRPr="00732B0A">
              <w:rPr>
                <w:rFonts w:cs="Arial"/>
                <w:iCs/>
                <w:szCs w:val="20"/>
                <w:lang w:eastAsia="sl-SI"/>
              </w:rPr>
              <w:t>NE</w:t>
            </w:r>
          </w:p>
        </w:tc>
      </w:tr>
      <w:tr w:rsidR="00794674" w:rsidRPr="00732B0A" w14:paraId="364344CB" w14:textId="77777777" w:rsidTr="00794674">
        <w:tc>
          <w:tcPr>
            <w:tcW w:w="9163" w:type="dxa"/>
            <w:gridSpan w:val="4"/>
          </w:tcPr>
          <w:p w14:paraId="5AABB6FB"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 xml:space="preserve">Gradivo (predpis) je bilo poslano v mnenje: </w:t>
            </w:r>
          </w:p>
          <w:p w14:paraId="0897B372"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Skupnosti občin Slovenije SOS: NE</w:t>
            </w:r>
          </w:p>
          <w:p w14:paraId="3ECBE458"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Združenju občin Slovenije ZOS: NE</w:t>
            </w:r>
          </w:p>
          <w:p w14:paraId="2F03EC32" w14:textId="77777777" w:rsidR="00794674" w:rsidRPr="00732B0A" w:rsidRDefault="00794674" w:rsidP="00D0002D">
            <w:pPr>
              <w:pStyle w:val="Neotevilenodstavek"/>
              <w:widowControl w:val="0"/>
              <w:numPr>
                <w:ilvl w:val="0"/>
                <w:numId w:val="8"/>
              </w:numPr>
              <w:spacing w:before="0" w:after="0" w:line="276" w:lineRule="auto"/>
              <w:textAlignment w:val="auto"/>
              <w:rPr>
                <w:rFonts w:cs="Arial"/>
                <w:iCs/>
                <w:sz w:val="20"/>
              </w:rPr>
            </w:pPr>
            <w:r w:rsidRPr="00732B0A">
              <w:rPr>
                <w:rFonts w:cs="Arial"/>
                <w:iCs/>
                <w:sz w:val="20"/>
              </w:rPr>
              <w:t>Združenju mestnih občin Slovenije ZMOS: NE</w:t>
            </w:r>
          </w:p>
          <w:p w14:paraId="4489070A"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Predlogi in pripombe združenj so bili upoštevani:</w:t>
            </w:r>
          </w:p>
          <w:p w14:paraId="57DFF268"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v celoti,</w:t>
            </w:r>
          </w:p>
          <w:p w14:paraId="45636F93"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večinoma,</w:t>
            </w:r>
          </w:p>
          <w:p w14:paraId="12BC348B"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delno,</w:t>
            </w:r>
          </w:p>
          <w:p w14:paraId="59387FAD" w14:textId="77777777" w:rsidR="00794674" w:rsidRPr="00732B0A" w:rsidRDefault="00794674" w:rsidP="00D0002D">
            <w:pPr>
              <w:pStyle w:val="Neotevilenodstavek"/>
              <w:widowControl w:val="0"/>
              <w:numPr>
                <w:ilvl w:val="0"/>
                <w:numId w:val="9"/>
              </w:numPr>
              <w:spacing w:before="0" w:after="0" w:line="276" w:lineRule="auto"/>
              <w:textAlignment w:val="auto"/>
              <w:rPr>
                <w:rFonts w:cs="Arial"/>
                <w:iCs/>
                <w:sz w:val="20"/>
              </w:rPr>
            </w:pPr>
            <w:r w:rsidRPr="00732B0A">
              <w:rPr>
                <w:rFonts w:cs="Arial"/>
                <w:iCs/>
                <w:sz w:val="20"/>
              </w:rPr>
              <w:t>niso bili upoštevani.</w:t>
            </w:r>
          </w:p>
          <w:p w14:paraId="6786FF1D" w14:textId="77777777" w:rsidR="00794674" w:rsidRPr="00732B0A" w:rsidRDefault="00794674" w:rsidP="00D0002D">
            <w:pPr>
              <w:pStyle w:val="Neotevilenodstavek"/>
              <w:widowControl w:val="0"/>
              <w:spacing w:before="0" w:after="0" w:line="276" w:lineRule="auto"/>
              <w:rPr>
                <w:rFonts w:cs="Arial"/>
                <w:iCs/>
                <w:sz w:val="20"/>
              </w:rPr>
            </w:pPr>
            <w:r w:rsidRPr="00732B0A">
              <w:rPr>
                <w:rFonts w:cs="Arial"/>
                <w:iCs/>
                <w:sz w:val="20"/>
              </w:rPr>
              <w:t>Bistveni predlogi in pripombe, ki niso bili upoštevani.</w:t>
            </w:r>
          </w:p>
          <w:p w14:paraId="40F5F19F" w14:textId="77777777" w:rsidR="00794674" w:rsidRPr="00732B0A" w:rsidRDefault="00B20867"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w:t>
            </w:r>
          </w:p>
        </w:tc>
      </w:tr>
      <w:tr w:rsidR="00794674" w:rsidRPr="00732B0A" w14:paraId="632F82EB" w14:textId="77777777" w:rsidTr="00794674">
        <w:tc>
          <w:tcPr>
            <w:tcW w:w="9163" w:type="dxa"/>
            <w:gridSpan w:val="4"/>
          </w:tcPr>
          <w:p w14:paraId="4DB2E607" w14:textId="77777777" w:rsidR="00794674" w:rsidRPr="00732B0A" w:rsidRDefault="00794674" w:rsidP="00D0002D">
            <w:pPr>
              <w:pStyle w:val="Oddelek"/>
              <w:widowControl w:val="0"/>
              <w:numPr>
                <w:ilvl w:val="0"/>
                <w:numId w:val="0"/>
              </w:numPr>
              <w:spacing w:before="0" w:after="0" w:line="260" w:lineRule="exact"/>
              <w:jc w:val="left"/>
              <w:rPr>
                <w:rFonts w:cs="Arial"/>
                <w:sz w:val="20"/>
              </w:rPr>
            </w:pPr>
            <w:r w:rsidRPr="00732B0A">
              <w:rPr>
                <w:rFonts w:cs="Arial"/>
                <w:sz w:val="20"/>
                <w:lang w:eastAsia="sl-SI"/>
              </w:rPr>
              <w:t>9. Predstavitev sodelovanja javnosti</w:t>
            </w:r>
          </w:p>
        </w:tc>
      </w:tr>
      <w:tr w:rsidR="00794674" w:rsidRPr="00732B0A" w14:paraId="5DA1D8D9" w14:textId="77777777" w:rsidTr="00794674">
        <w:tc>
          <w:tcPr>
            <w:tcW w:w="6892" w:type="dxa"/>
            <w:gridSpan w:val="3"/>
          </w:tcPr>
          <w:p w14:paraId="30BE4C2F" w14:textId="77777777" w:rsidR="00794674" w:rsidRPr="00732B0A" w:rsidRDefault="00794674" w:rsidP="00D0002D">
            <w:pPr>
              <w:pStyle w:val="Brezrazmikov"/>
              <w:rPr>
                <w:rFonts w:cs="Arial"/>
                <w:szCs w:val="20"/>
                <w:lang w:val="sl-SI"/>
              </w:rPr>
            </w:pPr>
            <w:r w:rsidRPr="00732B0A">
              <w:rPr>
                <w:rFonts w:cs="Arial"/>
                <w:iCs/>
                <w:szCs w:val="20"/>
                <w:lang w:val="sl-SI"/>
              </w:rPr>
              <w:t>Gradivo je bilo predhodno objavljeno na spletni strani predlagatelja</w:t>
            </w:r>
          </w:p>
        </w:tc>
        <w:tc>
          <w:tcPr>
            <w:tcW w:w="2271" w:type="dxa"/>
          </w:tcPr>
          <w:p w14:paraId="0F7D869C" w14:textId="77777777" w:rsidR="00794674" w:rsidRPr="00732B0A" w:rsidRDefault="00B20867" w:rsidP="00794674">
            <w:pPr>
              <w:pStyle w:val="Brezrazmikov"/>
              <w:rPr>
                <w:rFonts w:cs="Arial"/>
                <w:iCs/>
                <w:szCs w:val="20"/>
                <w:lang w:val="sl-SI"/>
              </w:rPr>
            </w:pPr>
            <w:r w:rsidRPr="00732B0A">
              <w:rPr>
                <w:rFonts w:cs="Arial"/>
                <w:iCs/>
                <w:szCs w:val="20"/>
                <w:lang w:val="sl-SI"/>
              </w:rPr>
              <w:t>DA</w:t>
            </w:r>
          </w:p>
        </w:tc>
      </w:tr>
      <w:tr w:rsidR="00794674" w:rsidRPr="00732B0A" w14:paraId="3BBFEB11" w14:textId="77777777" w:rsidTr="00794674">
        <w:trPr>
          <w:trHeight w:val="274"/>
        </w:trPr>
        <w:tc>
          <w:tcPr>
            <w:tcW w:w="9163" w:type="dxa"/>
            <w:gridSpan w:val="4"/>
          </w:tcPr>
          <w:p w14:paraId="2508F64B" w14:textId="77777777" w:rsidR="00FD2915" w:rsidRPr="00732B0A" w:rsidRDefault="00FD2915" w:rsidP="00D0002D">
            <w:pPr>
              <w:pStyle w:val="Brezrazmikov"/>
              <w:jc w:val="both"/>
              <w:rPr>
                <w:rFonts w:cs="Arial"/>
                <w:szCs w:val="20"/>
                <w:lang w:val="sl-SI"/>
              </w:rPr>
            </w:pPr>
          </w:p>
          <w:p w14:paraId="63DD5F94" w14:textId="0B208282" w:rsidR="00B9513B" w:rsidRPr="00B9513B" w:rsidRDefault="00B9513B" w:rsidP="00B9513B">
            <w:pPr>
              <w:pStyle w:val="Brezrazmikov"/>
              <w:jc w:val="both"/>
              <w:rPr>
                <w:rFonts w:cs="Arial"/>
                <w:iCs/>
                <w:szCs w:val="20"/>
                <w:lang w:val="sl-SI"/>
              </w:rPr>
            </w:pPr>
            <w:r w:rsidRPr="00B9513B">
              <w:rPr>
                <w:rFonts w:cs="Arial"/>
                <w:iCs/>
                <w:szCs w:val="20"/>
                <w:lang w:val="sl-SI"/>
              </w:rPr>
              <w:t>Javna objava predloga Zakona o spremembah in dopolnitvah Zakona o trgu finančnih instrumentov je potekala od 1.</w:t>
            </w:r>
            <w:r>
              <w:rPr>
                <w:rFonts w:cs="Arial"/>
                <w:iCs/>
                <w:szCs w:val="20"/>
                <w:lang w:val="sl-SI"/>
              </w:rPr>
              <w:t xml:space="preserve"> 4</w:t>
            </w:r>
            <w:r w:rsidRPr="00B9513B">
              <w:rPr>
                <w:rFonts w:cs="Arial"/>
                <w:iCs/>
                <w:szCs w:val="20"/>
                <w:lang w:val="sl-SI"/>
              </w:rPr>
              <w:t>.</w:t>
            </w:r>
            <w:r>
              <w:rPr>
                <w:rFonts w:cs="Arial"/>
                <w:iCs/>
                <w:szCs w:val="20"/>
                <w:lang w:val="sl-SI"/>
              </w:rPr>
              <w:t xml:space="preserve"> </w:t>
            </w:r>
            <w:r w:rsidRPr="00B9513B">
              <w:rPr>
                <w:rFonts w:cs="Arial"/>
                <w:iCs/>
                <w:szCs w:val="20"/>
                <w:lang w:val="sl-SI"/>
              </w:rPr>
              <w:t>202</w:t>
            </w:r>
            <w:r>
              <w:rPr>
                <w:rFonts w:cs="Arial"/>
                <w:iCs/>
                <w:szCs w:val="20"/>
                <w:lang w:val="sl-SI"/>
              </w:rPr>
              <w:t>5</w:t>
            </w:r>
            <w:r w:rsidRPr="00B9513B">
              <w:rPr>
                <w:rFonts w:cs="Arial"/>
                <w:iCs/>
                <w:szCs w:val="20"/>
                <w:lang w:val="sl-SI"/>
              </w:rPr>
              <w:t xml:space="preserve"> do 1</w:t>
            </w:r>
            <w:r>
              <w:rPr>
                <w:rFonts w:cs="Arial"/>
                <w:iCs/>
                <w:szCs w:val="20"/>
                <w:lang w:val="sl-SI"/>
              </w:rPr>
              <w:t>5</w:t>
            </w:r>
            <w:r w:rsidRPr="00B9513B">
              <w:rPr>
                <w:rFonts w:cs="Arial"/>
                <w:iCs/>
                <w:szCs w:val="20"/>
                <w:lang w:val="sl-SI"/>
              </w:rPr>
              <w:t>.</w:t>
            </w:r>
            <w:r>
              <w:rPr>
                <w:rFonts w:cs="Arial"/>
                <w:iCs/>
                <w:szCs w:val="20"/>
                <w:lang w:val="sl-SI"/>
              </w:rPr>
              <w:t xml:space="preserve"> 4</w:t>
            </w:r>
            <w:r w:rsidRPr="00B9513B">
              <w:rPr>
                <w:rFonts w:cs="Arial"/>
                <w:iCs/>
                <w:szCs w:val="20"/>
                <w:lang w:val="sl-SI"/>
              </w:rPr>
              <w:t>.</w:t>
            </w:r>
            <w:r>
              <w:rPr>
                <w:rFonts w:cs="Arial"/>
                <w:iCs/>
                <w:szCs w:val="20"/>
                <w:lang w:val="sl-SI"/>
              </w:rPr>
              <w:t xml:space="preserve"> </w:t>
            </w:r>
            <w:r w:rsidRPr="00B9513B">
              <w:rPr>
                <w:rFonts w:cs="Arial"/>
                <w:iCs/>
                <w:szCs w:val="20"/>
                <w:lang w:val="sl-SI"/>
              </w:rPr>
              <w:t xml:space="preserve">2025. Gradivo je bilo objavljeno na </w:t>
            </w:r>
            <w:r>
              <w:rPr>
                <w:rFonts w:cs="Arial"/>
                <w:iCs/>
                <w:szCs w:val="20"/>
                <w:lang w:val="sl-SI"/>
              </w:rPr>
              <w:t>spletnem portalu</w:t>
            </w:r>
            <w:r w:rsidRPr="00B9513B">
              <w:rPr>
                <w:rFonts w:cs="Arial"/>
                <w:iCs/>
                <w:szCs w:val="20"/>
                <w:lang w:val="sl-SI"/>
              </w:rPr>
              <w:t xml:space="preserve"> eDemokracija: https://e-uprava.gov.si/si/drzava-in-druzba/e-demokracija/predlogi-predpisov/predlog-predpisa.html?id=17687&amp;lang=si</w:t>
            </w:r>
          </w:p>
          <w:p w14:paraId="3EA8A3C8" w14:textId="77777777" w:rsidR="00B9513B" w:rsidRPr="00B9513B" w:rsidRDefault="00B9513B" w:rsidP="00B9513B">
            <w:pPr>
              <w:pStyle w:val="Brezrazmikov"/>
              <w:jc w:val="both"/>
              <w:rPr>
                <w:rFonts w:cs="Arial"/>
                <w:iCs/>
                <w:szCs w:val="20"/>
                <w:lang w:val="sl-SI"/>
              </w:rPr>
            </w:pPr>
          </w:p>
          <w:p w14:paraId="66A00286" w14:textId="41BA6C70" w:rsidR="00D408C2" w:rsidRPr="00732B0A" w:rsidRDefault="00B9513B" w:rsidP="00B9513B">
            <w:pPr>
              <w:pStyle w:val="Brezrazmikov"/>
              <w:jc w:val="both"/>
              <w:rPr>
                <w:rFonts w:cs="Arial"/>
                <w:iCs/>
                <w:szCs w:val="20"/>
                <w:lang w:val="sl-SI"/>
              </w:rPr>
            </w:pPr>
            <w:r w:rsidRPr="00B9513B">
              <w:rPr>
                <w:rFonts w:cs="Arial"/>
                <w:iCs/>
                <w:szCs w:val="20"/>
                <w:lang w:val="sl-SI"/>
              </w:rPr>
              <w:t>Bistveni predlogi in pripombe ter način njihovega upoštevanja:</w:t>
            </w:r>
          </w:p>
          <w:p w14:paraId="5AD7E97D" w14:textId="77777777" w:rsidR="00BD7ABF" w:rsidRDefault="00BD7ABF" w:rsidP="00BD7ABF">
            <w:pPr>
              <w:pStyle w:val="Brezrazmikov"/>
              <w:jc w:val="both"/>
              <w:rPr>
                <w:rFonts w:cs="Arial"/>
                <w:iCs/>
                <w:szCs w:val="20"/>
                <w:lang w:val="sl-SI"/>
              </w:rPr>
            </w:pPr>
          </w:p>
          <w:p w14:paraId="04378CA1" w14:textId="4A91EA57" w:rsidR="00BD7ABF" w:rsidRPr="00BD7ABF" w:rsidRDefault="00BD7ABF" w:rsidP="00BD7ABF">
            <w:pPr>
              <w:pStyle w:val="Brezrazmikov"/>
              <w:jc w:val="both"/>
              <w:rPr>
                <w:rFonts w:cs="Arial"/>
                <w:iCs/>
                <w:szCs w:val="20"/>
                <w:lang w:val="sl-SI"/>
              </w:rPr>
            </w:pPr>
            <w:r w:rsidRPr="00BD7ABF">
              <w:rPr>
                <w:rFonts w:cs="Arial"/>
                <w:iCs/>
                <w:szCs w:val="20"/>
                <w:lang w:val="sl-SI"/>
              </w:rPr>
              <w:t>Banka Slovenije je predlagala:</w:t>
            </w:r>
          </w:p>
          <w:p w14:paraId="621ABE93" w14:textId="77777777" w:rsidR="00BD7ABF" w:rsidRPr="00BD7ABF" w:rsidRDefault="00BD7ABF" w:rsidP="00BD7ABF">
            <w:pPr>
              <w:pStyle w:val="Brezrazmikov"/>
              <w:numPr>
                <w:ilvl w:val="0"/>
                <w:numId w:val="31"/>
              </w:numPr>
              <w:jc w:val="both"/>
              <w:rPr>
                <w:rFonts w:cs="Arial"/>
                <w:iCs/>
                <w:szCs w:val="20"/>
                <w:lang w:val="sl-SI"/>
              </w:rPr>
            </w:pPr>
            <w:r w:rsidRPr="00BD7ABF">
              <w:rPr>
                <w:rFonts w:cs="Arial"/>
                <w:iCs/>
                <w:szCs w:val="20"/>
                <w:lang w:val="sl-SI"/>
              </w:rPr>
              <w:t>črtanje izraza »modelsko tveganje« v tretjem odstavku 5. člena ZTFI-1, saj je bila zadevna definicija z novelo ZBan-3 odpravljena – predlog je upoštevan;</w:t>
            </w:r>
          </w:p>
          <w:p w14:paraId="370DEF2F" w14:textId="77777777" w:rsidR="00BD7ABF" w:rsidRPr="00BD7ABF" w:rsidRDefault="00BD7ABF" w:rsidP="00BD7ABF">
            <w:pPr>
              <w:pStyle w:val="Brezrazmikov"/>
              <w:numPr>
                <w:ilvl w:val="0"/>
                <w:numId w:val="31"/>
              </w:numPr>
              <w:jc w:val="both"/>
              <w:rPr>
                <w:rFonts w:cs="Arial"/>
                <w:iCs/>
                <w:szCs w:val="20"/>
                <w:lang w:val="sl-SI"/>
              </w:rPr>
            </w:pPr>
            <w:r w:rsidRPr="00BD7ABF">
              <w:rPr>
                <w:rFonts w:cs="Arial"/>
                <w:iCs/>
                <w:szCs w:val="20"/>
                <w:lang w:val="sl-SI"/>
              </w:rPr>
              <w:t>dopolnitev drugega in četrtega odstavka 20. člen in prvega odstavka 61. člena ZTFI-1 na način, da se doda izraz »kreditna družba« ter dodatno preveri, ali so navedene spremembe potrebne še v dodanih členih ZTFI-1 – predlog je upoštevan, izraz »kreditna družba« je bil dodan še v 36., 61., 195., 344., 358., 411. in 448. členu ZTFI-1;</w:t>
            </w:r>
          </w:p>
          <w:p w14:paraId="2C9DB97D" w14:textId="041972C8" w:rsidR="00BD7ABF" w:rsidRPr="00BD7ABF" w:rsidRDefault="00BD7ABF" w:rsidP="00BD7ABF">
            <w:pPr>
              <w:pStyle w:val="Brezrazmikov"/>
              <w:numPr>
                <w:ilvl w:val="0"/>
                <w:numId w:val="31"/>
              </w:numPr>
              <w:jc w:val="both"/>
              <w:rPr>
                <w:rFonts w:cs="Arial"/>
                <w:iCs/>
                <w:szCs w:val="20"/>
                <w:lang w:val="sl-SI"/>
              </w:rPr>
            </w:pPr>
            <w:r w:rsidRPr="00BD7ABF">
              <w:rPr>
                <w:rFonts w:cs="Arial"/>
                <w:iCs/>
                <w:szCs w:val="20"/>
                <w:lang w:val="sl-SI"/>
              </w:rPr>
              <w:t>da se v členu v 1. toč</w:t>
            </w:r>
            <w:r w:rsidR="00CE5447">
              <w:rPr>
                <w:rFonts w:cs="Arial"/>
                <w:iCs/>
                <w:szCs w:val="20"/>
                <w:lang w:val="sl-SI"/>
              </w:rPr>
              <w:t>k</w:t>
            </w:r>
            <w:r w:rsidRPr="00BD7ABF">
              <w:rPr>
                <w:rFonts w:cs="Arial"/>
                <w:iCs/>
                <w:szCs w:val="20"/>
                <w:lang w:val="sl-SI"/>
              </w:rPr>
              <w:t>i drugega odstavka 59. člena ZTFI-1 besedilo »ki za to pridobi dovoljenje Banke Slovenije« nadomesti z besedilom »ki za to pridobi dovoljenje v skladu z ZBan-3«, saj dovoljenja za poslovanje banke ali kreditne družbe izdaja Evropska centralna banka – predlog je upoštevan; in</w:t>
            </w:r>
          </w:p>
          <w:p w14:paraId="39E1BAF7" w14:textId="77777777" w:rsidR="00BD7ABF" w:rsidRPr="00BD7ABF" w:rsidRDefault="00BD7ABF" w:rsidP="00BD7ABF">
            <w:pPr>
              <w:pStyle w:val="Brezrazmikov"/>
              <w:numPr>
                <w:ilvl w:val="0"/>
                <w:numId w:val="31"/>
              </w:numPr>
              <w:jc w:val="both"/>
              <w:rPr>
                <w:rFonts w:cs="Arial"/>
                <w:iCs/>
                <w:szCs w:val="20"/>
                <w:lang w:val="sl-SI"/>
              </w:rPr>
            </w:pPr>
            <w:r w:rsidRPr="00BD7ABF">
              <w:rPr>
                <w:rFonts w:cs="Arial"/>
                <w:iCs/>
                <w:szCs w:val="20"/>
                <w:lang w:val="sl-SI"/>
              </w:rPr>
              <w:t>da se besedilo prvega odstavka 133. člena ZTFI-1 prilagodi zaradi uskladitve z Zakonom o spremembah in dopolnitvah Zakona o gospodarskih družbah (ZGD-1M), s katerim je bila "izjava o nefinančnem poslovanju" nadomeščena s "poročilom o trajnostnosti".</w:t>
            </w:r>
          </w:p>
          <w:p w14:paraId="23CE654E" w14:textId="77777777" w:rsidR="00BD7ABF" w:rsidRPr="00BD7ABF" w:rsidRDefault="00BD7ABF" w:rsidP="00BD7ABF">
            <w:pPr>
              <w:pStyle w:val="Brezrazmikov"/>
              <w:jc w:val="both"/>
              <w:rPr>
                <w:rFonts w:cs="Arial"/>
                <w:iCs/>
                <w:szCs w:val="20"/>
                <w:lang w:val="sl-SI"/>
              </w:rPr>
            </w:pPr>
          </w:p>
          <w:p w14:paraId="4011376E" w14:textId="77777777" w:rsidR="00BD7ABF" w:rsidRPr="00BD7ABF" w:rsidRDefault="00BD7ABF" w:rsidP="00BD7ABF">
            <w:pPr>
              <w:pStyle w:val="Brezrazmikov"/>
              <w:jc w:val="both"/>
              <w:rPr>
                <w:rFonts w:cs="Arial"/>
                <w:iCs/>
                <w:szCs w:val="20"/>
                <w:lang w:val="sl-SI"/>
              </w:rPr>
            </w:pPr>
            <w:r w:rsidRPr="00BD7ABF">
              <w:rPr>
                <w:rFonts w:cs="Arial"/>
                <w:iCs/>
                <w:szCs w:val="20"/>
                <w:lang w:val="sl-SI"/>
              </w:rPr>
              <w:t>ATVP je predlagala:</w:t>
            </w:r>
          </w:p>
          <w:p w14:paraId="6F88457C" w14:textId="77777777" w:rsidR="00BD7ABF" w:rsidRPr="00BD7ABF" w:rsidRDefault="00BD7ABF" w:rsidP="00BD7ABF">
            <w:pPr>
              <w:pStyle w:val="Brezrazmikov"/>
              <w:numPr>
                <w:ilvl w:val="0"/>
                <w:numId w:val="32"/>
              </w:numPr>
              <w:jc w:val="both"/>
              <w:rPr>
                <w:rFonts w:cs="Arial"/>
                <w:iCs/>
                <w:szCs w:val="20"/>
                <w:lang w:val="sl-SI"/>
              </w:rPr>
            </w:pPr>
            <w:r w:rsidRPr="00BD7ABF">
              <w:rPr>
                <w:rFonts w:cs="Arial"/>
                <w:iCs/>
                <w:szCs w:val="20"/>
                <w:lang w:val="sl-SI"/>
              </w:rPr>
              <w:t>dopolnitve besedila prvega odstavka predlaganega novega 429.a člena in nov drugi odstavek tega člena – predlog je upoštevan; in</w:t>
            </w:r>
          </w:p>
          <w:p w14:paraId="238DCAD7" w14:textId="59DE8DAC" w:rsidR="008C4C27" w:rsidRPr="00732B0A" w:rsidRDefault="00BD7ABF" w:rsidP="00BD7ABF">
            <w:pPr>
              <w:pStyle w:val="Brezrazmikov"/>
              <w:numPr>
                <w:ilvl w:val="0"/>
                <w:numId w:val="32"/>
              </w:numPr>
              <w:jc w:val="both"/>
              <w:rPr>
                <w:rFonts w:cs="Arial"/>
                <w:iCs/>
                <w:szCs w:val="20"/>
                <w:lang w:val="sl-SI"/>
              </w:rPr>
            </w:pPr>
            <w:r w:rsidRPr="00BD7ABF">
              <w:rPr>
                <w:rFonts w:cs="Arial"/>
                <w:iCs/>
                <w:szCs w:val="20"/>
                <w:lang w:val="sl-SI"/>
              </w:rPr>
              <w:lastRenderedPageBreak/>
              <w:t>črtanje spremembe 10. točke 62. člena ZTFI-1, saj morajo osebe po Direktivi 2014/65/EU na zahtevo nadzornega organa poročati – predlog je upoštevan.</w:t>
            </w:r>
          </w:p>
          <w:p w14:paraId="11AB4CC3" w14:textId="77777777" w:rsidR="00FD3E50" w:rsidRPr="00732B0A" w:rsidRDefault="00FD3E50" w:rsidP="00D0002D">
            <w:pPr>
              <w:pStyle w:val="Brezrazmikov"/>
              <w:jc w:val="both"/>
              <w:rPr>
                <w:rFonts w:cs="Arial"/>
                <w:iCs/>
                <w:szCs w:val="20"/>
                <w:lang w:val="sl-SI"/>
              </w:rPr>
            </w:pPr>
          </w:p>
          <w:p w14:paraId="73AC8038" w14:textId="77777777" w:rsidR="00624B89" w:rsidRPr="00732B0A" w:rsidRDefault="00624B89" w:rsidP="00D0002D">
            <w:pPr>
              <w:pStyle w:val="Brezrazmikov"/>
              <w:jc w:val="both"/>
              <w:rPr>
                <w:rFonts w:cs="Arial"/>
                <w:iCs/>
                <w:szCs w:val="20"/>
                <w:lang w:val="sl-SI"/>
              </w:rPr>
            </w:pPr>
          </w:p>
        </w:tc>
      </w:tr>
      <w:tr w:rsidR="00794674" w:rsidRPr="00732B0A" w14:paraId="565A27C1" w14:textId="77777777" w:rsidTr="00794674">
        <w:tc>
          <w:tcPr>
            <w:tcW w:w="6892" w:type="dxa"/>
            <w:gridSpan w:val="3"/>
          </w:tcPr>
          <w:p w14:paraId="4CA9B56E" w14:textId="77777777" w:rsidR="00794674" w:rsidRPr="00732B0A" w:rsidRDefault="00794674" w:rsidP="00D0002D">
            <w:pPr>
              <w:pStyle w:val="Oddelek"/>
              <w:widowControl w:val="0"/>
              <w:numPr>
                <w:ilvl w:val="0"/>
                <w:numId w:val="0"/>
              </w:numPr>
              <w:spacing w:before="0" w:after="0" w:line="260" w:lineRule="exact"/>
              <w:jc w:val="left"/>
              <w:rPr>
                <w:rFonts w:cs="Arial"/>
                <w:sz w:val="20"/>
              </w:rPr>
            </w:pPr>
            <w:r w:rsidRPr="00732B0A">
              <w:rPr>
                <w:rFonts w:cs="Arial"/>
                <w:sz w:val="20"/>
                <w:lang w:eastAsia="sl-SI"/>
              </w:rPr>
              <w:lastRenderedPageBreak/>
              <w:t>10. Pri pripravi gradiva so bile upoštevane zahteve iz Resolucije o normativni dejavnosti</w:t>
            </w:r>
          </w:p>
        </w:tc>
        <w:tc>
          <w:tcPr>
            <w:tcW w:w="2271" w:type="dxa"/>
          </w:tcPr>
          <w:p w14:paraId="25A21707" w14:textId="77777777" w:rsidR="00794674" w:rsidRPr="00732B0A" w:rsidRDefault="00794674" w:rsidP="00794674">
            <w:pPr>
              <w:pStyle w:val="Brezrazmikov"/>
              <w:rPr>
                <w:rFonts w:cs="Arial"/>
                <w:b/>
                <w:bCs/>
                <w:szCs w:val="20"/>
                <w:lang w:val="sl-SI" w:eastAsia="sl-SI"/>
              </w:rPr>
            </w:pPr>
            <w:r w:rsidRPr="00732B0A">
              <w:rPr>
                <w:rFonts w:cs="Arial"/>
                <w:b/>
                <w:bCs/>
                <w:szCs w:val="20"/>
                <w:lang w:val="sl-SI" w:eastAsia="sl-SI"/>
              </w:rPr>
              <w:t>DA</w:t>
            </w:r>
          </w:p>
        </w:tc>
      </w:tr>
      <w:tr w:rsidR="00794674" w:rsidRPr="00732B0A" w14:paraId="1CD7ED2C" w14:textId="77777777" w:rsidTr="00794674">
        <w:tc>
          <w:tcPr>
            <w:tcW w:w="6892" w:type="dxa"/>
            <w:gridSpan w:val="3"/>
          </w:tcPr>
          <w:p w14:paraId="5BB40A80" w14:textId="77777777" w:rsidR="00794674" w:rsidRPr="00732B0A" w:rsidRDefault="00794674" w:rsidP="00D0002D">
            <w:pPr>
              <w:pStyle w:val="Oddelek"/>
              <w:widowControl w:val="0"/>
              <w:numPr>
                <w:ilvl w:val="0"/>
                <w:numId w:val="0"/>
              </w:numPr>
              <w:spacing w:before="0" w:after="0" w:line="260" w:lineRule="exact"/>
              <w:jc w:val="left"/>
              <w:rPr>
                <w:rFonts w:cs="Arial"/>
                <w:sz w:val="20"/>
                <w:lang w:eastAsia="sl-SI"/>
              </w:rPr>
            </w:pPr>
            <w:r w:rsidRPr="00732B0A">
              <w:rPr>
                <w:rFonts w:cs="Arial"/>
                <w:sz w:val="20"/>
                <w:lang w:eastAsia="sl-SI"/>
              </w:rPr>
              <w:t>11. Gradivo je uvrščeno v delovni program vlade:</w:t>
            </w:r>
          </w:p>
        </w:tc>
        <w:tc>
          <w:tcPr>
            <w:tcW w:w="2271" w:type="dxa"/>
          </w:tcPr>
          <w:p w14:paraId="2503C637" w14:textId="77777777" w:rsidR="00794674" w:rsidRPr="00732B0A" w:rsidRDefault="0032077C" w:rsidP="00794674">
            <w:pPr>
              <w:pStyle w:val="Brezrazmikov"/>
              <w:rPr>
                <w:rFonts w:cs="Arial"/>
                <w:b/>
                <w:bCs/>
                <w:szCs w:val="20"/>
                <w:lang w:val="sl-SI" w:eastAsia="sl-SI"/>
              </w:rPr>
            </w:pPr>
            <w:r w:rsidRPr="00732B0A">
              <w:rPr>
                <w:rFonts w:cs="Arial"/>
                <w:b/>
                <w:bCs/>
                <w:szCs w:val="20"/>
                <w:lang w:val="sl-SI" w:eastAsia="sl-SI"/>
              </w:rPr>
              <w:t>NE</w:t>
            </w:r>
          </w:p>
        </w:tc>
      </w:tr>
      <w:tr w:rsidR="00794674" w:rsidRPr="00732B0A" w14:paraId="3579942F" w14:textId="77777777" w:rsidTr="00794674">
        <w:tc>
          <w:tcPr>
            <w:tcW w:w="9163" w:type="dxa"/>
            <w:gridSpan w:val="4"/>
          </w:tcPr>
          <w:p w14:paraId="22B26583" w14:textId="77777777" w:rsidR="00794674" w:rsidRPr="00732B0A" w:rsidRDefault="00794674" w:rsidP="00D0002D">
            <w:pPr>
              <w:pStyle w:val="Brezrazmikov"/>
              <w:rPr>
                <w:rFonts w:cs="Arial"/>
                <w:szCs w:val="20"/>
                <w:lang w:val="sl-SI"/>
              </w:rPr>
            </w:pPr>
            <w:r w:rsidRPr="00732B0A">
              <w:rPr>
                <w:rFonts w:cs="Arial"/>
                <w:szCs w:val="20"/>
                <w:lang w:val="sl-SI"/>
              </w:rPr>
              <w:t xml:space="preserve">                                                                                                         </w:t>
            </w:r>
          </w:p>
          <w:p w14:paraId="30ED12BB" w14:textId="77777777" w:rsidR="00794674" w:rsidRPr="00732B0A" w:rsidRDefault="00794674" w:rsidP="00D0002D">
            <w:pPr>
              <w:pStyle w:val="Brezrazmikov"/>
              <w:rPr>
                <w:rFonts w:cs="Arial"/>
                <w:szCs w:val="20"/>
                <w:lang w:val="sl-SI"/>
              </w:rPr>
            </w:pPr>
            <w:r w:rsidRPr="00732B0A">
              <w:rPr>
                <w:rFonts w:cs="Arial"/>
                <w:szCs w:val="20"/>
                <w:lang w:val="sl-SI"/>
              </w:rPr>
              <w:t xml:space="preserve"> </w:t>
            </w:r>
          </w:p>
          <w:p w14:paraId="11F455FF" w14:textId="77777777" w:rsidR="00794674" w:rsidRPr="00732B0A" w:rsidRDefault="00794674" w:rsidP="00D0002D">
            <w:pPr>
              <w:pStyle w:val="Brezrazmikov"/>
              <w:rPr>
                <w:rFonts w:cs="Arial"/>
                <w:b/>
                <w:iCs/>
                <w:szCs w:val="20"/>
                <w:lang w:val="sl-SI"/>
              </w:rPr>
            </w:pPr>
            <w:r w:rsidRPr="00732B0A">
              <w:rPr>
                <w:rFonts w:cs="Arial"/>
                <w:szCs w:val="20"/>
                <w:lang w:val="sl-SI"/>
              </w:rPr>
              <w:t xml:space="preserve">                                                                                                           </w:t>
            </w:r>
            <w:r w:rsidR="00D94848" w:rsidRPr="00732B0A">
              <w:rPr>
                <w:rFonts w:cs="Arial"/>
                <w:b/>
                <w:szCs w:val="20"/>
                <w:lang w:val="sl-SI"/>
              </w:rPr>
              <w:t>Klemen Boštjančič</w:t>
            </w:r>
          </w:p>
          <w:p w14:paraId="6593C4BE" w14:textId="77777777" w:rsidR="00794674" w:rsidRPr="00732B0A" w:rsidRDefault="00794674" w:rsidP="00D0002D">
            <w:pPr>
              <w:pStyle w:val="Brezrazmikov"/>
              <w:rPr>
                <w:rFonts w:cs="Arial"/>
                <w:b/>
                <w:szCs w:val="20"/>
                <w:lang w:val="sl-SI"/>
              </w:rPr>
            </w:pPr>
            <w:r w:rsidRPr="00732B0A">
              <w:rPr>
                <w:rFonts w:cs="Arial"/>
                <w:b/>
                <w:szCs w:val="20"/>
                <w:lang w:val="sl-SI"/>
              </w:rPr>
              <w:t xml:space="preserve">                                                                                                                    MINISTER</w:t>
            </w:r>
          </w:p>
          <w:p w14:paraId="70EF9432" w14:textId="77777777" w:rsidR="00D0002D" w:rsidRPr="00732B0A" w:rsidRDefault="00D0002D" w:rsidP="00D0002D">
            <w:pPr>
              <w:pStyle w:val="Brezrazmikov"/>
              <w:rPr>
                <w:rFonts w:cs="Arial"/>
                <w:b/>
                <w:szCs w:val="20"/>
                <w:lang w:val="sl-SI"/>
              </w:rPr>
            </w:pPr>
          </w:p>
          <w:p w14:paraId="321546F0" w14:textId="77777777" w:rsidR="00794674" w:rsidRPr="00732B0A" w:rsidRDefault="00794674" w:rsidP="00D0002D">
            <w:pPr>
              <w:pStyle w:val="Brezrazmikov"/>
              <w:rPr>
                <w:rFonts w:cs="Arial"/>
                <w:b/>
                <w:szCs w:val="20"/>
                <w:lang w:val="sl-SI"/>
              </w:rPr>
            </w:pPr>
            <w:r w:rsidRPr="00732B0A">
              <w:rPr>
                <w:rFonts w:cs="Arial"/>
                <w:b/>
                <w:szCs w:val="20"/>
                <w:lang w:val="sl-SI"/>
              </w:rPr>
              <w:t xml:space="preserve">PRILOGE: </w:t>
            </w:r>
          </w:p>
          <w:p w14:paraId="754F39EE" w14:textId="77777777" w:rsidR="00794674" w:rsidRPr="00732B0A" w:rsidRDefault="00794674" w:rsidP="00D0002D">
            <w:pPr>
              <w:pStyle w:val="Brezrazmikov"/>
              <w:numPr>
                <w:ilvl w:val="0"/>
                <w:numId w:val="6"/>
              </w:numPr>
              <w:jc w:val="both"/>
              <w:rPr>
                <w:rFonts w:cs="Arial"/>
                <w:szCs w:val="20"/>
                <w:lang w:val="sl-SI"/>
              </w:rPr>
            </w:pPr>
            <w:r w:rsidRPr="00732B0A">
              <w:rPr>
                <w:rFonts w:cs="Arial"/>
                <w:szCs w:val="20"/>
                <w:lang w:val="sl-SI"/>
              </w:rPr>
              <w:t>predlog sklepa Vlade Republike Slovenije,</w:t>
            </w:r>
          </w:p>
          <w:p w14:paraId="7B6E4A01" w14:textId="74EDACED" w:rsidR="00794674" w:rsidRPr="00732B0A" w:rsidRDefault="005B10BE" w:rsidP="00D0002D">
            <w:pPr>
              <w:pStyle w:val="Brezrazmikov"/>
              <w:numPr>
                <w:ilvl w:val="0"/>
                <w:numId w:val="6"/>
              </w:numPr>
              <w:jc w:val="both"/>
              <w:rPr>
                <w:rFonts w:cs="Arial"/>
                <w:szCs w:val="20"/>
                <w:lang w:val="sl-SI"/>
              </w:rPr>
            </w:pPr>
            <w:r w:rsidRPr="00732B0A">
              <w:rPr>
                <w:rFonts w:cs="Arial"/>
                <w:szCs w:val="20"/>
                <w:lang w:val="sl-SI"/>
              </w:rPr>
              <w:t>Z</w:t>
            </w:r>
            <w:r w:rsidR="00794674" w:rsidRPr="00732B0A">
              <w:rPr>
                <w:rFonts w:cs="Arial"/>
                <w:szCs w:val="20"/>
                <w:lang w:val="sl-SI"/>
              </w:rPr>
              <w:t>akon</w:t>
            </w:r>
            <w:r w:rsidRPr="00732B0A">
              <w:rPr>
                <w:rFonts w:cs="Arial"/>
                <w:szCs w:val="20"/>
                <w:lang w:val="sl-SI"/>
              </w:rPr>
              <w:t xml:space="preserve"> o</w:t>
            </w:r>
            <w:r w:rsidR="00A5037A" w:rsidRPr="00732B0A">
              <w:rPr>
                <w:rFonts w:cs="Arial"/>
                <w:szCs w:val="20"/>
                <w:lang w:val="sl-SI"/>
              </w:rPr>
              <w:t xml:space="preserve"> spremembah</w:t>
            </w:r>
            <w:r w:rsidR="00734F0F" w:rsidRPr="00732B0A">
              <w:rPr>
                <w:rFonts w:cs="Arial"/>
                <w:szCs w:val="20"/>
                <w:lang w:val="sl-SI"/>
              </w:rPr>
              <w:t xml:space="preserve"> in dopolnitvah</w:t>
            </w:r>
            <w:r w:rsidR="00A5037A" w:rsidRPr="00732B0A">
              <w:rPr>
                <w:rFonts w:cs="Arial"/>
                <w:szCs w:val="20"/>
                <w:lang w:val="sl-SI"/>
              </w:rPr>
              <w:t xml:space="preserve"> Zakona </w:t>
            </w:r>
            <w:r w:rsidR="00947D1F" w:rsidRPr="00732B0A">
              <w:rPr>
                <w:rFonts w:cs="Arial"/>
                <w:szCs w:val="20"/>
                <w:lang w:val="sl-SI"/>
              </w:rPr>
              <w:t xml:space="preserve">o trgu finančnih instrumentov </w:t>
            </w:r>
            <w:r w:rsidRPr="00732B0A">
              <w:rPr>
                <w:rFonts w:cs="Arial"/>
                <w:szCs w:val="20"/>
                <w:lang w:val="sl-SI"/>
              </w:rPr>
              <w:t>– predlog za obravnavo</w:t>
            </w:r>
            <w:r w:rsidR="00794674" w:rsidRPr="00732B0A">
              <w:rPr>
                <w:rFonts w:cs="Arial"/>
                <w:szCs w:val="20"/>
                <w:lang w:val="sl-SI"/>
              </w:rPr>
              <w:t>,</w:t>
            </w:r>
          </w:p>
          <w:p w14:paraId="511A13F4" w14:textId="77777777" w:rsidR="00A231F1" w:rsidRPr="00732B0A" w:rsidRDefault="00C85BA0" w:rsidP="00D0002D">
            <w:pPr>
              <w:pStyle w:val="Brezrazmikov"/>
              <w:numPr>
                <w:ilvl w:val="0"/>
                <w:numId w:val="6"/>
              </w:numPr>
              <w:jc w:val="both"/>
              <w:rPr>
                <w:rFonts w:cs="Arial"/>
                <w:szCs w:val="20"/>
                <w:lang w:val="sl-SI"/>
              </w:rPr>
            </w:pPr>
            <w:r w:rsidRPr="00732B0A">
              <w:rPr>
                <w:rFonts w:cs="Arial"/>
                <w:szCs w:val="20"/>
                <w:lang w:val="sl-SI"/>
              </w:rPr>
              <w:t>priloga 2 vladnega gradiva</w:t>
            </w:r>
            <w:r w:rsidR="00A231F1" w:rsidRPr="00732B0A">
              <w:rPr>
                <w:rFonts w:cs="Arial"/>
                <w:szCs w:val="20"/>
                <w:lang w:val="sl-SI"/>
              </w:rPr>
              <w:t>,</w:t>
            </w:r>
          </w:p>
          <w:p w14:paraId="707C60C3" w14:textId="5D0FEC38" w:rsidR="00794674" w:rsidRDefault="00DA73D8" w:rsidP="00D0002D">
            <w:pPr>
              <w:pStyle w:val="Brezrazmikov"/>
              <w:numPr>
                <w:ilvl w:val="0"/>
                <w:numId w:val="6"/>
              </w:numPr>
              <w:jc w:val="both"/>
              <w:rPr>
                <w:rFonts w:cs="Arial"/>
                <w:szCs w:val="20"/>
                <w:lang w:val="sl-SI"/>
              </w:rPr>
            </w:pPr>
            <w:r>
              <w:rPr>
                <w:rFonts w:cs="Arial"/>
                <w:szCs w:val="20"/>
                <w:lang w:val="sl-SI"/>
              </w:rPr>
              <w:t>povzetek presoje vplivov predpisa na gospodarstvo</w:t>
            </w:r>
            <w:r w:rsidR="00DB3D06">
              <w:rPr>
                <w:rFonts w:cs="Arial"/>
                <w:szCs w:val="20"/>
                <w:lang w:val="sl-SI"/>
              </w:rPr>
              <w:t>,</w:t>
            </w:r>
          </w:p>
          <w:p w14:paraId="6E9912F8" w14:textId="46E5FE61" w:rsidR="00B04202" w:rsidRDefault="00DA73D8" w:rsidP="00D0002D">
            <w:pPr>
              <w:pStyle w:val="Brezrazmikov"/>
              <w:numPr>
                <w:ilvl w:val="0"/>
                <w:numId w:val="6"/>
              </w:numPr>
              <w:jc w:val="both"/>
              <w:rPr>
                <w:rFonts w:cs="Arial"/>
                <w:szCs w:val="20"/>
                <w:lang w:val="sl-SI"/>
              </w:rPr>
            </w:pPr>
            <w:r>
              <w:rPr>
                <w:rFonts w:cs="Arial"/>
                <w:szCs w:val="20"/>
                <w:lang w:val="sl-SI"/>
              </w:rPr>
              <w:t>izjava o skladnosti</w:t>
            </w:r>
            <w:r w:rsidR="00DB3D06">
              <w:rPr>
                <w:rFonts w:cs="Arial"/>
                <w:szCs w:val="20"/>
                <w:lang w:val="sl-SI"/>
              </w:rPr>
              <w:t>,</w:t>
            </w:r>
          </w:p>
          <w:p w14:paraId="0179B74C" w14:textId="005CA782" w:rsidR="00B04202" w:rsidRPr="00732B0A" w:rsidRDefault="00DA73D8" w:rsidP="00D0002D">
            <w:pPr>
              <w:pStyle w:val="Brezrazmikov"/>
              <w:numPr>
                <w:ilvl w:val="0"/>
                <w:numId w:val="6"/>
              </w:numPr>
              <w:jc w:val="both"/>
              <w:rPr>
                <w:rFonts w:cs="Arial"/>
                <w:szCs w:val="20"/>
                <w:lang w:val="sl-SI"/>
              </w:rPr>
            </w:pPr>
            <w:r>
              <w:rPr>
                <w:rFonts w:cs="Arial"/>
                <w:szCs w:val="20"/>
                <w:lang w:val="sl-SI"/>
              </w:rPr>
              <w:t>k</w:t>
            </w:r>
            <w:r w:rsidR="00B04202">
              <w:rPr>
                <w:rFonts w:cs="Arial"/>
                <w:szCs w:val="20"/>
                <w:lang w:val="sl-SI"/>
              </w:rPr>
              <w:t>orelacijska tabela</w:t>
            </w:r>
          </w:p>
        </w:tc>
      </w:tr>
    </w:tbl>
    <w:p w14:paraId="1436A40C" w14:textId="77777777" w:rsidR="00917E7B" w:rsidRPr="00732B0A" w:rsidRDefault="00917E7B" w:rsidP="008B2C64">
      <w:pPr>
        <w:autoSpaceDE w:val="0"/>
        <w:autoSpaceDN w:val="0"/>
        <w:adjustRightInd w:val="0"/>
        <w:spacing w:line="240" w:lineRule="auto"/>
        <w:jc w:val="both"/>
        <w:rPr>
          <w:rFonts w:cs="Arial"/>
          <w:szCs w:val="20"/>
        </w:rPr>
      </w:pPr>
    </w:p>
    <w:p w14:paraId="0F401E8E" w14:textId="77777777" w:rsidR="00917E7B" w:rsidRPr="00732B0A" w:rsidRDefault="00917E7B" w:rsidP="008B2C64">
      <w:pPr>
        <w:autoSpaceDE w:val="0"/>
        <w:autoSpaceDN w:val="0"/>
        <w:adjustRightInd w:val="0"/>
        <w:spacing w:line="240" w:lineRule="auto"/>
        <w:jc w:val="both"/>
        <w:rPr>
          <w:rFonts w:cs="Arial"/>
          <w:szCs w:val="20"/>
        </w:rPr>
      </w:pPr>
    </w:p>
    <w:p w14:paraId="29E0D7EC" w14:textId="4E9B2387" w:rsidR="004143B9" w:rsidRDefault="004143B9">
      <w:pPr>
        <w:spacing w:line="240" w:lineRule="auto"/>
        <w:rPr>
          <w:rFonts w:cs="Arial"/>
          <w:szCs w:val="20"/>
        </w:rPr>
      </w:pPr>
      <w:r>
        <w:rPr>
          <w:rFonts w:cs="Arial"/>
          <w:szCs w:val="20"/>
        </w:rPr>
        <w:br w:type="page"/>
      </w:r>
    </w:p>
    <w:p w14:paraId="30AED77F" w14:textId="77777777" w:rsidR="00917E7B" w:rsidRPr="00732B0A" w:rsidRDefault="00917E7B" w:rsidP="008B2C64">
      <w:pPr>
        <w:autoSpaceDE w:val="0"/>
        <w:autoSpaceDN w:val="0"/>
        <w:adjustRightInd w:val="0"/>
        <w:spacing w:line="240" w:lineRule="auto"/>
        <w:jc w:val="both"/>
        <w:rPr>
          <w:rFonts w:cs="Arial"/>
          <w:szCs w:val="20"/>
        </w:rPr>
      </w:pPr>
    </w:p>
    <w:p w14:paraId="31C84443" w14:textId="77777777" w:rsidR="00917E7B" w:rsidRPr="00732B0A" w:rsidRDefault="00917E7B" w:rsidP="008B2C64">
      <w:pPr>
        <w:autoSpaceDE w:val="0"/>
        <w:autoSpaceDN w:val="0"/>
        <w:adjustRightInd w:val="0"/>
        <w:spacing w:line="240" w:lineRule="auto"/>
        <w:jc w:val="both"/>
        <w:rPr>
          <w:rFonts w:cs="Arial"/>
          <w:szCs w:val="20"/>
        </w:rPr>
      </w:pPr>
    </w:p>
    <w:p w14:paraId="6AEF9BC6" w14:textId="77777777" w:rsidR="00917E7B" w:rsidRPr="00732B0A" w:rsidRDefault="00917E7B" w:rsidP="008B2C64">
      <w:pPr>
        <w:autoSpaceDE w:val="0"/>
        <w:autoSpaceDN w:val="0"/>
        <w:adjustRightInd w:val="0"/>
        <w:spacing w:line="240" w:lineRule="auto"/>
        <w:jc w:val="both"/>
        <w:rPr>
          <w:rFonts w:cs="Arial"/>
          <w:szCs w:val="20"/>
        </w:rPr>
      </w:pPr>
    </w:p>
    <w:p w14:paraId="0537E82E" w14:textId="77777777" w:rsidR="00917E7B" w:rsidRPr="00732B0A" w:rsidRDefault="00917E7B" w:rsidP="008B2C64">
      <w:pPr>
        <w:autoSpaceDE w:val="0"/>
        <w:autoSpaceDN w:val="0"/>
        <w:adjustRightInd w:val="0"/>
        <w:spacing w:line="240" w:lineRule="auto"/>
        <w:jc w:val="both"/>
        <w:rPr>
          <w:rFonts w:cs="Arial"/>
          <w:szCs w:val="20"/>
        </w:rPr>
      </w:pPr>
    </w:p>
    <w:p w14:paraId="4CD2D9E4" w14:textId="77777777" w:rsidR="00794674" w:rsidRPr="00732B0A" w:rsidRDefault="00794674" w:rsidP="008B2C64">
      <w:pPr>
        <w:autoSpaceDE w:val="0"/>
        <w:autoSpaceDN w:val="0"/>
        <w:adjustRightInd w:val="0"/>
        <w:spacing w:line="240" w:lineRule="auto"/>
        <w:jc w:val="both"/>
        <w:rPr>
          <w:rFonts w:cs="Arial"/>
          <w:szCs w:val="20"/>
        </w:rPr>
      </w:pPr>
      <w:r w:rsidRPr="00732B0A">
        <w:rPr>
          <w:rFonts w:cs="Arial"/>
          <w:szCs w:val="20"/>
        </w:rPr>
        <w:t xml:space="preserve">VLADA REPUBLIKE SLOVENIJE </w:t>
      </w:r>
    </w:p>
    <w:p w14:paraId="4FFDEDF9" w14:textId="77777777" w:rsidR="00794674" w:rsidRPr="00732B0A" w:rsidRDefault="00794674" w:rsidP="00794674">
      <w:pPr>
        <w:spacing w:line="276" w:lineRule="auto"/>
        <w:rPr>
          <w:rFonts w:cs="Arial"/>
          <w:szCs w:val="20"/>
        </w:rPr>
      </w:pPr>
    </w:p>
    <w:p w14:paraId="5B9F43BF" w14:textId="77777777" w:rsidR="00794674" w:rsidRPr="00732B0A" w:rsidRDefault="00794674" w:rsidP="00794674">
      <w:pPr>
        <w:spacing w:line="276" w:lineRule="auto"/>
        <w:rPr>
          <w:rFonts w:cs="Arial"/>
          <w:szCs w:val="20"/>
        </w:rPr>
      </w:pPr>
    </w:p>
    <w:p w14:paraId="07F6CB82" w14:textId="77777777" w:rsidR="00794674" w:rsidRPr="00732B0A" w:rsidRDefault="00794674" w:rsidP="00794674">
      <w:pPr>
        <w:autoSpaceDE w:val="0"/>
        <w:autoSpaceDN w:val="0"/>
        <w:adjustRightInd w:val="0"/>
        <w:ind w:left="-23"/>
        <w:rPr>
          <w:rFonts w:cs="Arial"/>
          <w:szCs w:val="20"/>
        </w:rPr>
      </w:pPr>
      <w:r w:rsidRPr="00732B0A">
        <w:rPr>
          <w:rFonts w:cs="Arial"/>
          <w:szCs w:val="20"/>
        </w:rPr>
        <w:t>Številka:</w:t>
      </w:r>
      <w:r w:rsidRPr="00732B0A">
        <w:rPr>
          <w:rFonts w:cs="Arial"/>
          <w:szCs w:val="20"/>
        </w:rPr>
        <w:tab/>
      </w:r>
    </w:p>
    <w:p w14:paraId="21E9FAE4" w14:textId="77777777" w:rsidR="00794674" w:rsidRPr="00732B0A" w:rsidRDefault="00794674" w:rsidP="00794674">
      <w:pPr>
        <w:autoSpaceDE w:val="0"/>
        <w:autoSpaceDN w:val="0"/>
        <w:adjustRightInd w:val="0"/>
        <w:ind w:left="-23"/>
        <w:rPr>
          <w:rFonts w:cs="Arial"/>
          <w:szCs w:val="20"/>
        </w:rPr>
      </w:pPr>
      <w:r w:rsidRPr="00732B0A">
        <w:rPr>
          <w:rFonts w:cs="Arial"/>
          <w:szCs w:val="20"/>
        </w:rPr>
        <w:t>Ljubljana,</w:t>
      </w:r>
      <w:r w:rsidRPr="00732B0A">
        <w:rPr>
          <w:rFonts w:cs="Arial"/>
          <w:szCs w:val="20"/>
        </w:rPr>
        <w:tab/>
      </w:r>
    </w:p>
    <w:p w14:paraId="284ACD4E" w14:textId="77777777" w:rsidR="00794674" w:rsidRPr="00732B0A" w:rsidRDefault="00794674" w:rsidP="00794674">
      <w:pPr>
        <w:spacing w:line="240" w:lineRule="atLeast"/>
        <w:ind w:right="-21"/>
        <w:rPr>
          <w:rFonts w:cs="Arial"/>
          <w:bCs/>
          <w:szCs w:val="20"/>
        </w:rPr>
      </w:pPr>
    </w:p>
    <w:p w14:paraId="58B2DFF5" w14:textId="77777777" w:rsidR="00794674" w:rsidRPr="00732B0A" w:rsidRDefault="00794674" w:rsidP="00794674">
      <w:pPr>
        <w:rPr>
          <w:rFonts w:cs="Arial"/>
          <w:szCs w:val="20"/>
          <w:lang w:eastAsia="ar-SA"/>
        </w:rPr>
      </w:pPr>
    </w:p>
    <w:p w14:paraId="6146A3CD" w14:textId="13FE7A3B" w:rsidR="00794674" w:rsidRPr="00732B0A" w:rsidRDefault="00794674" w:rsidP="00794674">
      <w:pPr>
        <w:jc w:val="both"/>
        <w:rPr>
          <w:rFonts w:cs="Arial"/>
          <w:szCs w:val="20"/>
          <w:lang w:eastAsia="ar-SA"/>
        </w:rPr>
      </w:pPr>
      <w:r w:rsidRPr="00732B0A">
        <w:rPr>
          <w:rFonts w:cs="Arial"/>
          <w:bCs/>
          <w:szCs w:val="20"/>
          <w:lang w:eastAsia="ar-SA"/>
        </w:rPr>
        <w:t xml:space="preserve">Na podlagi drugega odstavka 2. člena Zakona o Vladi Republike Slovenije (Uradni list RS, št. 24/05 – uradno prečiščeno besedilo, 109/08, 38/10 – ZUKN, 8/12, 21/13, 47/13 – ZDU-1G, </w:t>
      </w:r>
      <w:r w:rsidR="0003422E" w:rsidRPr="00732B0A">
        <w:rPr>
          <w:rFonts w:cs="Arial"/>
          <w:szCs w:val="20"/>
        </w:rPr>
        <w:t>65/14, 55/17 in 163/22</w:t>
      </w:r>
      <w:r w:rsidRPr="00732B0A">
        <w:rPr>
          <w:rFonts w:cs="Arial"/>
          <w:bCs/>
          <w:szCs w:val="20"/>
          <w:lang w:eastAsia="ar-SA"/>
        </w:rPr>
        <w:t>)</w:t>
      </w:r>
      <w:r w:rsidRPr="00732B0A">
        <w:rPr>
          <w:rFonts w:cs="Arial"/>
          <w:szCs w:val="20"/>
          <w:lang w:eastAsia="ar-SA"/>
        </w:rPr>
        <w:t xml:space="preserve"> je Vlada Republike Slovenije na … seji</w:t>
      </w:r>
      <w:r w:rsidR="00ED4642">
        <w:rPr>
          <w:rFonts w:cs="Arial"/>
          <w:szCs w:val="20"/>
          <w:lang w:eastAsia="ar-SA"/>
        </w:rPr>
        <w:t xml:space="preserve"> dne</w:t>
      </w:r>
      <w:r w:rsidRPr="00732B0A">
        <w:rPr>
          <w:rFonts w:cs="Arial"/>
          <w:szCs w:val="20"/>
          <w:lang w:eastAsia="ar-SA"/>
        </w:rPr>
        <w:t xml:space="preserve"> … pod točko … sprejela </w:t>
      </w:r>
    </w:p>
    <w:p w14:paraId="6E06DB97" w14:textId="77777777" w:rsidR="00794674" w:rsidRPr="00732B0A" w:rsidRDefault="00794674" w:rsidP="00794674">
      <w:pPr>
        <w:rPr>
          <w:rFonts w:cs="Arial"/>
          <w:szCs w:val="20"/>
          <w:lang w:eastAsia="ar-SA"/>
        </w:rPr>
      </w:pPr>
    </w:p>
    <w:p w14:paraId="1823342E" w14:textId="77777777" w:rsidR="00794674" w:rsidRPr="00732B0A" w:rsidRDefault="00794674" w:rsidP="00794674">
      <w:pPr>
        <w:rPr>
          <w:rFonts w:cs="Arial"/>
          <w:bCs/>
          <w:szCs w:val="20"/>
          <w:lang w:eastAsia="ar-SA"/>
        </w:rPr>
      </w:pPr>
    </w:p>
    <w:p w14:paraId="19959A29" w14:textId="77777777" w:rsidR="00794674" w:rsidRPr="00732B0A" w:rsidRDefault="00794674" w:rsidP="00794674">
      <w:pPr>
        <w:jc w:val="center"/>
        <w:rPr>
          <w:rFonts w:cs="Arial"/>
          <w:bCs/>
          <w:szCs w:val="20"/>
          <w:lang w:eastAsia="ar-SA"/>
        </w:rPr>
      </w:pPr>
      <w:r w:rsidRPr="00732B0A">
        <w:rPr>
          <w:rFonts w:cs="Arial"/>
          <w:bCs/>
          <w:szCs w:val="20"/>
          <w:lang w:eastAsia="ar-SA"/>
        </w:rPr>
        <w:t>S K L E P</w:t>
      </w:r>
      <w:r w:rsidR="003B49E9">
        <w:rPr>
          <w:rFonts w:cs="Arial"/>
          <w:bCs/>
          <w:szCs w:val="20"/>
          <w:lang w:eastAsia="ar-SA"/>
        </w:rPr>
        <w:t xml:space="preserve"> </w:t>
      </w:r>
      <w:r w:rsidRPr="00732B0A">
        <w:rPr>
          <w:rFonts w:cs="Arial"/>
          <w:bCs/>
          <w:szCs w:val="20"/>
          <w:lang w:eastAsia="ar-SA"/>
        </w:rPr>
        <w:t>:</w:t>
      </w:r>
    </w:p>
    <w:p w14:paraId="1B47DB62" w14:textId="77777777" w:rsidR="00794674" w:rsidRPr="00732B0A" w:rsidRDefault="00794674" w:rsidP="00794674">
      <w:pPr>
        <w:rPr>
          <w:rFonts w:cs="Arial"/>
          <w:bCs/>
          <w:szCs w:val="20"/>
          <w:lang w:eastAsia="ar-SA"/>
        </w:rPr>
      </w:pPr>
    </w:p>
    <w:p w14:paraId="2EB7F2D4" w14:textId="77777777" w:rsidR="00794674" w:rsidRPr="00732B0A" w:rsidRDefault="00794674" w:rsidP="00794674">
      <w:pPr>
        <w:rPr>
          <w:rFonts w:cs="Arial"/>
          <w:bCs/>
          <w:szCs w:val="20"/>
          <w:lang w:eastAsia="ar-SA"/>
        </w:rPr>
      </w:pPr>
    </w:p>
    <w:p w14:paraId="61EB79A4" w14:textId="4B14E426" w:rsidR="00794674" w:rsidRPr="00732B0A" w:rsidRDefault="00DD6679" w:rsidP="00794674">
      <w:pPr>
        <w:jc w:val="both"/>
        <w:rPr>
          <w:rFonts w:cs="Arial"/>
          <w:bCs/>
          <w:szCs w:val="20"/>
          <w:lang w:eastAsia="ar-SA"/>
        </w:rPr>
      </w:pPr>
      <w:r w:rsidRPr="00DD6679">
        <w:rPr>
          <w:rFonts w:cs="Arial"/>
          <w:szCs w:val="20"/>
        </w:rPr>
        <w:t>Vlada Republike Slovenije je določila besedilo Predloga zakona o spremembah in dopolnitvah Zakona o trgu finančnih instrumentov ter ga pošlje v obravnavo Državnemu zboru</w:t>
      </w:r>
      <w:r w:rsidR="00794674" w:rsidRPr="00732B0A">
        <w:rPr>
          <w:rFonts w:cs="Arial"/>
          <w:bCs/>
          <w:szCs w:val="20"/>
          <w:lang w:eastAsia="ar-SA"/>
        </w:rPr>
        <w:t>.</w:t>
      </w:r>
    </w:p>
    <w:p w14:paraId="21A6857C" w14:textId="77777777" w:rsidR="00794674" w:rsidRPr="00732B0A" w:rsidRDefault="00794674" w:rsidP="00794674">
      <w:pPr>
        <w:rPr>
          <w:rFonts w:cs="Arial"/>
          <w:bCs/>
          <w:szCs w:val="20"/>
          <w:lang w:eastAsia="ar-SA"/>
        </w:rPr>
      </w:pPr>
    </w:p>
    <w:p w14:paraId="0C5BB806" w14:textId="77777777" w:rsidR="00794674" w:rsidRPr="00732B0A" w:rsidRDefault="00794674" w:rsidP="00794674">
      <w:pPr>
        <w:rPr>
          <w:rFonts w:cs="Arial"/>
          <w:bCs/>
          <w:szCs w:val="20"/>
          <w:lang w:eastAsia="ar-SA"/>
        </w:rPr>
      </w:pPr>
    </w:p>
    <w:p w14:paraId="35AF66B8" w14:textId="77777777" w:rsidR="00794674" w:rsidRPr="00732B0A" w:rsidRDefault="00794674" w:rsidP="00794674">
      <w:pPr>
        <w:rPr>
          <w:rFonts w:cs="Arial"/>
          <w:bCs/>
          <w:szCs w:val="20"/>
          <w:lang w:eastAsia="ar-SA"/>
        </w:rPr>
      </w:pPr>
    </w:p>
    <w:p w14:paraId="25045E96" w14:textId="77777777" w:rsidR="00794674" w:rsidRPr="00732B0A" w:rsidRDefault="00794674" w:rsidP="00794674">
      <w:pPr>
        <w:rPr>
          <w:rFonts w:cs="Arial"/>
          <w:bCs/>
          <w:szCs w:val="20"/>
          <w:lang w:eastAsia="ar-SA"/>
        </w:rPr>
      </w:pPr>
    </w:p>
    <w:p w14:paraId="33AD6DBF" w14:textId="77777777" w:rsidR="00794674" w:rsidRPr="00732B0A" w:rsidRDefault="00794674" w:rsidP="00794674">
      <w:pPr>
        <w:rPr>
          <w:rFonts w:cs="Arial"/>
          <w:bCs/>
          <w:szCs w:val="20"/>
          <w:lang w:eastAsia="ar-SA"/>
        </w:rPr>
      </w:pPr>
      <w:r w:rsidRPr="00732B0A">
        <w:rPr>
          <w:rFonts w:cs="Arial"/>
          <w:bCs/>
          <w:szCs w:val="20"/>
          <w:lang w:eastAsia="ar-SA"/>
        </w:rPr>
        <w:t xml:space="preserve">                                                                                                </w:t>
      </w:r>
      <w:r w:rsidR="00D94848" w:rsidRPr="00732B0A">
        <w:rPr>
          <w:rFonts w:cs="Arial"/>
          <w:bCs/>
          <w:szCs w:val="20"/>
          <w:lang w:eastAsia="ar-SA"/>
        </w:rPr>
        <w:t>Barbara Kolenko Helbl</w:t>
      </w:r>
    </w:p>
    <w:p w14:paraId="1F57F648" w14:textId="77777777" w:rsidR="00794674" w:rsidRPr="00732B0A" w:rsidRDefault="00794674" w:rsidP="00794674">
      <w:pPr>
        <w:rPr>
          <w:rFonts w:cs="Arial"/>
          <w:bCs/>
          <w:szCs w:val="20"/>
          <w:lang w:eastAsia="ar-SA"/>
        </w:rPr>
      </w:pPr>
      <w:r w:rsidRPr="00732B0A">
        <w:rPr>
          <w:rFonts w:cs="Arial"/>
          <w:bCs/>
          <w:szCs w:val="20"/>
          <w:lang w:eastAsia="ar-SA"/>
        </w:rPr>
        <w:t xml:space="preserve">                                                                                        GENERALN</w:t>
      </w:r>
      <w:r w:rsidR="00D94848" w:rsidRPr="00732B0A">
        <w:rPr>
          <w:rFonts w:cs="Arial"/>
          <w:bCs/>
          <w:szCs w:val="20"/>
          <w:lang w:eastAsia="ar-SA"/>
        </w:rPr>
        <w:t>A</w:t>
      </w:r>
      <w:r w:rsidRPr="00732B0A">
        <w:rPr>
          <w:rFonts w:cs="Arial"/>
          <w:bCs/>
          <w:szCs w:val="20"/>
          <w:lang w:eastAsia="ar-SA"/>
        </w:rPr>
        <w:t xml:space="preserve"> SEKRETAR</w:t>
      </w:r>
      <w:r w:rsidR="00D94848" w:rsidRPr="00732B0A">
        <w:rPr>
          <w:rFonts w:cs="Arial"/>
          <w:bCs/>
          <w:szCs w:val="20"/>
          <w:lang w:eastAsia="ar-SA"/>
        </w:rPr>
        <w:t>K</w:t>
      </w:r>
      <w:r w:rsidRPr="00732B0A">
        <w:rPr>
          <w:rFonts w:cs="Arial"/>
          <w:bCs/>
          <w:szCs w:val="20"/>
          <w:lang w:eastAsia="ar-SA"/>
        </w:rPr>
        <w:t>A</w:t>
      </w:r>
    </w:p>
    <w:p w14:paraId="0C8FDCFC" w14:textId="77777777" w:rsidR="00794674" w:rsidRPr="00732B0A" w:rsidRDefault="00794674" w:rsidP="00794674">
      <w:pPr>
        <w:rPr>
          <w:rFonts w:cs="Arial"/>
          <w:szCs w:val="20"/>
          <w:lang w:eastAsia="ar-SA"/>
        </w:rPr>
      </w:pPr>
    </w:p>
    <w:p w14:paraId="061D6533" w14:textId="77777777" w:rsidR="00794674" w:rsidRPr="00732B0A" w:rsidRDefault="00794674" w:rsidP="00794674">
      <w:pPr>
        <w:rPr>
          <w:rFonts w:cs="Arial"/>
          <w:szCs w:val="20"/>
          <w:lang w:eastAsia="ar-SA"/>
        </w:rPr>
      </w:pPr>
    </w:p>
    <w:p w14:paraId="30C00B1A" w14:textId="77777777" w:rsidR="00794674" w:rsidRPr="00732B0A" w:rsidRDefault="00794674" w:rsidP="00794674">
      <w:pPr>
        <w:rPr>
          <w:rFonts w:cs="Arial"/>
          <w:szCs w:val="20"/>
          <w:lang w:eastAsia="ar-SA"/>
        </w:rPr>
      </w:pPr>
    </w:p>
    <w:p w14:paraId="5276B96A" w14:textId="77777777" w:rsidR="00794674" w:rsidRPr="00732B0A" w:rsidRDefault="00794674" w:rsidP="00794674">
      <w:pPr>
        <w:rPr>
          <w:rFonts w:cs="Arial"/>
          <w:szCs w:val="20"/>
          <w:lang w:eastAsia="ar-SA"/>
        </w:rPr>
      </w:pPr>
    </w:p>
    <w:p w14:paraId="2FB3F099" w14:textId="390715A3" w:rsidR="00794674" w:rsidRPr="00732B0A" w:rsidRDefault="00794674" w:rsidP="00794674">
      <w:pPr>
        <w:rPr>
          <w:rFonts w:cs="Arial"/>
          <w:szCs w:val="20"/>
          <w:lang w:eastAsia="ar-SA"/>
        </w:rPr>
      </w:pPr>
      <w:r w:rsidRPr="00732B0A">
        <w:rPr>
          <w:rFonts w:cs="Arial"/>
          <w:szCs w:val="20"/>
          <w:lang w:eastAsia="ar-SA"/>
        </w:rPr>
        <w:t>Priloga:</w:t>
      </w:r>
    </w:p>
    <w:p w14:paraId="2521F64D" w14:textId="4EEEF09F" w:rsidR="00794674" w:rsidRPr="00732B0A" w:rsidRDefault="00875B3D" w:rsidP="00B6079F">
      <w:pPr>
        <w:numPr>
          <w:ilvl w:val="0"/>
          <w:numId w:val="10"/>
        </w:numPr>
        <w:spacing w:line="240" w:lineRule="auto"/>
        <w:rPr>
          <w:rFonts w:cs="Arial"/>
          <w:szCs w:val="20"/>
          <w:lang w:eastAsia="ar-SA"/>
        </w:rPr>
      </w:pPr>
      <w:r>
        <w:rPr>
          <w:rFonts w:cs="Arial"/>
          <w:szCs w:val="20"/>
          <w:lang w:eastAsia="ar-SA"/>
        </w:rPr>
        <w:t>p</w:t>
      </w:r>
      <w:r w:rsidR="00794674" w:rsidRPr="00732B0A">
        <w:rPr>
          <w:rFonts w:cs="Arial"/>
          <w:szCs w:val="20"/>
          <w:lang w:eastAsia="ar-SA"/>
        </w:rPr>
        <w:t xml:space="preserve">redlog </w:t>
      </w:r>
      <w:r>
        <w:rPr>
          <w:rFonts w:cs="Arial"/>
          <w:szCs w:val="20"/>
          <w:lang w:eastAsia="ar-SA"/>
        </w:rPr>
        <w:t>Z</w:t>
      </w:r>
      <w:r w:rsidR="0066209E" w:rsidRPr="0066209E">
        <w:rPr>
          <w:rFonts w:cs="Arial"/>
          <w:szCs w:val="20"/>
          <w:lang w:eastAsia="ar-SA"/>
        </w:rPr>
        <w:t>akona o spremembah in dopolnitvah Zakona o trgu finančnih instrumentov</w:t>
      </w:r>
      <w:r>
        <w:rPr>
          <w:rFonts w:cs="Arial"/>
          <w:szCs w:val="20"/>
          <w:lang w:eastAsia="ar-SA"/>
        </w:rPr>
        <w:t>.</w:t>
      </w:r>
    </w:p>
    <w:p w14:paraId="509E584F" w14:textId="77777777" w:rsidR="00794674" w:rsidRPr="00732B0A" w:rsidRDefault="00794674" w:rsidP="00794674">
      <w:pPr>
        <w:rPr>
          <w:rFonts w:cs="Arial"/>
          <w:szCs w:val="20"/>
          <w:lang w:eastAsia="ar-SA"/>
        </w:rPr>
      </w:pPr>
    </w:p>
    <w:p w14:paraId="65AEBDAB" w14:textId="77777777" w:rsidR="00794674" w:rsidRPr="00732B0A" w:rsidRDefault="00794674" w:rsidP="00794674">
      <w:pPr>
        <w:rPr>
          <w:rFonts w:cs="Arial"/>
          <w:szCs w:val="20"/>
          <w:lang w:eastAsia="ar-SA"/>
        </w:rPr>
      </w:pPr>
    </w:p>
    <w:p w14:paraId="7BAF2355" w14:textId="77777777" w:rsidR="00794674" w:rsidRPr="00732B0A" w:rsidRDefault="00794674" w:rsidP="00794674">
      <w:pPr>
        <w:rPr>
          <w:rFonts w:cs="Arial"/>
          <w:szCs w:val="20"/>
          <w:lang w:eastAsia="ar-SA"/>
        </w:rPr>
      </w:pPr>
      <w:r w:rsidRPr="00732B0A">
        <w:rPr>
          <w:rFonts w:cs="Arial"/>
          <w:szCs w:val="20"/>
          <w:lang w:eastAsia="ar-SA"/>
        </w:rPr>
        <w:t>Prejmejo:</w:t>
      </w:r>
    </w:p>
    <w:p w14:paraId="08EB6865" w14:textId="77777777" w:rsidR="00794674" w:rsidRPr="00732B0A" w:rsidRDefault="00794674" w:rsidP="00B6079F">
      <w:pPr>
        <w:numPr>
          <w:ilvl w:val="0"/>
          <w:numId w:val="11"/>
        </w:numPr>
        <w:spacing w:line="240" w:lineRule="auto"/>
        <w:rPr>
          <w:rFonts w:cs="Arial"/>
          <w:szCs w:val="20"/>
          <w:lang w:eastAsia="ar-SA"/>
        </w:rPr>
      </w:pPr>
      <w:r w:rsidRPr="00732B0A">
        <w:rPr>
          <w:rFonts w:cs="Arial"/>
          <w:szCs w:val="20"/>
          <w:lang w:eastAsia="ar-SA"/>
        </w:rPr>
        <w:t>Državni zbor Republike Slovenije,</w:t>
      </w:r>
    </w:p>
    <w:p w14:paraId="4A10AF8D" w14:textId="77777777" w:rsidR="00794674" w:rsidRPr="00732B0A" w:rsidRDefault="00794674" w:rsidP="00CC793B">
      <w:pPr>
        <w:numPr>
          <w:ilvl w:val="0"/>
          <w:numId w:val="11"/>
        </w:numPr>
        <w:spacing w:line="240" w:lineRule="auto"/>
        <w:rPr>
          <w:rFonts w:cs="Arial"/>
          <w:szCs w:val="20"/>
          <w:lang w:eastAsia="ar-SA"/>
        </w:rPr>
      </w:pPr>
      <w:r w:rsidRPr="00732B0A">
        <w:rPr>
          <w:rFonts w:cs="Arial"/>
          <w:szCs w:val="20"/>
          <w:lang w:eastAsia="ar-SA"/>
        </w:rPr>
        <w:t>Ministrstvo za finance</w:t>
      </w:r>
      <w:r w:rsidR="00CC793B" w:rsidRPr="00732B0A">
        <w:rPr>
          <w:rFonts w:cs="Arial"/>
          <w:szCs w:val="20"/>
        </w:rPr>
        <w:t xml:space="preserve"> </w:t>
      </w:r>
      <w:r w:rsidR="00CC793B" w:rsidRPr="00732B0A">
        <w:rPr>
          <w:rFonts w:cs="Arial"/>
          <w:szCs w:val="20"/>
          <w:lang w:eastAsia="ar-SA"/>
        </w:rPr>
        <w:t>Republike Slovenije</w:t>
      </w:r>
      <w:r w:rsidRPr="00732B0A">
        <w:rPr>
          <w:rFonts w:cs="Arial"/>
          <w:szCs w:val="20"/>
          <w:lang w:eastAsia="ar-SA"/>
        </w:rPr>
        <w:t>,</w:t>
      </w:r>
    </w:p>
    <w:p w14:paraId="7D2B8B49" w14:textId="77777777" w:rsidR="00794674" w:rsidRPr="00732B0A" w:rsidRDefault="00794674" w:rsidP="00B6079F">
      <w:pPr>
        <w:numPr>
          <w:ilvl w:val="0"/>
          <w:numId w:val="11"/>
        </w:numPr>
        <w:spacing w:line="240" w:lineRule="auto"/>
        <w:rPr>
          <w:rFonts w:cs="Arial"/>
          <w:szCs w:val="20"/>
          <w:lang w:eastAsia="ar-SA"/>
        </w:rPr>
      </w:pPr>
      <w:r w:rsidRPr="00732B0A">
        <w:rPr>
          <w:rFonts w:cs="Arial"/>
          <w:szCs w:val="20"/>
          <w:lang w:eastAsia="ar-SA"/>
        </w:rPr>
        <w:t>Služba Vlade Republike Slovenije za zakonodajo.</w:t>
      </w:r>
    </w:p>
    <w:p w14:paraId="0A8B7246" w14:textId="77777777" w:rsidR="00794674" w:rsidRPr="00732B0A" w:rsidRDefault="00794674" w:rsidP="00794674">
      <w:pPr>
        <w:spacing w:line="260" w:lineRule="exact"/>
        <w:ind w:left="1080" w:hanging="720"/>
        <w:rPr>
          <w:rFonts w:cs="Arial"/>
          <w:szCs w:val="20"/>
        </w:rPr>
      </w:pPr>
      <w:r w:rsidRPr="00732B0A">
        <w:rPr>
          <w:rFonts w:cs="Arial"/>
          <w:szCs w:val="20"/>
        </w:rPr>
        <w:br w:type="page"/>
      </w:r>
    </w:p>
    <w:p w14:paraId="22AB998F" w14:textId="77777777" w:rsidR="00593595" w:rsidRPr="00732B0A" w:rsidRDefault="00A47891" w:rsidP="00794674">
      <w:pPr>
        <w:spacing w:line="260" w:lineRule="exact"/>
        <w:jc w:val="right"/>
        <w:rPr>
          <w:rFonts w:cs="Arial"/>
          <w:b/>
          <w:szCs w:val="20"/>
        </w:rPr>
      </w:pPr>
      <w:r>
        <w:rPr>
          <w:rFonts w:cs="Arial"/>
          <w:b/>
          <w:szCs w:val="20"/>
        </w:rPr>
        <w:lastRenderedPageBreak/>
        <w:t>OSNUTEK</w:t>
      </w:r>
    </w:p>
    <w:p w14:paraId="2C2ECA48" w14:textId="77777777" w:rsidR="00794674" w:rsidRPr="00732B0A" w:rsidRDefault="00794674" w:rsidP="00794674">
      <w:pPr>
        <w:spacing w:line="260" w:lineRule="exact"/>
        <w:jc w:val="right"/>
        <w:rPr>
          <w:rFonts w:cs="Arial"/>
          <w:b/>
          <w:szCs w:val="20"/>
        </w:rPr>
      </w:pPr>
      <w:r w:rsidRPr="00732B0A">
        <w:rPr>
          <w:rFonts w:cs="Arial"/>
          <w:b/>
          <w:szCs w:val="20"/>
        </w:rPr>
        <w:t>EVA</w:t>
      </w:r>
      <w:r w:rsidR="00CD54A2">
        <w:rPr>
          <w:rFonts w:cs="Arial"/>
          <w:b/>
          <w:szCs w:val="20"/>
        </w:rPr>
        <w:t xml:space="preserve"> </w:t>
      </w:r>
      <w:r w:rsidR="00A47891" w:rsidRPr="00A47891">
        <w:rPr>
          <w:rFonts w:cs="Arial"/>
          <w:b/>
          <w:szCs w:val="20"/>
        </w:rPr>
        <w:t>2025-1611-0032</w:t>
      </w:r>
    </w:p>
    <w:p w14:paraId="1A130300" w14:textId="77777777" w:rsidR="00794674" w:rsidRPr="00732B0A" w:rsidRDefault="00794674" w:rsidP="00794674">
      <w:pPr>
        <w:spacing w:line="260" w:lineRule="exact"/>
        <w:jc w:val="right"/>
        <w:rPr>
          <w:rFonts w:cs="Arial"/>
          <w:bCs/>
          <w:szCs w:val="20"/>
        </w:rPr>
      </w:pPr>
    </w:p>
    <w:p w14:paraId="6666DE7B" w14:textId="77777777" w:rsidR="00621206" w:rsidRPr="00445B9C" w:rsidRDefault="00621206" w:rsidP="00621206">
      <w:pPr>
        <w:pStyle w:val="Vrstapredpisa"/>
        <w:spacing w:before="0"/>
        <w:rPr>
          <w:sz w:val="20"/>
          <w:szCs w:val="20"/>
        </w:rPr>
      </w:pPr>
      <w:bookmarkStart w:id="3" w:name="_Hlk66266060"/>
      <w:r w:rsidRPr="00445B9C">
        <w:rPr>
          <w:sz w:val="20"/>
          <w:szCs w:val="20"/>
        </w:rPr>
        <w:t>ZAKON</w:t>
      </w:r>
    </w:p>
    <w:p w14:paraId="1371F977" w14:textId="77777777" w:rsidR="00621206" w:rsidRPr="00445B9C" w:rsidRDefault="00621206" w:rsidP="00621206">
      <w:pPr>
        <w:pStyle w:val="Naslovpredpisa"/>
        <w:rPr>
          <w:rFonts w:cs="Arial"/>
          <w:sz w:val="20"/>
        </w:rPr>
      </w:pPr>
      <w:r w:rsidRPr="00445B9C">
        <w:rPr>
          <w:rFonts w:cs="Arial"/>
          <w:sz w:val="20"/>
        </w:rPr>
        <w:t>O</w:t>
      </w:r>
      <w:r w:rsidR="00A5037A" w:rsidRPr="00445B9C">
        <w:rPr>
          <w:rFonts w:cs="Arial"/>
          <w:sz w:val="20"/>
        </w:rPr>
        <w:t xml:space="preserve"> SPREMEMBAH</w:t>
      </w:r>
      <w:r w:rsidR="00734F0F" w:rsidRPr="00445B9C">
        <w:rPr>
          <w:rFonts w:cs="Arial"/>
          <w:sz w:val="20"/>
        </w:rPr>
        <w:t xml:space="preserve"> IN DOPOLNITVAH</w:t>
      </w:r>
      <w:r w:rsidR="00A5037A" w:rsidRPr="00445B9C">
        <w:rPr>
          <w:rFonts w:cs="Arial"/>
          <w:sz w:val="20"/>
        </w:rPr>
        <w:t xml:space="preserve"> ZAKONA </w:t>
      </w:r>
      <w:r w:rsidR="00ED36BF" w:rsidRPr="00445B9C">
        <w:rPr>
          <w:rFonts w:cs="Arial"/>
          <w:sz w:val="20"/>
        </w:rPr>
        <w:t xml:space="preserve">O TRGU FINANČNIH INSTRUMENTOV </w:t>
      </w:r>
    </w:p>
    <w:bookmarkEnd w:id="3"/>
    <w:p w14:paraId="167C0979" w14:textId="77777777" w:rsidR="00621206" w:rsidRPr="00445B9C" w:rsidRDefault="00621206" w:rsidP="00621206">
      <w:pPr>
        <w:spacing w:line="240" w:lineRule="auto"/>
        <w:ind w:left="1080" w:hanging="720"/>
        <w:rPr>
          <w:rFonts w:cs="Arial"/>
          <w:szCs w:val="20"/>
        </w:rPr>
      </w:pPr>
    </w:p>
    <w:p w14:paraId="2F84261F" w14:textId="77777777" w:rsidR="00621206" w:rsidRPr="00445B9C" w:rsidRDefault="00621206" w:rsidP="00A35558">
      <w:pPr>
        <w:numPr>
          <w:ilvl w:val="0"/>
          <w:numId w:val="13"/>
        </w:numPr>
        <w:spacing w:line="240" w:lineRule="auto"/>
        <w:rPr>
          <w:rFonts w:cs="Arial"/>
          <w:b/>
          <w:szCs w:val="20"/>
        </w:rPr>
      </w:pPr>
      <w:r w:rsidRPr="00445B9C">
        <w:rPr>
          <w:rFonts w:cs="Arial"/>
          <w:b/>
          <w:szCs w:val="20"/>
        </w:rPr>
        <w:t>UVOD</w:t>
      </w:r>
    </w:p>
    <w:p w14:paraId="7BB751D1" w14:textId="77777777" w:rsidR="00621206" w:rsidRPr="00445B9C" w:rsidRDefault="00621206" w:rsidP="00621206">
      <w:pPr>
        <w:spacing w:line="240" w:lineRule="auto"/>
        <w:jc w:val="both"/>
        <w:rPr>
          <w:rFonts w:cs="Arial"/>
          <w:szCs w:val="20"/>
        </w:rPr>
      </w:pPr>
    </w:p>
    <w:p w14:paraId="42CAC7F8" w14:textId="77777777" w:rsidR="00621206" w:rsidRPr="00445B9C" w:rsidRDefault="00621206" w:rsidP="00A35558">
      <w:pPr>
        <w:numPr>
          <w:ilvl w:val="0"/>
          <w:numId w:val="12"/>
        </w:numPr>
        <w:spacing w:line="240" w:lineRule="auto"/>
        <w:rPr>
          <w:rFonts w:cs="Arial"/>
          <w:b/>
          <w:szCs w:val="20"/>
        </w:rPr>
      </w:pPr>
      <w:bookmarkStart w:id="4" w:name="_Hlk55770662"/>
      <w:r w:rsidRPr="00445B9C">
        <w:rPr>
          <w:rFonts w:cs="Arial"/>
          <w:b/>
          <w:szCs w:val="20"/>
        </w:rPr>
        <w:t>OCENA STANJA IN RAZLOGI ZA SPREJEM PREDLOGA ZAKONA</w:t>
      </w:r>
    </w:p>
    <w:p w14:paraId="78665779" w14:textId="77777777" w:rsidR="00621206" w:rsidRPr="00445B9C" w:rsidRDefault="00621206" w:rsidP="00621206">
      <w:pPr>
        <w:spacing w:line="240" w:lineRule="auto"/>
        <w:jc w:val="both"/>
        <w:rPr>
          <w:rFonts w:cs="Arial"/>
          <w:szCs w:val="20"/>
        </w:rPr>
      </w:pPr>
      <w:bookmarkStart w:id="5" w:name="_Hlk55770710"/>
      <w:bookmarkEnd w:id="4"/>
    </w:p>
    <w:bookmarkEnd w:id="0"/>
    <w:bookmarkEnd w:id="5"/>
    <w:p w14:paraId="0936A9C2" w14:textId="70881467" w:rsidR="004F2F8C" w:rsidRPr="00445B9C" w:rsidRDefault="00ED48B9" w:rsidP="00ED48B9">
      <w:pPr>
        <w:spacing w:line="260" w:lineRule="exact"/>
        <w:jc w:val="both"/>
        <w:rPr>
          <w:rFonts w:cs="Arial"/>
          <w:szCs w:val="20"/>
        </w:rPr>
      </w:pPr>
      <w:r w:rsidRPr="00445B9C">
        <w:rPr>
          <w:rFonts w:cs="Arial"/>
          <w:szCs w:val="20"/>
        </w:rPr>
        <w:t xml:space="preserve">Zakon o trgu finančnih instrumentov (Uradni list RS, št. 77/18, 17/19 – popr., 66/19, 123/21 in 45/24; v nadaljnjem besedilu: ZTFI-1) </w:t>
      </w:r>
      <w:r w:rsidR="00FD2424">
        <w:rPr>
          <w:rFonts w:cs="Arial"/>
          <w:szCs w:val="20"/>
        </w:rPr>
        <w:t>je</w:t>
      </w:r>
      <w:r w:rsidR="00FD2424" w:rsidRPr="00445B9C">
        <w:rPr>
          <w:rFonts w:cs="Arial"/>
          <w:szCs w:val="20"/>
        </w:rPr>
        <w:t xml:space="preserve"> </w:t>
      </w:r>
      <w:r w:rsidRPr="00445B9C">
        <w:rPr>
          <w:rFonts w:cs="Arial"/>
          <w:szCs w:val="20"/>
        </w:rPr>
        <w:t>temeljni pravni okvir, ki ureja delovanje slovenskega trga kapitala, saj med drugim ureja organiz</w:t>
      </w:r>
      <w:r w:rsidR="008D31EB">
        <w:rPr>
          <w:rFonts w:cs="Arial"/>
          <w:szCs w:val="20"/>
        </w:rPr>
        <w:t>iranost</w:t>
      </w:r>
      <w:r w:rsidRPr="00445B9C">
        <w:rPr>
          <w:rFonts w:cs="Arial"/>
          <w:szCs w:val="20"/>
        </w:rPr>
        <w:t>, delovanje in nadzor nad trgovanjem z različnimi finančnimi instrumenti</w:t>
      </w:r>
      <w:r w:rsidR="008D31EB">
        <w:rPr>
          <w:rFonts w:cs="Arial"/>
          <w:szCs w:val="20"/>
        </w:rPr>
        <w:t xml:space="preserve"> in</w:t>
      </w:r>
      <w:r w:rsidRPr="00445B9C">
        <w:rPr>
          <w:rFonts w:cs="Arial"/>
          <w:szCs w:val="20"/>
        </w:rPr>
        <w:t xml:space="preserve"> pogoje za vstop na trg, zagotavlja preglednost trga ter </w:t>
      </w:r>
      <w:r w:rsidR="008D31EB">
        <w:rPr>
          <w:rFonts w:cs="Arial"/>
          <w:szCs w:val="20"/>
        </w:rPr>
        <w:t xml:space="preserve">postavlja </w:t>
      </w:r>
      <w:r w:rsidRPr="00445B9C">
        <w:rPr>
          <w:rFonts w:cs="Arial"/>
          <w:szCs w:val="20"/>
        </w:rPr>
        <w:t>pravila za zaščito vlagateljev. Z ZTFI-1 so v pravni red prenesene direktive Evropske unije (v nadaljnjem besedilu: EU) s področja trga kapitala, prav tako pa zakon podrobneje ureja izvajanje nekaterih uredb EU</w:t>
      </w:r>
      <w:r w:rsidR="004F2F8C" w:rsidRPr="00445B9C">
        <w:rPr>
          <w:rFonts w:cs="Arial"/>
          <w:szCs w:val="20"/>
        </w:rPr>
        <w:t>, s čimer zagotavlja skladnost slovenskega trga finančnih instrumentov s pravnim okvirjem EU</w:t>
      </w:r>
      <w:r w:rsidRPr="00445B9C">
        <w:rPr>
          <w:rFonts w:cs="Arial"/>
          <w:szCs w:val="20"/>
        </w:rPr>
        <w:t>.</w:t>
      </w:r>
      <w:r w:rsidR="004F2F8C" w:rsidRPr="00445B9C">
        <w:rPr>
          <w:rFonts w:cs="Arial"/>
          <w:szCs w:val="20"/>
        </w:rPr>
        <w:t xml:space="preserve"> ZTFI-1 zagotavlja pravno varnost in jasna pravila za vse udeležence na trgu finančnih instrumentov in s tem prispeva k stabilnosti in učinkovitosti finančnega sistema, krepi zaupanje vlagateljev ter omogoča boljšo </w:t>
      </w:r>
      <w:r w:rsidR="008D31EB">
        <w:rPr>
          <w:rFonts w:cs="Arial"/>
          <w:szCs w:val="20"/>
        </w:rPr>
        <w:t>vključenost</w:t>
      </w:r>
      <w:r w:rsidR="008D31EB" w:rsidRPr="00445B9C">
        <w:rPr>
          <w:rFonts w:cs="Arial"/>
          <w:szCs w:val="20"/>
        </w:rPr>
        <w:t xml:space="preserve"> </w:t>
      </w:r>
      <w:r w:rsidR="004F2F8C" w:rsidRPr="00445B9C">
        <w:rPr>
          <w:rFonts w:cs="Arial"/>
          <w:szCs w:val="20"/>
        </w:rPr>
        <w:t xml:space="preserve">slovenskega trga v širši evropski finančni prostor. </w:t>
      </w:r>
    </w:p>
    <w:p w14:paraId="111B2111" w14:textId="77777777" w:rsidR="003C4E4A" w:rsidRPr="00445B9C" w:rsidRDefault="003C4E4A" w:rsidP="00ED48B9">
      <w:pPr>
        <w:spacing w:line="260" w:lineRule="exact"/>
        <w:jc w:val="both"/>
        <w:rPr>
          <w:rFonts w:cs="Arial"/>
          <w:szCs w:val="20"/>
        </w:rPr>
      </w:pPr>
    </w:p>
    <w:p w14:paraId="58D03562" w14:textId="0DAE550E" w:rsidR="003C4E4A" w:rsidRPr="00445B9C" w:rsidRDefault="003C4E4A" w:rsidP="003C4E4A">
      <w:pPr>
        <w:spacing w:line="260" w:lineRule="exact"/>
        <w:jc w:val="both"/>
        <w:rPr>
          <w:rFonts w:cs="Arial"/>
          <w:szCs w:val="20"/>
        </w:rPr>
      </w:pPr>
      <w:r w:rsidRPr="00445B9C">
        <w:rPr>
          <w:rFonts w:cs="Arial"/>
          <w:szCs w:val="20"/>
        </w:rPr>
        <w:t>Zahteve po javnem razkritju določenih informacij so bile uvedene – med drugim – za zagotovitev visoke ravni varstv</w:t>
      </w:r>
      <w:r w:rsidR="006E5198" w:rsidRPr="00445B9C">
        <w:rPr>
          <w:rFonts w:cs="Arial"/>
          <w:szCs w:val="20"/>
        </w:rPr>
        <w:t>a</w:t>
      </w:r>
      <w:r w:rsidRPr="00445B9C">
        <w:rPr>
          <w:rFonts w:cs="Arial"/>
          <w:szCs w:val="20"/>
        </w:rPr>
        <w:t xml:space="preserve"> vlagateljev, olajšanje čezmejnih naložb, zmanjšanje asimetrije informacij med osebami z dostopom do notranjih informacij družbe ter zunanjimi vlagatelji in udeleženci na trgu. Zaupanje vlagateljev in pripravljenost vlagati na kapitalskih trgih so odvisn</w:t>
      </w:r>
      <w:r w:rsidR="006E5198" w:rsidRPr="00445B9C">
        <w:rPr>
          <w:rFonts w:cs="Arial"/>
          <w:szCs w:val="20"/>
        </w:rPr>
        <w:t>i</w:t>
      </w:r>
      <w:r w:rsidRPr="00445B9C">
        <w:rPr>
          <w:rFonts w:cs="Arial"/>
          <w:szCs w:val="20"/>
        </w:rPr>
        <w:t xml:space="preserve"> od dostopnosti, kakovosti in primerljivosti informacij, saj vlagatelji lahko sprejemajo dobre investicijske odločitv</w:t>
      </w:r>
      <w:r w:rsidR="006E5198" w:rsidRPr="00445B9C">
        <w:rPr>
          <w:rFonts w:cs="Arial"/>
          <w:szCs w:val="20"/>
        </w:rPr>
        <w:t>e</w:t>
      </w:r>
      <w:r w:rsidRPr="00445B9C">
        <w:rPr>
          <w:rFonts w:cs="Arial"/>
          <w:szCs w:val="20"/>
        </w:rPr>
        <w:t xml:space="preserve"> le, če imajo dostop do potrebnih informacij.</w:t>
      </w:r>
    </w:p>
    <w:p w14:paraId="469CD0E2" w14:textId="77777777" w:rsidR="003C4E4A" w:rsidRPr="00445B9C" w:rsidRDefault="003C4E4A" w:rsidP="003C4E4A">
      <w:pPr>
        <w:spacing w:line="260" w:lineRule="exact"/>
        <w:jc w:val="both"/>
        <w:rPr>
          <w:rFonts w:cs="Arial"/>
          <w:szCs w:val="20"/>
        </w:rPr>
      </w:pPr>
    </w:p>
    <w:p w14:paraId="0906579B" w14:textId="2B182715" w:rsidR="003C4E4A" w:rsidRPr="00445B9C" w:rsidRDefault="003C4E4A" w:rsidP="003C4E4A">
      <w:pPr>
        <w:spacing w:line="260" w:lineRule="exact"/>
        <w:jc w:val="both"/>
        <w:rPr>
          <w:rFonts w:cs="Arial"/>
          <w:szCs w:val="20"/>
        </w:rPr>
      </w:pPr>
      <w:r w:rsidRPr="00445B9C">
        <w:rPr>
          <w:rFonts w:cs="Arial"/>
          <w:szCs w:val="20"/>
        </w:rPr>
        <w:t>Večina zakonodaje na področju finančnih storitev in kapitalskih trgov zahteva razkritje informacij javnosti. Zasebni subjekti, tj. gospodarske družbe, ki so izdajatelji vrednostnih papirjev, upravljavci premoženja, skladi, banke, zavarovalnice, bonitetne agencije, revizorji in svetovalci</w:t>
      </w:r>
      <w:r w:rsidR="00FB1B5C">
        <w:rPr>
          <w:rFonts w:cs="Arial"/>
          <w:szCs w:val="20"/>
        </w:rPr>
        <w:t>,</w:t>
      </w:r>
      <w:r w:rsidRPr="00445B9C">
        <w:rPr>
          <w:rFonts w:cs="Arial"/>
          <w:szCs w:val="20"/>
        </w:rPr>
        <w:t xml:space="preserve"> so zavezani </w:t>
      </w:r>
      <w:r w:rsidR="00FB1B5C">
        <w:rPr>
          <w:rFonts w:cs="Arial"/>
          <w:szCs w:val="20"/>
        </w:rPr>
        <w:t>številnim</w:t>
      </w:r>
      <w:r w:rsidRPr="00445B9C">
        <w:rPr>
          <w:rFonts w:cs="Arial"/>
          <w:szCs w:val="20"/>
        </w:rPr>
        <w:t xml:space="preserve"> obveznosti</w:t>
      </w:r>
      <w:r w:rsidR="00FB1B5C">
        <w:rPr>
          <w:rFonts w:cs="Arial"/>
          <w:szCs w:val="20"/>
        </w:rPr>
        <w:t>m</w:t>
      </w:r>
      <w:r w:rsidRPr="00445B9C">
        <w:rPr>
          <w:rFonts w:cs="Arial"/>
          <w:szCs w:val="20"/>
        </w:rPr>
        <w:t xml:space="preserve"> za poročanje. Obstajajo različne vrste informacij, ki jih morajo subjekti objaviti zaradi obveznosti poročanja, večina teh pa je povezanih z merjenjem finančne uspešnosti podjetja, opisom njegovega vodenja in njegovih okoljskih ali socialnih politik. Informacije, povezane s produkti, so naslednja tipična vrsta informacij, na primer dokumenti s ključnimi informacijami, ki jih pripravijo tisti, ki prodajajo naložbene produkte. Nekaj dodatnih obveznosti poročanja se nanaša na izpolnjevanje </w:t>
      </w:r>
      <w:r w:rsidR="00FB1B5C">
        <w:rPr>
          <w:rFonts w:cs="Arial"/>
          <w:szCs w:val="20"/>
        </w:rPr>
        <w:t>zadevnih</w:t>
      </w:r>
      <w:r w:rsidR="00FB1B5C" w:rsidRPr="00445B9C">
        <w:rPr>
          <w:rFonts w:cs="Arial"/>
          <w:szCs w:val="20"/>
        </w:rPr>
        <w:t xml:space="preserve"> </w:t>
      </w:r>
      <w:r w:rsidRPr="00445B9C">
        <w:rPr>
          <w:rFonts w:cs="Arial"/>
          <w:szCs w:val="20"/>
        </w:rPr>
        <w:t xml:space="preserve">pravil oziroma na </w:t>
      </w:r>
      <w:r w:rsidR="00FB1B5C">
        <w:rPr>
          <w:rFonts w:cs="Arial"/>
          <w:szCs w:val="20"/>
        </w:rPr>
        <w:t xml:space="preserve">nekatere </w:t>
      </w:r>
      <w:r w:rsidRPr="00445B9C">
        <w:rPr>
          <w:rFonts w:cs="Arial"/>
          <w:szCs w:val="20"/>
        </w:rPr>
        <w:t xml:space="preserve">dogodke, pomembne za trge. </w:t>
      </w:r>
    </w:p>
    <w:p w14:paraId="535B7F31" w14:textId="77777777" w:rsidR="003C4E4A" w:rsidRPr="00445B9C" w:rsidRDefault="003C4E4A" w:rsidP="003C4E4A">
      <w:pPr>
        <w:spacing w:line="260" w:lineRule="exact"/>
        <w:jc w:val="both"/>
        <w:rPr>
          <w:rFonts w:cs="Arial"/>
          <w:szCs w:val="20"/>
        </w:rPr>
      </w:pPr>
    </w:p>
    <w:p w14:paraId="782B693E" w14:textId="68617D4A" w:rsidR="003C4E4A" w:rsidRPr="00445B9C" w:rsidRDefault="003C4E4A" w:rsidP="003C4E4A">
      <w:pPr>
        <w:spacing w:line="260" w:lineRule="exact"/>
        <w:jc w:val="both"/>
        <w:rPr>
          <w:rFonts w:cs="Arial"/>
          <w:szCs w:val="20"/>
        </w:rPr>
      </w:pPr>
      <w:r w:rsidRPr="00445B9C">
        <w:rPr>
          <w:rFonts w:cs="Arial"/>
          <w:szCs w:val="20"/>
        </w:rPr>
        <w:t xml:space="preserve">Razdrobljenost informacijskih tokov na evropskih trgih povečuje stroške odkrivanja, dostopanja in obdelave informacij, ki jih uporabniki potrebujejo, kar </w:t>
      </w:r>
      <w:r w:rsidR="00FB1B5C">
        <w:rPr>
          <w:rFonts w:cs="Arial"/>
          <w:szCs w:val="20"/>
        </w:rPr>
        <w:t>pomeni</w:t>
      </w:r>
      <w:r w:rsidR="00FB1B5C" w:rsidRPr="00445B9C">
        <w:rPr>
          <w:rFonts w:cs="Arial"/>
          <w:szCs w:val="20"/>
        </w:rPr>
        <w:t xml:space="preserve"> </w:t>
      </w:r>
      <w:r w:rsidRPr="00445B9C">
        <w:rPr>
          <w:rFonts w:cs="Arial"/>
          <w:szCs w:val="20"/>
        </w:rPr>
        <w:t xml:space="preserve">tudi oviro za optimalno razporeditev kapitala. </w:t>
      </w:r>
      <w:r w:rsidR="00FB1B5C">
        <w:rPr>
          <w:rFonts w:cs="Arial"/>
          <w:szCs w:val="20"/>
        </w:rPr>
        <w:t>T</w:t>
      </w:r>
      <w:r w:rsidRPr="00445B9C">
        <w:rPr>
          <w:rFonts w:cs="Arial"/>
          <w:szCs w:val="20"/>
        </w:rPr>
        <w:t xml:space="preserve">o </w:t>
      </w:r>
      <w:r w:rsidR="00FB1B5C">
        <w:rPr>
          <w:rFonts w:cs="Arial"/>
          <w:szCs w:val="20"/>
        </w:rPr>
        <w:t xml:space="preserve">je tudi </w:t>
      </w:r>
      <w:r w:rsidRPr="00445B9C">
        <w:rPr>
          <w:rFonts w:cs="Arial"/>
          <w:szCs w:val="20"/>
        </w:rPr>
        <w:t>težav</w:t>
      </w:r>
      <w:r w:rsidR="00FB1B5C">
        <w:rPr>
          <w:rFonts w:cs="Arial"/>
          <w:szCs w:val="20"/>
        </w:rPr>
        <w:t>a</w:t>
      </w:r>
      <w:r w:rsidRPr="00445B9C">
        <w:rPr>
          <w:rFonts w:cs="Arial"/>
          <w:szCs w:val="20"/>
        </w:rPr>
        <w:t xml:space="preserve"> z vidika pridobivanja financiranja za manjša podjetja </w:t>
      </w:r>
      <w:r w:rsidR="006E5198" w:rsidRPr="00445B9C">
        <w:rPr>
          <w:rFonts w:cs="Arial"/>
          <w:szCs w:val="20"/>
        </w:rPr>
        <w:t xml:space="preserve">oziroma </w:t>
      </w:r>
      <w:r w:rsidRPr="00445B9C">
        <w:rPr>
          <w:rFonts w:cs="Arial"/>
          <w:szCs w:val="20"/>
        </w:rPr>
        <w:t xml:space="preserve">podjetja na manjših kapitalskih trgih, ki so zaradi razmer na splošno manj prepoznavna. Zaradi tega njihova privlačnost za vlagatelje ni optimalna, zlasti </w:t>
      </w:r>
      <w:r w:rsidR="00FB1B5C">
        <w:rPr>
          <w:rFonts w:cs="Arial"/>
          <w:szCs w:val="20"/>
        </w:rPr>
        <w:t>z</w:t>
      </w:r>
      <w:r w:rsidRPr="00445B9C">
        <w:rPr>
          <w:rFonts w:cs="Arial"/>
          <w:szCs w:val="20"/>
        </w:rPr>
        <w:t xml:space="preserve"> vidika tujih (čezmejnih) vlaganj.</w:t>
      </w:r>
    </w:p>
    <w:p w14:paraId="347165B0" w14:textId="77777777" w:rsidR="008E0CFF" w:rsidRPr="00445B9C" w:rsidRDefault="008E0CFF" w:rsidP="003C4E4A">
      <w:pPr>
        <w:spacing w:line="260" w:lineRule="exact"/>
        <w:jc w:val="both"/>
        <w:rPr>
          <w:rFonts w:cs="Arial"/>
          <w:szCs w:val="20"/>
        </w:rPr>
      </w:pPr>
    </w:p>
    <w:p w14:paraId="7D56D5A5" w14:textId="715AFEDC" w:rsidR="008E0CFF" w:rsidRPr="00445B9C" w:rsidRDefault="008E0CFF" w:rsidP="003C4E4A">
      <w:pPr>
        <w:spacing w:line="260" w:lineRule="exact"/>
        <w:jc w:val="both"/>
        <w:rPr>
          <w:rFonts w:cs="Arial"/>
          <w:szCs w:val="20"/>
        </w:rPr>
      </w:pPr>
      <w:r w:rsidRPr="00445B9C">
        <w:rPr>
          <w:rFonts w:cs="Arial"/>
          <w:szCs w:val="20"/>
        </w:rPr>
        <w:t xml:space="preserve">Odsotnost </w:t>
      </w:r>
      <w:r w:rsidR="00FB1B5C">
        <w:rPr>
          <w:rFonts w:cs="Arial"/>
          <w:szCs w:val="20"/>
        </w:rPr>
        <w:t>usklajenega</w:t>
      </w:r>
      <w:r w:rsidR="00FB1B5C" w:rsidRPr="00445B9C">
        <w:rPr>
          <w:rFonts w:cs="Arial"/>
          <w:szCs w:val="20"/>
        </w:rPr>
        <w:t xml:space="preserve"> </w:t>
      </w:r>
      <w:r w:rsidRPr="00445B9C">
        <w:rPr>
          <w:rFonts w:cs="Arial"/>
          <w:szCs w:val="20"/>
        </w:rPr>
        <w:t xml:space="preserve">pogleda na cene in likvidnost </w:t>
      </w:r>
      <w:r w:rsidR="00FB1B5C">
        <w:rPr>
          <w:rFonts w:cs="Arial"/>
          <w:szCs w:val="20"/>
        </w:rPr>
        <w:t>je</w:t>
      </w:r>
      <w:r w:rsidR="00FB1B5C" w:rsidRPr="00445B9C">
        <w:rPr>
          <w:rFonts w:cs="Arial"/>
          <w:szCs w:val="20"/>
        </w:rPr>
        <w:t xml:space="preserve"> </w:t>
      </w:r>
      <w:r w:rsidRPr="00445B9C">
        <w:rPr>
          <w:rFonts w:cs="Arial"/>
          <w:szCs w:val="20"/>
        </w:rPr>
        <w:t>težav</w:t>
      </w:r>
      <w:r w:rsidR="00FB1B5C">
        <w:rPr>
          <w:rFonts w:cs="Arial"/>
          <w:szCs w:val="20"/>
        </w:rPr>
        <w:t>a</w:t>
      </w:r>
      <w:r w:rsidRPr="00445B9C">
        <w:rPr>
          <w:rFonts w:cs="Arial"/>
          <w:szCs w:val="20"/>
        </w:rPr>
        <w:t xml:space="preserve">, ko je finančni instrument na voljo za trgovanje ne samo na enem mestu </w:t>
      </w:r>
      <w:r w:rsidR="00944186" w:rsidRPr="00445B9C">
        <w:rPr>
          <w:rFonts w:cs="Arial"/>
          <w:szCs w:val="20"/>
        </w:rPr>
        <w:t>trgovanja</w:t>
      </w:r>
      <w:r w:rsidRPr="00445B9C">
        <w:rPr>
          <w:rFonts w:cs="Arial"/>
          <w:szCs w:val="20"/>
        </w:rPr>
        <w:t xml:space="preserve">, temveč na več konkurenčnih mestih. To preprečuje vlagateljem, da bi imeli celosten vpogled v tržne podatke, kar onemogoča pravilno oceno, ali so posredniki dosegli najboljšo možno izvedbo za njihova naročila. </w:t>
      </w:r>
      <w:r w:rsidR="001128FD" w:rsidRPr="00445B9C">
        <w:rPr>
          <w:rFonts w:cs="Arial"/>
          <w:szCs w:val="20"/>
        </w:rPr>
        <w:t>Borznoposredniške družbe</w:t>
      </w:r>
      <w:r w:rsidRPr="00445B9C">
        <w:rPr>
          <w:rFonts w:cs="Arial"/>
          <w:szCs w:val="20"/>
        </w:rPr>
        <w:t xml:space="preserve"> so namreč odgovorn</w:t>
      </w:r>
      <w:r w:rsidR="006E5198" w:rsidRPr="00445B9C">
        <w:rPr>
          <w:rFonts w:cs="Arial"/>
          <w:szCs w:val="20"/>
        </w:rPr>
        <w:t>e</w:t>
      </w:r>
      <w:r w:rsidRPr="00445B9C">
        <w:rPr>
          <w:rFonts w:cs="Arial"/>
          <w:szCs w:val="20"/>
        </w:rPr>
        <w:t xml:space="preserve"> za dosego najugodnejše transakcije </w:t>
      </w:r>
      <w:r w:rsidR="00D96B46">
        <w:rPr>
          <w:rFonts w:cs="Arial"/>
          <w:szCs w:val="20"/>
        </w:rPr>
        <w:t>z vidika</w:t>
      </w:r>
      <w:r w:rsidRPr="00445B9C">
        <w:rPr>
          <w:rFonts w:cs="Arial"/>
          <w:szCs w:val="20"/>
        </w:rPr>
        <w:t xml:space="preserve"> cene in celotnih stroškov, tako eksplicitnih kot implicitnih, vendar brez </w:t>
      </w:r>
      <w:r w:rsidR="00D96B46">
        <w:rPr>
          <w:rFonts w:cs="Arial"/>
          <w:szCs w:val="20"/>
        </w:rPr>
        <w:t>ustrezn</w:t>
      </w:r>
      <w:r w:rsidR="005E61F7">
        <w:rPr>
          <w:rFonts w:cs="Arial"/>
          <w:szCs w:val="20"/>
        </w:rPr>
        <w:t>ega</w:t>
      </w:r>
      <w:r w:rsidRPr="00445B9C">
        <w:rPr>
          <w:rFonts w:cs="Arial"/>
          <w:szCs w:val="20"/>
        </w:rPr>
        <w:t xml:space="preserve"> </w:t>
      </w:r>
      <w:r w:rsidR="005E61F7">
        <w:rPr>
          <w:rFonts w:cs="Arial"/>
          <w:szCs w:val="20"/>
        </w:rPr>
        <w:t xml:space="preserve">celovitega </w:t>
      </w:r>
      <w:r w:rsidRPr="00445B9C">
        <w:rPr>
          <w:rFonts w:cs="Arial"/>
          <w:szCs w:val="20"/>
        </w:rPr>
        <w:t xml:space="preserve">pregleda </w:t>
      </w:r>
      <w:r w:rsidR="00DC16DC" w:rsidRPr="00445B9C">
        <w:rPr>
          <w:rFonts w:cs="Arial"/>
          <w:szCs w:val="20"/>
        </w:rPr>
        <w:t xml:space="preserve">to zelo </w:t>
      </w:r>
      <w:r w:rsidR="00DC16DC" w:rsidRPr="00445B9C">
        <w:rPr>
          <w:rFonts w:cs="Arial"/>
          <w:szCs w:val="20"/>
        </w:rPr>
        <w:lastRenderedPageBreak/>
        <w:t>težko zagotovijo</w:t>
      </w:r>
      <w:r w:rsidRPr="00445B9C">
        <w:rPr>
          <w:rFonts w:cs="Arial"/>
          <w:szCs w:val="20"/>
        </w:rPr>
        <w:t>. Brez podatkov o cenah in količinah na različnih trgih vlagatelji ne morejo ustrezno oceniti, ali je bila dosežena najboljša izvedba njihovih naročil, kar povečuje tveganja in stroške za vse udeležence na trgu, še posebej za manjše vlagatelje in izdajatelje. Navedeno se kaže tudi v izvajanju storitev na način »plačilo za tok naročil« (ang</w:t>
      </w:r>
      <w:r w:rsidR="00421509">
        <w:rPr>
          <w:rFonts w:cs="Arial"/>
          <w:szCs w:val="20"/>
        </w:rPr>
        <w:t>l</w:t>
      </w:r>
      <w:r w:rsidRPr="00445B9C">
        <w:rPr>
          <w:rFonts w:cs="Arial"/>
          <w:szCs w:val="20"/>
        </w:rPr>
        <w:t xml:space="preserve">. </w:t>
      </w:r>
      <w:proofErr w:type="spellStart"/>
      <w:r w:rsidRPr="00445B9C">
        <w:rPr>
          <w:rFonts w:cs="Arial"/>
          <w:i/>
          <w:iCs/>
          <w:szCs w:val="20"/>
        </w:rPr>
        <w:t>payment</w:t>
      </w:r>
      <w:proofErr w:type="spellEnd"/>
      <w:r w:rsidRPr="00445B9C">
        <w:rPr>
          <w:rFonts w:cs="Arial"/>
          <w:i/>
          <w:iCs/>
          <w:szCs w:val="20"/>
        </w:rPr>
        <w:t xml:space="preserve"> </w:t>
      </w:r>
      <w:proofErr w:type="spellStart"/>
      <w:r w:rsidRPr="00445B9C">
        <w:rPr>
          <w:rFonts w:cs="Arial"/>
          <w:i/>
          <w:iCs/>
          <w:szCs w:val="20"/>
        </w:rPr>
        <w:t>for</w:t>
      </w:r>
      <w:proofErr w:type="spellEnd"/>
      <w:r w:rsidRPr="00445B9C">
        <w:rPr>
          <w:rFonts w:cs="Arial"/>
          <w:i/>
          <w:iCs/>
          <w:szCs w:val="20"/>
        </w:rPr>
        <w:t xml:space="preserve"> </w:t>
      </w:r>
      <w:proofErr w:type="spellStart"/>
      <w:r w:rsidRPr="00445B9C">
        <w:rPr>
          <w:rFonts w:cs="Arial"/>
          <w:i/>
          <w:iCs/>
          <w:szCs w:val="20"/>
        </w:rPr>
        <w:t>order</w:t>
      </w:r>
      <w:proofErr w:type="spellEnd"/>
      <w:r w:rsidRPr="00445B9C">
        <w:rPr>
          <w:rFonts w:cs="Arial"/>
          <w:i/>
          <w:iCs/>
          <w:szCs w:val="20"/>
        </w:rPr>
        <w:t xml:space="preserve"> </w:t>
      </w:r>
      <w:proofErr w:type="spellStart"/>
      <w:r w:rsidRPr="00445B9C">
        <w:rPr>
          <w:rFonts w:cs="Arial"/>
          <w:i/>
          <w:iCs/>
          <w:szCs w:val="20"/>
        </w:rPr>
        <w:t>flow</w:t>
      </w:r>
      <w:proofErr w:type="spellEnd"/>
      <w:r w:rsidRPr="00445B9C">
        <w:rPr>
          <w:rFonts w:cs="Arial"/>
          <w:szCs w:val="20"/>
        </w:rPr>
        <w:t xml:space="preserve">), kjer borznoposredniška hiša morda usmerja naročila k določenemu vzdrževalcu trga ali mestu izvrševanja z vidika lastne koristi (da čim bolj poveča plačilo, ki ga prejme za naročilo, preusmerjeno k izvršilnemu posredniku ali mestu izvajanja), in ne v najboljšem interesu vlagatelja. Mali vlagatelji, ki običajno trgujejo z manjšimi naročili, nimajo objektivne primerjalne cene, da bi ocenili, ali je </w:t>
      </w:r>
      <w:r w:rsidR="002774B9" w:rsidRPr="00445B9C">
        <w:rPr>
          <w:rFonts w:cs="Arial"/>
          <w:szCs w:val="20"/>
        </w:rPr>
        <w:t xml:space="preserve">»plačilo za tok naročil« </w:t>
      </w:r>
      <w:r w:rsidRPr="00445B9C">
        <w:rPr>
          <w:rFonts w:cs="Arial"/>
          <w:szCs w:val="20"/>
        </w:rPr>
        <w:t>pozitivno ali negativno vplival</w:t>
      </w:r>
      <w:r w:rsidR="006E5198" w:rsidRPr="00445B9C">
        <w:rPr>
          <w:rFonts w:cs="Arial"/>
          <w:szCs w:val="20"/>
        </w:rPr>
        <w:t>o</w:t>
      </w:r>
      <w:r w:rsidRPr="00445B9C">
        <w:rPr>
          <w:rFonts w:cs="Arial"/>
          <w:szCs w:val="20"/>
        </w:rPr>
        <w:t xml:space="preserve"> na cene, ki jih plačajo za vrednostni papir, ali na donos, ki ga prejmejo s prodajo vrednostnega papirja.</w:t>
      </w:r>
    </w:p>
    <w:p w14:paraId="074F0A70" w14:textId="77777777" w:rsidR="004F2F8C" w:rsidRPr="00445B9C" w:rsidRDefault="004F2F8C" w:rsidP="00ED48B9">
      <w:pPr>
        <w:spacing w:line="260" w:lineRule="exact"/>
        <w:jc w:val="both"/>
        <w:rPr>
          <w:rFonts w:cs="Arial"/>
          <w:szCs w:val="20"/>
        </w:rPr>
      </w:pPr>
    </w:p>
    <w:p w14:paraId="7E5028F3" w14:textId="7D96508F" w:rsidR="00537885" w:rsidRPr="00445B9C" w:rsidRDefault="00537885" w:rsidP="00537885">
      <w:pPr>
        <w:spacing w:line="260" w:lineRule="exact"/>
        <w:jc w:val="both"/>
        <w:rPr>
          <w:rFonts w:cs="Arial"/>
          <w:szCs w:val="20"/>
        </w:rPr>
      </w:pPr>
      <w:r w:rsidRPr="00445B9C">
        <w:rPr>
          <w:rFonts w:cs="Arial"/>
          <w:szCs w:val="20"/>
        </w:rPr>
        <w:t xml:space="preserve">V preteklih desetletjih smo </w:t>
      </w:r>
      <w:r w:rsidR="005E61F7">
        <w:rPr>
          <w:rFonts w:cs="Arial"/>
          <w:szCs w:val="20"/>
        </w:rPr>
        <w:t>doživeli</w:t>
      </w:r>
      <w:r w:rsidRPr="00445B9C">
        <w:rPr>
          <w:rFonts w:cs="Arial"/>
          <w:szCs w:val="20"/>
        </w:rPr>
        <w:t xml:space="preserve"> pomemb</w:t>
      </w:r>
      <w:r w:rsidR="005E61F7">
        <w:rPr>
          <w:rFonts w:cs="Arial"/>
          <w:szCs w:val="20"/>
        </w:rPr>
        <w:t>e</w:t>
      </w:r>
      <w:r w:rsidRPr="00445B9C">
        <w:rPr>
          <w:rFonts w:cs="Arial"/>
          <w:szCs w:val="20"/>
        </w:rPr>
        <w:t>n napred</w:t>
      </w:r>
      <w:r w:rsidR="005E61F7">
        <w:rPr>
          <w:rFonts w:cs="Arial"/>
          <w:szCs w:val="20"/>
        </w:rPr>
        <w:t>e</w:t>
      </w:r>
      <w:r w:rsidRPr="00445B9C">
        <w:rPr>
          <w:rFonts w:cs="Arial"/>
          <w:szCs w:val="20"/>
        </w:rPr>
        <w:t xml:space="preserve">k in </w:t>
      </w:r>
      <w:r w:rsidR="005E61F7">
        <w:rPr>
          <w:rFonts w:cs="Arial"/>
          <w:szCs w:val="20"/>
        </w:rPr>
        <w:t xml:space="preserve">se soočali z </w:t>
      </w:r>
      <w:r w:rsidRPr="00445B9C">
        <w:rPr>
          <w:rFonts w:cs="Arial"/>
          <w:szCs w:val="20"/>
        </w:rPr>
        <w:t>vse večj</w:t>
      </w:r>
      <w:r w:rsidR="005E61F7">
        <w:rPr>
          <w:rFonts w:cs="Arial"/>
          <w:szCs w:val="20"/>
        </w:rPr>
        <w:t>o</w:t>
      </w:r>
      <w:r w:rsidRPr="00445B9C">
        <w:rPr>
          <w:rFonts w:cs="Arial"/>
          <w:szCs w:val="20"/>
        </w:rPr>
        <w:t xml:space="preserve"> </w:t>
      </w:r>
      <w:r w:rsidR="005E61F7">
        <w:rPr>
          <w:rFonts w:cs="Arial"/>
          <w:szCs w:val="20"/>
        </w:rPr>
        <w:t>zahtevnostjo</w:t>
      </w:r>
      <w:r w:rsidR="005E61F7" w:rsidRPr="00445B9C">
        <w:rPr>
          <w:rFonts w:cs="Arial"/>
          <w:szCs w:val="20"/>
        </w:rPr>
        <w:t xml:space="preserve"> </w:t>
      </w:r>
      <w:r w:rsidRPr="00445B9C">
        <w:rPr>
          <w:rFonts w:cs="Arial"/>
          <w:szCs w:val="20"/>
        </w:rPr>
        <w:t>uporabe informacijskih in komunikacijskih tehnologij (v nadalj</w:t>
      </w:r>
      <w:r w:rsidR="0091147A" w:rsidRPr="00445B9C">
        <w:rPr>
          <w:rFonts w:cs="Arial"/>
          <w:szCs w:val="20"/>
        </w:rPr>
        <w:t>njem besedil</w:t>
      </w:r>
      <w:r w:rsidRPr="00445B9C">
        <w:rPr>
          <w:rFonts w:cs="Arial"/>
          <w:szCs w:val="20"/>
        </w:rPr>
        <w:t xml:space="preserve">u: IKT) v finančnem sistemu. Digitalizacija je pomembna </w:t>
      </w:r>
      <w:r w:rsidR="005E61F7">
        <w:rPr>
          <w:rFonts w:cs="Arial"/>
          <w:szCs w:val="20"/>
        </w:rPr>
        <w:t xml:space="preserve">spodbuda </w:t>
      </w:r>
      <w:r w:rsidRPr="00445B9C">
        <w:rPr>
          <w:rFonts w:cs="Arial"/>
          <w:szCs w:val="20"/>
        </w:rPr>
        <w:t xml:space="preserve">pri preobrazbi finančnega sistema. Zanašanje na digitalne tehnologije pa prinaša tudi pomisleke in tveganja, zato morajo biti podjetja sposobna obvladovati morebitne motnje IKT (kibernetski incidenti in grožnje) ter zagotavljati neprekinjeno izvajanje storitev. V današnjem </w:t>
      </w:r>
      <w:r w:rsidR="00E807A7">
        <w:rPr>
          <w:rFonts w:cs="Arial"/>
          <w:szCs w:val="20"/>
        </w:rPr>
        <w:t>zelo</w:t>
      </w:r>
      <w:r w:rsidR="00E807A7" w:rsidRPr="00445B9C">
        <w:rPr>
          <w:rFonts w:cs="Arial"/>
          <w:szCs w:val="20"/>
        </w:rPr>
        <w:t xml:space="preserve"> </w:t>
      </w:r>
      <w:r w:rsidR="00E807A7">
        <w:rPr>
          <w:rFonts w:cs="Arial"/>
          <w:szCs w:val="20"/>
        </w:rPr>
        <w:t xml:space="preserve">povezljivem, </w:t>
      </w:r>
      <w:r w:rsidRPr="00445B9C">
        <w:rPr>
          <w:rFonts w:cs="Arial"/>
          <w:szCs w:val="20"/>
        </w:rPr>
        <w:t xml:space="preserve">integriranem finančnem sektorju, ki nudi ključne storitve za realno gospodarstvo, je odvisnost od IKT izrazita, še posebej zaradi globoke in široke uporabe IKT ter možnosti, da se učinki operativnega incidenta v enem finančnem podjetju ali finančnem podsektorju hitro razširijo na druga podjetja ali dele finančnega sektorja in nenazadnje na celotno gospodarstvo. </w:t>
      </w:r>
    </w:p>
    <w:p w14:paraId="643FF04E" w14:textId="77777777" w:rsidR="00537885" w:rsidRPr="00445B9C" w:rsidRDefault="00537885" w:rsidP="00537885">
      <w:pPr>
        <w:spacing w:line="260" w:lineRule="exact"/>
        <w:jc w:val="both"/>
        <w:rPr>
          <w:rFonts w:cs="Arial"/>
          <w:szCs w:val="20"/>
        </w:rPr>
      </w:pPr>
    </w:p>
    <w:p w14:paraId="03F2CE42" w14:textId="59A115C4" w:rsidR="00537885" w:rsidRPr="00445B9C" w:rsidRDefault="00537885" w:rsidP="00537885">
      <w:pPr>
        <w:spacing w:line="260" w:lineRule="exact"/>
        <w:jc w:val="both"/>
        <w:rPr>
          <w:rFonts w:cs="Arial"/>
          <w:szCs w:val="20"/>
        </w:rPr>
      </w:pPr>
      <w:r w:rsidRPr="00445B9C">
        <w:rPr>
          <w:rFonts w:cs="Arial"/>
          <w:szCs w:val="20"/>
        </w:rPr>
        <w:t xml:space="preserve">V zadnjih letih so tveganja, povezana z IKT, postala ena </w:t>
      </w:r>
      <w:r w:rsidR="00E807A7">
        <w:rPr>
          <w:rFonts w:cs="Arial"/>
          <w:szCs w:val="20"/>
        </w:rPr>
        <w:t>o</w:t>
      </w:r>
      <w:r w:rsidRPr="00445B9C">
        <w:rPr>
          <w:rFonts w:cs="Arial"/>
          <w:szCs w:val="20"/>
        </w:rPr>
        <w:t xml:space="preserve">d osrednjih tem na </w:t>
      </w:r>
      <w:r w:rsidR="00E807A7">
        <w:rPr>
          <w:rFonts w:cs="Arial"/>
          <w:szCs w:val="20"/>
        </w:rPr>
        <w:t>državni</w:t>
      </w:r>
      <w:r w:rsidRPr="00445B9C">
        <w:rPr>
          <w:rFonts w:cs="Arial"/>
          <w:szCs w:val="20"/>
        </w:rPr>
        <w:t xml:space="preserve">, evropski in mednarodni ravni, saj te nevarnosti ne poznajo meja. Oblikovalci politik, </w:t>
      </w:r>
      <w:r w:rsidR="00E807A7">
        <w:rPr>
          <w:rFonts w:cs="Arial"/>
          <w:szCs w:val="20"/>
        </w:rPr>
        <w:t>zakonodajalci</w:t>
      </w:r>
      <w:r w:rsidR="00E807A7" w:rsidRPr="00445B9C">
        <w:rPr>
          <w:rFonts w:cs="Arial"/>
          <w:szCs w:val="20"/>
        </w:rPr>
        <w:t xml:space="preserve"> </w:t>
      </w:r>
      <w:r w:rsidRPr="00445B9C">
        <w:rPr>
          <w:rFonts w:cs="Arial"/>
          <w:szCs w:val="20"/>
        </w:rPr>
        <w:t>in organi za določanje standardov se v</w:t>
      </w:r>
      <w:r w:rsidR="00E807A7">
        <w:rPr>
          <w:rFonts w:cs="Arial"/>
          <w:szCs w:val="20"/>
        </w:rPr>
        <w:t>s</w:t>
      </w:r>
      <w:r w:rsidRPr="00445B9C">
        <w:rPr>
          <w:rFonts w:cs="Arial"/>
          <w:szCs w:val="20"/>
        </w:rPr>
        <w:t xml:space="preserve">e bolj osredotočajo na krepitev odpornosti sistemov, vzpostavitev skupnih standardov ter </w:t>
      </w:r>
      <w:r w:rsidR="001B2A9F">
        <w:rPr>
          <w:rFonts w:cs="Arial"/>
          <w:szCs w:val="20"/>
        </w:rPr>
        <w:t>usklajevanje</w:t>
      </w:r>
      <w:r w:rsidR="001B2A9F" w:rsidRPr="00445B9C">
        <w:rPr>
          <w:rFonts w:cs="Arial"/>
          <w:szCs w:val="20"/>
        </w:rPr>
        <w:t xml:space="preserve"> </w:t>
      </w:r>
      <w:r w:rsidR="00E807A7">
        <w:rPr>
          <w:rFonts w:cs="Arial"/>
          <w:szCs w:val="20"/>
        </w:rPr>
        <w:t>zakonodajnih</w:t>
      </w:r>
      <w:r w:rsidR="00E807A7" w:rsidRPr="00445B9C">
        <w:rPr>
          <w:rFonts w:cs="Arial"/>
          <w:szCs w:val="20"/>
        </w:rPr>
        <w:t xml:space="preserve"> </w:t>
      </w:r>
      <w:r w:rsidRPr="00445B9C">
        <w:rPr>
          <w:rFonts w:cs="Arial"/>
          <w:szCs w:val="20"/>
        </w:rPr>
        <w:t xml:space="preserve">in nadzornih </w:t>
      </w:r>
      <w:r w:rsidR="00E807A7">
        <w:rPr>
          <w:rFonts w:cs="Arial"/>
          <w:szCs w:val="20"/>
        </w:rPr>
        <w:t>načinov dela</w:t>
      </w:r>
      <w:r w:rsidRPr="00445B9C">
        <w:rPr>
          <w:rFonts w:cs="Arial"/>
          <w:szCs w:val="20"/>
        </w:rPr>
        <w:t xml:space="preserve">. Ta pristop se prilagaja značilnostim posameznih sektorjev in je bil uspešno izveden v različnih panogah, pri čemer ima še posebej pomembno vlogo sektor finančnih storitev, kjer lahko posledice </w:t>
      </w:r>
      <w:r w:rsidR="00E807A7" w:rsidRPr="00445B9C">
        <w:rPr>
          <w:rFonts w:cs="Arial"/>
          <w:szCs w:val="20"/>
        </w:rPr>
        <w:t xml:space="preserve">incidentov </w:t>
      </w:r>
      <w:r w:rsidRPr="00445B9C">
        <w:rPr>
          <w:rFonts w:cs="Arial"/>
          <w:szCs w:val="20"/>
        </w:rPr>
        <w:t>IKT hitro presežejo meje posameznih organizacij in vplivajo na širše gospodarstvo.</w:t>
      </w:r>
    </w:p>
    <w:p w14:paraId="14DF7F5D" w14:textId="77777777" w:rsidR="00537885" w:rsidRPr="00445B9C" w:rsidRDefault="00537885" w:rsidP="00537885">
      <w:pPr>
        <w:spacing w:line="260" w:lineRule="exact"/>
        <w:jc w:val="both"/>
        <w:rPr>
          <w:rFonts w:cs="Arial"/>
          <w:szCs w:val="20"/>
        </w:rPr>
      </w:pPr>
    </w:p>
    <w:p w14:paraId="5D25CDE7" w14:textId="77777777" w:rsidR="00ED36BF" w:rsidRPr="00445B9C" w:rsidRDefault="00537885" w:rsidP="00ED36BF">
      <w:pPr>
        <w:spacing w:line="260" w:lineRule="exact"/>
        <w:jc w:val="both"/>
        <w:rPr>
          <w:rFonts w:cs="Arial"/>
          <w:szCs w:val="20"/>
        </w:rPr>
      </w:pPr>
      <w:r w:rsidRPr="00445B9C">
        <w:rPr>
          <w:rFonts w:cs="Arial"/>
          <w:szCs w:val="20"/>
        </w:rPr>
        <w:t>Pravni okvir, ki zajema tveganje IKT in operativno odpornost v celotnem finančnem sistemu</w:t>
      </w:r>
      <w:r w:rsidR="0017355B" w:rsidRPr="00445B9C">
        <w:rPr>
          <w:rFonts w:cs="Arial"/>
          <w:szCs w:val="20"/>
        </w:rPr>
        <w:t>,</w:t>
      </w:r>
      <w:r w:rsidRPr="00445B9C">
        <w:rPr>
          <w:rFonts w:cs="Arial"/>
          <w:szCs w:val="20"/>
        </w:rPr>
        <w:t xml:space="preserve"> je razdrobljen, saj so bile določbe oblikovane v različnih časovnih obdobjih in poskušajo obravnavati glavna tveganja, ugotovljena v tistem času, zato se med sektorji finančnih storitev zelo razlikujejo. To povzroča nedoslednosti v zmogljivostih zaščite, odkrivanja, obvladovanja in odzivanja na incidente.</w:t>
      </w:r>
    </w:p>
    <w:p w14:paraId="0E58FCD3" w14:textId="77777777" w:rsidR="00ED36BF" w:rsidRPr="00445B9C" w:rsidRDefault="00ED36BF" w:rsidP="00ED36BF">
      <w:pPr>
        <w:spacing w:line="260" w:lineRule="exact"/>
        <w:jc w:val="both"/>
        <w:rPr>
          <w:rFonts w:cs="Arial"/>
          <w:szCs w:val="20"/>
        </w:rPr>
      </w:pPr>
    </w:p>
    <w:p w14:paraId="06E7DF55" w14:textId="648FB2A5" w:rsidR="00ED36BF" w:rsidRPr="00445B9C" w:rsidRDefault="00CF0FDA" w:rsidP="003B0F61">
      <w:pPr>
        <w:numPr>
          <w:ilvl w:val="0"/>
          <w:numId w:val="12"/>
        </w:numPr>
        <w:spacing w:line="260" w:lineRule="exact"/>
        <w:rPr>
          <w:rFonts w:cs="Arial"/>
          <w:b/>
          <w:szCs w:val="20"/>
        </w:rPr>
      </w:pPr>
      <w:r w:rsidRPr="00445B9C">
        <w:rPr>
          <w:rFonts w:cs="Arial"/>
          <w:b/>
          <w:szCs w:val="20"/>
        </w:rPr>
        <w:t>CILJI, NAČELA IN POGLAVITNE REŠITVE PREDLOGA ZAKONA</w:t>
      </w:r>
    </w:p>
    <w:p w14:paraId="086F6798" w14:textId="77777777" w:rsidR="00ED36BF" w:rsidRPr="00445B9C" w:rsidRDefault="00ED36BF" w:rsidP="00ED36BF">
      <w:pPr>
        <w:spacing w:line="260" w:lineRule="exact"/>
        <w:jc w:val="both"/>
        <w:rPr>
          <w:rFonts w:cs="Arial"/>
          <w:szCs w:val="20"/>
        </w:rPr>
      </w:pPr>
    </w:p>
    <w:p w14:paraId="34E5F009" w14:textId="77777777" w:rsidR="00ED36BF" w:rsidRPr="00445B9C" w:rsidRDefault="00ED36BF" w:rsidP="00ED36BF">
      <w:pPr>
        <w:spacing w:line="260" w:lineRule="exact"/>
        <w:jc w:val="both"/>
        <w:rPr>
          <w:rFonts w:cs="Arial"/>
          <w:b/>
          <w:szCs w:val="20"/>
        </w:rPr>
      </w:pPr>
      <w:r w:rsidRPr="00445B9C">
        <w:rPr>
          <w:rFonts w:cs="Arial"/>
          <w:b/>
          <w:szCs w:val="20"/>
        </w:rPr>
        <w:t>2.1. Cilji</w:t>
      </w:r>
    </w:p>
    <w:p w14:paraId="74365D7C" w14:textId="77777777" w:rsidR="00ED36BF" w:rsidRPr="00445B9C" w:rsidRDefault="00ED36BF" w:rsidP="00ED36BF">
      <w:pPr>
        <w:spacing w:line="260" w:lineRule="exact"/>
        <w:jc w:val="both"/>
        <w:rPr>
          <w:rFonts w:cs="Arial"/>
          <w:szCs w:val="20"/>
        </w:rPr>
      </w:pPr>
    </w:p>
    <w:p w14:paraId="64AD648B" w14:textId="77777777" w:rsidR="00F35458" w:rsidRPr="00445B9C" w:rsidRDefault="00F35458" w:rsidP="00ED36BF">
      <w:pPr>
        <w:spacing w:line="260" w:lineRule="exact"/>
        <w:jc w:val="both"/>
        <w:rPr>
          <w:rFonts w:cs="Arial"/>
          <w:szCs w:val="20"/>
        </w:rPr>
      </w:pPr>
      <w:r w:rsidRPr="00445B9C">
        <w:rPr>
          <w:rFonts w:cs="Arial"/>
          <w:szCs w:val="20"/>
        </w:rPr>
        <w:t>Glavni cilj predloga zakona je urediti prenos</w:t>
      </w:r>
      <w:r w:rsidR="0017355B" w:rsidRPr="00445B9C">
        <w:rPr>
          <w:rFonts w:cs="Arial"/>
          <w:szCs w:val="20"/>
        </w:rPr>
        <w:t>:</w:t>
      </w:r>
    </w:p>
    <w:p w14:paraId="6AF70422" w14:textId="77777777" w:rsidR="00F35458" w:rsidRPr="00445B9C" w:rsidRDefault="00F35458" w:rsidP="00ED36BF">
      <w:pPr>
        <w:spacing w:line="260" w:lineRule="exact"/>
        <w:jc w:val="both"/>
        <w:rPr>
          <w:rFonts w:cs="Arial"/>
          <w:szCs w:val="20"/>
        </w:rPr>
      </w:pPr>
    </w:p>
    <w:p w14:paraId="21666BD0" w14:textId="7CED7CF7" w:rsidR="00F35458" w:rsidRPr="00445B9C" w:rsidRDefault="00F35458" w:rsidP="00F810E6">
      <w:pPr>
        <w:pStyle w:val="Odstavekseznama"/>
        <w:numPr>
          <w:ilvl w:val="0"/>
          <w:numId w:val="20"/>
        </w:numPr>
        <w:spacing w:line="260" w:lineRule="exact"/>
        <w:jc w:val="both"/>
        <w:rPr>
          <w:rFonts w:cs="Arial"/>
          <w:szCs w:val="20"/>
        </w:rPr>
      </w:pPr>
      <w:r w:rsidRPr="00445B9C">
        <w:rPr>
          <w:rFonts w:cs="Arial"/>
          <w:szCs w:val="20"/>
        </w:rPr>
        <w:t>Direktive (EU) 2022/2556 Evropskega parlamenta in Sveta z dne 14. decembra 2022 o spremembi direktiv 2009/65/ES, 2009/138/ES, 2011/61/EU, 2013/36/EU, 2014/59/EU, 2014/65/EU, (EU) 2015/2366 in (EU) 2016/2341 glede digitalne operativne odpornosti za finančni sektor</w:t>
      </w:r>
      <w:r w:rsidR="00D04184" w:rsidRPr="00445B9C">
        <w:rPr>
          <w:rFonts w:cs="Arial"/>
          <w:szCs w:val="20"/>
        </w:rPr>
        <w:t xml:space="preserve"> (UL L št. 333 z dne 27. 12. 2022, str. 153</w:t>
      </w:r>
      <w:r w:rsidR="0017355B" w:rsidRPr="00445B9C">
        <w:rPr>
          <w:rFonts w:cs="Arial"/>
          <w:szCs w:val="20"/>
        </w:rPr>
        <w:t>;</w:t>
      </w:r>
      <w:r w:rsidR="00D04184" w:rsidRPr="00445B9C">
        <w:rPr>
          <w:rFonts w:cs="Arial"/>
          <w:szCs w:val="20"/>
        </w:rPr>
        <w:t xml:space="preserve"> v nadaljnjem besedilu: Direktiva 2022/2556/EU)</w:t>
      </w:r>
      <w:r w:rsidRPr="00445B9C">
        <w:rPr>
          <w:rFonts w:cs="Arial"/>
          <w:szCs w:val="20"/>
        </w:rPr>
        <w:t xml:space="preserve">; </w:t>
      </w:r>
    </w:p>
    <w:p w14:paraId="7142CDEC" w14:textId="56ADC2B5" w:rsidR="00F35458" w:rsidRPr="00445B9C" w:rsidRDefault="00F35458" w:rsidP="00F810E6">
      <w:pPr>
        <w:pStyle w:val="Odstavekseznama"/>
        <w:numPr>
          <w:ilvl w:val="0"/>
          <w:numId w:val="20"/>
        </w:numPr>
        <w:spacing w:line="260" w:lineRule="exact"/>
        <w:jc w:val="both"/>
        <w:rPr>
          <w:rFonts w:cs="Arial"/>
          <w:szCs w:val="20"/>
        </w:rPr>
      </w:pPr>
      <w:r w:rsidRPr="00445B9C">
        <w:rPr>
          <w:rFonts w:cs="Arial"/>
          <w:szCs w:val="20"/>
        </w:rPr>
        <w:t>Direktive (EU) 2023/2864 Evropskega parlamenta in Sveta z dne 13. decembra 2023 o spremembi nekaterih direktiv glede vzpostavitve in delovanja evropske enotne točke dostopa</w:t>
      </w:r>
      <w:r w:rsidR="00D04184" w:rsidRPr="00445B9C">
        <w:rPr>
          <w:rFonts w:cs="Arial"/>
          <w:szCs w:val="20"/>
        </w:rPr>
        <w:t xml:space="preserve"> (UL L št. </w:t>
      </w:r>
      <w:r w:rsidR="0017355B" w:rsidRPr="00445B9C">
        <w:rPr>
          <w:rFonts w:cs="Arial"/>
          <w:szCs w:val="20"/>
        </w:rPr>
        <w:t>2023/</w:t>
      </w:r>
      <w:r w:rsidR="00D04184" w:rsidRPr="00445B9C">
        <w:rPr>
          <w:rFonts w:cs="Arial"/>
          <w:szCs w:val="20"/>
        </w:rPr>
        <w:t>2864 z dne 20. 12. 2023</w:t>
      </w:r>
      <w:r w:rsidR="0017355B" w:rsidRPr="00445B9C">
        <w:rPr>
          <w:rFonts w:cs="Arial"/>
          <w:szCs w:val="20"/>
        </w:rPr>
        <w:t>;</w:t>
      </w:r>
      <w:r w:rsidR="00D04184" w:rsidRPr="00445B9C">
        <w:rPr>
          <w:rFonts w:cs="Arial"/>
          <w:szCs w:val="20"/>
        </w:rPr>
        <w:t xml:space="preserve"> v nadaljnjem besedilu: Direktiva 2023/2864/EU)</w:t>
      </w:r>
      <w:r w:rsidRPr="00445B9C">
        <w:rPr>
          <w:rFonts w:cs="Arial"/>
          <w:szCs w:val="20"/>
        </w:rPr>
        <w:t xml:space="preserve"> in</w:t>
      </w:r>
    </w:p>
    <w:p w14:paraId="2AE2BBE4" w14:textId="006E7CCD" w:rsidR="00F35458" w:rsidRPr="00445B9C" w:rsidRDefault="000123B1" w:rsidP="00F810E6">
      <w:pPr>
        <w:pStyle w:val="Odstavekseznama"/>
        <w:numPr>
          <w:ilvl w:val="0"/>
          <w:numId w:val="20"/>
        </w:numPr>
        <w:spacing w:line="260" w:lineRule="exact"/>
        <w:jc w:val="both"/>
        <w:rPr>
          <w:rFonts w:cs="Arial"/>
          <w:szCs w:val="20"/>
        </w:rPr>
      </w:pPr>
      <w:r w:rsidRPr="00445B9C">
        <w:rPr>
          <w:rFonts w:cs="Arial"/>
          <w:szCs w:val="20"/>
        </w:rPr>
        <w:lastRenderedPageBreak/>
        <w:t xml:space="preserve">sprememb Direktive 2014/65/EU o trgih finančnih instrumentov, ki </w:t>
      </w:r>
      <w:r w:rsidR="0017355B" w:rsidRPr="00445B9C">
        <w:rPr>
          <w:rFonts w:cs="Arial"/>
          <w:szCs w:val="20"/>
        </w:rPr>
        <w:t>jih določa</w:t>
      </w:r>
      <w:r w:rsidRPr="00445B9C">
        <w:rPr>
          <w:rFonts w:cs="Arial"/>
          <w:szCs w:val="20"/>
        </w:rPr>
        <w:t xml:space="preserve"> </w:t>
      </w:r>
      <w:r w:rsidR="00D04184" w:rsidRPr="00445B9C">
        <w:rPr>
          <w:rFonts w:cs="Arial"/>
          <w:szCs w:val="20"/>
        </w:rPr>
        <w:t>Direktiv</w:t>
      </w:r>
      <w:r w:rsidR="0017355B" w:rsidRPr="00445B9C">
        <w:rPr>
          <w:rFonts w:cs="Arial"/>
          <w:szCs w:val="20"/>
        </w:rPr>
        <w:t>a</w:t>
      </w:r>
      <w:r w:rsidR="00D04184" w:rsidRPr="00445B9C">
        <w:rPr>
          <w:rFonts w:cs="Arial"/>
          <w:szCs w:val="20"/>
        </w:rPr>
        <w:t xml:space="preserve"> (EU) 2024/790 Evropskega parlamenta in Sveta z dne 28. februarja 2024 o spremembi Direktive 2014/65/EU o trgih finančnih instrumentov (UL L št. </w:t>
      </w:r>
      <w:r w:rsidR="0017355B" w:rsidRPr="00445B9C">
        <w:rPr>
          <w:rFonts w:cs="Arial"/>
          <w:szCs w:val="20"/>
        </w:rPr>
        <w:t>2024/</w:t>
      </w:r>
      <w:r w:rsidR="00D04184" w:rsidRPr="00445B9C">
        <w:rPr>
          <w:rFonts w:cs="Arial"/>
          <w:szCs w:val="20"/>
        </w:rPr>
        <w:t>790 z dne 8. 3. 2024</w:t>
      </w:r>
      <w:r w:rsidR="0017355B" w:rsidRPr="00445B9C">
        <w:rPr>
          <w:rFonts w:cs="Arial"/>
          <w:szCs w:val="20"/>
        </w:rPr>
        <w:t>;</w:t>
      </w:r>
      <w:r w:rsidR="00D04184" w:rsidRPr="00445B9C">
        <w:rPr>
          <w:rFonts w:cs="Arial"/>
          <w:szCs w:val="20"/>
        </w:rPr>
        <w:t xml:space="preserve"> v nadaljnjem besedilu: Direktiva 2014/65/EU)</w:t>
      </w:r>
      <w:r w:rsidR="003B77AC" w:rsidRPr="00445B9C">
        <w:rPr>
          <w:rFonts w:cs="Arial"/>
          <w:szCs w:val="20"/>
        </w:rPr>
        <w:t>.</w:t>
      </w:r>
    </w:p>
    <w:p w14:paraId="574ED5B2" w14:textId="77777777" w:rsidR="00687215" w:rsidRPr="00445B9C" w:rsidRDefault="00687215" w:rsidP="00ED36BF">
      <w:pPr>
        <w:spacing w:line="260" w:lineRule="exact"/>
        <w:jc w:val="both"/>
        <w:rPr>
          <w:rFonts w:cs="Arial"/>
          <w:szCs w:val="20"/>
        </w:rPr>
      </w:pPr>
    </w:p>
    <w:p w14:paraId="0668EC87" w14:textId="07D10E25" w:rsidR="00687215" w:rsidRPr="00445B9C" w:rsidRDefault="007C0792" w:rsidP="00ED36BF">
      <w:pPr>
        <w:spacing w:line="260" w:lineRule="exact"/>
        <w:jc w:val="both"/>
        <w:rPr>
          <w:rFonts w:cs="Arial"/>
          <w:szCs w:val="20"/>
        </w:rPr>
      </w:pPr>
      <w:r w:rsidRPr="007C0792">
        <w:rPr>
          <w:rFonts w:cs="Arial"/>
          <w:szCs w:val="20"/>
        </w:rPr>
        <w:t>Hkrati je cilj predloga zakona zagotoviti ustrezno izvajanje Uredbe (EU) št. 600/2014 Evropskega parlamenta in Sveta z dne 15. maja 2014 o trgih finančnih instrumentov in spremembi Uredbe (EU) št. 648/2012 (UL L št. 173 z dne 12. 6. 2014, str. 84), zadnjič spremenjeno z Uredbo (EU) 2024/791 Evropskega parlamenta in Sveta z dne 28. februarja 2024 o spremembi Uredbe (EU) št. 600/2014 v zvezi z izboljšanjem preglednosti podatkov, odpravo ovir za vzpostavitev sistema stalnih informacij, optimizacijo obveznosti trgovanja in prepovedjo prejemanja plačil za tok naročil (UL L št. 2024/791 z dne 8. 3. 2024), (v nadaljnjem besedilu: Uredba 600/2014/EU).</w:t>
      </w:r>
    </w:p>
    <w:p w14:paraId="0246A8E0" w14:textId="77777777" w:rsidR="00202106" w:rsidRPr="00445B9C" w:rsidRDefault="00202106" w:rsidP="00ED36BF">
      <w:pPr>
        <w:spacing w:line="260" w:lineRule="exact"/>
        <w:jc w:val="both"/>
        <w:rPr>
          <w:rFonts w:cs="Arial"/>
          <w:szCs w:val="20"/>
        </w:rPr>
      </w:pPr>
    </w:p>
    <w:p w14:paraId="6BC944D5" w14:textId="656DB480" w:rsidR="00B277D5" w:rsidRPr="00445B9C" w:rsidRDefault="00F274C7" w:rsidP="00ED36BF">
      <w:pPr>
        <w:spacing w:line="260" w:lineRule="exact"/>
        <w:jc w:val="both"/>
        <w:rPr>
          <w:rFonts w:cs="Arial"/>
          <w:szCs w:val="20"/>
        </w:rPr>
      </w:pPr>
      <w:r>
        <w:rPr>
          <w:rFonts w:cs="Arial"/>
          <w:szCs w:val="20"/>
        </w:rPr>
        <w:t>Nadalje se z</w:t>
      </w:r>
      <w:r w:rsidR="00B277D5" w:rsidRPr="00445B9C">
        <w:rPr>
          <w:rFonts w:cs="Arial"/>
          <w:szCs w:val="20"/>
        </w:rPr>
        <w:t xml:space="preserve"> zakon</w:t>
      </w:r>
      <w:r>
        <w:rPr>
          <w:rFonts w:cs="Arial"/>
          <w:szCs w:val="20"/>
        </w:rPr>
        <w:t>om</w:t>
      </w:r>
      <w:r w:rsidR="00B277D5" w:rsidRPr="00445B9C">
        <w:rPr>
          <w:rFonts w:cs="Arial"/>
          <w:szCs w:val="20"/>
        </w:rPr>
        <w:t xml:space="preserve"> </w:t>
      </w:r>
      <w:r>
        <w:rPr>
          <w:rFonts w:cs="Arial"/>
          <w:szCs w:val="20"/>
        </w:rPr>
        <w:t xml:space="preserve">želita zagotoviti </w:t>
      </w:r>
      <w:r w:rsidR="00B277D5" w:rsidRPr="00445B9C">
        <w:rPr>
          <w:rFonts w:cs="Arial"/>
          <w:szCs w:val="20"/>
        </w:rPr>
        <w:t>tudi:</w:t>
      </w:r>
    </w:p>
    <w:p w14:paraId="236286B6" w14:textId="77777777" w:rsidR="00B277D5" w:rsidRPr="00445B9C" w:rsidRDefault="00B277D5" w:rsidP="00ED36BF">
      <w:pPr>
        <w:spacing w:line="260" w:lineRule="exact"/>
        <w:jc w:val="both"/>
        <w:rPr>
          <w:rFonts w:cs="Arial"/>
          <w:szCs w:val="20"/>
        </w:rPr>
      </w:pPr>
    </w:p>
    <w:p w14:paraId="15D6AABE" w14:textId="0DC06862" w:rsidR="00B277D5" w:rsidRPr="00445B9C" w:rsidRDefault="00B277D5" w:rsidP="00F810E6">
      <w:pPr>
        <w:pStyle w:val="Odstavekseznama"/>
        <w:numPr>
          <w:ilvl w:val="0"/>
          <w:numId w:val="21"/>
        </w:numPr>
        <w:spacing w:line="260" w:lineRule="exact"/>
        <w:jc w:val="both"/>
        <w:rPr>
          <w:rFonts w:cs="Arial"/>
          <w:szCs w:val="20"/>
        </w:rPr>
      </w:pPr>
      <w:r w:rsidRPr="00445B9C">
        <w:rPr>
          <w:rFonts w:cs="Arial"/>
          <w:szCs w:val="20"/>
        </w:rPr>
        <w:t>odprava neskladnosti</w:t>
      </w:r>
      <w:r w:rsidR="00183C2B" w:rsidRPr="00445B9C">
        <w:rPr>
          <w:rFonts w:cs="Arial"/>
          <w:szCs w:val="20"/>
        </w:rPr>
        <w:t xml:space="preserve"> 133.</w:t>
      </w:r>
      <w:r w:rsidR="004D69D4" w:rsidRPr="00445B9C">
        <w:rPr>
          <w:rFonts w:cs="Arial"/>
          <w:szCs w:val="20"/>
        </w:rPr>
        <w:t xml:space="preserve"> in</w:t>
      </w:r>
      <w:r w:rsidR="00183C2B" w:rsidRPr="00445B9C">
        <w:rPr>
          <w:rFonts w:cs="Arial"/>
          <w:szCs w:val="20"/>
        </w:rPr>
        <w:t xml:space="preserve"> 134</w:t>
      </w:r>
      <w:r w:rsidR="004D69D4" w:rsidRPr="00445B9C">
        <w:rPr>
          <w:rFonts w:cs="Arial"/>
          <w:szCs w:val="20"/>
        </w:rPr>
        <w:t>. člena</w:t>
      </w:r>
      <w:r w:rsidR="00183C2B" w:rsidRPr="00445B9C">
        <w:rPr>
          <w:rFonts w:cs="Arial"/>
          <w:szCs w:val="20"/>
        </w:rPr>
        <w:t xml:space="preserve"> </w:t>
      </w:r>
      <w:r w:rsidR="004D69D4" w:rsidRPr="00445B9C">
        <w:rPr>
          <w:rFonts w:cs="Arial"/>
          <w:szCs w:val="20"/>
        </w:rPr>
        <w:t>ter</w:t>
      </w:r>
      <w:r w:rsidRPr="00445B9C">
        <w:rPr>
          <w:rFonts w:cs="Arial"/>
          <w:szCs w:val="20"/>
        </w:rPr>
        <w:t xml:space="preserve"> četrtega odstavka 141. člena ZTFI-1; </w:t>
      </w:r>
      <w:r w:rsidR="00731826" w:rsidRPr="00445B9C">
        <w:rPr>
          <w:rFonts w:cs="Arial"/>
          <w:szCs w:val="20"/>
        </w:rPr>
        <w:t>in</w:t>
      </w:r>
    </w:p>
    <w:p w14:paraId="6760FE75" w14:textId="144DF859" w:rsidR="00B277D5" w:rsidRPr="00445B9C" w:rsidRDefault="00B277D5" w:rsidP="00F810E6">
      <w:pPr>
        <w:pStyle w:val="Odstavekseznama"/>
        <w:numPr>
          <w:ilvl w:val="0"/>
          <w:numId w:val="21"/>
        </w:numPr>
        <w:spacing w:line="260" w:lineRule="exact"/>
        <w:jc w:val="both"/>
        <w:rPr>
          <w:rFonts w:cs="Arial"/>
          <w:szCs w:val="20"/>
        </w:rPr>
      </w:pPr>
      <w:r w:rsidRPr="00445B9C">
        <w:rPr>
          <w:rFonts w:cs="Arial"/>
          <w:szCs w:val="20"/>
        </w:rPr>
        <w:t xml:space="preserve">opredelitev kreditne </w:t>
      </w:r>
      <w:r w:rsidR="0083719D" w:rsidRPr="00445B9C">
        <w:rPr>
          <w:rFonts w:cs="Arial"/>
          <w:szCs w:val="20"/>
        </w:rPr>
        <w:t xml:space="preserve">družbe </w:t>
      </w:r>
      <w:r w:rsidRPr="00445B9C">
        <w:rPr>
          <w:rFonts w:cs="Arial"/>
          <w:szCs w:val="20"/>
        </w:rPr>
        <w:t xml:space="preserve">v skladu z </w:t>
      </w:r>
      <w:r w:rsidR="00916868" w:rsidRPr="00916868">
        <w:rPr>
          <w:rFonts w:cs="Arial"/>
          <w:szCs w:val="20"/>
        </w:rPr>
        <w:t>Uredbo (EU) št. 575/2013 Evropskega parlamenta in Sveta z dne 26. junija 2013 o bonitetnih zahtevah za kreditne institucije in investicijska podjetja ter o spremembi Uredbe (EU) št. 648/2012 (UL L št. 176, z dne 27. 6. 2013, str. 1), zadnjič spremenjeno z Uredbo (EU) 2024/2987 Evropskega parlamenta in Sveta z dne 27. novembra 2024 o spremembi uredb (EU) št. 648/2012, (EU) št. 575/2013 in (EU) 2017/1131 v zvezi z ukrepi za zmanjšanje prekomerne izpostavljenosti do centralnih nasprotnih strank iz tretjih držav in izboljšanje učinkovitosti klirinških trgov Unije (UL L št. 2024/2987 z dne 4. 12. 2024)</w:t>
      </w:r>
      <w:r w:rsidR="00D87BCB">
        <w:rPr>
          <w:rFonts w:cs="Arial"/>
          <w:szCs w:val="20"/>
        </w:rPr>
        <w:t xml:space="preserve">, </w:t>
      </w:r>
      <w:r w:rsidR="00D87BCB" w:rsidRPr="00D87BCB">
        <w:rPr>
          <w:rFonts w:cs="Arial"/>
          <w:szCs w:val="20"/>
        </w:rPr>
        <w:t xml:space="preserve">(v nadaljnjem besedilu: Uredba </w:t>
      </w:r>
      <w:r w:rsidR="00D87BCB" w:rsidRPr="00916868">
        <w:rPr>
          <w:rFonts w:cs="Arial"/>
          <w:szCs w:val="20"/>
        </w:rPr>
        <w:t>575/2013</w:t>
      </w:r>
      <w:r w:rsidR="00D87BCB" w:rsidRPr="00D87BCB">
        <w:rPr>
          <w:rFonts w:cs="Arial"/>
          <w:szCs w:val="20"/>
        </w:rPr>
        <w:t>/EU)</w:t>
      </w:r>
      <w:r w:rsidR="00731826" w:rsidRPr="00445B9C">
        <w:rPr>
          <w:rFonts w:cs="Arial"/>
          <w:szCs w:val="20"/>
        </w:rPr>
        <w:t>.</w:t>
      </w:r>
      <w:r w:rsidRPr="00445B9C">
        <w:rPr>
          <w:rFonts w:cs="Arial"/>
          <w:szCs w:val="20"/>
        </w:rPr>
        <w:t xml:space="preserve"> </w:t>
      </w:r>
    </w:p>
    <w:p w14:paraId="431A6A16" w14:textId="77777777" w:rsidR="00ED36BF" w:rsidRPr="00445B9C" w:rsidRDefault="00ED36BF" w:rsidP="00ED36BF">
      <w:pPr>
        <w:spacing w:line="260" w:lineRule="exact"/>
        <w:jc w:val="both"/>
        <w:rPr>
          <w:rFonts w:cs="Arial"/>
          <w:szCs w:val="20"/>
        </w:rPr>
      </w:pPr>
    </w:p>
    <w:p w14:paraId="67649F4A" w14:textId="77777777" w:rsidR="00ED36BF" w:rsidRPr="00445B9C" w:rsidRDefault="00ED36BF" w:rsidP="00ED36BF">
      <w:pPr>
        <w:spacing w:line="260" w:lineRule="exact"/>
        <w:jc w:val="both"/>
        <w:rPr>
          <w:rFonts w:cs="Arial"/>
          <w:b/>
          <w:szCs w:val="20"/>
        </w:rPr>
      </w:pPr>
      <w:r w:rsidRPr="00445B9C">
        <w:rPr>
          <w:rFonts w:cs="Arial"/>
          <w:b/>
          <w:szCs w:val="20"/>
        </w:rPr>
        <w:t>2.2. Načela</w:t>
      </w:r>
    </w:p>
    <w:p w14:paraId="1A3FB6CC" w14:textId="77777777" w:rsidR="00ED36BF" w:rsidRPr="00445B9C" w:rsidRDefault="00ED36BF" w:rsidP="00ED36BF">
      <w:pPr>
        <w:autoSpaceDE w:val="0"/>
        <w:autoSpaceDN w:val="0"/>
        <w:adjustRightInd w:val="0"/>
        <w:spacing w:line="240" w:lineRule="auto"/>
        <w:jc w:val="both"/>
        <w:rPr>
          <w:rFonts w:cs="Arial"/>
          <w:szCs w:val="20"/>
        </w:rPr>
      </w:pPr>
    </w:p>
    <w:p w14:paraId="19546C94" w14:textId="590A0577" w:rsidR="007D0C8B" w:rsidRPr="00445B9C" w:rsidRDefault="007D0C8B" w:rsidP="00ED36BF">
      <w:pPr>
        <w:autoSpaceDE w:val="0"/>
        <w:autoSpaceDN w:val="0"/>
        <w:adjustRightInd w:val="0"/>
        <w:spacing w:line="240" w:lineRule="auto"/>
        <w:jc w:val="both"/>
        <w:rPr>
          <w:rFonts w:cs="Arial"/>
          <w:szCs w:val="20"/>
        </w:rPr>
      </w:pPr>
      <w:r w:rsidRPr="00445B9C">
        <w:rPr>
          <w:rFonts w:cs="Arial"/>
          <w:szCs w:val="20"/>
        </w:rPr>
        <w:t xml:space="preserve">Predlog zakona upošteva </w:t>
      </w:r>
      <w:r w:rsidR="00F274C7">
        <w:rPr>
          <w:rFonts w:cs="Arial"/>
          <w:szCs w:val="20"/>
        </w:rPr>
        <w:t>ta</w:t>
      </w:r>
      <w:r w:rsidR="00F274C7" w:rsidRPr="00445B9C">
        <w:rPr>
          <w:rFonts w:cs="Arial"/>
          <w:szCs w:val="20"/>
        </w:rPr>
        <w:t xml:space="preserve"> </w:t>
      </w:r>
      <w:r w:rsidRPr="00445B9C">
        <w:rPr>
          <w:rFonts w:cs="Arial"/>
          <w:szCs w:val="20"/>
        </w:rPr>
        <w:t>načela:</w:t>
      </w:r>
    </w:p>
    <w:p w14:paraId="56D633A5" w14:textId="77777777" w:rsidR="007D0C8B" w:rsidRPr="00445B9C" w:rsidRDefault="007D0C8B" w:rsidP="00ED36BF">
      <w:pPr>
        <w:autoSpaceDE w:val="0"/>
        <w:autoSpaceDN w:val="0"/>
        <w:adjustRightInd w:val="0"/>
        <w:spacing w:line="240" w:lineRule="auto"/>
        <w:jc w:val="both"/>
        <w:rPr>
          <w:rFonts w:cs="Arial"/>
          <w:szCs w:val="20"/>
        </w:rPr>
      </w:pPr>
    </w:p>
    <w:p w14:paraId="72881E86" w14:textId="0AB63567" w:rsidR="008456AE" w:rsidRPr="00445B9C" w:rsidRDefault="008456AE" w:rsidP="00261892">
      <w:pPr>
        <w:pStyle w:val="Odstavekseznama"/>
        <w:numPr>
          <w:ilvl w:val="0"/>
          <w:numId w:val="27"/>
        </w:numPr>
        <w:autoSpaceDE w:val="0"/>
        <w:autoSpaceDN w:val="0"/>
        <w:adjustRightInd w:val="0"/>
        <w:spacing w:line="240" w:lineRule="auto"/>
        <w:jc w:val="both"/>
        <w:rPr>
          <w:rFonts w:cs="Arial"/>
          <w:szCs w:val="20"/>
        </w:rPr>
      </w:pPr>
      <w:r w:rsidRPr="00445B9C">
        <w:rPr>
          <w:rFonts w:cs="Arial"/>
          <w:b/>
          <w:bCs/>
          <w:szCs w:val="20"/>
        </w:rPr>
        <w:t>Načelo sorazmernosti</w:t>
      </w:r>
      <w:r w:rsidR="00341046" w:rsidRPr="0005085F">
        <w:rPr>
          <w:rFonts w:cs="Arial"/>
          <w:b/>
          <w:szCs w:val="20"/>
        </w:rPr>
        <w:t>:</w:t>
      </w:r>
      <w:r w:rsidRPr="00445B9C">
        <w:rPr>
          <w:rFonts w:cs="Arial"/>
          <w:szCs w:val="20"/>
        </w:rPr>
        <w:t xml:space="preserve"> predlagana ureditev se uporablja sorazmerno glede na velikost, </w:t>
      </w:r>
      <w:r w:rsidR="008E24C9">
        <w:rPr>
          <w:rFonts w:cs="Arial"/>
          <w:szCs w:val="20"/>
        </w:rPr>
        <w:t>vrsto</w:t>
      </w:r>
      <w:r w:rsidR="008E24C9" w:rsidRPr="00445B9C">
        <w:rPr>
          <w:rFonts w:cs="Arial"/>
          <w:szCs w:val="20"/>
        </w:rPr>
        <w:t xml:space="preserve"> </w:t>
      </w:r>
      <w:r w:rsidRPr="00445B9C">
        <w:rPr>
          <w:rFonts w:cs="Arial"/>
          <w:szCs w:val="20"/>
        </w:rPr>
        <w:t xml:space="preserve">in kompleksnost finančnih subjektov, kar zagotavlja, da zahteve ne </w:t>
      </w:r>
      <w:r w:rsidR="008E24C9">
        <w:rPr>
          <w:rFonts w:cs="Arial"/>
          <w:szCs w:val="20"/>
        </w:rPr>
        <w:t>pomenijo</w:t>
      </w:r>
      <w:r w:rsidR="008E24C9" w:rsidRPr="00445B9C">
        <w:rPr>
          <w:rFonts w:cs="Arial"/>
          <w:szCs w:val="20"/>
        </w:rPr>
        <w:t xml:space="preserve"> </w:t>
      </w:r>
      <w:r w:rsidRPr="00445B9C">
        <w:rPr>
          <w:rFonts w:cs="Arial"/>
          <w:szCs w:val="20"/>
        </w:rPr>
        <w:t>nesorazmernega bremena za manjše subjekte.</w:t>
      </w:r>
    </w:p>
    <w:p w14:paraId="6B07F5DC" w14:textId="77777777" w:rsidR="008456AE" w:rsidRPr="00445B9C" w:rsidRDefault="008456AE" w:rsidP="008456AE">
      <w:pPr>
        <w:autoSpaceDE w:val="0"/>
        <w:autoSpaceDN w:val="0"/>
        <w:adjustRightInd w:val="0"/>
        <w:spacing w:line="240" w:lineRule="auto"/>
        <w:jc w:val="both"/>
        <w:rPr>
          <w:rFonts w:cs="Arial"/>
          <w:szCs w:val="20"/>
        </w:rPr>
      </w:pPr>
    </w:p>
    <w:p w14:paraId="2B6FEA71" w14:textId="42007465" w:rsidR="008456AE" w:rsidRPr="00445B9C" w:rsidRDefault="008456AE" w:rsidP="00261892">
      <w:pPr>
        <w:pStyle w:val="Odstavekseznama"/>
        <w:numPr>
          <w:ilvl w:val="0"/>
          <w:numId w:val="27"/>
        </w:numPr>
        <w:autoSpaceDE w:val="0"/>
        <w:autoSpaceDN w:val="0"/>
        <w:adjustRightInd w:val="0"/>
        <w:spacing w:line="240" w:lineRule="auto"/>
        <w:jc w:val="both"/>
        <w:rPr>
          <w:rFonts w:cs="Arial"/>
          <w:szCs w:val="20"/>
        </w:rPr>
      </w:pPr>
      <w:r w:rsidRPr="00445B9C">
        <w:rPr>
          <w:rFonts w:cs="Arial"/>
          <w:b/>
          <w:bCs/>
          <w:szCs w:val="20"/>
        </w:rPr>
        <w:t>Načelo proaktivnega upravljanja tveganj:</w:t>
      </w:r>
      <w:r w:rsidRPr="00445B9C">
        <w:rPr>
          <w:rFonts w:cs="Arial"/>
          <w:szCs w:val="20"/>
        </w:rPr>
        <w:t xml:space="preserve"> nova ureditev spodbuja finančne subjekte, da proaktivno prepoznavajo, ocenjujejo in obvladujejo tveganja ter razvijajo učinkovite strategije za obvladovanje teh tveganj.</w:t>
      </w:r>
    </w:p>
    <w:p w14:paraId="7F81ABB7" w14:textId="77777777" w:rsidR="008456AE" w:rsidRPr="00445B9C" w:rsidRDefault="008456AE" w:rsidP="008456AE">
      <w:pPr>
        <w:autoSpaceDE w:val="0"/>
        <w:autoSpaceDN w:val="0"/>
        <w:adjustRightInd w:val="0"/>
        <w:spacing w:line="240" w:lineRule="auto"/>
        <w:jc w:val="both"/>
        <w:rPr>
          <w:rFonts w:cs="Arial"/>
          <w:szCs w:val="20"/>
        </w:rPr>
      </w:pPr>
    </w:p>
    <w:p w14:paraId="2CA5944D" w14:textId="77777777" w:rsidR="008456AE" w:rsidRPr="00445B9C" w:rsidRDefault="008456AE" w:rsidP="00261892">
      <w:pPr>
        <w:pStyle w:val="Odstavekseznama"/>
        <w:numPr>
          <w:ilvl w:val="0"/>
          <w:numId w:val="27"/>
        </w:numPr>
        <w:autoSpaceDE w:val="0"/>
        <w:autoSpaceDN w:val="0"/>
        <w:adjustRightInd w:val="0"/>
        <w:spacing w:line="240" w:lineRule="auto"/>
        <w:jc w:val="both"/>
        <w:rPr>
          <w:rFonts w:cs="Arial"/>
          <w:szCs w:val="20"/>
        </w:rPr>
      </w:pPr>
      <w:r w:rsidRPr="00445B9C">
        <w:rPr>
          <w:rFonts w:cs="Arial"/>
          <w:b/>
          <w:bCs/>
          <w:szCs w:val="20"/>
        </w:rPr>
        <w:t>Načelo stalnega izboljševanja:</w:t>
      </w:r>
      <w:r w:rsidRPr="00445B9C">
        <w:rPr>
          <w:rFonts w:cs="Arial"/>
          <w:szCs w:val="20"/>
        </w:rPr>
        <w:t xml:space="preserve"> </w:t>
      </w:r>
      <w:r w:rsidR="00341046" w:rsidRPr="00445B9C">
        <w:rPr>
          <w:rFonts w:cs="Arial"/>
          <w:szCs w:val="20"/>
        </w:rPr>
        <w:t>predlagana ureditev zavezuje</w:t>
      </w:r>
      <w:r w:rsidRPr="00445B9C">
        <w:rPr>
          <w:rFonts w:cs="Arial"/>
          <w:szCs w:val="20"/>
        </w:rPr>
        <w:t xml:space="preserve"> finančn</w:t>
      </w:r>
      <w:r w:rsidR="00341046" w:rsidRPr="00445B9C">
        <w:rPr>
          <w:rFonts w:cs="Arial"/>
          <w:szCs w:val="20"/>
        </w:rPr>
        <w:t>e</w:t>
      </w:r>
      <w:r w:rsidRPr="00445B9C">
        <w:rPr>
          <w:rFonts w:cs="Arial"/>
          <w:szCs w:val="20"/>
        </w:rPr>
        <w:t xml:space="preserve"> subjekt</w:t>
      </w:r>
      <w:r w:rsidR="00341046" w:rsidRPr="00445B9C">
        <w:rPr>
          <w:rFonts w:cs="Arial"/>
          <w:szCs w:val="20"/>
        </w:rPr>
        <w:t>e, da</w:t>
      </w:r>
      <w:r w:rsidRPr="00445B9C">
        <w:rPr>
          <w:rFonts w:cs="Arial"/>
          <w:szCs w:val="20"/>
        </w:rPr>
        <w:t xml:space="preserve"> redno pregledujejo in posodabljajo svoje sisteme za upravljanje tveganj IKT ter izvajajo teste digitalne operativne odpornosti, da se prilagajajo spreminjajočim se grožnjam in tehnologijam.</w:t>
      </w:r>
    </w:p>
    <w:p w14:paraId="67371B85" w14:textId="77777777" w:rsidR="008456AE" w:rsidRPr="00445B9C" w:rsidRDefault="008456AE" w:rsidP="008456AE">
      <w:pPr>
        <w:autoSpaceDE w:val="0"/>
        <w:autoSpaceDN w:val="0"/>
        <w:adjustRightInd w:val="0"/>
        <w:spacing w:line="240" w:lineRule="auto"/>
        <w:jc w:val="both"/>
        <w:rPr>
          <w:rFonts w:cs="Arial"/>
          <w:szCs w:val="20"/>
        </w:rPr>
      </w:pPr>
    </w:p>
    <w:p w14:paraId="4827BD72" w14:textId="5F09E543" w:rsidR="008456AE" w:rsidRPr="00445B9C" w:rsidRDefault="008456AE" w:rsidP="00261892">
      <w:pPr>
        <w:pStyle w:val="Odstavekseznama"/>
        <w:numPr>
          <w:ilvl w:val="0"/>
          <w:numId w:val="27"/>
        </w:numPr>
        <w:autoSpaceDE w:val="0"/>
        <w:autoSpaceDN w:val="0"/>
        <w:adjustRightInd w:val="0"/>
        <w:spacing w:line="240" w:lineRule="auto"/>
        <w:jc w:val="both"/>
        <w:rPr>
          <w:rFonts w:cs="Arial"/>
          <w:szCs w:val="20"/>
        </w:rPr>
      </w:pPr>
      <w:r w:rsidRPr="00445B9C">
        <w:rPr>
          <w:rFonts w:cs="Arial"/>
          <w:b/>
          <w:bCs/>
          <w:szCs w:val="20"/>
        </w:rPr>
        <w:t>Načelo sodelovanja in izmenjave informacij:</w:t>
      </w:r>
      <w:r w:rsidRPr="00445B9C">
        <w:rPr>
          <w:rFonts w:cs="Arial"/>
          <w:szCs w:val="20"/>
        </w:rPr>
        <w:t xml:space="preserve"> </w:t>
      </w:r>
      <w:r w:rsidR="00341046" w:rsidRPr="00445B9C">
        <w:rPr>
          <w:rFonts w:cs="Arial"/>
          <w:szCs w:val="20"/>
        </w:rPr>
        <w:t>predlagana ureditev s</w:t>
      </w:r>
      <w:r w:rsidRPr="00445B9C">
        <w:rPr>
          <w:rFonts w:cs="Arial"/>
          <w:szCs w:val="20"/>
        </w:rPr>
        <w:t xml:space="preserve">podbuja sodelovanje med finančnimi subjekti, </w:t>
      </w:r>
      <w:r w:rsidR="0005085F">
        <w:rPr>
          <w:rFonts w:cs="Arial"/>
          <w:szCs w:val="20"/>
        </w:rPr>
        <w:t xml:space="preserve">organi </w:t>
      </w:r>
      <w:proofErr w:type="spellStart"/>
      <w:r w:rsidR="0005085F">
        <w:rPr>
          <w:rFonts w:cs="Arial"/>
          <w:szCs w:val="20"/>
        </w:rPr>
        <w:t>nadzora</w:t>
      </w:r>
      <w:r w:rsidR="008E24C9">
        <w:rPr>
          <w:rFonts w:cs="Arial"/>
          <w:szCs w:val="20"/>
        </w:rPr>
        <w:t>zakonodajalci</w:t>
      </w:r>
      <w:proofErr w:type="spellEnd"/>
      <w:r w:rsidR="008E24C9" w:rsidRPr="00445B9C">
        <w:rPr>
          <w:rFonts w:cs="Arial"/>
          <w:szCs w:val="20"/>
        </w:rPr>
        <w:t xml:space="preserve"> </w:t>
      </w:r>
      <w:r w:rsidRPr="00445B9C">
        <w:rPr>
          <w:rFonts w:cs="Arial"/>
          <w:szCs w:val="20"/>
        </w:rPr>
        <w:t xml:space="preserve">in drugimi deležniki ter </w:t>
      </w:r>
      <w:r w:rsidR="00341046" w:rsidRPr="00445B9C">
        <w:rPr>
          <w:rFonts w:cs="Arial"/>
          <w:szCs w:val="20"/>
        </w:rPr>
        <w:t xml:space="preserve">nalaga pošiljanje </w:t>
      </w:r>
      <w:r w:rsidR="008E24C9">
        <w:rPr>
          <w:rFonts w:cs="Arial"/>
          <w:szCs w:val="20"/>
        </w:rPr>
        <w:t xml:space="preserve">zadevnih </w:t>
      </w:r>
      <w:r w:rsidRPr="00445B9C">
        <w:rPr>
          <w:rFonts w:cs="Arial"/>
          <w:szCs w:val="20"/>
        </w:rPr>
        <w:t>informacij</w:t>
      </w:r>
      <w:r w:rsidR="00341046" w:rsidRPr="00445B9C">
        <w:rPr>
          <w:rFonts w:cs="Arial"/>
          <w:szCs w:val="20"/>
        </w:rPr>
        <w:t xml:space="preserve"> pristojnim organom</w:t>
      </w:r>
      <w:r w:rsidR="008E24C9">
        <w:rPr>
          <w:rFonts w:cs="Arial"/>
          <w:szCs w:val="20"/>
        </w:rPr>
        <w:t>.</w:t>
      </w:r>
    </w:p>
    <w:p w14:paraId="379B891E" w14:textId="77777777" w:rsidR="008456AE" w:rsidRPr="00445B9C" w:rsidRDefault="008456AE" w:rsidP="008456AE">
      <w:pPr>
        <w:autoSpaceDE w:val="0"/>
        <w:autoSpaceDN w:val="0"/>
        <w:adjustRightInd w:val="0"/>
        <w:spacing w:line="240" w:lineRule="auto"/>
        <w:jc w:val="both"/>
        <w:rPr>
          <w:rFonts w:cs="Arial"/>
          <w:szCs w:val="20"/>
        </w:rPr>
      </w:pPr>
    </w:p>
    <w:p w14:paraId="64E82168" w14:textId="74B41DA6" w:rsidR="008456AE" w:rsidRPr="00445B9C" w:rsidRDefault="008456AE" w:rsidP="0054178C">
      <w:pPr>
        <w:pStyle w:val="Odstavekseznama"/>
        <w:numPr>
          <w:ilvl w:val="0"/>
          <w:numId w:val="27"/>
        </w:numPr>
        <w:autoSpaceDE w:val="0"/>
        <w:autoSpaceDN w:val="0"/>
        <w:adjustRightInd w:val="0"/>
        <w:spacing w:line="240" w:lineRule="auto"/>
        <w:jc w:val="both"/>
        <w:rPr>
          <w:rFonts w:cs="Arial"/>
          <w:szCs w:val="20"/>
        </w:rPr>
      </w:pPr>
      <w:r w:rsidRPr="00445B9C">
        <w:rPr>
          <w:rFonts w:cs="Arial"/>
          <w:b/>
          <w:bCs/>
          <w:szCs w:val="20"/>
        </w:rPr>
        <w:t xml:space="preserve">Načelo odgovornosti in </w:t>
      </w:r>
      <w:r w:rsidR="008E24C9">
        <w:rPr>
          <w:rFonts w:cs="Arial"/>
          <w:b/>
          <w:bCs/>
          <w:szCs w:val="20"/>
        </w:rPr>
        <w:t>preglednosti</w:t>
      </w:r>
      <w:r w:rsidRPr="00445B9C">
        <w:rPr>
          <w:rFonts w:cs="Arial"/>
          <w:b/>
          <w:bCs/>
          <w:szCs w:val="20"/>
        </w:rPr>
        <w:t>:</w:t>
      </w:r>
      <w:r w:rsidRPr="00445B9C">
        <w:rPr>
          <w:rFonts w:cs="Arial"/>
          <w:szCs w:val="20"/>
        </w:rPr>
        <w:t xml:space="preserve"> </w:t>
      </w:r>
      <w:r w:rsidR="00341046" w:rsidRPr="00445B9C">
        <w:rPr>
          <w:rFonts w:cs="Arial"/>
          <w:szCs w:val="20"/>
        </w:rPr>
        <w:t>predlagana ureditev spodbuja finančne subjekte k</w:t>
      </w:r>
      <w:r w:rsidR="00261892" w:rsidRPr="00445B9C">
        <w:rPr>
          <w:rFonts w:cs="Arial"/>
          <w:szCs w:val="20"/>
        </w:rPr>
        <w:t xml:space="preserve"> </w:t>
      </w:r>
      <w:r w:rsidR="00341046" w:rsidRPr="00445B9C">
        <w:rPr>
          <w:rFonts w:cs="Arial"/>
          <w:szCs w:val="20"/>
        </w:rPr>
        <w:t>odgovornosti</w:t>
      </w:r>
      <w:r w:rsidRPr="00445B9C">
        <w:rPr>
          <w:rFonts w:cs="Arial"/>
          <w:szCs w:val="20"/>
        </w:rPr>
        <w:t xml:space="preserve"> za svoje sisteme in postopke za upravljanje tveganj ter </w:t>
      </w:r>
      <w:r w:rsidR="008E24C9">
        <w:rPr>
          <w:rFonts w:cs="Arial"/>
          <w:szCs w:val="20"/>
        </w:rPr>
        <w:t>k preglednemu</w:t>
      </w:r>
      <w:r w:rsidR="008E24C9" w:rsidRPr="00445B9C">
        <w:rPr>
          <w:rFonts w:cs="Arial"/>
          <w:szCs w:val="20"/>
        </w:rPr>
        <w:t xml:space="preserve"> </w:t>
      </w:r>
      <w:r w:rsidRPr="00445B9C">
        <w:rPr>
          <w:rFonts w:cs="Arial"/>
          <w:szCs w:val="20"/>
        </w:rPr>
        <w:t>poroča</w:t>
      </w:r>
      <w:r w:rsidR="00C9513C" w:rsidRPr="00445B9C">
        <w:rPr>
          <w:rFonts w:cs="Arial"/>
          <w:szCs w:val="20"/>
        </w:rPr>
        <w:t>n</w:t>
      </w:r>
      <w:r w:rsidRPr="00445B9C">
        <w:rPr>
          <w:rFonts w:cs="Arial"/>
          <w:szCs w:val="20"/>
        </w:rPr>
        <w:t>j</w:t>
      </w:r>
      <w:r w:rsidR="00C9513C" w:rsidRPr="00445B9C">
        <w:rPr>
          <w:rFonts w:cs="Arial"/>
          <w:szCs w:val="20"/>
        </w:rPr>
        <w:t>u.</w:t>
      </w:r>
      <w:r w:rsidRPr="00445B9C">
        <w:rPr>
          <w:rFonts w:cs="Arial"/>
          <w:szCs w:val="20"/>
        </w:rPr>
        <w:t xml:space="preserve"> </w:t>
      </w:r>
    </w:p>
    <w:p w14:paraId="385686FF" w14:textId="77777777" w:rsidR="00ED36BF" w:rsidRPr="00445B9C" w:rsidRDefault="00ED36BF" w:rsidP="00ED36BF">
      <w:pPr>
        <w:spacing w:line="260" w:lineRule="exact"/>
        <w:jc w:val="both"/>
        <w:rPr>
          <w:rFonts w:cs="Arial"/>
          <w:szCs w:val="20"/>
        </w:rPr>
      </w:pPr>
    </w:p>
    <w:p w14:paraId="6A85B3E9" w14:textId="77777777" w:rsidR="00ED36BF" w:rsidRPr="00445B9C" w:rsidRDefault="00ED36BF" w:rsidP="00ED36BF">
      <w:pPr>
        <w:spacing w:line="260" w:lineRule="exact"/>
        <w:jc w:val="both"/>
        <w:rPr>
          <w:rFonts w:cs="Arial"/>
          <w:b/>
          <w:szCs w:val="20"/>
        </w:rPr>
      </w:pPr>
      <w:bookmarkStart w:id="6" w:name="_Hlk55899654"/>
      <w:bookmarkStart w:id="7" w:name="_Hlk36040354"/>
      <w:r w:rsidRPr="00445B9C">
        <w:rPr>
          <w:rFonts w:cs="Arial"/>
          <w:b/>
          <w:szCs w:val="20"/>
        </w:rPr>
        <w:t>2.3. Poglavitne rešitve</w:t>
      </w:r>
    </w:p>
    <w:bookmarkEnd w:id="6"/>
    <w:p w14:paraId="2653D23B" w14:textId="77777777" w:rsidR="00ED36BF" w:rsidRPr="00445B9C" w:rsidRDefault="00ED36BF" w:rsidP="00ED36BF">
      <w:pPr>
        <w:spacing w:line="260" w:lineRule="exact"/>
        <w:jc w:val="both"/>
        <w:rPr>
          <w:rFonts w:cs="Arial"/>
          <w:szCs w:val="20"/>
        </w:rPr>
      </w:pPr>
    </w:p>
    <w:p w14:paraId="78B4DA14" w14:textId="384BFF81" w:rsidR="009E626A" w:rsidRPr="00445B9C" w:rsidRDefault="008E24C9" w:rsidP="009E626A">
      <w:pPr>
        <w:spacing w:line="260" w:lineRule="exact"/>
        <w:jc w:val="both"/>
        <w:rPr>
          <w:rFonts w:cs="Arial"/>
          <w:szCs w:val="20"/>
        </w:rPr>
      </w:pPr>
      <w:r>
        <w:rPr>
          <w:rFonts w:cs="Arial"/>
          <w:szCs w:val="20"/>
        </w:rPr>
        <w:t>V</w:t>
      </w:r>
      <w:r w:rsidR="009E626A" w:rsidRPr="00445B9C">
        <w:rPr>
          <w:rFonts w:cs="Arial"/>
          <w:szCs w:val="20"/>
        </w:rPr>
        <w:t xml:space="preserve"> Uradnem listu EU </w:t>
      </w:r>
      <w:r w:rsidRPr="00445B9C">
        <w:rPr>
          <w:rFonts w:cs="Arial"/>
          <w:szCs w:val="20"/>
        </w:rPr>
        <w:t xml:space="preserve">je bil 27. decembra 2022 </w:t>
      </w:r>
      <w:r w:rsidR="009E626A" w:rsidRPr="00445B9C">
        <w:rPr>
          <w:rFonts w:cs="Arial"/>
          <w:szCs w:val="20"/>
        </w:rPr>
        <w:t>objavljen zakonodajni paket o digitalni operativni odpornosti za finančni sektor (v nadalj</w:t>
      </w:r>
      <w:r w:rsidR="00C9513C" w:rsidRPr="00445B9C">
        <w:rPr>
          <w:rFonts w:cs="Arial"/>
          <w:szCs w:val="20"/>
        </w:rPr>
        <w:t>njem besedil</w:t>
      </w:r>
      <w:r w:rsidR="009E626A" w:rsidRPr="00445B9C">
        <w:rPr>
          <w:rFonts w:cs="Arial"/>
          <w:szCs w:val="20"/>
        </w:rPr>
        <w:t xml:space="preserve">u: DORA), ki vključuje Uredbo (EU) 2022/2554 </w:t>
      </w:r>
      <w:r w:rsidR="009E626A" w:rsidRPr="00445B9C">
        <w:rPr>
          <w:rFonts w:cs="Arial"/>
          <w:szCs w:val="20"/>
        </w:rPr>
        <w:lastRenderedPageBreak/>
        <w:t xml:space="preserve">Evropskega parlamenta in Sveta z dne 14. decembra 2022 o digitalni operativni odpornosti za finančni sektor in spremembi uredb (ES) št. 1060/2009, (EU) št. 648/2012, (EU) št. 600/2014, (EU) št. 909/2014 in (EU) 2016/1011 (UL L </w:t>
      </w:r>
      <w:r w:rsidR="00461940" w:rsidRPr="00445B9C">
        <w:rPr>
          <w:rFonts w:cs="Arial"/>
          <w:szCs w:val="20"/>
        </w:rPr>
        <w:t xml:space="preserve">št. </w:t>
      </w:r>
      <w:r w:rsidR="009E626A" w:rsidRPr="00445B9C">
        <w:rPr>
          <w:rFonts w:cs="Arial"/>
          <w:szCs w:val="20"/>
        </w:rPr>
        <w:t>333</w:t>
      </w:r>
      <w:r w:rsidR="00461940" w:rsidRPr="00445B9C">
        <w:rPr>
          <w:rFonts w:cs="Arial"/>
          <w:szCs w:val="20"/>
        </w:rPr>
        <w:t xml:space="preserve"> z dne</w:t>
      </w:r>
      <w:r w:rsidR="009E626A" w:rsidRPr="00445B9C">
        <w:rPr>
          <w:rFonts w:cs="Arial"/>
          <w:szCs w:val="20"/>
        </w:rPr>
        <w:t xml:space="preserve"> 27</w:t>
      </w:r>
      <w:r w:rsidR="00461940" w:rsidRPr="00445B9C">
        <w:rPr>
          <w:rFonts w:cs="Arial"/>
          <w:szCs w:val="20"/>
        </w:rPr>
        <w:t xml:space="preserve">. </w:t>
      </w:r>
      <w:r w:rsidR="009E626A" w:rsidRPr="00445B9C">
        <w:rPr>
          <w:rFonts w:cs="Arial"/>
          <w:szCs w:val="20"/>
        </w:rPr>
        <w:t>12</w:t>
      </w:r>
      <w:r w:rsidR="00461940" w:rsidRPr="00445B9C">
        <w:rPr>
          <w:rFonts w:cs="Arial"/>
          <w:szCs w:val="20"/>
        </w:rPr>
        <w:t xml:space="preserve">. </w:t>
      </w:r>
      <w:r w:rsidR="009E626A" w:rsidRPr="00445B9C">
        <w:rPr>
          <w:rFonts w:cs="Arial"/>
          <w:szCs w:val="20"/>
        </w:rPr>
        <w:t>2022)</w:t>
      </w:r>
      <w:r w:rsidR="006438D8" w:rsidRPr="00445B9C">
        <w:rPr>
          <w:rFonts w:cs="Arial"/>
          <w:szCs w:val="20"/>
        </w:rPr>
        <w:t xml:space="preserve">, </w:t>
      </w:r>
      <w:r w:rsidR="00916868">
        <w:rPr>
          <w:rFonts w:cs="Arial"/>
          <w:szCs w:val="20"/>
        </w:rPr>
        <w:t>zadnjič</w:t>
      </w:r>
      <w:r w:rsidR="00916868" w:rsidRPr="00445B9C">
        <w:rPr>
          <w:rFonts w:cs="Arial"/>
          <w:szCs w:val="20"/>
        </w:rPr>
        <w:t xml:space="preserve"> </w:t>
      </w:r>
      <w:r w:rsidR="006438D8" w:rsidRPr="00445B9C">
        <w:rPr>
          <w:rFonts w:cs="Arial"/>
          <w:szCs w:val="20"/>
        </w:rPr>
        <w:t>spremenjen</w:t>
      </w:r>
      <w:r w:rsidR="00557D36">
        <w:rPr>
          <w:rFonts w:cs="Arial"/>
          <w:szCs w:val="20"/>
        </w:rPr>
        <w:t>o</w:t>
      </w:r>
      <w:r w:rsidR="006438D8" w:rsidRPr="00445B9C">
        <w:rPr>
          <w:rFonts w:cs="Arial"/>
          <w:szCs w:val="20"/>
        </w:rPr>
        <w:t xml:space="preserve"> z Delegirano uredbo Komisije (EU) 2025/420 z dne 16. decembra 2024 o dopolnitvi Uredbe 2022/2554/EU Evropskega parlamenta in Sveta v zvezi z regulativnimi tehničnimi standardi, v katerih se določijo merila za določitev sestave skupne </w:t>
      </w:r>
      <w:proofErr w:type="spellStart"/>
      <w:r w:rsidR="006438D8" w:rsidRPr="00445B9C">
        <w:rPr>
          <w:rFonts w:cs="Arial"/>
          <w:szCs w:val="20"/>
        </w:rPr>
        <w:t>pregledniške</w:t>
      </w:r>
      <w:proofErr w:type="spellEnd"/>
      <w:r w:rsidR="006438D8" w:rsidRPr="00445B9C">
        <w:rPr>
          <w:rFonts w:cs="Arial"/>
          <w:szCs w:val="20"/>
        </w:rPr>
        <w:t xml:space="preserve"> ekipe, ki zagotavljajo uravnoteženo udeležbo članov osebja iz evropskih nadzornih organov in ustreznih pristojnih organov, njihovo imenovanje, naloge in delovne dogovore</w:t>
      </w:r>
      <w:r w:rsidR="006438D8" w:rsidRPr="00445B9C" w:rsidDel="006174E0">
        <w:rPr>
          <w:rFonts w:cs="Arial"/>
          <w:szCs w:val="20"/>
        </w:rPr>
        <w:t xml:space="preserve"> </w:t>
      </w:r>
      <w:r w:rsidR="006438D8" w:rsidRPr="00445B9C">
        <w:rPr>
          <w:rFonts w:cs="Arial"/>
          <w:szCs w:val="20"/>
        </w:rPr>
        <w:t>(UL L št. 2025/420 z dne 24. 3. 2025)</w:t>
      </w:r>
      <w:r w:rsidR="00D87BCB">
        <w:rPr>
          <w:rFonts w:cs="Arial"/>
          <w:szCs w:val="20"/>
        </w:rPr>
        <w:t xml:space="preserve">, </w:t>
      </w:r>
      <w:r w:rsidR="00D87BCB" w:rsidRPr="00D87BCB">
        <w:rPr>
          <w:rFonts w:cs="Arial"/>
          <w:szCs w:val="20"/>
        </w:rPr>
        <w:t xml:space="preserve">(v nadaljnjem besedilu: Uredba </w:t>
      </w:r>
      <w:r w:rsidR="00D87BCB" w:rsidRPr="00445B9C">
        <w:rPr>
          <w:rFonts w:cs="Arial"/>
          <w:szCs w:val="20"/>
        </w:rPr>
        <w:t>2022/2554</w:t>
      </w:r>
      <w:r w:rsidR="00D87BCB" w:rsidRPr="00D87BCB">
        <w:rPr>
          <w:rFonts w:cs="Arial"/>
          <w:szCs w:val="20"/>
        </w:rPr>
        <w:t>/EU)</w:t>
      </w:r>
      <w:r w:rsidR="009E626A" w:rsidRPr="00445B9C">
        <w:rPr>
          <w:rFonts w:cs="Arial"/>
          <w:szCs w:val="20"/>
        </w:rPr>
        <w:t xml:space="preserve"> in Direktivo 2022/2556</w:t>
      </w:r>
      <w:r w:rsidR="00D87BCB">
        <w:rPr>
          <w:rFonts w:cs="Arial"/>
          <w:szCs w:val="20"/>
        </w:rPr>
        <w:t>/EU</w:t>
      </w:r>
      <w:r w:rsidR="009E626A" w:rsidRPr="00445B9C">
        <w:rPr>
          <w:rFonts w:cs="Arial"/>
          <w:szCs w:val="20"/>
        </w:rPr>
        <w:t>.</w:t>
      </w:r>
      <w:r w:rsidR="001A4517" w:rsidRPr="00445B9C">
        <w:rPr>
          <w:rFonts w:cs="Arial"/>
          <w:szCs w:val="20"/>
        </w:rPr>
        <w:t xml:space="preserve"> </w:t>
      </w:r>
      <w:r w:rsidR="009E626A" w:rsidRPr="00445B9C">
        <w:rPr>
          <w:rFonts w:cs="Arial"/>
          <w:szCs w:val="20"/>
        </w:rPr>
        <w:t>DORA velja za širok nabor finančnih subjektov in prvič združuje določbe, ki obravnavajo digitalno operativno tveganje v finančnem sektorju</w:t>
      </w:r>
      <w:r w:rsidR="00557D36">
        <w:rPr>
          <w:rFonts w:cs="Arial"/>
          <w:szCs w:val="20"/>
        </w:rPr>
        <w:t>,</w:t>
      </w:r>
      <w:r w:rsidR="009E626A" w:rsidRPr="00445B9C">
        <w:rPr>
          <w:rFonts w:cs="Arial"/>
          <w:szCs w:val="20"/>
        </w:rPr>
        <w:t xml:space="preserve"> na dosleden način v enem samem zakonodajnem paketu.</w:t>
      </w:r>
    </w:p>
    <w:p w14:paraId="4D1F1764" w14:textId="77777777" w:rsidR="006D49F7" w:rsidRPr="00445B9C" w:rsidRDefault="006D49F7" w:rsidP="00ED36BF">
      <w:pPr>
        <w:spacing w:line="260" w:lineRule="exact"/>
        <w:jc w:val="both"/>
        <w:rPr>
          <w:rFonts w:cs="Arial"/>
          <w:szCs w:val="20"/>
        </w:rPr>
      </w:pPr>
    </w:p>
    <w:p w14:paraId="3CD14759" w14:textId="4D7424A1" w:rsidR="00562370" w:rsidRPr="00445B9C" w:rsidRDefault="008306BF" w:rsidP="00ED36BF">
      <w:pPr>
        <w:spacing w:line="260" w:lineRule="exact"/>
        <w:jc w:val="both"/>
        <w:rPr>
          <w:rFonts w:cs="Arial"/>
          <w:szCs w:val="20"/>
        </w:rPr>
      </w:pPr>
      <w:r w:rsidRPr="00445B9C">
        <w:rPr>
          <w:rFonts w:cs="Arial"/>
          <w:szCs w:val="20"/>
        </w:rPr>
        <w:t>S</w:t>
      </w:r>
      <w:r w:rsidR="00235B8D" w:rsidRPr="00445B9C">
        <w:rPr>
          <w:rFonts w:cs="Arial"/>
          <w:szCs w:val="20"/>
        </w:rPr>
        <w:t xml:space="preserve"> prenosom </w:t>
      </w:r>
      <w:r w:rsidR="006D49F7" w:rsidRPr="00445B9C">
        <w:rPr>
          <w:rFonts w:cs="Arial"/>
          <w:szCs w:val="20"/>
        </w:rPr>
        <w:t>določb</w:t>
      </w:r>
      <w:r w:rsidR="00235B8D" w:rsidRPr="00445B9C">
        <w:rPr>
          <w:rFonts w:cs="Arial"/>
          <w:szCs w:val="20"/>
        </w:rPr>
        <w:t xml:space="preserve"> </w:t>
      </w:r>
      <w:r w:rsidR="00034636" w:rsidRPr="00445B9C">
        <w:rPr>
          <w:rFonts w:cs="Arial"/>
          <w:szCs w:val="20"/>
        </w:rPr>
        <w:t>D</w:t>
      </w:r>
      <w:r w:rsidR="00235B8D" w:rsidRPr="00445B9C">
        <w:rPr>
          <w:rFonts w:cs="Arial"/>
          <w:szCs w:val="20"/>
        </w:rPr>
        <w:t>irektive 2022/2556/EU</w:t>
      </w:r>
      <w:r w:rsidR="006D49F7" w:rsidRPr="00445B9C">
        <w:rPr>
          <w:rFonts w:cs="Arial"/>
          <w:szCs w:val="20"/>
        </w:rPr>
        <w:t xml:space="preserve"> v delu, ki </w:t>
      </w:r>
      <w:r w:rsidR="00E2592D" w:rsidRPr="00445B9C">
        <w:rPr>
          <w:rFonts w:cs="Arial"/>
          <w:szCs w:val="20"/>
        </w:rPr>
        <w:t>sprem</w:t>
      </w:r>
      <w:r w:rsidR="004D69D4" w:rsidRPr="00445B9C">
        <w:rPr>
          <w:rFonts w:cs="Arial"/>
          <w:szCs w:val="20"/>
        </w:rPr>
        <w:t>inja</w:t>
      </w:r>
      <w:r w:rsidR="006D49F7" w:rsidRPr="00445B9C">
        <w:rPr>
          <w:rFonts w:cs="Arial"/>
          <w:szCs w:val="20"/>
        </w:rPr>
        <w:t xml:space="preserve"> Direktivo 201</w:t>
      </w:r>
      <w:r w:rsidR="00B527D4" w:rsidRPr="00445B9C">
        <w:rPr>
          <w:rFonts w:cs="Arial"/>
          <w:szCs w:val="20"/>
        </w:rPr>
        <w:t>4</w:t>
      </w:r>
      <w:r w:rsidR="006D49F7" w:rsidRPr="00445B9C">
        <w:rPr>
          <w:rFonts w:cs="Arial"/>
          <w:szCs w:val="20"/>
        </w:rPr>
        <w:t>/65/EU</w:t>
      </w:r>
      <w:r w:rsidR="004D69D4" w:rsidRPr="00445B9C">
        <w:rPr>
          <w:rFonts w:cs="Arial"/>
          <w:szCs w:val="20"/>
        </w:rPr>
        <w:t>,</w:t>
      </w:r>
      <w:r w:rsidR="00034636" w:rsidRPr="00445B9C">
        <w:rPr>
          <w:rFonts w:cs="Arial"/>
          <w:szCs w:val="20"/>
        </w:rPr>
        <w:t xml:space="preserve"> s pred</w:t>
      </w:r>
      <w:r w:rsidR="004D69D4" w:rsidRPr="00445B9C">
        <w:rPr>
          <w:rFonts w:cs="Arial"/>
          <w:szCs w:val="20"/>
        </w:rPr>
        <w:t>laganimi spremembami in dopolnitvami ZTFI-1</w:t>
      </w:r>
      <w:r w:rsidR="00034636" w:rsidRPr="00445B9C">
        <w:rPr>
          <w:rFonts w:cs="Arial"/>
          <w:szCs w:val="20"/>
        </w:rPr>
        <w:t xml:space="preserve"> </w:t>
      </w:r>
      <w:r w:rsidR="00235B8D" w:rsidRPr="00445B9C">
        <w:rPr>
          <w:rFonts w:cs="Arial"/>
          <w:szCs w:val="20"/>
        </w:rPr>
        <w:t>se s</w:t>
      </w:r>
      <w:r w:rsidRPr="00445B9C">
        <w:rPr>
          <w:rFonts w:cs="Arial"/>
          <w:szCs w:val="20"/>
        </w:rPr>
        <w:t xml:space="preserve"> poenostavitvijo in nadgradnjo </w:t>
      </w:r>
      <w:r w:rsidR="00557D36">
        <w:rPr>
          <w:rFonts w:cs="Arial"/>
          <w:szCs w:val="20"/>
        </w:rPr>
        <w:t>uveljavljenih</w:t>
      </w:r>
      <w:r w:rsidR="00557D36" w:rsidRPr="00445B9C">
        <w:rPr>
          <w:rFonts w:cs="Arial"/>
          <w:szCs w:val="20"/>
        </w:rPr>
        <w:t xml:space="preserve"> </w:t>
      </w:r>
      <w:r w:rsidRPr="00445B9C">
        <w:rPr>
          <w:rFonts w:cs="Arial"/>
          <w:szCs w:val="20"/>
        </w:rPr>
        <w:t>pravil ter uvedbo novih zahtev želi okrepiti digitaln</w:t>
      </w:r>
      <w:r w:rsidR="00557D36">
        <w:rPr>
          <w:rFonts w:cs="Arial"/>
          <w:szCs w:val="20"/>
        </w:rPr>
        <w:t>a</w:t>
      </w:r>
      <w:r w:rsidRPr="00445B9C">
        <w:rPr>
          <w:rFonts w:cs="Arial"/>
          <w:szCs w:val="20"/>
        </w:rPr>
        <w:t xml:space="preserve"> operativn</w:t>
      </w:r>
      <w:r w:rsidR="00557D36">
        <w:rPr>
          <w:rFonts w:cs="Arial"/>
          <w:szCs w:val="20"/>
        </w:rPr>
        <w:t>a</w:t>
      </w:r>
      <w:r w:rsidRPr="00445B9C">
        <w:rPr>
          <w:rFonts w:cs="Arial"/>
          <w:szCs w:val="20"/>
        </w:rPr>
        <w:t xml:space="preserve"> odpornost </w:t>
      </w:r>
      <w:r w:rsidR="008F6AC6" w:rsidRPr="00445B9C">
        <w:rPr>
          <w:rFonts w:cs="Arial"/>
          <w:szCs w:val="20"/>
        </w:rPr>
        <w:t>investicijskih podjetij</w:t>
      </w:r>
      <w:r w:rsidR="008D6099" w:rsidRPr="00445B9C">
        <w:rPr>
          <w:rFonts w:cs="Arial"/>
          <w:szCs w:val="20"/>
        </w:rPr>
        <w:t xml:space="preserve"> in borze ter </w:t>
      </w:r>
      <w:r w:rsidRPr="00445B9C">
        <w:rPr>
          <w:rFonts w:cs="Arial"/>
          <w:szCs w:val="20"/>
        </w:rPr>
        <w:t>s tem prispevati k splošni odpornosti celotnega gospodarstva.</w:t>
      </w:r>
      <w:r w:rsidR="006F7F73" w:rsidRPr="00445B9C">
        <w:rPr>
          <w:rFonts w:cs="Arial"/>
          <w:szCs w:val="20"/>
        </w:rPr>
        <w:t xml:space="preserve"> </w:t>
      </w:r>
    </w:p>
    <w:p w14:paraId="43AAEA03" w14:textId="393C03F0" w:rsidR="00562370" w:rsidRPr="00445B9C" w:rsidRDefault="00562370" w:rsidP="00ED36BF">
      <w:pPr>
        <w:spacing w:line="260" w:lineRule="exact"/>
        <w:jc w:val="both"/>
        <w:rPr>
          <w:rFonts w:cs="Arial"/>
          <w:szCs w:val="20"/>
        </w:rPr>
      </w:pPr>
    </w:p>
    <w:p w14:paraId="0EE05646" w14:textId="3CAC2AC4" w:rsidR="00306036" w:rsidRPr="00445B9C" w:rsidRDefault="00306036" w:rsidP="00306036">
      <w:pPr>
        <w:spacing w:line="260" w:lineRule="exact"/>
        <w:jc w:val="both"/>
        <w:rPr>
          <w:rFonts w:cs="Arial"/>
          <w:szCs w:val="20"/>
        </w:rPr>
      </w:pPr>
      <w:r w:rsidRPr="00445B9C">
        <w:rPr>
          <w:rFonts w:cs="Arial"/>
          <w:szCs w:val="20"/>
        </w:rPr>
        <w:t>V skladu s pred</w:t>
      </w:r>
      <w:r w:rsidR="004D69D4" w:rsidRPr="00445B9C">
        <w:rPr>
          <w:rFonts w:cs="Arial"/>
          <w:szCs w:val="20"/>
        </w:rPr>
        <w:t xml:space="preserve">laganimi spremembami in dopolnitvami ZTFI-1 </w:t>
      </w:r>
      <w:r w:rsidRPr="00445B9C">
        <w:rPr>
          <w:rFonts w:cs="Arial"/>
          <w:szCs w:val="20"/>
        </w:rPr>
        <w:t xml:space="preserve">morajo investicijska podjetja zagotoviti visoko raven varnosti in odpornosti IKT. To pomeni vzpostavitev ustreznih sistemov IKT in njihovo upravljanje </w:t>
      </w:r>
      <w:r w:rsidR="00421509">
        <w:rPr>
          <w:rFonts w:cs="Arial"/>
          <w:szCs w:val="20"/>
        </w:rPr>
        <w:t xml:space="preserve">v </w:t>
      </w:r>
      <w:r w:rsidRPr="00445B9C">
        <w:rPr>
          <w:rFonts w:cs="Arial"/>
          <w:szCs w:val="20"/>
        </w:rPr>
        <w:t>sklad</w:t>
      </w:r>
      <w:r w:rsidR="00421509">
        <w:rPr>
          <w:rFonts w:cs="Arial"/>
          <w:szCs w:val="20"/>
        </w:rPr>
        <w:t>u</w:t>
      </w:r>
      <w:r w:rsidRPr="00445B9C">
        <w:rPr>
          <w:rFonts w:cs="Arial"/>
          <w:szCs w:val="20"/>
        </w:rPr>
        <w:t xml:space="preserve"> z zakonodajnimi zahtevami ter uvedbo varnostnih mehanizmov za zaščito pred nepooblaščenim dostopom, izgubo podatkov in uhajanjem informacij. Zaradi naraščajočih tveganj v digitalnem poslovnem okolju </w:t>
      </w:r>
      <w:r w:rsidR="004D69D4" w:rsidRPr="00445B9C">
        <w:rPr>
          <w:rFonts w:cs="Arial"/>
          <w:szCs w:val="20"/>
        </w:rPr>
        <w:t xml:space="preserve">se </w:t>
      </w:r>
      <w:r w:rsidRPr="00445B9C">
        <w:rPr>
          <w:rFonts w:cs="Arial"/>
          <w:szCs w:val="20"/>
        </w:rPr>
        <w:t>uvaja</w:t>
      </w:r>
      <w:r w:rsidR="004D69D4" w:rsidRPr="00445B9C">
        <w:rPr>
          <w:rFonts w:cs="Arial"/>
          <w:szCs w:val="20"/>
        </w:rPr>
        <w:t>jo</w:t>
      </w:r>
      <w:r w:rsidRPr="00445B9C">
        <w:rPr>
          <w:rFonts w:cs="Arial"/>
          <w:szCs w:val="20"/>
        </w:rPr>
        <w:t xml:space="preserve"> strožje zahteve za upravljanje tveganj. Investicijska podjetja morajo vzpostaviti učinkovite postopke za </w:t>
      </w:r>
      <w:r w:rsidR="00921646">
        <w:rPr>
          <w:rFonts w:cs="Arial"/>
          <w:szCs w:val="20"/>
        </w:rPr>
        <w:t xml:space="preserve">njihovo </w:t>
      </w:r>
      <w:r w:rsidRPr="00445B9C">
        <w:rPr>
          <w:rFonts w:cs="Arial"/>
          <w:szCs w:val="20"/>
        </w:rPr>
        <w:t>prepoznavanje in obvladovanje, vključno s tveganji na področju IKT, ter zagotoviti notranje kontrolne mehanizme, ki omogočajo pravočasno odkrivanje nepravilnosti</w:t>
      </w:r>
      <w:r w:rsidR="00D31F43" w:rsidRPr="00445B9C">
        <w:rPr>
          <w:rFonts w:cs="Arial"/>
          <w:szCs w:val="20"/>
        </w:rPr>
        <w:t xml:space="preserve"> (dopolnitev drugega odstavka 236. člena ZTFI-1)</w:t>
      </w:r>
      <w:r w:rsidRPr="00445B9C">
        <w:rPr>
          <w:rFonts w:cs="Arial"/>
          <w:szCs w:val="20"/>
        </w:rPr>
        <w:t xml:space="preserve">. </w:t>
      </w:r>
    </w:p>
    <w:p w14:paraId="4F5A8575" w14:textId="77777777" w:rsidR="00306036" w:rsidRPr="00445B9C" w:rsidRDefault="00306036" w:rsidP="00306036">
      <w:pPr>
        <w:spacing w:line="260" w:lineRule="exact"/>
        <w:jc w:val="both"/>
        <w:rPr>
          <w:rFonts w:cs="Arial"/>
          <w:szCs w:val="20"/>
        </w:rPr>
      </w:pPr>
    </w:p>
    <w:p w14:paraId="5EBEC506" w14:textId="42A19A3B" w:rsidR="00306036" w:rsidRPr="00445B9C" w:rsidRDefault="00306036" w:rsidP="00306036">
      <w:pPr>
        <w:spacing w:line="260" w:lineRule="exact"/>
        <w:jc w:val="both"/>
        <w:rPr>
          <w:rFonts w:cs="Arial"/>
          <w:szCs w:val="20"/>
        </w:rPr>
      </w:pPr>
      <w:r w:rsidRPr="00445B9C">
        <w:rPr>
          <w:rFonts w:cs="Arial"/>
          <w:szCs w:val="20"/>
        </w:rPr>
        <w:t xml:space="preserve">Spremembe so uvedene tudi na področju algoritmičnega trgovanja, saj </w:t>
      </w:r>
      <w:r w:rsidR="004D69D4" w:rsidRPr="00445B9C">
        <w:rPr>
          <w:rFonts w:cs="Arial"/>
          <w:szCs w:val="20"/>
        </w:rPr>
        <w:t xml:space="preserve">se </w:t>
      </w:r>
      <w:r w:rsidRPr="00445B9C">
        <w:rPr>
          <w:rFonts w:cs="Arial"/>
          <w:szCs w:val="20"/>
        </w:rPr>
        <w:t>določa</w:t>
      </w:r>
      <w:r w:rsidR="004D69D4" w:rsidRPr="00445B9C">
        <w:rPr>
          <w:rFonts w:cs="Arial"/>
          <w:szCs w:val="20"/>
        </w:rPr>
        <w:t>jo</w:t>
      </w:r>
      <w:r w:rsidRPr="00445B9C">
        <w:rPr>
          <w:rFonts w:cs="Arial"/>
          <w:szCs w:val="20"/>
        </w:rPr>
        <w:t xml:space="preserve"> dodatne zahteve za podjetja, ki uporabljajo ta način trgovanja. Namen teh ukrepov je zagotavljanje stabilnosti in zanesljivosti sistemov, pri čemer </w:t>
      </w:r>
      <w:r w:rsidR="00921646">
        <w:rPr>
          <w:rFonts w:cs="Arial"/>
          <w:szCs w:val="20"/>
        </w:rPr>
        <w:t>morajo</w:t>
      </w:r>
      <w:r w:rsidR="00921646" w:rsidRPr="00445B9C">
        <w:rPr>
          <w:rFonts w:cs="Arial"/>
          <w:szCs w:val="20"/>
        </w:rPr>
        <w:t xml:space="preserve"> </w:t>
      </w:r>
      <w:r w:rsidRPr="00445B9C">
        <w:rPr>
          <w:rFonts w:cs="Arial"/>
          <w:szCs w:val="20"/>
        </w:rPr>
        <w:t>podjetja preprečevati neurejene tržne razmere s strogim nadzorom nad delovanjem algoritmov</w:t>
      </w:r>
      <w:r w:rsidR="00D31F43" w:rsidRPr="00445B9C">
        <w:rPr>
          <w:rFonts w:cs="Arial"/>
          <w:szCs w:val="20"/>
        </w:rPr>
        <w:t xml:space="preserve"> (dopolnitev prvega odstavka 242. člena ZT</w:t>
      </w:r>
      <w:r w:rsidR="00A965AF">
        <w:rPr>
          <w:rFonts w:cs="Arial"/>
          <w:szCs w:val="20"/>
        </w:rPr>
        <w:t>F</w:t>
      </w:r>
      <w:r w:rsidR="00D31F43" w:rsidRPr="00445B9C">
        <w:rPr>
          <w:rFonts w:cs="Arial"/>
          <w:szCs w:val="20"/>
        </w:rPr>
        <w:t>I-1)</w:t>
      </w:r>
      <w:r w:rsidRPr="00445B9C">
        <w:rPr>
          <w:rFonts w:cs="Arial"/>
          <w:szCs w:val="20"/>
        </w:rPr>
        <w:t xml:space="preserve">. </w:t>
      </w:r>
    </w:p>
    <w:p w14:paraId="57996A1E" w14:textId="0485FEEE" w:rsidR="00306036" w:rsidRPr="00445B9C" w:rsidRDefault="00306036" w:rsidP="00306036">
      <w:pPr>
        <w:spacing w:line="260" w:lineRule="exact"/>
        <w:jc w:val="both"/>
        <w:rPr>
          <w:rFonts w:cs="Arial"/>
          <w:szCs w:val="20"/>
        </w:rPr>
      </w:pPr>
    </w:p>
    <w:p w14:paraId="3388F32A" w14:textId="2A358431" w:rsidR="00306036" w:rsidRPr="00445B9C" w:rsidRDefault="00306036" w:rsidP="00306036">
      <w:pPr>
        <w:spacing w:line="260" w:lineRule="exact"/>
        <w:jc w:val="both"/>
        <w:rPr>
          <w:rFonts w:cs="Arial"/>
          <w:szCs w:val="20"/>
        </w:rPr>
      </w:pPr>
      <w:r w:rsidRPr="00445B9C">
        <w:rPr>
          <w:rFonts w:cs="Arial"/>
          <w:szCs w:val="20"/>
        </w:rPr>
        <w:t xml:space="preserve">Za zagotavljanje neprekinjenega poslovanja in učinkovitega odzivanja na krizne razmere morajo investicijska podjetja in </w:t>
      </w:r>
      <w:r w:rsidR="002F5892" w:rsidRPr="00445B9C">
        <w:rPr>
          <w:rFonts w:cs="Arial"/>
          <w:szCs w:val="20"/>
        </w:rPr>
        <w:t>borza</w:t>
      </w:r>
      <w:r w:rsidRPr="00445B9C">
        <w:rPr>
          <w:rFonts w:cs="Arial"/>
          <w:szCs w:val="20"/>
        </w:rPr>
        <w:t xml:space="preserve"> vzpostaviti sisteme za zaznavo in zmanjšanje tveganj, povezanih z izpadi sistemov. To vključuje pripravo načrtov okrevanja po morebitnih incidentih, vzpostavitev varnostnih mehanizmov ter redno testiranje sistemov in spremljanje njihovega delovanja. Takšni ukrepi so ključni za zagotovitev skladnosti s predpisanimi standardi ter zmanjšanje vpliva nepredvidenih dogodkov na finančne trge</w:t>
      </w:r>
      <w:r w:rsidR="002F5892" w:rsidRPr="00445B9C">
        <w:rPr>
          <w:rFonts w:cs="Arial"/>
          <w:szCs w:val="20"/>
        </w:rPr>
        <w:t xml:space="preserve"> (dopolnitev drugega odstavka 234. člena in drugi odstavek 328. člena ZTFI-1)</w:t>
      </w:r>
      <w:r w:rsidRPr="00445B9C">
        <w:rPr>
          <w:rFonts w:cs="Arial"/>
          <w:szCs w:val="20"/>
        </w:rPr>
        <w:t>.</w:t>
      </w:r>
    </w:p>
    <w:p w14:paraId="27E56C2C" w14:textId="3ECCC0FA" w:rsidR="00306036" w:rsidRPr="00445B9C" w:rsidRDefault="00306036" w:rsidP="00306036">
      <w:pPr>
        <w:spacing w:line="260" w:lineRule="exact"/>
        <w:jc w:val="both"/>
        <w:rPr>
          <w:rFonts w:cs="Arial"/>
          <w:szCs w:val="20"/>
        </w:rPr>
      </w:pPr>
    </w:p>
    <w:p w14:paraId="2773ACA0" w14:textId="294DD188" w:rsidR="00306036" w:rsidRPr="00445B9C" w:rsidRDefault="00306036" w:rsidP="00306036">
      <w:pPr>
        <w:spacing w:line="260" w:lineRule="exact"/>
        <w:jc w:val="both"/>
        <w:rPr>
          <w:rFonts w:cs="Arial"/>
          <w:szCs w:val="20"/>
        </w:rPr>
      </w:pPr>
      <w:r w:rsidRPr="00445B9C">
        <w:rPr>
          <w:rFonts w:cs="Arial"/>
          <w:szCs w:val="20"/>
        </w:rPr>
        <w:t xml:space="preserve">Dodatno se za </w:t>
      </w:r>
      <w:r w:rsidR="00737821" w:rsidRPr="00445B9C">
        <w:rPr>
          <w:rFonts w:cs="Arial"/>
          <w:szCs w:val="20"/>
        </w:rPr>
        <w:t>borzo</w:t>
      </w:r>
      <w:r w:rsidRPr="00445B9C">
        <w:rPr>
          <w:rFonts w:cs="Arial"/>
          <w:szCs w:val="20"/>
        </w:rPr>
        <w:t xml:space="preserve"> uvajajo strožje zahteve, ki zagotavljajo operativno odpornost in zadostne zmogljivosti</w:t>
      </w:r>
      <w:r w:rsidR="0005085F">
        <w:rPr>
          <w:rFonts w:cs="Arial"/>
          <w:szCs w:val="20"/>
        </w:rPr>
        <w:t xml:space="preserve"> borze</w:t>
      </w:r>
      <w:r w:rsidRPr="00445B9C">
        <w:rPr>
          <w:rFonts w:cs="Arial"/>
          <w:szCs w:val="20"/>
        </w:rPr>
        <w:t xml:space="preserve"> za obdelavo velikih količin naročil</w:t>
      </w:r>
      <w:r w:rsidR="00737821" w:rsidRPr="00445B9C">
        <w:rPr>
          <w:rFonts w:cs="Arial"/>
          <w:szCs w:val="20"/>
        </w:rPr>
        <w:t xml:space="preserve"> (dopolnitev drugega odstavka 382. člena ZTFI-1)</w:t>
      </w:r>
      <w:r w:rsidRPr="00445B9C">
        <w:rPr>
          <w:rFonts w:cs="Arial"/>
          <w:szCs w:val="20"/>
        </w:rPr>
        <w:t xml:space="preserve">. </w:t>
      </w:r>
      <w:r w:rsidR="00737821" w:rsidRPr="00445B9C">
        <w:rPr>
          <w:rFonts w:cs="Arial"/>
          <w:szCs w:val="20"/>
        </w:rPr>
        <w:t>Borza</w:t>
      </w:r>
      <w:r w:rsidRPr="00445B9C">
        <w:rPr>
          <w:rFonts w:cs="Arial"/>
          <w:szCs w:val="20"/>
        </w:rPr>
        <w:t xml:space="preserve"> mora </w:t>
      </w:r>
      <w:r w:rsidR="00EB36F4" w:rsidRPr="00445B9C">
        <w:rPr>
          <w:rFonts w:cs="Arial"/>
          <w:szCs w:val="20"/>
        </w:rPr>
        <w:t xml:space="preserve">od članov ali udeležencev </w:t>
      </w:r>
      <w:r w:rsidRPr="00445B9C">
        <w:rPr>
          <w:rFonts w:cs="Arial"/>
          <w:szCs w:val="20"/>
        </w:rPr>
        <w:t>zahtevati, da izvedejo ustrezno preizkušanje algoritmov. Cilj teh ukrepov je preprečevanje neurejenih tržnih razmer ter obvladovanje morebitnih motenj, ki bi lahko nastale zaradi algoritmičnega trgovanja</w:t>
      </w:r>
      <w:r w:rsidR="00737821" w:rsidRPr="00445B9C">
        <w:rPr>
          <w:rFonts w:cs="Arial"/>
          <w:szCs w:val="20"/>
        </w:rPr>
        <w:t xml:space="preserve"> (dopolnitev drugega odstavka 376. člena ZTFI-1)</w:t>
      </w:r>
      <w:r w:rsidRPr="00445B9C">
        <w:rPr>
          <w:rFonts w:cs="Arial"/>
          <w:szCs w:val="20"/>
        </w:rPr>
        <w:t>. Dodatno se uvajajo omejitve glede deleža neizvršenih naročil in mehanizmi za upočasnitev toka naročil ob nevarnosti preobremenitve sistema ter določitev minimalnega koraka kotacije na trgu</w:t>
      </w:r>
      <w:r w:rsidR="00FB5065" w:rsidRPr="00445B9C">
        <w:rPr>
          <w:rFonts w:cs="Arial"/>
          <w:szCs w:val="20"/>
        </w:rPr>
        <w:t xml:space="preserve"> (dopolnitev drugega odstavka 377. člena ZTFI-1)</w:t>
      </w:r>
      <w:r w:rsidRPr="00445B9C">
        <w:rPr>
          <w:rFonts w:cs="Arial"/>
          <w:szCs w:val="20"/>
        </w:rPr>
        <w:t>.</w:t>
      </w:r>
    </w:p>
    <w:p w14:paraId="1BB24B65" w14:textId="77777777" w:rsidR="00306036" w:rsidRPr="00445B9C" w:rsidRDefault="00306036" w:rsidP="00306036">
      <w:pPr>
        <w:spacing w:line="260" w:lineRule="exact"/>
        <w:jc w:val="both"/>
        <w:rPr>
          <w:rFonts w:cs="Arial"/>
          <w:szCs w:val="20"/>
        </w:rPr>
      </w:pPr>
    </w:p>
    <w:p w14:paraId="2203304B" w14:textId="14BD5384" w:rsidR="00562370" w:rsidRPr="00445B9C" w:rsidRDefault="00306036" w:rsidP="00306036">
      <w:pPr>
        <w:spacing w:line="260" w:lineRule="exact"/>
        <w:jc w:val="both"/>
        <w:rPr>
          <w:rFonts w:cs="Arial"/>
          <w:szCs w:val="20"/>
        </w:rPr>
      </w:pPr>
      <w:r w:rsidRPr="00445B9C">
        <w:rPr>
          <w:rFonts w:cs="Arial"/>
          <w:szCs w:val="20"/>
        </w:rPr>
        <w:t xml:space="preserve">Predlagane spremembe </w:t>
      </w:r>
      <w:r w:rsidR="00B5723F">
        <w:rPr>
          <w:rFonts w:cs="Arial"/>
          <w:szCs w:val="20"/>
        </w:rPr>
        <w:t>so</w:t>
      </w:r>
      <w:r w:rsidR="00B5723F" w:rsidRPr="00445B9C">
        <w:rPr>
          <w:rFonts w:cs="Arial"/>
          <w:szCs w:val="20"/>
        </w:rPr>
        <w:t xml:space="preserve"> </w:t>
      </w:r>
      <w:r w:rsidRPr="00445B9C">
        <w:rPr>
          <w:rFonts w:cs="Arial"/>
          <w:szCs w:val="20"/>
        </w:rPr>
        <w:t xml:space="preserve">korak k povečanju odpornosti in stabilnosti finančnih trgov, saj se vzpostavljajo celoviti varnostni in nadzorni mehanizmi, ki zmanjšujejo tveganja, povezana s </w:t>
      </w:r>
      <w:r w:rsidRPr="00445B9C">
        <w:rPr>
          <w:rFonts w:cs="Arial"/>
          <w:szCs w:val="20"/>
        </w:rPr>
        <w:lastRenderedPageBreak/>
        <w:t xml:space="preserve">tehnološkimi grožnjami, krepijo varnost informacijskih sistemov ter zagotavljajo večjo regulativno skladnost investicijskih podjetij in </w:t>
      </w:r>
      <w:r w:rsidR="0022324C" w:rsidRPr="00445B9C">
        <w:rPr>
          <w:rFonts w:cs="Arial"/>
          <w:szCs w:val="20"/>
        </w:rPr>
        <w:t>borze</w:t>
      </w:r>
      <w:r w:rsidRPr="00445B9C">
        <w:rPr>
          <w:rFonts w:cs="Arial"/>
          <w:szCs w:val="20"/>
        </w:rPr>
        <w:t xml:space="preserve">. </w:t>
      </w:r>
      <w:r w:rsidR="00B5723F">
        <w:rPr>
          <w:rFonts w:cs="Arial"/>
          <w:szCs w:val="20"/>
        </w:rPr>
        <w:t>Sprejetje</w:t>
      </w:r>
      <w:r w:rsidR="00B5723F" w:rsidRPr="00445B9C">
        <w:rPr>
          <w:rFonts w:cs="Arial"/>
          <w:szCs w:val="20"/>
        </w:rPr>
        <w:t xml:space="preserve"> </w:t>
      </w:r>
      <w:r w:rsidRPr="00445B9C">
        <w:rPr>
          <w:rFonts w:cs="Arial"/>
          <w:szCs w:val="20"/>
        </w:rPr>
        <w:t>teh ukrepov je potrebn</w:t>
      </w:r>
      <w:r w:rsidR="00B5723F">
        <w:rPr>
          <w:rFonts w:cs="Arial"/>
          <w:szCs w:val="20"/>
        </w:rPr>
        <w:t>o</w:t>
      </w:r>
      <w:r w:rsidRPr="00445B9C">
        <w:rPr>
          <w:rFonts w:cs="Arial"/>
          <w:szCs w:val="20"/>
        </w:rPr>
        <w:t xml:space="preserve"> za dolgoročno stabilnost in varnost finančnega sektorja, pri čemer je nujno, da podjetja pravočasno prilagodijo svoje poslovne modele in procese, da bodo v celoti izpolnjevala nove zahteve.</w:t>
      </w:r>
    </w:p>
    <w:p w14:paraId="6F607579" w14:textId="70845E1E" w:rsidR="00D90F02" w:rsidRPr="00445B9C" w:rsidRDefault="00D90F02" w:rsidP="00306036">
      <w:pPr>
        <w:spacing w:line="260" w:lineRule="exact"/>
        <w:jc w:val="both"/>
        <w:rPr>
          <w:rFonts w:cs="Arial"/>
          <w:szCs w:val="20"/>
        </w:rPr>
      </w:pPr>
    </w:p>
    <w:p w14:paraId="6287A70E" w14:textId="7CEF9528" w:rsidR="00D90F02" w:rsidRPr="00445B9C" w:rsidRDefault="00D90F02" w:rsidP="00D90F02">
      <w:pPr>
        <w:spacing w:line="260" w:lineRule="exact"/>
        <w:jc w:val="both"/>
        <w:rPr>
          <w:rFonts w:cs="Arial"/>
          <w:szCs w:val="20"/>
        </w:rPr>
      </w:pPr>
      <w:r w:rsidRPr="00445B9C">
        <w:rPr>
          <w:rFonts w:cs="Arial"/>
          <w:szCs w:val="20"/>
        </w:rPr>
        <w:t xml:space="preserve">S spremembo </w:t>
      </w:r>
      <w:r w:rsidR="003B2C0F" w:rsidRPr="00445B9C">
        <w:rPr>
          <w:rFonts w:cs="Arial"/>
          <w:szCs w:val="20"/>
        </w:rPr>
        <w:t xml:space="preserve">Uredbe </w:t>
      </w:r>
      <w:r w:rsidRPr="00445B9C">
        <w:rPr>
          <w:rFonts w:cs="Arial"/>
          <w:szCs w:val="20"/>
        </w:rPr>
        <w:t xml:space="preserve">600/2014/EU, ki se je spremenila hkrati z </w:t>
      </w:r>
      <w:r w:rsidR="003B2C0F" w:rsidRPr="00445B9C">
        <w:rPr>
          <w:rFonts w:cs="Arial"/>
          <w:szCs w:val="20"/>
        </w:rPr>
        <w:t xml:space="preserve">Direktivo </w:t>
      </w:r>
      <w:r w:rsidRPr="00445B9C">
        <w:rPr>
          <w:rFonts w:cs="Arial"/>
          <w:szCs w:val="20"/>
        </w:rPr>
        <w:t xml:space="preserve">2014/65/EU, so se odpravile glavne ovire, ki so preprečevale vzpostavitev sistema stalnih informacij. Uvedlo se je obvezno prispevanje podatkov ponudniku stalnih informacij in izboljšala kakovost podatkov, med drugim z uskladitvijo sinhronizacije poslovnih ur. Prav tako so se uvedle izboljšave obveznosti trgovanja in prepoved prejemanja plačil za izvrševanje naročil nekaterih strank na določenem mestu ali za </w:t>
      </w:r>
      <w:r w:rsidR="00BD5F1C">
        <w:rPr>
          <w:rFonts w:cs="Arial"/>
          <w:szCs w:val="20"/>
        </w:rPr>
        <w:t>podajo</w:t>
      </w:r>
      <w:r w:rsidR="00BD5F1C" w:rsidRPr="00445B9C">
        <w:rPr>
          <w:rFonts w:cs="Arial"/>
          <w:szCs w:val="20"/>
        </w:rPr>
        <w:t xml:space="preserve"> </w:t>
      </w:r>
      <w:r w:rsidRPr="00445B9C">
        <w:rPr>
          <w:rFonts w:cs="Arial"/>
          <w:szCs w:val="20"/>
        </w:rPr>
        <w:t xml:space="preserve">naročil teh strank kateri koli tretji osebi za njihovo izvršitev na določenem mestu. Ker </w:t>
      </w:r>
      <w:r w:rsidR="009F57FF" w:rsidRPr="00445B9C">
        <w:rPr>
          <w:rFonts w:cs="Arial"/>
          <w:szCs w:val="20"/>
        </w:rPr>
        <w:t xml:space="preserve">so </w:t>
      </w:r>
      <w:r w:rsidRPr="00445B9C">
        <w:rPr>
          <w:rFonts w:cs="Arial"/>
          <w:szCs w:val="20"/>
        </w:rPr>
        <w:t xml:space="preserve">določbe </w:t>
      </w:r>
      <w:r w:rsidR="009F57FF" w:rsidRPr="00445B9C">
        <w:rPr>
          <w:rFonts w:cs="Arial"/>
          <w:szCs w:val="20"/>
        </w:rPr>
        <w:t>Direktiv</w:t>
      </w:r>
      <w:r w:rsidR="00BD5F1C">
        <w:rPr>
          <w:rFonts w:cs="Arial"/>
          <w:szCs w:val="20"/>
        </w:rPr>
        <w:t>e</w:t>
      </w:r>
      <w:r w:rsidR="009F57FF" w:rsidRPr="00445B9C">
        <w:rPr>
          <w:rFonts w:cs="Arial"/>
          <w:szCs w:val="20"/>
        </w:rPr>
        <w:t xml:space="preserve"> 2014/65/EU </w:t>
      </w:r>
      <w:r w:rsidRPr="00445B9C">
        <w:rPr>
          <w:rFonts w:cs="Arial"/>
          <w:szCs w:val="20"/>
        </w:rPr>
        <w:t>v zvezi s sistemi stalnih informacij in preglednostjo</w:t>
      </w:r>
      <w:r w:rsidR="009F57FF" w:rsidRPr="00445B9C">
        <w:rPr>
          <w:rFonts w:cs="Arial"/>
          <w:szCs w:val="20"/>
        </w:rPr>
        <w:t xml:space="preserve"> spremenjene</w:t>
      </w:r>
      <w:r w:rsidR="00BD5F1C">
        <w:rPr>
          <w:rFonts w:cs="Arial"/>
          <w:szCs w:val="20"/>
        </w:rPr>
        <w:t>,</w:t>
      </w:r>
      <w:r w:rsidRPr="00445B9C">
        <w:rPr>
          <w:rFonts w:cs="Arial"/>
          <w:szCs w:val="20"/>
        </w:rPr>
        <w:t xml:space="preserve"> se </w:t>
      </w:r>
      <w:r w:rsidR="009F57FF" w:rsidRPr="00445B9C">
        <w:rPr>
          <w:rFonts w:cs="Arial"/>
          <w:szCs w:val="20"/>
        </w:rPr>
        <w:t xml:space="preserve">to </w:t>
      </w:r>
      <w:r w:rsidRPr="00445B9C">
        <w:rPr>
          <w:rFonts w:cs="Arial"/>
          <w:szCs w:val="20"/>
        </w:rPr>
        <w:t>mora odražati tudi v ZTFI-1.</w:t>
      </w:r>
    </w:p>
    <w:p w14:paraId="0920A6EC" w14:textId="77777777" w:rsidR="00D90F02" w:rsidRPr="00445B9C" w:rsidRDefault="00D90F02" w:rsidP="00D90F02">
      <w:pPr>
        <w:spacing w:line="260" w:lineRule="exact"/>
        <w:jc w:val="both"/>
        <w:rPr>
          <w:rFonts w:cs="Arial"/>
          <w:szCs w:val="20"/>
        </w:rPr>
      </w:pPr>
    </w:p>
    <w:p w14:paraId="44B04F40" w14:textId="30C43BB2" w:rsidR="00D90F02" w:rsidRPr="00445B9C" w:rsidRDefault="00D90F02" w:rsidP="00D90F02">
      <w:pPr>
        <w:spacing w:line="260" w:lineRule="exact"/>
        <w:jc w:val="both"/>
        <w:rPr>
          <w:rFonts w:cs="Arial"/>
          <w:szCs w:val="20"/>
        </w:rPr>
      </w:pPr>
      <w:r w:rsidRPr="00445B9C">
        <w:rPr>
          <w:rFonts w:cs="Arial"/>
          <w:szCs w:val="20"/>
        </w:rPr>
        <w:t>S prenosom</w:t>
      </w:r>
      <w:r w:rsidR="0054122B" w:rsidRPr="00445B9C">
        <w:rPr>
          <w:rFonts w:cs="Arial"/>
          <w:szCs w:val="20"/>
        </w:rPr>
        <w:t xml:space="preserve"> </w:t>
      </w:r>
      <w:r w:rsidR="003B2C0F" w:rsidRPr="00445B9C">
        <w:rPr>
          <w:rFonts w:cs="Arial"/>
          <w:szCs w:val="20"/>
        </w:rPr>
        <w:t xml:space="preserve">Direktive </w:t>
      </w:r>
      <w:r w:rsidRPr="00445B9C">
        <w:rPr>
          <w:rFonts w:cs="Arial"/>
          <w:szCs w:val="20"/>
        </w:rPr>
        <w:t xml:space="preserve">2024/790/EU, s katero se je spremenila </w:t>
      </w:r>
      <w:r w:rsidR="003817D0" w:rsidRPr="00445B9C">
        <w:rPr>
          <w:rFonts w:cs="Arial"/>
          <w:szCs w:val="20"/>
        </w:rPr>
        <w:t>D</w:t>
      </w:r>
      <w:r w:rsidRPr="00445B9C">
        <w:rPr>
          <w:rFonts w:cs="Arial"/>
          <w:szCs w:val="20"/>
        </w:rPr>
        <w:t>irektiva 2014/65/EU</w:t>
      </w:r>
      <w:r w:rsidR="003817D0" w:rsidRPr="00445B9C">
        <w:rPr>
          <w:rFonts w:cs="Arial"/>
          <w:szCs w:val="20"/>
        </w:rPr>
        <w:t>,</w:t>
      </w:r>
      <w:r w:rsidRPr="00445B9C">
        <w:rPr>
          <w:rFonts w:cs="Arial"/>
          <w:szCs w:val="20"/>
        </w:rPr>
        <w:t xml:space="preserve"> se izboljšuje preglednost in učinkovitost finančnih trgov.</w:t>
      </w:r>
      <w:r w:rsidR="00DE65B4" w:rsidRPr="00445B9C">
        <w:rPr>
          <w:rFonts w:cs="Arial"/>
          <w:szCs w:val="20"/>
        </w:rPr>
        <w:t xml:space="preserve"> Z namenom poenotenja ter preglednosti se predlaga črtanje določb</w:t>
      </w:r>
      <w:r w:rsidR="00BD5F1C">
        <w:rPr>
          <w:rFonts w:cs="Arial"/>
          <w:szCs w:val="20"/>
        </w:rPr>
        <w:t>e</w:t>
      </w:r>
      <w:r w:rsidR="00DE65B4" w:rsidRPr="00445B9C">
        <w:rPr>
          <w:rFonts w:cs="Arial"/>
          <w:szCs w:val="20"/>
        </w:rPr>
        <w:t xml:space="preserve"> o večstranskih sistemih, ki je po novem urejena z </w:t>
      </w:r>
      <w:r w:rsidR="003817D0" w:rsidRPr="00445B9C">
        <w:rPr>
          <w:rFonts w:cs="Arial"/>
          <w:szCs w:val="20"/>
        </w:rPr>
        <w:t>U</w:t>
      </w:r>
      <w:r w:rsidR="00DE65B4" w:rsidRPr="00445B9C">
        <w:rPr>
          <w:rFonts w:cs="Arial"/>
          <w:szCs w:val="20"/>
        </w:rPr>
        <w:t>redbo 600/2014/EU</w:t>
      </w:r>
      <w:r w:rsidR="00BA05F6" w:rsidRPr="00445B9C">
        <w:rPr>
          <w:rFonts w:cs="Arial"/>
          <w:szCs w:val="20"/>
        </w:rPr>
        <w:t xml:space="preserve"> (sprememba 28. člena ZTFI-1)</w:t>
      </w:r>
      <w:r w:rsidR="00DE65B4" w:rsidRPr="00445B9C">
        <w:rPr>
          <w:rFonts w:cs="Arial"/>
          <w:szCs w:val="20"/>
        </w:rPr>
        <w:t xml:space="preserve">. Zahteva po vsaj treh dejansko aktivnih članih ali udeležencih se z </w:t>
      </w:r>
      <w:r w:rsidR="00863203" w:rsidRPr="00445B9C">
        <w:rPr>
          <w:rFonts w:cs="Arial"/>
          <w:szCs w:val="20"/>
        </w:rPr>
        <w:t xml:space="preserve">večstranskega sistema trgovanja (v nadaljnjem besedilu: </w:t>
      </w:r>
      <w:r w:rsidR="00DE65B4" w:rsidRPr="00445B9C">
        <w:rPr>
          <w:rFonts w:cs="Arial"/>
          <w:szCs w:val="20"/>
        </w:rPr>
        <w:t>MTF</w:t>
      </w:r>
      <w:r w:rsidR="00863203" w:rsidRPr="00445B9C">
        <w:rPr>
          <w:rFonts w:cs="Arial"/>
          <w:szCs w:val="20"/>
        </w:rPr>
        <w:t>)</w:t>
      </w:r>
      <w:r w:rsidR="00DE65B4" w:rsidRPr="00445B9C">
        <w:rPr>
          <w:rFonts w:cs="Arial"/>
          <w:szCs w:val="20"/>
        </w:rPr>
        <w:t xml:space="preserve"> in </w:t>
      </w:r>
      <w:r w:rsidR="00863203" w:rsidRPr="00445B9C">
        <w:rPr>
          <w:rFonts w:cs="Arial"/>
          <w:szCs w:val="20"/>
        </w:rPr>
        <w:t xml:space="preserve">organiziranega sistema trgovanja (v nadaljnjem besedilu: </w:t>
      </w:r>
      <w:r w:rsidR="00DE65B4" w:rsidRPr="00445B9C">
        <w:rPr>
          <w:rFonts w:cs="Arial"/>
          <w:szCs w:val="20"/>
        </w:rPr>
        <w:t>OTF</w:t>
      </w:r>
      <w:r w:rsidR="00863203" w:rsidRPr="00445B9C">
        <w:rPr>
          <w:rFonts w:cs="Arial"/>
          <w:szCs w:val="20"/>
        </w:rPr>
        <w:t>)</w:t>
      </w:r>
      <w:r w:rsidR="00DE65B4" w:rsidRPr="00445B9C">
        <w:rPr>
          <w:rFonts w:cs="Arial"/>
          <w:szCs w:val="20"/>
        </w:rPr>
        <w:t xml:space="preserve"> razširja tudi na </w:t>
      </w:r>
      <w:r w:rsidR="00BA05F6" w:rsidRPr="00445B9C">
        <w:rPr>
          <w:rFonts w:cs="Arial"/>
          <w:szCs w:val="20"/>
        </w:rPr>
        <w:t>borzo (dopolnitev 373. člena ZTFI-1)</w:t>
      </w:r>
      <w:r w:rsidR="00DE65B4" w:rsidRPr="00445B9C">
        <w:rPr>
          <w:rFonts w:cs="Arial"/>
          <w:szCs w:val="20"/>
        </w:rPr>
        <w:t xml:space="preserve">. Prav tako se spreminja opredelitev sistematičnih </w:t>
      </w:r>
      <w:proofErr w:type="spellStart"/>
      <w:r w:rsidR="00DE65B4" w:rsidRPr="00445B9C">
        <w:rPr>
          <w:rFonts w:cs="Arial"/>
          <w:szCs w:val="20"/>
        </w:rPr>
        <w:t>internalizatorjev</w:t>
      </w:r>
      <w:proofErr w:type="spellEnd"/>
      <w:r w:rsidR="00BA05F6" w:rsidRPr="00445B9C">
        <w:rPr>
          <w:rFonts w:cs="Arial"/>
          <w:szCs w:val="20"/>
        </w:rPr>
        <w:t xml:space="preserve"> (dopolnitev 373. člena ZTFI-1)</w:t>
      </w:r>
      <w:r w:rsidR="00DE65B4" w:rsidRPr="00445B9C">
        <w:rPr>
          <w:rFonts w:cs="Arial"/>
          <w:szCs w:val="20"/>
        </w:rPr>
        <w:t>. Poleg tega se ukinja</w:t>
      </w:r>
      <w:r w:rsidR="003817D0" w:rsidRPr="00445B9C">
        <w:rPr>
          <w:rFonts w:cs="Arial"/>
          <w:szCs w:val="20"/>
        </w:rPr>
        <w:t>jo</w:t>
      </w:r>
      <w:r w:rsidR="00DE65B4" w:rsidRPr="00445B9C">
        <w:rPr>
          <w:rFonts w:cs="Arial"/>
          <w:szCs w:val="20"/>
        </w:rPr>
        <w:t xml:space="preserve"> zahteve glede poročanja o najboljšem izvrševanju naročil, saj so se pokazale kot neučinkovite</w:t>
      </w:r>
      <w:r w:rsidR="00BA05F6" w:rsidRPr="00445B9C">
        <w:rPr>
          <w:rFonts w:cs="Arial"/>
          <w:szCs w:val="20"/>
        </w:rPr>
        <w:t xml:space="preserve"> (267. člena ZTFI-1)</w:t>
      </w:r>
      <w:r w:rsidR="00DE65B4" w:rsidRPr="00445B9C">
        <w:rPr>
          <w:rFonts w:cs="Arial"/>
          <w:szCs w:val="20"/>
        </w:rPr>
        <w:t xml:space="preserve">. Povečuje se preglednost mehanizmov za omejevanje </w:t>
      </w:r>
      <w:r w:rsidR="00BD5F1C">
        <w:rPr>
          <w:rFonts w:cs="Arial"/>
          <w:szCs w:val="20"/>
        </w:rPr>
        <w:t>čez</w:t>
      </w:r>
      <w:r w:rsidR="00DE65B4" w:rsidRPr="00445B9C">
        <w:rPr>
          <w:rFonts w:cs="Arial"/>
          <w:szCs w:val="20"/>
        </w:rPr>
        <w:t xml:space="preserve">merne nestanovitnosti na trgih izvedenih finančnih instrumentov in zahteva, da </w:t>
      </w:r>
      <w:r w:rsidR="00BA05F6" w:rsidRPr="00445B9C">
        <w:rPr>
          <w:rFonts w:cs="Arial"/>
          <w:szCs w:val="20"/>
        </w:rPr>
        <w:t>borza</w:t>
      </w:r>
      <w:r w:rsidR="00DE65B4" w:rsidRPr="00445B9C">
        <w:rPr>
          <w:rFonts w:cs="Arial"/>
          <w:szCs w:val="20"/>
        </w:rPr>
        <w:t xml:space="preserve"> objavi informacije o okoliščinah, ki vodijo do ustavitev ali omejitev trgovanja</w:t>
      </w:r>
      <w:r w:rsidR="00BA05F6" w:rsidRPr="00445B9C">
        <w:rPr>
          <w:rFonts w:cs="Arial"/>
          <w:szCs w:val="20"/>
        </w:rPr>
        <w:t xml:space="preserve"> (dopolnitev 375. člena ZTFI-1)</w:t>
      </w:r>
      <w:r w:rsidR="00DE65B4" w:rsidRPr="00445B9C">
        <w:rPr>
          <w:rFonts w:cs="Arial"/>
          <w:szCs w:val="20"/>
        </w:rPr>
        <w:t>.</w:t>
      </w:r>
    </w:p>
    <w:p w14:paraId="3ADD27D6" w14:textId="77777777" w:rsidR="00562370" w:rsidRPr="00445B9C" w:rsidRDefault="00562370" w:rsidP="00ED36BF">
      <w:pPr>
        <w:spacing w:line="260" w:lineRule="exact"/>
        <w:jc w:val="both"/>
        <w:rPr>
          <w:rFonts w:cs="Arial"/>
          <w:szCs w:val="20"/>
        </w:rPr>
      </w:pPr>
    </w:p>
    <w:p w14:paraId="388D9230" w14:textId="009C9270" w:rsidR="00562370" w:rsidRPr="00445B9C" w:rsidRDefault="00C61D59" w:rsidP="00C61D59">
      <w:pPr>
        <w:spacing w:line="260" w:lineRule="exact"/>
        <w:jc w:val="both"/>
        <w:rPr>
          <w:rFonts w:cs="Arial"/>
          <w:szCs w:val="20"/>
        </w:rPr>
      </w:pPr>
      <w:r w:rsidRPr="00445B9C">
        <w:rPr>
          <w:rFonts w:cs="Arial"/>
          <w:szCs w:val="20"/>
        </w:rPr>
        <w:t>Direktiva 2023/2864/EU je del svežnja, ki ga sestavlja</w:t>
      </w:r>
      <w:r w:rsidR="003817D0" w:rsidRPr="00445B9C">
        <w:rPr>
          <w:rFonts w:cs="Arial"/>
          <w:szCs w:val="20"/>
        </w:rPr>
        <w:t>ta</w:t>
      </w:r>
      <w:r w:rsidRPr="00445B9C">
        <w:rPr>
          <w:rFonts w:cs="Arial"/>
          <w:szCs w:val="20"/>
        </w:rPr>
        <w:t xml:space="preserve"> še Uredba (EU) 2023/2859 Evropskega parlamenta in Sveta z dne 13. decembra 2023 o vzpostavitvi evropske enotne točke dostopa, ki zagotavlja centraliziran dostop do javno dostopnih informacij, pomembnih za finančne storitve, kapitalske trge in trajnostnost (UL L</w:t>
      </w:r>
      <w:r w:rsidR="00461940" w:rsidRPr="00445B9C">
        <w:rPr>
          <w:rFonts w:cs="Arial"/>
          <w:szCs w:val="20"/>
        </w:rPr>
        <w:t xml:space="preserve"> št.</w:t>
      </w:r>
      <w:r w:rsidRPr="00445B9C">
        <w:rPr>
          <w:rFonts w:cs="Arial"/>
          <w:szCs w:val="20"/>
        </w:rPr>
        <w:t xml:space="preserve"> 2023/2859</w:t>
      </w:r>
      <w:r w:rsidR="00461940" w:rsidRPr="00445B9C">
        <w:rPr>
          <w:rFonts w:cs="Arial"/>
          <w:szCs w:val="20"/>
        </w:rPr>
        <w:t xml:space="preserve"> z dne</w:t>
      </w:r>
      <w:r w:rsidRPr="00445B9C">
        <w:rPr>
          <w:rFonts w:cs="Arial"/>
          <w:szCs w:val="20"/>
        </w:rPr>
        <w:t xml:space="preserve"> 20.</w:t>
      </w:r>
      <w:r w:rsidR="00461940" w:rsidRPr="00445B9C">
        <w:rPr>
          <w:rFonts w:cs="Arial"/>
          <w:szCs w:val="20"/>
        </w:rPr>
        <w:t xml:space="preserve"> </w:t>
      </w:r>
      <w:r w:rsidRPr="00445B9C">
        <w:rPr>
          <w:rFonts w:cs="Arial"/>
          <w:szCs w:val="20"/>
        </w:rPr>
        <w:t>12.</w:t>
      </w:r>
      <w:r w:rsidR="00461940" w:rsidRPr="00445B9C">
        <w:rPr>
          <w:rFonts w:cs="Arial"/>
          <w:szCs w:val="20"/>
        </w:rPr>
        <w:t xml:space="preserve"> </w:t>
      </w:r>
      <w:r w:rsidRPr="00445B9C">
        <w:rPr>
          <w:rFonts w:cs="Arial"/>
          <w:szCs w:val="20"/>
        </w:rPr>
        <w:t>2023)</w:t>
      </w:r>
      <w:r w:rsidR="00461940" w:rsidRPr="00445B9C">
        <w:rPr>
          <w:rFonts w:cs="Arial"/>
          <w:szCs w:val="20"/>
        </w:rPr>
        <w:t xml:space="preserve">, </w:t>
      </w:r>
      <w:r w:rsidR="00BD5F1C">
        <w:rPr>
          <w:rFonts w:cs="Arial"/>
          <w:szCs w:val="20"/>
        </w:rPr>
        <w:t>na</w:t>
      </w:r>
      <w:r w:rsidR="00461940" w:rsidRPr="00445B9C">
        <w:rPr>
          <w:rFonts w:cs="Arial"/>
          <w:szCs w:val="20"/>
        </w:rPr>
        <w:t>zadnj</w:t>
      </w:r>
      <w:r w:rsidR="00BD5F1C">
        <w:rPr>
          <w:rFonts w:cs="Arial"/>
          <w:szCs w:val="20"/>
        </w:rPr>
        <w:t>e</w:t>
      </w:r>
      <w:r w:rsidR="00461940" w:rsidRPr="00445B9C">
        <w:rPr>
          <w:rFonts w:cs="Arial"/>
          <w:szCs w:val="20"/>
        </w:rPr>
        <w:t xml:space="preserve"> spremenjena z Uredbo (EU) 2024/3005 Evropskega parlamenta in Sveta z dne 27. novembra 2024 o preglednosti in celovitosti dejavnosti ocenjevanja okoljskih, socialnih in upravljavskih (ESG) dejavnikov ter spremembi uredb (EU) 2019/2088 in (EU) 2023/2859 (UL L št. 2024/3005 z dne 12. 12. 2024)</w:t>
      </w:r>
      <w:r w:rsidR="00BD5F1C">
        <w:rPr>
          <w:rFonts w:cs="Arial"/>
          <w:szCs w:val="20"/>
        </w:rPr>
        <w:t>,</w:t>
      </w:r>
      <w:r w:rsidRPr="00445B9C">
        <w:rPr>
          <w:rFonts w:cs="Arial"/>
          <w:szCs w:val="20"/>
        </w:rPr>
        <w:t xml:space="preserve"> in Uredba (EU) 2023/2869 Evropskega parlamenta in Sveta z dne 13. decembra 2023 o spremembi nekaterih uredb glede vzpostavitve in delovanja evropske enotne točke dostopa (UL L</w:t>
      </w:r>
      <w:r w:rsidR="00461940" w:rsidRPr="00445B9C">
        <w:rPr>
          <w:rFonts w:cs="Arial"/>
          <w:szCs w:val="20"/>
        </w:rPr>
        <w:t xml:space="preserve"> št. </w:t>
      </w:r>
      <w:r w:rsidRPr="00445B9C">
        <w:rPr>
          <w:rFonts w:cs="Arial"/>
          <w:szCs w:val="20"/>
        </w:rPr>
        <w:t>2023/2869</w:t>
      </w:r>
      <w:r w:rsidR="00C04E4C" w:rsidRPr="00445B9C">
        <w:rPr>
          <w:rFonts w:cs="Arial"/>
          <w:szCs w:val="20"/>
        </w:rPr>
        <w:t xml:space="preserve"> </w:t>
      </w:r>
      <w:r w:rsidR="00461940" w:rsidRPr="00445B9C">
        <w:rPr>
          <w:rFonts w:cs="Arial"/>
          <w:szCs w:val="20"/>
        </w:rPr>
        <w:t>z dne</w:t>
      </w:r>
      <w:r w:rsidRPr="00445B9C">
        <w:rPr>
          <w:rFonts w:cs="Arial"/>
          <w:szCs w:val="20"/>
        </w:rPr>
        <w:t xml:space="preserve"> 20.</w:t>
      </w:r>
      <w:r w:rsidR="00461940" w:rsidRPr="00445B9C">
        <w:rPr>
          <w:rFonts w:cs="Arial"/>
          <w:szCs w:val="20"/>
        </w:rPr>
        <w:t xml:space="preserve"> </w:t>
      </w:r>
      <w:r w:rsidRPr="00445B9C">
        <w:rPr>
          <w:rFonts w:cs="Arial"/>
          <w:szCs w:val="20"/>
        </w:rPr>
        <w:t>12.</w:t>
      </w:r>
      <w:r w:rsidR="00461940" w:rsidRPr="00445B9C">
        <w:rPr>
          <w:rFonts w:cs="Arial"/>
          <w:szCs w:val="20"/>
        </w:rPr>
        <w:t xml:space="preserve"> </w:t>
      </w:r>
      <w:r w:rsidRPr="00445B9C">
        <w:rPr>
          <w:rFonts w:cs="Arial"/>
          <w:szCs w:val="20"/>
        </w:rPr>
        <w:t>2023).</w:t>
      </w:r>
      <w:r w:rsidR="003F33B8" w:rsidRPr="00445B9C">
        <w:rPr>
          <w:rFonts w:cs="Arial"/>
          <w:szCs w:val="20"/>
        </w:rPr>
        <w:t xml:space="preserve"> </w:t>
      </w:r>
      <w:r w:rsidRPr="00445B9C">
        <w:rPr>
          <w:rFonts w:cs="Arial"/>
          <w:szCs w:val="20"/>
        </w:rPr>
        <w:t xml:space="preserve">Podjetja v </w:t>
      </w:r>
      <w:r w:rsidR="008845E1" w:rsidRPr="00445B9C">
        <w:rPr>
          <w:rFonts w:cs="Arial"/>
          <w:szCs w:val="20"/>
        </w:rPr>
        <w:t xml:space="preserve">Republiki </w:t>
      </w:r>
      <w:r w:rsidRPr="00445B9C">
        <w:rPr>
          <w:rFonts w:cs="Arial"/>
          <w:szCs w:val="20"/>
        </w:rPr>
        <w:t>Sloveniji in EU imajo obveznost objavljanja določenih podatkov (finančni izkazi, podatki o vzdržnih financah i</w:t>
      </w:r>
      <w:r w:rsidR="00BD5F1C">
        <w:rPr>
          <w:rFonts w:cs="Arial"/>
          <w:szCs w:val="20"/>
        </w:rPr>
        <w:t>n po</w:t>
      </w:r>
      <w:r w:rsidRPr="00445B9C">
        <w:rPr>
          <w:rFonts w:cs="Arial"/>
          <w:szCs w:val="20"/>
        </w:rPr>
        <w:t>d</w:t>
      </w:r>
      <w:r w:rsidR="00BD5F1C">
        <w:rPr>
          <w:rFonts w:cs="Arial"/>
          <w:szCs w:val="20"/>
        </w:rPr>
        <w:t>obno</w:t>
      </w:r>
      <w:r w:rsidRPr="00445B9C">
        <w:rPr>
          <w:rFonts w:cs="Arial"/>
          <w:szCs w:val="20"/>
        </w:rPr>
        <w:t xml:space="preserve">). Zato je namen </w:t>
      </w:r>
      <w:r w:rsidR="00C04E4C" w:rsidRPr="00445B9C">
        <w:rPr>
          <w:rFonts w:cs="Arial"/>
          <w:szCs w:val="20"/>
        </w:rPr>
        <w:t xml:space="preserve">zakonodajnega </w:t>
      </w:r>
      <w:r w:rsidRPr="00445B9C">
        <w:rPr>
          <w:rFonts w:cs="Arial"/>
          <w:szCs w:val="20"/>
        </w:rPr>
        <w:t>paketa</w:t>
      </w:r>
      <w:r w:rsidR="00C04E4C" w:rsidRPr="00445B9C">
        <w:rPr>
          <w:rFonts w:cs="Arial"/>
          <w:szCs w:val="20"/>
        </w:rPr>
        <w:t xml:space="preserve"> EU</w:t>
      </w:r>
      <w:r w:rsidRPr="00445B9C">
        <w:rPr>
          <w:rFonts w:cs="Arial"/>
          <w:szCs w:val="20"/>
        </w:rPr>
        <w:t xml:space="preserve"> vzpostaviti evropsko enotno točko dostopa (v nadalj</w:t>
      </w:r>
      <w:r w:rsidR="008845E1" w:rsidRPr="00445B9C">
        <w:rPr>
          <w:rFonts w:cs="Arial"/>
          <w:szCs w:val="20"/>
        </w:rPr>
        <w:t>njem besedil</w:t>
      </w:r>
      <w:r w:rsidRPr="00445B9C">
        <w:rPr>
          <w:rFonts w:cs="Arial"/>
          <w:szCs w:val="20"/>
        </w:rPr>
        <w:t>u: ESAP) do informacij o finančnih in nefinančnih podjetjih. Spletni portali ali druga sredstva bodo vlagateljem omogočala hiter in enostaven dostop brez nepotrebnega obremenjevanja podjetij. Nekateri podatki bodo na voljo v strojno berljivi obliki, kar bo uporabnikom olajšalo iskanje in primerjavo podatkov.</w:t>
      </w:r>
    </w:p>
    <w:p w14:paraId="2A2E16ED" w14:textId="77777777" w:rsidR="00A15CBA" w:rsidRPr="00445B9C" w:rsidRDefault="00A15CBA" w:rsidP="00C61D59">
      <w:pPr>
        <w:spacing w:line="260" w:lineRule="exact"/>
        <w:jc w:val="both"/>
        <w:rPr>
          <w:rFonts w:cs="Arial"/>
          <w:szCs w:val="20"/>
        </w:rPr>
      </w:pPr>
    </w:p>
    <w:p w14:paraId="4532539F" w14:textId="6AA6556E" w:rsidR="00ED36BF" w:rsidRPr="00445B9C" w:rsidRDefault="00A15CBA" w:rsidP="00A15CBA">
      <w:pPr>
        <w:spacing w:line="260" w:lineRule="exact"/>
        <w:jc w:val="both"/>
        <w:rPr>
          <w:rFonts w:cs="Arial"/>
          <w:szCs w:val="20"/>
        </w:rPr>
      </w:pPr>
      <w:r w:rsidRPr="00445B9C">
        <w:rPr>
          <w:rFonts w:cs="Arial"/>
          <w:szCs w:val="20"/>
        </w:rPr>
        <w:t>S predl</w:t>
      </w:r>
      <w:r w:rsidR="000520BD" w:rsidRPr="00445B9C">
        <w:rPr>
          <w:rFonts w:cs="Arial"/>
          <w:szCs w:val="20"/>
        </w:rPr>
        <w:t>aganimi spremembami in dopolnitvami ZTFI-1</w:t>
      </w:r>
      <w:r w:rsidR="0054122B" w:rsidRPr="00445B9C">
        <w:rPr>
          <w:rFonts w:cs="Arial"/>
          <w:szCs w:val="20"/>
        </w:rPr>
        <w:t>, s katerim</w:t>
      </w:r>
      <w:r w:rsidR="000520BD" w:rsidRPr="00445B9C">
        <w:rPr>
          <w:rFonts w:cs="Arial"/>
          <w:szCs w:val="20"/>
        </w:rPr>
        <w:t>i</w:t>
      </w:r>
      <w:r w:rsidR="0054122B" w:rsidRPr="00445B9C">
        <w:rPr>
          <w:rFonts w:cs="Arial"/>
          <w:szCs w:val="20"/>
        </w:rPr>
        <w:t xml:space="preserve"> se prenaša </w:t>
      </w:r>
      <w:r w:rsidR="000520BD" w:rsidRPr="00445B9C">
        <w:rPr>
          <w:rFonts w:cs="Arial"/>
          <w:szCs w:val="20"/>
        </w:rPr>
        <w:t>D</w:t>
      </w:r>
      <w:r w:rsidR="0054122B" w:rsidRPr="00445B9C">
        <w:rPr>
          <w:rFonts w:cs="Arial"/>
          <w:szCs w:val="20"/>
        </w:rPr>
        <w:t xml:space="preserve">irektiva 2023/2864/EU v delu, ki </w:t>
      </w:r>
      <w:r w:rsidR="00E2592D" w:rsidRPr="00445B9C">
        <w:rPr>
          <w:rFonts w:cs="Arial"/>
          <w:szCs w:val="20"/>
        </w:rPr>
        <w:t>sprem</w:t>
      </w:r>
      <w:r w:rsidR="000520BD" w:rsidRPr="00445B9C">
        <w:rPr>
          <w:rFonts w:cs="Arial"/>
          <w:szCs w:val="20"/>
        </w:rPr>
        <w:t>inja</w:t>
      </w:r>
      <w:r w:rsidR="0054122B" w:rsidRPr="00445B9C">
        <w:rPr>
          <w:rFonts w:cs="Arial"/>
          <w:szCs w:val="20"/>
        </w:rPr>
        <w:t xml:space="preserve"> Direktivo </w:t>
      </w:r>
      <w:r w:rsidR="00B32DC6" w:rsidRPr="00445B9C">
        <w:rPr>
          <w:rFonts w:cs="Arial"/>
          <w:szCs w:val="20"/>
        </w:rPr>
        <w:t xml:space="preserve">2004/2019/ES in Direktivo </w:t>
      </w:r>
      <w:r w:rsidR="0054122B" w:rsidRPr="00445B9C">
        <w:rPr>
          <w:rFonts w:cs="Arial"/>
          <w:szCs w:val="20"/>
        </w:rPr>
        <w:t>2014/65/EU</w:t>
      </w:r>
      <w:r w:rsidR="000520BD" w:rsidRPr="00445B9C">
        <w:rPr>
          <w:rFonts w:cs="Arial"/>
          <w:szCs w:val="20"/>
        </w:rPr>
        <w:t>,</w:t>
      </w:r>
      <w:r w:rsidRPr="00445B9C">
        <w:rPr>
          <w:rFonts w:cs="Arial"/>
          <w:szCs w:val="20"/>
        </w:rPr>
        <w:t xml:space="preserve"> se predlaga, da morajo biti vse informacije, dokumenti in poročila, ki jih subjekt objavi v skladu z zakonskimi zahtevami, vključno z izdajatelji vrednostnih papirjev, investicijskimi podjetji in upravljavci trga, istočasno s to objavo predloženi organu za zbiranje v formatu, ki omogoča izvoz podatkov, ali, kadar se to zahteva, v strojno berljivem formatu</w:t>
      </w:r>
      <w:r w:rsidR="00567C88" w:rsidRPr="00445B9C">
        <w:rPr>
          <w:rFonts w:cs="Arial"/>
          <w:szCs w:val="20"/>
        </w:rPr>
        <w:t xml:space="preserve"> (dopolnitev 169., 278., 321., 326, 368.</w:t>
      </w:r>
      <w:r w:rsidR="00C83C12" w:rsidRPr="00445B9C">
        <w:rPr>
          <w:rFonts w:cs="Arial"/>
          <w:szCs w:val="20"/>
        </w:rPr>
        <w:t xml:space="preserve"> in</w:t>
      </w:r>
      <w:r w:rsidR="00567C88" w:rsidRPr="00445B9C">
        <w:rPr>
          <w:rFonts w:cs="Arial"/>
          <w:szCs w:val="20"/>
        </w:rPr>
        <w:t xml:space="preserve"> 406.</w:t>
      </w:r>
      <w:r w:rsidR="00C83C12" w:rsidRPr="00445B9C">
        <w:rPr>
          <w:rFonts w:cs="Arial"/>
          <w:szCs w:val="20"/>
        </w:rPr>
        <w:t xml:space="preserve"> člen ZTFI-1)</w:t>
      </w:r>
      <w:r w:rsidRPr="00445B9C">
        <w:rPr>
          <w:rFonts w:cs="Arial"/>
          <w:szCs w:val="20"/>
        </w:rPr>
        <w:t xml:space="preserve">. Določa se tudi organ za zbiranje podatkov, ki mu morajo </w:t>
      </w:r>
      <w:r w:rsidR="00506C92" w:rsidRPr="00445B9C">
        <w:rPr>
          <w:rFonts w:cs="Arial"/>
          <w:szCs w:val="20"/>
        </w:rPr>
        <w:t xml:space="preserve">biti </w:t>
      </w:r>
      <w:r w:rsidRPr="00445B9C">
        <w:rPr>
          <w:rFonts w:cs="Arial"/>
          <w:szCs w:val="20"/>
        </w:rPr>
        <w:t xml:space="preserve">podatki predloženi, </w:t>
      </w:r>
      <w:r w:rsidR="00656E7B" w:rsidRPr="00445B9C">
        <w:rPr>
          <w:rFonts w:cs="Arial"/>
          <w:szCs w:val="20"/>
        </w:rPr>
        <w:t>to</w:t>
      </w:r>
      <w:r w:rsidRPr="00445B9C">
        <w:rPr>
          <w:rFonts w:cs="Arial"/>
          <w:szCs w:val="20"/>
        </w:rPr>
        <w:t xml:space="preserve"> je A</w:t>
      </w:r>
      <w:r w:rsidR="000520BD" w:rsidRPr="00445B9C">
        <w:rPr>
          <w:rFonts w:cs="Arial"/>
          <w:szCs w:val="20"/>
        </w:rPr>
        <w:t>gencija za trg vrednostnih papirjev</w:t>
      </w:r>
      <w:r w:rsidRPr="00445B9C">
        <w:rPr>
          <w:rFonts w:cs="Arial"/>
          <w:szCs w:val="20"/>
        </w:rPr>
        <w:t xml:space="preserve"> (nov</w:t>
      </w:r>
      <w:r w:rsidR="00A965AF">
        <w:rPr>
          <w:rFonts w:cs="Arial"/>
          <w:szCs w:val="20"/>
        </w:rPr>
        <w:t>a</w:t>
      </w:r>
      <w:r w:rsidRPr="00445B9C">
        <w:rPr>
          <w:rFonts w:cs="Arial"/>
          <w:szCs w:val="20"/>
        </w:rPr>
        <w:t xml:space="preserve"> 357.a </w:t>
      </w:r>
      <w:r w:rsidR="00567C88" w:rsidRPr="00445B9C">
        <w:rPr>
          <w:rFonts w:cs="Arial"/>
          <w:szCs w:val="20"/>
        </w:rPr>
        <w:t xml:space="preserve">in 429.a </w:t>
      </w:r>
      <w:r w:rsidRPr="00445B9C">
        <w:rPr>
          <w:rFonts w:cs="Arial"/>
          <w:szCs w:val="20"/>
        </w:rPr>
        <w:t>člen ZTFI-1).</w:t>
      </w:r>
      <w:bookmarkEnd w:id="7"/>
    </w:p>
    <w:p w14:paraId="36BEC637" w14:textId="77777777" w:rsidR="00562370" w:rsidRPr="00445B9C" w:rsidRDefault="00562370" w:rsidP="00ED36BF">
      <w:pPr>
        <w:spacing w:line="260" w:lineRule="exact"/>
        <w:ind w:left="360"/>
        <w:contextualSpacing/>
        <w:jc w:val="both"/>
        <w:rPr>
          <w:rFonts w:cs="Arial"/>
          <w:szCs w:val="20"/>
        </w:rPr>
      </w:pPr>
    </w:p>
    <w:p w14:paraId="4FC70272" w14:textId="77777777" w:rsidR="00562370" w:rsidRPr="00445B9C" w:rsidRDefault="00562370" w:rsidP="00ED36BF">
      <w:pPr>
        <w:spacing w:line="260" w:lineRule="exact"/>
        <w:ind w:left="360"/>
        <w:contextualSpacing/>
        <w:jc w:val="both"/>
        <w:rPr>
          <w:rFonts w:cs="Arial"/>
          <w:szCs w:val="20"/>
        </w:rPr>
      </w:pPr>
    </w:p>
    <w:p w14:paraId="20B5C0C8" w14:textId="2E7ED4C4" w:rsidR="00ED36BF" w:rsidRPr="00445B9C" w:rsidRDefault="00ED36BF" w:rsidP="00ED36BF">
      <w:pPr>
        <w:numPr>
          <w:ilvl w:val="0"/>
          <w:numId w:val="12"/>
        </w:numPr>
        <w:spacing w:line="260" w:lineRule="exact"/>
        <w:rPr>
          <w:rFonts w:cs="Arial"/>
          <w:b/>
          <w:szCs w:val="20"/>
        </w:rPr>
      </w:pPr>
      <w:r w:rsidRPr="00445B9C">
        <w:rPr>
          <w:rFonts w:cs="Arial"/>
          <w:b/>
          <w:szCs w:val="20"/>
        </w:rPr>
        <w:t>OCENA FINANČNIH POSLEDIC PREDLOGA ZAKONA ZA DRŽAVNI PRORAČUN IN DRUGA JAVNA FINANČNA SREDSTVA</w:t>
      </w:r>
      <w:r w:rsidR="00506C92">
        <w:rPr>
          <w:rFonts w:cs="Arial"/>
          <w:b/>
          <w:szCs w:val="20"/>
        </w:rPr>
        <w:t xml:space="preserve"> </w:t>
      </w:r>
    </w:p>
    <w:p w14:paraId="77B18BAC" w14:textId="77777777" w:rsidR="00ED36BF" w:rsidRPr="00445B9C" w:rsidRDefault="00ED36BF" w:rsidP="00ED36BF">
      <w:pPr>
        <w:spacing w:line="260" w:lineRule="exact"/>
        <w:rPr>
          <w:rFonts w:cs="Arial"/>
          <w:b/>
          <w:szCs w:val="20"/>
        </w:rPr>
      </w:pPr>
    </w:p>
    <w:p w14:paraId="71484F93" w14:textId="2B39BFEE" w:rsidR="00FB4136" w:rsidRPr="00445B9C" w:rsidRDefault="00FB4136" w:rsidP="00ED36BF">
      <w:pPr>
        <w:spacing w:line="260" w:lineRule="exact"/>
        <w:rPr>
          <w:rFonts w:cs="Arial"/>
          <w:bCs/>
          <w:szCs w:val="20"/>
        </w:rPr>
      </w:pPr>
      <w:r w:rsidRPr="00445B9C">
        <w:rPr>
          <w:rFonts w:cs="Arial"/>
          <w:bCs/>
          <w:szCs w:val="20"/>
        </w:rPr>
        <w:t>Predlog zakona nima finančnih posledic za državni proračun in druga javna finančna sredstva</w:t>
      </w:r>
      <w:r w:rsidR="00506C92">
        <w:rPr>
          <w:rFonts w:cs="Arial"/>
          <w:bCs/>
          <w:szCs w:val="20"/>
        </w:rPr>
        <w:t>.</w:t>
      </w:r>
    </w:p>
    <w:p w14:paraId="7E21B19C" w14:textId="77777777" w:rsidR="00ED36BF" w:rsidRPr="00445B9C" w:rsidRDefault="00ED36BF" w:rsidP="00ED36BF">
      <w:pPr>
        <w:spacing w:line="288" w:lineRule="auto"/>
        <w:rPr>
          <w:rFonts w:cs="Arial"/>
          <w:bCs/>
          <w:szCs w:val="20"/>
        </w:rPr>
      </w:pPr>
    </w:p>
    <w:p w14:paraId="6DA7AD92" w14:textId="77777777" w:rsidR="00ED36BF" w:rsidRPr="00445B9C" w:rsidRDefault="00ED36BF" w:rsidP="00ED36BF">
      <w:pPr>
        <w:numPr>
          <w:ilvl w:val="0"/>
          <w:numId w:val="12"/>
        </w:numPr>
        <w:spacing w:line="260" w:lineRule="exact"/>
        <w:jc w:val="both"/>
        <w:rPr>
          <w:rFonts w:cs="Arial"/>
          <w:b/>
          <w:szCs w:val="20"/>
        </w:rPr>
      </w:pPr>
      <w:r w:rsidRPr="00445B9C">
        <w:rPr>
          <w:rFonts w:cs="Arial"/>
          <w:b/>
          <w:szCs w:val="20"/>
        </w:rPr>
        <w:t>NAVEDBA, DA SO SREDSTVA ZA IZVAJANJE ZAKONA V DRŽAVNEM PRORAČUNU ZAGOTOVLJENA, ČE PREDLOG ZAKONA PREDVIDEVA PORABO PRORAČUNSKIH SREDSTEV V OBDOBJU, ZA KATERO JE BIL DRŽAVNI PRORAČUN ŽE SPREJET</w:t>
      </w:r>
    </w:p>
    <w:p w14:paraId="54BABCA3" w14:textId="77777777" w:rsidR="00ED36BF" w:rsidRPr="00445B9C" w:rsidRDefault="00ED36BF" w:rsidP="00ED36BF">
      <w:pPr>
        <w:spacing w:line="288" w:lineRule="auto"/>
        <w:rPr>
          <w:rFonts w:cs="Arial"/>
          <w:szCs w:val="20"/>
        </w:rPr>
      </w:pPr>
    </w:p>
    <w:p w14:paraId="1AE3AA22" w14:textId="77777777" w:rsidR="00343239" w:rsidRPr="00445B9C" w:rsidRDefault="00343239" w:rsidP="00A965AF">
      <w:pPr>
        <w:spacing w:line="288" w:lineRule="auto"/>
        <w:jc w:val="both"/>
        <w:rPr>
          <w:rFonts w:cs="Arial"/>
          <w:szCs w:val="20"/>
        </w:rPr>
      </w:pPr>
      <w:r w:rsidRPr="00445B9C">
        <w:rPr>
          <w:rFonts w:cs="Arial"/>
          <w:szCs w:val="20"/>
        </w:rPr>
        <w:t>Predlog zakona ne predvideva porabe proračunskih sredstev v obdobju, za katero je bil proračun že sprejet.</w:t>
      </w:r>
    </w:p>
    <w:p w14:paraId="2B02A9ED" w14:textId="77777777" w:rsidR="00343239" w:rsidRPr="00445B9C" w:rsidRDefault="00343239" w:rsidP="00ED36BF">
      <w:pPr>
        <w:spacing w:line="288" w:lineRule="auto"/>
        <w:rPr>
          <w:rFonts w:cs="Arial"/>
          <w:szCs w:val="20"/>
        </w:rPr>
      </w:pPr>
    </w:p>
    <w:p w14:paraId="203DBF31" w14:textId="77777777" w:rsidR="00ED36BF" w:rsidRPr="00445B9C" w:rsidRDefault="00ED36BF" w:rsidP="00ED36BF">
      <w:pPr>
        <w:spacing w:line="260" w:lineRule="exact"/>
        <w:jc w:val="both"/>
        <w:rPr>
          <w:rFonts w:cs="Arial"/>
          <w:szCs w:val="20"/>
        </w:rPr>
      </w:pPr>
    </w:p>
    <w:p w14:paraId="7BDC8953" w14:textId="77777777" w:rsidR="00ED36BF" w:rsidRPr="00445B9C" w:rsidRDefault="00ED36BF" w:rsidP="00ED36BF">
      <w:pPr>
        <w:numPr>
          <w:ilvl w:val="0"/>
          <w:numId w:val="12"/>
        </w:numPr>
        <w:spacing w:line="260" w:lineRule="exact"/>
        <w:jc w:val="both"/>
        <w:rPr>
          <w:rFonts w:cs="Arial"/>
          <w:b/>
          <w:szCs w:val="20"/>
        </w:rPr>
      </w:pPr>
      <w:bookmarkStart w:id="8" w:name="_Hlk55537161"/>
      <w:r w:rsidRPr="00445B9C">
        <w:rPr>
          <w:rFonts w:cs="Arial"/>
          <w:b/>
          <w:szCs w:val="20"/>
        </w:rPr>
        <w:t xml:space="preserve">PRIKAZ UREDITVE V DRUGIH PRAVNIH SISTEMIH </w:t>
      </w:r>
      <w:bookmarkEnd w:id="8"/>
      <w:r w:rsidRPr="00445B9C">
        <w:rPr>
          <w:rFonts w:cs="Arial"/>
          <w:b/>
          <w:szCs w:val="20"/>
        </w:rPr>
        <w:t>IN PRILAGOJENOSTI PREDLAGANE UREDITVE PRAVU EVROPSKE UNIJE</w:t>
      </w:r>
    </w:p>
    <w:p w14:paraId="568D1CC7" w14:textId="77777777" w:rsidR="000266FA" w:rsidRPr="00445B9C" w:rsidRDefault="000266FA" w:rsidP="00ED36BF">
      <w:pPr>
        <w:autoSpaceDE w:val="0"/>
        <w:autoSpaceDN w:val="0"/>
        <w:adjustRightInd w:val="0"/>
        <w:spacing w:line="240" w:lineRule="auto"/>
        <w:jc w:val="both"/>
        <w:rPr>
          <w:rFonts w:cs="Arial"/>
          <w:b/>
          <w:bCs/>
          <w:szCs w:val="20"/>
        </w:rPr>
      </w:pPr>
    </w:p>
    <w:p w14:paraId="7E95E039" w14:textId="77777777" w:rsidR="00856482" w:rsidRPr="00445B9C" w:rsidRDefault="00CD4635" w:rsidP="00ED36BF">
      <w:pPr>
        <w:autoSpaceDE w:val="0"/>
        <w:autoSpaceDN w:val="0"/>
        <w:adjustRightInd w:val="0"/>
        <w:spacing w:line="240" w:lineRule="auto"/>
        <w:jc w:val="both"/>
        <w:rPr>
          <w:rFonts w:cs="Arial"/>
          <w:b/>
          <w:bCs/>
          <w:szCs w:val="20"/>
        </w:rPr>
      </w:pPr>
      <w:r w:rsidRPr="00445B9C">
        <w:rPr>
          <w:rFonts w:cs="Arial"/>
          <w:b/>
          <w:bCs/>
          <w:szCs w:val="20"/>
        </w:rPr>
        <w:t>Češka Republika</w:t>
      </w:r>
    </w:p>
    <w:p w14:paraId="56C7D40E" w14:textId="77777777" w:rsidR="00CD4635" w:rsidRPr="00445B9C" w:rsidRDefault="00CD4635" w:rsidP="00CD4635">
      <w:pPr>
        <w:autoSpaceDE w:val="0"/>
        <w:autoSpaceDN w:val="0"/>
        <w:adjustRightInd w:val="0"/>
        <w:spacing w:line="240" w:lineRule="auto"/>
        <w:jc w:val="both"/>
        <w:rPr>
          <w:rFonts w:cs="Arial"/>
          <w:szCs w:val="20"/>
        </w:rPr>
      </w:pPr>
    </w:p>
    <w:p w14:paraId="4B1F05E9" w14:textId="74DBE925" w:rsidR="00CD4635" w:rsidRPr="00445B9C" w:rsidRDefault="00CD4635" w:rsidP="00286CFD">
      <w:pPr>
        <w:spacing w:line="260" w:lineRule="exact"/>
        <w:jc w:val="both"/>
        <w:rPr>
          <w:rFonts w:cs="Arial"/>
          <w:szCs w:val="20"/>
        </w:rPr>
      </w:pPr>
      <w:r w:rsidRPr="00445B9C">
        <w:rPr>
          <w:rFonts w:cs="Arial"/>
          <w:szCs w:val="20"/>
        </w:rPr>
        <w:t xml:space="preserve">Zakon št. 32/2025 </w:t>
      </w:r>
      <w:proofErr w:type="spellStart"/>
      <w:r w:rsidRPr="00445B9C">
        <w:rPr>
          <w:rFonts w:cs="Arial"/>
          <w:szCs w:val="20"/>
        </w:rPr>
        <w:t>Sb</w:t>
      </w:r>
      <w:proofErr w:type="spellEnd"/>
      <w:r w:rsidRPr="00445B9C">
        <w:rPr>
          <w:rFonts w:cs="Arial"/>
          <w:szCs w:val="20"/>
        </w:rPr>
        <w:t xml:space="preserve">. Češke </w:t>
      </w:r>
      <w:r w:rsidR="00CA0B86" w:rsidRPr="00445B9C">
        <w:rPr>
          <w:rFonts w:cs="Arial"/>
          <w:szCs w:val="20"/>
        </w:rPr>
        <w:t>R</w:t>
      </w:r>
      <w:r w:rsidRPr="00445B9C">
        <w:rPr>
          <w:rFonts w:cs="Arial"/>
          <w:szCs w:val="20"/>
        </w:rPr>
        <w:t>epublike</w:t>
      </w:r>
      <w:r w:rsidR="00CA0B86" w:rsidRPr="00445B9C">
        <w:rPr>
          <w:rFonts w:cs="Arial"/>
          <w:szCs w:val="20"/>
        </w:rPr>
        <w:t xml:space="preserve"> (</w:t>
      </w:r>
      <w:r w:rsidR="00CA0B86" w:rsidRPr="00445B9C">
        <w:rPr>
          <w:rFonts w:cs="Arial"/>
          <w:i/>
          <w:iCs/>
          <w:szCs w:val="20"/>
        </w:rPr>
        <w:t xml:space="preserve">Zákon č. 32/2025 </w:t>
      </w:r>
      <w:proofErr w:type="spellStart"/>
      <w:r w:rsidR="00CA0B86" w:rsidRPr="00445B9C">
        <w:rPr>
          <w:rFonts w:cs="Arial"/>
          <w:i/>
          <w:iCs/>
          <w:szCs w:val="20"/>
        </w:rPr>
        <w:t>Sb</w:t>
      </w:r>
      <w:proofErr w:type="spellEnd"/>
      <w:r w:rsidR="00CA0B86" w:rsidRPr="00445B9C">
        <w:rPr>
          <w:rFonts w:cs="Arial"/>
          <w:i/>
          <w:iCs/>
          <w:szCs w:val="20"/>
        </w:rPr>
        <w:t xml:space="preserve">., </w:t>
      </w:r>
      <w:proofErr w:type="spellStart"/>
      <w:r w:rsidR="00CA0B86" w:rsidRPr="00445B9C">
        <w:rPr>
          <w:rFonts w:cs="Arial"/>
          <w:i/>
          <w:iCs/>
          <w:szCs w:val="20"/>
        </w:rPr>
        <w:t>kterým</w:t>
      </w:r>
      <w:proofErr w:type="spellEnd"/>
      <w:r w:rsidR="00CA0B86" w:rsidRPr="00445B9C">
        <w:rPr>
          <w:rFonts w:cs="Arial"/>
          <w:i/>
          <w:iCs/>
          <w:szCs w:val="20"/>
        </w:rPr>
        <w:t xml:space="preserve"> se </w:t>
      </w:r>
      <w:proofErr w:type="spellStart"/>
      <w:r w:rsidR="00CA0B86" w:rsidRPr="00445B9C">
        <w:rPr>
          <w:rFonts w:cs="Arial"/>
          <w:i/>
          <w:iCs/>
          <w:szCs w:val="20"/>
        </w:rPr>
        <w:t>mění</w:t>
      </w:r>
      <w:proofErr w:type="spellEnd"/>
      <w:r w:rsidR="00CA0B86" w:rsidRPr="00445B9C">
        <w:rPr>
          <w:rFonts w:cs="Arial"/>
          <w:i/>
          <w:iCs/>
          <w:szCs w:val="20"/>
        </w:rPr>
        <w:t xml:space="preserve"> </w:t>
      </w:r>
      <w:proofErr w:type="spellStart"/>
      <w:r w:rsidR="00CA0B86" w:rsidRPr="00445B9C">
        <w:rPr>
          <w:rFonts w:cs="Arial"/>
          <w:i/>
          <w:iCs/>
          <w:szCs w:val="20"/>
        </w:rPr>
        <w:t>některé</w:t>
      </w:r>
      <w:proofErr w:type="spellEnd"/>
      <w:r w:rsidR="00CA0B86" w:rsidRPr="00445B9C">
        <w:rPr>
          <w:rFonts w:cs="Arial"/>
          <w:i/>
          <w:iCs/>
          <w:szCs w:val="20"/>
        </w:rPr>
        <w:t xml:space="preserve"> </w:t>
      </w:r>
      <w:proofErr w:type="spellStart"/>
      <w:r w:rsidR="00CA0B86" w:rsidRPr="00445B9C">
        <w:rPr>
          <w:rFonts w:cs="Arial"/>
          <w:i/>
          <w:iCs/>
          <w:szCs w:val="20"/>
        </w:rPr>
        <w:t>zákony</w:t>
      </w:r>
      <w:proofErr w:type="spellEnd"/>
      <w:r w:rsidR="00CA0B86" w:rsidRPr="00445B9C">
        <w:rPr>
          <w:rFonts w:cs="Arial"/>
          <w:i/>
          <w:iCs/>
          <w:szCs w:val="20"/>
        </w:rPr>
        <w:t xml:space="preserve"> v </w:t>
      </w:r>
      <w:proofErr w:type="spellStart"/>
      <w:r w:rsidR="00CA0B86" w:rsidRPr="00445B9C">
        <w:rPr>
          <w:rFonts w:cs="Arial"/>
          <w:i/>
          <w:iCs/>
          <w:szCs w:val="20"/>
        </w:rPr>
        <w:t>souvislosti</w:t>
      </w:r>
      <w:proofErr w:type="spellEnd"/>
      <w:r w:rsidR="00CA0B86" w:rsidRPr="00445B9C">
        <w:rPr>
          <w:rFonts w:cs="Arial"/>
          <w:i/>
          <w:iCs/>
          <w:szCs w:val="20"/>
        </w:rPr>
        <w:t xml:space="preserve"> s </w:t>
      </w:r>
      <w:proofErr w:type="spellStart"/>
      <w:r w:rsidR="00CA0B86" w:rsidRPr="00445B9C">
        <w:rPr>
          <w:rFonts w:cs="Arial"/>
          <w:i/>
          <w:iCs/>
          <w:szCs w:val="20"/>
        </w:rPr>
        <w:t>implementací</w:t>
      </w:r>
      <w:proofErr w:type="spellEnd"/>
      <w:r w:rsidR="00CA0B86" w:rsidRPr="00445B9C">
        <w:rPr>
          <w:rFonts w:cs="Arial"/>
          <w:i/>
          <w:iCs/>
          <w:szCs w:val="20"/>
        </w:rPr>
        <w:t xml:space="preserve"> </w:t>
      </w:r>
      <w:proofErr w:type="spellStart"/>
      <w:r w:rsidR="00CA0B86" w:rsidRPr="00445B9C">
        <w:rPr>
          <w:rFonts w:cs="Arial"/>
          <w:i/>
          <w:iCs/>
          <w:szCs w:val="20"/>
        </w:rPr>
        <w:t>předpisů</w:t>
      </w:r>
      <w:proofErr w:type="spellEnd"/>
      <w:r w:rsidR="00CA0B86" w:rsidRPr="00445B9C">
        <w:rPr>
          <w:rFonts w:cs="Arial"/>
          <w:i/>
          <w:iCs/>
          <w:szCs w:val="20"/>
        </w:rPr>
        <w:t xml:space="preserve"> Evropské </w:t>
      </w:r>
      <w:proofErr w:type="spellStart"/>
      <w:r w:rsidR="00CA0B86" w:rsidRPr="00445B9C">
        <w:rPr>
          <w:rFonts w:cs="Arial"/>
          <w:i/>
          <w:iCs/>
          <w:szCs w:val="20"/>
        </w:rPr>
        <w:t>unie</w:t>
      </w:r>
      <w:proofErr w:type="spellEnd"/>
      <w:r w:rsidR="00CA0B86" w:rsidRPr="00445B9C">
        <w:rPr>
          <w:rFonts w:cs="Arial"/>
          <w:i/>
          <w:iCs/>
          <w:szCs w:val="20"/>
        </w:rPr>
        <w:t xml:space="preserve"> v oblasti </w:t>
      </w:r>
      <w:proofErr w:type="spellStart"/>
      <w:r w:rsidR="00CA0B86" w:rsidRPr="00445B9C">
        <w:rPr>
          <w:rFonts w:cs="Arial"/>
          <w:i/>
          <w:iCs/>
          <w:szCs w:val="20"/>
        </w:rPr>
        <w:t>digitalizace</w:t>
      </w:r>
      <w:proofErr w:type="spellEnd"/>
      <w:r w:rsidR="00CA0B86" w:rsidRPr="00445B9C">
        <w:rPr>
          <w:rFonts w:cs="Arial"/>
          <w:i/>
          <w:iCs/>
          <w:szCs w:val="20"/>
        </w:rPr>
        <w:t xml:space="preserve"> </w:t>
      </w:r>
      <w:proofErr w:type="spellStart"/>
      <w:r w:rsidR="00CA0B86" w:rsidRPr="00445B9C">
        <w:rPr>
          <w:rFonts w:cs="Arial"/>
          <w:i/>
          <w:iCs/>
          <w:szCs w:val="20"/>
        </w:rPr>
        <w:t>finančního</w:t>
      </w:r>
      <w:proofErr w:type="spellEnd"/>
      <w:r w:rsidR="00CA0B86" w:rsidRPr="00445B9C">
        <w:rPr>
          <w:rFonts w:cs="Arial"/>
          <w:i/>
          <w:iCs/>
          <w:szCs w:val="20"/>
        </w:rPr>
        <w:t xml:space="preserve"> </w:t>
      </w:r>
      <w:proofErr w:type="spellStart"/>
      <w:r w:rsidR="00CA0B86" w:rsidRPr="00445B9C">
        <w:rPr>
          <w:rFonts w:cs="Arial"/>
          <w:i/>
          <w:iCs/>
          <w:szCs w:val="20"/>
        </w:rPr>
        <w:t>trhu</w:t>
      </w:r>
      <w:proofErr w:type="spellEnd"/>
      <w:r w:rsidR="00CA0B86" w:rsidRPr="00445B9C">
        <w:rPr>
          <w:rFonts w:cs="Arial"/>
          <w:i/>
          <w:iCs/>
          <w:szCs w:val="20"/>
        </w:rPr>
        <w:t xml:space="preserve"> a </w:t>
      </w:r>
      <w:proofErr w:type="spellStart"/>
      <w:r w:rsidR="00CA0B86" w:rsidRPr="00445B9C">
        <w:rPr>
          <w:rFonts w:cs="Arial"/>
          <w:i/>
          <w:iCs/>
          <w:szCs w:val="20"/>
        </w:rPr>
        <w:t>financování</w:t>
      </w:r>
      <w:proofErr w:type="spellEnd"/>
      <w:r w:rsidR="00CA0B86" w:rsidRPr="00445B9C">
        <w:rPr>
          <w:rFonts w:cs="Arial"/>
          <w:i/>
          <w:iCs/>
          <w:szCs w:val="20"/>
        </w:rPr>
        <w:t xml:space="preserve"> </w:t>
      </w:r>
      <w:proofErr w:type="spellStart"/>
      <w:r w:rsidR="00CA0B86" w:rsidRPr="00445B9C">
        <w:rPr>
          <w:rFonts w:cs="Arial"/>
          <w:i/>
          <w:iCs/>
          <w:szCs w:val="20"/>
        </w:rPr>
        <w:t>udržitelnosti</w:t>
      </w:r>
      <w:proofErr w:type="spellEnd"/>
      <w:r w:rsidR="00CA0B86" w:rsidRPr="00445B9C">
        <w:rPr>
          <w:rFonts w:cs="Arial"/>
          <w:szCs w:val="20"/>
        </w:rPr>
        <w:t>)</w:t>
      </w:r>
      <w:r w:rsidRPr="00445B9C">
        <w:rPr>
          <w:rFonts w:cs="Arial"/>
          <w:szCs w:val="20"/>
        </w:rPr>
        <w:t xml:space="preserve"> prinaša spremembe v češki pravni red, povezane z izvajanjem predpisov </w:t>
      </w:r>
      <w:r w:rsidR="00E34076" w:rsidRPr="00445B9C">
        <w:rPr>
          <w:rFonts w:cs="Arial"/>
          <w:szCs w:val="20"/>
        </w:rPr>
        <w:t xml:space="preserve">EU </w:t>
      </w:r>
      <w:r w:rsidRPr="00445B9C">
        <w:rPr>
          <w:rFonts w:cs="Arial"/>
          <w:szCs w:val="20"/>
        </w:rPr>
        <w:t>na področju digitalizacije finančnega trga in financiranja trajnosti. Njegov osrednji cilj je okrepiti digitalno operativno odpornost finančnega sektorja, s čimer se odziva na naraščajoče kibernetske grožnje. Zakon določa zahteve za finančne subjekte, da učinkoviteje upravljajo tveganja, povezana z IKT. To vključuje ukrepe za obvladovanje incidentov, testiranje odpornosti in upravljanje tveganj, ki izhajajo iz sodelovanja s tretjimi ponudniki storitev IKT. Hkrati zakon prilagaja zakonodajo, da bi bila skladna z novimi standardi</w:t>
      </w:r>
      <w:r w:rsidR="00E34076" w:rsidRPr="00445B9C">
        <w:rPr>
          <w:rFonts w:cs="Arial"/>
          <w:szCs w:val="20"/>
        </w:rPr>
        <w:t xml:space="preserve"> EU</w:t>
      </w:r>
      <w:r w:rsidRPr="00445B9C">
        <w:rPr>
          <w:rFonts w:cs="Arial"/>
          <w:szCs w:val="20"/>
        </w:rPr>
        <w:t xml:space="preserve">, kar </w:t>
      </w:r>
      <w:r w:rsidR="0097456D">
        <w:rPr>
          <w:rFonts w:cs="Arial"/>
          <w:szCs w:val="20"/>
        </w:rPr>
        <w:t>prinaša</w:t>
      </w:r>
      <w:r w:rsidR="0097456D" w:rsidRPr="00445B9C">
        <w:rPr>
          <w:rFonts w:cs="Arial"/>
          <w:szCs w:val="20"/>
        </w:rPr>
        <w:t xml:space="preserve"> </w:t>
      </w:r>
      <w:r w:rsidRPr="00445B9C">
        <w:rPr>
          <w:rFonts w:cs="Arial"/>
          <w:szCs w:val="20"/>
        </w:rPr>
        <w:t xml:space="preserve">tudi spremembe v povezavi z </w:t>
      </w:r>
      <w:r w:rsidR="00CA0B86" w:rsidRPr="00445B9C">
        <w:rPr>
          <w:rFonts w:cs="Arial"/>
          <w:szCs w:val="20"/>
        </w:rPr>
        <w:t>Direktivo 2014/65/EU</w:t>
      </w:r>
      <w:r w:rsidRPr="00445B9C">
        <w:rPr>
          <w:rFonts w:cs="Arial"/>
          <w:szCs w:val="20"/>
        </w:rPr>
        <w:t>. Zakon je bil objavljen 14. februarja 2025 in je začel veljati 15. februarja 2025.</w:t>
      </w:r>
    </w:p>
    <w:p w14:paraId="003299E9" w14:textId="77777777" w:rsidR="00856482" w:rsidRPr="00445B9C" w:rsidRDefault="00856482" w:rsidP="00ED36BF">
      <w:pPr>
        <w:autoSpaceDE w:val="0"/>
        <w:autoSpaceDN w:val="0"/>
        <w:adjustRightInd w:val="0"/>
        <w:spacing w:line="240" w:lineRule="auto"/>
        <w:jc w:val="both"/>
        <w:rPr>
          <w:rFonts w:cs="Arial"/>
          <w:b/>
          <w:bCs/>
          <w:szCs w:val="20"/>
        </w:rPr>
      </w:pPr>
    </w:p>
    <w:p w14:paraId="30472017" w14:textId="77777777" w:rsidR="00BB252D" w:rsidRPr="00445B9C" w:rsidRDefault="00557C6E" w:rsidP="00ED36BF">
      <w:pPr>
        <w:autoSpaceDE w:val="0"/>
        <w:autoSpaceDN w:val="0"/>
        <w:adjustRightInd w:val="0"/>
        <w:spacing w:line="240" w:lineRule="auto"/>
        <w:jc w:val="both"/>
        <w:rPr>
          <w:rFonts w:cs="Arial"/>
          <w:b/>
          <w:bCs/>
          <w:szCs w:val="20"/>
        </w:rPr>
      </w:pPr>
      <w:r w:rsidRPr="00445B9C">
        <w:rPr>
          <w:rFonts w:cs="Arial"/>
          <w:b/>
          <w:bCs/>
          <w:szCs w:val="20"/>
        </w:rPr>
        <w:t>Republika Hrvaška</w:t>
      </w:r>
    </w:p>
    <w:p w14:paraId="33A6DEC9" w14:textId="77777777" w:rsidR="00557C6E" w:rsidRPr="00445B9C" w:rsidRDefault="00557C6E" w:rsidP="00ED36BF">
      <w:pPr>
        <w:autoSpaceDE w:val="0"/>
        <w:autoSpaceDN w:val="0"/>
        <w:adjustRightInd w:val="0"/>
        <w:spacing w:line="240" w:lineRule="auto"/>
        <w:jc w:val="both"/>
        <w:rPr>
          <w:rFonts w:cs="Arial"/>
          <w:b/>
          <w:bCs/>
          <w:szCs w:val="20"/>
        </w:rPr>
      </w:pPr>
    </w:p>
    <w:p w14:paraId="23BD9160" w14:textId="1EC95DCB" w:rsidR="00557C6E" w:rsidRPr="00445B9C" w:rsidRDefault="00557C6E" w:rsidP="00286CFD">
      <w:pPr>
        <w:spacing w:line="260" w:lineRule="exact"/>
        <w:jc w:val="both"/>
        <w:rPr>
          <w:rFonts w:cs="Arial"/>
          <w:szCs w:val="20"/>
        </w:rPr>
      </w:pPr>
      <w:r w:rsidRPr="00445B9C">
        <w:rPr>
          <w:rFonts w:cs="Arial"/>
          <w:i/>
          <w:iCs/>
          <w:szCs w:val="20"/>
        </w:rPr>
        <w:t xml:space="preserve">Zakon o </w:t>
      </w:r>
      <w:proofErr w:type="spellStart"/>
      <w:r w:rsidRPr="00445B9C">
        <w:rPr>
          <w:rFonts w:cs="Arial"/>
          <w:i/>
          <w:iCs/>
          <w:szCs w:val="20"/>
        </w:rPr>
        <w:t>tržištu</w:t>
      </w:r>
      <w:proofErr w:type="spellEnd"/>
      <w:r w:rsidRPr="00445B9C">
        <w:rPr>
          <w:rFonts w:cs="Arial"/>
          <w:i/>
          <w:iCs/>
          <w:szCs w:val="20"/>
        </w:rPr>
        <w:t xml:space="preserve"> kapitala</w:t>
      </w:r>
      <w:r w:rsidRPr="00445B9C">
        <w:rPr>
          <w:rFonts w:cs="Arial"/>
          <w:szCs w:val="20"/>
        </w:rPr>
        <w:t xml:space="preserve"> v Republiki Hrvaški ureja delovanje in poslovanje investicijskih družb, tržnih operaterjev, ponudnikov storitev poročanja podatkov ter pogoje za ponudbo vrednostnih papirjev javnosti in njihovo uvrstitev </w:t>
      </w:r>
      <w:r w:rsidR="0097456D">
        <w:rPr>
          <w:rFonts w:cs="Arial"/>
          <w:szCs w:val="20"/>
        </w:rPr>
        <w:t>v</w:t>
      </w:r>
      <w:r w:rsidRPr="00445B9C">
        <w:rPr>
          <w:rFonts w:cs="Arial"/>
          <w:szCs w:val="20"/>
        </w:rPr>
        <w:t xml:space="preserve"> urejeno trgovanje. Zakon vključuje tudi obveznosti glede objavljanja informacij o izdajateljih vrednostnih papirjev, prepoved zlorabe trga, hrambo finančnih instrumentov ter poravnavo s finančnimi instrumenti. Poleg tega zakon določa sodelovanje pristojnih organov in pooblastila ter </w:t>
      </w:r>
      <w:r w:rsidR="0097456D">
        <w:rPr>
          <w:rFonts w:cs="Arial"/>
          <w:szCs w:val="20"/>
        </w:rPr>
        <w:t>delovanje</w:t>
      </w:r>
      <w:r w:rsidR="0097456D" w:rsidRPr="00445B9C">
        <w:rPr>
          <w:rFonts w:cs="Arial"/>
          <w:szCs w:val="20"/>
        </w:rPr>
        <w:t xml:space="preserve"> </w:t>
      </w:r>
      <w:r w:rsidRPr="00445B9C">
        <w:rPr>
          <w:rFonts w:cs="Arial"/>
          <w:szCs w:val="20"/>
        </w:rPr>
        <w:t xml:space="preserve">Hrvatske agencije za nadzor </w:t>
      </w:r>
      <w:proofErr w:type="spellStart"/>
      <w:r w:rsidRPr="00445B9C">
        <w:rPr>
          <w:rFonts w:cs="Arial"/>
          <w:szCs w:val="20"/>
        </w:rPr>
        <w:t>financijskih</w:t>
      </w:r>
      <w:proofErr w:type="spellEnd"/>
      <w:r w:rsidRPr="00445B9C">
        <w:rPr>
          <w:rFonts w:cs="Arial"/>
          <w:szCs w:val="20"/>
        </w:rPr>
        <w:t xml:space="preserve"> usluga (HANFA) pri izvajanju zakona. Z vidika obsega urejanja je ta zakon podoben ZTFI-1.</w:t>
      </w:r>
    </w:p>
    <w:p w14:paraId="3A7EC6DF" w14:textId="7B435596" w:rsidR="00557C6E" w:rsidRPr="00445B9C" w:rsidRDefault="00557C6E" w:rsidP="00286CFD">
      <w:pPr>
        <w:spacing w:line="260" w:lineRule="exact"/>
        <w:jc w:val="both"/>
        <w:rPr>
          <w:rFonts w:cs="Arial"/>
          <w:szCs w:val="20"/>
        </w:rPr>
      </w:pPr>
    </w:p>
    <w:p w14:paraId="2CA03F4A" w14:textId="26F478BB" w:rsidR="00557C6E" w:rsidRPr="00445B9C" w:rsidRDefault="00557C6E" w:rsidP="00286CFD">
      <w:pPr>
        <w:spacing w:line="260" w:lineRule="exact"/>
        <w:jc w:val="both"/>
        <w:rPr>
          <w:rFonts w:cs="Arial"/>
          <w:szCs w:val="20"/>
        </w:rPr>
      </w:pPr>
      <w:r w:rsidRPr="00445B9C">
        <w:rPr>
          <w:rFonts w:cs="Arial"/>
          <w:szCs w:val="20"/>
        </w:rPr>
        <w:t xml:space="preserve">V zvezi s svežnjem DORA je bil za izvajanje Uredbe 2022/2554/EU sprejet </w:t>
      </w:r>
      <w:r w:rsidRPr="00445B9C">
        <w:rPr>
          <w:rFonts w:cs="Arial"/>
          <w:i/>
          <w:iCs/>
          <w:szCs w:val="20"/>
        </w:rPr>
        <w:t xml:space="preserve">Zakon o </w:t>
      </w:r>
      <w:proofErr w:type="spellStart"/>
      <w:r w:rsidRPr="00445B9C">
        <w:rPr>
          <w:rFonts w:cs="Arial"/>
          <w:i/>
          <w:iCs/>
          <w:szCs w:val="20"/>
        </w:rPr>
        <w:t>provedbi</w:t>
      </w:r>
      <w:proofErr w:type="spellEnd"/>
      <w:r w:rsidRPr="00445B9C">
        <w:rPr>
          <w:rFonts w:cs="Arial"/>
          <w:i/>
          <w:iCs/>
          <w:szCs w:val="20"/>
        </w:rPr>
        <w:t xml:space="preserve"> Uredbe (EU) 2022/2554 o </w:t>
      </w:r>
      <w:proofErr w:type="spellStart"/>
      <w:r w:rsidRPr="00445B9C">
        <w:rPr>
          <w:rFonts w:cs="Arial"/>
          <w:i/>
          <w:iCs/>
          <w:szCs w:val="20"/>
        </w:rPr>
        <w:t>digitalnoj</w:t>
      </w:r>
      <w:proofErr w:type="spellEnd"/>
      <w:r w:rsidRPr="00445B9C">
        <w:rPr>
          <w:rFonts w:cs="Arial"/>
          <w:i/>
          <w:iCs/>
          <w:szCs w:val="20"/>
        </w:rPr>
        <w:t xml:space="preserve"> </w:t>
      </w:r>
      <w:proofErr w:type="spellStart"/>
      <w:r w:rsidRPr="00445B9C">
        <w:rPr>
          <w:rFonts w:cs="Arial"/>
          <w:i/>
          <w:iCs/>
          <w:szCs w:val="20"/>
        </w:rPr>
        <w:t>operativnoj</w:t>
      </w:r>
      <w:proofErr w:type="spellEnd"/>
      <w:r w:rsidRPr="00445B9C">
        <w:rPr>
          <w:rFonts w:cs="Arial"/>
          <w:i/>
          <w:iCs/>
          <w:szCs w:val="20"/>
        </w:rPr>
        <w:t xml:space="preserve"> </w:t>
      </w:r>
      <w:proofErr w:type="spellStart"/>
      <w:r w:rsidRPr="00445B9C">
        <w:rPr>
          <w:rFonts w:cs="Arial"/>
          <w:i/>
          <w:iCs/>
          <w:szCs w:val="20"/>
        </w:rPr>
        <w:t>otpornosti</w:t>
      </w:r>
      <w:proofErr w:type="spellEnd"/>
      <w:r w:rsidRPr="00445B9C">
        <w:rPr>
          <w:rFonts w:cs="Arial"/>
          <w:i/>
          <w:iCs/>
          <w:szCs w:val="20"/>
        </w:rPr>
        <w:t xml:space="preserve"> za </w:t>
      </w:r>
      <w:proofErr w:type="spellStart"/>
      <w:r w:rsidRPr="00445B9C">
        <w:rPr>
          <w:rFonts w:cs="Arial"/>
          <w:i/>
          <w:iCs/>
          <w:szCs w:val="20"/>
        </w:rPr>
        <w:t>financijski</w:t>
      </w:r>
      <w:proofErr w:type="spellEnd"/>
      <w:r w:rsidRPr="00445B9C">
        <w:rPr>
          <w:rFonts w:cs="Arial"/>
          <w:i/>
          <w:iCs/>
          <w:szCs w:val="20"/>
        </w:rPr>
        <w:t xml:space="preserve"> sektor</w:t>
      </w:r>
      <w:r w:rsidRPr="00445B9C">
        <w:rPr>
          <w:rFonts w:cs="Arial"/>
          <w:szCs w:val="20"/>
        </w:rPr>
        <w:t xml:space="preserve">, </w:t>
      </w:r>
      <w:r w:rsidR="00EC4C76">
        <w:rPr>
          <w:rFonts w:cs="Arial"/>
          <w:szCs w:val="20"/>
        </w:rPr>
        <w:t>prenos</w:t>
      </w:r>
      <w:r w:rsidRPr="00445B9C">
        <w:rPr>
          <w:rFonts w:cs="Arial"/>
          <w:szCs w:val="20"/>
        </w:rPr>
        <w:t xml:space="preserve"> Direktive 2022/2556/EU pa je izvršen s sprejetjem</w:t>
      </w:r>
      <w:r w:rsidR="009A3992" w:rsidRPr="00445B9C">
        <w:rPr>
          <w:rFonts w:cs="Arial"/>
          <w:szCs w:val="20"/>
        </w:rPr>
        <w:t xml:space="preserve"> </w:t>
      </w:r>
      <w:r w:rsidR="009A3992" w:rsidRPr="00445B9C">
        <w:rPr>
          <w:rFonts w:cs="Arial"/>
          <w:i/>
          <w:iCs/>
          <w:szCs w:val="20"/>
        </w:rPr>
        <w:t xml:space="preserve">Zakona o </w:t>
      </w:r>
      <w:proofErr w:type="spellStart"/>
      <w:r w:rsidR="009A3992" w:rsidRPr="00445B9C">
        <w:rPr>
          <w:rFonts w:cs="Arial"/>
          <w:i/>
          <w:iCs/>
          <w:szCs w:val="20"/>
        </w:rPr>
        <w:t>izmjenama</w:t>
      </w:r>
      <w:proofErr w:type="spellEnd"/>
      <w:r w:rsidR="009A3992" w:rsidRPr="00445B9C">
        <w:rPr>
          <w:rFonts w:cs="Arial"/>
          <w:i/>
          <w:iCs/>
          <w:szCs w:val="20"/>
        </w:rPr>
        <w:t xml:space="preserve"> i </w:t>
      </w:r>
      <w:proofErr w:type="spellStart"/>
      <w:r w:rsidR="009A3992" w:rsidRPr="00445B9C">
        <w:rPr>
          <w:rFonts w:cs="Arial"/>
          <w:i/>
          <w:iCs/>
          <w:szCs w:val="20"/>
        </w:rPr>
        <w:t>dopunama</w:t>
      </w:r>
      <w:proofErr w:type="spellEnd"/>
      <w:r w:rsidR="009A3992" w:rsidRPr="00445B9C">
        <w:rPr>
          <w:rFonts w:cs="Arial"/>
          <w:i/>
          <w:iCs/>
          <w:szCs w:val="20"/>
        </w:rPr>
        <w:t xml:space="preserve"> Zakona o </w:t>
      </w:r>
      <w:proofErr w:type="spellStart"/>
      <w:r w:rsidR="009A3992" w:rsidRPr="00445B9C">
        <w:rPr>
          <w:rFonts w:cs="Arial"/>
          <w:i/>
          <w:iCs/>
          <w:szCs w:val="20"/>
        </w:rPr>
        <w:t>tržištu</w:t>
      </w:r>
      <w:proofErr w:type="spellEnd"/>
      <w:r w:rsidR="009A3992" w:rsidRPr="00445B9C">
        <w:rPr>
          <w:rFonts w:cs="Arial"/>
          <w:i/>
          <w:iCs/>
          <w:szCs w:val="20"/>
        </w:rPr>
        <w:t xml:space="preserve"> kapitala (NN 85/2024)</w:t>
      </w:r>
      <w:r w:rsidR="009A3992" w:rsidRPr="00445B9C">
        <w:rPr>
          <w:rFonts w:cs="Arial"/>
          <w:szCs w:val="20"/>
        </w:rPr>
        <w:t>, sprejet</w:t>
      </w:r>
      <w:r w:rsidR="00EC4C76">
        <w:rPr>
          <w:rFonts w:cs="Arial"/>
          <w:szCs w:val="20"/>
        </w:rPr>
        <w:t>im</w:t>
      </w:r>
      <w:r w:rsidR="009A3992" w:rsidRPr="00445B9C">
        <w:rPr>
          <w:rFonts w:cs="Arial"/>
          <w:szCs w:val="20"/>
        </w:rPr>
        <w:t xml:space="preserve"> 12. julija 2024 </w:t>
      </w:r>
      <w:r w:rsidR="00EC4C76">
        <w:rPr>
          <w:rFonts w:cs="Arial"/>
          <w:szCs w:val="20"/>
        </w:rPr>
        <w:t xml:space="preserve">Zakon je začel </w:t>
      </w:r>
      <w:r w:rsidR="009A3992" w:rsidRPr="00445B9C">
        <w:rPr>
          <w:rFonts w:cs="Arial"/>
          <w:szCs w:val="20"/>
        </w:rPr>
        <w:t>v</w:t>
      </w:r>
      <w:r w:rsidR="00E34076" w:rsidRPr="00445B9C">
        <w:rPr>
          <w:rFonts w:cs="Arial"/>
          <w:szCs w:val="20"/>
        </w:rPr>
        <w:t xml:space="preserve">eljati </w:t>
      </w:r>
      <w:r w:rsidR="009A3992" w:rsidRPr="00445B9C">
        <w:rPr>
          <w:rFonts w:cs="Arial"/>
          <w:szCs w:val="20"/>
        </w:rPr>
        <w:t>27. julija 2024.</w:t>
      </w:r>
      <w:r w:rsidR="00EF6273" w:rsidRPr="00445B9C">
        <w:rPr>
          <w:rFonts w:cs="Arial"/>
          <w:szCs w:val="20"/>
        </w:rPr>
        <w:t xml:space="preserve"> </w:t>
      </w:r>
      <w:r w:rsidR="00EC4C76">
        <w:rPr>
          <w:rFonts w:cs="Arial"/>
          <w:szCs w:val="20"/>
        </w:rPr>
        <w:t xml:space="preserve">Njegov </w:t>
      </w:r>
      <w:r w:rsidR="00EF6273" w:rsidRPr="00445B9C">
        <w:rPr>
          <w:rFonts w:cs="Arial"/>
          <w:szCs w:val="20"/>
        </w:rPr>
        <w:t xml:space="preserve">namen </w:t>
      </w:r>
      <w:r w:rsidR="00EC4C76">
        <w:rPr>
          <w:rFonts w:cs="Arial"/>
          <w:szCs w:val="20"/>
        </w:rPr>
        <w:t xml:space="preserve">je </w:t>
      </w:r>
      <w:r w:rsidR="00EF6273" w:rsidRPr="00445B9C">
        <w:rPr>
          <w:rFonts w:cs="Arial"/>
          <w:szCs w:val="20"/>
        </w:rPr>
        <w:t>uskladit</w:t>
      </w:r>
      <w:r w:rsidR="00EC4C76">
        <w:rPr>
          <w:rFonts w:cs="Arial"/>
          <w:szCs w:val="20"/>
        </w:rPr>
        <w:t>e</w:t>
      </w:r>
      <w:r w:rsidR="00EF6273" w:rsidRPr="00445B9C">
        <w:rPr>
          <w:rFonts w:cs="Arial"/>
          <w:szCs w:val="20"/>
        </w:rPr>
        <w:t xml:space="preserve">v hrvaške zakonodaje z direktivama </w:t>
      </w:r>
      <w:proofErr w:type="spellStart"/>
      <w:r w:rsidR="00EF6273" w:rsidRPr="00445B9C">
        <w:rPr>
          <w:rFonts w:cs="Arial"/>
          <w:szCs w:val="20"/>
        </w:rPr>
        <w:t>EUs</w:t>
      </w:r>
      <w:proofErr w:type="spellEnd"/>
      <w:r w:rsidR="00EF6273" w:rsidRPr="00445B9C">
        <w:rPr>
          <w:rFonts w:cs="Arial"/>
          <w:szCs w:val="20"/>
        </w:rPr>
        <w:t xml:space="preserve"> poudarkom na izboljšanju </w:t>
      </w:r>
      <w:r w:rsidR="00EC4C76">
        <w:rPr>
          <w:rFonts w:cs="Arial"/>
          <w:szCs w:val="20"/>
        </w:rPr>
        <w:t xml:space="preserve">preglednosti </w:t>
      </w:r>
      <w:r w:rsidR="00EF6273" w:rsidRPr="00445B9C">
        <w:rPr>
          <w:rFonts w:cs="Arial"/>
          <w:szCs w:val="20"/>
        </w:rPr>
        <w:t>objav izdajateljev vrednostnih papirjev in krepitvi digitalne operativne odpornosti investicijskih družb ter operaterjev urejenega trga. Zakon prinaša spremembe, potrebne za prenos Direktive 2022/2464/EU, ki se osredotoča na trajnostno poročanje</w:t>
      </w:r>
      <w:r w:rsidR="00E34076" w:rsidRPr="00445B9C">
        <w:rPr>
          <w:rFonts w:cs="Arial"/>
          <w:szCs w:val="20"/>
        </w:rPr>
        <w:t>,</w:t>
      </w:r>
      <w:r w:rsidR="00EF6273" w:rsidRPr="00445B9C">
        <w:rPr>
          <w:rFonts w:cs="Arial"/>
          <w:szCs w:val="20"/>
        </w:rPr>
        <w:t xml:space="preserve"> in Direktive 2022/2556/EU, ki se nanaša na digitalno operativno odpornost finančnega sektorja. S tem se </w:t>
      </w:r>
      <w:r w:rsidR="00EF6273" w:rsidRPr="00445B9C">
        <w:rPr>
          <w:rFonts w:cs="Arial"/>
          <w:szCs w:val="20"/>
        </w:rPr>
        <w:lastRenderedPageBreak/>
        <w:t>zagotavlja</w:t>
      </w:r>
      <w:r w:rsidR="00EC4C76">
        <w:rPr>
          <w:rFonts w:cs="Arial"/>
          <w:szCs w:val="20"/>
        </w:rPr>
        <w:t>ta</w:t>
      </w:r>
      <w:r w:rsidR="00EF6273" w:rsidRPr="00445B9C">
        <w:rPr>
          <w:rFonts w:cs="Arial"/>
          <w:szCs w:val="20"/>
        </w:rPr>
        <w:t xml:space="preserve"> večja zaščita investitorjev in krepitev varnosti finančnega sistema pred kibernetskimi grožnjami. Spremembe od izdajateljev vrednostnih papirjev </w:t>
      </w:r>
      <w:r w:rsidR="00E34076" w:rsidRPr="00445B9C">
        <w:rPr>
          <w:rFonts w:cs="Arial"/>
          <w:szCs w:val="20"/>
        </w:rPr>
        <w:t xml:space="preserve">zahtevajo </w:t>
      </w:r>
      <w:r w:rsidR="00EF6273" w:rsidRPr="00445B9C">
        <w:rPr>
          <w:rFonts w:cs="Arial"/>
          <w:szCs w:val="20"/>
        </w:rPr>
        <w:t>bolj podrobne informacije, zlasti v zvezi s trajnostnim poročanjem, in od investicijskih družb ter operaterjev urejenega trga, da izboljšajo svojo sposobnost preprečevanja, odzivanja in obnavljanja po kibernetskih napadih.</w:t>
      </w:r>
    </w:p>
    <w:p w14:paraId="1AA8D167" w14:textId="77777777" w:rsidR="0040250B" w:rsidRPr="00445B9C" w:rsidRDefault="0040250B" w:rsidP="007A35FC">
      <w:pPr>
        <w:autoSpaceDE w:val="0"/>
        <w:autoSpaceDN w:val="0"/>
        <w:adjustRightInd w:val="0"/>
        <w:spacing w:line="240" w:lineRule="auto"/>
        <w:jc w:val="both"/>
        <w:rPr>
          <w:rFonts w:cs="Arial"/>
          <w:b/>
          <w:bCs/>
          <w:szCs w:val="20"/>
        </w:rPr>
      </w:pPr>
    </w:p>
    <w:p w14:paraId="597615E3" w14:textId="77777777" w:rsidR="007A35FC" w:rsidRPr="00445B9C" w:rsidRDefault="007A35FC" w:rsidP="007A35FC">
      <w:pPr>
        <w:autoSpaceDE w:val="0"/>
        <w:autoSpaceDN w:val="0"/>
        <w:adjustRightInd w:val="0"/>
        <w:spacing w:line="240" w:lineRule="auto"/>
        <w:jc w:val="both"/>
        <w:rPr>
          <w:rFonts w:cs="Arial"/>
          <w:b/>
          <w:bCs/>
          <w:szCs w:val="20"/>
        </w:rPr>
      </w:pPr>
      <w:r w:rsidRPr="00445B9C">
        <w:rPr>
          <w:rFonts w:cs="Arial"/>
          <w:b/>
          <w:bCs/>
          <w:szCs w:val="20"/>
        </w:rPr>
        <w:t>Republika Avstrija</w:t>
      </w:r>
    </w:p>
    <w:p w14:paraId="22328B85" w14:textId="77777777" w:rsidR="007A35FC" w:rsidRPr="00445B9C" w:rsidRDefault="007A35FC" w:rsidP="00286CFD">
      <w:pPr>
        <w:spacing w:line="260" w:lineRule="exact"/>
        <w:jc w:val="both"/>
        <w:rPr>
          <w:rFonts w:cs="Arial"/>
          <w:szCs w:val="20"/>
        </w:rPr>
      </w:pPr>
    </w:p>
    <w:p w14:paraId="081F2FEE" w14:textId="3D255C75" w:rsidR="00BB252D" w:rsidRPr="00445B9C" w:rsidRDefault="007A35FC" w:rsidP="0084108B">
      <w:pPr>
        <w:spacing w:line="260" w:lineRule="exact"/>
        <w:jc w:val="both"/>
        <w:rPr>
          <w:rFonts w:cs="Arial"/>
          <w:szCs w:val="20"/>
        </w:rPr>
      </w:pPr>
      <w:r w:rsidRPr="00445B9C">
        <w:rPr>
          <w:rFonts w:cs="Arial"/>
          <w:szCs w:val="20"/>
        </w:rPr>
        <w:t xml:space="preserve">Avstrijski zakon </w:t>
      </w:r>
      <w:proofErr w:type="spellStart"/>
      <w:r w:rsidRPr="00445B9C">
        <w:rPr>
          <w:rFonts w:cs="Arial"/>
          <w:i/>
          <w:iCs/>
          <w:szCs w:val="20"/>
        </w:rPr>
        <w:t>Bundesgesetz</w:t>
      </w:r>
      <w:proofErr w:type="spellEnd"/>
      <w:r w:rsidRPr="00445B9C">
        <w:rPr>
          <w:rFonts w:cs="Arial"/>
          <w:i/>
          <w:iCs/>
          <w:szCs w:val="20"/>
        </w:rPr>
        <w:t xml:space="preserve">, mit dem </w:t>
      </w:r>
      <w:proofErr w:type="spellStart"/>
      <w:r w:rsidRPr="00445B9C">
        <w:rPr>
          <w:rFonts w:cs="Arial"/>
          <w:i/>
          <w:iCs/>
          <w:szCs w:val="20"/>
        </w:rPr>
        <w:t>ein</w:t>
      </w:r>
      <w:proofErr w:type="spellEnd"/>
      <w:r w:rsidRPr="00445B9C">
        <w:rPr>
          <w:rFonts w:cs="Arial"/>
          <w:i/>
          <w:iCs/>
          <w:szCs w:val="20"/>
        </w:rPr>
        <w:t xml:space="preserve"> DORA-</w:t>
      </w:r>
      <w:proofErr w:type="spellStart"/>
      <w:r w:rsidRPr="00445B9C">
        <w:rPr>
          <w:rFonts w:cs="Arial"/>
          <w:i/>
          <w:iCs/>
          <w:szCs w:val="20"/>
        </w:rPr>
        <w:t>Vollzugsgesetz</w:t>
      </w:r>
      <w:proofErr w:type="spellEnd"/>
      <w:r w:rsidRPr="00445B9C">
        <w:rPr>
          <w:rFonts w:cs="Arial"/>
          <w:i/>
          <w:iCs/>
          <w:szCs w:val="20"/>
        </w:rPr>
        <w:t xml:space="preserve"> </w:t>
      </w:r>
      <w:proofErr w:type="spellStart"/>
      <w:r w:rsidRPr="00445B9C">
        <w:rPr>
          <w:rFonts w:cs="Arial"/>
          <w:i/>
          <w:iCs/>
          <w:szCs w:val="20"/>
        </w:rPr>
        <w:t>erlassen</w:t>
      </w:r>
      <w:proofErr w:type="spellEnd"/>
      <w:r w:rsidRPr="00445B9C">
        <w:rPr>
          <w:rFonts w:cs="Arial"/>
          <w:i/>
          <w:iCs/>
          <w:szCs w:val="20"/>
        </w:rPr>
        <w:t xml:space="preserve"> </w:t>
      </w:r>
      <w:proofErr w:type="spellStart"/>
      <w:r w:rsidRPr="00445B9C">
        <w:rPr>
          <w:rFonts w:cs="Arial"/>
          <w:i/>
          <w:iCs/>
          <w:szCs w:val="20"/>
        </w:rPr>
        <w:t>und</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Alternative </w:t>
      </w:r>
      <w:proofErr w:type="spellStart"/>
      <w:r w:rsidRPr="00445B9C">
        <w:rPr>
          <w:rFonts w:cs="Arial"/>
          <w:i/>
          <w:iCs/>
          <w:szCs w:val="20"/>
        </w:rPr>
        <w:t>Investmentfonds</w:t>
      </w:r>
      <w:proofErr w:type="spellEnd"/>
      <w:r w:rsidRPr="00445B9C">
        <w:rPr>
          <w:rFonts w:cs="Arial"/>
          <w:i/>
          <w:iCs/>
          <w:szCs w:val="20"/>
        </w:rPr>
        <w:t xml:space="preserve"> Manager-</w:t>
      </w:r>
      <w:proofErr w:type="spellStart"/>
      <w:r w:rsidRPr="00445B9C">
        <w:rPr>
          <w:rFonts w:cs="Arial"/>
          <w:i/>
          <w:iCs/>
          <w:szCs w:val="20"/>
        </w:rPr>
        <w:t>Gesetz</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Bankwesengesetz</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Börsegesetz</w:t>
      </w:r>
      <w:proofErr w:type="spellEnd"/>
      <w:r w:rsidRPr="00445B9C">
        <w:rPr>
          <w:rFonts w:cs="Arial"/>
          <w:i/>
          <w:iCs/>
          <w:szCs w:val="20"/>
        </w:rPr>
        <w:t xml:space="preserve"> 2018,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Finanzmarktaufsichtsbehördengesetz</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Investmentfondsgesetz</w:t>
      </w:r>
      <w:proofErr w:type="spellEnd"/>
      <w:r w:rsidRPr="00445B9C">
        <w:rPr>
          <w:rFonts w:cs="Arial"/>
          <w:i/>
          <w:iCs/>
          <w:szCs w:val="20"/>
        </w:rPr>
        <w:t xml:space="preserve"> 2011,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Pensionskassengesetz</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Sanierungs</w:t>
      </w:r>
      <w:proofErr w:type="spellEnd"/>
      <w:r w:rsidRPr="00445B9C">
        <w:rPr>
          <w:rFonts w:cs="Arial"/>
          <w:i/>
          <w:iCs/>
          <w:szCs w:val="20"/>
        </w:rPr>
        <w:t xml:space="preserve">- </w:t>
      </w:r>
      <w:proofErr w:type="spellStart"/>
      <w:r w:rsidRPr="00445B9C">
        <w:rPr>
          <w:rFonts w:cs="Arial"/>
          <w:i/>
          <w:iCs/>
          <w:szCs w:val="20"/>
        </w:rPr>
        <w:t>und</w:t>
      </w:r>
      <w:proofErr w:type="spellEnd"/>
      <w:r w:rsidRPr="00445B9C">
        <w:rPr>
          <w:rFonts w:cs="Arial"/>
          <w:i/>
          <w:iCs/>
          <w:szCs w:val="20"/>
        </w:rPr>
        <w:t xml:space="preserve"> </w:t>
      </w:r>
      <w:proofErr w:type="spellStart"/>
      <w:r w:rsidRPr="00445B9C">
        <w:rPr>
          <w:rFonts w:cs="Arial"/>
          <w:i/>
          <w:iCs/>
          <w:szCs w:val="20"/>
        </w:rPr>
        <w:t>Abwicklungsgesetz</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Versicherungsaufsichtsgesetz</w:t>
      </w:r>
      <w:proofErr w:type="spellEnd"/>
      <w:r w:rsidRPr="00445B9C">
        <w:rPr>
          <w:rFonts w:cs="Arial"/>
          <w:i/>
          <w:iCs/>
          <w:szCs w:val="20"/>
        </w:rPr>
        <w:t xml:space="preserve"> 2016,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Wertpapieraufsichtsgesetz</w:t>
      </w:r>
      <w:proofErr w:type="spellEnd"/>
      <w:r w:rsidRPr="00445B9C">
        <w:rPr>
          <w:rFonts w:cs="Arial"/>
          <w:i/>
          <w:iCs/>
          <w:szCs w:val="20"/>
        </w:rPr>
        <w:t xml:space="preserve"> 2018 </w:t>
      </w:r>
      <w:proofErr w:type="spellStart"/>
      <w:r w:rsidRPr="00445B9C">
        <w:rPr>
          <w:rFonts w:cs="Arial"/>
          <w:i/>
          <w:iCs/>
          <w:szCs w:val="20"/>
        </w:rPr>
        <w:t>und</w:t>
      </w:r>
      <w:proofErr w:type="spellEnd"/>
      <w:r w:rsidRPr="00445B9C">
        <w:rPr>
          <w:rFonts w:cs="Arial"/>
          <w:i/>
          <w:iCs/>
          <w:szCs w:val="20"/>
        </w:rPr>
        <w:t xml:space="preserve"> </w:t>
      </w:r>
      <w:proofErr w:type="spellStart"/>
      <w:r w:rsidRPr="00445B9C">
        <w:rPr>
          <w:rFonts w:cs="Arial"/>
          <w:i/>
          <w:iCs/>
          <w:szCs w:val="20"/>
        </w:rPr>
        <w:t>das</w:t>
      </w:r>
      <w:proofErr w:type="spellEnd"/>
      <w:r w:rsidRPr="00445B9C">
        <w:rPr>
          <w:rFonts w:cs="Arial"/>
          <w:i/>
          <w:iCs/>
          <w:szCs w:val="20"/>
        </w:rPr>
        <w:t xml:space="preserve"> </w:t>
      </w:r>
      <w:proofErr w:type="spellStart"/>
      <w:r w:rsidRPr="00445B9C">
        <w:rPr>
          <w:rFonts w:cs="Arial"/>
          <w:i/>
          <w:iCs/>
          <w:szCs w:val="20"/>
        </w:rPr>
        <w:t>Zahlungsdienstegesetz</w:t>
      </w:r>
      <w:proofErr w:type="spellEnd"/>
      <w:r w:rsidRPr="00445B9C">
        <w:rPr>
          <w:rFonts w:cs="Arial"/>
          <w:i/>
          <w:iCs/>
          <w:szCs w:val="20"/>
        </w:rPr>
        <w:t xml:space="preserve"> 2018 </w:t>
      </w:r>
      <w:proofErr w:type="spellStart"/>
      <w:r w:rsidRPr="00445B9C">
        <w:rPr>
          <w:rFonts w:cs="Arial"/>
          <w:i/>
          <w:iCs/>
          <w:szCs w:val="20"/>
        </w:rPr>
        <w:t>geändert</w:t>
      </w:r>
      <w:proofErr w:type="spellEnd"/>
      <w:r w:rsidRPr="00445B9C">
        <w:rPr>
          <w:rFonts w:cs="Arial"/>
          <w:i/>
          <w:iCs/>
          <w:szCs w:val="20"/>
        </w:rPr>
        <w:t xml:space="preserve"> </w:t>
      </w:r>
      <w:proofErr w:type="spellStart"/>
      <w:r w:rsidRPr="00445B9C">
        <w:rPr>
          <w:rFonts w:cs="Arial"/>
          <w:i/>
          <w:iCs/>
          <w:szCs w:val="20"/>
        </w:rPr>
        <w:t>werden</w:t>
      </w:r>
      <w:proofErr w:type="spellEnd"/>
      <w:r w:rsidRPr="00445B9C">
        <w:rPr>
          <w:rFonts w:cs="Arial"/>
          <w:i/>
          <w:iCs/>
          <w:szCs w:val="20"/>
        </w:rPr>
        <w:t xml:space="preserve"> (DORA-</w:t>
      </w:r>
      <w:proofErr w:type="spellStart"/>
      <w:r w:rsidRPr="00445B9C">
        <w:rPr>
          <w:rFonts w:cs="Arial"/>
          <w:i/>
          <w:iCs/>
          <w:szCs w:val="20"/>
        </w:rPr>
        <w:t>Vollzugsgesetz</w:t>
      </w:r>
      <w:proofErr w:type="spellEnd"/>
      <w:r w:rsidRPr="00445B9C">
        <w:rPr>
          <w:rFonts w:cs="Arial"/>
          <w:i/>
          <w:iCs/>
          <w:szCs w:val="20"/>
        </w:rPr>
        <w:t>)</w:t>
      </w:r>
      <w:r w:rsidRPr="00445B9C">
        <w:rPr>
          <w:rFonts w:cs="Arial"/>
          <w:szCs w:val="20"/>
        </w:rPr>
        <w:t xml:space="preserve"> je bil sprejet z namenom </w:t>
      </w:r>
      <w:r w:rsidR="00EC4C76">
        <w:rPr>
          <w:rFonts w:cs="Arial"/>
          <w:szCs w:val="20"/>
        </w:rPr>
        <w:t>prenosa</w:t>
      </w:r>
      <w:r w:rsidR="00EC4C76" w:rsidRPr="00445B9C">
        <w:rPr>
          <w:rFonts w:cs="Arial"/>
          <w:szCs w:val="20"/>
        </w:rPr>
        <w:t xml:space="preserve"> </w:t>
      </w:r>
      <w:r w:rsidRPr="00445B9C">
        <w:rPr>
          <w:rFonts w:cs="Arial"/>
          <w:szCs w:val="20"/>
        </w:rPr>
        <w:t xml:space="preserve">Uredbe 2022/2554/EU in Direktive 2022/2556/EU v avstrijski pravni red. Z </w:t>
      </w:r>
      <w:r w:rsidR="00EC4C76">
        <w:rPr>
          <w:rFonts w:cs="Arial"/>
          <w:szCs w:val="20"/>
        </w:rPr>
        <w:t>njegovim sprejetjem</w:t>
      </w:r>
      <w:r w:rsidR="00EC4C76" w:rsidRPr="00445B9C">
        <w:rPr>
          <w:rFonts w:cs="Arial"/>
          <w:szCs w:val="20"/>
        </w:rPr>
        <w:t xml:space="preserve"> </w:t>
      </w:r>
      <w:r w:rsidRPr="00445B9C">
        <w:rPr>
          <w:rFonts w:cs="Arial"/>
          <w:szCs w:val="20"/>
        </w:rPr>
        <w:t xml:space="preserve">se je spremenilo več </w:t>
      </w:r>
      <w:r w:rsidR="00E34076" w:rsidRPr="00445B9C">
        <w:rPr>
          <w:rFonts w:cs="Arial"/>
          <w:szCs w:val="20"/>
        </w:rPr>
        <w:t xml:space="preserve">zakonov </w:t>
      </w:r>
      <w:r w:rsidRPr="00445B9C">
        <w:rPr>
          <w:rFonts w:cs="Arial"/>
          <w:szCs w:val="20"/>
        </w:rPr>
        <w:t xml:space="preserve">s področja finančnega sistema, med drugim Zakona o upravljavcih alternativnih investicijskih skladov, Bančnega zakona, Zakona o borzi 2018, Zakona o finančnem nadzoru, Zakona o investicijskih skladih 2011, Zakona o pokojninskih skladih, Zakona o sanaciji in reševanju, Zakona o nadzoru zavarovalnic 2016, Zakona o nadzoru vrednostnih papirjev 2018 in Zakona o plačilnih storitvah 2018. </w:t>
      </w:r>
      <w:r w:rsidR="00EC4C76">
        <w:rPr>
          <w:rFonts w:cs="Arial"/>
          <w:szCs w:val="20"/>
        </w:rPr>
        <w:t>Tako</w:t>
      </w:r>
      <w:r w:rsidRPr="00445B9C">
        <w:rPr>
          <w:rFonts w:cs="Arial"/>
          <w:szCs w:val="20"/>
        </w:rPr>
        <w:t xml:space="preserve"> se je zagotovilo, da avstrijski finančni sektor izpolnjuje standarde digitalne operativne odpornosti, določene v svežnju DORA, ki med drugim vključujejo vzpostavitev robustnih IKT</w:t>
      </w:r>
      <w:r w:rsidR="00EC4C76">
        <w:rPr>
          <w:rFonts w:cs="Arial"/>
          <w:szCs w:val="20"/>
        </w:rPr>
        <w:t>-</w:t>
      </w:r>
      <w:r w:rsidRPr="00445B9C">
        <w:rPr>
          <w:rFonts w:cs="Arial"/>
          <w:szCs w:val="20"/>
        </w:rPr>
        <w:t>sistemov, redno testiranje njihove odpornosti, obveznost poročanja o incidentih in nadzor nad tretjimi ponudniki IKT</w:t>
      </w:r>
      <w:r w:rsidR="00EC4C76">
        <w:rPr>
          <w:rFonts w:cs="Arial"/>
          <w:szCs w:val="20"/>
        </w:rPr>
        <w:t>-</w:t>
      </w:r>
      <w:r w:rsidRPr="00445B9C">
        <w:rPr>
          <w:rFonts w:cs="Arial"/>
          <w:szCs w:val="20"/>
        </w:rPr>
        <w:t>storitev.</w:t>
      </w:r>
    </w:p>
    <w:p w14:paraId="2F7E834C" w14:textId="77777777" w:rsidR="00856482" w:rsidRPr="00445B9C" w:rsidRDefault="00856482" w:rsidP="00ED36BF">
      <w:pPr>
        <w:autoSpaceDE w:val="0"/>
        <w:autoSpaceDN w:val="0"/>
        <w:adjustRightInd w:val="0"/>
        <w:spacing w:line="240" w:lineRule="auto"/>
        <w:jc w:val="both"/>
        <w:rPr>
          <w:rFonts w:cs="Arial"/>
          <w:b/>
          <w:bCs/>
          <w:szCs w:val="20"/>
        </w:rPr>
      </w:pPr>
    </w:p>
    <w:p w14:paraId="237FB92D" w14:textId="77777777" w:rsidR="00ED36BF" w:rsidRPr="00445B9C" w:rsidRDefault="00ED36BF" w:rsidP="00ED36BF">
      <w:pPr>
        <w:autoSpaceDE w:val="0"/>
        <w:autoSpaceDN w:val="0"/>
        <w:adjustRightInd w:val="0"/>
        <w:spacing w:line="240" w:lineRule="auto"/>
        <w:jc w:val="both"/>
        <w:rPr>
          <w:rFonts w:cs="Arial"/>
          <w:b/>
          <w:bCs/>
          <w:szCs w:val="20"/>
        </w:rPr>
      </w:pPr>
      <w:r w:rsidRPr="00445B9C">
        <w:rPr>
          <w:rFonts w:cs="Arial"/>
          <w:b/>
          <w:bCs/>
          <w:szCs w:val="20"/>
        </w:rPr>
        <w:t>Prilagojenost predlagane ureditve pravu Evropske unije</w:t>
      </w:r>
    </w:p>
    <w:p w14:paraId="75EFC085" w14:textId="09661366" w:rsidR="00EE2284" w:rsidRPr="00445B9C" w:rsidRDefault="00EE2284" w:rsidP="00ED36BF">
      <w:pPr>
        <w:autoSpaceDE w:val="0"/>
        <w:autoSpaceDN w:val="0"/>
        <w:adjustRightInd w:val="0"/>
        <w:spacing w:line="240" w:lineRule="auto"/>
        <w:jc w:val="both"/>
        <w:rPr>
          <w:rFonts w:cs="Arial"/>
          <w:b/>
          <w:bCs/>
          <w:szCs w:val="20"/>
        </w:rPr>
      </w:pPr>
    </w:p>
    <w:p w14:paraId="09B9B1F8" w14:textId="6C63DE43" w:rsidR="008B1E1A" w:rsidRPr="00445B9C" w:rsidRDefault="00ED36BF" w:rsidP="00ED36BF">
      <w:pPr>
        <w:spacing w:line="260" w:lineRule="exact"/>
        <w:jc w:val="both"/>
        <w:rPr>
          <w:rFonts w:cs="Arial"/>
          <w:szCs w:val="20"/>
        </w:rPr>
      </w:pPr>
      <w:r w:rsidRPr="00445B9C">
        <w:rPr>
          <w:rFonts w:cs="Arial"/>
          <w:szCs w:val="20"/>
        </w:rPr>
        <w:t xml:space="preserve">Predlog zakona je prilagojen pravu EU, saj gre za predpis, </w:t>
      </w:r>
      <w:r w:rsidR="00670B84" w:rsidRPr="00445B9C">
        <w:rPr>
          <w:rFonts w:cs="Arial"/>
          <w:szCs w:val="20"/>
        </w:rPr>
        <w:t xml:space="preserve">s katerim se v slovenski pravni red prenašajo </w:t>
      </w:r>
      <w:r w:rsidR="00A92A64" w:rsidRPr="00445B9C">
        <w:rPr>
          <w:rFonts w:cs="Arial"/>
          <w:szCs w:val="20"/>
        </w:rPr>
        <w:t>določbe Direktive 2022/2556/EU v delu, ki sprem</w:t>
      </w:r>
      <w:r w:rsidR="00E34076" w:rsidRPr="00445B9C">
        <w:rPr>
          <w:rFonts w:cs="Arial"/>
          <w:szCs w:val="20"/>
        </w:rPr>
        <w:t>inja</w:t>
      </w:r>
      <w:r w:rsidR="00A92A64" w:rsidRPr="00445B9C">
        <w:rPr>
          <w:rFonts w:cs="Arial"/>
          <w:szCs w:val="20"/>
        </w:rPr>
        <w:t xml:space="preserve"> Direktivo 2014/65/EU, določbe Direktive 2024/790/EU, ki sprem</w:t>
      </w:r>
      <w:r w:rsidR="00E34076" w:rsidRPr="00445B9C">
        <w:rPr>
          <w:rFonts w:cs="Arial"/>
          <w:szCs w:val="20"/>
        </w:rPr>
        <w:t>inja</w:t>
      </w:r>
      <w:r w:rsidR="00A92A64" w:rsidRPr="00445B9C">
        <w:rPr>
          <w:rFonts w:cs="Arial"/>
          <w:szCs w:val="20"/>
        </w:rPr>
        <w:t xml:space="preserve"> Direktivo 2014/65/EU</w:t>
      </w:r>
      <w:r w:rsidR="00E34076" w:rsidRPr="00445B9C">
        <w:rPr>
          <w:rFonts w:cs="Arial"/>
          <w:szCs w:val="20"/>
        </w:rPr>
        <w:t>,</w:t>
      </w:r>
      <w:r w:rsidR="00A92A64" w:rsidRPr="00445B9C">
        <w:rPr>
          <w:rFonts w:cs="Arial"/>
          <w:szCs w:val="20"/>
        </w:rPr>
        <w:t xml:space="preserve"> in določbe </w:t>
      </w:r>
      <w:r w:rsidR="00E34076" w:rsidRPr="00445B9C">
        <w:rPr>
          <w:rFonts w:cs="Arial"/>
          <w:szCs w:val="20"/>
        </w:rPr>
        <w:t>D</w:t>
      </w:r>
      <w:r w:rsidR="00A92A64" w:rsidRPr="00445B9C">
        <w:rPr>
          <w:rFonts w:cs="Arial"/>
          <w:szCs w:val="20"/>
        </w:rPr>
        <w:t>irektive 2023/2864/EU v delu, ki sprem</w:t>
      </w:r>
      <w:r w:rsidR="00E34076" w:rsidRPr="00445B9C">
        <w:rPr>
          <w:rFonts w:cs="Arial"/>
          <w:szCs w:val="20"/>
        </w:rPr>
        <w:t>inja</w:t>
      </w:r>
      <w:r w:rsidR="00A92A64" w:rsidRPr="00445B9C">
        <w:rPr>
          <w:rFonts w:cs="Arial"/>
          <w:szCs w:val="20"/>
        </w:rPr>
        <w:t xml:space="preserve"> Direktivo 2004/109/ES</w:t>
      </w:r>
      <w:r w:rsidR="00EE2284" w:rsidRPr="00445B9C">
        <w:rPr>
          <w:rFonts w:cs="Arial"/>
          <w:szCs w:val="20"/>
        </w:rPr>
        <w:t xml:space="preserve"> in Direktivo 2014/65/EU</w:t>
      </w:r>
      <w:r w:rsidR="00A92A64" w:rsidRPr="00445B9C">
        <w:rPr>
          <w:rFonts w:cs="Arial"/>
          <w:szCs w:val="20"/>
        </w:rPr>
        <w:t>.</w:t>
      </w:r>
    </w:p>
    <w:p w14:paraId="33ED301E" w14:textId="77777777" w:rsidR="00ED36BF" w:rsidRPr="00445B9C" w:rsidRDefault="00670B84" w:rsidP="00ED36BF">
      <w:pPr>
        <w:spacing w:line="260" w:lineRule="exact"/>
        <w:jc w:val="both"/>
        <w:rPr>
          <w:rFonts w:cs="Arial"/>
          <w:szCs w:val="20"/>
        </w:rPr>
      </w:pPr>
      <w:r w:rsidRPr="00445B9C">
        <w:rPr>
          <w:rFonts w:cs="Arial"/>
          <w:szCs w:val="20"/>
        </w:rPr>
        <w:t xml:space="preserve"> </w:t>
      </w:r>
    </w:p>
    <w:p w14:paraId="2D5BAB24" w14:textId="77777777" w:rsidR="00ED36BF" w:rsidRPr="00445B9C" w:rsidRDefault="00ED36BF" w:rsidP="00ED36BF">
      <w:pPr>
        <w:numPr>
          <w:ilvl w:val="0"/>
          <w:numId w:val="12"/>
        </w:numPr>
        <w:spacing w:line="260" w:lineRule="exact"/>
        <w:rPr>
          <w:rFonts w:cs="Arial"/>
          <w:b/>
          <w:szCs w:val="20"/>
        </w:rPr>
      </w:pPr>
      <w:r w:rsidRPr="00445B9C">
        <w:rPr>
          <w:rFonts w:cs="Arial"/>
          <w:b/>
          <w:szCs w:val="20"/>
        </w:rPr>
        <w:t>PRESOJA POSLEDIC, KI JIH BO IMEL SPREJEM ZAKONA</w:t>
      </w:r>
    </w:p>
    <w:p w14:paraId="30C15F6B" w14:textId="77777777" w:rsidR="00ED36BF" w:rsidRPr="00445B9C" w:rsidRDefault="00ED36BF" w:rsidP="00ED36BF">
      <w:pPr>
        <w:spacing w:line="260" w:lineRule="exact"/>
        <w:jc w:val="both"/>
        <w:rPr>
          <w:rFonts w:cs="Arial"/>
          <w:szCs w:val="20"/>
        </w:rPr>
      </w:pPr>
    </w:p>
    <w:p w14:paraId="05764F76" w14:textId="77777777" w:rsidR="00ED36BF" w:rsidRPr="00445B9C" w:rsidRDefault="00ED36BF" w:rsidP="00ED36BF">
      <w:pPr>
        <w:spacing w:line="260" w:lineRule="exact"/>
        <w:jc w:val="both"/>
        <w:rPr>
          <w:rFonts w:cs="Arial"/>
          <w:szCs w:val="20"/>
        </w:rPr>
      </w:pPr>
      <w:r w:rsidRPr="00445B9C">
        <w:rPr>
          <w:rFonts w:cs="Arial"/>
          <w:b/>
          <w:szCs w:val="20"/>
        </w:rPr>
        <w:t>6.1 Presoja administrativnih posledic</w:t>
      </w:r>
    </w:p>
    <w:p w14:paraId="26D30F33" w14:textId="77777777" w:rsidR="00ED36BF" w:rsidRPr="00445B9C" w:rsidRDefault="00ED36BF" w:rsidP="00ED36BF">
      <w:pPr>
        <w:spacing w:line="260" w:lineRule="exact"/>
        <w:jc w:val="both"/>
        <w:rPr>
          <w:rFonts w:cs="Arial"/>
          <w:b/>
          <w:szCs w:val="20"/>
        </w:rPr>
      </w:pPr>
    </w:p>
    <w:p w14:paraId="09FAED40" w14:textId="77777777" w:rsidR="00ED36BF" w:rsidRPr="00445B9C" w:rsidRDefault="00ED36BF" w:rsidP="00ED36BF">
      <w:pPr>
        <w:spacing w:line="260" w:lineRule="exact"/>
        <w:jc w:val="both"/>
        <w:rPr>
          <w:rFonts w:cs="Arial"/>
          <w:b/>
          <w:szCs w:val="20"/>
        </w:rPr>
      </w:pPr>
      <w:r w:rsidRPr="00445B9C">
        <w:rPr>
          <w:rFonts w:cs="Arial"/>
          <w:b/>
          <w:szCs w:val="20"/>
        </w:rPr>
        <w:t>a) v postopkih oziroma poslovanju javne uprave ali pravosodnih organov:</w:t>
      </w:r>
    </w:p>
    <w:p w14:paraId="7A6C5BEE" w14:textId="77777777" w:rsidR="00ED36BF" w:rsidRPr="00445B9C" w:rsidRDefault="00ED36BF" w:rsidP="00ED36BF">
      <w:pPr>
        <w:spacing w:line="260" w:lineRule="exact"/>
        <w:jc w:val="both"/>
        <w:rPr>
          <w:rFonts w:cs="Arial"/>
          <w:szCs w:val="20"/>
        </w:rPr>
      </w:pPr>
      <w:r w:rsidRPr="00445B9C">
        <w:rPr>
          <w:rFonts w:cs="Arial"/>
          <w:szCs w:val="20"/>
        </w:rPr>
        <w:t>Ni posledic.</w:t>
      </w:r>
    </w:p>
    <w:p w14:paraId="2A0FB5B2" w14:textId="77777777" w:rsidR="00ED36BF" w:rsidRPr="00445B9C" w:rsidRDefault="00ED36BF" w:rsidP="00ED36BF">
      <w:pPr>
        <w:spacing w:line="260" w:lineRule="exact"/>
        <w:jc w:val="both"/>
        <w:rPr>
          <w:rFonts w:cs="Arial"/>
          <w:b/>
          <w:szCs w:val="20"/>
        </w:rPr>
      </w:pPr>
    </w:p>
    <w:p w14:paraId="37BA276F" w14:textId="77777777" w:rsidR="00ED36BF" w:rsidRPr="00445B9C" w:rsidRDefault="00ED36BF" w:rsidP="00ED36BF">
      <w:pPr>
        <w:spacing w:line="260" w:lineRule="exact"/>
        <w:jc w:val="both"/>
        <w:rPr>
          <w:rFonts w:cs="Arial"/>
          <w:szCs w:val="20"/>
        </w:rPr>
      </w:pPr>
      <w:r w:rsidRPr="00445B9C">
        <w:rPr>
          <w:rFonts w:cs="Arial"/>
          <w:b/>
          <w:szCs w:val="20"/>
        </w:rPr>
        <w:t>b) pri obveznostih strank do javne uprave ali pravosodnih organov:</w:t>
      </w:r>
    </w:p>
    <w:p w14:paraId="7B87A8E2" w14:textId="77777777" w:rsidR="00ED36BF" w:rsidRPr="00445B9C" w:rsidRDefault="00ED36BF" w:rsidP="00ED36BF">
      <w:pPr>
        <w:spacing w:line="260" w:lineRule="exact"/>
        <w:jc w:val="both"/>
        <w:rPr>
          <w:rFonts w:cs="Arial"/>
          <w:szCs w:val="20"/>
        </w:rPr>
      </w:pPr>
      <w:r w:rsidRPr="00445B9C">
        <w:rPr>
          <w:rFonts w:cs="Arial"/>
          <w:szCs w:val="20"/>
        </w:rPr>
        <w:t>Ni posledic.</w:t>
      </w:r>
    </w:p>
    <w:p w14:paraId="1E66E4F5" w14:textId="77777777" w:rsidR="00ED36BF" w:rsidRPr="00445B9C" w:rsidRDefault="00ED36BF" w:rsidP="00ED36BF">
      <w:pPr>
        <w:spacing w:line="260" w:lineRule="exact"/>
        <w:jc w:val="both"/>
        <w:rPr>
          <w:rFonts w:cs="Arial"/>
          <w:b/>
          <w:szCs w:val="20"/>
        </w:rPr>
      </w:pPr>
    </w:p>
    <w:p w14:paraId="6C6A5268" w14:textId="77777777" w:rsidR="00ED36BF" w:rsidRPr="00445B9C" w:rsidRDefault="00ED36BF" w:rsidP="00ED36BF">
      <w:pPr>
        <w:spacing w:line="260" w:lineRule="exact"/>
        <w:jc w:val="both"/>
        <w:rPr>
          <w:rFonts w:cs="Arial"/>
          <w:b/>
          <w:szCs w:val="20"/>
        </w:rPr>
      </w:pPr>
      <w:r w:rsidRPr="00445B9C">
        <w:rPr>
          <w:rFonts w:cs="Arial"/>
          <w:b/>
          <w:szCs w:val="20"/>
        </w:rPr>
        <w:t>6.2. Presoja posledic za okolje, vključno s prostorskimi in varstvenimi vidiki</w:t>
      </w:r>
    </w:p>
    <w:p w14:paraId="45E863F4" w14:textId="77777777" w:rsidR="00ED36BF" w:rsidRPr="00445B9C" w:rsidRDefault="00ED36BF" w:rsidP="00ED36BF">
      <w:pPr>
        <w:spacing w:line="260" w:lineRule="exact"/>
        <w:jc w:val="both"/>
        <w:rPr>
          <w:rFonts w:cs="Arial"/>
          <w:szCs w:val="20"/>
        </w:rPr>
      </w:pPr>
      <w:r w:rsidRPr="00445B9C">
        <w:rPr>
          <w:rFonts w:cs="Arial"/>
          <w:szCs w:val="20"/>
        </w:rPr>
        <w:t>Predlog zakona nima posledic za okolje.</w:t>
      </w:r>
    </w:p>
    <w:p w14:paraId="7F4F715C" w14:textId="77777777" w:rsidR="00ED36BF" w:rsidRPr="00445B9C" w:rsidRDefault="00ED36BF" w:rsidP="00ED36BF">
      <w:pPr>
        <w:spacing w:line="260" w:lineRule="exact"/>
        <w:jc w:val="both"/>
        <w:rPr>
          <w:rFonts w:cs="Arial"/>
          <w:b/>
          <w:szCs w:val="20"/>
        </w:rPr>
      </w:pPr>
    </w:p>
    <w:p w14:paraId="25BCE1F1" w14:textId="77777777" w:rsidR="00ED36BF" w:rsidRPr="00445B9C" w:rsidRDefault="00ED36BF" w:rsidP="00ED36BF">
      <w:pPr>
        <w:spacing w:line="260" w:lineRule="exact"/>
        <w:jc w:val="both"/>
        <w:rPr>
          <w:rFonts w:cs="Arial"/>
          <w:b/>
          <w:szCs w:val="20"/>
        </w:rPr>
      </w:pPr>
      <w:r w:rsidRPr="00445B9C">
        <w:rPr>
          <w:rFonts w:cs="Arial"/>
          <w:b/>
          <w:szCs w:val="20"/>
        </w:rPr>
        <w:t>6.3. Presoja posledic za gospodarstvo</w:t>
      </w:r>
    </w:p>
    <w:p w14:paraId="4054D42B" w14:textId="77777777" w:rsidR="00012F1E" w:rsidRDefault="00012F1E" w:rsidP="00012F1E"/>
    <w:p w14:paraId="47F2FAF3" w14:textId="28AE4333" w:rsidR="00012F1E" w:rsidRPr="00301999" w:rsidRDefault="00012F1E" w:rsidP="00012F1E">
      <w:r w:rsidRPr="00301999">
        <w:t xml:space="preserve">Ker sta DORA in ESAP sestavljena iz neposredno veljavnih uredb EU ter direktiv, ki zahtevajo prenos v nacionalno zakonodajo, se presoja nanaša na celotni regulativni okvir obeh paketov. </w:t>
      </w:r>
    </w:p>
    <w:p w14:paraId="4F921ECF" w14:textId="61E0268B" w:rsidR="00012F1E" w:rsidRDefault="00012F1E" w:rsidP="00012F1E">
      <w:r w:rsidRPr="00301999">
        <w:t>Na podlagi podatkov, posredovanih s strani naslovnikov zakona so stroški implementacije naslednji:</w:t>
      </w:r>
    </w:p>
    <w:p w14:paraId="4E273DC0" w14:textId="77777777" w:rsidR="00012F1E" w:rsidRDefault="00012F1E" w:rsidP="00012F1E"/>
    <w:tbl>
      <w:tblPr>
        <w:tblStyle w:val="Tabelamrea"/>
        <w:tblW w:w="0" w:type="auto"/>
        <w:tblInd w:w="944" w:type="dxa"/>
        <w:tblLook w:val="04A0" w:firstRow="1" w:lastRow="0" w:firstColumn="1" w:lastColumn="0" w:noHBand="0" w:noVBand="1"/>
      </w:tblPr>
      <w:tblGrid>
        <w:gridCol w:w="1036"/>
        <w:gridCol w:w="2988"/>
        <w:gridCol w:w="3153"/>
      </w:tblGrid>
      <w:tr w:rsidR="00012F1E" w14:paraId="012005FF" w14:textId="77777777" w:rsidTr="00E80BDF">
        <w:trPr>
          <w:trHeight w:val="277"/>
        </w:trPr>
        <w:tc>
          <w:tcPr>
            <w:tcW w:w="1036" w:type="dxa"/>
          </w:tcPr>
          <w:p w14:paraId="33B4BF92" w14:textId="77777777" w:rsidR="00012F1E" w:rsidRPr="00301999" w:rsidRDefault="00012F1E" w:rsidP="00012F1E">
            <w:pPr>
              <w:keepNext/>
              <w:keepLines/>
              <w:widowControl w:val="0"/>
              <w:rPr>
                <w:b/>
                <w:bCs/>
              </w:rPr>
            </w:pPr>
            <w:r w:rsidRPr="00301999">
              <w:rPr>
                <w:b/>
                <w:bCs/>
              </w:rPr>
              <w:lastRenderedPageBreak/>
              <w:t>Predpis</w:t>
            </w:r>
          </w:p>
        </w:tc>
        <w:tc>
          <w:tcPr>
            <w:tcW w:w="2988" w:type="dxa"/>
          </w:tcPr>
          <w:p w14:paraId="38260BBF" w14:textId="77777777" w:rsidR="00012F1E" w:rsidRPr="00301999" w:rsidRDefault="00012F1E" w:rsidP="00012F1E">
            <w:pPr>
              <w:keepNext/>
              <w:keepLines/>
              <w:widowControl w:val="0"/>
              <w:rPr>
                <w:b/>
                <w:bCs/>
              </w:rPr>
            </w:pPr>
            <w:r w:rsidRPr="00301999">
              <w:rPr>
                <w:b/>
                <w:bCs/>
              </w:rPr>
              <w:t>Enkratni strošek</w:t>
            </w:r>
          </w:p>
        </w:tc>
        <w:tc>
          <w:tcPr>
            <w:tcW w:w="3153" w:type="dxa"/>
          </w:tcPr>
          <w:p w14:paraId="269D71B5" w14:textId="77777777" w:rsidR="00012F1E" w:rsidRPr="00301999" w:rsidRDefault="00012F1E" w:rsidP="00012F1E">
            <w:pPr>
              <w:keepNext/>
              <w:keepLines/>
              <w:widowControl w:val="0"/>
              <w:rPr>
                <w:b/>
                <w:bCs/>
              </w:rPr>
            </w:pPr>
            <w:r w:rsidRPr="00301999">
              <w:rPr>
                <w:b/>
                <w:bCs/>
              </w:rPr>
              <w:t>Letni strošek</w:t>
            </w:r>
          </w:p>
        </w:tc>
      </w:tr>
      <w:tr w:rsidR="00012F1E" w14:paraId="19D1EA0E" w14:textId="77777777" w:rsidTr="00E80BDF">
        <w:trPr>
          <w:trHeight w:val="1406"/>
        </w:trPr>
        <w:tc>
          <w:tcPr>
            <w:tcW w:w="1036" w:type="dxa"/>
          </w:tcPr>
          <w:p w14:paraId="4492C7ED" w14:textId="77777777" w:rsidR="00012F1E" w:rsidRPr="00301999" w:rsidRDefault="00012F1E" w:rsidP="00012F1E">
            <w:pPr>
              <w:keepNext/>
              <w:keepLines/>
              <w:widowControl w:val="0"/>
              <w:rPr>
                <w:b/>
                <w:bCs/>
              </w:rPr>
            </w:pPr>
            <w:r w:rsidRPr="00301999">
              <w:rPr>
                <w:b/>
                <w:bCs/>
              </w:rPr>
              <w:t>DORA</w:t>
            </w:r>
          </w:p>
        </w:tc>
        <w:tc>
          <w:tcPr>
            <w:tcW w:w="2988" w:type="dxa"/>
          </w:tcPr>
          <w:p w14:paraId="4E0CA318" w14:textId="77777777" w:rsidR="00012F1E" w:rsidRDefault="00012F1E" w:rsidP="00012F1E">
            <w:pPr>
              <w:keepNext/>
              <w:keepLines/>
              <w:widowControl w:val="0"/>
            </w:pPr>
            <w:r w:rsidRPr="00301999">
              <w:t>približno 80.000 EUR, z razponom od 51.500 EUR (najnižja ocena) do 150.000 EUR (najvišja ocena)</w:t>
            </w:r>
          </w:p>
        </w:tc>
        <w:tc>
          <w:tcPr>
            <w:tcW w:w="3153" w:type="dxa"/>
          </w:tcPr>
          <w:p w14:paraId="55D9A669" w14:textId="77777777" w:rsidR="00012F1E" w:rsidRDefault="00012F1E" w:rsidP="00012F1E">
            <w:pPr>
              <w:keepNext/>
              <w:keepLines/>
              <w:widowControl w:val="0"/>
            </w:pPr>
            <w:r w:rsidRPr="00301999">
              <w:t>približno 30.000 EUR, z razponom od 11.000 EUR (najnižja ocena) do 75.000 EUR (najvišja ocena)</w:t>
            </w:r>
          </w:p>
        </w:tc>
      </w:tr>
      <w:tr w:rsidR="00012F1E" w14:paraId="5DCDF865" w14:textId="77777777" w:rsidTr="00E80BDF">
        <w:trPr>
          <w:trHeight w:val="286"/>
        </w:trPr>
        <w:tc>
          <w:tcPr>
            <w:tcW w:w="1036" w:type="dxa"/>
          </w:tcPr>
          <w:p w14:paraId="250CE1BF" w14:textId="77777777" w:rsidR="00012F1E" w:rsidRPr="00301999" w:rsidRDefault="00012F1E" w:rsidP="00012F1E">
            <w:pPr>
              <w:keepNext/>
              <w:keepLines/>
              <w:widowControl w:val="0"/>
              <w:rPr>
                <w:b/>
                <w:bCs/>
              </w:rPr>
            </w:pPr>
            <w:r w:rsidRPr="00301999">
              <w:rPr>
                <w:b/>
                <w:bCs/>
              </w:rPr>
              <w:t>ESAP</w:t>
            </w:r>
          </w:p>
        </w:tc>
        <w:tc>
          <w:tcPr>
            <w:tcW w:w="2988" w:type="dxa"/>
          </w:tcPr>
          <w:p w14:paraId="7A3D1AE0" w14:textId="77777777" w:rsidR="00012F1E" w:rsidRPr="00301999" w:rsidRDefault="00012F1E" w:rsidP="00012F1E">
            <w:pPr>
              <w:keepNext/>
              <w:keepLines/>
              <w:widowControl w:val="0"/>
            </w:pPr>
            <w:r w:rsidRPr="00301999">
              <w:t>približno 16.000 EUR</w:t>
            </w:r>
          </w:p>
        </w:tc>
        <w:tc>
          <w:tcPr>
            <w:tcW w:w="3153" w:type="dxa"/>
          </w:tcPr>
          <w:p w14:paraId="153CEFF3" w14:textId="77777777" w:rsidR="00012F1E" w:rsidRPr="00301999" w:rsidRDefault="00012F1E" w:rsidP="00012F1E">
            <w:pPr>
              <w:keepNext/>
              <w:keepLines/>
              <w:widowControl w:val="0"/>
            </w:pPr>
            <w:r w:rsidRPr="00301999">
              <w:t>približno 6.000 EUR</w:t>
            </w:r>
          </w:p>
        </w:tc>
      </w:tr>
    </w:tbl>
    <w:p w14:paraId="41BF2098" w14:textId="77777777" w:rsidR="00012F1E" w:rsidRPr="00301999" w:rsidRDefault="00012F1E" w:rsidP="00012F1E">
      <w:pPr>
        <w:spacing w:after="160" w:line="259" w:lineRule="auto"/>
      </w:pPr>
    </w:p>
    <w:p w14:paraId="5C524241" w14:textId="77777777" w:rsidR="00012F1E" w:rsidRPr="00301999" w:rsidRDefault="00012F1E" w:rsidP="00012F1E">
      <w:pPr>
        <w:spacing w:after="160" w:line="259" w:lineRule="auto"/>
      </w:pPr>
      <w:r w:rsidRPr="00301999">
        <w:t>Ti stroški zajemajo prilagoditve sistemov, usposabljanje osebja, vzpostavitev novih postopkov in druge administrativne obveznosti, ki izhajajo iz uredb in direktiv obeh paketov.</w:t>
      </w:r>
    </w:p>
    <w:p w14:paraId="5AC4AC0D" w14:textId="77777777" w:rsidR="00012F1E" w:rsidRPr="00CC6BAC" w:rsidRDefault="00012F1E" w:rsidP="00012F1E">
      <w:pPr>
        <w:rPr>
          <w:b/>
          <w:bCs/>
        </w:rPr>
      </w:pPr>
      <w:r w:rsidRPr="00CC6BAC">
        <w:rPr>
          <w:b/>
          <w:bCs/>
        </w:rPr>
        <w:t>U</w:t>
      </w:r>
      <w:r w:rsidRPr="00301999">
        <w:rPr>
          <w:b/>
          <w:bCs/>
        </w:rPr>
        <w:t>činki na gospodarstvo</w:t>
      </w:r>
    </w:p>
    <w:tbl>
      <w:tblPr>
        <w:tblStyle w:val="Tabelamrea"/>
        <w:tblW w:w="0" w:type="auto"/>
        <w:tblLook w:val="04A0" w:firstRow="1" w:lastRow="0" w:firstColumn="1" w:lastColumn="0" w:noHBand="0" w:noVBand="1"/>
      </w:tblPr>
      <w:tblGrid>
        <w:gridCol w:w="970"/>
        <w:gridCol w:w="3446"/>
        <w:gridCol w:w="4072"/>
      </w:tblGrid>
      <w:tr w:rsidR="00012F1E" w14:paraId="4ADF6278" w14:textId="77777777" w:rsidTr="00E80BDF">
        <w:tc>
          <w:tcPr>
            <w:tcW w:w="988" w:type="dxa"/>
          </w:tcPr>
          <w:p w14:paraId="460952E7" w14:textId="77777777" w:rsidR="00012F1E" w:rsidRDefault="00012F1E" w:rsidP="00E80BDF"/>
        </w:tc>
        <w:tc>
          <w:tcPr>
            <w:tcW w:w="3685" w:type="dxa"/>
          </w:tcPr>
          <w:p w14:paraId="6EBE3C23" w14:textId="77777777" w:rsidR="00012F1E" w:rsidRPr="00CC6BAC" w:rsidRDefault="00012F1E" w:rsidP="00E80BDF">
            <w:pPr>
              <w:rPr>
                <w:b/>
                <w:bCs/>
              </w:rPr>
            </w:pPr>
            <w:r w:rsidRPr="00CC6BAC">
              <w:rPr>
                <w:b/>
                <w:bCs/>
              </w:rPr>
              <w:t xml:space="preserve">Negativni učinki </w:t>
            </w:r>
          </w:p>
        </w:tc>
        <w:tc>
          <w:tcPr>
            <w:tcW w:w="4389" w:type="dxa"/>
          </w:tcPr>
          <w:p w14:paraId="1315EADA" w14:textId="77777777" w:rsidR="00012F1E" w:rsidRPr="00CC6BAC" w:rsidRDefault="00012F1E" w:rsidP="00E80BDF">
            <w:pPr>
              <w:rPr>
                <w:b/>
                <w:bCs/>
              </w:rPr>
            </w:pPr>
            <w:r w:rsidRPr="00CC6BAC">
              <w:rPr>
                <w:b/>
                <w:bCs/>
              </w:rPr>
              <w:t>Pozitivni učinki</w:t>
            </w:r>
          </w:p>
        </w:tc>
      </w:tr>
      <w:tr w:rsidR="00012F1E" w14:paraId="51EB73E2" w14:textId="77777777" w:rsidTr="00E80BDF">
        <w:tc>
          <w:tcPr>
            <w:tcW w:w="988" w:type="dxa"/>
          </w:tcPr>
          <w:p w14:paraId="76D1750D" w14:textId="77777777" w:rsidR="00012F1E" w:rsidRPr="00CC6BAC" w:rsidRDefault="00012F1E" w:rsidP="00E80BDF">
            <w:pPr>
              <w:rPr>
                <w:b/>
                <w:bCs/>
              </w:rPr>
            </w:pPr>
            <w:r w:rsidRPr="00CC6BAC">
              <w:rPr>
                <w:b/>
                <w:bCs/>
              </w:rPr>
              <w:t>DORA</w:t>
            </w:r>
          </w:p>
        </w:tc>
        <w:tc>
          <w:tcPr>
            <w:tcW w:w="3685" w:type="dxa"/>
          </w:tcPr>
          <w:p w14:paraId="5C845D4C" w14:textId="6DD4C30D" w:rsidR="00012F1E" w:rsidRDefault="00012F1E" w:rsidP="00E80BDF">
            <w:r>
              <w:t xml:space="preserve">Stroški </w:t>
            </w:r>
            <w:r w:rsidRPr="00301999">
              <w:t xml:space="preserve">bodo zlasti obremenili </w:t>
            </w:r>
            <w:r>
              <w:t>subjekte</w:t>
            </w:r>
            <w:r w:rsidRPr="00301999">
              <w:t xml:space="preserve">, ki morajo izpolnjevati zahteve glede digitalne operativne odpornosti, kot so obvladovanje tveganj, testiranje odpornosti in poročanje o incidentih. Za MSP, ki delujejo v finančnem sektorju, lahko ti stroški predstavljajo </w:t>
            </w:r>
            <w:r w:rsidR="004D16D6">
              <w:t>pomemben</w:t>
            </w:r>
            <w:r w:rsidR="004D16D6" w:rsidRPr="00301999">
              <w:t xml:space="preserve"> </w:t>
            </w:r>
            <w:r w:rsidRPr="00301999">
              <w:t>delež njihovih prihodkov, kar bi lahko vplivalo na njihovo konkurenčnost</w:t>
            </w:r>
          </w:p>
        </w:tc>
        <w:tc>
          <w:tcPr>
            <w:tcW w:w="4389" w:type="dxa"/>
          </w:tcPr>
          <w:p w14:paraId="5CFC03E6" w14:textId="486D06BC" w:rsidR="00012F1E" w:rsidRDefault="00012F1E" w:rsidP="00E80BDF">
            <w:r w:rsidRPr="00301999">
              <w:t>Uvedba strogih pravil za obvladovanje kibernetskih tveganj bo povečala odpornost finančnih institucij, vključno z MSP, na kibernetske napade in operativne motnje. To bo zmanjšalo tveganje za finančne izgube zaradi kibernetskih incidentov, ki po ocenah Evropske komisije letno povzročijo milijarde evrov škode</w:t>
            </w:r>
            <w:r w:rsidR="00ED459C">
              <w:t>.</w:t>
            </w:r>
          </w:p>
          <w:p w14:paraId="4B2E7FD9" w14:textId="77777777" w:rsidR="00012F1E" w:rsidRDefault="00012F1E" w:rsidP="00E80BDF">
            <w:r w:rsidRPr="00301999">
              <w:t>Investicije v kibernetsko varnost, čeprav sprva povezane z višjimi stroški, bodo zmanjšale stroške, povezane z morebitnimi kibernetskimi incidenti, in povečale zaupanje vlagateljev in strank.</w:t>
            </w:r>
          </w:p>
        </w:tc>
      </w:tr>
      <w:tr w:rsidR="00012F1E" w14:paraId="6D053A87" w14:textId="77777777" w:rsidTr="00E80BDF">
        <w:tc>
          <w:tcPr>
            <w:tcW w:w="988" w:type="dxa"/>
          </w:tcPr>
          <w:p w14:paraId="50C98CF4" w14:textId="77777777" w:rsidR="00012F1E" w:rsidRPr="00CC6BAC" w:rsidRDefault="00012F1E" w:rsidP="00E80BDF">
            <w:pPr>
              <w:rPr>
                <w:b/>
                <w:bCs/>
              </w:rPr>
            </w:pPr>
            <w:r w:rsidRPr="00CC6BAC">
              <w:rPr>
                <w:b/>
                <w:bCs/>
              </w:rPr>
              <w:t>ESAP</w:t>
            </w:r>
          </w:p>
        </w:tc>
        <w:tc>
          <w:tcPr>
            <w:tcW w:w="3685" w:type="dxa"/>
          </w:tcPr>
          <w:p w14:paraId="5F313D09" w14:textId="77777777" w:rsidR="00012F1E" w:rsidRDefault="00012F1E" w:rsidP="00E80BDF">
            <w:r>
              <w:t>Stroški bodo prizadeli</w:t>
            </w:r>
            <w:r w:rsidRPr="00301999">
              <w:t xml:space="preserve"> subjekte, ki morajo zagotavljati podatke za enotno dostopno točko, zlasti tiste, ki še nimajo vzpostavljenih sistemov za poročanje. Za MSP, ki imajo omejene vire, lahko to poveča administrativno breme</w:t>
            </w:r>
          </w:p>
        </w:tc>
        <w:tc>
          <w:tcPr>
            <w:tcW w:w="4389" w:type="dxa"/>
          </w:tcPr>
          <w:p w14:paraId="7EFF7EA6" w14:textId="77777777" w:rsidR="00012F1E" w:rsidRDefault="00012F1E" w:rsidP="00E80BDF">
            <w:r w:rsidRPr="00301999">
              <w:t>Vzpostavitev enotne dostopne točke za finančne in nefinančne informacije bo olajšala dostop do podatkov za vlagatelje, analitike in regulatorje. MSP bodo imela koristi od povečane vidnosti na trgu, saj bodo njihovi podatki lažje dostopni potencialnim vlagateljem, kar lahko izboljša dostop do financiranja.</w:t>
            </w:r>
          </w:p>
          <w:p w14:paraId="2AAA943A" w14:textId="77777777" w:rsidR="00012F1E" w:rsidRDefault="00012F1E" w:rsidP="00E80BDF">
            <w:r w:rsidRPr="00301999">
              <w:t>Standardizacija poročanja bo dolgoročno zmanjšala administrativne stroške, saj bodo MSP lahko uporabljala enotne formate, kar bo zmanjšalo potrebo po prilagajanju različnim nacionalnim zahtevam.</w:t>
            </w:r>
          </w:p>
        </w:tc>
      </w:tr>
      <w:tr w:rsidR="00012F1E" w14:paraId="04CF1276" w14:textId="77777777" w:rsidTr="00E80BDF">
        <w:tc>
          <w:tcPr>
            <w:tcW w:w="988" w:type="dxa"/>
          </w:tcPr>
          <w:p w14:paraId="7CA3357D" w14:textId="77777777" w:rsidR="00012F1E" w:rsidRPr="00CC6BAC" w:rsidRDefault="00012F1E" w:rsidP="00E80BDF">
            <w:pPr>
              <w:rPr>
                <w:b/>
                <w:bCs/>
              </w:rPr>
            </w:pPr>
            <w:r>
              <w:rPr>
                <w:b/>
                <w:bCs/>
              </w:rPr>
              <w:t>Ocena</w:t>
            </w:r>
          </w:p>
        </w:tc>
        <w:tc>
          <w:tcPr>
            <w:tcW w:w="3685" w:type="dxa"/>
          </w:tcPr>
          <w:p w14:paraId="1C4804B5" w14:textId="77777777" w:rsidR="00012F1E" w:rsidRDefault="00012F1E" w:rsidP="00E80BDF">
            <w:pPr>
              <w:spacing w:after="160" w:line="259" w:lineRule="auto"/>
            </w:pPr>
            <w:r w:rsidRPr="00301999">
              <w:t xml:space="preserve">Višji stroški implementacije bi lahko zmanjšali razpoložljiva sredstva MSP za naložbe v </w:t>
            </w:r>
            <w:r>
              <w:t>raziskave</w:t>
            </w:r>
            <w:r w:rsidRPr="00301999">
              <w:t xml:space="preserve"> ali širitev poslovanja, kar bi lahko negativno vplivalo na njihovo konkurenčnost, zlasti v primerjavi z večjimi podjetji, ki imajo večje zmogljivosti za absorbiranje stroškov.</w:t>
            </w:r>
          </w:p>
        </w:tc>
        <w:tc>
          <w:tcPr>
            <w:tcW w:w="4389" w:type="dxa"/>
          </w:tcPr>
          <w:p w14:paraId="11E956D1" w14:textId="77777777" w:rsidR="00012F1E" w:rsidRDefault="00012F1E" w:rsidP="00E80BDF">
            <w:r w:rsidRPr="00301999">
              <w:t>Oba regulativna okvira bosta prispevala k večji stabilnosti finančnih trgov in zaupanju deležnikov. MSP, ki delujejo v finančnem sektorju ali potrebujejo dostop do kapitala, bodo imela koristi od bolj predvidljivega in varnega poslovnega okolja, kar lahko spodbuja naložbe in gospodarsko rast.</w:t>
            </w:r>
          </w:p>
          <w:p w14:paraId="3FB45935" w14:textId="77777777" w:rsidR="00012F1E" w:rsidRPr="00301999" w:rsidRDefault="00012F1E" w:rsidP="00E80BDF"/>
        </w:tc>
      </w:tr>
    </w:tbl>
    <w:p w14:paraId="5A34966B" w14:textId="00A63020" w:rsidR="00ED36BF" w:rsidRPr="00445B9C" w:rsidRDefault="00ED36BF" w:rsidP="00ED36BF">
      <w:pPr>
        <w:spacing w:line="260" w:lineRule="exact"/>
        <w:jc w:val="both"/>
        <w:rPr>
          <w:rFonts w:cs="Arial"/>
          <w:szCs w:val="20"/>
        </w:rPr>
      </w:pPr>
    </w:p>
    <w:p w14:paraId="2E7B65BB" w14:textId="77777777" w:rsidR="00ED36BF" w:rsidRPr="00445B9C" w:rsidRDefault="00ED36BF" w:rsidP="00ED36BF">
      <w:pPr>
        <w:spacing w:line="260" w:lineRule="exact"/>
        <w:jc w:val="both"/>
        <w:rPr>
          <w:rFonts w:cs="Arial"/>
          <w:b/>
          <w:szCs w:val="20"/>
        </w:rPr>
      </w:pPr>
    </w:p>
    <w:p w14:paraId="4EFA8F20" w14:textId="77777777" w:rsidR="00ED36BF" w:rsidRPr="00445B9C" w:rsidRDefault="00ED36BF" w:rsidP="00ED36BF">
      <w:pPr>
        <w:spacing w:line="260" w:lineRule="exact"/>
        <w:jc w:val="both"/>
        <w:rPr>
          <w:rFonts w:cs="Arial"/>
          <w:b/>
          <w:szCs w:val="20"/>
        </w:rPr>
      </w:pPr>
      <w:r w:rsidRPr="00445B9C">
        <w:rPr>
          <w:rFonts w:cs="Arial"/>
          <w:b/>
          <w:szCs w:val="20"/>
        </w:rPr>
        <w:lastRenderedPageBreak/>
        <w:t>6.4. Presoja posledic za socialno področje</w:t>
      </w:r>
    </w:p>
    <w:p w14:paraId="7D519071" w14:textId="77777777" w:rsidR="00ED36BF" w:rsidRPr="00445B9C" w:rsidRDefault="00ED36BF" w:rsidP="00ED36BF">
      <w:pPr>
        <w:spacing w:line="260" w:lineRule="exact"/>
        <w:jc w:val="both"/>
        <w:rPr>
          <w:rFonts w:cs="Arial"/>
          <w:szCs w:val="20"/>
        </w:rPr>
      </w:pPr>
      <w:r w:rsidRPr="00445B9C">
        <w:rPr>
          <w:rFonts w:cs="Arial"/>
          <w:szCs w:val="20"/>
        </w:rPr>
        <w:t>Predlog zakona nima posledic na socialnem področju.</w:t>
      </w:r>
    </w:p>
    <w:p w14:paraId="3D1F4CBE" w14:textId="77777777" w:rsidR="00ED36BF" w:rsidRPr="00445B9C" w:rsidRDefault="00ED36BF" w:rsidP="00ED36BF">
      <w:pPr>
        <w:spacing w:line="260" w:lineRule="exact"/>
        <w:jc w:val="both"/>
        <w:rPr>
          <w:rFonts w:cs="Arial"/>
          <w:b/>
          <w:szCs w:val="20"/>
        </w:rPr>
      </w:pPr>
    </w:p>
    <w:p w14:paraId="74CFDB14" w14:textId="77777777" w:rsidR="00ED36BF" w:rsidRPr="00445B9C" w:rsidRDefault="00ED36BF" w:rsidP="00ED36BF">
      <w:pPr>
        <w:spacing w:line="260" w:lineRule="exact"/>
        <w:jc w:val="both"/>
        <w:rPr>
          <w:rFonts w:cs="Arial"/>
          <w:b/>
          <w:szCs w:val="20"/>
        </w:rPr>
      </w:pPr>
      <w:r w:rsidRPr="00445B9C">
        <w:rPr>
          <w:rFonts w:cs="Arial"/>
          <w:b/>
          <w:szCs w:val="20"/>
        </w:rPr>
        <w:t>6.5. Presoja posledic za dokumente razvojnega načrtovanja</w:t>
      </w:r>
    </w:p>
    <w:p w14:paraId="65148819" w14:textId="77777777" w:rsidR="00ED36BF" w:rsidRPr="00445B9C" w:rsidRDefault="00ED36BF" w:rsidP="00ED36BF">
      <w:pPr>
        <w:spacing w:line="260" w:lineRule="exact"/>
        <w:jc w:val="both"/>
        <w:rPr>
          <w:rFonts w:cs="Arial"/>
          <w:szCs w:val="20"/>
        </w:rPr>
      </w:pPr>
      <w:r w:rsidRPr="00445B9C">
        <w:rPr>
          <w:rFonts w:cs="Arial"/>
          <w:szCs w:val="20"/>
        </w:rPr>
        <w:t>Predlog zakona nima posledic za dokumente razvojnega načrtovanja.</w:t>
      </w:r>
    </w:p>
    <w:p w14:paraId="5FB60E68" w14:textId="77777777" w:rsidR="00ED36BF" w:rsidRPr="00445B9C" w:rsidRDefault="00ED36BF" w:rsidP="00ED36BF">
      <w:pPr>
        <w:spacing w:line="260" w:lineRule="exact"/>
        <w:jc w:val="both"/>
        <w:rPr>
          <w:rFonts w:cs="Arial"/>
          <w:b/>
          <w:szCs w:val="20"/>
        </w:rPr>
      </w:pPr>
    </w:p>
    <w:p w14:paraId="66539820" w14:textId="77777777" w:rsidR="00ED36BF" w:rsidRPr="00445B9C" w:rsidRDefault="00ED36BF" w:rsidP="00ED36BF">
      <w:pPr>
        <w:spacing w:line="260" w:lineRule="exact"/>
        <w:jc w:val="both"/>
        <w:rPr>
          <w:rFonts w:cs="Arial"/>
          <w:b/>
          <w:szCs w:val="20"/>
        </w:rPr>
      </w:pPr>
      <w:r w:rsidRPr="00445B9C">
        <w:rPr>
          <w:rFonts w:cs="Arial"/>
          <w:b/>
          <w:szCs w:val="20"/>
        </w:rPr>
        <w:t>6.6. Presoja posledic za druga področja</w:t>
      </w:r>
    </w:p>
    <w:p w14:paraId="2FFFF67E" w14:textId="77777777" w:rsidR="00ED36BF" w:rsidRPr="00445B9C" w:rsidRDefault="00ED36BF" w:rsidP="00ED36BF">
      <w:pPr>
        <w:spacing w:line="260" w:lineRule="exact"/>
        <w:jc w:val="both"/>
        <w:rPr>
          <w:rFonts w:cs="Arial"/>
          <w:szCs w:val="20"/>
        </w:rPr>
      </w:pPr>
      <w:r w:rsidRPr="00445B9C">
        <w:rPr>
          <w:rFonts w:cs="Arial"/>
          <w:szCs w:val="20"/>
        </w:rPr>
        <w:t>Predlog zakona nima posledic za druga področja.</w:t>
      </w:r>
    </w:p>
    <w:p w14:paraId="09A004B6" w14:textId="77777777" w:rsidR="00ED36BF" w:rsidRPr="00445B9C" w:rsidRDefault="00ED36BF" w:rsidP="00ED36BF">
      <w:pPr>
        <w:spacing w:line="260" w:lineRule="exact"/>
        <w:jc w:val="both"/>
        <w:rPr>
          <w:rFonts w:cs="Arial"/>
          <w:b/>
          <w:szCs w:val="20"/>
        </w:rPr>
      </w:pPr>
    </w:p>
    <w:p w14:paraId="5AE171CA" w14:textId="77777777" w:rsidR="00ED36BF" w:rsidRPr="00445B9C" w:rsidRDefault="00ED36BF" w:rsidP="00ED36BF">
      <w:pPr>
        <w:spacing w:line="260" w:lineRule="exact"/>
        <w:jc w:val="both"/>
        <w:rPr>
          <w:rFonts w:cs="Arial"/>
          <w:b/>
          <w:szCs w:val="20"/>
        </w:rPr>
      </w:pPr>
      <w:r w:rsidRPr="00445B9C">
        <w:rPr>
          <w:rFonts w:cs="Arial"/>
          <w:b/>
          <w:szCs w:val="20"/>
        </w:rPr>
        <w:t>6.7. Izvajanje sprejetega predpisa</w:t>
      </w:r>
    </w:p>
    <w:p w14:paraId="15D72AA7" w14:textId="5396E224" w:rsidR="00ED36BF" w:rsidRPr="00445B9C" w:rsidRDefault="00ED36BF" w:rsidP="00ED36BF">
      <w:pPr>
        <w:spacing w:line="260" w:lineRule="exact"/>
        <w:jc w:val="both"/>
        <w:rPr>
          <w:rFonts w:cs="Arial"/>
          <w:szCs w:val="20"/>
        </w:rPr>
      </w:pPr>
      <w:r w:rsidRPr="00445B9C">
        <w:rPr>
          <w:rFonts w:cs="Arial"/>
          <w:szCs w:val="20"/>
        </w:rPr>
        <w:t xml:space="preserve">Izvajanje predpisa </w:t>
      </w:r>
      <w:r w:rsidR="008E4CA9">
        <w:rPr>
          <w:rFonts w:cs="Arial"/>
          <w:szCs w:val="20"/>
        </w:rPr>
        <w:t xml:space="preserve">se </w:t>
      </w:r>
      <w:r w:rsidRPr="00445B9C">
        <w:rPr>
          <w:rFonts w:cs="Arial"/>
          <w:szCs w:val="20"/>
        </w:rPr>
        <w:t>bo spremlja</w:t>
      </w:r>
      <w:r w:rsidR="008E4CA9">
        <w:rPr>
          <w:rFonts w:cs="Arial"/>
          <w:szCs w:val="20"/>
        </w:rPr>
        <w:t>l</w:t>
      </w:r>
      <w:r w:rsidRPr="00445B9C">
        <w:rPr>
          <w:rFonts w:cs="Arial"/>
          <w:szCs w:val="20"/>
        </w:rPr>
        <w:t>o v sodelovanju z Agencijo za trg vrednostnih papirjev</w:t>
      </w:r>
      <w:r w:rsidR="0079628A" w:rsidRPr="00445B9C">
        <w:rPr>
          <w:rFonts w:cs="Arial"/>
          <w:szCs w:val="20"/>
        </w:rPr>
        <w:t>.</w:t>
      </w:r>
    </w:p>
    <w:p w14:paraId="7A8BFB17" w14:textId="77777777" w:rsidR="00ED36BF" w:rsidRPr="00445B9C" w:rsidRDefault="00ED36BF" w:rsidP="00ED36BF">
      <w:pPr>
        <w:spacing w:line="260" w:lineRule="exact"/>
        <w:jc w:val="both"/>
        <w:rPr>
          <w:rFonts w:cs="Arial"/>
          <w:b/>
          <w:szCs w:val="20"/>
        </w:rPr>
      </w:pPr>
    </w:p>
    <w:p w14:paraId="672CAAEC" w14:textId="77777777" w:rsidR="00ED36BF" w:rsidRPr="00445B9C" w:rsidRDefault="00ED36BF" w:rsidP="00ED36BF">
      <w:pPr>
        <w:spacing w:line="260" w:lineRule="exact"/>
        <w:jc w:val="both"/>
        <w:rPr>
          <w:rFonts w:cs="Arial"/>
          <w:b/>
          <w:szCs w:val="20"/>
        </w:rPr>
      </w:pPr>
      <w:r w:rsidRPr="00445B9C">
        <w:rPr>
          <w:rFonts w:cs="Arial"/>
          <w:b/>
          <w:szCs w:val="20"/>
        </w:rPr>
        <w:t>6.8. Druge pomembne okoliščine v zvezi z vprašanji, ki jih ureja predlog zakona</w:t>
      </w:r>
    </w:p>
    <w:p w14:paraId="37A60C75" w14:textId="77777777" w:rsidR="00ED36BF" w:rsidRPr="00445B9C" w:rsidRDefault="00ED36BF" w:rsidP="00ED36BF">
      <w:pPr>
        <w:spacing w:line="260" w:lineRule="exact"/>
        <w:rPr>
          <w:rFonts w:cs="Arial"/>
          <w:szCs w:val="20"/>
        </w:rPr>
      </w:pPr>
      <w:r w:rsidRPr="00445B9C">
        <w:rPr>
          <w:rFonts w:cs="Arial"/>
          <w:szCs w:val="20"/>
        </w:rPr>
        <w:t>V zvezi s predlogom zakona ni drugih pomembnih okoliščin.</w:t>
      </w:r>
    </w:p>
    <w:p w14:paraId="7838AD7B" w14:textId="77777777" w:rsidR="00ED36BF" w:rsidRPr="00445B9C" w:rsidRDefault="00ED36BF" w:rsidP="00ED36BF">
      <w:pPr>
        <w:spacing w:line="260" w:lineRule="exact"/>
        <w:rPr>
          <w:rFonts w:cs="Arial"/>
          <w:szCs w:val="20"/>
        </w:rPr>
      </w:pPr>
    </w:p>
    <w:p w14:paraId="316444BD" w14:textId="77777777" w:rsidR="00ED36BF" w:rsidRPr="00445B9C" w:rsidRDefault="00ED36BF" w:rsidP="00ED36BF">
      <w:pPr>
        <w:numPr>
          <w:ilvl w:val="0"/>
          <w:numId w:val="12"/>
        </w:numPr>
        <w:spacing w:line="260" w:lineRule="exact"/>
        <w:rPr>
          <w:rFonts w:cs="Arial"/>
          <w:b/>
          <w:szCs w:val="20"/>
        </w:rPr>
      </w:pPr>
      <w:r w:rsidRPr="00445B9C">
        <w:rPr>
          <w:rFonts w:cs="Arial"/>
          <w:b/>
          <w:szCs w:val="20"/>
        </w:rPr>
        <w:t>PRIKAZ SODELOVANJA JAVNOSTI PRI PRIPRAVI PREDLOGA ZAKONA</w:t>
      </w:r>
    </w:p>
    <w:p w14:paraId="6EADE6A4" w14:textId="110F7FEF" w:rsidR="00ED36BF" w:rsidRPr="00445B9C" w:rsidRDefault="00ED36BF" w:rsidP="00ED36BF">
      <w:pPr>
        <w:spacing w:line="260" w:lineRule="exact"/>
        <w:rPr>
          <w:rFonts w:cs="Arial"/>
          <w:b/>
          <w:szCs w:val="20"/>
        </w:rPr>
      </w:pPr>
    </w:p>
    <w:p w14:paraId="20761592" w14:textId="387A2180" w:rsidR="00B9333E" w:rsidRPr="00445B9C" w:rsidRDefault="00B9333E" w:rsidP="00B9333E">
      <w:pPr>
        <w:spacing w:line="260" w:lineRule="exact"/>
        <w:jc w:val="both"/>
        <w:rPr>
          <w:rFonts w:cs="Arial"/>
          <w:szCs w:val="20"/>
        </w:rPr>
      </w:pPr>
      <w:r w:rsidRPr="00445B9C">
        <w:rPr>
          <w:rFonts w:cs="Arial"/>
          <w:szCs w:val="20"/>
        </w:rPr>
        <w:t xml:space="preserve">Javna objava predloga Zakona o spremembah in dopolnitvah Zakona o trgu finančnih instrumentov je potekala od 1.  do 15. </w:t>
      </w:r>
      <w:r w:rsidR="007A5DE3">
        <w:rPr>
          <w:rFonts w:cs="Arial"/>
          <w:szCs w:val="20"/>
        </w:rPr>
        <w:t>aprila</w:t>
      </w:r>
      <w:r w:rsidRPr="00445B9C">
        <w:rPr>
          <w:rFonts w:cs="Arial"/>
          <w:szCs w:val="20"/>
        </w:rPr>
        <w:t xml:space="preserve"> 2025. Gradivo je bilo objavljeno na spletnem portalu </w:t>
      </w:r>
      <w:proofErr w:type="spellStart"/>
      <w:r w:rsidRPr="00445B9C">
        <w:rPr>
          <w:rFonts w:cs="Arial"/>
          <w:szCs w:val="20"/>
        </w:rPr>
        <w:t>eDemokracija</w:t>
      </w:r>
      <w:proofErr w:type="spellEnd"/>
      <w:r w:rsidRPr="00445B9C">
        <w:rPr>
          <w:rFonts w:cs="Arial"/>
          <w:szCs w:val="20"/>
        </w:rPr>
        <w:t xml:space="preserve">: </w:t>
      </w:r>
      <w:r w:rsidR="0005085F" w:rsidRPr="0005085F">
        <w:rPr>
          <w:rFonts w:cs="Arial"/>
          <w:szCs w:val="20"/>
        </w:rPr>
        <w:t>https://e-uprava.gov.si/si/drzava-in-druzba/e-demokracija/predlogi-predpisov/predlog-predpisa.html?id=17687&amp;lang=si</w:t>
      </w:r>
      <w:r w:rsidR="007A5DE3">
        <w:rPr>
          <w:rFonts w:cs="Arial"/>
          <w:szCs w:val="20"/>
        </w:rPr>
        <w:t xml:space="preserve">. </w:t>
      </w:r>
    </w:p>
    <w:p w14:paraId="6D263C68" w14:textId="77777777" w:rsidR="00B9333E" w:rsidRPr="00445B9C" w:rsidRDefault="00B9333E" w:rsidP="00B9333E">
      <w:pPr>
        <w:spacing w:line="260" w:lineRule="exact"/>
        <w:jc w:val="both"/>
        <w:rPr>
          <w:rFonts w:cs="Arial"/>
          <w:szCs w:val="20"/>
        </w:rPr>
      </w:pPr>
    </w:p>
    <w:p w14:paraId="2C0685E0" w14:textId="01465EBB" w:rsidR="00BD7ABF" w:rsidRPr="00445B9C" w:rsidRDefault="00B9333E" w:rsidP="00BD7ABF">
      <w:pPr>
        <w:pStyle w:val="Brezrazmikov"/>
        <w:jc w:val="both"/>
        <w:rPr>
          <w:rFonts w:cs="Arial"/>
          <w:iCs/>
          <w:szCs w:val="20"/>
          <w:lang w:val="sl-SI"/>
        </w:rPr>
      </w:pPr>
      <w:r w:rsidRPr="00EB5E5A">
        <w:rPr>
          <w:rFonts w:cs="Arial"/>
          <w:szCs w:val="20"/>
          <w:lang w:val="pt-BR"/>
        </w:rPr>
        <w:t>Bistveni predlogi in pripombe ter način njihovega upoštevanja:</w:t>
      </w:r>
    </w:p>
    <w:p w14:paraId="6BEE8A3B" w14:textId="77777777" w:rsidR="0083719D" w:rsidRPr="00445B9C" w:rsidRDefault="0083719D" w:rsidP="00BD7ABF">
      <w:pPr>
        <w:pStyle w:val="Brezrazmikov"/>
        <w:jc w:val="both"/>
        <w:rPr>
          <w:rFonts w:cs="Arial"/>
          <w:iCs/>
          <w:szCs w:val="20"/>
          <w:lang w:val="sl-SI"/>
        </w:rPr>
      </w:pPr>
    </w:p>
    <w:p w14:paraId="4BDAD658" w14:textId="06AB126D" w:rsidR="00BD7ABF" w:rsidRPr="00445B9C" w:rsidRDefault="00BD7ABF" w:rsidP="00BD7ABF">
      <w:pPr>
        <w:pStyle w:val="Brezrazmikov"/>
        <w:jc w:val="both"/>
        <w:rPr>
          <w:rFonts w:cs="Arial"/>
          <w:iCs/>
          <w:szCs w:val="20"/>
          <w:lang w:val="sl-SI"/>
        </w:rPr>
      </w:pPr>
      <w:r w:rsidRPr="00445B9C">
        <w:rPr>
          <w:rFonts w:cs="Arial"/>
          <w:iCs/>
          <w:szCs w:val="20"/>
          <w:lang w:val="sl-SI"/>
        </w:rPr>
        <w:t>Banka Slovenije je predlagala:</w:t>
      </w:r>
    </w:p>
    <w:p w14:paraId="255DC676" w14:textId="5976586F" w:rsidR="00BD7ABF" w:rsidRPr="00445B9C" w:rsidRDefault="00BD7ABF" w:rsidP="00BD7ABF">
      <w:pPr>
        <w:pStyle w:val="Brezrazmikov"/>
        <w:numPr>
          <w:ilvl w:val="0"/>
          <w:numId w:val="31"/>
        </w:numPr>
        <w:jc w:val="both"/>
        <w:rPr>
          <w:rFonts w:cs="Arial"/>
          <w:iCs/>
          <w:szCs w:val="20"/>
          <w:lang w:val="sl-SI"/>
        </w:rPr>
      </w:pPr>
      <w:r w:rsidRPr="00445B9C">
        <w:rPr>
          <w:rFonts w:cs="Arial"/>
          <w:iCs/>
          <w:szCs w:val="20"/>
          <w:lang w:val="sl-SI"/>
        </w:rPr>
        <w:t xml:space="preserve">črtanje izraza »modelsko tveganje« v tretjem odstavku 5. člena ZTFI-1, saj je bila zadevna definicija </w:t>
      </w:r>
      <w:r w:rsidR="001334BB">
        <w:rPr>
          <w:rFonts w:cs="Arial"/>
          <w:iCs/>
          <w:szCs w:val="20"/>
          <w:lang w:val="sl-SI"/>
        </w:rPr>
        <w:t>s spremembo</w:t>
      </w:r>
      <w:r w:rsidRPr="00445B9C">
        <w:rPr>
          <w:rFonts w:cs="Arial"/>
          <w:iCs/>
          <w:szCs w:val="20"/>
          <w:lang w:val="sl-SI"/>
        </w:rPr>
        <w:t xml:space="preserve"> ZBan-3 odpravljena – predlog je upoštevan;</w:t>
      </w:r>
    </w:p>
    <w:p w14:paraId="19936434" w14:textId="215E66CD" w:rsidR="00BD7ABF" w:rsidRPr="00445B9C" w:rsidRDefault="00BD7ABF" w:rsidP="00BD7ABF">
      <w:pPr>
        <w:pStyle w:val="Brezrazmikov"/>
        <w:numPr>
          <w:ilvl w:val="0"/>
          <w:numId w:val="31"/>
        </w:numPr>
        <w:jc w:val="both"/>
        <w:rPr>
          <w:rFonts w:cs="Arial"/>
          <w:iCs/>
          <w:szCs w:val="20"/>
          <w:lang w:val="sl-SI"/>
        </w:rPr>
      </w:pPr>
      <w:r w:rsidRPr="00445B9C">
        <w:rPr>
          <w:rFonts w:cs="Arial"/>
          <w:iCs/>
          <w:szCs w:val="20"/>
          <w:lang w:val="sl-SI"/>
        </w:rPr>
        <w:t>dopolnitev drugega in četrtega odstavka 20. člen</w:t>
      </w:r>
      <w:r w:rsidR="007A5DE3">
        <w:rPr>
          <w:rFonts w:cs="Arial"/>
          <w:iCs/>
          <w:szCs w:val="20"/>
          <w:lang w:val="sl-SI"/>
        </w:rPr>
        <w:t>a</w:t>
      </w:r>
      <w:r w:rsidRPr="00445B9C">
        <w:rPr>
          <w:rFonts w:cs="Arial"/>
          <w:iCs/>
          <w:szCs w:val="20"/>
          <w:lang w:val="sl-SI"/>
        </w:rPr>
        <w:t xml:space="preserve"> in prvega odstavka 61. člena ZTFI-1 na način, da se doda izraz »kreditna družba« ter dodatno preveri, ali so navedene spremembe potrebne še v dodanih členih ZTFI-1 – predlog je upoštevan, izraz »kreditna družba« je bil dodan še v 36., 61., 195., 344., 358., 411. in 448. členu ZTFI-1;</w:t>
      </w:r>
    </w:p>
    <w:p w14:paraId="4677CF5F" w14:textId="4716F158" w:rsidR="00BD7ABF" w:rsidRPr="00445B9C" w:rsidRDefault="00BD7ABF" w:rsidP="00BD7ABF">
      <w:pPr>
        <w:pStyle w:val="Brezrazmikov"/>
        <w:numPr>
          <w:ilvl w:val="0"/>
          <w:numId w:val="31"/>
        </w:numPr>
        <w:jc w:val="both"/>
        <w:rPr>
          <w:rFonts w:cs="Arial"/>
          <w:iCs/>
          <w:szCs w:val="20"/>
          <w:lang w:val="sl-SI"/>
        </w:rPr>
      </w:pPr>
      <w:r w:rsidRPr="00445B9C">
        <w:rPr>
          <w:rFonts w:cs="Arial"/>
          <w:iCs/>
          <w:szCs w:val="20"/>
          <w:lang w:val="sl-SI"/>
        </w:rPr>
        <w:t>da se v členu v 1. toč</w:t>
      </w:r>
      <w:r w:rsidR="00CE5447" w:rsidRPr="00445B9C">
        <w:rPr>
          <w:rFonts w:cs="Arial"/>
          <w:iCs/>
          <w:szCs w:val="20"/>
          <w:lang w:val="sl-SI"/>
        </w:rPr>
        <w:t>k</w:t>
      </w:r>
      <w:r w:rsidRPr="00445B9C">
        <w:rPr>
          <w:rFonts w:cs="Arial"/>
          <w:iCs/>
          <w:szCs w:val="20"/>
          <w:lang w:val="sl-SI"/>
        </w:rPr>
        <w:t>i drugega odstavka 59. člena ZTFI-1 besedilo »ki za to pridobi dovoljenje Banke Slovenije« nadomesti z besedilom »ki za to pridobi dovoljenje v skladu z ZBan-3«, saj dovoljenja za poslovanje banke ali kreditne družbe izdaja Evropska centralna banka – predlog je upoštevan; in</w:t>
      </w:r>
    </w:p>
    <w:p w14:paraId="7D5B36FD" w14:textId="6F1437F3" w:rsidR="00BD7ABF" w:rsidRPr="00445B9C" w:rsidRDefault="00BD7ABF" w:rsidP="00BD7ABF">
      <w:pPr>
        <w:pStyle w:val="Brezrazmikov"/>
        <w:numPr>
          <w:ilvl w:val="0"/>
          <w:numId w:val="31"/>
        </w:numPr>
        <w:jc w:val="both"/>
        <w:rPr>
          <w:rFonts w:cs="Arial"/>
          <w:iCs/>
          <w:szCs w:val="20"/>
          <w:lang w:val="sl-SI"/>
        </w:rPr>
      </w:pPr>
      <w:r w:rsidRPr="00445B9C">
        <w:rPr>
          <w:rFonts w:cs="Arial"/>
          <w:iCs/>
          <w:szCs w:val="20"/>
          <w:lang w:val="sl-SI"/>
        </w:rPr>
        <w:t xml:space="preserve">da se besedilo prvega odstavka 133. člena ZTFI-1 prilagodi zaradi uskladitve z Zakonom o spremembah in dopolnitvah Zakona o gospodarskih družbah (ZGD-1M), s katerim je bila </w:t>
      </w:r>
      <w:r w:rsidR="003C7D53" w:rsidRPr="00445B9C">
        <w:rPr>
          <w:rFonts w:cs="Arial"/>
          <w:iCs/>
          <w:szCs w:val="20"/>
          <w:lang w:val="sl-SI"/>
        </w:rPr>
        <w:t>»</w:t>
      </w:r>
      <w:r w:rsidRPr="00445B9C">
        <w:rPr>
          <w:rFonts w:cs="Arial"/>
          <w:iCs/>
          <w:szCs w:val="20"/>
          <w:lang w:val="sl-SI"/>
        </w:rPr>
        <w:t>izjava o nefinančnem poslovanju</w:t>
      </w:r>
      <w:r w:rsidR="003C7D53" w:rsidRPr="00445B9C">
        <w:rPr>
          <w:rFonts w:cs="Arial"/>
          <w:iCs/>
          <w:szCs w:val="20"/>
          <w:lang w:val="sl-SI"/>
        </w:rPr>
        <w:t>«</w:t>
      </w:r>
      <w:r w:rsidRPr="00445B9C">
        <w:rPr>
          <w:rFonts w:cs="Arial"/>
          <w:iCs/>
          <w:szCs w:val="20"/>
          <w:lang w:val="sl-SI"/>
        </w:rPr>
        <w:t xml:space="preserve"> nadomeščena s </w:t>
      </w:r>
      <w:r w:rsidR="003C7D53" w:rsidRPr="00445B9C">
        <w:rPr>
          <w:rFonts w:cs="Arial"/>
          <w:iCs/>
          <w:szCs w:val="20"/>
          <w:lang w:val="sl-SI"/>
        </w:rPr>
        <w:t>»</w:t>
      </w:r>
      <w:r w:rsidRPr="00445B9C">
        <w:rPr>
          <w:rFonts w:cs="Arial"/>
          <w:iCs/>
          <w:szCs w:val="20"/>
          <w:lang w:val="sl-SI"/>
        </w:rPr>
        <w:t xml:space="preserve">poročilom o </w:t>
      </w:r>
      <w:proofErr w:type="spellStart"/>
      <w:r w:rsidRPr="00445B9C">
        <w:rPr>
          <w:rFonts w:cs="Arial"/>
          <w:iCs/>
          <w:szCs w:val="20"/>
          <w:lang w:val="sl-SI"/>
        </w:rPr>
        <w:t>trajnostnosti</w:t>
      </w:r>
      <w:proofErr w:type="spellEnd"/>
      <w:r w:rsidR="003C7D53" w:rsidRPr="00445B9C">
        <w:rPr>
          <w:rFonts w:cs="Arial"/>
          <w:iCs/>
          <w:szCs w:val="20"/>
          <w:lang w:val="sl-SI"/>
        </w:rPr>
        <w:t>«</w:t>
      </w:r>
      <w:r w:rsidRPr="00445B9C">
        <w:rPr>
          <w:rFonts w:cs="Arial"/>
          <w:iCs/>
          <w:szCs w:val="20"/>
          <w:lang w:val="sl-SI"/>
        </w:rPr>
        <w:t>.</w:t>
      </w:r>
    </w:p>
    <w:p w14:paraId="2F59930E" w14:textId="77777777" w:rsidR="00BD7ABF" w:rsidRPr="00445B9C" w:rsidRDefault="00BD7ABF" w:rsidP="00BD7ABF">
      <w:pPr>
        <w:pStyle w:val="Brezrazmikov"/>
        <w:jc w:val="both"/>
        <w:rPr>
          <w:rFonts w:cs="Arial"/>
          <w:iCs/>
          <w:szCs w:val="20"/>
          <w:lang w:val="sl-SI"/>
        </w:rPr>
      </w:pPr>
    </w:p>
    <w:p w14:paraId="1A6B3F67" w14:textId="77777777" w:rsidR="00BD7ABF" w:rsidRPr="00445B9C" w:rsidRDefault="00BD7ABF" w:rsidP="00BD7ABF">
      <w:pPr>
        <w:pStyle w:val="Brezrazmikov"/>
        <w:jc w:val="both"/>
        <w:rPr>
          <w:rFonts w:cs="Arial"/>
          <w:iCs/>
          <w:szCs w:val="20"/>
          <w:lang w:val="sl-SI"/>
        </w:rPr>
      </w:pPr>
      <w:r w:rsidRPr="00445B9C">
        <w:rPr>
          <w:rFonts w:cs="Arial"/>
          <w:iCs/>
          <w:szCs w:val="20"/>
          <w:lang w:val="sl-SI"/>
        </w:rPr>
        <w:t>ATVP je predlagala:</w:t>
      </w:r>
    </w:p>
    <w:p w14:paraId="1F6C188E" w14:textId="77777777" w:rsidR="00BD7ABF" w:rsidRPr="00445B9C" w:rsidRDefault="00BD7ABF" w:rsidP="00BD7ABF">
      <w:pPr>
        <w:pStyle w:val="Brezrazmikov"/>
        <w:numPr>
          <w:ilvl w:val="0"/>
          <w:numId w:val="32"/>
        </w:numPr>
        <w:jc w:val="both"/>
        <w:rPr>
          <w:rFonts w:cs="Arial"/>
          <w:iCs/>
          <w:szCs w:val="20"/>
          <w:lang w:val="sl-SI"/>
        </w:rPr>
      </w:pPr>
      <w:r w:rsidRPr="00445B9C">
        <w:rPr>
          <w:rFonts w:cs="Arial"/>
          <w:iCs/>
          <w:szCs w:val="20"/>
          <w:lang w:val="sl-SI"/>
        </w:rPr>
        <w:t>dopolnitve besedila prvega odstavka predlaganega novega 429.a člena in nov drugi odstavek tega člena – predlog je upoštevan; in</w:t>
      </w:r>
    </w:p>
    <w:p w14:paraId="10F6B3AA" w14:textId="77777777" w:rsidR="00BD7ABF" w:rsidRPr="00445B9C" w:rsidRDefault="00BD7ABF" w:rsidP="00BD7ABF">
      <w:pPr>
        <w:pStyle w:val="Brezrazmikov"/>
        <w:numPr>
          <w:ilvl w:val="0"/>
          <w:numId w:val="32"/>
        </w:numPr>
        <w:jc w:val="both"/>
        <w:rPr>
          <w:rFonts w:cs="Arial"/>
          <w:iCs/>
          <w:szCs w:val="20"/>
          <w:lang w:val="sl-SI"/>
        </w:rPr>
      </w:pPr>
      <w:r w:rsidRPr="00445B9C">
        <w:rPr>
          <w:rFonts w:cs="Arial"/>
          <w:iCs/>
          <w:szCs w:val="20"/>
          <w:lang w:val="sl-SI"/>
        </w:rPr>
        <w:t>črtanje spremembe 10. točke 62. člena ZTFI-1, saj morajo osebe po Direktivi 2014/65/EU na zahtevo nadzornega organa poročati – predlog je upoštevan.</w:t>
      </w:r>
    </w:p>
    <w:p w14:paraId="4CF9F9A6" w14:textId="77777777" w:rsidR="00ED36BF" w:rsidRPr="00445B9C" w:rsidRDefault="00ED36BF" w:rsidP="00ED36BF">
      <w:pPr>
        <w:spacing w:line="260" w:lineRule="exact"/>
        <w:jc w:val="both"/>
        <w:rPr>
          <w:rFonts w:cs="Arial"/>
          <w:szCs w:val="20"/>
        </w:rPr>
      </w:pPr>
    </w:p>
    <w:p w14:paraId="2CEB3511" w14:textId="77777777" w:rsidR="00ED36BF" w:rsidRPr="00445B9C" w:rsidRDefault="00ED36BF" w:rsidP="00ED36BF">
      <w:pPr>
        <w:numPr>
          <w:ilvl w:val="0"/>
          <w:numId w:val="12"/>
        </w:numPr>
        <w:spacing w:line="260" w:lineRule="exact"/>
        <w:jc w:val="both"/>
        <w:rPr>
          <w:rFonts w:cs="Arial"/>
          <w:b/>
          <w:szCs w:val="20"/>
        </w:rPr>
      </w:pPr>
      <w:r w:rsidRPr="00445B9C">
        <w:rPr>
          <w:rFonts w:cs="Arial"/>
          <w:b/>
          <w:szCs w:val="20"/>
        </w:rPr>
        <w:t>PODATEK O ZUNANJEM STROKOVNJAKU OZIROMA PRAVNI OSEBI, KI JE SODELOVALA PRI PRIPRAVI PREDLOGA ZAKONA</w:t>
      </w:r>
    </w:p>
    <w:p w14:paraId="565F85E5" w14:textId="77777777" w:rsidR="00ED36BF" w:rsidRPr="00445B9C" w:rsidRDefault="00ED36BF" w:rsidP="00ED36BF">
      <w:pPr>
        <w:spacing w:line="260" w:lineRule="exact"/>
        <w:rPr>
          <w:rFonts w:cs="Arial"/>
          <w:szCs w:val="20"/>
        </w:rPr>
      </w:pPr>
    </w:p>
    <w:p w14:paraId="29A08F4A" w14:textId="77777777" w:rsidR="00ED36BF" w:rsidRPr="00445B9C" w:rsidRDefault="00ED36BF" w:rsidP="00ED36BF">
      <w:pPr>
        <w:spacing w:line="260" w:lineRule="exact"/>
        <w:rPr>
          <w:rFonts w:cs="Arial"/>
          <w:szCs w:val="20"/>
        </w:rPr>
      </w:pPr>
      <w:r w:rsidRPr="00445B9C">
        <w:rPr>
          <w:rFonts w:cs="Arial"/>
          <w:szCs w:val="20"/>
        </w:rPr>
        <w:t>Pri pripravi predloga zakona niso sodelovali zunanji strokovnjaki oziroma pravne osebe.</w:t>
      </w:r>
    </w:p>
    <w:p w14:paraId="0FA5CF58" w14:textId="77777777" w:rsidR="00ED36BF" w:rsidRPr="00445B9C" w:rsidRDefault="00ED36BF" w:rsidP="00ED36BF">
      <w:pPr>
        <w:spacing w:line="260" w:lineRule="exact"/>
        <w:rPr>
          <w:rFonts w:cs="Arial"/>
          <w:szCs w:val="20"/>
        </w:rPr>
      </w:pPr>
    </w:p>
    <w:p w14:paraId="6710250E" w14:textId="77777777" w:rsidR="00ED36BF" w:rsidRPr="00445B9C" w:rsidRDefault="00ED36BF" w:rsidP="00ED36BF">
      <w:pPr>
        <w:numPr>
          <w:ilvl w:val="0"/>
          <w:numId w:val="12"/>
        </w:numPr>
        <w:spacing w:line="260" w:lineRule="exact"/>
        <w:rPr>
          <w:rFonts w:cs="Arial"/>
          <w:b/>
          <w:szCs w:val="20"/>
        </w:rPr>
      </w:pPr>
      <w:r w:rsidRPr="00445B9C">
        <w:rPr>
          <w:rFonts w:cs="Arial"/>
          <w:b/>
          <w:szCs w:val="20"/>
        </w:rPr>
        <w:t>ZNESEK PLAČILA ZUNANJIH STROKOVNJAKOV</w:t>
      </w:r>
    </w:p>
    <w:p w14:paraId="716A6BDD" w14:textId="77777777" w:rsidR="00ED36BF" w:rsidRPr="00445B9C" w:rsidRDefault="00ED36BF" w:rsidP="0020355C">
      <w:pPr>
        <w:spacing w:line="260" w:lineRule="exact"/>
        <w:ind w:left="720"/>
        <w:rPr>
          <w:rFonts w:cs="Arial"/>
          <w:b/>
          <w:szCs w:val="20"/>
        </w:rPr>
      </w:pPr>
      <w:r w:rsidRPr="00445B9C">
        <w:rPr>
          <w:rFonts w:cs="Arial"/>
          <w:b/>
          <w:szCs w:val="20"/>
        </w:rPr>
        <w:t>/</w:t>
      </w:r>
    </w:p>
    <w:p w14:paraId="468C92A2" w14:textId="77777777" w:rsidR="002D1A9C" w:rsidRPr="00445B9C" w:rsidRDefault="002D1A9C" w:rsidP="0020355C">
      <w:pPr>
        <w:spacing w:line="260" w:lineRule="exact"/>
        <w:ind w:left="720"/>
        <w:rPr>
          <w:rFonts w:cs="Arial"/>
          <w:b/>
          <w:szCs w:val="20"/>
        </w:rPr>
      </w:pPr>
    </w:p>
    <w:p w14:paraId="1AB8FF10" w14:textId="77777777" w:rsidR="00ED36BF" w:rsidRPr="00445B9C" w:rsidRDefault="00ED36BF" w:rsidP="00ED36BF">
      <w:pPr>
        <w:numPr>
          <w:ilvl w:val="0"/>
          <w:numId w:val="12"/>
        </w:numPr>
        <w:spacing w:line="260" w:lineRule="exact"/>
        <w:rPr>
          <w:rFonts w:cs="Arial"/>
          <w:b/>
          <w:szCs w:val="20"/>
        </w:rPr>
      </w:pPr>
      <w:bookmarkStart w:id="9" w:name="_Hlk55899731"/>
      <w:r w:rsidRPr="00445B9C">
        <w:rPr>
          <w:rFonts w:cs="Arial"/>
          <w:b/>
          <w:szCs w:val="20"/>
        </w:rPr>
        <w:lastRenderedPageBreak/>
        <w:t>NAVEDBA, KATERI PREDSTAVNIKI PREDLAGATELJA BODO SODELOVALI PRI DELU DRŽAVNEGA ZBORA IN DELOVNIH TELES</w:t>
      </w:r>
    </w:p>
    <w:p w14:paraId="461DD35E" w14:textId="77777777" w:rsidR="00ED36BF" w:rsidRPr="00445B9C" w:rsidRDefault="00ED36BF" w:rsidP="00ED36BF">
      <w:pPr>
        <w:spacing w:line="260" w:lineRule="exact"/>
        <w:ind w:left="360"/>
        <w:rPr>
          <w:rFonts w:cs="Arial"/>
          <w:b/>
          <w:szCs w:val="20"/>
        </w:rPr>
      </w:pPr>
    </w:p>
    <w:bookmarkEnd w:id="9"/>
    <w:p w14:paraId="01428CBA" w14:textId="77777777" w:rsidR="00C9332D" w:rsidRPr="00445B9C" w:rsidRDefault="00ED36BF" w:rsidP="00F810E6">
      <w:pPr>
        <w:pStyle w:val="Odstavekseznama"/>
        <w:numPr>
          <w:ilvl w:val="0"/>
          <w:numId w:val="17"/>
        </w:numPr>
        <w:spacing w:line="260" w:lineRule="exact"/>
        <w:rPr>
          <w:rFonts w:cs="Arial"/>
          <w:szCs w:val="20"/>
        </w:rPr>
      </w:pPr>
      <w:r w:rsidRPr="00445B9C">
        <w:rPr>
          <w:rFonts w:cs="Arial"/>
          <w:szCs w:val="20"/>
        </w:rPr>
        <w:t>Klemen Boštjančič, minister za finance,</w:t>
      </w:r>
    </w:p>
    <w:p w14:paraId="711D6B4C" w14:textId="77777777" w:rsidR="00C9332D" w:rsidRPr="00445B9C" w:rsidRDefault="00ED36BF" w:rsidP="00F810E6">
      <w:pPr>
        <w:pStyle w:val="Odstavekseznama"/>
        <w:numPr>
          <w:ilvl w:val="0"/>
          <w:numId w:val="17"/>
        </w:numPr>
        <w:spacing w:line="260" w:lineRule="exact"/>
        <w:rPr>
          <w:rFonts w:cs="Arial"/>
          <w:szCs w:val="20"/>
        </w:rPr>
      </w:pPr>
      <w:r w:rsidRPr="00445B9C">
        <w:rPr>
          <w:rFonts w:cs="Arial"/>
          <w:szCs w:val="20"/>
        </w:rPr>
        <w:t>Nikolina Prah, državna sekretarka,</w:t>
      </w:r>
    </w:p>
    <w:p w14:paraId="10AA3780" w14:textId="77777777" w:rsidR="00C9332D" w:rsidRPr="00445B9C" w:rsidRDefault="00ED36BF" w:rsidP="00F810E6">
      <w:pPr>
        <w:pStyle w:val="Odstavekseznama"/>
        <w:numPr>
          <w:ilvl w:val="0"/>
          <w:numId w:val="17"/>
        </w:numPr>
        <w:spacing w:line="260" w:lineRule="exact"/>
        <w:rPr>
          <w:rFonts w:cs="Arial"/>
          <w:szCs w:val="20"/>
        </w:rPr>
      </w:pPr>
      <w:r w:rsidRPr="00445B9C">
        <w:rPr>
          <w:rFonts w:cs="Arial"/>
          <w:szCs w:val="20"/>
        </w:rPr>
        <w:t>mag. Saša Jazbec, državna sekretarka,</w:t>
      </w:r>
    </w:p>
    <w:p w14:paraId="6D1FF64D" w14:textId="77777777" w:rsidR="00C9332D" w:rsidRPr="00445B9C" w:rsidRDefault="00ED36BF" w:rsidP="00F810E6">
      <w:pPr>
        <w:pStyle w:val="Odstavekseznama"/>
        <w:numPr>
          <w:ilvl w:val="0"/>
          <w:numId w:val="17"/>
        </w:numPr>
        <w:spacing w:line="260" w:lineRule="exact"/>
        <w:rPr>
          <w:rFonts w:cs="Arial"/>
          <w:szCs w:val="20"/>
        </w:rPr>
      </w:pPr>
      <w:r w:rsidRPr="00445B9C">
        <w:rPr>
          <w:rFonts w:cs="Arial"/>
          <w:szCs w:val="20"/>
        </w:rPr>
        <w:t>Gordana Pipan, državna sekretarka,</w:t>
      </w:r>
    </w:p>
    <w:p w14:paraId="7E38C8C7" w14:textId="77777777" w:rsidR="00C9332D" w:rsidRPr="00445B9C" w:rsidRDefault="0090401C" w:rsidP="00F810E6">
      <w:pPr>
        <w:pStyle w:val="Odstavekseznama"/>
        <w:numPr>
          <w:ilvl w:val="0"/>
          <w:numId w:val="17"/>
        </w:numPr>
        <w:spacing w:line="260" w:lineRule="exact"/>
        <w:rPr>
          <w:rFonts w:cs="Arial"/>
          <w:szCs w:val="20"/>
        </w:rPr>
      </w:pPr>
      <w:r w:rsidRPr="00445B9C">
        <w:rPr>
          <w:rFonts w:cs="Arial"/>
          <w:szCs w:val="20"/>
        </w:rPr>
        <w:t>mag. Katja Božič</w:t>
      </w:r>
      <w:r w:rsidR="00A45970" w:rsidRPr="00445B9C">
        <w:rPr>
          <w:rFonts w:cs="Arial"/>
          <w:szCs w:val="20"/>
        </w:rPr>
        <w:t>, državna sekretarka,</w:t>
      </w:r>
    </w:p>
    <w:p w14:paraId="637B6E35" w14:textId="77777777" w:rsidR="00C9332D" w:rsidRPr="00445B9C" w:rsidRDefault="00ED36BF" w:rsidP="00F810E6">
      <w:pPr>
        <w:pStyle w:val="Odstavekseznama"/>
        <w:numPr>
          <w:ilvl w:val="0"/>
          <w:numId w:val="17"/>
        </w:numPr>
        <w:spacing w:line="260" w:lineRule="exact"/>
        <w:rPr>
          <w:rFonts w:cs="Arial"/>
          <w:szCs w:val="20"/>
        </w:rPr>
      </w:pPr>
      <w:r w:rsidRPr="00445B9C">
        <w:rPr>
          <w:rFonts w:cs="Arial"/>
          <w:szCs w:val="20"/>
        </w:rPr>
        <w:t>Urška Cvelbar, generalna direktorica Direktorata za finančni sistem,</w:t>
      </w:r>
    </w:p>
    <w:p w14:paraId="113FC119" w14:textId="77777777" w:rsidR="00BF3AAD" w:rsidRPr="00445B9C" w:rsidRDefault="00BF3AAD" w:rsidP="00F810E6">
      <w:pPr>
        <w:pStyle w:val="Odstavekseznama"/>
        <w:numPr>
          <w:ilvl w:val="0"/>
          <w:numId w:val="17"/>
        </w:numPr>
        <w:spacing w:line="260" w:lineRule="exact"/>
        <w:rPr>
          <w:rFonts w:cs="Arial"/>
          <w:szCs w:val="20"/>
        </w:rPr>
      </w:pPr>
      <w:r w:rsidRPr="00445B9C">
        <w:rPr>
          <w:rFonts w:cs="Arial"/>
          <w:szCs w:val="20"/>
        </w:rPr>
        <w:t>Leon Brčina, sekretar, Sektor za zavarovalništvo in trg kapitala, Direktorat za finančni sistem</w:t>
      </w:r>
      <w:r w:rsidR="00983705" w:rsidRPr="00445B9C">
        <w:rPr>
          <w:rFonts w:cs="Arial"/>
          <w:szCs w:val="20"/>
        </w:rPr>
        <w:t>,</w:t>
      </w:r>
    </w:p>
    <w:p w14:paraId="19686398" w14:textId="4450F357" w:rsidR="006F5455" w:rsidRPr="00445B9C" w:rsidRDefault="00CC38D4" w:rsidP="006F5455">
      <w:pPr>
        <w:pStyle w:val="Odstavekseznama"/>
        <w:numPr>
          <w:ilvl w:val="0"/>
          <w:numId w:val="17"/>
        </w:numPr>
        <w:spacing w:line="260" w:lineRule="exact"/>
        <w:rPr>
          <w:rFonts w:cs="Arial"/>
          <w:szCs w:val="20"/>
        </w:rPr>
      </w:pPr>
      <w:r w:rsidRPr="00445B9C">
        <w:rPr>
          <w:rFonts w:cs="Arial"/>
          <w:szCs w:val="20"/>
        </w:rPr>
        <w:t xml:space="preserve">Katja Vidmar, višja svetovalka, Sektor za zavarovalništvo in trg kapitala, </w:t>
      </w:r>
      <w:r w:rsidR="00593F66" w:rsidRPr="00445B9C">
        <w:rPr>
          <w:rFonts w:cs="Arial"/>
          <w:szCs w:val="20"/>
        </w:rPr>
        <w:t>Direktorat za finančni sistem</w:t>
      </w:r>
      <w:r w:rsidR="00983705" w:rsidRPr="00445B9C">
        <w:rPr>
          <w:rFonts w:cs="Arial"/>
          <w:szCs w:val="20"/>
        </w:rPr>
        <w:t>.</w:t>
      </w:r>
    </w:p>
    <w:p w14:paraId="54C16C73" w14:textId="77777777" w:rsidR="006F5455" w:rsidRPr="00445B9C" w:rsidRDefault="006F5455" w:rsidP="006F5455">
      <w:pPr>
        <w:pStyle w:val="Brezrazmikov"/>
        <w:rPr>
          <w:rFonts w:cs="Arial"/>
          <w:szCs w:val="20"/>
          <w:lang w:val="sl-SI"/>
        </w:rPr>
      </w:pPr>
    </w:p>
    <w:p w14:paraId="1B6A5464" w14:textId="77777777" w:rsidR="006F5455" w:rsidRPr="00445B9C" w:rsidRDefault="006F5455" w:rsidP="006F5455">
      <w:pPr>
        <w:pStyle w:val="Brezrazmikov"/>
        <w:rPr>
          <w:rFonts w:cs="Arial"/>
          <w:szCs w:val="20"/>
          <w:lang w:val="sl-SI"/>
        </w:rPr>
      </w:pPr>
    </w:p>
    <w:p w14:paraId="59344749" w14:textId="77777777" w:rsidR="00513496" w:rsidRPr="00445B9C" w:rsidRDefault="00513496">
      <w:pPr>
        <w:spacing w:line="240" w:lineRule="auto"/>
        <w:rPr>
          <w:rFonts w:cs="Arial"/>
          <w:b/>
          <w:bCs/>
          <w:szCs w:val="20"/>
        </w:rPr>
      </w:pPr>
      <w:r w:rsidRPr="00445B9C">
        <w:rPr>
          <w:rFonts w:cs="Arial"/>
          <w:b/>
          <w:bCs/>
          <w:szCs w:val="20"/>
        </w:rPr>
        <w:br w:type="page"/>
      </w:r>
    </w:p>
    <w:p w14:paraId="459F95E2" w14:textId="77777777" w:rsidR="000047A4" w:rsidRPr="00445B9C" w:rsidRDefault="00580931" w:rsidP="00C64B3F">
      <w:pPr>
        <w:pStyle w:val="Odstavekseznama"/>
        <w:spacing w:after="160" w:line="259" w:lineRule="auto"/>
        <w:ind w:left="1080"/>
        <w:jc w:val="both"/>
        <w:rPr>
          <w:rFonts w:cs="Arial"/>
          <w:b/>
          <w:szCs w:val="20"/>
        </w:rPr>
      </w:pPr>
      <w:r w:rsidRPr="00445B9C">
        <w:rPr>
          <w:rFonts w:cs="Arial"/>
          <w:b/>
          <w:bCs/>
          <w:szCs w:val="20"/>
        </w:rPr>
        <w:lastRenderedPageBreak/>
        <w:t xml:space="preserve">II. </w:t>
      </w:r>
      <w:r w:rsidR="000258C6" w:rsidRPr="00445B9C">
        <w:rPr>
          <w:rFonts w:cs="Arial"/>
          <w:b/>
          <w:szCs w:val="20"/>
        </w:rPr>
        <w:t>BESEDILO ČLENOV</w:t>
      </w:r>
    </w:p>
    <w:p w14:paraId="1645DB31" w14:textId="77777777" w:rsidR="000258C6" w:rsidRPr="00445B9C" w:rsidRDefault="000258C6" w:rsidP="00F810E6">
      <w:pPr>
        <w:numPr>
          <w:ilvl w:val="0"/>
          <w:numId w:val="16"/>
        </w:numPr>
        <w:spacing w:before="240" w:after="240" w:line="259" w:lineRule="auto"/>
        <w:ind w:left="720"/>
        <w:jc w:val="center"/>
        <w:outlineLvl w:val="0"/>
        <w:rPr>
          <w:rFonts w:eastAsiaTheme="majorEastAsia" w:cs="Arial"/>
          <w:b/>
          <w:szCs w:val="20"/>
        </w:rPr>
      </w:pPr>
      <w:bookmarkStart w:id="10" w:name="_Ref64902430"/>
      <w:r w:rsidRPr="00445B9C">
        <w:rPr>
          <w:rFonts w:eastAsiaTheme="majorEastAsia" w:cs="Arial"/>
          <w:b/>
          <w:szCs w:val="20"/>
        </w:rPr>
        <w:t>člen</w:t>
      </w:r>
      <w:bookmarkEnd w:id="10"/>
    </w:p>
    <w:p w14:paraId="549B2664" w14:textId="4C468533" w:rsidR="00CF0FDA" w:rsidRPr="00445B9C" w:rsidRDefault="000258C6" w:rsidP="00C07E2F">
      <w:pPr>
        <w:jc w:val="both"/>
        <w:rPr>
          <w:rFonts w:cs="Arial"/>
          <w:szCs w:val="20"/>
        </w:rPr>
      </w:pPr>
      <w:r w:rsidRPr="00445B9C">
        <w:rPr>
          <w:rFonts w:cs="Arial"/>
          <w:szCs w:val="20"/>
        </w:rPr>
        <w:t>V Zakonu o trgu finančnih instrumentov (</w:t>
      </w:r>
      <w:r w:rsidR="003065CC" w:rsidRPr="00445B9C">
        <w:rPr>
          <w:rFonts w:cs="Arial"/>
          <w:szCs w:val="20"/>
        </w:rPr>
        <w:t>Uradni list RS, št. </w:t>
      </w:r>
      <w:r w:rsidR="00CF0FDA" w:rsidRPr="00445B9C">
        <w:rPr>
          <w:rFonts w:cs="Arial"/>
          <w:szCs w:val="20"/>
        </w:rPr>
        <w:t>77/18</w:t>
      </w:r>
      <w:r w:rsidR="003065CC" w:rsidRPr="00445B9C">
        <w:rPr>
          <w:rFonts w:cs="Arial"/>
          <w:szCs w:val="20"/>
        </w:rPr>
        <w:t>, </w:t>
      </w:r>
      <w:r w:rsidR="00CF0FDA" w:rsidRPr="00445B9C">
        <w:rPr>
          <w:rFonts w:cs="Arial"/>
          <w:szCs w:val="20"/>
        </w:rPr>
        <w:t>17/19</w:t>
      </w:r>
      <w:r w:rsidR="003065CC" w:rsidRPr="00445B9C">
        <w:rPr>
          <w:rFonts w:cs="Arial"/>
          <w:szCs w:val="20"/>
        </w:rPr>
        <w:t> – popr., </w:t>
      </w:r>
      <w:r w:rsidR="00CF0FDA" w:rsidRPr="00445B9C">
        <w:rPr>
          <w:rFonts w:cs="Arial"/>
          <w:szCs w:val="20"/>
        </w:rPr>
        <w:t>66/19</w:t>
      </w:r>
      <w:r w:rsidR="003065CC" w:rsidRPr="00445B9C">
        <w:rPr>
          <w:rFonts w:cs="Arial"/>
          <w:szCs w:val="20"/>
        </w:rPr>
        <w:t>, </w:t>
      </w:r>
      <w:r w:rsidR="00CF0FDA" w:rsidRPr="00445B9C">
        <w:rPr>
          <w:rFonts w:cs="Arial"/>
          <w:szCs w:val="20"/>
        </w:rPr>
        <w:t>123/21</w:t>
      </w:r>
      <w:r w:rsidR="003065CC" w:rsidRPr="00445B9C">
        <w:rPr>
          <w:rFonts w:cs="Arial"/>
          <w:szCs w:val="20"/>
        </w:rPr>
        <w:t> in </w:t>
      </w:r>
      <w:r w:rsidR="00CF0FDA" w:rsidRPr="00445B9C">
        <w:rPr>
          <w:rFonts w:cs="Arial"/>
          <w:szCs w:val="20"/>
        </w:rPr>
        <w:t>45/24</w:t>
      </w:r>
      <w:r w:rsidRPr="00445B9C">
        <w:rPr>
          <w:rFonts w:cs="Arial"/>
          <w:szCs w:val="20"/>
        </w:rPr>
        <w:t xml:space="preserve">) se v </w:t>
      </w:r>
      <w:r w:rsidR="002F2E0C" w:rsidRPr="00445B9C">
        <w:rPr>
          <w:rFonts w:cs="Arial"/>
          <w:szCs w:val="20"/>
        </w:rPr>
        <w:t>2. členu v prvem odstav</w:t>
      </w:r>
      <w:r w:rsidR="00250BF6" w:rsidRPr="00445B9C">
        <w:rPr>
          <w:rFonts w:cs="Arial"/>
          <w:szCs w:val="20"/>
        </w:rPr>
        <w:t>k</w:t>
      </w:r>
      <w:r w:rsidR="002F2E0C" w:rsidRPr="00445B9C">
        <w:rPr>
          <w:rFonts w:cs="Arial"/>
          <w:szCs w:val="20"/>
        </w:rPr>
        <w:t>u</w:t>
      </w:r>
      <w:r w:rsidR="00291ADA" w:rsidRPr="00445B9C">
        <w:rPr>
          <w:rFonts w:cs="Arial"/>
          <w:szCs w:val="20"/>
        </w:rPr>
        <w:t xml:space="preserve"> </w:t>
      </w:r>
      <w:r w:rsidR="00AA2175" w:rsidRPr="00445B9C">
        <w:rPr>
          <w:rFonts w:cs="Arial"/>
          <w:szCs w:val="20"/>
        </w:rPr>
        <w:t>v</w:t>
      </w:r>
      <w:r w:rsidR="00065A3E" w:rsidRPr="00445B9C">
        <w:rPr>
          <w:rFonts w:cs="Arial"/>
          <w:szCs w:val="20"/>
        </w:rPr>
        <w:t xml:space="preserve"> </w:t>
      </w:r>
      <w:r w:rsidR="00E25693" w:rsidRPr="00445B9C">
        <w:rPr>
          <w:rFonts w:cs="Arial"/>
          <w:szCs w:val="20"/>
        </w:rPr>
        <w:t xml:space="preserve">3. </w:t>
      </w:r>
      <w:r w:rsidR="00C53BB7" w:rsidRPr="00445B9C">
        <w:rPr>
          <w:rFonts w:cs="Arial"/>
          <w:szCs w:val="20"/>
        </w:rPr>
        <w:t>točk</w:t>
      </w:r>
      <w:r w:rsidR="00AA2175" w:rsidRPr="00445B9C">
        <w:rPr>
          <w:rFonts w:cs="Arial"/>
          <w:szCs w:val="20"/>
        </w:rPr>
        <w:t>i</w:t>
      </w:r>
      <w:r w:rsidR="00C53BB7" w:rsidRPr="00445B9C">
        <w:rPr>
          <w:rFonts w:cs="Arial"/>
          <w:szCs w:val="20"/>
        </w:rPr>
        <w:t xml:space="preserve"> </w:t>
      </w:r>
      <w:r w:rsidR="0054006B" w:rsidRPr="00445B9C">
        <w:rPr>
          <w:rFonts w:cs="Arial"/>
          <w:szCs w:val="20"/>
        </w:rPr>
        <w:t>besedilo »Uredbo (EU) št. 909/2014 Evropskega parlamenta in Sveta z dne 23. julija 2014 o izboljšanju ureditve poravnav vrednostnih papirjev v Evropski uniji in o centralnih depotnih družbah ter o spremembi direktiv 98/26/ES in 2014/65/EU ter Uredbe (EU) št. 236/2012 (UL L št. 257 z dne 28. 8. 2014, str. 1)« nadomesti z besedilom »Uredbo (EU) 2024/886 Evropskega parlamenta in Sveta z dne 13. marca 2024 o spremembi uredb (EU) št. 260/2012 in (EU) 2021/1230 ter direktiv 98/26/ES in (EU) 2015/2366 glede takojšnjih kreditnih prenosov v evrih (UL L</w:t>
      </w:r>
      <w:r w:rsidR="00D209E4" w:rsidRPr="00445B9C">
        <w:rPr>
          <w:rFonts w:cs="Arial"/>
          <w:szCs w:val="20"/>
        </w:rPr>
        <w:t xml:space="preserve"> št.</w:t>
      </w:r>
      <w:r w:rsidR="0054006B" w:rsidRPr="00445B9C">
        <w:rPr>
          <w:rFonts w:cs="Arial"/>
          <w:szCs w:val="20"/>
        </w:rPr>
        <w:t xml:space="preserve"> 2024/886 z dne 19. 3. 2024)«</w:t>
      </w:r>
      <w:r w:rsidR="00AA2175" w:rsidRPr="00445B9C">
        <w:rPr>
          <w:rFonts w:cs="Arial"/>
          <w:szCs w:val="20"/>
        </w:rPr>
        <w:t>.</w:t>
      </w:r>
    </w:p>
    <w:p w14:paraId="5F1C9F85" w14:textId="77777777" w:rsidR="00CF0FDA" w:rsidRPr="00445B9C" w:rsidRDefault="00CF0FDA" w:rsidP="006D1640">
      <w:pPr>
        <w:rPr>
          <w:rFonts w:cs="Arial"/>
          <w:szCs w:val="20"/>
        </w:rPr>
      </w:pPr>
    </w:p>
    <w:p w14:paraId="1D165BF0" w14:textId="250A9F66" w:rsidR="006A4231" w:rsidRPr="00445B9C" w:rsidRDefault="006A4231">
      <w:pPr>
        <w:jc w:val="both"/>
        <w:rPr>
          <w:rFonts w:cs="Arial"/>
          <w:szCs w:val="20"/>
        </w:rPr>
      </w:pPr>
      <w:r w:rsidRPr="00445B9C">
        <w:rPr>
          <w:rFonts w:cs="Arial"/>
          <w:szCs w:val="20"/>
        </w:rPr>
        <w:t>V 6. točki se besedilo »Delegirano uredbo Komisije (EU) 2016/1437 z dne 19. maja 2016 o dopolnitvi Direktive 2004/109/ES Evropskega parlamenta in Sveta v zvezi z regulativnimi tehničnimi standardi za dostop do predpisanih informacij na ravni Unije (UL L št. 234 z dne 31. 8. 2016, str. 1)« nadomesti z besedilom »Direktivo (EU) 2023/2864 Evropskega parlamenta in Sveta z dne 13. decembra 2023 o spremembi nekaterih direktiv glede vzpostavitve in delovanja evropske enotne točke dostopa (UL L št. 2023/2864 z dne 20. 12. 2023)«.</w:t>
      </w:r>
    </w:p>
    <w:p w14:paraId="4F21444C" w14:textId="77777777" w:rsidR="006A4231" w:rsidRPr="00445B9C" w:rsidRDefault="006A4231">
      <w:pPr>
        <w:jc w:val="both"/>
        <w:rPr>
          <w:rFonts w:cs="Arial"/>
          <w:szCs w:val="20"/>
        </w:rPr>
      </w:pPr>
    </w:p>
    <w:p w14:paraId="68209F4F" w14:textId="5BBF3DE8" w:rsidR="00CF0FDA" w:rsidRPr="00445B9C" w:rsidRDefault="00AA2175" w:rsidP="006D1640">
      <w:pPr>
        <w:jc w:val="both"/>
        <w:rPr>
          <w:rFonts w:cs="Arial"/>
          <w:szCs w:val="20"/>
        </w:rPr>
      </w:pPr>
      <w:r w:rsidRPr="00445B9C">
        <w:rPr>
          <w:rFonts w:cs="Arial"/>
          <w:szCs w:val="20"/>
        </w:rPr>
        <w:t xml:space="preserve">V </w:t>
      </w:r>
      <w:r w:rsidR="00C53BB7" w:rsidRPr="00445B9C">
        <w:rPr>
          <w:rFonts w:cs="Arial"/>
          <w:szCs w:val="20"/>
        </w:rPr>
        <w:t>8. točk</w:t>
      </w:r>
      <w:r w:rsidRPr="00445B9C">
        <w:rPr>
          <w:rFonts w:cs="Arial"/>
          <w:szCs w:val="20"/>
        </w:rPr>
        <w:t>i</w:t>
      </w:r>
      <w:r w:rsidR="00C53BB7" w:rsidRPr="00445B9C">
        <w:rPr>
          <w:rFonts w:cs="Arial"/>
          <w:szCs w:val="20"/>
        </w:rPr>
        <w:t xml:space="preserve"> se </w:t>
      </w:r>
      <w:r w:rsidR="007D4860" w:rsidRPr="00445B9C">
        <w:rPr>
          <w:rFonts w:cs="Arial"/>
          <w:szCs w:val="20"/>
        </w:rPr>
        <w:t>besedilo »Delegirano uredbo Komisije (EU) 2017/1946 z dne 11. julija 2017 o dopolnitvi direktiv 2004/39/ES in 2014/65/EU Evropskega parlamenta in Sveta v zvezi z regulativnimi tehničnimi standardi za izčrpen seznam informacij, ki jih morajo bodoči pridobitelji vključiti v obvestilo o predlagani pridobitvi kvalificiranega deleža v investicijskem podjetju (UL L št. 276 z dne 26. 10. 2017, str. 32)« nadomesti z besedilom »Direktivo (EU) 2024/790 Evropskega parlamenta in Sveta z dne 28. februarja 2024 o spremembi Direktive 2014/65/EU o trgih finančnih instrumentov (UL L št. 790 z dne 8. 3. 2024, str.</w:t>
      </w:r>
      <w:r w:rsidR="00065A3E" w:rsidRPr="00445B9C">
        <w:rPr>
          <w:rFonts w:cs="Arial"/>
          <w:szCs w:val="20"/>
        </w:rPr>
        <w:t xml:space="preserve"> </w:t>
      </w:r>
      <w:r w:rsidR="007D4860" w:rsidRPr="00445B9C">
        <w:rPr>
          <w:rFonts w:cs="Arial"/>
          <w:szCs w:val="20"/>
        </w:rPr>
        <w:t>1)«</w:t>
      </w:r>
      <w:r w:rsidRPr="00445B9C">
        <w:rPr>
          <w:rFonts w:cs="Arial"/>
          <w:szCs w:val="20"/>
        </w:rPr>
        <w:t>.</w:t>
      </w:r>
    </w:p>
    <w:p w14:paraId="18F39BDF" w14:textId="77777777" w:rsidR="00CF0FDA" w:rsidRPr="00445B9C" w:rsidRDefault="00CF0FDA" w:rsidP="006D1640">
      <w:pPr>
        <w:jc w:val="both"/>
        <w:rPr>
          <w:rFonts w:cs="Arial"/>
          <w:szCs w:val="20"/>
        </w:rPr>
      </w:pPr>
    </w:p>
    <w:p w14:paraId="54AF79ED" w14:textId="19DB3B58" w:rsidR="00CF0FDA" w:rsidRPr="00445B9C" w:rsidRDefault="00AA2175" w:rsidP="006D1640">
      <w:pPr>
        <w:jc w:val="both"/>
        <w:rPr>
          <w:rFonts w:cs="Arial"/>
          <w:szCs w:val="20"/>
        </w:rPr>
      </w:pPr>
      <w:r w:rsidRPr="00445B9C">
        <w:rPr>
          <w:rFonts w:cs="Arial"/>
          <w:szCs w:val="20"/>
        </w:rPr>
        <w:t>Z</w:t>
      </w:r>
      <w:r w:rsidR="00995928" w:rsidRPr="00445B9C">
        <w:rPr>
          <w:rFonts w:cs="Arial"/>
          <w:szCs w:val="20"/>
        </w:rPr>
        <w:t>a 1</w:t>
      </w:r>
      <w:r w:rsidR="003065CC" w:rsidRPr="00445B9C">
        <w:rPr>
          <w:rFonts w:cs="Arial"/>
          <w:szCs w:val="20"/>
        </w:rPr>
        <w:t>6</w:t>
      </w:r>
      <w:r w:rsidR="00995928" w:rsidRPr="00445B9C">
        <w:rPr>
          <w:rFonts w:cs="Arial"/>
          <w:szCs w:val="20"/>
        </w:rPr>
        <w:t xml:space="preserve">. točko </w:t>
      </w:r>
      <w:r w:rsidR="00601356" w:rsidRPr="00445B9C">
        <w:rPr>
          <w:rFonts w:cs="Arial"/>
          <w:szCs w:val="20"/>
        </w:rPr>
        <w:t xml:space="preserve">se </w:t>
      </w:r>
      <w:r w:rsidR="000258C6" w:rsidRPr="00445B9C">
        <w:rPr>
          <w:rFonts w:cs="Arial"/>
          <w:szCs w:val="20"/>
        </w:rPr>
        <w:t xml:space="preserve">pika nadomesti </w:t>
      </w:r>
      <w:r w:rsidR="00995928" w:rsidRPr="00445B9C">
        <w:rPr>
          <w:rFonts w:cs="Arial"/>
          <w:szCs w:val="20"/>
        </w:rPr>
        <w:t>s podpičjem</w:t>
      </w:r>
      <w:r w:rsidR="000258C6" w:rsidRPr="00445B9C">
        <w:rPr>
          <w:rFonts w:cs="Arial"/>
          <w:szCs w:val="20"/>
        </w:rPr>
        <w:t xml:space="preserve"> </w:t>
      </w:r>
      <w:r w:rsidR="00B05D89" w:rsidRPr="00445B9C">
        <w:rPr>
          <w:rFonts w:cs="Arial"/>
          <w:szCs w:val="20"/>
        </w:rPr>
        <w:t xml:space="preserve">in </w:t>
      </w:r>
      <w:r w:rsidR="00AE492D" w:rsidRPr="00445B9C">
        <w:rPr>
          <w:rFonts w:cs="Arial"/>
          <w:szCs w:val="20"/>
        </w:rPr>
        <w:t>doda</w:t>
      </w:r>
      <w:r w:rsidR="00C30643" w:rsidRPr="00445B9C">
        <w:rPr>
          <w:rFonts w:cs="Arial"/>
          <w:szCs w:val="20"/>
        </w:rPr>
        <w:t>jo</w:t>
      </w:r>
      <w:r w:rsidR="00AE492D" w:rsidRPr="00445B9C">
        <w:rPr>
          <w:rFonts w:cs="Arial"/>
          <w:szCs w:val="20"/>
        </w:rPr>
        <w:t xml:space="preserve"> nov</w:t>
      </w:r>
      <w:r w:rsidR="00C30643" w:rsidRPr="00445B9C">
        <w:rPr>
          <w:rFonts w:cs="Arial"/>
          <w:szCs w:val="20"/>
        </w:rPr>
        <w:t>e</w:t>
      </w:r>
      <w:r w:rsidRPr="00445B9C">
        <w:rPr>
          <w:rFonts w:cs="Arial"/>
          <w:szCs w:val="20"/>
        </w:rPr>
        <w:t>,</w:t>
      </w:r>
      <w:r w:rsidR="000258C6" w:rsidRPr="00445B9C">
        <w:rPr>
          <w:rFonts w:cs="Arial"/>
          <w:szCs w:val="20"/>
        </w:rPr>
        <w:t xml:space="preserve"> 1</w:t>
      </w:r>
      <w:r w:rsidR="003065CC" w:rsidRPr="00445B9C">
        <w:rPr>
          <w:rFonts w:cs="Arial"/>
          <w:szCs w:val="20"/>
        </w:rPr>
        <w:t>7</w:t>
      </w:r>
      <w:r w:rsidR="000258C6" w:rsidRPr="00445B9C">
        <w:rPr>
          <w:rFonts w:cs="Arial"/>
          <w:szCs w:val="20"/>
        </w:rPr>
        <w:t>.</w:t>
      </w:r>
      <w:r w:rsidR="00C30643" w:rsidRPr="00445B9C">
        <w:rPr>
          <w:rFonts w:cs="Arial"/>
          <w:szCs w:val="20"/>
        </w:rPr>
        <w:t>,</w:t>
      </w:r>
      <w:r w:rsidRPr="00445B9C">
        <w:rPr>
          <w:rFonts w:cs="Arial"/>
          <w:szCs w:val="20"/>
        </w:rPr>
        <w:t xml:space="preserve"> </w:t>
      </w:r>
      <w:r w:rsidR="003065CC" w:rsidRPr="00445B9C">
        <w:rPr>
          <w:rFonts w:cs="Arial"/>
          <w:szCs w:val="20"/>
        </w:rPr>
        <w:t>18.</w:t>
      </w:r>
      <w:r w:rsidR="000258C6" w:rsidRPr="00445B9C">
        <w:rPr>
          <w:rFonts w:cs="Arial"/>
          <w:szCs w:val="20"/>
        </w:rPr>
        <w:t xml:space="preserve"> </w:t>
      </w:r>
      <w:r w:rsidR="00C30643" w:rsidRPr="00445B9C">
        <w:rPr>
          <w:rFonts w:cs="Arial"/>
          <w:szCs w:val="20"/>
        </w:rPr>
        <w:t xml:space="preserve">in 19. </w:t>
      </w:r>
      <w:r w:rsidR="000258C6" w:rsidRPr="00445B9C">
        <w:rPr>
          <w:rFonts w:cs="Arial"/>
          <w:szCs w:val="20"/>
        </w:rPr>
        <w:t>točka, ki se glasi</w:t>
      </w:r>
      <w:r w:rsidR="008712D4" w:rsidRPr="00445B9C">
        <w:rPr>
          <w:rFonts w:cs="Arial"/>
          <w:szCs w:val="20"/>
        </w:rPr>
        <w:t>jo</w:t>
      </w:r>
      <w:r w:rsidR="000258C6" w:rsidRPr="00445B9C">
        <w:rPr>
          <w:rFonts w:cs="Arial"/>
          <w:szCs w:val="20"/>
        </w:rPr>
        <w:t>:</w:t>
      </w:r>
    </w:p>
    <w:p w14:paraId="6AE5509D" w14:textId="77777777" w:rsidR="00364840" w:rsidRPr="00445B9C" w:rsidRDefault="00364840" w:rsidP="00BA786D">
      <w:pPr>
        <w:jc w:val="both"/>
        <w:rPr>
          <w:rFonts w:cs="Arial"/>
          <w:szCs w:val="20"/>
        </w:rPr>
      </w:pPr>
    </w:p>
    <w:p w14:paraId="7A5276DD" w14:textId="25734042" w:rsidR="003065CC" w:rsidRPr="00445B9C" w:rsidRDefault="002576A9" w:rsidP="00BA786D">
      <w:pPr>
        <w:jc w:val="both"/>
        <w:rPr>
          <w:rFonts w:cs="Arial"/>
          <w:szCs w:val="20"/>
        </w:rPr>
      </w:pPr>
      <w:r w:rsidRPr="00445B9C">
        <w:rPr>
          <w:rFonts w:cs="Arial"/>
          <w:szCs w:val="20"/>
        </w:rPr>
        <w:t>»</w:t>
      </w:r>
      <w:bookmarkStart w:id="11" w:name="_Hlk191024136"/>
      <w:r w:rsidR="000258C6" w:rsidRPr="00445B9C">
        <w:rPr>
          <w:rFonts w:cs="Arial"/>
          <w:szCs w:val="20"/>
        </w:rPr>
        <w:t>1</w:t>
      </w:r>
      <w:r w:rsidR="003065CC" w:rsidRPr="00445B9C">
        <w:rPr>
          <w:rFonts w:cs="Arial"/>
          <w:szCs w:val="20"/>
        </w:rPr>
        <w:t>7</w:t>
      </w:r>
      <w:r w:rsidR="000258C6" w:rsidRPr="00445B9C">
        <w:rPr>
          <w:rFonts w:cs="Arial"/>
          <w:szCs w:val="20"/>
        </w:rPr>
        <w:t xml:space="preserve">. Direktiva (EU) </w:t>
      </w:r>
      <w:r w:rsidR="00406622" w:rsidRPr="00445B9C">
        <w:rPr>
          <w:rFonts w:cs="Arial"/>
          <w:szCs w:val="20"/>
        </w:rPr>
        <w:t>2022/2</w:t>
      </w:r>
      <w:r w:rsidR="003065CC" w:rsidRPr="00445B9C">
        <w:rPr>
          <w:rFonts w:cs="Arial"/>
          <w:szCs w:val="20"/>
        </w:rPr>
        <w:t>556</w:t>
      </w:r>
      <w:r w:rsidR="00406622" w:rsidRPr="00445B9C">
        <w:rPr>
          <w:rFonts w:cs="Arial"/>
          <w:szCs w:val="20"/>
        </w:rPr>
        <w:t xml:space="preserve">/EU </w:t>
      </w:r>
      <w:r w:rsidR="000258C6" w:rsidRPr="00445B9C">
        <w:rPr>
          <w:rFonts w:cs="Arial"/>
          <w:szCs w:val="20"/>
        </w:rPr>
        <w:t xml:space="preserve">Evropskega parlamenta in Sveta z dne 14. decembra 2022 o spremembi </w:t>
      </w:r>
      <w:r w:rsidR="003065CC" w:rsidRPr="00445B9C">
        <w:rPr>
          <w:rFonts w:cs="Arial"/>
          <w:szCs w:val="20"/>
        </w:rPr>
        <w:t>direktiv 2009/65/ES, 2009/138/ES, 2011/61/EU, 2013/36/EU, 2014/59/EU, 2014/65/EU, (EU) 2015/2366 in (EU) 2016/2341 glede digitalne operativne odpornosti za finančni sektor (UL L št. 333 z dne 27. 12. 2022, str. 153</w:t>
      </w:r>
      <w:r w:rsidR="00573791" w:rsidRPr="00445B9C">
        <w:rPr>
          <w:rFonts w:cs="Arial"/>
          <w:szCs w:val="20"/>
        </w:rPr>
        <w:t>;</w:t>
      </w:r>
      <w:r w:rsidR="003065CC" w:rsidRPr="00445B9C">
        <w:rPr>
          <w:rFonts w:cs="Arial"/>
          <w:szCs w:val="20"/>
        </w:rPr>
        <w:t xml:space="preserve"> v nadaljnjem besedilu: Direktiva 2022/2556/EU);</w:t>
      </w:r>
    </w:p>
    <w:p w14:paraId="48A708C7" w14:textId="77777777" w:rsidR="003065CC" w:rsidRPr="00445B9C" w:rsidRDefault="003065CC" w:rsidP="00BA786D">
      <w:pPr>
        <w:jc w:val="both"/>
        <w:rPr>
          <w:rFonts w:cs="Arial"/>
          <w:szCs w:val="20"/>
        </w:rPr>
      </w:pPr>
    </w:p>
    <w:p w14:paraId="23B1C81F" w14:textId="0C690C60" w:rsidR="00C30643" w:rsidRPr="00445B9C" w:rsidRDefault="003065CC" w:rsidP="00BA786D">
      <w:pPr>
        <w:jc w:val="both"/>
        <w:rPr>
          <w:rFonts w:cs="Arial"/>
          <w:szCs w:val="20"/>
        </w:rPr>
      </w:pPr>
      <w:r w:rsidRPr="00445B9C">
        <w:rPr>
          <w:rFonts w:cs="Arial"/>
          <w:szCs w:val="20"/>
        </w:rPr>
        <w:t xml:space="preserve">18. Direktiva (EU) 2023/2864 Evropskega parlamenta in Sveta z dne 13. decembra 2023 o spremembi nekaterih direktiv glede vzpostavitve in delovanja evropske enotne točke dostopa (UL L št. </w:t>
      </w:r>
      <w:r w:rsidR="00573791" w:rsidRPr="00445B9C">
        <w:rPr>
          <w:rFonts w:cs="Arial"/>
          <w:szCs w:val="20"/>
        </w:rPr>
        <w:t>2023/</w:t>
      </w:r>
      <w:r w:rsidRPr="00445B9C">
        <w:rPr>
          <w:rFonts w:cs="Arial"/>
          <w:szCs w:val="20"/>
        </w:rPr>
        <w:t>2864 z dne 20. 12. 2023</w:t>
      </w:r>
      <w:r w:rsidR="00573791" w:rsidRPr="00445B9C">
        <w:rPr>
          <w:rFonts w:cs="Arial"/>
          <w:szCs w:val="20"/>
        </w:rPr>
        <w:t>;</w:t>
      </w:r>
      <w:r w:rsidR="004D6523">
        <w:rPr>
          <w:rFonts w:cs="Arial"/>
          <w:szCs w:val="20"/>
        </w:rPr>
        <w:t xml:space="preserve"> </w:t>
      </w:r>
      <w:r w:rsidR="001E6B3A" w:rsidRPr="00445B9C">
        <w:rPr>
          <w:rFonts w:cs="Arial"/>
          <w:szCs w:val="20"/>
        </w:rPr>
        <w:t>v nadaljnjem besedilu: Direktiva 2023/2864/EU</w:t>
      </w:r>
      <w:r w:rsidRPr="00445B9C">
        <w:rPr>
          <w:rFonts w:cs="Arial"/>
          <w:szCs w:val="20"/>
        </w:rPr>
        <w:t>)</w:t>
      </w:r>
      <w:bookmarkEnd w:id="11"/>
      <w:r w:rsidR="000019F1" w:rsidRPr="00445B9C">
        <w:rPr>
          <w:rFonts w:cs="Arial"/>
          <w:szCs w:val="20"/>
        </w:rPr>
        <w:t>.</w:t>
      </w:r>
    </w:p>
    <w:p w14:paraId="095BCF44" w14:textId="77777777" w:rsidR="00C30643" w:rsidRPr="00445B9C" w:rsidRDefault="00C30643" w:rsidP="00BA786D">
      <w:pPr>
        <w:jc w:val="both"/>
        <w:rPr>
          <w:rFonts w:cs="Arial"/>
          <w:szCs w:val="20"/>
        </w:rPr>
      </w:pPr>
    </w:p>
    <w:p w14:paraId="4B0883F2" w14:textId="7EA570FB" w:rsidR="000258C6" w:rsidRPr="00445B9C" w:rsidRDefault="00C30643" w:rsidP="00BA786D">
      <w:pPr>
        <w:jc w:val="both"/>
        <w:rPr>
          <w:rFonts w:cs="Arial"/>
          <w:szCs w:val="20"/>
        </w:rPr>
      </w:pPr>
      <w:r w:rsidRPr="00445B9C">
        <w:rPr>
          <w:rFonts w:cs="Arial"/>
          <w:szCs w:val="20"/>
        </w:rPr>
        <w:t>19. Direktiva (EU) 2024/790 Evropskega parlamenta in Sveta z dne 28. februarja 2024 o spremembi Direktive 2014/65/EU o trgih finančnih instrumentov (UL L št. 790 z dne 8. 3. 2024, str. 1</w:t>
      </w:r>
      <w:r w:rsidR="004D6523">
        <w:rPr>
          <w:rFonts w:cs="Arial"/>
          <w:szCs w:val="20"/>
        </w:rPr>
        <w:t>;</w:t>
      </w:r>
      <w:r w:rsidRPr="00445B9C">
        <w:rPr>
          <w:rFonts w:cs="Arial"/>
          <w:szCs w:val="20"/>
        </w:rPr>
        <w:t xml:space="preserve"> v nadaljnjem besedilu: Direktiva 2024/790/EU).</w:t>
      </w:r>
      <w:r w:rsidR="00707C39" w:rsidRPr="00445B9C">
        <w:rPr>
          <w:rFonts w:cs="Arial"/>
          <w:szCs w:val="20"/>
        </w:rPr>
        <w:t>«.</w:t>
      </w:r>
    </w:p>
    <w:p w14:paraId="20BAC9F6" w14:textId="77777777" w:rsidR="002576A9" w:rsidRPr="00445B9C" w:rsidRDefault="002576A9" w:rsidP="00BA786D">
      <w:pPr>
        <w:jc w:val="both"/>
        <w:rPr>
          <w:rFonts w:cs="Arial"/>
          <w:szCs w:val="20"/>
        </w:rPr>
      </w:pPr>
    </w:p>
    <w:p w14:paraId="68B50477" w14:textId="768D3217" w:rsidR="00CF0FDA" w:rsidRPr="00445B9C" w:rsidRDefault="002576A9" w:rsidP="001D5C1D">
      <w:pPr>
        <w:jc w:val="both"/>
        <w:rPr>
          <w:rFonts w:cs="Arial"/>
          <w:szCs w:val="20"/>
        </w:rPr>
      </w:pPr>
      <w:r w:rsidRPr="00445B9C">
        <w:rPr>
          <w:rFonts w:cs="Arial"/>
          <w:szCs w:val="20"/>
        </w:rPr>
        <w:t>V drugem odstavku se</w:t>
      </w:r>
      <w:r w:rsidR="00AA2175" w:rsidRPr="00445B9C">
        <w:rPr>
          <w:rFonts w:cs="Arial"/>
          <w:szCs w:val="20"/>
        </w:rPr>
        <w:t xml:space="preserve"> v </w:t>
      </w:r>
      <w:r w:rsidR="006E03F5" w:rsidRPr="00445B9C">
        <w:rPr>
          <w:rFonts w:cs="Arial"/>
          <w:szCs w:val="20"/>
        </w:rPr>
        <w:t>2</w:t>
      </w:r>
      <w:r w:rsidRPr="00445B9C">
        <w:rPr>
          <w:rFonts w:cs="Arial"/>
          <w:szCs w:val="20"/>
        </w:rPr>
        <w:t>. točk</w:t>
      </w:r>
      <w:r w:rsidR="00AA2175" w:rsidRPr="00445B9C">
        <w:rPr>
          <w:rFonts w:cs="Arial"/>
          <w:szCs w:val="20"/>
        </w:rPr>
        <w:t>i</w:t>
      </w:r>
      <w:r w:rsidRPr="00445B9C">
        <w:rPr>
          <w:rFonts w:cs="Arial"/>
          <w:szCs w:val="20"/>
        </w:rPr>
        <w:t xml:space="preserve"> </w:t>
      </w:r>
      <w:r w:rsidR="00A6443F" w:rsidRPr="00445B9C">
        <w:rPr>
          <w:rFonts w:cs="Arial"/>
          <w:szCs w:val="20"/>
        </w:rPr>
        <w:t>besedilo »Uredbo (EU) 2019/630 Evropskega parlamenta in Sveta z dne 17. aprila 2019 o spremembi Uredbe (EU) št. 575/2013 glede minimalnega kritja izgub za nedonosne izpostavljenosti (UL L št. 111 z dne 25. 4. 2019, str. 4)</w:t>
      </w:r>
      <w:r w:rsidR="00573791" w:rsidRPr="00445B9C">
        <w:rPr>
          <w:rFonts w:cs="Arial"/>
          <w:szCs w:val="20"/>
        </w:rPr>
        <w:t>«</w:t>
      </w:r>
      <w:r w:rsidR="00A6443F" w:rsidRPr="00445B9C">
        <w:rPr>
          <w:rFonts w:cs="Arial"/>
          <w:szCs w:val="20"/>
        </w:rPr>
        <w:t xml:space="preserve"> nadomesti z besedilom »</w:t>
      </w:r>
      <w:r w:rsidR="006D1833" w:rsidRPr="006D1833">
        <w:rPr>
          <w:rFonts w:cs="Arial"/>
          <w:szCs w:val="20"/>
        </w:rPr>
        <w:t>zadnjič spremenjeno z Uredbo (EU) 2024/2987 Evropskega parlamenta in Sveta z dne 27. novembra 2024 o spremembi uredb (EU) št. 648/2012, (EU) št. 575/2013 in (EU) 2017/1131 v zvezi z ukrepi za zmanjšanje prekomerne izpostavljenosti do centralnih nasprotnih strank iz tretjih držav in izboljšanje učinkovitosti klirinških trgov Unije (UL L št. 2024/2987 z dne 4. 12. 2024)</w:t>
      </w:r>
      <w:r w:rsidR="003534FF" w:rsidRPr="00445B9C">
        <w:rPr>
          <w:rFonts w:cs="Arial"/>
          <w:szCs w:val="20"/>
        </w:rPr>
        <w:t>«</w:t>
      </w:r>
      <w:r w:rsidR="00AA2175" w:rsidRPr="00445B9C">
        <w:rPr>
          <w:rFonts w:cs="Arial"/>
          <w:szCs w:val="20"/>
        </w:rPr>
        <w:t>.</w:t>
      </w:r>
      <w:r w:rsidR="003534FF" w:rsidRPr="00445B9C">
        <w:rPr>
          <w:rFonts w:cs="Arial"/>
          <w:szCs w:val="20"/>
        </w:rPr>
        <w:t xml:space="preserve"> </w:t>
      </w:r>
    </w:p>
    <w:p w14:paraId="037934C2" w14:textId="77777777" w:rsidR="00CF0FDA" w:rsidRPr="00445B9C" w:rsidRDefault="00CF0FDA" w:rsidP="001D5C1D">
      <w:pPr>
        <w:jc w:val="both"/>
        <w:rPr>
          <w:rFonts w:cs="Arial"/>
          <w:szCs w:val="20"/>
        </w:rPr>
      </w:pPr>
    </w:p>
    <w:p w14:paraId="39A0AD1D" w14:textId="2EB2D17C" w:rsidR="00D63C01" w:rsidRDefault="00D63C01">
      <w:pPr>
        <w:jc w:val="both"/>
        <w:rPr>
          <w:rFonts w:cs="Arial"/>
          <w:szCs w:val="20"/>
        </w:rPr>
      </w:pPr>
      <w:r>
        <w:rPr>
          <w:rFonts w:cs="Arial"/>
          <w:szCs w:val="20"/>
        </w:rPr>
        <w:lastRenderedPageBreak/>
        <w:t>V 3. točki se besedilo »</w:t>
      </w:r>
      <w:r w:rsidRPr="00D63C01">
        <w:rPr>
          <w:rFonts w:cs="Arial"/>
          <w:szCs w:val="20"/>
        </w:rPr>
        <w:t>Uredbo (EU) 2016/1033 Evropskega parlamenta in Sveta z dne 23. junija 2016 o spremembi Uredbe (EU) št. 600/2014 o trgih finančnih instrumentov, Uredbe (EU) št. 596/2014 o zlorabi trga in Uredbe (EU) št. 909/2014 o izboljšanju ureditve poravnav vrednostnih papirjev v Evropski uniji in o centralnih depotnih družbah (UL L št. 175 z dne 30. 6. 2016, str. 1)</w:t>
      </w:r>
      <w:r>
        <w:rPr>
          <w:rFonts w:cs="Arial"/>
          <w:szCs w:val="20"/>
        </w:rPr>
        <w:t>« nadomesti z besedilom »</w:t>
      </w:r>
      <w:r w:rsidRPr="00D63C01">
        <w:rPr>
          <w:rFonts w:cs="Arial"/>
          <w:szCs w:val="20"/>
        </w:rPr>
        <w:t>Uredb</w:t>
      </w:r>
      <w:r>
        <w:rPr>
          <w:rFonts w:cs="Arial"/>
          <w:szCs w:val="20"/>
        </w:rPr>
        <w:t>o</w:t>
      </w:r>
      <w:r w:rsidRPr="00D63C01">
        <w:rPr>
          <w:rFonts w:cs="Arial"/>
          <w:szCs w:val="20"/>
        </w:rPr>
        <w:t xml:space="preserve"> (EU) 2023/2869 Evropskega parlamenta in Sveta z dne 13. decembra 2023 o spremembi nekaterih uredb glede vzpostavitve in delovanja evropske enotne točke dostopa (UL L</w:t>
      </w:r>
      <w:r>
        <w:rPr>
          <w:rFonts w:cs="Arial"/>
          <w:szCs w:val="20"/>
        </w:rPr>
        <w:t xml:space="preserve"> št</w:t>
      </w:r>
      <w:r w:rsidRPr="00D63C01">
        <w:rPr>
          <w:rFonts w:cs="Arial"/>
          <w:szCs w:val="20"/>
        </w:rPr>
        <w:t xml:space="preserve"> 2023/2869</w:t>
      </w:r>
      <w:r>
        <w:rPr>
          <w:rFonts w:cs="Arial"/>
          <w:szCs w:val="20"/>
        </w:rPr>
        <w:t xml:space="preserve"> z dne</w:t>
      </w:r>
      <w:r w:rsidRPr="00D63C01">
        <w:rPr>
          <w:rFonts w:cs="Arial"/>
          <w:szCs w:val="20"/>
        </w:rPr>
        <w:t xml:space="preserve"> 20.</w:t>
      </w:r>
      <w:r>
        <w:rPr>
          <w:rFonts w:cs="Arial"/>
          <w:szCs w:val="20"/>
        </w:rPr>
        <w:t xml:space="preserve"> </w:t>
      </w:r>
      <w:r w:rsidRPr="00D63C01">
        <w:rPr>
          <w:rFonts w:cs="Arial"/>
          <w:szCs w:val="20"/>
        </w:rPr>
        <w:t>12.</w:t>
      </w:r>
      <w:r>
        <w:rPr>
          <w:rFonts w:cs="Arial"/>
          <w:szCs w:val="20"/>
        </w:rPr>
        <w:t xml:space="preserve"> </w:t>
      </w:r>
      <w:r w:rsidRPr="00D63C01">
        <w:rPr>
          <w:rFonts w:cs="Arial"/>
          <w:szCs w:val="20"/>
        </w:rPr>
        <w:t>2023)</w:t>
      </w:r>
      <w:r w:rsidR="00D56923">
        <w:rPr>
          <w:rFonts w:cs="Arial"/>
          <w:szCs w:val="20"/>
        </w:rPr>
        <w:t>«</w:t>
      </w:r>
      <w:r>
        <w:rPr>
          <w:rFonts w:cs="Arial"/>
          <w:szCs w:val="20"/>
        </w:rPr>
        <w:t>.</w:t>
      </w:r>
    </w:p>
    <w:p w14:paraId="65EF70EE" w14:textId="77777777" w:rsidR="00D63C01" w:rsidRDefault="00D63C01">
      <w:pPr>
        <w:jc w:val="both"/>
        <w:rPr>
          <w:rFonts w:cs="Arial"/>
          <w:szCs w:val="20"/>
        </w:rPr>
      </w:pPr>
    </w:p>
    <w:p w14:paraId="5BE99CB0" w14:textId="618328D4" w:rsidR="00CF0FDA" w:rsidRPr="00445B9C" w:rsidRDefault="00AA2175">
      <w:pPr>
        <w:jc w:val="both"/>
        <w:rPr>
          <w:rFonts w:cs="Arial"/>
          <w:szCs w:val="20"/>
        </w:rPr>
      </w:pPr>
      <w:r w:rsidRPr="00445B9C">
        <w:rPr>
          <w:rFonts w:cs="Arial"/>
          <w:szCs w:val="20"/>
        </w:rPr>
        <w:t xml:space="preserve">V </w:t>
      </w:r>
      <w:r w:rsidR="003534FF" w:rsidRPr="00445B9C">
        <w:rPr>
          <w:rFonts w:cs="Arial"/>
          <w:szCs w:val="20"/>
        </w:rPr>
        <w:t>4. točk</w:t>
      </w:r>
      <w:r w:rsidRPr="00445B9C">
        <w:rPr>
          <w:rFonts w:cs="Arial"/>
          <w:szCs w:val="20"/>
        </w:rPr>
        <w:t>i</w:t>
      </w:r>
      <w:r w:rsidR="003534FF" w:rsidRPr="00445B9C">
        <w:rPr>
          <w:rFonts w:cs="Arial"/>
          <w:szCs w:val="20"/>
        </w:rPr>
        <w:t xml:space="preserve"> se </w:t>
      </w:r>
      <w:r w:rsidR="007E6B8D" w:rsidRPr="00445B9C">
        <w:rPr>
          <w:rFonts w:cs="Arial"/>
          <w:szCs w:val="20"/>
        </w:rPr>
        <w:t>besedilo »Delegirano uredbo Komisije (EU) 2017/2417 z dne 17. novembra 2017 o dopolnitvi Uredbe (EU) št. 600/2014 Evropskega parlamenta in Sveta o trgih finančnih instrumentov v zvezi z regulativnimi tehničnimi standardi o obveznosti trgovanja za določene izvedene finančne instrumente (UL L št. 343 z dne 22. 12. 2017, str. 48)« nadomesti z besedilom »</w:t>
      </w:r>
      <w:r w:rsidR="00AA74AF" w:rsidRPr="00AA74AF">
        <w:rPr>
          <w:rFonts w:cs="Arial"/>
          <w:szCs w:val="20"/>
        </w:rPr>
        <w:t>Delegirana uredba Komisije (EU) 2025/1003 z dne 24. januarja 2025 o dopolnitvi Uredbe (EU) št. 600/2014 Evropskega parlamenta in Sveta v zvezi z referenčnimi podatki za identifikacijo za izvedene finančne instrumente OTC, ki se uporabljajo za namene zahtev po preglednosti iz člena 8a(2) ter členov 10 in 21</w:t>
      </w:r>
      <w:r w:rsidR="007E6B8D" w:rsidRPr="00445B9C">
        <w:rPr>
          <w:rFonts w:cs="Arial"/>
          <w:szCs w:val="20"/>
        </w:rPr>
        <w:t xml:space="preserve"> (UL L št. </w:t>
      </w:r>
      <w:r w:rsidR="00AA74AF" w:rsidRPr="00AA74AF">
        <w:rPr>
          <w:rFonts w:cs="Arial"/>
          <w:szCs w:val="20"/>
        </w:rPr>
        <w:t>2025/1003</w:t>
      </w:r>
      <w:r w:rsidR="007E6B8D" w:rsidRPr="00445B9C">
        <w:rPr>
          <w:rFonts w:cs="Arial"/>
          <w:szCs w:val="20"/>
        </w:rPr>
        <w:t xml:space="preserve"> z dne </w:t>
      </w:r>
      <w:r w:rsidR="00AA74AF">
        <w:rPr>
          <w:rFonts w:cs="Arial"/>
          <w:szCs w:val="20"/>
        </w:rPr>
        <w:t>22</w:t>
      </w:r>
      <w:r w:rsidR="007E6B8D" w:rsidRPr="00445B9C">
        <w:rPr>
          <w:rFonts w:cs="Arial"/>
          <w:szCs w:val="20"/>
        </w:rPr>
        <w:t xml:space="preserve">. </w:t>
      </w:r>
      <w:r w:rsidR="00AA74AF">
        <w:rPr>
          <w:rFonts w:cs="Arial"/>
          <w:szCs w:val="20"/>
        </w:rPr>
        <w:t>5</w:t>
      </w:r>
      <w:r w:rsidR="007E6B8D" w:rsidRPr="00445B9C">
        <w:rPr>
          <w:rFonts w:cs="Arial"/>
          <w:szCs w:val="20"/>
        </w:rPr>
        <w:t>. 202</w:t>
      </w:r>
      <w:r w:rsidR="00AA74AF">
        <w:rPr>
          <w:rFonts w:cs="Arial"/>
          <w:szCs w:val="20"/>
        </w:rPr>
        <w:t>5</w:t>
      </w:r>
      <w:r w:rsidR="007E6B8D" w:rsidRPr="00445B9C">
        <w:rPr>
          <w:rFonts w:cs="Arial"/>
          <w:szCs w:val="20"/>
        </w:rPr>
        <w:t>)«.</w:t>
      </w:r>
    </w:p>
    <w:p w14:paraId="01BE63E2" w14:textId="77777777" w:rsidR="00BB7A9E" w:rsidRPr="00445B9C" w:rsidRDefault="00BB7A9E">
      <w:pPr>
        <w:jc w:val="both"/>
        <w:rPr>
          <w:rFonts w:cs="Arial"/>
          <w:szCs w:val="20"/>
        </w:rPr>
      </w:pPr>
    </w:p>
    <w:p w14:paraId="4E2E680F" w14:textId="3365684A" w:rsidR="00BB7A9E" w:rsidRPr="00445B9C" w:rsidRDefault="00BB7A9E">
      <w:pPr>
        <w:jc w:val="both"/>
        <w:rPr>
          <w:rFonts w:cs="Arial"/>
          <w:szCs w:val="20"/>
        </w:rPr>
      </w:pPr>
      <w:r w:rsidRPr="00445B9C">
        <w:rPr>
          <w:rFonts w:cs="Arial"/>
          <w:szCs w:val="20"/>
        </w:rPr>
        <w:t>Za 8. točko se pika nadomesti s podpičjem in doda nov</w:t>
      </w:r>
      <w:r w:rsidR="000316C0" w:rsidRPr="00445B9C">
        <w:rPr>
          <w:rFonts w:cs="Arial"/>
          <w:szCs w:val="20"/>
        </w:rPr>
        <w:t>a</w:t>
      </w:r>
      <w:r w:rsidRPr="00445B9C">
        <w:rPr>
          <w:rFonts w:cs="Arial"/>
          <w:szCs w:val="20"/>
        </w:rPr>
        <w:t>, 9. točka, ki se glasi:</w:t>
      </w:r>
    </w:p>
    <w:p w14:paraId="7B1C1652" w14:textId="77777777" w:rsidR="00BB7A9E" w:rsidRPr="00445B9C" w:rsidRDefault="00BB7A9E">
      <w:pPr>
        <w:jc w:val="both"/>
        <w:rPr>
          <w:rFonts w:cs="Arial"/>
          <w:szCs w:val="20"/>
        </w:rPr>
      </w:pPr>
    </w:p>
    <w:p w14:paraId="17F2D1AE" w14:textId="340A9DB9" w:rsidR="00BB7A9E" w:rsidRPr="00445B9C" w:rsidRDefault="00BB7A9E" w:rsidP="00EF5CE5">
      <w:pPr>
        <w:jc w:val="both"/>
        <w:rPr>
          <w:rFonts w:cs="Arial"/>
          <w:szCs w:val="20"/>
        </w:rPr>
      </w:pPr>
      <w:r w:rsidRPr="00445B9C">
        <w:rPr>
          <w:rFonts w:cs="Arial"/>
          <w:szCs w:val="20"/>
        </w:rPr>
        <w:t>»</w:t>
      </w:r>
      <w:r w:rsidR="000316C0" w:rsidRPr="00445B9C">
        <w:rPr>
          <w:rFonts w:cs="Arial"/>
          <w:szCs w:val="20"/>
        </w:rPr>
        <w:t xml:space="preserve">9. </w:t>
      </w:r>
      <w:r w:rsidRPr="00445B9C">
        <w:rPr>
          <w:rFonts w:cs="Arial"/>
          <w:szCs w:val="20"/>
        </w:rPr>
        <w:t xml:space="preserve">Uredba (EU) 2023/2859 Evropskega parlamenta in Sveta z dne 13. decembra 2023 o vzpostavitvi evropske enotne točke dostopa, ki zagotavlja centraliziran dostop do javno dostopnih informacij, pomembnih za finančne storitve, kapitalske trge in trajnostnost (UL L št. 2859 z dne 20. 12. 2023, str. 1), </w:t>
      </w:r>
      <w:r w:rsidR="0005085F" w:rsidRPr="0005085F">
        <w:rPr>
          <w:rFonts w:cs="Arial"/>
          <w:szCs w:val="20"/>
        </w:rPr>
        <w:t>zadnjič</w:t>
      </w:r>
      <w:r w:rsidRPr="00445B9C">
        <w:rPr>
          <w:rFonts w:cs="Arial"/>
          <w:szCs w:val="20"/>
        </w:rPr>
        <w:t xml:space="preserve"> spremenjena z </w:t>
      </w:r>
      <w:r w:rsidR="00A965AF" w:rsidRPr="00A965AF">
        <w:rPr>
          <w:rFonts w:cs="Arial"/>
          <w:szCs w:val="20"/>
        </w:rPr>
        <w:t>Uredb</w:t>
      </w:r>
      <w:r w:rsidR="00A965AF">
        <w:rPr>
          <w:rFonts w:cs="Arial"/>
          <w:szCs w:val="20"/>
        </w:rPr>
        <w:t>o</w:t>
      </w:r>
      <w:r w:rsidR="00A965AF" w:rsidRPr="00A965AF">
        <w:rPr>
          <w:rFonts w:cs="Arial"/>
          <w:szCs w:val="20"/>
        </w:rPr>
        <w:t xml:space="preserve"> (EU) 2024/3005 Evropskega parlamenta in Sveta z dne 27. novembra 2024 o preglednosti in celovitosti dejavnosti ocenjevanja </w:t>
      </w:r>
      <w:proofErr w:type="spellStart"/>
      <w:r w:rsidR="00A965AF" w:rsidRPr="00A965AF">
        <w:rPr>
          <w:rFonts w:cs="Arial"/>
          <w:szCs w:val="20"/>
        </w:rPr>
        <w:t>okoljskih</w:t>
      </w:r>
      <w:proofErr w:type="spellEnd"/>
      <w:r w:rsidR="00A965AF" w:rsidRPr="00A965AF">
        <w:rPr>
          <w:rFonts w:cs="Arial"/>
          <w:szCs w:val="20"/>
        </w:rPr>
        <w:t>, socialnih in upravljavskih (ESG) dejavnikov ter spremembi uredb (EU) 2019/2088</w:t>
      </w:r>
      <w:r w:rsidRPr="00445B9C">
        <w:rPr>
          <w:rFonts w:cs="Arial"/>
          <w:szCs w:val="20"/>
        </w:rPr>
        <w:t xml:space="preserve"> (UL L št. </w:t>
      </w:r>
      <w:r w:rsidR="00A965AF" w:rsidRPr="00A965AF">
        <w:rPr>
          <w:rFonts w:cs="Arial"/>
          <w:szCs w:val="20"/>
        </w:rPr>
        <w:t>2024/3005</w:t>
      </w:r>
      <w:r w:rsidRPr="00445B9C">
        <w:rPr>
          <w:rFonts w:cs="Arial"/>
          <w:szCs w:val="20"/>
        </w:rPr>
        <w:t xml:space="preserve"> z dne </w:t>
      </w:r>
      <w:r w:rsidR="00A965AF">
        <w:rPr>
          <w:rFonts w:cs="Arial"/>
          <w:szCs w:val="20"/>
        </w:rPr>
        <w:t>12</w:t>
      </w:r>
      <w:r w:rsidRPr="00445B9C">
        <w:rPr>
          <w:rFonts w:cs="Arial"/>
          <w:szCs w:val="20"/>
        </w:rPr>
        <w:t xml:space="preserve">. </w:t>
      </w:r>
      <w:r w:rsidR="00A965AF">
        <w:rPr>
          <w:rFonts w:cs="Arial"/>
          <w:szCs w:val="20"/>
        </w:rPr>
        <w:t>12</w:t>
      </w:r>
      <w:r w:rsidRPr="00445B9C">
        <w:rPr>
          <w:rFonts w:cs="Arial"/>
          <w:szCs w:val="20"/>
        </w:rPr>
        <w:t>. 2024, str. 1), (v nadaljnjem besedilu: Uredba 2023/2859/EU).«.</w:t>
      </w:r>
    </w:p>
    <w:p w14:paraId="2C2CFE34" w14:textId="77777777" w:rsidR="00A93426" w:rsidRPr="00445B9C" w:rsidRDefault="00006119" w:rsidP="00F810E6">
      <w:pPr>
        <w:numPr>
          <w:ilvl w:val="0"/>
          <w:numId w:val="16"/>
        </w:numPr>
        <w:spacing w:before="240" w:after="240" w:line="259" w:lineRule="auto"/>
        <w:ind w:left="720"/>
        <w:jc w:val="center"/>
        <w:outlineLvl w:val="0"/>
        <w:rPr>
          <w:rFonts w:eastAsiaTheme="majorEastAsia" w:cs="Arial"/>
          <w:b/>
          <w:szCs w:val="20"/>
        </w:rPr>
      </w:pPr>
      <w:bookmarkStart w:id="12" w:name="_Ref192067043"/>
      <w:r w:rsidRPr="00445B9C">
        <w:rPr>
          <w:rFonts w:eastAsiaTheme="majorEastAsia" w:cs="Arial"/>
          <w:b/>
          <w:szCs w:val="20"/>
        </w:rPr>
        <w:t>člen</w:t>
      </w:r>
      <w:bookmarkEnd w:id="12"/>
    </w:p>
    <w:p w14:paraId="2535FD6F" w14:textId="45125206" w:rsidR="00B714AD" w:rsidRPr="00445B9C" w:rsidRDefault="00B714AD" w:rsidP="00B714AD">
      <w:pPr>
        <w:jc w:val="both"/>
        <w:rPr>
          <w:rFonts w:cs="Arial"/>
          <w:szCs w:val="20"/>
        </w:rPr>
      </w:pPr>
      <w:r w:rsidRPr="00445B9C">
        <w:rPr>
          <w:rFonts w:cs="Arial"/>
          <w:szCs w:val="20"/>
        </w:rPr>
        <w:t>V 4. členu se drugi odstavek spremeni tako, da se glasi:</w:t>
      </w:r>
    </w:p>
    <w:p w14:paraId="3064C3E2" w14:textId="77777777" w:rsidR="00B714AD" w:rsidRPr="00445B9C" w:rsidRDefault="00B714AD" w:rsidP="00B714AD">
      <w:pPr>
        <w:jc w:val="both"/>
        <w:rPr>
          <w:rFonts w:cs="Arial"/>
          <w:szCs w:val="20"/>
        </w:rPr>
      </w:pPr>
    </w:p>
    <w:p w14:paraId="234853A2" w14:textId="022BE9FC" w:rsidR="00B714AD" w:rsidRPr="00445B9C" w:rsidRDefault="00B714AD" w:rsidP="00B714AD">
      <w:pPr>
        <w:jc w:val="both"/>
        <w:rPr>
          <w:rFonts w:cs="Arial"/>
          <w:szCs w:val="20"/>
        </w:rPr>
      </w:pPr>
      <w:r w:rsidRPr="00445B9C">
        <w:rPr>
          <w:rFonts w:cs="Arial"/>
          <w:szCs w:val="20"/>
        </w:rPr>
        <w:t>»(2) V tem zakonu so za predpise EU</w:t>
      </w:r>
      <w:r w:rsidR="001C77C0">
        <w:rPr>
          <w:rFonts w:cs="Arial"/>
          <w:szCs w:val="20"/>
        </w:rPr>
        <w:t xml:space="preserve"> –</w:t>
      </w:r>
      <w:r w:rsidRPr="00445B9C">
        <w:rPr>
          <w:rFonts w:cs="Arial"/>
          <w:szCs w:val="20"/>
        </w:rPr>
        <w:t xml:space="preserve"> poleg skrajšanih naslovov, navedenih v 2. členu tega zakona</w:t>
      </w:r>
      <w:r w:rsidR="001C77C0">
        <w:rPr>
          <w:rFonts w:cs="Arial"/>
          <w:szCs w:val="20"/>
        </w:rPr>
        <w:t xml:space="preserve"> –</w:t>
      </w:r>
      <w:r w:rsidRPr="00445B9C">
        <w:rPr>
          <w:rFonts w:cs="Arial"/>
          <w:szCs w:val="20"/>
        </w:rPr>
        <w:t xml:space="preserve"> uporabljeni še naslednji naslovi:</w:t>
      </w:r>
    </w:p>
    <w:p w14:paraId="28BD2C32" w14:textId="597BD35B" w:rsidR="00B714AD" w:rsidRPr="00445B9C" w:rsidRDefault="00B714AD" w:rsidP="00B714AD">
      <w:pPr>
        <w:jc w:val="both"/>
        <w:rPr>
          <w:rFonts w:cs="Arial"/>
          <w:szCs w:val="20"/>
        </w:rPr>
      </w:pPr>
      <w:r w:rsidRPr="00445B9C">
        <w:rPr>
          <w:rFonts w:cs="Arial"/>
          <w:szCs w:val="20"/>
        </w:rPr>
        <w:t xml:space="preserve">1.     Direktiva 2001/24/ES je Direktiva 2001/24/ES Evropskega parlamenta in Sveta z dne 4. aprila 2001 o reorganizaciji in prenehanju kreditnih institucij (UL L št. 125 z dne 5. 5. 2001, str. 15), </w:t>
      </w:r>
      <w:r w:rsidR="0005085F" w:rsidRPr="0005085F">
        <w:rPr>
          <w:rFonts w:cs="Arial"/>
          <w:szCs w:val="20"/>
        </w:rPr>
        <w:t>zadnjič</w:t>
      </w:r>
      <w:r w:rsidRPr="00445B9C">
        <w:rPr>
          <w:rFonts w:cs="Arial"/>
          <w:szCs w:val="20"/>
        </w:rPr>
        <w:t xml:space="preserve"> spremenjena z Direktivo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(UL L št. 173 z dne 12. 6. 2014, str. 190)</w:t>
      </w:r>
      <w:r w:rsidR="00851B7D">
        <w:rPr>
          <w:rFonts w:cs="Arial"/>
          <w:szCs w:val="20"/>
        </w:rPr>
        <w:t>;</w:t>
      </w:r>
    </w:p>
    <w:p w14:paraId="7C55326F" w14:textId="3648E175" w:rsidR="00B714AD" w:rsidRPr="00445B9C" w:rsidRDefault="00B714AD" w:rsidP="00B714AD">
      <w:pPr>
        <w:jc w:val="both"/>
        <w:rPr>
          <w:rFonts w:cs="Arial"/>
          <w:szCs w:val="20"/>
        </w:rPr>
      </w:pPr>
      <w:r w:rsidRPr="00445B9C">
        <w:rPr>
          <w:rFonts w:cs="Arial"/>
          <w:szCs w:val="20"/>
        </w:rPr>
        <w:t xml:space="preserve">2.    Uredba 1606/2002/ES je Uredba (ES) št. 1606/2002/ES Evropskega parlamenta in Sveta z dne 19. julija 2002 o uporabi mednarodnih računovodskih standardov (UL L št. 243 z dne 11. 9. 2002, str. 1), </w:t>
      </w:r>
      <w:r w:rsidR="0005085F" w:rsidRPr="0005085F">
        <w:rPr>
          <w:rFonts w:cs="Arial"/>
          <w:szCs w:val="20"/>
        </w:rPr>
        <w:t>zadnjič</w:t>
      </w:r>
      <w:r w:rsidRPr="00445B9C">
        <w:rPr>
          <w:rFonts w:cs="Arial"/>
          <w:szCs w:val="20"/>
        </w:rPr>
        <w:t xml:space="preserve"> spremenjena z Uredbo (ES) št. 297/2008 Evropskega parlamenta in Sveta z dne 11. marca 2008 o spremembah Uredbe (ES) št. 1606/2002 o uporabi mednarodnih računovodskih standardov, glede Komisiji podeljenih izvedbenih pooblastil (UL L št. 97 z dne 9. 4. 2008, str. 62)</w:t>
      </w:r>
      <w:r w:rsidR="00851B7D">
        <w:rPr>
          <w:rFonts w:cs="Arial"/>
          <w:szCs w:val="20"/>
        </w:rPr>
        <w:t>;</w:t>
      </w:r>
    </w:p>
    <w:p w14:paraId="6B7CB5F9" w14:textId="3BA4D36A" w:rsidR="00B714AD" w:rsidRPr="00445B9C" w:rsidRDefault="00B714AD" w:rsidP="00B714AD">
      <w:pPr>
        <w:jc w:val="both"/>
        <w:rPr>
          <w:rFonts w:cs="Arial"/>
          <w:szCs w:val="20"/>
        </w:rPr>
      </w:pPr>
      <w:r w:rsidRPr="00445B9C">
        <w:rPr>
          <w:rFonts w:cs="Arial"/>
          <w:szCs w:val="20"/>
        </w:rPr>
        <w:t xml:space="preserve">3.    Direktiva 2003/87/ES je Direktiva 2003/87/ES Evropskega parlamenta in Sveta z dne 13. oktobra 2003 o vzpostavitvi sistema za trgovanje s pravicami do emisije toplogrednih plinov v Skupnosti in o spremembi Direktive Sveta 96/61/ES (UL L št. 275, z dne 25. 10. 2003, str. 32), zadnjič spremenjena z Delegirano uredbo Komisije (EU) 2025/723 z dne 6. februarja 2025 o dopolnitvi Direktive 2003/87/ES Evropskega parlamenta in Sveta z določitvijo podrobnih pravil za </w:t>
      </w:r>
      <w:r w:rsidRPr="00445B9C">
        <w:rPr>
          <w:rFonts w:cs="Arial"/>
          <w:szCs w:val="20"/>
        </w:rPr>
        <w:lastRenderedPageBreak/>
        <w:t>letni izračun razlik v cenah med upravičenimi letalskimi gorivi in fosilnim kerozinom ter za dodelitev pravic v okviru EU ETS za uporabo upravičenih letalskih goriv (UL L št. 2025/723 z dne 16. 4. 2025)</w:t>
      </w:r>
      <w:r w:rsidR="00851B7D">
        <w:rPr>
          <w:rFonts w:cs="Arial"/>
          <w:szCs w:val="20"/>
        </w:rPr>
        <w:t>;</w:t>
      </w:r>
    </w:p>
    <w:p w14:paraId="2A5DEFCB" w14:textId="1DB4C112" w:rsidR="00B714AD" w:rsidRPr="00445B9C" w:rsidRDefault="00B714AD" w:rsidP="00B714AD">
      <w:pPr>
        <w:jc w:val="both"/>
        <w:rPr>
          <w:rFonts w:cs="Arial"/>
          <w:szCs w:val="20"/>
        </w:rPr>
      </w:pPr>
      <w:r w:rsidRPr="00445B9C">
        <w:rPr>
          <w:rFonts w:cs="Arial"/>
          <w:szCs w:val="20"/>
        </w:rPr>
        <w:t>4.     Direktiva 2009/65/ES je Direktiva 2009/65/ES Evropskega parlamenta in Sveta z dne 13. julija 2009 o usklajevanju zakonov in drugih predpisov o kolektivnih naložbenih podjemih za vlaganja v prenosljive vrednostne papirje (KNPVP) (UL L št. 302 z dne 17. 11. 2009, str. 32), zadnjič spremenjena z Delegirano uredbo Komisije (EU) 2024/911 z dne 15. decembra 2023 o dopolnitvi Direktive 2009/65/ES Evropskega parlamenta in Sveta v zvezi z regulativnimi tehničnimi standardi o določitvi podatkov, ki jih je treba predložiti v zvezi s čezmejnimi dejavnostmi družb za upravljanje in kolektivnih naložbenih podjemov za vlaganja v prenosljive vrednostne papirje (KNPVP) (UL L št. 2024/911 z dne 25. 3. 2024)</w:t>
      </w:r>
      <w:r w:rsidR="00851B7D">
        <w:rPr>
          <w:rFonts w:cs="Arial"/>
          <w:szCs w:val="20"/>
        </w:rPr>
        <w:t>;</w:t>
      </w:r>
    </w:p>
    <w:p w14:paraId="70C50C98" w14:textId="4A026642" w:rsidR="00B714AD" w:rsidRPr="00445B9C" w:rsidRDefault="00B714AD" w:rsidP="00B714AD">
      <w:pPr>
        <w:jc w:val="both"/>
        <w:rPr>
          <w:rFonts w:cs="Arial"/>
          <w:szCs w:val="20"/>
        </w:rPr>
      </w:pPr>
      <w:r w:rsidRPr="00445B9C">
        <w:rPr>
          <w:rFonts w:cs="Arial"/>
          <w:szCs w:val="20"/>
        </w:rPr>
        <w:t>5.     Uredba 1092/2010/ES je Uredba (EU) št. 1092/2010 Evropskega parlamenta in Sveta z dne 24. novembra 2010 o makrobonitetnem nadzoru nad finančnim sistemom Evropske unije in ustanovitvi Evropskega odbora za sistemska tveganja (UL L št. 331 z dne 15. 12. 2010, str. 1), zadnjič spremenjena z Uredbo (EU) 2019/2176 Evropskega parlamenta in Sveta z dne 18. decembra 2019 o spremembi Uredbe (EU) št. 1092/2010 o makrobonitetnem nadzoru nad finančnim sistemom Evropske unije in ustanovitvi Evropskega odbora za sistemska tveganja (UL L št. 334 z dne 27. 12. 2019, str. 146)</w:t>
      </w:r>
      <w:r w:rsidR="00851B7D">
        <w:rPr>
          <w:rFonts w:cs="Arial"/>
          <w:szCs w:val="20"/>
        </w:rPr>
        <w:t>;</w:t>
      </w:r>
    </w:p>
    <w:p w14:paraId="528118DB" w14:textId="0E78EBAC" w:rsidR="00B714AD" w:rsidRPr="00445B9C" w:rsidRDefault="00B714AD" w:rsidP="00B714AD">
      <w:pPr>
        <w:jc w:val="both"/>
        <w:rPr>
          <w:rFonts w:cs="Arial"/>
          <w:szCs w:val="20"/>
        </w:rPr>
      </w:pPr>
      <w:r w:rsidRPr="00445B9C">
        <w:rPr>
          <w:rFonts w:cs="Arial"/>
          <w:szCs w:val="20"/>
        </w:rPr>
        <w:t>6.   Uredba 1095/2010/ES je Uredba (EU) št. 1095/2010 Evropskega parlamenta in Sveta z dne 24. novembra 2010 o ustanovitvi Evropskega nadzornega organa (Evropski organ za vrednostne papirje in trge) in o spremembi Sklepa št. 716/2009/ES ter razveljavitvi Sklepa Komisije 2009/77/ES (UL L št. 331 z dne 15. 12. 2010, str. 84), zadnjič spremenjena z Uredbo (EU) 2024/2987 Evropskega parlamenta in Sveta z dne 27. novembra 2024 o spremembi uredb (EU) št. 648/2012, (EU) št. 575/2013 in (EU) 2017/1131 v zvezi z ukrepi za zmanjšanje prekomerne izpostavljenosti do centralnih nasprotnih strank iz tretjih držav in izboljšanje učinkovitosti klirinških trgov Unije (UL L št. 2024/2987 z dne 4. 12. 2024)</w:t>
      </w:r>
      <w:r w:rsidR="00851B7D">
        <w:rPr>
          <w:rFonts w:cs="Arial"/>
          <w:szCs w:val="20"/>
        </w:rPr>
        <w:t>;</w:t>
      </w:r>
    </w:p>
    <w:p w14:paraId="3DA36A4B" w14:textId="5E47FD38" w:rsidR="00B714AD" w:rsidRPr="00445B9C" w:rsidRDefault="00B714AD" w:rsidP="00B714AD">
      <w:pPr>
        <w:jc w:val="both"/>
        <w:rPr>
          <w:rFonts w:cs="Arial"/>
          <w:szCs w:val="20"/>
        </w:rPr>
      </w:pPr>
      <w:r w:rsidRPr="00445B9C">
        <w:rPr>
          <w:rFonts w:cs="Arial"/>
          <w:szCs w:val="20"/>
        </w:rPr>
        <w:t>7.   Uredba 1227/2011/EU je Uredba (EU) št. 1227/2011 Evropskega parlamenta in Sveta z dne 25. oktobra 2011 o celovitosti in preglednosti veleprodajnega energetskega trga (UL L št. 326 z dne 8. 12. 2011, str. 1), zadnjič spremenjena z Uredbo (EU) 2024/1789 Evropskega parlamenta in Sveta z dne 13. junija 2024 o notranjem trgu plina iz obnovljivih virov, zemeljskega plina in vodika, spremembi uredb (EU) št. 1227/2011, (EU) 2017/1938, (EU) 2019/942 in (EU) 2022/869 ter Sklepa (EU) 2017/684 in razveljavitvi Uredbe (ES) št. 715/2009 (prenovitev) (UL L št. 2024/1789 z dne 15. 7. 2024)</w:t>
      </w:r>
      <w:r w:rsidR="00851B7D">
        <w:rPr>
          <w:rFonts w:cs="Arial"/>
          <w:szCs w:val="20"/>
        </w:rPr>
        <w:t>;</w:t>
      </w:r>
    </w:p>
    <w:p w14:paraId="413185D4" w14:textId="4623923E" w:rsidR="00B714AD" w:rsidRPr="00445B9C" w:rsidRDefault="00B714AD" w:rsidP="00B714AD">
      <w:pPr>
        <w:jc w:val="both"/>
        <w:rPr>
          <w:rFonts w:cs="Arial"/>
          <w:szCs w:val="20"/>
        </w:rPr>
      </w:pPr>
      <w:r w:rsidRPr="00445B9C">
        <w:rPr>
          <w:rFonts w:cs="Arial"/>
          <w:szCs w:val="20"/>
        </w:rPr>
        <w:t>8.   Uredba 648/2012/EU je Uredba (EU) št. 648/2012 Evropskega parlamenta in Sveta z dne 4. julija 2012 o izvedenih finančnih instrumentih OTC, centralnih nasprotnih strankah in repozitorijih sklenjenih poslov (UL L št. 201 z dne 27. 7. 2012, str. 1), zadnjič spremenjena z Direktivo (EU) 2025/1 Evropskega parlamenta in Sveta z dne 27. novembra 2024 o vzpostavitvi okvira za sanacijo in reševanje zavarovalnic in pozavarovalnic ter spremembi direktiv 2002/47/ES, 2004/25/ES, 2007/36/ES, 2014/59/EU in (EU) 2017/1132 ter uredb (EU) št. 1094/2010, (EU) št. 648/2012, (EU) št. 806/2014 in (EU) 2017/1129 (UL L št. 2025/1 z dne 8. 1. 2025)</w:t>
      </w:r>
      <w:r w:rsidR="00851B7D">
        <w:rPr>
          <w:rFonts w:cs="Arial"/>
          <w:szCs w:val="20"/>
        </w:rPr>
        <w:t>;</w:t>
      </w:r>
    </w:p>
    <w:p w14:paraId="23E7F3E7" w14:textId="67C64CA4" w:rsidR="00B714AD" w:rsidRPr="00445B9C" w:rsidRDefault="00B714AD" w:rsidP="00B714AD">
      <w:pPr>
        <w:jc w:val="both"/>
        <w:rPr>
          <w:rFonts w:cs="Arial"/>
          <w:szCs w:val="20"/>
        </w:rPr>
      </w:pPr>
      <w:r w:rsidRPr="00445B9C">
        <w:rPr>
          <w:rFonts w:cs="Arial"/>
          <w:szCs w:val="20"/>
        </w:rPr>
        <w:t>9.   Direktiva 2013/34/EU je Direktiva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L št. 182 z dne 29. 6. 2013, str. 19)</w:t>
      </w:r>
      <w:r w:rsidR="00A965AF">
        <w:rPr>
          <w:rFonts w:cs="Arial"/>
          <w:szCs w:val="20"/>
        </w:rPr>
        <w:t>,</w:t>
      </w:r>
      <w:r w:rsidRPr="00445B9C">
        <w:rPr>
          <w:rFonts w:cs="Arial"/>
          <w:szCs w:val="20"/>
        </w:rPr>
        <w:t xml:space="preserve"> zadnjič spremenjena z Direktivo (EU) 2025/2 Evropskega parlamenta in Sveta z dne 27. novembra 2024 o spremembi Direktive 2009/138/ES glede sorazmernosti, kakovosti nadzora, poročanja, dolgoročnih jamstvenih ukrepov, makrobonitetnih orodij, tveganj glede trajnostnosti ter nadzora skupin in čezmejnega nadzora ter spremembi direktiv 2002/87/ES in 2013/34/EU (UL L št. 2025/2 z dne 8. 1. 2025)</w:t>
      </w:r>
      <w:r w:rsidR="00851B7D">
        <w:rPr>
          <w:rFonts w:cs="Arial"/>
          <w:szCs w:val="20"/>
        </w:rPr>
        <w:t>;</w:t>
      </w:r>
    </w:p>
    <w:p w14:paraId="1484AF40" w14:textId="2A678FD7" w:rsidR="00B714AD" w:rsidRPr="00445B9C" w:rsidRDefault="00B714AD" w:rsidP="00B714AD">
      <w:pPr>
        <w:jc w:val="both"/>
        <w:rPr>
          <w:rFonts w:cs="Arial"/>
          <w:szCs w:val="20"/>
        </w:rPr>
      </w:pPr>
      <w:r w:rsidRPr="00445B9C">
        <w:rPr>
          <w:rFonts w:cs="Arial"/>
          <w:szCs w:val="20"/>
        </w:rPr>
        <w:t xml:space="preserve">10.   Uredba 1308/2013/EU je Uredba (EU) št. 1308/2013 Evropskega parlamenta in Sveta z dne 17. decembra 2013 o vzpostavitvi skupne ureditve trgov kmetijskih proizvodov in razveljavitvi uredb Sveta (EGS) št. 922/72, (EGS) št. 234/79, (ES) št. 1037/2001 in (ES) št. 1234/2007 (UL L </w:t>
      </w:r>
      <w:r w:rsidRPr="00445B9C">
        <w:rPr>
          <w:rFonts w:cs="Arial"/>
          <w:szCs w:val="20"/>
        </w:rPr>
        <w:lastRenderedPageBreak/>
        <w:t>št. 347 z dne 20. 12. 2013, str. 671), zadnjič spremenjena z Izvedbeno uredbo Komisije (EU) 2025/1015 z dne 26. maja 2025 o začasnih nujnih ukrepih za Španijo, ki odstopajo od nekaterih določb Uredbe (EU) št. 1308/2013 Evropskega parlamenta in Sveta, Delegirane uredbe Komisije (EU) 2017/891 in Izvedbene uredbe Komisije (EU) 2017/892 za reševanje specifičnih problemov v sektorju sadja in zelenjave, ki so jih povzročili hujši neugodni vremenski dogodki (UL L št. 2025/1015 z dne 27. 5. 2025)</w:t>
      </w:r>
      <w:r w:rsidR="00851B7D">
        <w:rPr>
          <w:rFonts w:cs="Arial"/>
          <w:szCs w:val="20"/>
        </w:rPr>
        <w:t>;</w:t>
      </w:r>
    </w:p>
    <w:p w14:paraId="4143E4EB" w14:textId="58478E01" w:rsidR="00B714AD" w:rsidRPr="00445B9C" w:rsidRDefault="00B714AD" w:rsidP="00B714AD">
      <w:pPr>
        <w:jc w:val="both"/>
        <w:rPr>
          <w:rFonts w:cs="Arial"/>
          <w:szCs w:val="20"/>
        </w:rPr>
      </w:pPr>
      <w:r w:rsidRPr="00445B9C">
        <w:rPr>
          <w:rFonts w:cs="Arial"/>
          <w:szCs w:val="20"/>
        </w:rPr>
        <w:t>11. Uredba 2022/858/EU je Uredba (EU) 2022/858 Evropskega parlamenta in Sveta z dne 30. maja 2022 o pilotni ureditvi za tržne infrastrukture na podlagi tehnologije razpršene evidence ter spremembi uredb (EU) št. 600/2014 in (EU) št. 909/2014 ter Direktive 2014/65/EU (UL L št. 151 z dne 2. 6. 2022, str. 1);</w:t>
      </w:r>
    </w:p>
    <w:p w14:paraId="64B1EDD3" w14:textId="18CD73EB" w:rsidR="00B714AD" w:rsidRPr="00445B9C" w:rsidRDefault="00B714AD" w:rsidP="00B714AD">
      <w:pPr>
        <w:jc w:val="both"/>
        <w:rPr>
          <w:rFonts w:cs="Arial"/>
          <w:szCs w:val="20"/>
        </w:rPr>
      </w:pPr>
      <w:r w:rsidRPr="00445B9C">
        <w:rPr>
          <w:rFonts w:cs="Arial"/>
          <w:szCs w:val="20"/>
        </w:rPr>
        <w:t>12. Uredba 2016/1437/EU je Delegirana uredba Komisije (EU) 2016/1437 z dne 19. maja 2016 o dopolnitvi Direktive 2004/109/ES Evropskega parlamenta in Sveta v zvezi z regulativnimi tehničnimi standardi za dostop do predpisanih informacij na ravni Unije (UL L št. 234 z dne 31. 8. 2016, str. 1);</w:t>
      </w:r>
    </w:p>
    <w:p w14:paraId="18FDAB6B" w14:textId="3FC7A4BC" w:rsidR="00B714AD" w:rsidRDefault="00B714AD" w:rsidP="00B714AD">
      <w:pPr>
        <w:jc w:val="both"/>
        <w:rPr>
          <w:rFonts w:cs="Arial"/>
          <w:szCs w:val="20"/>
        </w:rPr>
      </w:pPr>
      <w:r w:rsidRPr="00445B9C">
        <w:rPr>
          <w:rFonts w:cs="Arial"/>
          <w:szCs w:val="20"/>
        </w:rPr>
        <w:t>13. Uredba 2019/943/EU je Uredba (EU) 2019/943 Evropskega parlamenta in Sveta z dne 5. junija 2019 o notranjem trgu električne energije (UL L št. 158 z dne 14. 6. 2019, str. 54), zadnjič spremenjena s Sklepom Komisije (EU) 2025/1016 z dne 16. maja 2025 o odobritvi odstopanja Kraljevini Španiji od nekaterih določb Uredbe (EU) 2019/943 Evropskega parlamenta in Sveta ter Direktive (EU) 2019/944 Evropskega parlamenta in Sveta glede Melille (notificirano pod dokumentarno številko C(2025) 3175) (UL L št. 2025/1016, z dne 23. 5. 2025, str. 1);</w:t>
      </w:r>
    </w:p>
    <w:p w14:paraId="0B92B9E9" w14:textId="1E2F8B5A" w:rsidR="00570D1E" w:rsidRPr="00445B9C" w:rsidRDefault="00570D1E" w:rsidP="00B714AD">
      <w:pPr>
        <w:jc w:val="both"/>
        <w:rPr>
          <w:rFonts w:cs="Arial"/>
          <w:szCs w:val="20"/>
        </w:rPr>
      </w:pPr>
      <w:r>
        <w:rPr>
          <w:rFonts w:cs="Arial"/>
          <w:szCs w:val="20"/>
        </w:rPr>
        <w:t xml:space="preserve">14. </w:t>
      </w:r>
      <w:r w:rsidRPr="00570D1E">
        <w:rPr>
          <w:rFonts w:cs="Arial"/>
          <w:szCs w:val="20"/>
        </w:rPr>
        <w:t>Uredba 2022/2554</w:t>
      </w:r>
      <w:r>
        <w:rPr>
          <w:rFonts w:cs="Arial"/>
          <w:szCs w:val="20"/>
        </w:rPr>
        <w:t>/EU je</w:t>
      </w:r>
      <w:r w:rsidRPr="00570D1E">
        <w:rPr>
          <w:rFonts w:cs="Arial"/>
          <w:szCs w:val="20"/>
        </w:rPr>
        <w:t xml:space="preserve"> Uredba (EU) 2022/2554 Evropskega parlamenta in Sveta z dne 14. decembra 2022 o digitalni operativni odpornosti za finančni sektor in spremembi uredb (ES) št. 1060/2009, (EU) št. 648/2012, (EU) št. 600/2014, (EU) št. 909/2014 in (EU) 2016/1011</w:t>
      </w:r>
      <w:r>
        <w:rPr>
          <w:rFonts w:cs="Arial"/>
          <w:szCs w:val="20"/>
        </w:rPr>
        <w:t xml:space="preserve"> (</w:t>
      </w:r>
      <w:r w:rsidRPr="00570D1E">
        <w:rPr>
          <w:rFonts w:cs="Arial"/>
          <w:szCs w:val="20"/>
        </w:rPr>
        <w:t xml:space="preserve">UL L </w:t>
      </w:r>
      <w:r>
        <w:rPr>
          <w:rFonts w:cs="Arial"/>
          <w:szCs w:val="20"/>
        </w:rPr>
        <w:t xml:space="preserve">št. </w:t>
      </w:r>
      <w:r w:rsidRPr="00570D1E">
        <w:rPr>
          <w:rFonts w:cs="Arial"/>
          <w:szCs w:val="20"/>
        </w:rPr>
        <w:t>333</w:t>
      </w:r>
      <w:r>
        <w:rPr>
          <w:rFonts w:cs="Arial"/>
          <w:szCs w:val="20"/>
        </w:rPr>
        <w:t xml:space="preserve"> z dne</w:t>
      </w:r>
      <w:r w:rsidRPr="00570D1E">
        <w:rPr>
          <w:rFonts w:cs="Arial"/>
          <w:szCs w:val="20"/>
        </w:rPr>
        <w:t xml:space="preserve"> 27.</w:t>
      </w:r>
      <w:r>
        <w:rPr>
          <w:rFonts w:cs="Arial"/>
          <w:szCs w:val="20"/>
        </w:rPr>
        <w:t xml:space="preserve"> </w:t>
      </w:r>
      <w:r w:rsidRPr="00570D1E">
        <w:rPr>
          <w:rFonts w:cs="Arial"/>
          <w:szCs w:val="20"/>
        </w:rPr>
        <w:t>12.</w:t>
      </w:r>
      <w:r>
        <w:rPr>
          <w:rFonts w:cs="Arial"/>
          <w:szCs w:val="20"/>
        </w:rPr>
        <w:t xml:space="preserve"> </w:t>
      </w:r>
      <w:r w:rsidRPr="00570D1E">
        <w:rPr>
          <w:rFonts w:cs="Arial"/>
          <w:szCs w:val="20"/>
        </w:rPr>
        <w:t xml:space="preserve">2022, </w:t>
      </w:r>
      <w:r>
        <w:rPr>
          <w:rFonts w:cs="Arial"/>
          <w:szCs w:val="20"/>
        </w:rPr>
        <w:t xml:space="preserve">str. </w:t>
      </w:r>
      <w:r w:rsidRPr="00570D1E">
        <w:rPr>
          <w:rFonts w:cs="Arial"/>
          <w:szCs w:val="20"/>
        </w:rPr>
        <w:t>1</w:t>
      </w:r>
      <w:r>
        <w:rPr>
          <w:rFonts w:cs="Arial"/>
          <w:szCs w:val="20"/>
        </w:rPr>
        <w:t xml:space="preserve">), zadnjič spremenjena z </w:t>
      </w:r>
      <w:r w:rsidRPr="00570D1E">
        <w:rPr>
          <w:rFonts w:cs="Arial"/>
          <w:szCs w:val="20"/>
        </w:rPr>
        <w:t>Delegiran</w:t>
      </w:r>
      <w:r>
        <w:rPr>
          <w:rFonts w:cs="Arial"/>
          <w:szCs w:val="20"/>
        </w:rPr>
        <w:t>o</w:t>
      </w:r>
      <w:r w:rsidRPr="00570D1E">
        <w:rPr>
          <w:rFonts w:cs="Arial"/>
          <w:szCs w:val="20"/>
        </w:rPr>
        <w:t xml:space="preserve"> uredba Komisije (EU) 2025/420 z dne 16. decembra 2024 o dopolnitvi Uredbe (EU) 2022/2554 Evropskega parlamenta in Sveta v zvezi z regulativnimi tehničnimi standardi, v katerih se določijo merila za določitev sestave skupne </w:t>
      </w:r>
      <w:proofErr w:type="spellStart"/>
      <w:r w:rsidRPr="00570D1E">
        <w:rPr>
          <w:rFonts w:cs="Arial"/>
          <w:szCs w:val="20"/>
        </w:rPr>
        <w:t>pregledniške</w:t>
      </w:r>
      <w:proofErr w:type="spellEnd"/>
      <w:r w:rsidRPr="00570D1E">
        <w:rPr>
          <w:rFonts w:cs="Arial"/>
          <w:szCs w:val="20"/>
        </w:rPr>
        <w:t xml:space="preserve"> ekipe, ki zagotavljajo uravnoteženo udeležbo članov osebja iz evropskih nadzornih organov in ustreznih pristojnih organov, njihovo imenovanje, naloge in delovne dogovore</w:t>
      </w:r>
      <w:r>
        <w:rPr>
          <w:rFonts w:cs="Arial"/>
          <w:szCs w:val="20"/>
        </w:rPr>
        <w:t xml:space="preserve"> (</w:t>
      </w:r>
      <w:r w:rsidRPr="00570D1E">
        <w:rPr>
          <w:rFonts w:cs="Arial"/>
          <w:szCs w:val="20"/>
        </w:rPr>
        <w:t>UL L</w:t>
      </w:r>
      <w:r>
        <w:rPr>
          <w:rFonts w:cs="Arial"/>
          <w:szCs w:val="20"/>
        </w:rPr>
        <w:t xml:space="preserve"> št.</w:t>
      </w:r>
      <w:r w:rsidRPr="00570D1E">
        <w:rPr>
          <w:rFonts w:cs="Arial"/>
          <w:szCs w:val="20"/>
        </w:rPr>
        <w:t xml:space="preserve"> 2025/420</w:t>
      </w:r>
      <w:r>
        <w:rPr>
          <w:rFonts w:cs="Arial"/>
          <w:szCs w:val="20"/>
        </w:rPr>
        <w:t xml:space="preserve"> z dne</w:t>
      </w:r>
      <w:r w:rsidRPr="00570D1E">
        <w:rPr>
          <w:rFonts w:cs="Arial"/>
          <w:szCs w:val="20"/>
        </w:rPr>
        <w:t xml:space="preserve"> 24.</w:t>
      </w:r>
      <w:r>
        <w:rPr>
          <w:rFonts w:cs="Arial"/>
          <w:szCs w:val="20"/>
        </w:rPr>
        <w:t xml:space="preserve"> </w:t>
      </w:r>
      <w:r w:rsidRPr="00570D1E">
        <w:rPr>
          <w:rFonts w:cs="Arial"/>
          <w:szCs w:val="20"/>
        </w:rPr>
        <w:t>3.</w:t>
      </w:r>
      <w:r>
        <w:rPr>
          <w:rFonts w:cs="Arial"/>
          <w:szCs w:val="20"/>
        </w:rPr>
        <w:t xml:space="preserve"> </w:t>
      </w:r>
      <w:r w:rsidRPr="00570D1E">
        <w:rPr>
          <w:rFonts w:cs="Arial"/>
          <w:szCs w:val="20"/>
        </w:rPr>
        <w:t>2025</w:t>
      </w:r>
      <w:r>
        <w:rPr>
          <w:rFonts w:cs="Arial"/>
          <w:szCs w:val="20"/>
        </w:rPr>
        <w:t>);</w:t>
      </w:r>
    </w:p>
    <w:p w14:paraId="552EDB4C" w14:textId="27658B6A" w:rsidR="00B714AD" w:rsidRPr="00445B9C" w:rsidRDefault="00B714AD" w:rsidP="00B714AD">
      <w:pPr>
        <w:jc w:val="both"/>
        <w:rPr>
          <w:rFonts w:cs="Arial"/>
          <w:szCs w:val="20"/>
        </w:rPr>
      </w:pPr>
      <w:r w:rsidRPr="00445B9C">
        <w:rPr>
          <w:rFonts w:cs="Arial"/>
          <w:szCs w:val="20"/>
        </w:rPr>
        <w:t>1</w:t>
      </w:r>
      <w:r w:rsidR="00570D1E">
        <w:rPr>
          <w:rFonts w:cs="Arial"/>
          <w:szCs w:val="20"/>
        </w:rPr>
        <w:t>5</w:t>
      </w:r>
      <w:r w:rsidRPr="00445B9C">
        <w:rPr>
          <w:rFonts w:cs="Arial"/>
          <w:szCs w:val="20"/>
        </w:rPr>
        <w:t>. Uredba 2024/1789/EU je Uredba (EU) 2024/1789 Evropskega parlamenta in Sveta z dne 13. junija 2024 o notranjem trgu plina iz obnovljivih virov, zemeljskega plina in vodika, spremembi uredb (EU) št. 1227/2011, (EU) 2017/1938, (EU) 2019/942 in (EU) 2022/869 ter Sklepa (EU) 2017/684 in razveljavitvi Uredbe (ES) št. 715/2009 (UL L št. 2024/1789, z dne 15. 7. 2024).«</w:t>
      </w:r>
      <w:r w:rsidR="00A965AF">
        <w:rPr>
          <w:rFonts w:cs="Arial"/>
          <w:szCs w:val="20"/>
        </w:rPr>
        <w:t>.</w:t>
      </w:r>
    </w:p>
    <w:p w14:paraId="0443AEF8" w14:textId="77777777" w:rsidR="006A2506" w:rsidRPr="00445B9C" w:rsidRDefault="006A2506" w:rsidP="00BA786D">
      <w:pPr>
        <w:jc w:val="both"/>
        <w:rPr>
          <w:rFonts w:cs="Arial"/>
          <w:szCs w:val="20"/>
        </w:rPr>
      </w:pPr>
    </w:p>
    <w:p w14:paraId="339C04CF" w14:textId="77777777" w:rsidR="006A2506" w:rsidRPr="00445B9C" w:rsidRDefault="006A2506" w:rsidP="00F810E6">
      <w:pPr>
        <w:numPr>
          <w:ilvl w:val="0"/>
          <w:numId w:val="16"/>
        </w:numPr>
        <w:spacing w:before="240" w:after="240" w:line="259" w:lineRule="auto"/>
        <w:ind w:left="720"/>
        <w:jc w:val="center"/>
        <w:outlineLvl w:val="0"/>
        <w:rPr>
          <w:rFonts w:eastAsiaTheme="majorEastAsia" w:cs="Arial"/>
          <w:b/>
          <w:szCs w:val="20"/>
        </w:rPr>
      </w:pPr>
      <w:bookmarkStart w:id="13" w:name="_Ref192067056"/>
      <w:bookmarkStart w:id="14" w:name="_Ref64902437"/>
      <w:r w:rsidRPr="00445B9C">
        <w:rPr>
          <w:rFonts w:eastAsiaTheme="majorEastAsia" w:cs="Arial"/>
          <w:b/>
          <w:szCs w:val="20"/>
        </w:rPr>
        <w:t>člen</w:t>
      </w:r>
      <w:bookmarkEnd w:id="13"/>
    </w:p>
    <w:p w14:paraId="2D91380C" w14:textId="7F9BB787" w:rsidR="00CF0FDA" w:rsidRPr="00445B9C" w:rsidRDefault="006A2506" w:rsidP="00142A77">
      <w:pPr>
        <w:spacing w:before="240" w:after="240" w:line="259" w:lineRule="auto"/>
        <w:jc w:val="both"/>
        <w:outlineLvl w:val="0"/>
        <w:rPr>
          <w:rFonts w:cs="Arial"/>
          <w:szCs w:val="20"/>
        </w:rPr>
      </w:pPr>
      <w:r w:rsidRPr="00445B9C">
        <w:rPr>
          <w:rFonts w:eastAsiaTheme="majorEastAsia" w:cs="Arial"/>
          <w:bCs/>
          <w:szCs w:val="20"/>
        </w:rPr>
        <w:t xml:space="preserve">V 5. členu se </w:t>
      </w:r>
      <w:r w:rsidRPr="00445B9C">
        <w:rPr>
          <w:rFonts w:cs="Arial"/>
          <w:szCs w:val="20"/>
        </w:rPr>
        <w:t xml:space="preserve">v tretjem odstavku </w:t>
      </w:r>
      <w:r w:rsidR="007F37F9" w:rsidRPr="00445B9C">
        <w:rPr>
          <w:rFonts w:cs="Arial"/>
          <w:szCs w:val="20"/>
        </w:rPr>
        <w:t>besedilo »»modelsko tveganje«« nadomesti z besedilom</w:t>
      </w:r>
      <w:r w:rsidRPr="00445B9C">
        <w:rPr>
          <w:rFonts w:cs="Arial"/>
          <w:szCs w:val="20"/>
        </w:rPr>
        <w:t xml:space="preserve"> </w:t>
      </w:r>
      <w:r w:rsidR="00906858" w:rsidRPr="00445B9C">
        <w:rPr>
          <w:rFonts w:cs="Arial"/>
          <w:szCs w:val="20"/>
        </w:rPr>
        <w:t>»</w:t>
      </w:r>
      <w:r w:rsidRPr="00445B9C">
        <w:rPr>
          <w:rFonts w:cs="Arial"/>
          <w:szCs w:val="20"/>
        </w:rPr>
        <w:t>»kreditne družbe«</w:t>
      </w:r>
      <w:r w:rsidR="00906858" w:rsidRPr="00445B9C">
        <w:rPr>
          <w:rFonts w:cs="Arial"/>
          <w:szCs w:val="20"/>
        </w:rPr>
        <w:t>«</w:t>
      </w:r>
      <w:r w:rsidR="00AA2175" w:rsidRPr="00445B9C">
        <w:rPr>
          <w:rFonts w:cs="Arial"/>
          <w:szCs w:val="20"/>
        </w:rPr>
        <w:t>.</w:t>
      </w:r>
    </w:p>
    <w:p w14:paraId="371FF582" w14:textId="3458B0A4" w:rsidR="00CF0FDA" w:rsidRPr="00445B9C" w:rsidRDefault="004C1206" w:rsidP="00142A77">
      <w:pPr>
        <w:rPr>
          <w:rFonts w:cs="Arial"/>
          <w:szCs w:val="20"/>
        </w:rPr>
      </w:pPr>
      <w:r w:rsidRPr="00445B9C">
        <w:rPr>
          <w:rFonts w:cs="Arial"/>
          <w:szCs w:val="20"/>
        </w:rPr>
        <w:t>Z</w:t>
      </w:r>
      <w:r w:rsidR="008E1D59" w:rsidRPr="00445B9C">
        <w:rPr>
          <w:rFonts w:cs="Arial"/>
          <w:szCs w:val="20"/>
        </w:rPr>
        <w:t xml:space="preserve">a </w:t>
      </w:r>
      <w:r w:rsidRPr="00445B9C">
        <w:rPr>
          <w:rFonts w:cs="Arial"/>
          <w:szCs w:val="20"/>
        </w:rPr>
        <w:t>sedemindvajsetim</w:t>
      </w:r>
      <w:r w:rsidR="008E1D59" w:rsidRPr="00445B9C">
        <w:rPr>
          <w:rFonts w:cs="Arial"/>
          <w:szCs w:val="20"/>
        </w:rPr>
        <w:t xml:space="preserve"> odstavkom </w:t>
      </w:r>
      <w:r w:rsidR="00065A3E" w:rsidRPr="00445B9C">
        <w:rPr>
          <w:rFonts w:cs="Arial"/>
          <w:szCs w:val="20"/>
        </w:rPr>
        <w:t xml:space="preserve">se </w:t>
      </w:r>
      <w:r w:rsidR="008E1D59" w:rsidRPr="00445B9C">
        <w:rPr>
          <w:rFonts w:cs="Arial"/>
          <w:szCs w:val="20"/>
        </w:rPr>
        <w:t>doda nov</w:t>
      </w:r>
      <w:r w:rsidRPr="00445B9C">
        <w:rPr>
          <w:rFonts w:cs="Arial"/>
          <w:szCs w:val="20"/>
        </w:rPr>
        <w:t>,</w:t>
      </w:r>
      <w:r w:rsidR="008E1D59" w:rsidRPr="00445B9C">
        <w:rPr>
          <w:rFonts w:cs="Arial"/>
          <w:szCs w:val="20"/>
        </w:rPr>
        <w:t xml:space="preserve"> </w:t>
      </w:r>
      <w:r w:rsidRPr="00445B9C">
        <w:rPr>
          <w:rFonts w:cs="Arial"/>
          <w:szCs w:val="20"/>
        </w:rPr>
        <w:t>osemindvajseti</w:t>
      </w:r>
      <w:r w:rsidR="008E1D59" w:rsidRPr="00445B9C">
        <w:rPr>
          <w:rFonts w:cs="Arial"/>
          <w:szCs w:val="20"/>
        </w:rPr>
        <w:t xml:space="preserve"> odstavek, ki se glasi:</w:t>
      </w:r>
    </w:p>
    <w:p w14:paraId="601A4B33" w14:textId="3BF08671" w:rsidR="00CF0FDA" w:rsidRPr="00445B9C" w:rsidRDefault="008E1D59" w:rsidP="00142A77">
      <w:pPr>
        <w:rPr>
          <w:rFonts w:eastAsiaTheme="majorEastAsia" w:cs="Arial"/>
          <w:bCs/>
          <w:szCs w:val="20"/>
        </w:rPr>
      </w:pPr>
      <w:r w:rsidRPr="00445B9C">
        <w:rPr>
          <w:rFonts w:eastAsiaTheme="majorEastAsia" w:cs="Arial"/>
          <w:bCs/>
          <w:szCs w:val="20"/>
        </w:rPr>
        <w:t>»</w:t>
      </w:r>
      <w:r w:rsidR="004C1206" w:rsidRPr="00445B9C">
        <w:rPr>
          <w:rFonts w:eastAsiaTheme="majorEastAsia" w:cs="Arial"/>
          <w:bCs/>
          <w:szCs w:val="20"/>
        </w:rPr>
        <w:t>(</w:t>
      </w:r>
      <w:r w:rsidR="00137CFE" w:rsidRPr="00445B9C">
        <w:rPr>
          <w:rFonts w:eastAsiaTheme="majorEastAsia" w:cs="Arial"/>
          <w:bCs/>
          <w:szCs w:val="20"/>
        </w:rPr>
        <w:t>28</w:t>
      </w:r>
      <w:r w:rsidR="004C1206" w:rsidRPr="00445B9C">
        <w:rPr>
          <w:rFonts w:eastAsiaTheme="majorEastAsia" w:cs="Arial"/>
          <w:bCs/>
          <w:szCs w:val="20"/>
        </w:rPr>
        <w:t>)</w:t>
      </w:r>
      <w:r w:rsidR="00137CFE" w:rsidRPr="00445B9C">
        <w:rPr>
          <w:rFonts w:eastAsiaTheme="majorEastAsia" w:cs="Arial"/>
          <w:bCs/>
          <w:szCs w:val="20"/>
        </w:rPr>
        <w:t xml:space="preserve"> </w:t>
      </w:r>
      <w:r w:rsidRPr="00445B9C">
        <w:rPr>
          <w:rFonts w:eastAsiaTheme="majorEastAsia" w:cs="Arial"/>
          <w:bCs/>
          <w:szCs w:val="20"/>
        </w:rPr>
        <w:t>Pojem »evropska enotna točka dostopa« se uporablja, kot je določen v 1. členu Uredbe 2023/2859/EU.«</w:t>
      </w:r>
      <w:r w:rsidR="00AE492D" w:rsidRPr="00445B9C">
        <w:rPr>
          <w:rFonts w:eastAsiaTheme="majorEastAsia" w:cs="Arial"/>
          <w:bCs/>
          <w:szCs w:val="20"/>
        </w:rPr>
        <w:t>.</w:t>
      </w:r>
    </w:p>
    <w:p w14:paraId="072E480A" w14:textId="55DE0C32" w:rsidR="00A42E62" w:rsidRPr="00445B9C" w:rsidRDefault="00A42E62" w:rsidP="00A42E62">
      <w:pPr>
        <w:numPr>
          <w:ilvl w:val="0"/>
          <w:numId w:val="16"/>
        </w:numPr>
        <w:spacing w:before="240" w:after="240" w:line="259" w:lineRule="auto"/>
        <w:ind w:left="720"/>
        <w:jc w:val="center"/>
        <w:outlineLvl w:val="0"/>
        <w:rPr>
          <w:rFonts w:eastAsiaTheme="majorEastAsia" w:cs="Arial"/>
          <w:b/>
          <w:szCs w:val="20"/>
        </w:rPr>
      </w:pPr>
      <w:bookmarkStart w:id="15" w:name="_Ref196824312"/>
      <w:r w:rsidRPr="00445B9C">
        <w:rPr>
          <w:rFonts w:eastAsiaTheme="majorEastAsia" w:cs="Arial"/>
          <w:b/>
          <w:szCs w:val="20"/>
        </w:rPr>
        <w:t>člen</w:t>
      </w:r>
      <w:bookmarkEnd w:id="15"/>
    </w:p>
    <w:p w14:paraId="63A8A5EC" w14:textId="0F114648" w:rsidR="00A42E62" w:rsidRPr="00445B9C" w:rsidRDefault="00A42E62" w:rsidP="00A42E62">
      <w:pPr>
        <w:spacing w:before="240" w:after="240" w:line="259" w:lineRule="auto"/>
        <w:jc w:val="both"/>
        <w:outlineLvl w:val="0"/>
        <w:rPr>
          <w:rFonts w:eastAsiaTheme="majorEastAsia" w:cs="Arial"/>
          <w:bCs/>
          <w:szCs w:val="20"/>
        </w:rPr>
      </w:pPr>
      <w:r w:rsidRPr="00445B9C">
        <w:rPr>
          <w:rFonts w:eastAsiaTheme="majorEastAsia" w:cs="Arial"/>
          <w:bCs/>
          <w:szCs w:val="20"/>
        </w:rPr>
        <w:t>V 20. členu se v drugem odstavku za besedo »banka« doda besedilo »ali kreditna družba«.</w:t>
      </w:r>
    </w:p>
    <w:p w14:paraId="00106008" w14:textId="51B5F363" w:rsidR="00A42E62" w:rsidRPr="00445B9C" w:rsidRDefault="00C460B8" w:rsidP="00C460B8">
      <w:pPr>
        <w:spacing w:before="240" w:after="240" w:line="259" w:lineRule="auto"/>
        <w:jc w:val="both"/>
        <w:outlineLvl w:val="0"/>
        <w:rPr>
          <w:rFonts w:eastAsiaTheme="majorEastAsia" w:cs="Arial"/>
          <w:bCs/>
          <w:szCs w:val="20"/>
        </w:rPr>
      </w:pPr>
      <w:r w:rsidRPr="00445B9C">
        <w:rPr>
          <w:rFonts w:eastAsiaTheme="majorEastAsia" w:cs="Arial"/>
          <w:bCs/>
          <w:szCs w:val="20"/>
        </w:rPr>
        <w:t>V četrtem odstavku se besedilo »borznoposredniško družbo ali banko« nadomesti z besedilom »borznoposredniško družbo, banko ali kreditno družbo«.</w:t>
      </w:r>
    </w:p>
    <w:p w14:paraId="6BC3CE99" w14:textId="77777777" w:rsidR="006A2506" w:rsidRPr="00445B9C" w:rsidRDefault="00AE492D" w:rsidP="00F810E6">
      <w:pPr>
        <w:numPr>
          <w:ilvl w:val="0"/>
          <w:numId w:val="16"/>
        </w:numPr>
        <w:spacing w:before="240" w:after="240" w:line="259" w:lineRule="auto"/>
        <w:ind w:left="720"/>
        <w:jc w:val="center"/>
        <w:outlineLvl w:val="0"/>
        <w:rPr>
          <w:rFonts w:eastAsiaTheme="majorEastAsia" w:cs="Arial"/>
          <w:b/>
          <w:szCs w:val="20"/>
        </w:rPr>
      </w:pPr>
      <w:bookmarkStart w:id="16" w:name="_Ref196733803"/>
      <w:bookmarkEnd w:id="14"/>
      <w:r w:rsidRPr="00445B9C">
        <w:rPr>
          <w:rFonts w:eastAsiaTheme="majorEastAsia" w:cs="Arial"/>
          <w:b/>
          <w:szCs w:val="20"/>
        </w:rPr>
        <w:t>člen</w:t>
      </w:r>
      <w:bookmarkEnd w:id="16"/>
    </w:p>
    <w:p w14:paraId="51D9B313" w14:textId="77777777" w:rsidR="006A2506" w:rsidRPr="00445B9C" w:rsidRDefault="00AE492D" w:rsidP="00BA786D">
      <w:pPr>
        <w:spacing w:before="240" w:after="240" w:line="259" w:lineRule="auto"/>
        <w:jc w:val="both"/>
        <w:outlineLvl w:val="0"/>
        <w:rPr>
          <w:rFonts w:eastAsiaTheme="majorEastAsia" w:cs="Arial"/>
          <w:bCs/>
          <w:szCs w:val="20"/>
        </w:rPr>
      </w:pPr>
      <w:r w:rsidRPr="00445B9C">
        <w:rPr>
          <w:rFonts w:eastAsiaTheme="majorEastAsia" w:cs="Arial"/>
          <w:bCs/>
          <w:szCs w:val="20"/>
        </w:rPr>
        <w:lastRenderedPageBreak/>
        <w:t>Besed</w:t>
      </w:r>
      <w:r w:rsidR="00DD0B00" w:rsidRPr="00445B9C">
        <w:rPr>
          <w:rFonts w:eastAsiaTheme="majorEastAsia" w:cs="Arial"/>
          <w:bCs/>
          <w:szCs w:val="20"/>
        </w:rPr>
        <w:t>i</w:t>
      </w:r>
      <w:r w:rsidRPr="00445B9C">
        <w:rPr>
          <w:rFonts w:eastAsiaTheme="majorEastAsia" w:cs="Arial"/>
          <w:bCs/>
          <w:szCs w:val="20"/>
        </w:rPr>
        <w:t xml:space="preserve">lo </w:t>
      </w:r>
      <w:r w:rsidR="006A2506" w:rsidRPr="00445B9C">
        <w:rPr>
          <w:rFonts w:eastAsiaTheme="majorEastAsia" w:cs="Arial"/>
          <w:bCs/>
          <w:szCs w:val="20"/>
        </w:rPr>
        <w:t>28. člen</w:t>
      </w:r>
      <w:r w:rsidRPr="00445B9C">
        <w:rPr>
          <w:rFonts w:eastAsiaTheme="majorEastAsia" w:cs="Arial"/>
          <w:bCs/>
          <w:szCs w:val="20"/>
        </w:rPr>
        <w:t>a</w:t>
      </w:r>
      <w:r w:rsidR="006A2506" w:rsidRPr="00445B9C">
        <w:rPr>
          <w:rFonts w:eastAsiaTheme="majorEastAsia" w:cs="Arial"/>
          <w:bCs/>
          <w:szCs w:val="20"/>
        </w:rPr>
        <w:t xml:space="preserve"> se spremeni tako, da se glasi:</w:t>
      </w:r>
    </w:p>
    <w:p w14:paraId="27B7C488" w14:textId="77777777" w:rsidR="006A2506" w:rsidRPr="00445B9C" w:rsidRDefault="00AE492D" w:rsidP="00BA786D">
      <w:pPr>
        <w:spacing w:before="240" w:after="240" w:line="259" w:lineRule="auto"/>
        <w:jc w:val="both"/>
        <w:outlineLvl w:val="0"/>
        <w:rPr>
          <w:rFonts w:eastAsiaTheme="majorEastAsia" w:cs="Arial"/>
          <w:bCs/>
          <w:szCs w:val="20"/>
        </w:rPr>
      </w:pPr>
      <w:r w:rsidRPr="00445B9C">
        <w:rPr>
          <w:rFonts w:eastAsiaTheme="majorEastAsia" w:cs="Arial"/>
          <w:bCs/>
          <w:szCs w:val="20"/>
        </w:rPr>
        <w:t>»</w:t>
      </w:r>
      <w:r w:rsidR="006A2506" w:rsidRPr="00445B9C">
        <w:rPr>
          <w:rFonts w:eastAsiaTheme="majorEastAsia" w:cs="Arial"/>
          <w:bCs/>
          <w:szCs w:val="20"/>
        </w:rPr>
        <w:t>Večstranski sistem pomeni večstranski sistem, kakor je opredeljen v 11. točki prvega odstavka 2. člena Uredbe 600/2014/EU.«.</w:t>
      </w:r>
    </w:p>
    <w:p w14:paraId="4FFB6D12" w14:textId="77777777" w:rsidR="006A2506" w:rsidRPr="00445B9C" w:rsidRDefault="00AE492D" w:rsidP="00F810E6">
      <w:pPr>
        <w:numPr>
          <w:ilvl w:val="0"/>
          <w:numId w:val="16"/>
        </w:numPr>
        <w:spacing w:before="240" w:after="240" w:line="259" w:lineRule="auto"/>
        <w:ind w:left="720"/>
        <w:jc w:val="center"/>
        <w:outlineLvl w:val="0"/>
        <w:rPr>
          <w:rFonts w:eastAsiaTheme="majorEastAsia" w:cs="Arial"/>
          <w:b/>
          <w:szCs w:val="20"/>
        </w:rPr>
      </w:pPr>
      <w:bookmarkStart w:id="17" w:name="_Ref196733822"/>
      <w:r w:rsidRPr="00445B9C">
        <w:rPr>
          <w:rFonts w:eastAsiaTheme="majorEastAsia" w:cs="Arial"/>
          <w:b/>
          <w:szCs w:val="20"/>
        </w:rPr>
        <w:t>člen</w:t>
      </w:r>
      <w:bookmarkEnd w:id="17"/>
    </w:p>
    <w:p w14:paraId="7B94394E" w14:textId="77777777" w:rsidR="006A2506" w:rsidRPr="00445B9C" w:rsidRDefault="006A2506"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34. členu se drugi odstavek spremeni tako, da se glasi:</w:t>
      </w:r>
    </w:p>
    <w:p w14:paraId="00676983" w14:textId="24C1E08B" w:rsidR="006A2506" w:rsidRPr="00445B9C" w:rsidRDefault="006A2506"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»(2) Sistematični </w:t>
      </w:r>
      <w:proofErr w:type="spellStart"/>
      <w:r w:rsidRPr="00445B9C">
        <w:rPr>
          <w:rFonts w:eastAsiaTheme="majorEastAsia" w:cs="Arial"/>
          <w:bCs/>
          <w:szCs w:val="20"/>
        </w:rPr>
        <w:t>internalizator</w:t>
      </w:r>
      <w:proofErr w:type="spellEnd"/>
      <w:r w:rsidRPr="00445B9C">
        <w:rPr>
          <w:rFonts w:eastAsiaTheme="majorEastAsia" w:cs="Arial"/>
          <w:bCs/>
          <w:szCs w:val="20"/>
        </w:rPr>
        <w:t xml:space="preserve"> je investicijsko podjetje, ki na organizirani, pogosti in sistematični podlagi posluje za lasten račun z lastniškimi finančnimi instrumenti z izvrševanjem naročil strank zunaj organiziranega trga, MTF ali OTF, ne da bi upravljal večstranski sistem, ali ki se samo odloči za delovanje v statusu sistematičnega </w:t>
      </w:r>
      <w:proofErr w:type="spellStart"/>
      <w:r w:rsidRPr="00445B9C">
        <w:rPr>
          <w:rFonts w:eastAsiaTheme="majorEastAsia" w:cs="Arial"/>
          <w:bCs/>
          <w:szCs w:val="20"/>
        </w:rPr>
        <w:t>internalizatorja</w:t>
      </w:r>
      <w:proofErr w:type="spellEnd"/>
      <w:r w:rsidRPr="00445B9C">
        <w:rPr>
          <w:rFonts w:eastAsiaTheme="majorEastAsia" w:cs="Arial"/>
          <w:bCs/>
          <w:szCs w:val="20"/>
        </w:rPr>
        <w:t>.</w:t>
      </w:r>
      <w:r w:rsidR="00B2527F" w:rsidRPr="00445B9C">
        <w:rPr>
          <w:rFonts w:eastAsiaTheme="majorEastAsia" w:cs="Arial"/>
          <w:bCs/>
          <w:szCs w:val="20"/>
        </w:rPr>
        <w:t>«.</w:t>
      </w:r>
    </w:p>
    <w:p w14:paraId="1A4789F4" w14:textId="77777777" w:rsidR="00B2527F" w:rsidRPr="00445B9C" w:rsidRDefault="006A2506" w:rsidP="00BA786D">
      <w:pPr>
        <w:spacing w:before="240" w:after="240" w:line="259" w:lineRule="auto"/>
        <w:jc w:val="both"/>
        <w:outlineLvl w:val="0"/>
        <w:rPr>
          <w:rFonts w:eastAsiaTheme="majorEastAsia" w:cs="Arial"/>
          <w:bCs/>
          <w:szCs w:val="20"/>
        </w:rPr>
      </w:pPr>
      <w:r w:rsidRPr="00445B9C">
        <w:rPr>
          <w:rFonts w:eastAsiaTheme="majorEastAsia" w:cs="Arial"/>
          <w:bCs/>
          <w:szCs w:val="20"/>
        </w:rPr>
        <w:t>Tretji odstavek se črta</w:t>
      </w:r>
      <w:r w:rsidR="00B2527F" w:rsidRPr="00445B9C">
        <w:rPr>
          <w:rFonts w:eastAsiaTheme="majorEastAsia" w:cs="Arial"/>
          <w:bCs/>
          <w:szCs w:val="20"/>
        </w:rPr>
        <w:t>.</w:t>
      </w:r>
    </w:p>
    <w:p w14:paraId="5A92B67F" w14:textId="50143BB0" w:rsidR="00DE6BF1" w:rsidRPr="00445B9C" w:rsidRDefault="00DE6BF1" w:rsidP="00DE6BF1">
      <w:pPr>
        <w:numPr>
          <w:ilvl w:val="0"/>
          <w:numId w:val="16"/>
        </w:numPr>
        <w:spacing w:before="240" w:after="240" w:line="259" w:lineRule="auto"/>
        <w:ind w:left="720"/>
        <w:jc w:val="center"/>
        <w:outlineLvl w:val="0"/>
        <w:rPr>
          <w:rFonts w:eastAsiaTheme="majorEastAsia" w:cs="Arial"/>
          <w:b/>
          <w:szCs w:val="20"/>
        </w:rPr>
      </w:pPr>
      <w:bookmarkStart w:id="18" w:name="_Ref196824582"/>
      <w:r w:rsidRPr="00445B9C">
        <w:rPr>
          <w:rFonts w:eastAsiaTheme="majorEastAsia" w:cs="Arial"/>
          <w:b/>
          <w:szCs w:val="20"/>
        </w:rPr>
        <w:t>člen</w:t>
      </w:r>
      <w:bookmarkEnd w:id="18"/>
    </w:p>
    <w:p w14:paraId="45F9B502" w14:textId="57BE9B48" w:rsidR="00DE6BF1" w:rsidRPr="00445B9C" w:rsidRDefault="00DE6BF1" w:rsidP="00DE6BF1">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36. členu se v </w:t>
      </w:r>
      <w:r w:rsidR="008264DD" w:rsidRPr="00445B9C">
        <w:rPr>
          <w:rFonts w:eastAsiaTheme="majorEastAsia" w:cs="Arial"/>
          <w:bCs/>
          <w:szCs w:val="20"/>
        </w:rPr>
        <w:t>drugem odstavku</w:t>
      </w:r>
      <w:r w:rsidR="00FD0FF2">
        <w:rPr>
          <w:rFonts w:eastAsiaTheme="majorEastAsia" w:cs="Arial"/>
          <w:bCs/>
          <w:szCs w:val="20"/>
        </w:rPr>
        <w:t xml:space="preserve"> v</w:t>
      </w:r>
      <w:r w:rsidR="008264DD" w:rsidRPr="00445B9C">
        <w:rPr>
          <w:rFonts w:eastAsiaTheme="majorEastAsia" w:cs="Arial"/>
          <w:bCs/>
          <w:szCs w:val="20"/>
        </w:rPr>
        <w:t xml:space="preserve"> </w:t>
      </w:r>
      <w:r w:rsidRPr="00445B9C">
        <w:rPr>
          <w:rFonts w:eastAsiaTheme="majorEastAsia" w:cs="Arial"/>
          <w:bCs/>
          <w:szCs w:val="20"/>
        </w:rPr>
        <w:t>2. točki za besedo »banka« doda</w:t>
      </w:r>
      <w:r w:rsidR="004B46A8" w:rsidRPr="00445B9C">
        <w:rPr>
          <w:rFonts w:eastAsiaTheme="majorEastAsia" w:cs="Arial"/>
          <w:bCs/>
          <w:szCs w:val="20"/>
        </w:rPr>
        <w:t>ta</w:t>
      </w:r>
      <w:r w:rsidRPr="00445B9C">
        <w:rPr>
          <w:rFonts w:eastAsiaTheme="majorEastAsia" w:cs="Arial"/>
          <w:bCs/>
          <w:szCs w:val="20"/>
        </w:rPr>
        <w:t xml:space="preserve"> vejica in besedilo »kreditna družba«.</w:t>
      </w:r>
    </w:p>
    <w:p w14:paraId="4584146F" w14:textId="77777777" w:rsidR="006A2506" w:rsidRPr="00445B9C" w:rsidRDefault="00AE492D" w:rsidP="00F810E6">
      <w:pPr>
        <w:numPr>
          <w:ilvl w:val="0"/>
          <w:numId w:val="16"/>
        </w:numPr>
        <w:spacing w:before="240" w:after="240" w:line="259" w:lineRule="auto"/>
        <w:ind w:left="720"/>
        <w:jc w:val="center"/>
        <w:outlineLvl w:val="0"/>
        <w:rPr>
          <w:rFonts w:eastAsiaTheme="majorEastAsia" w:cs="Arial"/>
          <w:b/>
          <w:szCs w:val="20"/>
        </w:rPr>
      </w:pPr>
      <w:bookmarkStart w:id="19" w:name="_Ref196733839"/>
      <w:r w:rsidRPr="00445B9C">
        <w:rPr>
          <w:rFonts w:eastAsiaTheme="majorEastAsia" w:cs="Arial"/>
          <w:b/>
          <w:szCs w:val="20"/>
        </w:rPr>
        <w:t>člen</w:t>
      </w:r>
      <w:bookmarkEnd w:id="19"/>
    </w:p>
    <w:p w14:paraId="564C8023" w14:textId="3936C36B" w:rsidR="00CF0FDA" w:rsidRPr="00445B9C" w:rsidRDefault="00833F4F" w:rsidP="000F27A2">
      <w:pPr>
        <w:jc w:val="both"/>
        <w:rPr>
          <w:rFonts w:cs="Arial"/>
          <w:szCs w:val="20"/>
        </w:rPr>
      </w:pPr>
      <w:r w:rsidRPr="00445B9C">
        <w:rPr>
          <w:rFonts w:eastAsiaTheme="majorEastAsia" w:cs="Arial"/>
          <w:szCs w:val="20"/>
        </w:rPr>
        <w:t xml:space="preserve">V 59. členu </w:t>
      </w:r>
      <w:r w:rsidR="0071206C" w:rsidRPr="00445B9C">
        <w:rPr>
          <w:rFonts w:eastAsiaTheme="majorEastAsia" w:cs="Arial"/>
          <w:szCs w:val="20"/>
        </w:rPr>
        <w:t xml:space="preserve">se </w:t>
      </w:r>
      <w:r w:rsidR="008A541A" w:rsidRPr="00445B9C">
        <w:rPr>
          <w:rFonts w:eastAsiaTheme="majorEastAsia" w:cs="Arial"/>
          <w:szCs w:val="20"/>
        </w:rPr>
        <w:t xml:space="preserve">v </w:t>
      </w:r>
      <w:r w:rsidRPr="00445B9C">
        <w:rPr>
          <w:rFonts w:eastAsiaTheme="majorEastAsia" w:cs="Arial"/>
          <w:szCs w:val="20"/>
        </w:rPr>
        <w:t>drug</w:t>
      </w:r>
      <w:r w:rsidR="008A541A" w:rsidRPr="00445B9C">
        <w:rPr>
          <w:rFonts w:eastAsiaTheme="majorEastAsia" w:cs="Arial"/>
          <w:szCs w:val="20"/>
        </w:rPr>
        <w:t>em</w:t>
      </w:r>
      <w:r w:rsidRPr="00445B9C">
        <w:rPr>
          <w:rFonts w:eastAsiaTheme="majorEastAsia" w:cs="Arial"/>
          <w:szCs w:val="20"/>
        </w:rPr>
        <w:t xml:space="preserve"> odstavk</w:t>
      </w:r>
      <w:r w:rsidR="008A541A" w:rsidRPr="00445B9C">
        <w:rPr>
          <w:rFonts w:eastAsiaTheme="majorEastAsia" w:cs="Arial"/>
          <w:szCs w:val="20"/>
        </w:rPr>
        <w:t>u</w:t>
      </w:r>
      <w:r w:rsidRPr="00445B9C">
        <w:rPr>
          <w:rFonts w:eastAsiaTheme="majorEastAsia" w:cs="Arial"/>
          <w:szCs w:val="20"/>
        </w:rPr>
        <w:t xml:space="preserve"> </w:t>
      </w:r>
      <w:r w:rsidR="00846433" w:rsidRPr="00445B9C">
        <w:rPr>
          <w:rFonts w:eastAsiaTheme="majorEastAsia" w:cs="Arial"/>
          <w:szCs w:val="20"/>
        </w:rPr>
        <w:t>v</w:t>
      </w:r>
      <w:r w:rsidR="008A541A" w:rsidRPr="00445B9C">
        <w:rPr>
          <w:rFonts w:eastAsiaTheme="majorEastAsia" w:cs="Arial"/>
          <w:szCs w:val="20"/>
        </w:rPr>
        <w:t xml:space="preserve"> </w:t>
      </w:r>
      <w:r w:rsidRPr="00445B9C">
        <w:rPr>
          <w:rFonts w:cs="Arial"/>
          <w:szCs w:val="20"/>
        </w:rPr>
        <w:t>1. točki za besedo »banka« doda besed</w:t>
      </w:r>
      <w:r w:rsidR="0071206C" w:rsidRPr="00445B9C">
        <w:rPr>
          <w:rFonts w:cs="Arial"/>
          <w:szCs w:val="20"/>
        </w:rPr>
        <w:t>ilo</w:t>
      </w:r>
      <w:r w:rsidRPr="00445B9C">
        <w:rPr>
          <w:rFonts w:cs="Arial"/>
          <w:szCs w:val="20"/>
        </w:rPr>
        <w:t xml:space="preserve"> »ali kreditna družba</w:t>
      </w:r>
      <w:r w:rsidR="0071206C" w:rsidRPr="00445B9C">
        <w:rPr>
          <w:rFonts w:cs="Arial"/>
          <w:szCs w:val="20"/>
        </w:rPr>
        <w:t>«</w:t>
      </w:r>
      <w:r w:rsidR="008264DD" w:rsidRPr="00445B9C">
        <w:rPr>
          <w:rFonts w:cs="Arial"/>
          <w:szCs w:val="20"/>
        </w:rPr>
        <w:t>,</w:t>
      </w:r>
      <w:r w:rsidR="00645F15" w:rsidRPr="00445B9C">
        <w:rPr>
          <w:rFonts w:cs="Arial"/>
          <w:szCs w:val="20"/>
        </w:rPr>
        <w:t xml:space="preserve"> besedilo »Banke Slovenije« </w:t>
      </w:r>
      <w:r w:rsidR="008264DD" w:rsidRPr="00445B9C">
        <w:rPr>
          <w:rFonts w:cs="Arial"/>
          <w:szCs w:val="20"/>
        </w:rPr>
        <w:t xml:space="preserve">pa </w:t>
      </w:r>
      <w:r w:rsidR="003D3DF2" w:rsidRPr="00445B9C">
        <w:rPr>
          <w:rFonts w:cs="Arial"/>
          <w:szCs w:val="20"/>
        </w:rPr>
        <w:t xml:space="preserve">se </w:t>
      </w:r>
      <w:r w:rsidR="00645F15" w:rsidRPr="00445B9C">
        <w:rPr>
          <w:rFonts w:cs="Arial"/>
          <w:szCs w:val="20"/>
        </w:rPr>
        <w:t>nadomesti z besedilom »v skladu z ZBan-3«</w:t>
      </w:r>
      <w:r w:rsidR="008A541A" w:rsidRPr="00445B9C">
        <w:rPr>
          <w:rFonts w:cs="Arial"/>
          <w:szCs w:val="20"/>
        </w:rPr>
        <w:t>.</w:t>
      </w:r>
    </w:p>
    <w:p w14:paraId="4FDCB061" w14:textId="77777777" w:rsidR="00CF0FDA" w:rsidRPr="00445B9C" w:rsidRDefault="00142118" w:rsidP="000F27A2">
      <w:pPr>
        <w:jc w:val="both"/>
        <w:rPr>
          <w:rFonts w:cs="Arial"/>
          <w:szCs w:val="20"/>
        </w:rPr>
      </w:pPr>
      <w:r w:rsidRPr="00445B9C">
        <w:rPr>
          <w:rFonts w:cs="Arial"/>
          <w:szCs w:val="20"/>
        </w:rPr>
        <w:t xml:space="preserve"> </w:t>
      </w:r>
    </w:p>
    <w:p w14:paraId="60676821" w14:textId="04F3C182" w:rsidR="00CF0FDA" w:rsidRPr="00445B9C" w:rsidRDefault="008A541A" w:rsidP="000F27A2">
      <w:pPr>
        <w:jc w:val="both"/>
        <w:rPr>
          <w:rFonts w:cs="Arial"/>
          <w:szCs w:val="20"/>
        </w:rPr>
      </w:pPr>
      <w:r w:rsidRPr="00445B9C">
        <w:rPr>
          <w:rFonts w:cs="Arial"/>
          <w:szCs w:val="20"/>
        </w:rPr>
        <w:t xml:space="preserve">V </w:t>
      </w:r>
      <w:r w:rsidR="00833F4F" w:rsidRPr="00445B9C">
        <w:rPr>
          <w:rFonts w:cs="Arial"/>
          <w:szCs w:val="20"/>
        </w:rPr>
        <w:t xml:space="preserve">2. točki </w:t>
      </w:r>
      <w:r w:rsidRPr="00445B9C">
        <w:rPr>
          <w:rFonts w:cs="Arial"/>
          <w:szCs w:val="20"/>
        </w:rPr>
        <w:t xml:space="preserve">se </w:t>
      </w:r>
      <w:r w:rsidR="00833F4F" w:rsidRPr="00445B9C">
        <w:rPr>
          <w:rFonts w:cs="Arial"/>
          <w:szCs w:val="20"/>
        </w:rPr>
        <w:t xml:space="preserve">za besedo </w:t>
      </w:r>
      <w:r w:rsidR="00142118" w:rsidRPr="00445B9C">
        <w:rPr>
          <w:rFonts w:cs="Arial"/>
          <w:szCs w:val="20"/>
        </w:rPr>
        <w:t>»</w:t>
      </w:r>
      <w:r w:rsidR="00833F4F" w:rsidRPr="00445B9C">
        <w:rPr>
          <w:rFonts w:cs="Arial"/>
          <w:szCs w:val="20"/>
        </w:rPr>
        <w:t>banka</w:t>
      </w:r>
      <w:r w:rsidR="00142118" w:rsidRPr="00445B9C">
        <w:rPr>
          <w:rFonts w:cs="Arial"/>
          <w:szCs w:val="20"/>
        </w:rPr>
        <w:t>«</w:t>
      </w:r>
      <w:r w:rsidR="00833F4F" w:rsidRPr="00445B9C">
        <w:rPr>
          <w:rFonts w:cs="Arial"/>
          <w:szCs w:val="20"/>
        </w:rPr>
        <w:t xml:space="preserve"> doda</w:t>
      </w:r>
      <w:r w:rsidRPr="00445B9C">
        <w:rPr>
          <w:rFonts w:cs="Arial"/>
          <w:szCs w:val="20"/>
        </w:rPr>
        <w:t>ta</w:t>
      </w:r>
      <w:r w:rsidR="00833F4F" w:rsidRPr="00445B9C">
        <w:rPr>
          <w:rFonts w:cs="Arial"/>
          <w:szCs w:val="20"/>
        </w:rPr>
        <w:t xml:space="preserve"> vejica in besed</w:t>
      </w:r>
      <w:r w:rsidRPr="00445B9C">
        <w:rPr>
          <w:rFonts w:cs="Arial"/>
          <w:szCs w:val="20"/>
        </w:rPr>
        <w:t>ilo</w:t>
      </w:r>
      <w:r w:rsidR="00833F4F" w:rsidRPr="00445B9C">
        <w:rPr>
          <w:rFonts w:cs="Arial"/>
          <w:szCs w:val="20"/>
        </w:rPr>
        <w:t xml:space="preserve"> »kreditna družba</w:t>
      </w:r>
      <w:r w:rsidR="00195982" w:rsidRPr="00445B9C">
        <w:rPr>
          <w:rFonts w:cs="Arial"/>
          <w:szCs w:val="20"/>
        </w:rPr>
        <w:t>«</w:t>
      </w:r>
      <w:r w:rsidR="00142118" w:rsidRPr="00445B9C">
        <w:rPr>
          <w:rFonts w:cs="Arial"/>
          <w:szCs w:val="20"/>
        </w:rPr>
        <w:t>.</w:t>
      </w:r>
    </w:p>
    <w:p w14:paraId="7A12B398" w14:textId="77777777" w:rsidR="006A2506" w:rsidRPr="00445B9C" w:rsidRDefault="00833F4F" w:rsidP="00C43BF6">
      <w:pPr>
        <w:spacing w:before="240" w:after="240" w:line="259" w:lineRule="auto"/>
        <w:jc w:val="both"/>
        <w:outlineLvl w:val="0"/>
        <w:rPr>
          <w:rFonts w:eastAsiaTheme="majorEastAsia" w:cs="Arial"/>
          <w:b/>
          <w:szCs w:val="20"/>
        </w:rPr>
      </w:pPr>
      <w:r w:rsidRPr="00445B9C">
        <w:rPr>
          <w:rFonts w:eastAsiaTheme="majorEastAsia" w:cs="Arial"/>
          <w:bCs/>
          <w:szCs w:val="20"/>
        </w:rPr>
        <w:t>Sedmi odstavek se črta.</w:t>
      </w:r>
    </w:p>
    <w:p w14:paraId="3A80C6DB"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20" w:name="_Ref196733902"/>
      <w:r w:rsidRPr="00445B9C">
        <w:rPr>
          <w:rFonts w:eastAsiaTheme="majorEastAsia" w:cs="Arial"/>
          <w:b/>
          <w:szCs w:val="20"/>
        </w:rPr>
        <w:t>člen</w:t>
      </w:r>
      <w:bookmarkEnd w:id="20"/>
    </w:p>
    <w:p w14:paraId="1E14C44E" w14:textId="011121C7" w:rsidR="00A233BC" w:rsidRPr="00445B9C" w:rsidRDefault="00A233BC" w:rsidP="00A233BC">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60. členu se v naslovu </w:t>
      </w:r>
      <w:r w:rsidR="00F11A6A" w:rsidRPr="00445B9C">
        <w:rPr>
          <w:rFonts w:eastAsiaTheme="majorEastAsia" w:cs="Arial"/>
          <w:bCs/>
          <w:szCs w:val="20"/>
        </w:rPr>
        <w:t>člena</w:t>
      </w:r>
      <w:r w:rsidR="00B11B58">
        <w:rPr>
          <w:rFonts w:eastAsiaTheme="majorEastAsia" w:cs="Arial"/>
          <w:bCs/>
          <w:szCs w:val="20"/>
        </w:rPr>
        <w:t xml:space="preserve"> in v prvem odstavku</w:t>
      </w:r>
      <w:r w:rsidR="00F11A6A" w:rsidRPr="00445B9C">
        <w:rPr>
          <w:rFonts w:eastAsiaTheme="majorEastAsia" w:cs="Arial"/>
          <w:bCs/>
          <w:szCs w:val="20"/>
        </w:rPr>
        <w:t xml:space="preserve"> </w:t>
      </w:r>
      <w:r w:rsidRPr="00445B9C">
        <w:rPr>
          <w:rFonts w:eastAsiaTheme="majorEastAsia" w:cs="Arial"/>
          <w:bCs/>
          <w:szCs w:val="20"/>
        </w:rPr>
        <w:t>za besedo »banke« doda besedilo »in kreditne družbe«.</w:t>
      </w:r>
    </w:p>
    <w:p w14:paraId="7A2E5474" w14:textId="08D14100" w:rsidR="0007161F" w:rsidRPr="00445B9C" w:rsidRDefault="0017468B"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07161F" w:rsidRPr="00445B9C">
        <w:rPr>
          <w:rFonts w:eastAsiaTheme="majorEastAsia" w:cs="Arial"/>
          <w:bCs/>
          <w:szCs w:val="20"/>
        </w:rPr>
        <w:t xml:space="preserve">drugem odstavku </w:t>
      </w:r>
      <w:r w:rsidRPr="00445B9C">
        <w:rPr>
          <w:rFonts w:eastAsiaTheme="majorEastAsia" w:cs="Arial"/>
          <w:bCs/>
          <w:szCs w:val="20"/>
        </w:rPr>
        <w:t xml:space="preserve">se </w:t>
      </w:r>
      <w:r w:rsidR="0007161F" w:rsidRPr="00445B9C">
        <w:rPr>
          <w:rFonts w:eastAsiaTheme="majorEastAsia" w:cs="Arial"/>
          <w:bCs/>
          <w:szCs w:val="20"/>
        </w:rPr>
        <w:t>za besed</w:t>
      </w:r>
      <w:r w:rsidR="002A5ABF" w:rsidRPr="00445B9C">
        <w:rPr>
          <w:rFonts w:eastAsiaTheme="majorEastAsia" w:cs="Arial"/>
          <w:bCs/>
          <w:szCs w:val="20"/>
        </w:rPr>
        <w:t>ilom</w:t>
      </w:r>
      <w:r w:rsidR="0007161F" w:rsidRPr="00445B9C">
        <w:rPr>
          <w:rFonts w:eastAsiaTheme="majorEastAsia" w:cs="Arial"/>
          <w:bCs/>
          <w:szCs w:val="20"/>
        </w:rPr>
        <w:t xml:space="preserve"> »Za banke« doda</w:t>
      </w:r>
      <w:r w:rsidR="002A5ABF" w:rsidRPr="00445B9C">
        <w:rPr>
          <w:rFonts w:eastAsiaTheme="majorEastAsia" w:cs="Arial"/>
          <w:bCs/>
          <w:szCs w:val="20"/>
        </w:rPr>
        <w:t>ta</w:t>
      </w:r>
      <w:r w:rsidR="0007161F" w:rsidRPr="00445B9C">
        <w:rPr>
          <w:rFonts w:eastAsiaTheme="majorEastAsia" w:cs="Arial"/>
          <w:bCs/>
          <w:szCs w:val="20"/>
        </w:rPr>
        <w:t xml:space="preserve"> vejica in besed</w:t>
      </w:r>
      <w:r w:rsidR="002A5ABF" w:rsidRPr="00445B9C">
        <w:rPr>
          <w:rFonts w:eastAsiaTheme="majorEastAsia" w:cs="Arial"/>
          <w:bCs/>
          <w:szCs w:val="20"/>
        </w:rPr>
        <w:t>ilo</w:t>
      </w:r>
      <w:r w:rsidR="0007161F" w:rsidRPr="00445B9C">
        <w:rPr>
          <w:rFonts w:eastAsiaTheme="majorEastAsia" w:cs="Arial"/>
          <w:bCs/>
          <w:szCs w:val="20"/>
        </w:rPr>
        <w:t xml:space="preserve"> »kreditne družbe«</w:t>
      </w:r>
      <w:r w:rsidR="00763203" w:rsidRPr="00445B9C">
        <w:rPr>
          <w:rFonts w:eastAsiaTheme="majorEastAsia" w:cs="Arial"/>
          <w:bCs/>
          <w:szCs w:val="20"/>
        </w:rPr>
        <w:t>.</w:t>
      </w:r>
    </w:p>
    <w:p w14:paraId="5E6AD329" w14:textId="77777777" w:rsidR="002A5ABF" w:rsidRPr="00445B9C" w:rsidRDefault="002A5ABF"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tretjem odstavku se za besedo »banke« doda besedilo »in kreditne družbe«.</w:t>
      </w:r>
    </w:p>
    <w:p w14:paraId="4333B0D3" w14:textId="53A1411F" w:rsidR="0007161F" w:rsidRPr="00445B9C" w:rsidRDefault="00587B95"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07161F" w:rsidRPr="00445B9C">
        <w:rPr>
          <w:rFonts w:eastAsiaTheme="majorEastAsia" w:cs="Arial"/>
          <w:bCs/>
          <w:szCs w:val="20"/>
        </w:rPr>
        <w:t xml:space="preserve">četrtem odstavku </w:t>
      </w:r>
      <w:r w:rsidRPr="00445B9C">
        <w:rPr>
          <w:rFonts w:eastAsiaTheme="majorEastAsia" w:cs="Arial"/>
          <w:bCs/>
          <w:szCs w:val="20"/>
        </w:rPr>
        <w:t xml:space="preserve">se </w:t>
      </w:r>
      <w:r w:rsidR="0007161F" w:rsidRPr="00445B9C">
        <w:rPr>
          <w:rFonts w:eastAsiaTheme="majorEastAsia" w:cs="Arial"/>
          <w:bCs/>
          <w:szCs w:val="20"/>
        </w:rPr>
        <w:t xml:space="preserve">v 1. točki za besedo </w:t>
      </w:r>
      <w:r w:rsidR="00B11B58">
        <w:rPr>
          <w:rFonts w:eastAsiaTheme="majorEastAsia" w:cs="Arial"/>
          <w:bCs/>
          <w:szCs w:val="20"/>
        </w:rPr>
        <w:t>»</w:t>
      </w:r>
      <w:r w:rsidR="0007161F" w:rsidRPr="00445B9C">
        <w:rPr>
          <w:rFonts w:eastAsiaTheme="majorEastAsia" w:cs="Arial"/>
          <w:bCs/>
          <w:szCs w:val="20"/>
        </w:rPr>
        <w:t>»banka«</w:t>
      </w:r>
      <w:r w:rsidR="00B11B58">
        <w:rPr>
          <w:rFonts w:eastAsiaTheme="majorEastAsia" w:cs="Arial"/>
          <w:bCs/>
          <w:szCs w:val="20"/>
        </w:rPr>
        <w:t>«</w:t>
      </w:r>
      <w:r w:rsidR="0007161F" w:rsidRPr="00445B9C">
        <w:rPr>
          <w:rFonts w:eastAsiaTheme="majorEastAsia" w:cs="Arial"/>
          <w:bCs/>
          <w:szCs w:val="20"/>
        </w:rPr>
        <w:t xml:space="preserve"> doda</w:t>
      </w:r>
      <w:r w:rsidR="002A5ABF" w:rsidRPr="00445B9C">
        <w:rPr>
          <w:rFonts w:eastAsiaTheme="majorEastAsia" w:cs="Arial"/>
          <w:bCs/>
          <w:szCs w:val="20"/>
        </w:rPr>
        <w:t>ta</w:t>
      </w:r>
      <w:r w:rsidRPr="00445B9C">
        <w:rPr>
          <w:rFonts w:eastAsiaTheme="majorEastAsia" w:cs="Arial"/>
          <w:bCs/>
          <w:szCs w:val="20"/>
        </w:rPr>
        <w:t xml:space="preserve"> vejica in</w:t>
      </w:r>
      <w:r w:rsidR="0007161F" w:rsidRPr="00445B9C">
        <w:rPr>
          <w:rFonts w:eastAsiaTheme="majorEastAsia" w:cs="Arial"/>
          <w:bCs/>
          <w:szCs w:val="20"/>
        </w:rPr>
        <w:t xml:space="preserve"> besed</w:t>
      </w:r>
      <w:r w:rsidR="002A5ABF" w:rsidRPr="00445B9C">
        <w:rPr>
          <w:rFonts w:eastAsiaTheme="majorEastAsia" w:cs="Arial"/>
          <w:bCs/>
          <w:szCs w:val="20"/>
        </w:rPr>
        <w:t>ilo</w:t>
      </w:r>
      <w:r w:rsidR="0007161F" w:rsidRPr="00445B9C">
        <w:rPr>
          <w:rFonts w:eastAsiaTheme="majorEastAsia" w:cs="Arial"/>
          <w:bCs/>
          <w:szCs w:val="20"/>
        </w:rPr>
        <w:t xml:space="preserve"> »</w:t>
      </w:r>
      <w:r w:rsidR="00670F73" w:rsidRPr="00445B9C">
        <w:rPr>
          <w:rFonts w:eastAsiaTheme="majorEastAsia" w:cs="Arial"/>
          <w:bCs/>
          <w:szCs w:val="20"/>
        </w:rPr>
        <w:t>»</w:t>
      </w:r>
      <w:r w:rsidR="0007161F" w:rsidRPr="00445B9C">
        <w:rPr>
          <w:rFonts w:eastAsiaTheme="majorEastAsia" w:cs="Arial"/>
          <w:bCs/>
          <w:szCs w:val="20"/>
        </w:rPr>
        <w:t>kreditna družba</w:t>
      </w:r>
      <w:r w:rsidR="00670F73" w:rsidRPr="00445B9C">
        <w:rPr>
          <w:rFonts w:eastAsiaTheme="majorEastAsia" w:cs="Arial"/>
          <w:bCs/>
          <w:szCs w:val="20"/>
        </w:rPr>
        <w:t>«</w:t>
      </w:r>
      <w:r w:rsidR="0007161F" w:rsidRPr="00445B9C">
        <w:rPr>
          <w:rFonts w:eastAsiaTheme="majorEastAsia" w:cs="Arial"/>
          <w:bCs/>
          <w:szCs w:val="20"/>
        </w:rPr>
        <w:t>«</w:t>
      </w:r>
      <w:r w:rsidRPr="00445B9C">
        <w:rPr>
          <w:rFonts w:eastAsiaTheme="majorEastAsia" w:cs="Arial"/>
          <w:bCs/>
          <w:szCs w:val="20"/>
        </w:rPr>
        <w:t>.</w:t>
      </w:r>
    </w:p>
    <w:p w14:paraId="26EBD5AE" w14:textId="35A2476D" w:rsidR="00B11B58" w:rsidRDefault="00587B95"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2A5ABF" w:rsidRPr="00445B9C">
        <w:rPr>
          <w:rFonts w:eastAsiaTheme="majorEastAsia" w:cs="Arial"/>
          <w:bCs/>
          <w:szCs w:val="20"/>
        </w:rPr>
        <w:t xml:space="preserve">petem </w:t>
      </w:r>
      <w:r w:rsidR="00B11B58" w:rsidRPr="00B11B58">
        <w:rPr>
          <w:rFonts w:eastAsiaTheme="majorEastAsia" w:cs="Arial"/>
          <w:bCs/>
          <w:szCs w:val="20"/>
        </w:rPr>
        <w:t>odstavku se za besedo »banke« dodata vejica in besedilo »kreditne družbe«.</w:t>
      </w:r>
    </w:p>
    <w:p w14:paraId="4EB6B14D" w14:textId="47E34F42" w:rsidR="0007161F" w:rsidRPr="00445B9C" w:rsidRDefault="00B11B58" w:rsidP="00BA786D">
      <w:pPr>
        <w:spacing w:before="240" w:after="240" w:line="259" w:lineRule="auto"/>
        <w:jc w:val="both"/>
        <w:outlineLvl w:val="0"/>
        <w:rPr>
          <w:rFonts w:eastAsiaTheme="majorEastAsia" w:cs="Arial"/>
          <w:bCs/>
          <w:szCs w:val="20"/>
        </w:rPr>
      </w:pPr>
      <w:r>
        <w:rPr>
          <w:rFonts w:eastAsiaTheme="majorEastAsia" w:cs="Arial"/>
          <w:bCs/>
          <w:szCs w:val="20"/>
        </w:rPr>
        <w:t xml:space="preserve">V </w:t>
      </w:r>
      <w:r w:rsidR="0007161F" w:rsidRPr="00445B9C">
        <w:rPr>
          <w:rFonts w:eastAsiaTheme="majorEastAsia" w:cs="Arial"/>
          <w:bCs/>
          <w:szCs w:val="20"/>
        </w:rPr>
        <w:t xml:space="preserve">šestem odstavku </w:t>
      </w:r>
      <w:r w:rsidR="00587B95" w:rsidRPr="00445B9C">
        <w:rPr>
          <w:rFonts w:eastAsiaTheme="majorEastAsia" w:cs="Arial"/>
          <w:bCs/>
          <w:szCs w:val="20"/>
        </w:rPr>
        <w:t xml:space="preserve">se </w:t>
      </w:r>
      <w:r w:rsidR="0007161F" w:rsidRPr="00445B9C">
        <w:rPr>
          <w:rFonts w:eastAsiaTheme="majorEastAsia" w:cs="Arial"/>
          <w:bCs/>
          <w:szCs w:val="20"/>
        </w:rPr>
        <w:t>za besedo »banka« doda</w:t>
      </w:r>
      <w:r w:rsidR="002A5ABF" w:rsidRPr="00445B9C">
        <w:rPr>
          <w:rFonts w:eastAsiaTheme="majorEastAsia" w:cs="Arial"/>
          <w:bCs/>
          <w:szCs w:val="20"/>
        </w:rPr>
        <w:t>ta</w:t>
      </w:r>
      <w:r w:rsidR="0007161F" w:rsidRPr="00445B9C">
        <w:rPr>
          <w:rFonts w:eastAsiaTheme="majorEastAsia" w:cs="Arial"/>
          <w:bCs/>
          <w:szCs w:val="20"/>
        </w:rPr>
        <w:t xml:space="preserve"> vejica in besed</w:t>
      </w:r>
      <w:r w:rsidR="002A5ABF" w:rsidRPr="00445B9C">
        <w:rPr>
          <w:rFonts w:eastAsiaTheme="majorEastAsia" w:cs="Arial"/>
          <w:bCs/>
          <w:szCs w:val="20"/>
        </w:rPr>
        <w:t>ilo</w:t>
      </w:r>
      <w:r w:rsidR="0007161F" w:rsidRPr="00445B9C">
        <w:rPr>
          <w:rFonts w:eastAsiaTheme="majorEastAsia" w:cs="Arial"/>
          <w:bCs/>
          <w:szCs w:val="20"/>
        </w:rPr>
        <w:t xml:space="preserve"> »kreditna družba«</w:t>
      </w:r>
      <w:r w:rsidR="00587B95" w:rsidRPr="00445B9C">
        <w:rPr>
          <w:rFonts w:eastAsiaTheme="majorEastAsia" w:cs="Arial"/>
          <w:bCs/>
          <w:szCs w:val="20"/>
        </w:rPr>
        <w:t>.</w:t>
      </w:r>
    </w:p>
    <w:p w14:paraId="51BCB648" w14:textId="71F6A1E4" w:rsidR="0007161F" w:rsidRPr="00445B9C" w:rsidRDefault="00587B95"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07161F" w:rsidRPr="00445B9C">
        <w:rPr>
          <w:rFonts w:eastAsiaTheme="majorEastAsia" w:cs="Arial"/>
          <w:bCs/>
          <w:szCs w:val="20"/>
        </w:rPr>
        <w:t>sedmem odstavku</w:t>
      </w:r>
      <w:r w:rsidR="00947429">
        <w:rPr>
          <w:rFonts w:eastAsiaTheme="majorEastAsia" w:cs="Arial"/>
          <w:bCs/>
          <w:szCs w:val="20"/>
        </w:rPr>
        <w:t xml:space="preserve"> se</w:t>
      </w:r>
      <w:r w:rsidR="0007161F" w:rsidRPr="00445B9C">
        <w:rPr>
          <w:rFonts w:eastAsiaTheme="majorEastAsia" w:cs="Arial"/>
          <w:bCs/>
          <w:szCs w:val="20"/>
        </w:rPr>
        <w:t xml:space="preserve"> za besedilom »Nadzor nad poslovanjem banke« doda</w:t>
      </w:r>
      <w:r w:rsidR="002A5ABF" w:rsidRPr="00445B9C">
        <w:rPr>
          <w:rFonts w:eastAsiaTheme="majorEastAsia" w:cs="Arial"/>
          <w:bCs/>
          <w:szCs w:val="20"/>
        </w:rPr>
        <w:t>ta</w:t>
      </w:r>
      <w:r w:rsidR="0007161F" w:rsidRPr="00445B9C">
        <w:rPr>
          <w:rFonts w:eastAsiaTheme="majorEastAsia" w:cs="Arial"/>
          <w:bCs/>
          <w:szCs w:val="20"/>
        </w:rPr>
        <w:t xml:space="preserve"> </w:t>
      </w:r>
      <w:r w:rsidRPr="00445B9C">
        <w:rPr>
          <w:rFonts w:eastAsiaTheme="majorEastAsia" w:cs="Arial"/>
          <w:bCs/>
          <w:szCs w:val="20"/>
        </w:rPr>
        <w:t xml:space="preserve">vejica in </w:t>
      </w:r>
      <w:r w:rsidR="0007161F" w:rsidRPr="00445B9C">
        <w:rPr>
          <w:rFonts w:eastAsiaTheme="majorEastAsia" w:cs="Arial"/>
          <w:bCs/>
          <w:szCs w:val="20"/>
        </w:rPr>
        <w:t>besed</w:t>
      </w:r>
      <w:r w:rsidR="002A5ABF" w:rsidRPr="00445B9C">
        <w:rPr>
          <w:rFonts w:eastAsiaTheme="majorEastAsia" w:cs="Arial"/>
          <w:bCs/>
          <w:szCs w:val="20"/>
        </w:rPr>
        <w:t>ilo</w:t>
      </w:r>
      <w:r w:rsidR="0007161F" w:rsidRPr="00445B9C">
        <w:rPr>
          <w:rFonts w:eastAsiaTheme="majorEastAsia" w:cs="Arial"/>
          <w:bCs/>
          <w:szCs w:val="20"/>
        </w:rPr>
        <w:t xml:space="preserve"> »kreditne družbe«</w:t>
      </w:r>
      <w:r w:rsidR="00220FDE" w:rsidRPr="00445B9C">
        <w:rPr>
          <w:rFonts w:eastAsiaTheme="majorEastAsia" w:cs="Arial"/>
          <w:bCs/>
          <w:szCs w:val="20"/>
        </w:rPr>
        <w:t>.</w:t>
      </w:r>
      <w:r w:rsidR="0007161F" w:rsidRPr="00445B9C">
        <w:rPr>
          <w:rFonts w:eastAsiaTheme="majorEastAsia" w:cs="Arial"/>
          <w:bCs/>
          <w:szCs w:val="20"/>
        </w:rPr>
        <w:t xml:space="preserve"> </w:t>
      </w:r>
    </w:p>
    <w:p w14:paraId="4FA9C3CB" w14:textId="1DAD9214" w:rsidR="006A2506" w:rsidRPr="00445B9C" w:rsidRDefault="002A5550"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07161F" w:rsidRPr="00445B9C">
        <w:rPr>
          <w:rFonts w:eastAsiaTheme="majorEastAsia" w:cs="Arial"/>
          <w:bCs/>
          <w:szCs w:val="20"/>
        </w:rPr>
        <w:t xml:space="preserve">desetem odstavku </w:t>
      </w:r>
      <w:r w:rsidR="00947429">
        <w:rPr>
          <w:rFonts w:eastAsiaTheme="majorEastAsia" w:cs="Arial"/>
          <w:bCs/>
          <w:szCs w:val="20"/>
        </w:rPr>
        <w:t xml:space="preserve">se </w:t>
      </w:r>
      <w:r w:rsidR="001B2268" w:rsidRPr="00445B9C">
        <w:rPr>
          <w:rFonts w:eastAsiaTheme="majorEastAsia" w:cs="Arial"/>
          <w:bCs/>
          <w:szCs w:val="20"/>
        </w:rPr>
        <w:t>za besed</w:t>
      </w:r>
      <w:r w:rsidR="002A5ABF" w:rsidRPr="00445B9C">
        <w:rPr>
          <w:rFonts w:eastAsiaTheme="majorEastAsia" w:cs="Arial"/>
          <w:bCs/>
          <w:szCs w:val="20"/>
        </w:rPr>
        <w:t>ilom</w:t>
      </w:r>
      <w:r w:rsidR="001B2268" w:rsidRPr="00445B9C">
        <w:rPr>
          <w:rFonts w:eastAsiaTheme="majorEastAsia" w:cs="Arial"/>
          <w:bCs/>
          <w:szCs w:val="20"/>
        </w:rPr>
        <w:t xml:space="preserve"> »</w:t>
      </w:r>
      <w:r w:rsidRPr="00445B9C">
        <w:rPr>
          <w:rFonts w:eastAsiaTheme="majorEastAsia" w:cs="Arial"/>
          <w:bCs/>
          <w:szCs w:val="20"/>
        </w:rPr>
        <w:t xml:space="preserve">za </w:t>
      </w:r>
      <w:r w:rsidR="005A0410" w:rsidRPr="00445B9C">
        <w:rPr>
          <w:rFonts w:eastAsiaTheme="majorEastAsia" w:cs="Arial"/>
          <w:bCs/>
          <w:szCs w:val="20"/>
        </w:rPr>
        <w:t>banko« doda</w:t>
      </w:r>
      <w:r w:rsidR="002A5ABF" w:rsidRPr="00445B9C">
        <w:rPr>
          <w:rFonts w:eastAsiaTheme="majorEastAsia" w:cs="Arial"/>
          <w:bCs/>
          <w:szCs w:val="20"/>
        </w:rPr>
        <w:t>ta vejica</w:t>
      </w:r>
      <w:r w:rsidR="005A0410" w:rsidRPr="00445B9C">
        <w:rPr>
          <w:rFonts w:eastAsiaTheme="majorEastAsia" w:cs="Arial"/>
          <w:bCs/>
          <w:szCs w:val="20"/>
        </w:rPr>
        <w:t xml:space="preserve"> </w:t>
      </w:r>
      <w:r w:rsidR="002A5ABF" w:rsidRPr="00445B9C">
        <w:rPr>
          <w:rFonts w:eastAsiaTheme="majorEastAsia" w:cs="Arial"/>
          <w:bCs/>
          <w:szCs w:val="20"/>
        </w:rPr>
        <w:t xml:space="preserve">in </w:t>
      </w:r>
      <w:r w:rsidR="005A0410" w:rsidRPr="00445B9C">
        <w:rPr>
          <w:rFonts w:eastAsiaTheme="majorEastAsia" w:cs="Arial"/>
          <w:bCs/>
          <w:szCs w:val="20"/>
        </w:rPr>
        <w:t>besed</w:t>
      </w:r>
      <w:r w:rsidR="002A5ABF" w:rsidRPr="00445B9C">
        <w:rPr>
          <w:rFonts w:eastAsiaTheme="majorEastAsia" w:cs="Arial"/>
          <w:bCs/>
          <w:szCs w:val="20"/>
        </w:rPr>
        <w:t>ilo</w:t>
      </w:r>
      <w:r w:rsidR="005A0410" w:rsidRPr="00445B9C">
        <w:rPr>
          <w:rFonts w:eastAsiaTheme="majorEastAsia" w:cs="Arial"/>
          <w:bCs/>
          <w:szCs w:val="20"/>
        </w:rPr>
        <w:t xml:space="preserve"> »kreditno družbo«.</w:t>
      </w:r>
    </w:p>
    <w:p w14:paraId="1D1F071D" w14:textId="266BA57E" w:rsidR="00D97CE0" w:rsidRPr="00445B9C" w:rsidRDefault="00D97CE0" w:rsidP="00D97CE0">
      <w:pPr>
        <w:numPr>
          <w:ilvl w:val="0"/>
          <w:numId w:val="16"/>
        </w:numPr>
        <w:spacing w:before="240" w:after="240" w:line="259" w:lineRule="auto"/>
        <w:ind w:left="720"/>
        <w:jc w:val="center"/>
        <w:outlineLvl w:val="0"/>
        <w:rPr>
          <w:rFonts w:eastAsiaTheme="majorEastAsia" w:cs="Arial"/>
          <w:b/>
          <w:szCs w:val="20"/>
        </w:rPr>
      </w:pPr>
      <w:bookmarkStart w:id="21" w:name="_Ref196825139"/>
      <w:r w:rsidRPr="00445B9C">
        <w:rPr>
          <w:rFonts w:eastAsiaTheme="majorEastAsia" w:cs="Arial"/>
          <w:b/>
          <w:szCs w:val="20"/>
        </w:rPr>
        <w:t>člen</w:t>
      </w:r>
      <w:bookmarkEnd w:id="21"/>
    </w:p>
    <w:p w14:paraId="2DD1B504" w14:textId="7AE0CDF8" w:rsidR="00D97CE0" w:rsidRPr="00445B9C" w:rsidRDefault="00D97CE0" w:rsidP="00D97CE0">
      <w:pPr>
        <w:spacing w:before="240" w:after="240" w:line="259" w:lineRule="auto"/>
        <w:jc w:val="both"/>
        <w:outlineLvl w:val="0"/>
        <w:rPr>
          <w:rFonts w:eastAsiaTheme="majorEastAsia" w:cs="Arial"/>
          <w:bCs/>
          <w:szCs w:val="20"/>
        </w:rPr>
      </w:pPr>
      <w:r w:rsidRPr="00445B9C">
        <w:rPr>
          <w:rFonts w:eastAsiaTheme="majorEastAsia" w:cs="Arial"/>
          <w:bCs/>
          <w:szCs w:val="20"/>
        </w:rPr>
        <w:t>V 61. členu se v prvem odstavku v napovednem stavku besedilo »borznoposredniške družbe in banke« nadomesti z besedilom »borznoposredniške družbe, banke in kreditne družbe«.</w:t>
      </w:r>
    </w:p>
    <w:p w14:paraId="3EC92235" w14:textId="77777777" w:rsidR="006A2506" w:rsidRPr="00445B9C" w:rsidRDefault="006A2506" w:rsidP="00F810E6">
      <w:pPr>
        <w:numPr>
          <w:ilvl w:val="0"/>
          <w:numId w:val="16"/>
        </w:numPr>
        <w:spacing w:before="240" w:after="240" w:line="259" w:lineRule="auto"/>
        <w:ind w:left="720"/>
        <w:jc w:val="center"/>
        <w:outlineLvl w:val="0"/>
        <w:rPr>
          <w:rFonts w:eastAsiaTheme="majorEastAsia" w:cs="Arial"/>
          <w:b/>
          <w:szCs w:val="20"/>
        </w:rPr>
      </w:pPr>
      <w:bookmarkStart w:id="22" w:name="_Ref192067114"/>
      <w:r w:rsidRPr="00445B9C">
        <w:rPr>
          <w:rFonts w:eastAsiaTheme="majorEastAsia" w:cs="Arial"/>
          <w:b/>
          <w:szCs w:val="20"/>
        </w:rPr>
        <w:lastRenderedPageBreak/>
        <w:t>člen</w:t>
      </w:r>
      <w:bookmarkEnd w:id="22"/>
    </w:p>
    <w:p w14:paraId="0CE5AB4B" w14:textId="0A305F37" w:rsidR="00163840" w:rsidRPr="00445B9C" w:rsidRDefault="005A0410" w:rsidP="003552A3">
      <w:pPr>
        <w:jc w:val="both"/>
        <w:rPr>
          <w:rFonts w:cs="Arial"/>
          <w:szCs w:val="20"/>
        </w:rPr>
      </w:pPr>
      <w:r w:rsidRPr="00445B9C">
        <w:rPr>
          <w:rFonts w:cs="Arial"/>
          <w:szCs w:val="20"/>
        </w:rPr>
        <w:t xml:space="preserve">V 62. členu se </w:t>
      </w:r>
      <w:r w:rsidR="00BB4D3C" w:rsidRPr="00445B9C">
        <w:rPr>
          <w:rFonts w:cs="Arial"/>
          <w:szCs w:val="20"/>
        </w:rPr>
        <w:t xml:space="preserve">v prvem odstavku </w:t>
      </w:r>
      <w:r w:rsidR="00846433" w:rsidRPr="00445B9C">
        <w:rPr>
          <w:rFonts w:cs="Arial"/>
          <w:szCs w:val="20"/>
        </w:rPr>
        <w:t>v</w:t>
      </w:r>
      <w:r w:rsidR="00FB1C10" w:rsidRPr="00445B9C">
        <w:rPr>
          <w:rFonts w:cs="Arial"/>
          <w:szCs w:val="20"/>
        </w:rPr>
        <w:t xml:space="preserve"> </w:t>
      </w:r>
      <w:r w:rsidRPr="00445B9C">
        <w:rPr>
          <w:rFonts w:cs="Arial"/>
          <w:szCs w:val="20"/>
        </w:rPr>
        <w:t xml:space="preserve">4. </w:t>
      </w:r>
      <w:r w:rsidR="00BB4D3C" w:rsidRPr="00445B9C">
        <w:rPr>
          <w:rFonts w:cs="Arial"/>
          <w:szCs w:val="20"/>
        </w:rPr>
        <w:t>točki</w:t>
      </w:r>
      <w:r w:rsidR="00CF077A" w:rsidRPr="00445B9C">
        <w:rPr>
          <w:rFonts w:cs="Arial"/>
          <w:szCs w:val="20"/>
        </w:rPr>
        <w:t xml:space="preserve"> v</w:t>
      </w:r>
      <w:r w:rsidR="00BB4D3C" w:rsidRPr="00445B9C">
        <w:rPr>
          <w:rFonts w:cs="Arial"/>
          <w:szCs w:val="20"/>
        </w:rPr>
        <w:t xml:space="preserve"> drugi alineji </w:t>
      </w:r>
      <w:r w:rsidR="00856F2A" w:rsidRPr="00445B9C">
        <w:rPr>
          <w:rFonts w:cs="Arial"/>
          <w:szCs w:val="20"/>
        </w:rPr>
        <w:t xml:space="preserve">črta </w:t>
      </w:r>
      <w:r w:rsidR="00BB4D3C" w:rsidRPr="00445B9C">
        <w:rPr>
          <w:rFonts w:cs="Arial"/>
          <w:szCs w:val="20"/>
        </w:rPr>
        <w:t>besedilo »ali imajo neposredni elektronski dostop do mesta trgovanja«</w:t>
      </w:r>
      <w:r w:rsidR="00FB1C10" w:rsidRPr="00445B9C">
        <w:rPr>
          <w:rFonts w:cs="Arial"/>
          <w:szCs w:val="20"/>
        </w:rPr>
        <w:t xml:space="preserve">. </w:t>
      </w:r>
    </w:p>
    <w:p w14:paraId="3539AF46" w14:textId="77777777" w:rsidR="00163840" w:rsidRPr="00445B9C" w:rsidRDefault="00163840" w:rsidP="003552A3">
      <w:pPr>
        <w:jc w:val="both"/>
        <w:rPr>
          <w:rFonts w:cs="Arial"/>
          <w:szCs w:val="20"/>
        </w:rPr>
      </w:pPr>
    </w:p>
    <w:p w14:paraId="25B2FE7B" w14:textId="1A38D73D" w:rsidR="00CF0FDA" w:rsidRPr="00445B9C" w:rsidRDefault="00163840" w:rsidP="003552A3">
      <w:pPr>
        <w:jc w:val="both"/>
        <w:rPr>
          <w:rFonts w:cs="Arial"/>
          <w:szCs w:val="20"/>
        </w:rPr>
      </w:pPr>
      <w:r w:rsidRPr="00445B9C">
        <w:rPr>
          <w:rFonts w:cs="Arial"/>
          <w:szCs w:val="20"/>
        </w:rPr>
        <w:t>V 12. točki se besedilo »Uredbe 714/2009/ES in Uredbe 715/2009/ES« nadomesti z besedilom »Uredbe 2019/943/EU in Uredbe 2024/1789/EU«.</w:t>
      </w:r>
    </w:p>
    <w:p w14:paraId="5ED978F1" w14:textId="77777777" w:rsidR="006A2506" w:rsidRPr="00445B9C" w:rsidRDefault="006A2506" w:rsidP="00F810E6">
      <w:pPr>
        <w:numPr>
          <w:ilvl w:val="0"/>
          <w:numId w:val="16"/>
        </w:numPr>
        <w:spacing w:before="240" w:after="240" w:line="259" w:lineRule="auto"/>
        <w:ind w:left="720"/>
        <w:jc w:val="center"/>
        <w:outlineLvl w:val="0"/>
        <w:rPr>
          <w:rFonts w:eastAsiaTheme="majorEastAsia" w:cs="Arial"/>
          <w:b/>
          <w:szCs w:val="20"/>
        </w:rPr>
      </w:pPr>
      <w:bookmarkStart w:id="23" w:name="_Ref192067208"/>
      <w:r w:rsidRPr="00445B9C">
        <w:rPr>
          <w:rFonts w:eastAsiaTheme="majorEastAsia" w:cs="Arial"/>
          <w:b/>
          <w:szCs w:val="20"/>
        </w:rPr>
        <w:t>člen</w:t>
      </w:r>
      <w:bookmarkEnd w:id="23"/>
    </w:p>
    <w:p w14:paraId="5801A199" w14:textId="4A789419" w:rsidR="00D50774" w:rsidRPr="00445B9C" w:rsidRDefault="00D50774"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133. členu se </w:t>
      </w:r>
      <w:r w:rsidR="00065A3E" w:rsidRPr="00445B9C">
        <w:rPr>
          <w:rFonts w:eastAsiaTheme="majorEastAsia" w:cs="Arial"/>
          <w:bCs/>
          <w:szCs w:val="20"/>
        </w:rPr>
        <w:t xml:space="preserve">v </w:t>
      </w:r>
      <w:r w:rsidRPr="00445B9C">
        <w:rPr>
          <w:rFonts w:eastAsiaTheme="majorEastAsia" w:cs="Arial"/>
          <w:bCs/>
          <w:szCs w:val="20"/>
        </w:rPr>
        <w:t>prv</w:t>
      </w:r>
      <w:r w:rsidR="00065A3E" w:rsidRPr="00445B9C">
        <w:rPr>
          <w:rFonts w:eastAsiaTheme="majorEastAsia" w:cs="Arial"/>
          <w:bCs/>
          <w:szCs w:val="20"/>
        </w:rPr>
        <w:t>em</w:t>
      </w:r>
      <w:r w:rsidRPr="00445B9C">
        <w:rPr>
          <w:rFonts w:eastAsiaTheme="majorEastAsia" w:cs="Arial"/>
          <w:bCs/>
          <w:szCs w:val="20"/>
        </w:rPr>
        <w:t xml:space="preserve"> odstavk</w:t>
      </w:r>
      <w:r w:rsidR="00065A3E" w:rsidRPr="00445B9C">
        <w:rPr>
          <w:rFonts w:eastAsiaTheme="majorEastAsia" w:cs="Arial"/>
          <w:bCs/>
          <w:szCs w:val="20"/>
        </w:rPr>
        <w:t>u</w:t>
      </w:r>
      <w:r w:rsidRPr="00445B9C">
        <w:rPr>
          <w:rFonts w:eastAsiaTheme="majorEastAsia" w:cs="Arial"/>
          <w:bCs/>
          <w:szCs w:val="20"/>
        </w:rPr>
        <w:t xml:space="preserve"> </w:t>
      </w:r>
      <w:r w:rsidR="00562AB1" w:rsidRPr="00445B9C">
        <w:rPr>
          <w:rFonts w:eastAsiaTheme="majorEastAsia" w:cs="Arial"/>
          <w:bCs/>
          <w:szCs w:val="20"/>
        </w:rPr>
        <w:t>črta drugi stavek</w:t>
      </w:r>
      <w:r w:rsidRPr="00445B9C">
        <w:rPr>
          <w:rFonts w:eastAsiaTheme="majorEastAsia" w:cs="Arial"/>
          <w:bCs/>
          <w:szCs w:val="20"/>
        </w:rPr>
        <w:t>.</w:t>
      </w:r>
    </w:p>
    <w:p w14:paraId="325D79D2" w14:textId="46314CDB" w:rsidR="00CF0FDA" w:rsidRPr="00445B9C" w:rsidRDefault="00065A3E" w:rsidP="003552A3">
      <w:pPr>
        <w:spacing w:before="240" w:after="240" w:line="259" w:lineRule="auto"/>
        <w:jc w:val="both"/>
        <w:outlineLvl w:val="0"/>
        <w:rPr>
          <w:rFonts w:cs="Arial"/>
          <w:szCs w:val="20"/>
        </w:rPr>
      </w:pPr>
      <w:r w:rsidRPr="00445B9C">
        <w:rPr>
          <w:rFonts w:eastAsiaTheme="majorEastAsia" w:cs="Arial"/>
          <w:bCs/>
          <w:szCs w:val="20"/>
        </w:rPr>
        <w:t>V d</w:t>
      </w:r>
      <w:r w:rsidR="00D50774" w:rsidRPr="00445B9C">
        <w:rPr>
          <w:rFonts w:eastAsiaTheme="majorEastAsia" w:cs="Arial"/>
          <w:bCs/>
          <w:szCs w:val="20"/>
        </w:rPr>
        <w:t>rug</w:t>
      </w:r>
      <w:r w:rsidRPr="00445B9C">
        <w:rPr>
          <w:rFonts w:eastAsiaTheme="majorEastAsia" w:cs="Arial"/>
          <w:bCs/>
          <w:szCs w:val="20"/>
        </w:rPr>
        <w:t>em</w:t>
      </w:r>
      <w:r w:rsidR="00D50774" w:rsidRPr="00445B9C">
        <w:rPr>
          <w:rFonts w:eastAsiaTheme="majorEastAsia" w:cs="Arial"/>
          <w:bCs/>
          <w:szCs w:val="20"/>
        </w:rPr>
        <w:t xml:space="preserve"> odstavk</w:t>
      </w:r>
      <w:r w:rsidRPr="00445B9C">
        <w:rPr>
          <w:rFonts w:eastAsiaTheme="majorEastAsia" w:cs="Arial"/>
          <w:bCs/>
          <w:szCs w:val="20"/>
        </w:rPr>
        <w:t>u</w:t>
      </w:r>
      <w:r w:rsidR="00D50774" w:rsidRPr="00445B9C">
        <w:rPr>
          <w:rFonts w:eastAsiaTheme="majorEastAsia" w:cs="Arial"/>
          <w:bCs/>
          <w:szCs w:val="20"/>
        </w:rPr>
        <w:t xml:space="preserve"> se v</w:t>
      </w:r>
      <w:r w:rsidRPr="00445B9C">
        <w:rPr>
          <w:rFonts w:cs="Arial"/>
          <w:szCs w:val="20"/>
        </w:rPr>
        <w:t xml:space="preserve"> </w:t>
      </w:r>
      <w:r w:rsidR="00D50774" w:rsidRPr="00445B9C">
        <w:rPr>
          <w:rFonts w:cs="Arial"/>
          <w:szCs w:val="20"/>
        </w:rPr>
        <w:t>3. točki za besedilom »34. člena Direktive 2013/34/EU« doda</w:t>
      </w:r>
      <w:r w:rsidRPr="00445B9C">
        <w:rPr>
          <w:rFonts w:cs="Arial"/>
          <w:szCs w:val="20"/>
        </w:rPr>
        <w:t>ta</w:t>
      </w:r>
      <w:r w:rsidR="00D50774" w:rsidRPr="00445B9C">
        <w:rPr>
          <w:rFonts w:cs="Arial"/>
          <w:szCs w:val="20"/>
        </w:rPr>
        <w:t xml:space="preserve"> </w:t>
      </w:r>
      <w:r w:rsidRPr="00445B9C">
        <w:rPr>
          <w:rFonts w:cs="Arial"/>
          <w:szCs w:val="20"/>
        </w:rPr>
        <w:t xml:space="preserve">vejica in </w:t>
      </w:r>
      <w:r w:rsidR="00D50774" w:rsidRPr="00445B9C">
        <w:rPr>
          <w:rFonts w:cs="Arial"/>
          <w:szCs w:val="20"/>
        </w:rPr>
        <w:t xml:space="preserve">besedilo »pri čemer revizijsko poročilo po potrebi vključuje tudi mnenje o zanesljivosti poročanja o </w:t>
      </w:r>
      <w:proofErr w:type="spellStart"/>
      <w:r w:rsidR="00D50774" w:rsidRPr="00445B9C">
        <w:rPr>
          <w:rFonts w:cs="Arial"/>
          <w:szCs w:val="20"/>
        </w:rPr>
        <w:t>trajnostnosti</w:t>
      </w:r>
      <w:proofErr w:type="spellEnd"/>
      <w:r w:rsidR="00D50774" w:rsidRPr="00445B9C">
        <w:rPr>
          <w:rFonts w:cs="Arial"/>
          <w:szCs w:val="20"/>
        </w:rPr>
        <w:t xml:space="preserve"> </w:t>
      </w:r>
      <w:r w:rsidR="00947429">
        <w:rPr>
          <w:rFonts w:cs="Arial"/>
          <w:szCs w:val="20"/>
        </w:rPr>
        <w:t xml:space="preserve">v </w:t>
      </w:r>
      <w:r w:rsidR="00D50774" w:rsidRPr="00445B9C">
        <w:rPr>
          <w:rFonts w:cs="Arial"/>
          <w:szCs w:val="20"/>
        </w:rPr>
        <w:t>sklad</w:t>
      </w:r>
      <w:r w:rsidR="00947429">
        <w:rPr>
          <w:rFonts w:cs="Arial"/>
          <w:szCs w:val="20"/>
        </w:rPr>
        <w:t>u</w:t>
      </w:r>
      <w:r w:rsidR="00D50774" w:rsidRPr="00445B9C">
        <w:rPr>
          <w:rFonts w:cs="Arial"/>
          <w:szCs w:val="20"/>
        </w:rPr>
        <w:t xml:space="preserve"> s 34. členom Direktive 2013/34/EU«</w:t>
      </w:r>
      <w:r w:rsidRPr="00445B9C">
        <w:rPr>
          <w:rFonts w:cs="Arial"/>
          <w:szCs w:val="20"/>
        </w:rPr>
        <w:t>.</w:t>
      </w:r>
    </w:p>
    <w:p w14:paraId="471749D3" w14:textId="7B87F94A" w:rsidR="00CF0FDA" w:rsidRPr="00445B9C" w:rsidRDefault="006635CC" w:rsidP="003552A3">
      <w:pPr>
        <w:jc w:val="both"/>
        <w:rPr>
          <w:rFonts w:cs="Arial"/>
          <w:szCs w:val="20"/>
        </w:rPr>
      </w:pPr>
      <w:r w:rsidRPr="00445B9C">
        <w:rPr>
          <w:rFonts w:cs="Arial"/>
          <w:szCs w:val="20"/>
        </w:rPr>
        <w:t>V</w:t>
      </w:r>
      <w:r w:rsidR="00D50774" w:rsidRPr="00445B9C">
        <w:rPr>
          <w:rFonts w:cs="Arial"/>
          <w:szCs w:val="20"/>
        </w:rPr>
        <w:t xml:space="preserve"> 4. točki </w:t>
      </w:r>
      <w:r w:rsidRPr="00445B9C">
        <w:rPr>
          <w:rFonts w:cs="Arial"/>
          <w:szCs w:val="20"/>
        </w:rPr>
        <w:t xml:space="preserve">se </w:t>
      </w:r>
      <w:r w:rsidR="00D50774" w:rsidRPr="00445B9C">
        <w:rPr>
          <w:rFonts w:cs="Arial"/>
          <w:szCs w:val="20"/>
        </w:rPr>
        <w:t>za besedilom »sprejetim za prenos 19.« doda</w:t>
      </w:r>
      <w:r w:rsidRPr="00445B9C">
        <w:rPr>
          <w:rFonts w:cs="Arial"/>
          <w:szCs w:val="20"/>
        </w:rPr>
        <w:t>ta</w:t>
      </w:r>
      <w:r w:rsidR="00D50774" w:rsidRPr="00445B9C">
        <w:rPr>
          <w:rFonts w:cs="Arial"/>
          <w:szCs w:val="20"/>
        </w:rPr>
        <w:t xml:space="preserve"> </w:t>
      </w:r>
      <w:r w:rsidRPr="00445B9C">
        <w:rPr>
          <w:rFonts w:cs="Arial"/>
          <w:szCs w:val="20"/>
        </w:rPr>
        <w:t xml:space="preserve">vejica in </w:t>
      </w:r>
      <w:r w:rsidR="00D50774" w:rsidRPr="00445B9C">
        <w:rPr>
          <w:rFonts w:cs="Arial"/>
          <w:szCs w:val="20"/>
        </w:rPr>
        <w:t>besedilo »19a., 20. in prvega odstavka 29d.«</w:t>
      </w:r>
      <w:r w:rsidR="00CF077A" w:rsidRPr="00445B9C">
        <w:rPr>
          <w:rFonts w:cs="Arial"/>
          <w:szCs w:val="20"/>
        </w:rPr>
        <w:t>,</w:t>
      </w:r>
      <w:r w:rsidR="00D50774" w:rsidRPr="00445B9C">
        <w:rPr>
          <w:rFonts w:cs="Arial"/>
          <w:szCs w:val="20"/>
        </w:rPr>
        <w:t xml:space="preserve"> za piko</w:t>
      </w:r>
      <w:r w:rsidR="00CF077A" w:rsidRPr="00445B9C">
        <w:rPr>
          <w:rFonts w:cs="Arial"/>
          <w:szCs w:val="20"/>
        </w:rPr>
        <w:t xml:space="preserve"> </w:t>
      </w:r>
      <w:r w:rsidRPr="00445B9C">
        <w:rPr>
          <w:rFonts w:cs="Arial"/>
          <w:szCs w:val="20"/>
        </w:rPr>
        <w:t xml:space="preserve">na koncu </w:t>
      </w:r>
      <w:r w:rsidR="00CF077A" w:rsidRPr="00445B9C">
        <w:rPr>
          <w:rFonts w:cs="Arial"/>
          <w:szCs w:val="20"/>
        </w:rPr>
        <w:t>pa se</w:t>
      </w:r>
      <w:r w:rsidR="00D50774" w:rsidRPr="00445B9C">
        <w:rPr>
          <w:rFonts w:cs="Arial"/>
          <w:szCs w:val="20"/>
        </w:rPr>
        <w:t xml:space="preserve"> doda nov stavek, ki se glasi:</w:t>
      </w:r>
    </w:p>
    <w:p w14:paraId="63780A01" w14:textId="77777777" w:rsidR="00CF0FDA" w:rsidRPr="00445B9C" w:rsidRDefault="00D50774" w:rsidP="003552A3">
      <w:pPr>
        <w:jc w:val="both"/>
        <w:rPr>
          <w:rFonts w:cs="Arial"/>
          <w:szCs w:val="20"/>
        </w:rPr>
      </w:pPr>
      <w:r w:rsidRPr="00445B9C">
        <w:rPr>
          <w:rFonts w:cs="Arial"/>
          <w:szCs w:val="20"/>
        </w:rPr>
        <w:t xml:space="preserve"> »Če </w:t>
      </w:r>
      <w:r w:rsidR="00132E61" w:rsidRPr="00445B9C">
        <w:rPr>
          <w:rFonts w:cs="Arial"/>
          <w:szCs w:val="20"/>
        </w:rPr>
        <w:t>javna družba</w:t>
      </w:r>
      <w:r w:rsidRPr="00445B9C">
        <w:rPr>
          <w:rFonts w:cs="Arial"/>
          <w:szCs w:val="20"/>
        </w:rPr>
        <w:t xml:space="preserve"> podaj</w:t>
      </w:r>
      <w:r w:rsidR="00132E61" w:rsidRPr="00445B9C">
        <w:rPr>
          <w:rFonts w:cs="Arial"/>
          <w:szCs w:val="20"/>
        </w:rPr>
        <w:t>a</w:t>
      </w:r>
      <w:r w:rsidRPr="00445B9C">
        <w:rPr>
          <w:rFonts w:cs="Arial"/>
          <w:szCs w:val="20"/>
        </w:rPr>
        <w:t xml:space="preserve"> tudi specifikacije, sprejete na podlagi </w:t>
      </w:r>
      <w:r w:rsidR="00132E61" w:rsidRPr="00445B9C">
        <w:rPr>
          <w:rFonts w:cs="Arial"/>
          <w:szCs w:val="20"/>
        </w:rPr>
        <w:t xml:space="preserve">četrtega odstavka </w:t>
      </w:r>
      <w:r w:rsidRPr="00445B9C">
        <w:rPr>
          <w:rFonts w:cs="Arial"/>
          <w:szCs w:val="20"/>
        </w:rPr>
        <w:t>8</w:t>
      </w:r>
      <w:r w:rsidR="00132E61" w:rsidRPr="00445B9C">
        <w:rPr>
          <w:rFonts w:cs="Arial"/>
          <w:szCs w:val="20"/>
        </w:rPr>
        <w:t>. člena</w:t>
      </w:r>
      <w:r w:rsidRPr="00445B9C">
        <w:rPr>
          <w:rFonts w:cs="Arial"/>
          <w:szCs w:val="20"/>
        </w:rPr>
        <w:t xml:space="preserve"> Uredbe 2020/852</w:t>
      </w:r>
      <w:r w:rsidR="00132E61" w:rsidRPr="00445B9C">
        <w:rPr>
          <w:rFonts w:cs="Arial"/>
          <w:szCs w:val="20"/>
        </w:rPr>
        <w:t>/EU</w:t>
      </w:r>
      <w:r w:rsidRPr="00445B9C">
        <w:rPr>
          <w:rFonts w:cs="Arial"/>
          <w:szCs w:val="20"/>
        </w:rPr>
        <w:t>, poslovno poročilo vsebuje tudi te specifikacije.</w:t>
      </w:r>
      <w:r w:rsidR="00132E61" w:rsidRPr="00445B9C">
        <w:rPr>
          <w:rFonts w:cs="Arial"/>
          <w:szCs w:val="20"/>
        </w:rPr>
        <w:t>«</w:t>
      </w:r>
      <w:r w:rsidR="00CF077A" w:rsidRPr="00445B9C">
        <w:rPr>
          <w:rFonts w:cs="Arial"/>
          <w:szCs w:val="20"/>
        </w:rPr>
        <w:t>.</w:t>
      </w:r>
    </w:p>
    <w:p w14:paraId="0F24A6DA" w14:textId="77777777" w:rsidR="006A2506" w:rsidRPr="00445B9C" w:rsidRDefault="006A2506" w:rsidP="00F810E6">
      <w:pPr>
        <w:numPr>
          <w:ilvl w:val="0"/>
          <w:numId w:val="16"/>
        </w:numPr>
        <w:spacing w:before="240" w:after="240" w:line="259" w:lineRule="auto"/>
        <w:ind w:left="720"/>
        <w:jc w:val="center"/>
        <w:outlineLvl w:val="0"/>
        <w:rPr>
          <w:rFonts w:eastAsiaTheme="majorEastAsia" w:cs="Arial"/>
          <w:b/>
          <w:szCs w:val="20"/>
        </w:rPr>
      </w:pPr>
      <w:bookmarkStart w:id="24" w:name="_Ref192067217"/>
      <w:r w:rsidRPr="00445B9C">
        <w:rPr>
          <w:rFonts w:eastAsiaTheme="majorEastAsia" w:cs="Arial"/>
          <w:b/>
          <w:szCs w:val="20"/>
        </w:rPr>
        <w:t>člen</w:t>
      </w:r>
      <w:bookmarkEnd w:id="24"/>
    </w:p>
    <w:p w14:paraId="2DF47330" w14:textId="387880B4" w:rsidR="00CF0FDA" w:rsidRPr="00445B9C" w:rsidRDefault="00B42E66" w:rsidP="003552A3">
      <w:pPr>
        <w:jc w:val="both"/>
        <w:rPr>
          <w:rFonts w:cs="Arial"/>
          <w:szCs w:val="20"/>
        </w:rPr>
      </w:pPr>
      <w:r w:rsidRPr="00445B9C">
        <w:rPr>
          <w:rFonts w:eastAsiaTheme="majorEastAsia" w:cs="Arial"/>
          <w:szCs w:val="20"/>
        </w:rPr>
        <w:t xml:space="preserve">V </w:t>
      </w:r>
      <w:r w:rsidR="00BE1C6A" w:rsidRPr="00445B9C">
        <w:rPr>
          <w:rFonts w:eastAsiaTheme="majorEastAsia" w:cs="Arial"/>
          <w:szCs w:val="20"/>
        </w:rPr>
        <w:t xml:space="preserve">134. členu se </w:t>
      </w:r>
      <w:r w:rsidR="00F43CF8" w:rsidRPr="00445B9C">
        <w:rPr>
          <w:rFonts w:eastAsiaTheme="majorEastAsia" w:cs="Arial"/>
          <w:szCs w:val="20"/>
        </w:rPr>
        <w:t xml:space="preserve">v </w:t>
      </w:r>
      <w:r w:rsidR="008D21D2" w:rsidRPr="00445B9C">
        <w:rPr>
          <w:rFonts w:eastAsiaTheme="majorEastAsia" w:cs="Arial"/>
          <w:szCs w:val="20"/>
        </w:rPr>
        <w:t xml:space="preserve">drugem </w:t>
      </w:r>
      <w:r w:rsidR="00F43CF8" w:rsidRPr="00445B9C">
        <w:rPr>
          <w:rFonts w:eastAsiaTheme="majorEastAsia" w:cs="Arial"/>
          <w:szCs w:val="20"/>
        </w:rPr>
        <w:t xml:space="preserve">odstavku </w:t>
      </w:r>
      <w:r w:rsidR="00276A3A" w:rsidRPr="00445B9C">
        <w:rPr>
          <w:rFonts w:eastAsiaTheme="majorEastAsia" w:cs="Arial"/>
          <w:szCs w:val="20"/>
        </w:rPr>
        <w:t xml:space="preserve">v </w:t>
      </w:r>
      <w:r w:rsidR="00BE1C6A" w:rsidRPr="00445B9C">
        <w:rPr>
          <w:rFonts w:eastAsiaTheme="majorEastAsia" w:cs="Arial"/>
          <w:szCs w:val="20"/>
        </w:rPr>
        <w:t xml:space="preserve">3. </w:t>
      </w:r>
      <w:r w:rsidR="00F43CF8" w:rsidRPr="00445B9C">
        <w:rPr>
          <w:rFonts w:eastAsiaTheme="majorEastAsia" w:cs="Arial"/>
          <w:szCs w:val="20"/>
        </w:rPr>
        <w:t>točk</w:t>
      </w:r>
      <w:r w:rsidR="00276A3A" w:rsidRPr="00445B9C">
        <w:rPr>
          <w:rFonts w:eastAsiaTheme="majorEastAsia" w:cs="Arial"/>
          <w:szCs w:val="20"/>
        </w:rPr>
        <w:t>i</w:t>
      </w:r>
      <w:r w:rsidR="00F43CF8" w:rsidRPr="00445B9C">
        <w:rPr>
          <w:rFonts w:eastAsiaTheme="majorEastAsia" w:cs="Arial"/>
          <w:szCs w:val="20"/>
        </w:rPr>
        <w:t xml:space="preserve"> </w:t>
      </w:r>
      <w:r w:rsidR="00334EC7" w:rsidRPr="00445B9C">
        <w:rPr>
          <w:rFonts w:cs="Arial"/>
          <w:szCs w:val="20"/>
        </w:rPr>
        <w:t xml:space="preserve">v prvi alineji za </w:t>
      </w:r>
      <w:r w:rsidR="00276A3A" w:rsidRPr="00445B9C">
        <w:rPr>
          <w:rFonts w:cs="Arial"/>
          <w:szCs w:val="20"/>
        </w:rPr>
        <w:t xml:space="preserve">vejico za </w:t>
      </w:r>
      <w:r w:rsidR="00334EC7" w:rsidRPr="00445B9C">
        <w:rPr>
          <w:rFonts w:cs="Arial"/>
          <w:szCs w:val="20"/>
        </w:rPr>
        <w:t xml:space="preserve">besedo »celote« črta </w:t>
      </w:r>
      <w:r w:rsidR="002D1CCB" w:rsidRPr="00445B9C">
        <w:rPr>
          <w:rFonts w:cs="Arial"/>
          <w:szCs w:val="20"/>
        </w:rPr>
        <w:t>beseda</w:t>
      </w:r>
      <w:r w:rsidR="00334EC7" w:rsidRPr="00445B9C">
        <w:rPr>
          <w:rFonts w:cs="Arial"/>
          <w:szCs w:val="20"/>
        </w:rPr>
        <w:t xml:space="preserve"> »in«</w:t>
      </w:r>
      <w:r w:rsidR="00276A3A" w:rsidRPr="00445B9C">
        <w:rPr>
          <w:rFonts w:cs="Arial"/>
          <w:szCs w:val="20"/>
        </w:rPr>
        <w:t>.</w:t>
      </w:r>
    </w:p>
    <w:p w14:paraId="15F3D009" w14:textId="77777777" w:rsidR="00CF0FDA" w:rsidRPr="00445B9C" w:rsidRDefault="00CF0FDA" w:rsidP="003552A3">
      <w:pPr>
        <w:jc w:val="both"/>
        <w:rPr>
          <w:rFonts w:cs="Arial"/>
          <w:szCs w:val="20"/>
        </w:rPr>
      </w:pPr>
    </w:p>
    <w:p w14:paraId="71AE2132" w14:textId="36259316" w:rsidR="00CF0FDA" w:rsidRPr="00445B9C" w:rsidRDefault="00276A3A" w:rsidP="003552A3">
      <w:pPr>
        <w:jc w:val="both"/>
        <w:rPr>
          <w:rFonts w:cs="Arial"/>
          <w:szCs w:val="20"/>
        </w:rPr>
      </w:pPr>
      <w:r w:rsidRPr="00445B9C">
        <w:rPr>
          <w:rFonts w:cs="Arial"/>
          <w:szCs w:val="20"/>
        </w:rPr>
        <w:t>V</w:t>
      </w:r>
      <w:r w:rsidR="00334EC7" w:rsidRPr="00445B9C">
        <w:rPr>
          <w:rFonts w:cs="Arial"/>
          <w:szCs w:val="20"/>
        </w:rPr>
        <w:t xml:space="preserve"> drugi alineji se pika </w:t>
      </w:r>
      <w:r w:rsidRPr="00445B9C">
        <w:rPr>
          <w:rFonts w:cs="Arial"/>
          <w:szCs w:val="20"/>
        </w:rPr>
        <w:t xml:space="preserve">na koncu </w:t>
      </w:r>
      <w:r w:rsidR="00334EC7" w:rsidRPr="00445B9C">
        <w:rPr>
          <w:rFonts w:cs="Arial"/>
          <w:szCs w:val="20"/>
        </w:rPr>
        <w:t xml:space="preserve">nadomesti z vejico in </w:t>
      </w:r>
      <w:r w:rsidRPr="00445B9C">
        <w:rPr>
          <w:rFonts w:cs="Arial"/>
          <w:szCs w:val="20"/>
        </w:rPr>
        <w:t>za njo</w:t>
      </w:r>
      <w:r w:rsidR="00DD323E" w:rsidRPr="00445B9C">
        <w:rPr>
          <w:rFonts w:cs="Arial"/>
          <w:szCs w:val="20"/>
        </w:rPr>
        <w:t xml:space="preserve"> </w:t>
      </w:r>
      <w:r w:rsidR="00334EC7" w:rsidRPr="00445B9C">
        <w:rPr>
          <w:rFonts w:cs="Arial"/>
          <w:szCs w:val="20"/>
        </w:rPr>
        <w:t>doda nova</w:t>
      </w:r>
      <w:r w:rsidRPr="00445B9C">
        <w:rPr>
          <w:rFonts w:cs="Arial"/>
          <w:szCs w:val="20"/>
        </w:rPr>
        <w:t>,</w:t>
      </w:r>
      <w:r w:rsidR="00334EC7" w:rsidRPr="00445B9C">
        <w:rPr>
          <w:rFonts w:cs="Arial"/>
          <w:szCs w:val="20"/>
        </w:rPr>
        <w:t xml:space="preserve"> tretja alineja, ki se glasi:</w:t>
      </w:r>
    </w:p>
    <w:p w14:paraId="403C6556" w14:textId="77777777" w:rsidR="00CF0FDA" w:rsidRPr="00445B9C" w:rsidRDefault="00334EC7" w:rsidP="003552A3">
      <w:pPr>
        <w:jc w:val="both"/>
        <w:rPr>
          <w:rFonts w:eastAsiaTheme="majorEastAsia" w:cs="Arial"/>
          <w:szCs w:val="20"/>
        </w:rPr>
      </w:pPr>
      <w:r w:rsidRPr="00445B9C">
        <w:rPr>
          <w:rFonts w:eastAsiaTheme="majorEastAsia" w:cs="Arial"/>
          <w:szCs w:val="20"/>
        </w:rPr>
        <w:t>»</w:t>
      </w:r>
      <w:r w:rsidR="00276A3A" w:rsidRPr="00445B9C">
        <w:rPr>
          <w:rFonts w:eastAsiaTheme="majorEastAsia" w:cs="Arial"/>
          <w:szCs w:val="20"/>
        </w:rPr>
        <w:t xml:space="preserve">– </w:t>
      </w:r>
      <w:r w:rsidRPr="00445B9C">
        <w:rPr>
          <w:rFonts w:eastAsiaTheme="majorEastAsia" w:cs="Arial"/>
          <w:szCs w:val="20"/>
        </w:rPr>
        <w:t>pripravljeno v skladu s standardi poročanja o trajnostnosti v skladu s 70.c členom ZGD-1 in specifikacijami, sprejetimi na podlagi četrtega odstavka 8. člena Uredbe 2020/852/EU.«</w:t>
      </w:r>
      <w:r w:rsidR="00CF077A" w:rsidRPr="00445B9C">
        <w:rPr>
          <w:rFonts w:eastAsiaTheme="majorEastAsia" w:cs="Arial"/>
          <w:szCs w:val="20"/>
        </w:rPr>
        <w:t>.</w:t>
      </w:r>
    </w:p>
    <w:p w14:paraId="68087CEA" w14:textId="77777777" w:rsidR="006A2506" w:rsidRPr="00445B9C" w:rsidRDefault="006A2506" w:rsidP="00F810E6">
      <w:pPr>
        <w:numPr>
          <w:ilvl w:val="0"/>
          <w:numId w:val="16"/>
        </w:numPr>
        <w:spacing w:before="240" w:after="240" w:line="259" w:lineRule="auto"/>
        <w:ind w:left="720"/>
        <w:jc w:val="center"/>
        <w:outlineLvl w:val="0"/>
        <w:rPr>
          <w:rFonts w:eastAsia="Arial" w:cs="Arial"/>
          <w:b/>
          <w:bCs/>
          <w:color w:val="111111"/>
          <w:w w:val="105"/>
          <w:szCs w:val="20"/>
        </w:rPr>
      </w:pPr>
      <w:bookmarkStart w:id="25" w:name="_Ref192067226"/>
      <w:r w:rsidRPr="00445B9C">
        <w:rPr>
          <w:rFonts w:eastAsia="Arial" w:cs="Arial"/>
          <w:b/>
          <w:bCs/>
          <w:color w:val="111111"/>
          <w:w w:val="105"/>
          <w:szCs w:val="20"/>
        </w:rPr>
        <w:t>člen</w:t>
      </w:r>
      <w:bookmarkEnd w:id="25"/>
    </w:p>
    <w:p w14:paraId="28AD13B2" w14:textId="1269A5C2" w:rsidR="008B0474" w:rsidRPr="00445B9C" w:rsidRDefault="008B0474"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 xml:space="preserve">V 141. členu se </w:t>
      </w:r>
      <w:r w:rsidR="00297448" w:rsidRPr="00445B9C">
        <w:rPr>
          <w:rFonts w:eastAsia="Arial" w:cs="Arial"/>
          <w:color w:val="111111"/>
          <w:w w:val="105"/>
          <w:szCs w:val="20"/>
        </w:rPr>
        <w:t>v</w:t>
      </w:r>
      <w:r w:rsidRPr="00445B9C">
        <w:rPr>
          <w:rFonts w:eastAsia="Arial" w:cs="Arial"/>
          <w:color w:val="111111"/>
          <w:w w:val="105"/>
          <w:szCs w:val="20"/>
        </w:rPr>
        <w:t xml:space="preserve"> četrte</w:t>
      </w:r>
      <w:r w:rsidR="00297448" w:rsidRPr="00445B9C">
        <w:rPr>
          <w:rFonts w:eastAsia="Arial" w:cs="Arial"/>
          <w:color w:val="111111"/>
          <w:w w:val="105"/>
          <w:szCs w:val="20"/>
        </w:rPr>
        <w:t>m</w:t>
      </w:r>
      <w:r w:rsidRPr="00445B9C">
        <w:rPr>
          <w:rFonts w:eastAsia="Arial" w:cs="Arial"/>
          <w:color w:val="111111"/>
          <w:w w:val="105"/>
          <w:szCs w:val="20"/>
        </w:rPr>
        <w:t xml:space="preserve"> odstavk</w:t>
      </w:r>
      <w:r w:rsidR="00297448" w:rsidRPr="00445B9C">
        <w:rPr>
          <w:rFonts w:eastAsia="Arial" w:cs="Arial"/>
          <w:color w:val="111111"/>
          <w:w w:val="105"/>
          <w:szCs w:val="20"/>
        </w:rPr>
        <w:t>u</w:t>
      </w:r>
      <w:r w:rsidRPr="00445B9C">
        <w:rPr>
          <w:rFonts w:eastAsia="Arial" w:cs="Arial"/>
          <w:color w:val="111111"/>
          <w:w w:val="105"/>
          <w:szCs w:val="20"/>
        </w:rPr>
        <w:t xml:space="preserve"> </w:t>
      </w:r>
      <w:r w:rsidR="000375E3" w:rsidRPr="00445B9C">
        <w:rPr>
          <w:rFonts w:eastAsia="Arial" w:cs="Arial"/>
          <w:color w:val="111111"/>
          <w:w w:val="105"/>
          <w:szCs w:val="20"/>
        </w:rPr>
        <w:t xml:space="preserve">v napovednem stavku za besedo »članice« </w:t>
      </w:r>
      <w:r w:rsidR="00297448" w:rsidRPr="00445B9C">
        <w:rPr>
          <w:rFonts w:eastAsia="Arial" w:cs="Arial"/>
          <w:color w:val="111111"/>
          <w:w w:val="105"/>
          <w:szCs w:val="20"/>
        </w:rPr>
        <w:t>črta</w:t>
      </w:r>
      <w:r w:rsidR="000375E3" w:rsidRPr="00445B9C">
        <w:rPr>
          <w:rFonts w:eastAsia="Arial" w:cs="Arial"/>
          <w:color w:val="111111"/>
          <w:w w:val="105"/>
          <w:szCs w:val="20"/>
        </w:rPr>
        <w:t>ta</w:t>
      </w:r>
      <w:r w:rsidR="00297448" w:rsidRPr="00445B9C">
        <w:rPr>
          <w:rFonts w:eastAsia="Arial" w:cs="Arial"/>
          <w:color w:val="111111"/>
          <w:w w:val="105"/>
          <w:szCs w:val="20"/>
        </w:rPr>
        <w:t xml:space="preserve"> </w:t>
      </w:r>
      <w:r w:rsidR="000375E3" w:rsidRPr="00445B9C">
        <w:rPr>
          <w:rFonts w:eastAsia="Arial" w:cs="Arial"/>
          <w:color w:val="111111"/>
          <w:w w:val="105"/>
          <w:szCs w:val="20"/>
        </w:rPr>
        <w:t xml:space="preserve">vejica in </w:t>
      </w:r>
      <w:r w:rsidR="00297448" w:rsidRPr="00445B9C">
        <w:rPr>
          <w:rFonts w:eastAsia="Arial" w:cs="Arial"/>
          <w:color w:val="111111"/>
          <w:w w:val="105"/>
          <w:szCs w:val="20"/>
        </w:rPr>
        <w:t xml:space="preserve">besedilo »banke tretje države« </w:t>
      </w:r>
      <w:r w:rsidR="000375E3" w:rsidRPr="00445B9C">
        <w:rPr>
          <w:rFonts w:eastAsia="Arial" w:cs="Arial"/>
          <w:color w:val="111111"/>
          <w:w w:val="105"/>
          <w:szCs w:val="20"/>
        </w:rPr>
        <w:t>ter</w:t>
      </w:r>
      <w:r w:rsidR="00297448" w:rsidRPr="00445B9C">
        <w:rPr>
          <w:rFonts w:eastAsia="Arial" w:cs="Arial"/>
          <w:color w:val="111111"/>
          <w:w w:val="105"/>
          <w:szCs w:val="20"/>
        </w:rPr>
        <w:t xml:space="preserve"> za besedilom »Uredba 575/2013/EU« doda besedilo »oziroma Uredba 2019/2033/EU«.</w:t>
      </w:r>
    </w:p>
    <w:p w14:paraId="12D962B7" w14:textId="77777777" w:rsidR="009A3657" w:rsidRPr="00445B9C" w:rsidRDefault="00CF077A" w:rsidP="00F810E6">
      <w:pPr>
        <w:numPr>
          <w:ilvl w:val="0"/>
          <w:numId w:val="16"/>
        </w:numPr>
        <w:spacing w:before="240" w:after="240" w:line="259" w:lineRule="auto"/>
        <w:ind w:left="720"/>
        <w:jc w:val="center"/>
        <w:outlineLvl w:val="0"/>
        <w:rPr>
          <w:rFonts w:eastAsia="Arial" w:cs="Arial"/>
          <w:b/>
          <w:bCs/>
          <w:color w:val="111111"/>
          <w:w w:val="105"/>
          <w:szCs w:val="20"/>
        </w:rPr>
      </w:pPr>
      <w:bookmarkStart w:id="26" w:name="_Ref196734005"/>
      <w:r w:rsidRPr="00445B9C">
        <w:rPr>
          <w:rFonts w:eastAsia="Arial" w:cs="Arial"/>
          <w:b/>
          <w:bCs/>
          <w:color w:val="111111"/>
          <w:w w:val="105"/>
          <w:szCs w:val="20"/>
        </w:rPr>
        <w:t>člen</w:t>
      </w:r>
      <w:bookmarkEnd w:id="26"/>
    </w:p>
    <w:p w14:paraId="38ACD229" w14:textId="77777777" w:rsidR="009A3657" w:rsidRPr="00445B9C" w:rsidRDefault="009A3657"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V 158. členu se za tretjim odstavkom dodata nova</w:t>
      </w:r>
      <w:r w:rsidR="000375E3" w:rsidRPr="00445B9C">
        <w:rPr>
          <w:rFonts w:eastAsia="Arial" w:cs="Arial"/>
          <w:color w:val="111111"/>
          <w:w w:val="105"/>
          <w:szCs w:val="20"/>
        </w:rPr>
        <w:t>,</w:t>
      </w:r>
      <w:r w:rsidRPr="00445B9C">
        <w:rPr>
          <w:rFonts w:eastAsia="Arial" w:cs="Arial"/>
          <w:color w:val="111111"/>
          <w:w w:val="105"/>
          <w:szCs w:val="20"/>
        </w:rPr>
        <w:t xml:space="preserve"> četrti in peti odstavek, ki se glasita:</w:t>
      </w:r>
    </w:p>
    <w:p w14:paraId="590733E7" w14:textId="77777777" w:rsidR="009A3657" w:rsidRPr="00445B9C" w:rsidRDefault="00123C5A"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w:t>
      </w:r>
      <w:r w:rsidR="009A3657" w:rsidRPr="00445B9C">
        <w:rPr>
          <w:rFonts w:eastAsia="Arial" w:cs="Arial"/>
          <w:color w:val="111111"/>
          <w:w w:val="105"/>
          <w:szCs w:val="20"/>
        </w:rPr>
        <w:t xml:space="preserve">(4) Nadzorovane informacije iz prvega odstavka tega člena so skladne z naslednjimi zahtevami: </w:t>
      </w:r>
    </w:p>
    <w:p w14:paraId="045F09ED" w14:textId="2FCAD366" w:rsidR="009A3657" w:rsidRPr="00445B9C" w:rsidRDefault="009A3657"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1.</w:t>
      </w:r>
      <w:r w:rsidRPr="00445B9C">
        <w:rPr>
          <w:rFonts w:eastAsia="Arial" w:cs="Arial"/>
          <w:color w:val="111111"/>
          <w:w w:val="105"/>
          <w:szCs w:val="20"/>
        </w:rPr>
        <w:tab/>
        <w:t xml:space="preserve">predložene </w:t>
      </w:r>
      <w:r w:rsidR="00B267F9" w:rsidRPr="00445B9C">
        <w:rPr>
          <w:rFonts w:eastAsia="Arial" w:cs="Arial"/>
          <w:color w:val="111111"/>
          <w:w w:val="105"/>
          <w:szCs w:val="20"/>
        </w:rPr>
        <w:t xml:space="preserve">so </w:t>
      </w:r>
      <w:r w:rsidRPr="00445B9C">
        <w:rPr>
          <w:rFonts w:eastAsia="Arial" w:cs="Arial"/>
          <w:color w:val="111111"/>
          <w:w w:val="105"/>
          <w:szCs w:val="20"/>
        </w:rPr>
        <w:t>v formatu, ki omogoča izvoz podatkov, kakor je opredeljen v 3. točki 2. člena Uredbe 2023/2859/EU ali, kadar to zahtevajo predpisi, v strojno berljivem formatu, kakor je opredeljen v 4. točki 2. člena Uredbe 2023/2859/EU;</w:t>
      </w:r>
      <w:r w:rsidR="00B267F9">
        <w:rPr>
          <w:rFonts w:eastAsia="Arial" w:cs="Arial"/>
          <w:color w:val="111111"/>
          <w:w w:val="105"/>
          <w:szCs w:val="20"/>
        </w:rPr>
        <w:t xml:space="preserve"> </w:t>
      </w:r>
    </w:p>
    <w:p w14:paraId="4D0C76E1" w14:textId="77777777" w:rsidR="009A3657" w:rsidRPr="00445B9C" w:rsidRDefault="009A3657"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2.</w:t>
      </w:r>
      <w:r w:rsidRPr="00445B9C">
        <w:rPr>
          <w:rFonts w:eastAsia="Arial" w:cs="Arial"/>
          <w:color w:val="111111"/>
          <w:w w:val="105"/>
          <w:szCs w:val="20"/>
        </w:rPr>
        <w:tab/>
        <w:t>vsebujejo naslednje metapodatke:</w:t>
      </w:r>
    </w:p>
    <w:p w14:paraId="72396EE6" w14:textId="2227F790" w:rsidR="009A3657"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9A3657" w:rsidRPr="00445B9C">
        <w:rPr>
          <w:rFonts w:eastAsia="Arial" w:cs="Arial"/>
          <w:color w:val="111111"/>
          <w:w w:val="105"/>
          <w:szCs w:val="20"/>
        </w:rPr>
        <w:tab/>
        <w:t>vsa imena javne družbe, na katero se informacije nanašajo;</w:t>
      </w:r>
    </w:p>
    <w:p w14:paraId="2060739B" w14:textId="6B26C41E" w:rsidR="009A3657"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9A3657" w:rsidRPr="00445B9C">
        <w:rPr>
          <w:rFonts w:eastAsia="Arial" w:cs="Arial"/>
          <w:color w:val="111111"/>
          <w:w w:val="105"/>
          <w:szCs w:val="20"/>
        </w:rPr>
        <w:tab/>
        <w:t>enolično mednarodno identifikacijsko številko (LEI</w:t>
      </w:r>
      <w:r w:rsidR="00B267F9">
        <w:rPr>
          <w:rFonts w:eastAsia="Arial" w:cs="Arial"/>
          <w:color w:val="111111"/>
          <w:w w:val="105"/>
          <w:szCs w:val="20"/>
        </w:rPr>
        <w:t>-</w:t>
      </w:r>
      <w:r w:rsidR="009A3657" w:rsidRPr="00445B9C">
        <w:rPr>
          <w:rFonts w:eastAsia="Arial" w:cs="Arial"/>
          <w:color w:val="111111"/>
          <w:w w:val="105"/>
          <w:szCs w:val="20"/>
        </w:rPr>
        <w:t>koda) javne družbe, kot je določena na podlagi b) točke četrtega odstavka 7. člena Uredbe 2023/2859/EU;</w:t>
      </w:r>
    </w:p>
    <w:p w14:paraId="2F3FB323" w14:textId="3E1EAB7D" w:rsidR="009A3657"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lastRenderedPageBreak/>
        <w:t>–</w:t>
      </w:r>
      <w:r w:rsidR="009A3657" w:rsidRPr="00445B9C">
        <w:rPr>
          <w:rFonts w:eastAsia="Arial" w:cs="Arial"/>
          <w:color w:val="111111"/>
          <w:w w:val="105"/>
          <w:szCs w:val="20"/>
        </w:rPr>
        <w:tab/>
        <w:t>velikost javne družbe po kategorijah, kot so določene na podlag</w:t>
      </w:r>
      <w:r w:rsidR="000375E3" w:rsidRPr="00445B9C">
        <w:rPr>
          <w:rFonts w:eastAsia="Arial" w:cs="Arial"/>
          <w:color w:val="111111"/>
          <w:w w:val="105"/>
          <w:szCs w:val="20"/>
        </w:rPr>
        <w:t>i</w:t>
      </w:r>
      <w:r w:rsidR="009A3657" w:rsidRPr="00445B9C">
        <w:rPr>
          <w:rFonts w:eastAsia="Arial" w:cs="Arial"/>
          <w:color w:val="111111"/>
          <w:w w:val="105"/>
          <w:szCs w:val="20"/>
        </w:rPr>
        <w:t xml:space="preserve"> d) točke četrtega odstavka 7. člena Uredbe 2023/2859/EU;</w:t>
      </w:r>
    </w:p>
    <w:p w14:paraId="39C8178A" w14:textId="4DD10891" w:rsidR="009A3657"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9A3657" w:rsidRPr="00445B9C">
        <w:rPr>
          <w:rFonts w:eastAsia="Arial" w:cs="Arial"/>
          <w:color w:val="111111"/>
          <w:w w:val="105"/>
          <w:szCs w:val="20"/>
        </w:rPr>
        <w:tab/>
        <w:t xml:space="preserve">industrijski </w:t>
      </w:r>
      <w:r w:rsidR="007A27FB" w:rsidRPr="00445B9C">
        <w:rPr>
          <w:rFonts w:eastAsia="Arial" w:cs="Arial"/>
          <w:color w:val="111111"/>
          <w:w w:val="105"/>
          <w:szCs w:val="20"/>
        </w:rPr>
        <w:t>sektorji</w:t>
      </w:r>
      <w:r w:rsidR="009A3657" w:rsidRPr="00445B9C">
        <w:rPr>
          <w:rFonts w:eastAsia="Arial" w:cs="Arial"/>
          <w:color w:val="111111"/>
          <w:w w:val="105"/>
          <w:szCs w:val="20"/>
        </w:rPr>
        <w:t xml:space="preserve"> gospodarskih dejavnosti javne družbe, kot </w:t>
      </w:r>
      <w:r w:rsidR="00F93FE4">
        <w:rPr>
          <w:rFonts w:eastAsia="Arial" w:cs="Arial"/>
          <w:color w:val="111111"/>
          <w:w w:val="105"/>
          <w:szCs w:val="20"/>
        </w:rPr>
        <w:t>so</w:t>
      </w:r>
      <w:r w:rsidR="00F93FE4" w:rsidRPr="00445B9C">
        <w:rPr>
          <w:rFonts w:eastAsia="Arial" w:cs="Arial"/>
          <w:color w:val="111111"/>
          <w:w w:val="105"/>
          <w:szCs w:val="20"/>
        </w:rPr>
        <w:t xml:space="preserve"> </w:t>
      </w:r>
      <w:r w:rsidR="009A3657" w:rsidRPr="00445B9C">
        <w:rPr>
          <w:rFonts w:eastAsia="Arial" w:cs="Arial"/>
          <w:color w:val="111111"/>
          <w:w w:val="105"/>
          <w:szCs w:val="20"/>
        </w:rPr>
        <w:t>določen</w:t>
      </w:r>
      <w:r w:rsidR="00F93FE4">
        <w:rPr>
          <w:rFonts w:eastAsia="Arial" w:cs="Arial"/>
          <w:color w:val="111111"/>
          <w:w w:val="105"/>
          <w:szCs w:val="20"/>
        </w:rPr>
        <w:t>i</w:t>
      </w:r>
      <w:r w:rsidR="009A3657" w:rsidRPr="00445B9C">
        <w:rPr>
          <w:rFonts w:eastAsia="Arial" w:cs="Arial"/>
          <w:color w:val="111111"/>
          <w:w w:val="105"/>
          <w:szCs w:val="20"/>
        </w:rPr>
        <w:t xml:space="preserve"> na podlagi e) točke četrtega odstavka 7. člena Uredbe 2023/2859/EU;</w:t>
      </w:r>
    </w:p>
    <w:p w14:paraId="4C3BCA18" w14:textId="103F9160" w:rsidR="009A3657"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9A3657" w:rsidRPr="00445B9C">
        <w:rPr>
          <w:rFonts w:eastAsia="Arial" w:cs="Arial"/>
          <w:color w:val="111111"/>
          <w:w w:val="105"/>
          <w:szCs w:val="20"/>
        </w:rPr>
        <w:tab/>
        <w:t>vrst</w:t>
      </w:r>
      <w:r w:rsidR="00FA3277" w:rsidRPr="00445B9C">
        <w:rPr>
          <w:rFonts w:eastAsia="Arial" w:cs="Arial"/>
          <w:color w:val="111111"/>
          <w:w w:val="105"/>
          <w:szCs w:val="20"/>
        </w:rPr>
        <w:t>e</w:t>
      </w:r>
      <w:r w:rsidR="009A3657" w:rsidRPr="00445B9C">
        <w:rPr>
          <w:rFonts w:eastAsia="Arial" w:cs="Arial"/>
          <w:color w:val="111111"/>
          <w:w w:val="105"/>
          <w:szCs w:val="20"/>
        </w:rPr>
        <w:t xml:space="preserve"> informacij glede na razvrstitev na podlagi c) točke četrtega odstavka 7. člena Uredbe 2023/2859/EU; </w:t>
      </w:r>
    </w:p>
    <w:p w14:paraId="2CC4E711" w14:textId="33D40346" w:rsidR="009A3657"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9A3657" w:rsidRPr="00445B9C">
        <w:rPr>
          <w:rFonts w:eastAsia="Arial" w:cs="Arial"/>
          <w:color w:val="111111"/>
          <w:w w:val="105"/>
          <w:szCs w:val="20"/>
        </w:rPr>
        <w:tab/>
        <w:t>oznak</w:t>
      </w:r>
      <w:r w:rsidR="00FA3277" w:rsidRPr="00445B9C">
        <w:rPr>
          <w:rFonts w:eastAsia="Arial" w:cs="Arial"/>
          <w:color w:val="111111"/>
          <w:w w:val="105"/>
          <w:szCs w:val="20"/>
        </w:rPr>
        <w:t>o</w:t>
      </w:r>
      <w:r w:rsidR="009A3657" w:rsidRPr="00445B9C">
        <w:rPr>
          <w:rFonts w:eastAsia="Arial" w:cs="Arial"/>
          <w:color w:val="111111"/>
          <w:w w:val="105"/>
          <w:szCs w:val="20"/>
        </w:rPr>
        <w:t>, ali informacije vsebujejo osebne podatke.</w:t>
      </w:r>
    </w:p>
    <w:p w14:paraId="18E143AE" w14:textId="075C4F10" w:rsidR="009A3657" w:rsidRPr="00445B9C" w:rsidRDefault="009A3657"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(5) Za namene druge alineje 2. točke prejšnjega odstavka javne družbe pridobijo enolično mednarodno identifikacijsko številko (LEI</w:t>
      </w:r>
      <w:r w:rsidR="003C6E08">
        <w:rPr>
          <w:rFonts w:eastAsia="Arial" w:cs="Arial"/>
          <w:color w:val="111111"/>
          <w:w w:val="105"/>
          <w:szCs w:val="20"/>
        </w:rPr>
        <w:t>-</w:t>
      </w:r>
      <w:r w:rsidRPr="00445B9C">
        <w:rPr>
          <w:rFonts w:eastAsia="Arial" w:cs="Arial"/>
          <w:color w:val="111111"/>
          <w:w w:val="105"/>
          <w:szCs w:val="20"/>
        </w:rPr>
        <w:t xml:space="preserve">koda), kot je določena na podlagi b) točke četrtega odstavka 7. člena Uredbe 2023/2859/EU, </w:t>
      </w:r>
      <w:r w:rsidR="00FA3277" w:rsidRPr="00445B9C">
        <w:rPr>
          <w:rFonts w:eastAsia="Arial" w:cs="Arial"/>
          <w:color w:val="111111"/>
          <w:w w:val="105"/>
          <w:szCs w:val="20"/>
        </w:rPr>
        <w:t>če</w:t>
      </w:r>
      <w:r w:rsidRPr="00445B9C">
        <w:rPr>
          <w:rFonts w:eastAsia="Arial" w:cs="Arial"/>
          <w:color w:val="111111"/>
          <w:w w:val="105"/>
          <w:szCs w:val="20"/>
        </w:rPr>
        <w:t xml:space="preserve"> z njo še ne razpolagajo.«</w:t>
      </w:r>
      <w:r w:rsidR="00CF077A" w:rsidRPr="00445B9C">
        <w:rPr>
          <w:rFonts w:eastAsia="Arial" w:cs="Arial"/>
          <w:color w:val="111111"/>
          <w:w w:val="105"/>
          <w:szCs w:val="20"/>
        </w:rPr>
        <w:t>.</w:t>
      </w:r>
    </w:p>
    <w:p w14:paraId="14EE2F26" w14:textId="77777777" w:rsidR="00545AE4"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27" w:name="_Ref196734031"/>
      <w:r w:rsidRPr="00445B9C">
        <w:rPr>
          <w:rFonts w:eastAsiaTheme="majorEastAsia" w:cs="Arial"/>
          <w:b/>
          <w:szCs w:val="20"/>
        </w:rPr>
        <w:t>člen</w:t>
      </w:r>
      <w:bookmarkEnd w:id="27"/>
    </w:p>
    <w:p w14:paraId="10937C7B" w14:textId="77777777" w:rsidR="004974C8" w:rsidRPr="00445B9C" w:rsidRDefault="00545AE4"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 xml:space="preserve">V 159. členu se v prvem odstavku za prvim stavkom doda nov stavek, ki se glasi: </w:t>
      </w:r>
    </w:p>
    <w:p w14:paraId="051B2C97" w14:textId="2CB7267E" w:rsidR="004974C8" w:rsidRPr="00445B9C" w:rsidRDefault="004974C8"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»Ta sistem je organ za sprejemanje podatkov za nadzorovane informacije iz tega poglavja, k</w:t>
      </w:r>
      <w:r w:rsidR="003C6E08">
        <w:rPr>
          <w:rFonts w:eastAsia="Arial" w:cs="Arial"/>
          <w:color w:val="111111"/>
          <w:w w:val="105"/>
          <w:szCs w:val="20"/>
        </w:rPr>
        <w:t>akor</w:t>
      </w:r>
      <w:r w:rsidRPr="00445B9C">
        <w:rPr>
          <w:rFonts w:eastAsia="Arial" w:cs="Arial"/>
          <w:color w:val="111111"/>
          <w:w w:val="105"/>
          <w:szCs w:val="20"/>
        </w:rPr>
        <w:t xml:space="preserve"> je opredeljen v 2. točki 2. člena Uredbe 2023/2859/EU</w:t>
      </w:r>
      <w:r w:rsidR="00664234" w:rsidRPr="00445B9C">
        <w:rPr>
          <w:rFonts w:eastAsia="Arial" w:cs="Arial"/>
          <w:color w:val="111111"/>
          <w:w w:val="105"/>
          <w:szCs w:val="20"/>
        </w:rPr>
        <w:t>,</w:t>
      </w:r>
      <w:r w:rsidRPr="00445B9C">
        <w:rPr>
          <w:rFonts w:eastAsia="Arial" w:cs="Arial"/>
          <w:color w:val="111111"/>
          <w:w w:val="105"/>
          <w:szCs w:val="20"/>
        </w:rPr>
        <w:t xml:space="preserve"> in zagotavlja, da so informacije iz tega sistema dostopne v evropski enotni točki dostopa, vzpostavljeni na podlagi </w:t>
      </w:r>
      <w:r w:rsidR="005F4BFC" w:rsidRPr="00445B9C">
        <w:rPr>
          <w:rFonts w:eastAsiaTheme="majorEastAsia" w:cs="Arial"/>
          <w:bCs/>
          <w:szCs w:val="20"/>
        </w:rPr>
        <w:t>prvega odstavka 1. člena</w:t>
      </w:r>
      <w:r w:rsidR="005F4BFC" w:rsidRPr="00445B9C">
        <w:rPr>
          <w:rFonts w:eastAsia="Arial" w:cs="Arial"/>
          <w:color w:val="111111"/>
          <w:w w:val="105"/>
          <w:szCs w:val="20"/>
        </w:rPr>
        <w:t xml:space="preserve"> </w:t>
      </w:r>
      <w:r w:rsidRPr="00445B9C">
        <w:rPr>
          <w:rFonts w:eastAsia="Arial" w:cs="Arial"/>
          <w:color w:val="111111"/>
          <w:w w:val="105"/>
          <w:szCs w:val="20"/>
        </w:rPr>
        <w:t>Uredbe 2023/2859/EU.«</w:t>
      </w:r>
      <w:r w:rsidR="00CF077A" w:rsidRPr="00445B9C">
        <w:rPr>
          <w:rFonts w:eastAsia="Arial" w:cs="Arial"/>
          <w:color w:val="111111"/>
          <w:w w:val="105"/>
          <w:szCs w:val="20"/>
        </w:rPr>
        <w:t>.</w:t>
      </w:r>
    </w:p>
    <w:p w14:paraId="7E8A4F47" w14:textId="42ACCDF6" w:rsidR="00B610BE" w:rsidRPr="00445B9C" w:rsidRDefault="00B610BE"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 xml:space="preserve">V petem odstavku se za </w:t>
      </w:r>
      <w:r w:rsidR="002D1CCB" w:rsidRPr="00445B9C">
        <w:rPr>
          <w:rFonts w:eastAsia="Arial" w:cs="Arial"/>
          <w:color w:val="111111"/>
          <w:w w:val="105"/>
          <w:szCs w:val="20"/>
        </w:rPr>
        <w:t>kratico</w:t>
      </w:r>
      <w:r w:rsidRPr="00445B9C">
        <w:rPr>
          <w:rFonts w:eastAsia="Arial" w:cs="Arial"/>
          <w:color w:val="111111"/>
          <w:w w:val="105"/>
          <w:szCs w:val="20"/>
        </w:rPr>
        <w:t xml:space="preserve"> »ESMA« doda besedilo »na podlagi 1. člena Uredbe 2016/1437/EU«.</w:t>
      </w:r>
    </w:p>
    <w:p w14:paraId="1B10605D" w14:textId="77777777" w:rsidR="00545AE4" w:rsidRPr="00445B9C" w:rsidRDefault="00545AE4" w:rsidP="00F810E6">
      <w:pPr>
        <w:numPr>
          <w:ilvl w:val="0"/>
          <w:numId w:val="16"/>
        </w:numPr>
        <w:spacing w:before="240" w:after="240" w:line="259" w:lineRule="auto"/>
        <w:ind w:left="720"/>
        <w:jc w:val="center"/>
        <w:outlineLvl w:val="0"/>
        <w:rPr>
          <w:rFonts w:eastAsiaTheme="majorEastAsia" w:cs="Arial"/>
          <w:b/>
          <w:szCs w:val="20"/>
        </w:rPr>
      </w:pPr>
      <w:r w:rsidRPr="00445B9C">
        <w:rPr>
          <w:rFonts w:eastAsiaTheme="majorEastAsia" w:cs="Arial"/>
          <w:b/>
          <w:szCs w:val="20"/>
        </w:rPr>
        <w:t xml:space="preserve"> </w:t>
      </w:r>
      <w:bookmarkStart w:id="28" w:name="_Ref196734154"/>
      <w:r w:rsidR="00CF077A" w:rsidRPr="00445B9C">
        <w:rPr>
          <w:rFonts w:eastAsiaTheme="majorEastAsia" w:cs="Arial"/>
          <w:b/>
          <w:szCs w:val="20"/>
        </w:rPr>
        <w:t>člen</w:t>
      </w:r>
      <w:bookmarkEnd w:id="28"/>
    </w:p>
    <w:p w14:paraId="5E4D9624" w14:textId="30BF51C3" w:rsidR="00123C5A" w:rsidRPr="00445B9C" w:rsidRDefault="00123C5A"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V 1</w:t>
      </w:r>
      <w:r w:rsidR="004E2D75" w:rsidRPr="00445B9C">
        <w:rPr>
          <w:rFonts w:eastAsia="Arial" w:cs="Arial"/>
          <w:color w:val="111111"/>
          <w:w w:val="105"/>
          <w:szCs w:val="20"/>
        </w:rPr>
        <w:t>6</w:t>
      </w:r>
      <w:r w:rsidRPr="00445B9C">
        <w:rPr>
          <w:rFonts w:eastAsia="Arial" w:cs="Arial"/>
          <w:color w:val="111111"/>
          <w:w w:val="105"/>
          <w:szCs w:val="20"/>
        </w:rPr>
        <w:t>9. členu se za četrtim odstavkom doda nov</w:t>
      </w:r>
      <w:r w:rsidR="006561FB" w:rsidRPr="00445B9C">
        <w:rPr>
          <w:rFonts w:eastAsia="Arial" w:cs="Arial"/>
          <w:color w:val="111111"/>
          <w:w w:val="105"/>
          <w:szCs w:val="20"/>
        </w:rPr>
        <w:t>,</w:t>
      </w:r>
      <w:r w:rsidRPr="00445B9C">
        <w:rPr>
          <w:rFonts w:eastAsia="Arial" w:cs="Arial"/>
          <w:color w:val="111111"/>
          <w:w w:val="105"/>
          <w:szCs w:val="20"/>
        </w:rPr>
        <w:t xml:space="preserve"> peti odstavek, ki se glasi:</w:t>
      </w:r>
    </w:p>
    <w:p w14:paraId="6185D26B" w14:textId="06817A53" w:rsidR="00123C5A" w:rsidRPr="00445B9C" w:rsidRDefault="00123C5A"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 xml:space="preserve">»(5) Agencija hkrati z javno objavo informacij iz tega člena slednje </w:t>
      </w:r>
      <w:r w:rsidR="00C32B8C">
        <w:rPr>
          <w:rFonts w:eastAsia="Arial" w:cs="Arial"/>
          <w:color w:val="111111"/>
          <w:w w:val="105"/>
          <w:szCs w:val="20"/>
        </w:rPr>
        <w:t>predloži</w:t>
      </w:r>
      <w:r w:rsidR="00C32B8C" w:rsidRPr="00445B9C">
        <w:rPr>
          <w:rFonts w:eastAsia="Arial" w:cs="Arial"/>
          <w:color w:val="111111"/>
          <w:w w:val="105"/>
          <w:szCs w:val="20"/>
        </w:rPr>
        <w:t xml:space="preserve"> </w:t>
      </w:r>
      <w:r w:rsidRPr="00445B9C">
        <w:rPr>
          <w:rFonts w:eastAsia="Arial" w:cs="Arial"/>
          <w:color w:val="111111"/>
          <w:w w:val="105"/>
          <w:szCs w:val="20"/>
        </w:rPr>
        <w:t>evropski enotni točki dostopa, vzpostavljeni na podlagi Uredbe 2023/2859/EU, pri čemer zagotovi, da so informacije skladne z naslednjimi zahtevami:</w:t>
      </w:r>
    </w:p>
    <w:p w14:paraId="65E64FED" w14:textId="77777777" w:rsidR="00123C5A" w:rsidRPr="00445B9C" w:rsidRDefault="00123C5A"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 xml:space="preserve">1. so predložene v formatu, ki omogoča izvoz podatkov, kakor je opredeljen v 3. točki 2. člena Uredbe 2023/2859/EU; </w:t>
      </w:r>
    </w:p>
    <w:p w14:paraId="4F951701" w14:textId="77777777" w:rsidR="00123C5A" w:rsidRPr="00445B9C" w:rsidRDefault="00123C5A" w:rsidP="00BA786D">
      <w:pPr>
        <w:spacing w:before="240" w:after="240" w:line="259" w:lineRule="auto"/>
        <w:jc w:val="both"/>
        <w:outlineLvl w:val="0"/>
        <w:rPr>
          <w:rFonts w:eastAsia="Arial" w:cs="Arial"/>
          <w:color w:val="111111"/>
          <w:w w:val="105"/>
          <w:szCs w:val="20"/>
        </w:rPr>
      </w:pPr>
      <w:r w:rsidRPr="00445B9C">
        <w:rPr>
          <w:rFonts w:eastAsia="Arial" w:cs="Arial"/>
          <w:color w:val="111111"/>
          <w:w w:val="105"/>
          <w:szCs w:val="20"/>
        </w:rPr>
        <w:t xml:space="preserve">2. vsebujejo naslednje metapodatke: </w:t>
      </w:r>
    </w:p>
    <w:p w14:paraId="25A06E63" w14:textId="05465DE2" w:rsidR="00123C5A"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123C5A" w:rsidRPr="00445B9C">
        <w:rPr>
          <w:rFonts w:eastAsia="Arial" w:cs="Arial"/>
          <w:color w:val="111111"/>
          <w:w w:val="105"/>
          <w:szCs w:val="20"/>
        </w:rPr>
        <w:tab/>
        <w:t xml:space="preserve">vsa imena fizične ali pravne osebe, na katero se informacije nanašajo; </w:t>
      </w:r>
    </w:p>
    <w:p w14:paraId="16B78A75" w14:textId="63D7BC5C" w:rsidR="00123C5A"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123C5A" w:rsidRPr="00445B9C">
        <w:rPr>
          <w:rFonts w:eastAsia="Arial" w:cs="Arial"/>
          <w:color w:val="111111"/>
          <w:w w:val="105"/>
          <w:szCs w:val="20"/>
        </w:rPr>
        <w:tab/>
      </w:r>
      <w:r w:rsidR="005B0E0D" w:rsidRPr="00445B9C">
        <w:rPr>
          <w:rFonts w:eastAsia="Arial" w:cs="Arial"/>
          <w:color w:val="111111"/>
          <w:w w:val="105"/>
          <w:szCs w:val="20"/>
        </w:rPr>
        <w:t>če obstaja</w:t>
      </w:r>
      <w:r w:rsidR="00123C5A" w:rsidRPr="00445B9C">
        <w:rPr>
          <w:rFonts w:eastAsia="Arial" w:cs="Arial"/>
          <w:color w:val="111111"/>
          <w:w w:val="105"/>
          <w:szCs w:val="20"/>
        </w:rPr>
        <w:t>, enolično mednarodno identifikacijsko številko (LEI</w:t>
      </w:r>
      <w:r w:rsidR="00C32B8C">
        <w:rPr>
          <w:rFonts w:eastAsia="Arial" w:cs="Arial"/>
          <w:color w:val="111111"/>
          <w:w w:val="105"/>
          <w:szCs w:val="20"/>
        </w:rPr>
        <w:t>-</w:t>
      </w:r>
      <w:r w:rsidR="00123C5A" w:rsidRPr="00445B9C">
        <w:rPr>
          <w:rFonts w:eastAsia="Arial" w:cs="Arial"/>
          <w:color w:val="111111"/>
          <w:w w:val="105"/>
          <w:szCs w:val="20"/>
        </w:rPr>
        <w:t>koda), k</w:t>
      </w:r>
      <w:r w:rsidR="00C32B8C">
        <w:rPr>
          <w:rFonts w:eastAsia="Arial" w:cs="Arial"/>
          <w:color w:val="111111"/>
          <w:w w:val="105"/>
          <w:szCs w:val="20"/>
        </w:rPr>
        <w:t>akor</w:t>
      </w:r>
      <w:r w:rsidR="00123C5A" w:rsidRPr="00445B9C">
        <w:rPr>
          <w:rFonts w:eastAsia="Arial" w:cs="Arial"/>
          <w:color w:val="111111"/>
          <w:w w:val="105"/>
          <w:szCs w:val="20"/>
        </w:rPr>
        <w:t xml:space="preserve"> je določena na podlagi b) točke četrtega odstavka 7. člena Uredbe 2023/2859/EU;</w:t>
      </w:r>
    </w:p>
    <w:p w14:paraId="1A4770B7" w14:textId="3D4EA3FB" w:rsidR="00123C5A"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123C5A" w:rsidRPr="00445B9C">
        <w:rPr>
          <w:rFonts w:eastAsia="Arial" w:cs="Arial"/>
          <w:color w:val="111111"/>
          <w:w w:val="105"/>
          <w:szCs w:val="20"/>
        </w:rPr>
        <w:tab/>
        <w:t>vrst</w:t>
      </w:r>
      <w:r w:rsidR="009457BF" w:rsidRPr="00445B9C">
        <w:rPr>
          <w:rFonts w:eastAsia="Arial" w:cs="Arial"/>
          <w:color w:val="111111"/>
          <w:w w:val="105"/>
          <w:szCs w:val="20"/>
        </w:rPr>
        <w:t>o</w:t>
      </w:r>
      <w:r w:rsidR="00123C5A" w:rsidRPr="00445B9C">
        <w:rPr>
          <w:rFonts w:eastAsia="Arial" w:cs="Arial"/>
          <w:color w:val="111111"/>
          <w:w w:val="105"/>
          <w:szCs w:val="20"/>
        </w:rPr>
        <w:t xml:space="preserve"> informacij glede na razvrstitev na podlagi c) točke četrtega odstavka 7. člena Uredbe 2023/2859/EU; </w:t>
      </w:r>
    </w:p>
    <w:p w14:paraId="41BBD786" w14:textId="6905C435" w:rsidR="00123C5A" w:rsidRPr="00445B9C" w:rsidRDefault="003C6E08" w:rsidP="00BA786D">
      <w:pPr>
        <w:spacing w:before="240" w:after="240" w:line="259" w:lineRule="auto"/>
        <w:jc w:val="both"/>
        <w:outlineLvl w:val="0"/>
        <w:rPr>
          <w:rFonts w:eastAsia="Arial" w:cs="Arial"/>
          <w:color w:val="111111"/>
          <w:w w:val="105"/>
          <w:szCs w:val="20"/>
        </w:rPr>
      </w:pPr>
      <w:r>
        <w:rPr>
          <w:rFonts w:eastAsia="Arial" w:cs="Arial"/>
          <w:color w:val="111111"/>
          <w:w w:val="105"/>
          <w:szCs w:val="20"/>
        </w:rPr>
        <w:t>–</w:t>
      </w:r>
      <w:r w:rsidR="00123C5A" w:rsidRPr="00445B9C">
        <w:rPr>
          <w:rFonts w:eastAsia="Arial" w:cs="Arial"/>
          <w:color w:val="111111"/>
          <w:w w:val="105"/>
          <w:szCs w:val="20"/>
        </w:rPr>
        <w:tab/>
        <w:t>oznak</w:t>
      </w:r>
      <w:r w:rsidR="009457BF" w:rsidRPr="00445B9C">
        <w:rPr>
          <w:rFonts w:eastAsia="Arial" w:cs="Arial"/>
          <w:color w:val="111111"/>
          <w:w w:val="105"/>
          <w:szCs w:val="20"/>
        </w:rPr>
        <w:t>o</w:t>
      </w:r>
      <w:r w:rsidR="00123C5A" w:rsidRPr="00445B9C">
        <w:rPr>
          <w:rFonts w:eastAsia="Arial" w:cs="Arial"/>
          <w:color w:val="111111"/>
          <w:w w:val="105"/>
          <w:szCs w:val="20"/>
        </w:rPr>
        <w:t>, ali informacije vsebujejo osebne podatke.«</w:t>
      </w:r>
      <w:r w:rsidR="00CF077A" w:rsidRPr="00445B9C">
        <w:rPr>
          <w:rFonts w:eastAsia="Arial" w:cs="Arial"/>
          <w:color w:val="111111"/>
          <w:w w:val="105"/>
          <w:szCs w:val="20"/>
        </w:rPr>
        <w:t>.</w:t>
      </w:r>
    </w:p>
    <w:p w14:paraId="493A38D5" w14:textId="4EB362AA" w:rsidR="00352FDD" w:rsidRPr="00445B9C" w:rsidRDefault="00352FDD" w:rsidP="00DA1177">
      <w:pPr>
        <w:numPr>
          <w:ilvl w:val="0"/>
          <w:numId w:val="16"/>
        </w:numPr>
        <w:spacing w:before="240" w:after="240" w:line="259" w:lineRule="auto"/>
        <w:ind w:left="720"/>
        <w:jc w:val="center"/>
        <w:outlineLvl w:val="0"/>
        <w:rPr>
          <w:rFonts w:eastAsiaTheme="majorEastAsia" w:cs="Arial"/>
          <w:b/>
          <w:szCs w:val="20"/>
        </w:rPr>
      </w:pPr>
      <w:bookmarkStart w:id="29" w:name="_Ref196825350"/>
      <w:r w:rsidRPr="00445B9C">
        <w:rPr>
          <w:rFonts w:eastAsiaTheme="majorEastAsia" w:cs="Arial"/>
          <w:b/>
          <w:szCs w:val="20"/>
        </w:rPr>
        <w:t>člen</w:t>
      </w:r>
      <w:bookmarkEnd w:id="29"/>
    </w:p>
    <w:p w14:paraId="70753C38" w14:textId="1CBFB5F5" w:rsidR="00352FDD" w:rsidRPr="00445B9C" w:rsidRDefault="00684A25" w:rsidP="00352FDD">
      <w:pPr>
        <w:spacing w:before="240" w:after="240" w:line="259" w:lineRule="auto"/>
        <w:jc w:val="both"/>
        <w:outlineLvl w:val="0"/>
        <w:rPr>
          <w:rFonts w:eastAsiaTheme="majorEastAsia" w:cs="Arial"/>
          <w:bCs/>
          <w:szCs w:val="20"/>
        </w:rPr>
      </w:pPr>
      <w:r w:rsidRPr="00684A25">
        <w:rPr>
          <w:rFonts w:eastAsiaTheme="majorEastAsia" w:cs="Arial"/>
          <w:bCs/>
          <w:szCs w:val="20"/>
        </w:rPr>
        <w:t>V 195. členu se v prvem odstavku v 2. točka spremeni tako, da se glasi:»2. banke in kreditne družbe, ki pridobijo dovoljenje za opravljanje investicijskih storitev in poslov v skladu z ZBan-3.«.</w:t>
      </w:r>
    </w:p>
    <w:p w14:paraId="6096EE00" w14:textId="227862D5" w:rsidR="00352FDD" w:rsidRPr="00445B9C" w:rsidRDefault="00352FDD" w:rsidP="00352FDD">
      <w:pPr>
        <w:spacing w:before="240" w:after="240" w:line="259" w:lineRule="auto"/>
        <w:jc w:val="both"/>
        <w:outlineLvl w:val="0"/>
        <w:rPr>
          <w:rFonts w:eastAsiaTheme="majorEastAsia" w:cs="Arial"/>
          <w:bCs/>
          <w:szCs w:val="20"/>
        </w:rPr>
      </w:pPr>
      <w:r w:rsidRPr="00445B9C">
        <w:rPr>
          <w:rFonts w:eastAsiaTheme="majorEastAsia" w:cs="Arial"/>
          <w:bCs/>
          <w:szCs w:val="20"/>
        </w:rPr>
        <w:lastRenderedPageBreak/>
        <w:t xml:space="preserve">V drugem odstavku se besedilo »borznoposredniško družbo oziroma banko« </w:t>
      </w:r>
      <w:r w:rsidR="00136415" w:rsidRPr="00445B9C">
        <w:rPr>
          <w:rFonts w:eastAsiaTheme="majorEastAsia" w:cs="Arial"/>
          <w:bCs/>
          <w:szCs w:val="20"/>
        </w:rPr>
        <w:t xml:space="preserve">v obeh sklonih </w:t>
      </w:r>
      <w:r w:rsidRPr="00445B9C">
        <w:rPr>
          <w:rFonts w:eastAsiaTheme="majorEastAsia" w:cs="Arial"/>
          <w:bCs/>
          <w:szCs w:val="20"/>
        </w:rPr>
        <w:t xml:space="preserve">nadomesti z besedilom »borznoposredniško družbo, banko oziroma kreditno družbo« </w:t>
      </w:r>
      <w:r w:rsidR="00136415" w:rsidRPr="00445B9C">
        <w:rPr>
          <w:rFonts w:eastAsiaTheme="majorEastAsia" w:cs="Arial"/>
          <w:bCs/>
          <w:szCs w:val="20"/>
        </w:rPr>
        <w:t>v ustreznem sklonu</w:t>
      </w:r>
      <w:r w:rsidRPr="00445B9C">
        <w:rPr>
          <w:rFonts w:eastAsiaTheme="majorEastAsia" w:cs="Arial"/>
          <w:bCs/>
          <w:szCs w:val="20"/>
        </w:rPr>
        <w:t>.</w:t>
      </w:r>
    </w:p>
    <w:p w14:paraId="5E480E9D"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0" w:name="_Ref196734293"/>
      <w:r w:rsidRPr="00445B9C">
        <w:rPr>
          <w:rFonts w:eastAsiaTheme="majorEastAsia" w:cs="Arial"/>
          <w:b/>
          <w:szCs w:val="20"/>
        </w:rPr>
        <w:t>člen</w:t>
      </w:r>
      <w:bookmarkEnd w:id="30"/>
    </w:p>
    <w:p w14:paraId="0D657C33" w14:textId="7D39886C" w:rsidR="00567BE0" w:rsidRPr="00445B9C" w:rsidRDefault="00BC5017" w:rsidP="00BA786D">
      <w:pPr>
        <w:spacing w:before="240" w:after="240" w:line="259" w:lineRule="auto"/>
        <w:jc w:val="both"/>
        <w:outlineLvl w:val="0"/>
        <w:rPr>
          <w:rFonts w:eastAsiaTheme="majorEastAsia" w:cs="Arial"/>
          <w:bCs/>
          <w:szCs w:val="20"/>
        </w:rPr>
      </w:pPr>
      <w:r w:rsidRPr="00445B9C">
        <w:rPr>
          <w:rFonts w:eastAsiaTheme="majorEastAsia" w:cs="Arial"/>
          <w:bCs/>
          <w:szCs w:val="20"/>
        </w:rPr>
        <w:t>229. člen se spremeni tako, da se glasi:</w:t>
      </w:r>
    </w:p>
    <w:p w14:paraId="095A57DE" w14:textId="77777777" w:rsidR="00293E8F" w:rsidRPr="00445B9C" w:rsidRDefault="00BC5017" w:rsidP="0011388A">
      <w:pPr>
        <w:spacing w:before="240" w:after="240" w:line="259" w:lineRule="auto"/>
        <w:jc w:val="center"/>
        <w:outlineLvl w:val="0"/>
        <w:rPr>
          <w:rFonts w:eastAsiaTheme="majorEastAsia" w:cs="Arial"/>
          <w:bCs/>
          <w:szCs w:val="20"/>
        </w:rPr>
      </w:pPr>
      <w:r w:rsidRPr="00445B9C">
        <w:rPr>
          <w:rFonts w:eastAsiaTheme="majorEastAsia" w:cs="Arial"/>
          <w:bCs/>
          <w:szCs w:val="20"/>
        </w:rPr>
        <w:t>»</w:t>
      </w:r>
      <w:r w:rsidR="00293E8F" w:rsidRPr="00445B9C">
        <w:rPr>
          <w:rFonts w:eastAsiaTheme="majorEastAsia" w:cs="Arial"/>
          <w:bCs/>
          <w:szCs w:val="20"/>
        </w:rPr>
        <w:t>229. člen</w:t>
      </w:r>
    </w:p>
    <w:p w14:paraId="69E9A0FC" w14:textId="7F5B70A4" w:rsidR="00BC5017" w:rsidRPr="00445B9C" w:rsidRDefault="00BC5017" w:rsidP="0011388A">
      <w:pPr>
        <w:spacing w:before="240" w:after="240" w:line="259" w:lineRule="auto"/>
        <w:jc w:val="center"/>
        <w:outlineLvl w:val="0"/>
        <w:rPr>
          <w:rFonts w:eastAsiaTheme="majorEastAsia" w:cs="Arial"/>
          <w:bCs/>
          <w:szCs w:val="20"/>
        </w:rPr>
      </w:pPr>
      <w:r w:rsidRPr="00445B9C">
        <w:rPr>
          <w:rFonts w:eastAsiaTheme="majorEastAsia" w:cs="Arial"/>
          <w:bCs/>
          <w:szCs w:val="20"/>
        </w:rPr>
        <w:t>(</w:t>
      </w:r>
      <w:r w:rsidR="009457BF" w:rsidRPr="00445B9C">
        <w:rPr>
          <w:rFonts w:eastAsiaTheme="majorEastAsia" w:cs="Arial"/>
          <w:bCs/>
          <w:szCs w:val="20"/>
        </w:rPr>
        <w:t>posebna</w:t>
      </w:r>
      <w:r w:rsidRPr="00445B9C">
        <w:rPr>
          <w:rFonts w:eastAsiaTheme="majorEastAsia" w:cs="Arial"/>
          <w:bCs/>
          <w:szCs w:val="20"/>
        </w:rPr>
        <w:t xml:space="preserve"> pravila revidiranja borznoposredniških družb)</w:t>
      </w:r>
    </w:p>
    <w:p w14:paraId="42D1CC5F" w14:textId="3DB754D2" w:rsidR="00BC5017" w:rsidRPr="00445B9C" w:rsidRDefault="00BC5017"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Borznoposredniška družba, ki ni subjekt javnega interesa po zakonu, ki ureja gospodarske družbe, </w:t>
      </w:r>
      <w:r w:rsidR="009457BF" w:rsidRPr="00445B9C">
        <w:rPr>
          <w:rFonts w:eastAsiaTheme="majorEastAsia" w:cs="Arial"/>
          <w:bCs/>
          <w:szCs w:val="20"/>
        </w:rPr>
        <w:t xml:space="preserve">za </w:t>
      </w:r>
      <w:r w:rsidRPr="00445B9C">
        <w:rPr>
          <w:rFonts w:eastAsiaTheme="majorEastAsia" w:cs="Arial"/>
          <w:bCs/>
          <w:szCs w:val="20"/>
        </w:rPr>
        <w:t xml:space="preserve">revizijo računovodskih izkazov in dajanje zagotovil o trajnostnosti </w:t>
      </w:r>
      <w:r w:rsidR="009457BF" w:rsidRPr="00445B9C">
        <w:rPr>
          <w:rFonts w:eastAsiaTheme="majorEastAsia" w:cs="Arial"/>
          <w:bCs/>
          <w:szCs w:val="20"/>
        </w:rPr>
        <w:t xml:space="preserve">imenuje </w:t>
      </w:r>
      <w:r w:rsidRPr="00445B9C">
        <w:rPr>
          <w:rFonts w:eastAsiaTheme="majorEastAsia" w:cs="Arial"/>
          <w:bCs/>
          <w:szCs w:val="20"/>
        </w:rPr>
        <w:t>revizijsko družbo za obdobje, ki ne sme biti krajše od treh poslovnih let. Revizijo računovodskih izkazov in dajanje zagotovil o trajnostnosti borznoposredniške družbe, ki ni subjekt javnega interesa po zakonu, ki ureja gospodarske družbe, lahko opravlja posamezna revizijska družba neprekinjeno za največ deset poslovnih let s prekinitvijo za obdobje najmanj naslednjih štirih poslovnih let.«.</w:t>
      </w:r>
    </w:p>
    <w:p w14:paraId="059A36C7"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1" w:name="_Ref196734313"/>
      <w:r w:rsidRPr="00445B9C">
        <w:rPr>
          <w:rFonts w:eastAsiaTheme="majorEastAsia" w:cs="Arial"/>
          <w:b/>
          <w:szCs w:val="20"/>
        </w:rPr>
        <w:t>člen</w:t>
      </w:r>
      <w:bookmarkEnd w:id="31"/>
    </w:p>
    <w:p w14:paraId="5072EF16" w14:textId="1086DB21" w:rsidR="000461B9" w:rsidRPr="00445B9C" w:rsidRDefault="000461B9"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234. členu se </w:t>
      </w:r>
      <w:r w:rsidR="006A3FA1" w:rsidRPr="00445B9C">
        <w:rPr>
          <w:rFonts w:eastAsiaTheme="majorEastAsia" w:cs="Arial"/>
          <w:bCs/>
          <w:szCs w:val="20"/>
        </w:rPr>
        <w:t xml:space="preserve">v </w:t>
      </w:r>
      <w:r w:rsidRPr="00445B9C">
        <w:rPr>
          <w:rFonts w:eastAsiaTheme="majorEastAsia" w:cs="Arial"/>
          <w:bCs/>
          <w:szCs w:val="20"/>
        </w:rPr>
        <w:t>drug</w:t>
      </w:r>
      <w:r w:rsidR="006A3FA1" w:rsidRPr="00445B9C">
        <w:rPr>
          <w:rFonts w:eastAsiaTheme="majorEastAsia" w:cs="Arial"/>
          <w:bCs/>
          <w:szCs w:val="20"/>
        </w:rPr>
        <w:t>em</w:t>
      </w:r>
      <w:r w:rsidRPr="00445B9C">
        <w:rPr>
          <w:rFonts w:eastAsiaTheme="majorEastAsia" w:cs="Arial"/>
          <w:bCs/>
          <w:szCs w:val="20"/>
        </w:rPr>
        <w:t xml:space="preserve"> odstavk</w:t>
      </w:r>
      <w:r w:rsidR="006A3FA1" w:rsidRPr="00445B9C">
        <w:rPr>
          <w:rFonts w:eastAsiaTheme="majorEastAsia" w:cs="Arial"/>
          <w:bCs/>
          <w:szCs w:val="20"/>
        </w:rPr>
        <w:t>u</w:t>
      </w:r>
      <w:r w:rsidRPr="00445B9C">
        <w:rPr>
          <w:rFonts w:eastAsiaTheme="majorEastAsia" w:cs="Arial"/>
          <w:bCs/>
          <w:szCs w:val="20"/>
        </w:rPr>
        <w:t xml:space="preserve"> </w:t>
      </w:r>
      <w:r w:rsidR="00A96364" w:rsidRPr="00445B9C">
        <w:rPr>
          <w:rFonts w:eastAsiaTheme="majorEastAsia" w:cs="Arial"/>
          <w:bCs/>
          <w:szCs w:val="20"/>
        </w:rPr>
        <w:t>za</w:t>
      </w:r>
      <w:r w:rsidR="00684A25">
        <w:rPr>
          <w:rFonts w:eastAsiaTheme="majorEastAsia" w:cs="Arial"/>
          <w:bCs/>
          <w:szCs w:val="20"/>
        </w:rPr>
        <w:t xml:space="preserve"> vejico za</w:t>
      </w:r>
      <w:r w:rsidR="00A96364" w:rsidRPr="00445B9C">
        <w:rPr>
          <w:rFonts w:eastAsiaTheme="majorEastAsia" w:cs="Arial"/>
          <w:bCs/>
          <w:szCs w:val="20"/>
        </w:rPr>
        <w:t xml:space="preserve"> besedilom »ustrezne sisteme« doda</w:t>
      </w:r>
      <w:r w:rsidR="006A3FA1" w:rsidRPr="00445B9C">
        <w:rPr>
          <w:rFonts w:eastAsiaTheme="majorEastAsia" w:cs="Arial"/>
          <w:bCs/>
          <w:szCs w:val="20"/>
        </w:rPr>
        <w:t xml:space="preserve"> </w:t>
      </w:r>
      <w:r w:rsidR="00A96364" w:rsidRPr="00445B9C">
        <w:rPr>
          <w:rFonts w:eastAsiaTheme="majorEastAsia" w:cs="Arial"/>
          <w:bCs/>
          <w:szCs w:val="20"/>
        </w:rPr>
        <w:t>besedilo »vključno s sistemi informacijske in komunikacijske tehnologije (</w:t>
      </w:r>
      <w:r w:rsidR="0022324C" w:rsidRPr="00445B9C">
        <w:rPr>
          <w:rFonts w:eastAsiaTheme="majorEastAsia" w:cs="Arial"/>
          <w:bCs/>
          <w:szCs w:val="20"/>
        </w:rPr>
        <w:t xml:space="preserve">v nadaljnjem besedilu: </w:t>
      </w:r>
      <w:r w:rsidR="00A96364" w:rsidRPr="00445B9C">
        <w:rPr>
          <w:rFonts w:eastAsiaTheme="majorEastAsia" w:cs="Arial"/>
          <w:bCs/>
          <w:szCs w:val="20"/>
        </w:rPr>
        <w:t>IKT), ki se vzpostavijo in upravljajo v skladu s 7. členom Uredbe 2022/2554/EU</w:t>
      </w:r>
      <w:r w:rsidR="00684A25">
        <w:rPr>
          <w:rFonts w:eastAsiaTheme="majorEastAsia" w:cs="Arial"/>
          <w:bCs/>
          <w:szCs w:val="20"/>
        </w:rPr>
        <w:t>,</w:t>
      </w:r>
      <w:r w:rsidR="00A96364" w:rsidRPr="00445B9C">
        <w:rPr>
          <w:rFonts w:eastAsiaTheme="majorEastAsia" w:cs="Arial"/>
          <w:bCs/>
          <w:szCs w:val="20"/>
        </w:rPr>
        <w:t xml:space="preserve"> ter ustrezne«.</w:t>
      </w:r>
    </w:p>
    <w:p w14:paraId="644B0352"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2" w:name="_Ref196734335"/>
      <w:bookmarkStart w:id="33" w:name="_Hlk117773676"/>
      <w:r w:rsidRPr="00445B9C">
        <w:rPr>
          <w:rFonts w:eastAsiaTheme="majorEastAsia" w:cs="Arial"/>
          <w:b/>
          <w:szCs w:val="20"/>
        </w:rPr>
        <w:t>člen</w:t>
      </w:r>
      <w:bookmarkEnd w:id="32"/>
    </w:p>
    <w:p w14:paraId="2CCB42F2" w14:textId="77777777" w:rsidR="00DA54AA" w:rsidRPr="00445B9C" w:rsidRDefault="00DA54AA"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236. členu se </w:t>
      </w:r>
      <w:r w:rsidR="00F47BB7" w:rsidRPr="00445B9C">
        <w:rPr>
          <w:rFonts w:eastAsiaTheme="majorEastAsia" w:cs="Arial"/>
          <w:bCs/>
          <w:szCs w:val="20"/>
        </w:rPr>
        <w:t>v prvem odstavku</w:t>
      </w:r>
      <w:r w:rsidRPr="00445B9C">
        <w:rPr>
          <w:rFonts w:eastAsiaTheme="majorEastAsia" w:cs="Arial"/>
          <w:bCs/>
          <w:szCs w:val="20"/>
        </w:rPr>
        <w:t xml:space="preserve"> črta 3. točka.</w:t>
      </w:r>
    </w:p>
    <w:p w14:paraId="0CD415CF" w14:textId="42826633" w:rsidR="00DA54AA" w:rsidRPr="00445B9C" w:rsidRDefault="006A3FA1"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d</w:t>
      </w:r>
      <w:r w:rsidR="00DA54AA" w:rsidRPr="00445B9C">
        <w:rPr>
          <w:rFonts w:eastAsiaTheme="majorEastAsia" w:cs="Arial"/>
          <w:bCs/>
          <w:szCs w:val="20"/>
        </w:rPr>
        <w:t>rug</w:t>
      </w:r>
      <w:r w:rsidRPr="00445B9C">
        <w:rPr>
          <w:rFonts w:eastAsiaTheme="majorEastAsia" w:cs="Arial"/>
          <w:bCs/>
          <w:szCs w:val="20"/>
        </w:rPr>
        <w:t>em</w:t>
      </w:r>
      <w:r w:rsidR="00DA54AA" w:rsidRPr="00445B9C">
        <w:rPr>
          <w:rFonts w:eastAsiaTheme="majorEastAsia" w:cs="Arial"/>
          <w:bCs/>
          <w:szCs w:val="20"/>
        </w:rPr>
        <w:t xml:space="preserve"> odstavk</w:t>
      </w:r>
      <w:r w:rsidRPr="00445B9C">
        <w:rPr>
          <w:rFonts w:eastAsiaTheme="majorEastAsia" w:cs="Arial"/>
          <w:bCs/>
          <w:szCs w:val="20"/>
        </w:rPr>
        <w:t>u</w:t>
      </w:r>
      <w:r w:rsidR="00DA54AA" w:rsidRPr="00445B9C">
        <w:rPr>
          <w:rFonts w:eastAsiaTheme="majorEastAsia" w:cs="Arial"/>
          <w:bCs/>
          <w:szCs w:val="20"/>
        </w:rPr>
        <w:t xml:space="preserve"> se za besedo »</w:t>
      </w:r>
      <w:r w:rsidR="00A160F0" w:rsidRPr="00445B9C">
        <w:rPr>
          <w:rFonts w:eastAsiaTheme="majorEastAsia" w:cs="Arial"/>
          <w:bCs/>
          <w:szCs w:val="20"/>
        </w:rPr>
        <w:t>ki</w:t>
      </w:r>
      <w:r w:rsidR="00DA54AA" w:rsidRPr="00445B9C">
        <w:rPr>
          <w:rFonts w:eastAsiaTheme="majorEastAsia" w:cs="Arial"/>
          <w:bCs/>
          <w:szCs w:val="20"/>
        </w:rPr>
        <w:t>« doda besedilo »v skladu z zahtevami iz Uredbe 2022/2554/EU«.</w:t>
      </w:r>
    </w:p>
    <w:p w14:paraId="3F555C26"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4" w:name="_Ref196734397"/>
      <w:r w:rsidRPr="00445B9C">
        <w:rPr>
          <w:rFonts w:eastAsiaTheme="majorEastAsia" w:cs="Arial"/>
          <w:b/>
          <w:szCs w:val="20"/>
        </w:rPr>
        <w:t>člen</w:t>
      </w:r>
      <w:bookmarkEnd w:id="34"/>
    </w:p>
    <w:p w14:paraId="48BCEF40" w14:textId="77777777" w:rsidR="00D35758" w:rsidRPr="00445B9C" w:rsidRDefault="00D35758"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242. členu se prvi odstavek spremeni tako, da se glasi:</w:t>
      </w:r>
    </w:p>
    <w:p w14:paraId="1333551A" w14:textId="4905EDFD" w:rsidR="00D35758" w:rsidRPr="00445B9C" w:rsidRDefault="00D35758" w:rsidP="00BA786D">
      <w:pPr>
        <w:spacing w:before="240" w:after="240" w:line="259" w:lineRule="auto"/>
        <w:jc w:val="both"/>
        <w:outlineLvl w:val="0"/>
        <w:rPr>
          <w:rFonts w:eastAsiaTheme="majorEastAsia" w:cs="Arial"/>
          <w:bCs/>
          <w:szCs w:val="20"/>
        </w:rPr>
      </w:pPr>
      <w:r w:rsidRPr="00445B9C">
        <w:rPr>
          <w:rFonts w:eastAsiaTheme="majorEastAsia" w:cs="Arial"/>
          <w:bCs/>
          <w:szCs w:val="20"/>
        </w:rPr>
        <w:t>»(1) Borznoposredniška družba</w:t>
      </w:r>
      <w:r w:rsidR="007533BD" w:rsidRPr="00445B9C">
        <w:rPr>
          <w:rFonts w:eastAsiaTheme="majorEastAsia" w:cs="Arial"/>
          <w:bCs/>
          <w:szCs w:val="20"/>
        </w:rPr>
        <w:t xml:space="preserve">, ki uporablja algoritemsko trgovanje, ima učinkovite sisteme in nadzor tveganj, ki so primerni njenim dejavnostim in zagotavljajo, da so njeni trgovalni sistemi odporni in dovolj zmogljivi v skladu z zahtevami iz II. poglavja Uredbe 2022/2554/EU, imajo ustrezne trgovalne pragove in omejitve ter preprečujejo pošiljanje napačnih naročil in onemogočajo delovanje, ki bi lahko škodilo ali škodi trgom. Z njimi se zagotavlja, da se trgovalni sistemi borznoposredniške družbe ne uporabljajo na način, ki ni </w:t>
      </w:r>
      <w:r w:rsidR="00532220">
        <w:rPr>
          <w:rFonts w:eastAsiaTheme="majorEastAsia" w:cs="Arial"/>
          <w:bCs/>
          <w:szCs w:val="20"/>
        </w:rPr>
        <w:t xml:space="preserve">v </w:t>
      </w:r>
      <w:r w:rsidR="007533BD" w:rsidRPr="00445B9C">
        <w:rPr>
          <w:rFonts w:eastAsiaTheme="majorEastAsia" w:cs="Arial"/>
          <w:bCs/>
          <w:szCs w:val="20"/>
        </w:rPr>
        <w:t>sklad</w:t>
      </w:r>
      <w:r w:rsidR="00532220">
        <w:rPr>
          <w:rFonts w:eastAsiaTheme="majorEastAsia" w:cs="Arial"/>
          <w:bCs/>
          <w:szCs w:val="20"/>
        </w:rPr>
        <w:t>u</w:t>
      </w:r>
      <w:r w:rsidR="007533BD" w:rsidRPr="00445B9C">
        <w:rPr>
          <w:rFonts w:eastAsiaTheme="majorEastAsia" w:cs="Arial"/>
          <w:bCs/>
          <w:szCs w:val="20"/>
        </w:rPr>
        <w:t xml:space="preserve"> z Uredbo 2022/2554/EU ali pravili mesta trgovanja</w:t>
      </w:r>
      <w:r w:rsidR="009003ED" w:rsidRPr="00445B9C">
        <w:rPr>
          <w:rFonts w:eastAsiaTheme="majorEastAsia" w:cs="Arial"/>
          <w:bCs/>
          <w:szCs w:val="20"/>
        </w:rPr>
        <w:t>,</w:t>
      </w:r>
      <w:r w:rsidR="007533BD" w:rsidRPr="00445B9C">
        <w:rPr>
          <w:rFonts w:eastAsiaTheme="majorEastAsia" w:cs="Arial"/>
          <w:bCs/>
          <w:szCs w:val="20"/>
        </w:rPr>
        <w:t xml:space="preserve"> s katerim je trgovalni sistem povezan. Borznoposredniška družba ima učinkovit sistem neprekinjenega poslovanja, ki zagotavlja nemoteno delovanje v primeru odpovedi trgovalnega sistema, vključno s politiko in načrti neprekinjenega poslovanja na področju IKT </w:t>
      </w:r>
      <w:r w:rsidR="009003ED" w:rsidRPr="00445B9C">
        <w:rPr>
          <w:rFonts w:eastAsiaTheme="majorEastAsia" w:cs="Arial"/>
          <w:bCs/>
          <w:szCs w:val="20"/>
        </w:rPr>
        <w:t xml:space="preserve">ter </w:t>
      </w:r>
      <w:r w:rsidR="007533BD" w:rsidRPr="00445B9C">
        <w:rPr>
          <w:rFonts w:eastAsiaTheme="majorEastAsia" w:cs="Arial"/>
          <w:bCs/>
          <w:szCs w:val="20"/>
        </w:rPr>
        <w:t>načrti odzivanja in okrevanja IKT, vzpostavljenimi v skladu z 11. členom Uredbe 2022/2554/EU. Trgovaln</w:t>
      </w:r>
      <w:r w:rsidR="00532220">
        <w:rPr>
          <w:rFonts w:eastAsiaTheme="majorEastAsia" w:cs="Arial"/>
          <w:bCs/>
          <w:szCs w:val="20"/>
        </w:rPr>
        <w:t>i</w:t>
      </w:r>
      <w:r w:rsidR="007533BD" w:rsidRPr="00445B9C">
        <w:rPr>
          <w:rFonts w:eastAsiaTheme="majorEastAsia" w:cs="Arial"/>
          <w:bCs/>
          <w:szCs w:val="20"/>
        </w:rPr>
        <w:t xml:space="preserve"> sistem</w:t>
      </w:r>
      <w:r w:rsidR="00532220">
        <w:rPr>
          <w:rFonts w:eastAsiaTheme="majorEastAsia" w:cs="Arial"/>
          <w:bCs/>
          <w:szCs w:val="20"/>
        </w:rPr>
        <w:t>i</w:t>
      </w:r>
      <w:r w:rsidR="007533BD" w:rsidRPr="00445B9C">
        <w:rPr>
          <w:rFonts w:eastAsiaTheme="majorEastAsia" w:cs="Arial"/>
          <w:bCs/>
          <w:szCs w:val="20"/>
        </w:rPr>
        <w:t xml:space="preserve"> se redno testira</w:t>
      </w:r>
      <w:r w:rsidR="00532220">
        <w:rPr>
          <w:rFonts w:eastAsiaTheme="majorEastAsia" w:cs="Arial"/>
          <w:bCs/>
          <w:szCs w:val="20"/>
        </w:rPr>
        <w:t>jo</w:t>
      </w:r>
      <w:r w:rsidR="007533BD" w:rsidRPr="00445B9C">
        <w:rPr>
          <w:rFonts w:eastAsiaTheme="majorEastAsia" w:cs="Arial"/>
          <w:bCs/>
          <w:szCs w:val="20"/>
        </w:rPr>
        <w:t xml:space="preserve"> in nadzoruje</w:t>
      </w:r>
      <w:r w:rsidR="00532220">
        <w:rPr>
          <w:rFonts w:eastAsiaTheme="majorEastAsia" w:cs="Arial"/>
          <w:bCs/>
          <w:szCs w:val="20"/>
        </w:rPr>
        <w:t>jo</w:t>
      </w:r>
      <w:r w:rsidR="007533BD" w:rsidRPr="00445B9C">
        <w:rPr>
          <w:rFonts w:eastAsiaTheme="majorEastAsia" w:cs="Arial"/>
          <w:bCs/>
          <w:szCs w:val="20"/>
        </w:rPr>
        <w:t>, da ustrezajo zahtevam iz tega zakona in zahtevam iz II. in IV. poglavja Uredbe 2022/2554/EU.«.</w:t>
      </w:r>
    </w:p>
    <w:p w14:paraId="33547AAC"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5" w:name="_Ref196734410"/>
      <w:r w:rsidRPr="00445B9C">
        <w:rPr>
          <w:rFonts w:eastAsiaTheme="majorEastAsia" w:cs="Arial"/>
          <w:b/>
          <w:szCs w:val="20"/>
        </w:rPr>
        <w:t>člen</w:t>
      </w:r>
      <w:bookmarkEnd w:id="35"/>
    </w:p>
    <w:p w14:paraId="4AF2E31D" w14:textId="77777777" w:rsidR="0032688E" w:rsidRPr="00445B9C" w:rsidRDefault="00500E5B"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267. členu se črtata šesti in sedmi odstavek</w:t>
      </w:r>
      <w:r w:rsidR="0032688E" w:rsidRPr="00445B9C">
        <w:rPr>
          <w:rFonts w:eastAsiaTheme="majorEastAsia" w:cs="Arial"/>
          <w:bCs/>
          <w:szCs w:val="20"/>
        </w:rPr>
        <w:t>.</w:t>
      </w:r>
      <w:r w:rsidRPr="00445B9C">
        <w:rPr>
          <w:rFonts w:eastAsiaTheme="majorEastAsia" w:cs="Arial"/>
          <w:bCs/>
          <w:szCs w:val="20"/>
        </w:rPr>
        <w:t xml:space="preserve"> </w:t>
      </w:r>
    </w:p>
    <w:p w14:paraId="62FFA613" w14:textId="1A93C8F5" w:rsidR="00500E5B" w:rsidRPr="00445B9C" w:rsidRDefault="009003ED"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o</w:t>
      </w:r>
      <w:r w:rsidR="00500E5B" w:rsidRPr="00445B9C">
        <w:rPr>
          <w:rFonts w:eastAsiaTheme="majorEastAsia" w:cs="Arial"/>
          <w:bCs/>
          <w:szCs w:val="20"/>
        </w:rPr>
        <w:t>sm</w:t>
      </w:r>
      <w:r w:rsidRPr="00445B9C">
        <w:rPr>
          <w:rFonts w:eastAsiaTheme="majorEastAsia" w:cs="Arial"/>
          <w:bCs/>
          <w:szCs w:val="20"/>
        </w:rPr>
        <w:t>em</w:t>
      </w:r>
      <w:r w:rsidR="00500E5B" w:rsidRPr="00445B9C">
        <w:rPr>
          <w:rFonts w:eastAsiaTheme="majorEastAsia" w:cs="Arial"/>
          <w:bCs/>
          <w:szCs w:val="20"/>
        </w:rPr>
        <w:t xml:space="preserve"> odstavk</w:t>
      </w:r>
      <w:r w:rsidRPr="00445B9C">
        <w:rPr>
          <w:rFonts w:eastAsiaTheme="majorEastAsia" w:cs="Arial"/>
          <w:bCs/>
          <w:szCs w:val="20"/>
        </w:rPr>
        <w:t>u</w:t>
      </w:r>
      <w:r w:rsidR="00500E5B" w:rsidRPr="00445B9C">
        <w:rPr>
          <w:rFonts w:eastAsiaTheme="majorEastAsia" w:cs="Arial"/>
          <w:bCs/>
          <w:szCs w:val="20"/>
        </w:rPr>
        <w:t xml:space="preserve"> se </w:t>
      </w:r>
      <w:r w:rsidR="00376B76" w:rsidRPr="00445B9C">
        <w:rPr>
          <w:rFonts w:eastAsiaTheme="majorEastAsia" w:cs="Arial"/>
          <w:bCs/>
          <w:szCs w:val="20"/>
        </w:rPr>
        <w:t>za besed</w:t>
      </w:r>
      <w:r w:rsidRPr="00445B9C">
        <w:rPr>
          <w:rFonts w:eastAsiaTheme="majorEastAsia" w:cs="Arial"/>
          <w:bCs/>
          <w:szCs w:val="20"/>
        </w:rPr>
        <w:t>ilom</w:t>
      </w:r>
      <w:r w:rsidR="00376B76" w:rsidRPr="00445B9C">
        <w:rPr>
          <w:rFonts w:eastAsiaTheme="majorEastAsia" w:cs="Arial"/>
          <w:bCs/>
          <w:szCs w:val="20"/>
        </w:rPr>
        <w:t xml:space="preserve"> »za stranko« doda besedilo »s finančnim instrumentom, za katerega velja obveznost trgovanja iz 23. in 28. člena Uredbe (EU) št. 600/2014,«.</w:t>
      </w:r>
    </w:p>
    <w:p w14:paraId="04931F3E"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6" w:name="_Ref196734445"/>
      <w:bookmarkEnd w:id="33"/>
      <w:r w:rsidRPr="00445B9C">
        <w:rPr>
          <w:rFonts w:eastAsiaTheme="majorEastAsia" w:cs="Arial"/>
          <w:b/>
          <w:szCs w:val="20"/>
        </w:rPr>
        <w:lastRenderedPageBreak/>
        <w:t>člen</w:t>
      </w:r>
      <w:bookmarkEnd w:id="36"/>
    </w:p>
    <w:p w14:paraId="1B223610" w14:textId="77777777" w:rsidR="001A5966" w:rsidRPr="00445B9C" w:rsidRDefault="000927E5"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269. členu se črta četrti odstavek.</w:t>
      </w:r>
    </w:p>
    <w:p w14:paraId="0A80C18F" w14:textId="77777777"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7" w:name="_Ref196734480"/>
      <w:r w:rsidRPr="00445B9C">
        <w:rPr>
          <w:rFonts w:eastAsiaTheme="majorEastAsia" w:cs="Arial"/>
          <w:b/>
          <w:szCs w:val="20"/>
        </w:rPr>
        <w:t>člen</w:t>
      </w:r>
      <w:bookmarkEnd w:id="37"/>
    </w:p>
    <w:p w14:paraId="088E31D7" w14:textId="77777777" w:rsidR="00B773BD" w:rsidRPr="00445B9C" w:rsidRDefault="00B773BD"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270. členu se </w:t>
      </w:r>
      <w:r w:rsidR="003C15B4" w:rsidRPr="00445B9C">
        <w:rPr>
          <w:rFonts w:eastAsiaTheme="majorEastAsia" w:cs="Arial"/>
          <w:bCs/>
          <w:szCs w:val="20"/>
        </w:rPr>
        <w:t xml:space="preserve">v prvem odstavku </w:t>
      </w:r>
      <w:r w:rsidRPr="00445B9C">
        <w:rPr>
          <w:rFonts w:eastAsiaTheme="majorEastAsia" w:cs="Arial"/>
          <w:bCs/>
          <w:szCs w:val="20"/>
        </w:rPr>
        <w:t xml:space="preserve">črta besedilo »ob upoštevanju informacij iz sedmega </w:t>
      </w:r>
      <w:r w:rsidR="00CF077A" w:rsidRPr="00445B9C">
        <w:rPr>
          <w:rFonts w:eastAsiaTheme="majorEastAsia" w:cs="Arial"/>
          <w:bCs/>
          <w:szCs w:val="20"/>
        </w:rPr>
        <w:t xml:space="preserve">in osmega </w:t>
      </w:r>
      <w:r w:rsidRPr="00445B9C">
        <w:rPr>
          <w:rFonts w:eastAsiaTheme="majorEastAsia" w:cs="Arial"/>
          <w:bCs/>
          <w:szCs w:val="20"/>
        </w:rPr>
        <w:t>odstavka 267. člena in četrtega odstavka 269. člena tega zakona«.</w:t>
      </w:r>
    </w:p>
    <w:p w14:paraId="521AC2FF" w14:textId="77777777" w:rsidR="0026171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8" w:name="_Ref196734494"/>
      <w:r w:rsidRPr="00445B9C">
        <w:rPr>
          <w:rFonts w:eastAsiaTheme="majorEastAsia" w:cs="Arial"/>
          <w:b/>
          <w:szCs w:val="20"/>
        </w:rPr>
        <w:t>člen</w:t>
      </w:r>
      <w:bookmarkEnd w:id="38"/>
    </w:p>
    <w:p w14:paraId="67B78BD3" w14:textId="77777777" w:rsidR="00261716" w:rsidRPr="00445B9C" w:rsidRDefault="00261716"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278. členu se za osmim odstavkom doda nov</w:t>
      </w:r>
      <w:r w:rsidR="009003ED" w:rsidRPr="00445B9C">
        <w:rPr>
          <w:rFonts w:eastAsiaTheme="majorEastAsia" w:cs="Arial"/>
          <w:bCs/>
          <w:szCs w:val="20"/>
        </w:rPr>
        <w:t>,</w:t>
      </w:r>
      <w:r w:rsidRPr="00445B9C">
        <w:rPr>
          <w:rFonts w:eastAsiaTheme="majorEastAsia" w:cs="Arial"/>
          <w:bCs/>
          <w:szCs w:val="20"/>
        </w:rPr>
        <w:t xml:space="preserve"> deveti odstavek, ki se glasi:</w:t>
      </w:r>
    </w:p>
    <w:p w14:paraId="077BF9AB" w14:textId="0C48C8FA" w:rsidR="00261716" w:rsidRPr="00445B9C" w:rsidRDefault="00261716" w:rsidP="00BA786D">
      <w:pPr>
        <w:spacing w:before="240" w:after="240" w:line="259" w:lineRule="auto"/>
        <w:jc w:val="both"/>
        <w:outlineLvl w:val="0"/>
        <w:rPr>
          <w:rFonts w:eastAsiaTheme="majorEastAsia" w:cs="Arial"/>
          <w:bCs/>
          <w:szCs w:val="20"/>
        </w:rPr>
      </w:pPr>
      <w:r w:rsidRPr="00445B9C">
        <w:rPr>
          <w:rFonts w:eastAsiaTheme="majorEastAsia" w:cs="Arial"/>
          <w:bCs/>
          <w:szCs w:val="20"/>
        </w:rPr>
        <w:t>»(9) Agencija zagotovi, da se informacije, vpisane v register zastopnikov</w:t>
      </w:r>
      <w:r w:rsidR="009003ED" w:rsidRPr="00445B9C">
        <w:rPr>
          <w:rFonts w:eastAsiaTheme="majorEastAsia" w:cs="Arial"/>
          <w:bCs/>
          <w:szCs w:val="20"/>
        </w:rPr>
        <w:t>,</w:t>
      </w:r>
      <w:r w:rsidRPr="00445B9C">
        <w:rPr>
          <w:rFonts w:eastAsiaTheme="majorEastAsia" w:cs="Arial"/>
          <w:bCs/>
          <w:szCs w:val="20"/>
        </w:rPr>
        <w:t xml:space="preserve"> dostopne v evropski enotni točki dostopa, vzpostavljeni na podlagi </w:t>
      </w:r>
      <w:r w:rsidR="005F4BFC" w:rsidRPr="00445B9C">
        <w:rPr>
          <w:rFonts w:eastAsiaTheme="majorEastAsia" w:cs="Arial"/>
          <w:bCs/>
          <w:szCs w:val="20"/>
        </w:rPr>
        <w:t xml:space="preserve">prvega odstavka 1. člena </w:t>
      </w:r>
      <w:r w:rsidRPr="00445B9C">
        <w:rPr>
          <w:rFonts w:eastAsiaTheme="majorEastAsia" w:cs="Arial"/>
          <w:bCs/>
          <w:szCs w:val="20"/>
        </w:rPr>
        <w:t xml:space="preserve">Uredbe 2023/2859/EU. Te informacije so skladne z zahtevami iz petega odstavka 357.a člena tega zakona, pri čemer se v prvi alineji 2. točke petega odstavka 357.a člena </w:t>
      </w:r>
      <w:r w:rsidR="009E48FC" w:rsidRPr="00445B9C">
        <w:rPr>
          <w:rFonts w:eastAsiaTheme="majorEastAsia" w:cs="Arial"/>
          <w:bCs/>
          <w:szCs w:val="20"/>
        </w:rPr>
        <w:t xml:space="preserve">tega zakona </w:t>
      </w:r>
      <w:r w:rsidRPr="00445B9C">
        <w:rPr>
          <w:rFonts w:eastAsiaTheme="majorEastAsia" w:cs="Arial"/>
          <w:bCs/>
          <w:szCs w:val="20"/>
        </w:rPr>
        <w:t xml:space="preserve">za fizično osebo </w:t>
      </w:r>
      <w:r w:rsidR="008B2860" w:rsidRPr="00445B9C">
        <w:rPr>
          <w:rFonts w:eastAsiaTheme="majorEastAsia" w:cs="Arial"/>
          <w:bCs/>
          <w:szCs w:val="20"/>
        </w:rPr>
        <w:t>namesto izraza »družbe« uporablja izraz »fizične osebe«</w:t>
      </w:r>
      <w:r w:rsidR="00532220">
        <w:rPr>
          <w:rFonts w:eastAsiaTheme="majorEastAsia" w:cs="Arial"/>
          <w:bCs/>
          <w:szCs w:val="20"/>
        </w:rPr>
        <w:t>.</w:t>
      </w:r>
      <w:r w:rsidRPr="00445B9C">
        <w:rPr>
          <w:rFonts w:eastAsiaTheme="majorEastAsia" w:cs="Arial"/>
          <w:bCs/>
          <w:szCs w:val="20"/>
        </w:rPr>
        <w:t>«.</w:t>
      </w:r>
    </w:p>
    <w:p w14:paraId="3A25CAB2" w14:textId="566EF3ED"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39" w:name="_Ref196734550"/>
      <w:r w:rsidRPr="00445B9C">
        <w:rPr>
          <w:rFonts w:eastAsiaTheme="majorEastAsia" w:cs="Arial"/>
          <w:b/>
          <w:szCs w:val="20"/>
        </w:rPr>
        <w:t>člen</w:t>
      </w:r>
      <w:bookmarkEnd w:id="39"/>
    </w:p>
    <w:p w14:paraId="56DDE3A2" w14:textId="09B271A2" w:rsidR="00252C72" w:rsidRPr="00445B9C" w:rsidRDefault="00252C72" w:rsidP="00913E39">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322. členu se </w:t>
      </w:r>
      <w:r w:rsidR="00F11A6A" w:rsidRPr="00445B9C">
        <w:rPr>
          <w:rFonts w:eastAsiaTheme="majorEastAsia" w:cs="Arial"/>
          <w:bCs/>
          <w:szCs w:val="20"/>
        </w:rPr>
        <w:t xml:space="preserve">v </w:t>
      </w:r>
      <w:r w:rsidRPr="00445B9C">
        <w:rPr>
          <w:rFonts w:eastAsiaTheme="majorEastAsia" w:cs="Arial"/>
          <w:bCs/>
          <w:szCs w:val="20"/>
        </w:rPr>
        <w:t>šest</w:t>
      </w:r>
      <w:r w:rsidR="00AD06D4" w:rsidRPr="00445B9C">
        <w:rPr>
          <w:rFonts w:eastAsiaTheme="majorEastAsia" w:cs="Arial"/>
          <w:bCs/>
          <w:szCs w:val="20"/>
        </w:rPr>
        <w:t>em</w:t>
      </w:r>
      <w:r w:rsidRPr="00445B9C">
        <w:rPr>
          <w:rFonts w:eastAsiaTheme="majorEastAsia" w:cs="Arial"/>
          <w:bCs/>
          <w:szCs w:val="20"/>
        </w:rPr>
        <w:t xml:space="preserve"> odstavk</w:t>
      </w:r>
      <w:r w:rsidR="00AD06D4" w:rsidRPr="00445B9C">
        <w:rPr>
          <w:rFonts w:eastAsiaTheme="majorEastAsia" w:cs="Arial"/>
          <w:bCs/>
          <w:szCs w:val="20"/>
        </w:rPr>
        <w:t>u</w:t>
      </w:r>
      <w:r w:rsidRPr="00445B9C">
        <w:rPr>
          <w:rFonts w:eastAsiaTheme="majorEastAsia" w:cs="Arial"/>
          <w:bCs/>
          <w:szCs w:val="20"/>
        </w:rPr>
        <w:t xml:space="preserve"> se za besedo »članic« </w:t>
      </w:r>
      <w:r w:rsidR="005E1D31" w:rsidRPr="00445B9C">
        <w:rPr>
          <w:rFonts w:eastAsiaTheme="majorEastAsia" w:cs="Arial"/>
          <w:bCs/>
          <w:szCs w:val="20"/>
        </w:rPr>
        <w:t>doda</w:t>
      </w:r>
      <w:r w:rsidRPr="00445B9C">
        <w:rPr>
          <w:rFonts w:eastAsiaTheme="majorEastAsia" w:cs="Arial"/>
          <w:bCs/>
          <w:szCs w:val="20"/>
        </w:rPr>
        <w:t xml:space="preserve"> besedilo »ter ga javno objavi«.</w:t>
      </w:r>
    </w:p>
    <w:p w14:paraId="197296F2" w14:textId="77777777" w:rsidR="00B641E0" w:rsidRPr="00445B9C" w:rsidRDefault="00B641E0" w:rsidP="00BA786D">
      <w:pPr>
        <w:spacing w:before="240" w:after="240" w:line="259" w:lineRule="auto"/>
        <w:jc w:val="both"/>
        <w:outlineLvl w:val="0"/>
        <w:rPr>
          <w:rFonts w:eastAsiaTheme="majorEastAsia" w:cs="Arial"/>
          <w:bCs/>
          <w:szCs w:val="20"/>
        </w:rPr>
      </w:pPr>
      <w:r w:rsidRPr="00445B9C">
        <w:rPr>
          <w:rFonts w:eastAsiaTheme="majorEastAsia" w:cs="Arial"/>
          <w:bCs/>
          <w:szCs w:val="20"/>
        </w:rPr>
        <w:t>Za devetim odstavkom se doda nov</w:t>
      </w:r>
      <w:r w:rsidR="00AD06D4" w:rsidRPr="00445B9C">
        <w:rPr>
          <w:rFonts w:eastAsiaTheme="majorEastAsia" w:cs="Arial"/>
          <w:bCs/>
          <w:szCs w:val="20"/>
        </w:rPr>
        <w:t>,</w:t>
      </w:r>
      <w:r w:rsidRPr="00445B9C">
        <w:rPr>
          <w:rFonts w:eastAsiaTheme="majorEastAsia" w:cs="Arial"/>
          <w:bCs/>
          <w:szCs w:val="20"/>
        </w:rPr>
        <w:t xml:space="preserve"> deseti odstavek, ki se glasi:</w:t>
      </w:r>
    </w:p>
    <w:p w14:paraId="5C157444" w14:textId="7BB5218E" w:rsidR="00B641E0" w:rsidRPr="00445B9C" w:rsidRDefault="00B641E0"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»(10) Upravljavec MTF ali OTF informacije iz četrtega odstavka tega člena hkrati z objavo pošlje tudi </w:t>
      </w:r>
      <w:r w:rsidR="00BD448E" w:rsidRPr="00445B9C">
        <w:rPr>
          <w:rFonts w:eastAsiaTheme="majorEastAsia" w:cs="Arial"/>
          <w:bCs/>
          <w:szCs w:val="20"/>
        </w:rPr>
        <w:t>agenciji</w:t>
      </w:r>
      <w:r w:rsidRPr="00445B9C">
        <w:rPr>
          <w:rFonts w:eastAsiaTheme="majorEastAsia" w:cs="Arial"/>
          <w:bCs/>
          <w:szCs w:val="20"/>
        </w:rPr>
        <w:t>.«</w:t>
      </w:r>
      <w:r w:rsidR="00CF077A" w:rsidRPr="00445B9C">
        <w:rPr>
          <w:rFonts w:eastAsiaTheme="majorEastAsia" w:cs="Arial"/>
          <w:bCs/>
          <w:szCs w:val="20"/>
        </w:rPr>
        <w:t>.</w:t>
      </w:r>
    </w:p>
    <w:p w14:paraId="3E1A30F1" w14:textId="7E76C006" w:rsidR="006A2506" w:rsidRPr="00445B9C" w:rsidRDefault="00CF077A" w:rsidP="00F810E6">
      <w:pPr>
        <w:numPr>
          <w:ilvl w:val="0"/>
          <w:numId w:val="16"/>
        </w:numPr>
        <w:spacing w:before="240" w:after="240" w:line="259" w:lineRule="auto"/>
        <w:ind w:left="720"/>
        <w:jc w:val="center"/>
        <w:outlineLvl w:val="0"/>
        <w:rPr>
          <w:rFonts w:eastAsiaTheme="majorEastAsia" w:cs="Arial"/>
          <w:b/>
          <w:szCs w:val="20"/>
        </w:rPr>
      </w:pPr>
      <w:bookmarkStart w:id="40" w:name="_Ref196734578"/>
      <w:r w:rsidRPr="00445B9C">
        <w:rPr>
          <w:rFonts w:eastAsiaTheme="majorEastAsia" w:cs="Arial"/>
          <w:b/>
          <w:szCs w:val="20"/>
        </w:rPr>
        <w:t>člen</w:t>
      </w:r>
      <w:bookmarkEnd w:id="40"/>
      <w:r w:rsidR="00532220">
        <w:rPr>
          <w:rFonts w:eastAsiaTheme="majorEastAsia" w:cs="Arial"/>
          <w:b/>
          <w:szCs w:val="20"/>
        </w:rPr>
        <w:t xml:space="preserve"> </w:t>
      </w:r>
    </w:p>
    <w:p w14:paraId="0DD45808" w14:textId="0BEAB371" w:rsidR="00442845" w:rsidRPr="00445B9C" w:rsidRDefault="00442845" w:rsidP="00132A57">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325. členu se </w:t>
      </w:r>
      <w:r w:rsidR="00132A57" w:rsidRPr="00445B9C">
        <w:rPr>
          <w:rFonts w:eastAsiaTheme="majorEastAsia" w:cs="Arial"/>
          <w:bCs/>
          <w:szCs w:val="20"/>
        </w:rPr>
        <w:t>z</w:t>
      </w:r>
      <w:r w:rsidR="00CA10F0" w:rsidRPr="00445B9C">
        <w:rPr>
          <w:rFonts w:eastAsiaTheme="majorEastAsia" w:cs="Arial"/>
          <w:bCs/>
          <w:szCs w:val="20"/>
        </w:rPr>
        <w:t xml:space="preserve">a petim odstavkom </w:t>
      </w:r>
      <w:r w:rsidRPr="00445B9C">
        <w:rPr>
          <w:rFonts w:eastAsiaTheme="majorEastAsia" w:cs="Arial"/>
          <w:bCs/>
          <w:szCs w:val="20"/>
        </w:rPr>
        <w:t>doda nov</w:t>
      </w:r>
      <w:r w:rsidR="00074A75" w:rsidRPr="00445B9C">
        <w:rPr>
          <w:rFonts w:eastAsiaTheme="majorEastAsia" w:cs="Arial"/>
          <w:bCs/>
          <w:szCs w:val="20"/>
        </w:rPr>
        <w:t>,</w:t>
      </w:r>
      <w:r w:rsidRPr="00445B9C">
        <w:rPr>
          <w:rFonts w:eastAsiaTheme="majorEastAsia" w:cs="Arial"/>
          <w:bCs/>
          <w:szCs w:val="20"/>
        </w:rPr>
        <w:t xml:space="preserve"> šesti odstavek, ki se glasi:</w:t>
      </w:r>
    </w:p>
    <w:p w14:paraId="2641F383" w14:textId="2C105EE4" w:rsidR="00442845" w:rsidRPr="00445B9C" w:rsidRDefault="00442845"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»(6) Upravljalec MTF ali OTF ima </w:t>
      </w:r>
      <w:r w:rsidR="001742D9" w:rsidRPr="00445B9C">
        <w:rPr>
          <w:rFonts w:eastAsiaTheme="majorEastAsia" w:cs="Arial"/>
          <w:bCs/>
          <w:szCs w:val="20"/>
        </w:rPr>
        <w:t>vzpostavljene sisteme</w:t>
      </w:r>
      <w:r w:rsidRPr="00445B9C">
        <w:rPr>
          <w:rFonts w:eastAsiaTheme="majorEastAsia" w:cs="Arial"/>
          <w:bCs/>
          <w:szCs w:val="20"/>
        </w:rPr>
        <w:t>, ki zagotavljajo izpolnjevanje kakovosti podatkov</w:t>
      </w:r>
      <w:r w:rsidR="00074A75" w:rsidRPr="00445B9C">
        <w:rPr>
          <w:rFonts w:eastAsiaTheme="majorEastAsia" w:cs="Arial"/>
          <w:bCs/>
          <w:szCs w:val="20"/>
        </w:rPr>
        <w:t>,</w:t>
      </w:r>
      <w:r w:rsidRPr="00445B9C">
        <w:rPr>
          <w:rFonts w:eastAsiaTheme="majorEastAsia" w:cs="Arial"/>
          <w:bCs/>
          <w:szCs w:val="20"/>
        </w:rPr>
        <w:t xml:space="preserve"> kot jih določa 22.b člen Uredbe 600/2014/EU.«. </w:t>
      </w:r>
    </w:p>
    <w:p w14:paraId="4B27C2CE" w14:textId="77777777" w:rsidR="00D95117" w:rsidRPr="00445B9C" w:rsidRDefault="007C5912" w:rsidP="00F810E6">
      <w:pPr>
        <w:numPr>
          <w:ilvl w:val="0"/>
          <w:numId w:val="16"/>
        </w:numPr>
        <w:spacing w:before="240" w:after="240" w:line="259" w:lineRule="auto"/>
        <w:ind w:left="720"/>
        <w:jc w:val="center"/>
        <w:outlineLvl w:val="0"/>
        <w:rPr>
          <w:rFonts w:eastAsiaTheme="majorEastAsia" w:cs="Arial"/>
          <w:b/>
          <w:szCs w:val="20"/>
        </w:rPr>
      </w:pPr>
      <w:bookmarkStart w:id="41" w:name="_Ref196734589"/>
      <w:r w:rsidRPr="00445B9C">
        <w:rPr>
          <w:rFonts w:eastAsiaTheme="majorEastAsia" w:cs="Arial"/>
          <w:b/>
          <w:szCs w:val="20"/>
        </w:rPr>
        <w:t>člen</w:t>
      </w:r>
      <w:bookmarkEnd w:id="41"/>
    </w:p>
    <w:p w14:paraId="4F6926FC" w14:textId="77777777" w:rsidR="00D95117" w:rsidRPr="00445B9C" w:rsidRDefault="00D95117"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326. členu </w:t>
      </w:r>
      <w:r w:rsidR="00074A75" w:rsidRPr="00445B9C">
        <w:rPr>
          <w:rFonts w:eastAsiaTheme="majorEastAsia" w:cs="Arial"/>
          <w:bCs/>
          <w:szCs w:val="20"/>
        </w:rPr>
        <w:t xml:space="preserve">se </w:t>
      </w:r>
      <w:r w:rsidRPr="00445B9C">
        <w:rPr>
          <w:rFonts w:eastAsiaTheme="majorEastAsia" w:cs="Arial"/>
          <w:bCs/>
          <w:szCs w:val="20"/>
        </w:rPr>
        <w:t>za sedmim odstavkom doda nov</w:t>
      </w:r>
      <w:r w:rsidR="00074A75" w:rsidRPr="00445B9C">
        <w:rPr>
          <w:rFonts w:eastAsiaTheme="majorEastAsia" w:cs="Arial"/>
          <w:bCs/>
          <w:szCs w:val="20"/>
        </w:rPr>
        <w:t>,</w:t>
      </w:r>
      <w:r w:rsidRPr="00445B9C">
        <w:rPr>
          <w:rFonts w:eastAsiaTheme="majorEastAsia" w:cs="Arial"/>
          <w:bCs/>
          <w:szCs w:val="20"/>
        </w:rPr>
        <w:t xml:space="preserve"> osmi odstavek, ki se glasi:</w:t>
      </w:r>
    </w:p>
    <w:p w14:paraId="10097CB3" w14:textId="43441420" w:rsidR="00D95117" w:rsidRPr="00445B9C" w:rsidRDefault="00D95117" w:rsidP="00BA786D">
      <w:pPr>
        <w:spacing w:before="240" w:after="240" w:line="259" w:lineRule="auto"/>
        <w:jc w:val="both"/>
        <w:outlineLvl w:val="0"/>
        <w:rPr>
          <w:rFonts w:eastAsiaTheme="majorEastAsia" w:cs="Arial"/>
          <w:bCs/>
          <w:szCs w:val="20"/>
        </w:rPr>
      </w:pPr>
      <w:r w:rsidRPr="00445B9C">
        <w:rPr>
          <w:rFonts w:eastAsiaTheme="majorEastAsia" w:cs="Arial"/>
          <w:bCs/>
          <w:szCs w:val="20"/>
        </w:rPr>
        <w:t>»(8) Upravljavec razvojnega trga MTF informacije iz 3</w:t>
      </w:r>
      <w:r w:rsidR="002867A7" w:rsidRPr="00445B9C">
        <w:rPr>
          <w:rFonts w:eastAsiaTheme="majorEastAsia" w:cs="Arial"/>
          <w:bCs/>
          <w:szCs w:val="20"/>
        </w:rPr>
        <w:t>.</w:t>
      </w:r>
      <w:r w:rsidRPr="00445B9C">
        <w:rPr>
          <w:rFonts w:eastAsiaTheme="majorEastAsia" w:cs="Arial"/>
          <w:bCs/>
          <w:szCs w:val="20"/>
        </w:rPr>
        <w:t>, 4. in 6. točke tretjega odstavka tega člena hkrati z objavo pošlje tudi</w:t>
      </w:r>
      <w:r w:rsidR="00BD448E" w:rsidRPr="00445B9C">
        <w:rPr>
          <w:rFonts w:eastAsiaTheme="majorEastAsia" w:cs="Arial"/>
          <w:bCs/>
          <w:szCs w:val="20"/>
        </w:rPr>
        <w:t xml:space="preserve"> agenciji</w:t>
      </w:r>
      <w:r w:rsidRPr="00445B9C">
        <w:rPr>
          <w:rFonts w:eastAsiaTheme="majorEastAsia" w:cs="Arial"/>
          <w:bCs/>
          <w:szCs w:val="20"/>
        </w:rPr>
        <w:t>.«.</w:t>
      </w:r>
    </w:p>
    <w:p w14:paraId="570188C3" w14:textId="77777777" w:rsidR="006A2506" w:rsidRPr="00445B9C" w:rsidRDefault="007C5912" w:rsidP="00F810E6">
      <w:pPr>
        <w:numPr>
          <w:ilvl w:val="0"/>
          <w:numId w:val="16"/>
        </w:numPr>
        <w:spacing w:before="240" w:after="240" w:line="259" w:lineRule="auto"/>
        <w:ind w:left="720"/>
        <w:jc w:val="center"/>
        <w:outlineLvl w:val="0"/>
        <w:rPr>
          <w:rFonts w:cs="Arial"/>
          <w:b/>
          <w:szCs w:val="20"/>
        </w:rPr>
      </w:pPr>
      <w:bookmarkStart w:id="42" w:name="_Ref196734612"/>
      <w:r w:rsidRPr="00445B9C">
        <w:rPr>
          <w:rFonts w:eastAsiaTheme="majorEastAsia" w:cs="Arial"/>
          <w:b/>
          <w:szCs w:val="20"/>
        </w:rPr>
        <w:t>člen</w:t>
      </w:r>
      <w:bookmarkEnd w:id="42"/>
    </w:p>
    <w:p w14:paraId="70E88158" w14:textId="0D575640" w:rsidR="004A4518" w:rsidRPr="00445B9C" w:rsidRDefault="00293E8F" w:rsidP="00BA786D">
      <w:pPr>
        <w:spacing w:before="240" w:after="240" w:line="259" w:lineRule="auto"/>
        <w:jc w:val="both"/>
        <w:outlineLvl w:val="0"/>
        <w:rPr>
          <w:rFonts w:cs="Arial"/>
          <w:bCs/>
          <w:szCs w:val="20"/>
        </w:rPr>
      </w:pPr>
      <w:r w:rsidRPr="00445B9C">
        <w:rPr>
          <w:rFonts w:cs="Arial"/>
          <w:bCs/>
          <w:szCs w:val="20"/>
        </w:rPr>
        <w:t xml:space="preserve">V </w:t>
      </w:r>
      <w:r w:rsidR="004A4518" w:rsidRPr="00445B9C">
        <w:rPr>
          <w:rFonts w:cs="Arial"/>
          <w:bCs/>
          <w:szCs w:val="20"/>
        </w:rPr>
        <w:t xml:space="preserve">331. </w:t>
      </w:r>
      <w:r w:rsidR="00684763" w:rsidRPr="00445B9C">
        <w:rPr>
          <w:rFonts w:cs="Arial"/>
          <w:bCs/>
          <w:szCs w:val="20"/>
        </w:rPr>
        <w:t>člen</w:t>
      </w:r>
      <w:r w:rsidRPr="00445B9C">
        <w:rPr>
          <w:rFonts w:cs="Arial"/>
          <w:bCs/>
          <w:szCs w:val="20"/>
        </w:rPr>
        <w:t>u</w:t>
      </w:r>
      <w:r w:rsidR="00684763" w:rsidRPr="00445B9C">
        <w:rPr>
          <w:rFonts w:cs="Arial"/>
          <w:bCs/>
          <w:szCs w:val="20"/>
        </w:rPr>
        <w:t xml:space="preserve"> </w:t>
      </w:r>
      <w:r w:rsidR="004A4518" w:rsidRPr="00445B9C">
        <w:rPr>
          <w:rFonts w:cs="Arial"/>
          <w:bCs/>
          <w:szCs w:val="20"/>
        </w:rPr>
        <w:t xml:space="preserve">se </w:t>
      </w:r>
      <w:r w:rsidRPr="00445B9C">
        <w:rPr>
          <w:rFonts w:cs="Arial"/>
          <w:bCs/>
          <w:szCs w:val="20"/>
        </w:rPr>
        <w:t xml:space="preserve">naslov člena </w:t>
      </w:r>
      <w:r w:rsidR="004A4518" w:rsidRPr="00445B9C">
        <w:rPr>
          <w:rFonts w:cs="Arial"/>
          <w:bCs/>
          <w:szCs w:val="20"/>
        </w:rPr>
        <w:t>spremeni tako, da se glasi:</w:t>
      </w:r>
    </w:p>
    <w:p w14:paraId="22B70B60" w14:textId="77777777" w:rsidR="004A4518" w:rsidRPr="00445B9C" w:rsidRDefault="004A4518" w:rsidP="00BA786D">
      <w:pPr>
        <w:spacing w:before="240" w:after="240" w:line="259" w:lineRule="auto"/>
        <w:jc w:val="both"/>
        <w:outlineLvl w:val="0"/>
        <w:rPr>
          <w:rFonts w:cs="Arial"/>
          <w:bCs/>
          <w:szCs w:val="20"/>
        </w:rPr>
      </w:pPr>
      <w:r w:rsidRPr="00445B9C">
        <w:rPr>
          <w:rFonts w:cs="Arial"/>
          <w:bCs/>
          <w:szCs w:val="20"/>
        </w:rPr>
        <w:t>»(nadziranje upravljanja pozicij za izvedene finančne instrumente na blago in izvedene finančne instrumente na emisijske kupone)</w:t>
      </w:r>
      <w:r w:rsidR="00CF077A" w:rsidRPr="00445B9C">
        <w:rPr>
          <w:rFonts w:cs="Arial"/>
          <w:bCs/>
          <w:szCs w:val="20"/>
        </w:rPr>
        <w:t>«.</w:t>
      </w:r>
    </w:p>
    <w:p w14:paraId="106DC27D" w14:textId="75902CBD" w:rsidR="00293E8F" w:rsidRPr="00445B9C" w:rsidRDefault="00293E8F" w:rsidP="005E34BC">
      <w:pPr>
        <w:jc w:val="both"/>
        <w:rPr>
          <w:rFonts w:cs="Arial"/>
          <w:szCs w:val="20"/>
        </w:rPr>
      </w:pPr>
      <w:r w:rsidRPr="00445B9C">
        <w:rPr>
          <w:rFonts w:cs="Arial"/>
          <w:szCs w:val="20"/>
        </w:rPr>
        <w:t>V p</w:t>
      </w:r>
      <w:r w:rsidR="004A4518" w:rsidRPr="00445B9C">
        <w:rPr>
          <w:rFonts w:cs="Arial"/>
          <w:szCs w:val="20"/>
        </w:rPr>
        <w:t>rv</w:t>
      </w:r>
      <w:r w:rsidRPr="00445B9C">
        <w:rPr>
          <w:rFonts w:cs="Arial"/>
          <w:szCs w:val="20"/>
        </w:rPr>
        <w:t>em</w:t>
      </w:r>
      <w:r w:rsidR="004A4518" w:rsidRPr="00445B9C">
        <w:rPr>
          <w:rFonts w:cs="Arial"/>
          <w:szCs w:val="20"/>
        </w:rPr>
        <w:t xml:space="preserve"> odstavk</w:t>
      </w:r>
      <w:r w:rsidRPr="00445B9C">
        <w:rPr>
          <w:rFonts w:cs="Arial"/>
          <w:szCs w:val="20"/>
        </w:rPr>
        <w:t>u</w:t>
      </w:r>
      <w:r w:rsidR="004A4518" w:rsidRPr="00445B9C">
        <w:rPr>
          <w:rFonts w:cs="Arial"/>
          <w:szCs w:val="20"/>
        </w:rPr>
        <w:t xml:space="preserve"> se v </w:t>
      </w:r>
      <w:r w:rsidR="00650F7D" w:rsidRPr="00445B9C">
        <w:rPr>
          <w:rFonts w:cs="Arial"/>
          <w:szCs w:val="20"/>
        </w:rPr>
        <w:t xml:space="preserve">napovednem </w:t>
      </w:r>
      <w:r w:rsidR="004A4518" w:rsidRPr="00445B9C">
        <w:rPr>
          <w:rFonts w:cs="Arial"/>
          <w:szCs w:val="20"/>
        </w:rPr>
        <w:t>stavku za besedo »blago« doda besedilo »ali izvedenimi finančnimi instrumenti na emisijske kupone«</w:t>
      </w:r>
      <w:r w:rsidRPr="00445B9C">
        <w:rPr>
          <w:rFonts w:cs="Arial"/>
          <w:szCs w:val="20"/>
        </w:rPr>
        <w:t>.</w:t>
      </w:r>
    </w:p>
    <w:p w14:paraId="5DCAE2F7" w14:textId="77777777" w:rsidR="00293E8F" w:rsidRPr="00445B9C" w:rsidRDefault="00293E8F" w:rsidP="005E34BC">
      <w:pPr>
        <w:jc w:val="both"/>
        <w:rPr>
          <w:rFonts w:cs="Arial"/>
          <w:szCs w:val="20"/>
        </w:rPr>
      </w:pPr>
    </w:p>
    <w:p w14:paraId="4B72085A" w14:textId="0C9D7A11" w:rsidR="004A4518" w:rsidRPr="00445B9C" w:rsidRDefault="00293E8F" w:rsidP="005E34BC">
      <w:pPr>
        <w:jc w:val="both"/>
        <w:rPr>
          <w:rFonts w:cs="Arial"/>
          <w:szCs w:val="20"/>
        </w:rPr>
      </w:pPr>
      <w:r w:rsidRPr="00445B9C">
        <w:rPr>
          <w:rFonts w:cs="Arial"/>
          <w:szCs w:val="20"/>
        </w:rPr>
        <w:t>V</w:t>
      </w:r>
      <w:r w:rsidR="00F17385" w:rsidRPr="00445B9C">
        <w:rPr>
          <w:rFonts w:cs="Arial"/>
          <w:szCs w:val="20"/>
        </w:rPr>
        <w:t xml:space="preserve"> </w:t>
      </w:r>
      <w:r w:rsidRPr="00445B9C">
        <w:rPr>
          <w:rFonts w:cs="Arial"/>
          <w:szCs w:val="20"/>
        </w:rPr>
        <w:t>2.</w:t>
      </w:r>
      <w:r w:rsidR="00F17385" w:rsidRPr="00445B9C">
        <w:rPr>
          <w:rFonts w:cs="Arial"/>
          <w:szCs w:val="20"/>
        </w:rPr>
        <w:t xml:space="preserve"> točki </w:t>
      </w:r>
      <w:r w:rsidRPr="00445B9C">
        <w:rPr>
          <w:rFonts w:cs="Arial"/>
          <w:szCs w:val="20"/>
        </w:rPr>
        <w:t xml:space="preserve">se </w:t>
      </w:r>
      <w:r w:rsidR="004A4518" w:rsidRPr="00445B9C">
        <w:rPr>
          <w:rFonts w:cs="Arial"/>
          <w:szCs w:val="20"/>
        </w:rPr>
        <w:t xml:space="preserve">za </w:t>
      </w:r>
      <w:r w:rsidRPr="00445B9C">
        <w:rPr>
          <w:rFonts w:cs="Arial"/>
          <w:szCs w:val="20"/>
        </w:rPr>
        <w:t xml:space="preserve">vejico za </w:t>
      </w:r>
      <w:r w:rsidR="004A4518" w:rsidRPr="00445B9C">
        <w:rPr>
          <w:rFonts w:cs="Arial"/>
          <w:szCs w:val="20"/>
        </w:rPr>
        <w:t>besed</w:t>
      </w:r>
      <w:r w:rsidRPr="00445B9C">
        <w:rPr>
          <w:rFonts w:cs="Arial"/>
          <w:szCs w:val="20"/>
        </w:rPr>
        <w:t>ilom</w:t>
      </w:r>
      <w:r w:rsidR="004A4518" w:rsidRPr="00445B9C">
        <w:rPr>
          <w:rFonts w:cs="Arial"/>
          <w:szCs w:val="20"/>
        </w:rPr>
        <w:t xml:space="preserve"> »trgu blaga« doda besedilo »vključno s pridobivanjem informacij, kadar je to potrebno, o pozicijah v izvedenih finančnih instrumentih na emisijske kupone ali</w:t>
      </w:r>
      <w:r w:rsidR="00F17385" w:rsidRPr="00445B9C">
        <w:rPr>
          <w:rFonts w:cs="Arial"/>
          <w:szCs w:val="20"/>
        </w:rPr>
        <w:t xml:space="preserve"> o</w:t>
      </w:r>
      <w:r w:rsidR="004A4518" w:rsidRPr="00445B9C">
        <w:rPr>
          <w:rFonts w:cs="Arial"/>
          <w:szCs w:val="20"/>
        </w:rPr>
        <w:t>«</w:t>
      </w:r>
      <w:r w:rsidR="00BA3FFE" w:rsidRPr="00445B9C">
        <w:rPr>
          <w:rFonts w:cs="Arial"/>
          <w:szCs w:val="20"/>
        </w:rPr>
        <w:t>.</w:t>
      </w:r>
    </w:p>
    <w:p w14:paraId="70B750BD" w14:textId="77777777" w:rsidR="006A2506" w:rsidRPr="00445B9C" w:rsidRDefault="007C5912" w:rsidP="00F810E6">
      <w:pPr>
        <w:numPr>
          <w:ilvl w:val="0"/>
          <w:numId w:val="16"/>
        </w:numPr>
        <w:spacing w:before="240" w:after="240" w:line="259" w:lineRule="auto"/>
        <w:ind w:left="720"/>
        <w:jc w:val="center"/>
        <w:outlineLvl w:val="0"/>
        <w:rPr>
          <w:rFonts w:eastAsiaTheme="majorEastAsia" w:cs="Arial"/>
          <w:b/>
          <w:szCs w:val="20"/>
        </w:rPr>
      </w:pPr>
      <w:bookmarkStart w:id="43" w:name="_Ref196734639"/>
      <w:r w:rsidRPr="00445B9C">
        <w:rPr>
          <w:rFonts w:eastAsiaTheme="majorEastAsia" w:cs="Arial"/>
          <w:b/>
          <w:szCs w:val="20"/>
        </w:rPr>
        <w:lastRenderedPageBreak/>
        <w:t>člen</w:t>
      </w:r>
      <w:bookmarkEnd w:id="43"/>
    </w:p>
    <w:p w14:paraId="43A16004" w14:textId="0EDE08E5" w:rsidR="00BA3FFE" w:rsidRPr="00445B9C" w:rsidRDefault="00293E8F"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BA3FFE" w:rsidRPr="00445B9C">
        <w:rPr>
          <w:rFonts w:eastAsiaTheme="majorEastAsia" w:cs="Arial"/>
          <w:bCs/>
          <w:szCs w:val="20"/>
        </w:rPr>
        <w:t>332. člen</w:t>
      </w:r>
      <w:r w:rsidRPr="00445B9C">
        <w:rPr>
          <w:rFonts w:eastAsiaTheme="majorEastAsia" w:cs="Arial"/>
          <w:bCs/>
          <w:szCs w:val="20"/>
        </w:rPr>
        <w:t>u</w:t>
      </w:r>
      <w:r w:rsidR="00BA3FFE" w:rsidRPr="00445B9C">
        <w:rPr>
          <w:rFonts w:eastAsiaTheme="majorEastAsia" w:cs="Arial"/>
          <w:bCs/>
          <w:szCs w:val="20"/>
        </w:rPr>
        <w:t xml:space="preserve"> se </w:t>
      </w:r>
      <w:r w:rsidRPr="00445B9C">
        <w:rPr>
          <w:rFonts w:eastAsiaTheme="majorEastAsia" w:cs="Arial"/>
          <w:bCs/>
          <w:szCs w:val="20"/>
        </w:rPr>
        <w:t xml:space="preserve">naslov člena </w:t>
      </w:r>
      <w:r w:rsidR="00BA3FFE" w:rsidRPr="00445B9C">
        <w:rPr>
          <w:rFonts w:eastAsiaTheme="majorEastAsia" w:cs="Arial"/>
          <w:bCs/>
          <w:szCs w:val="20"/>
        </w:rPr>
        <w:t>spremeni tako, da se glasi:</w:t>
      </w:r>
    </w:p>
    <w:p w14:paraId="20ED4EF3" w14:textId="77777777" w:rsidR="00BA3FFE" w:rsidRPr="00445B9C" w:rsidRDefault="00BA3FFE" w:rsidP="00BA786D">
      <w:pPr>
        <w:spacing w:before="240" w:after="240" w:line="259" w:lineRule="auto"/>
        <w:jc w:val="both"/>
        <w:outlineLvl w:val="0"/>
        <w:rPr>
          <w:rFonts w:eastAsiaTheme="majorEastAsia" w:cs="Arial"/>
          <w:bCs/>
          <w:szCs w:val="20"/>
        </w:rPr>
      </w:pPr>
      <w:r w:rsidRPr="00445B9C">
        <w:rPr>
          <w:rFonts w:eastAsiaTheme="majorEastAsia" w:cs="Arial"/>
          <w:bCs/>
          <w:szCs w:val="20"/>
        </w:rPr>
        <w:t>»(poročanje pozicij za izvedene finančne instrumente na blago ter izvedene finančne instrumente na emisijske kupone)</w:t>
      </w:r>
      <w:r w:rsidR="00684763" w:rsidRPr="00445B9C">
        <w:rPr>
          <w:rFonts w:eastAsiaTheme="majorEastAsia" w:cs="Arial"/>
          <w:bCs/>
          <w:szCs w:val="20"/>
        </w:rPr>
        <w:t>«</w:t>
      </w:r>
      <w:r w:rsidRPr="00445B9C">
        <w:rPr>
          <w:rFonts w:eastAsiaTheme="majorEastAsia" w:cs="Arial"/>
          <w:bCs/>
          <w:szCs w:val="20"/>
        </w:rPr>
        <w:t>.</w:t>
      </w:r>
    </w:p>
    <w:p w14:paraId="06AA541B" w14:textId="6FC9452C" w:rsidR="00BA3FFE" w:rsidRPr="00445B9C" w:rsidRDefault="00B027D1" w:rsidP="003A32E6">
      <w:pPr>
        <w:jc w:val="both"/>
        <w:rPr>
          <w:rFonts w:cs="Arial"/>
          <w:szCs w:val="20"/>
        </w:rPr>
      </w:pPr>
      <w:r w:rsidRPr="00445B9C">
        <w:rPr>
          <w:rFonts w:eastAsiaTheme="majorEastAsia" w:cs="Arial"/>
          <w:szCs w:val="20"/>
        </w:rPr>
        <w:t xml:space="preserve">V prvem odstavku se </w:t>
      </w:r>
      <w:r w:rsidR="00293E8F" w:rsidRPr="00445B9C">
        <w:rPr>
          <w:rFonts w:eastAsiaTheme="majorEastAsia" w:cs="Arial"/>
          <w:szCs w:val="20"/>
        </w:rPr>
        <w:t>v</w:t>
      </w:r>
      <w:r w:rsidR="000F68AF" w:rsidRPr="00445B9C">
        <w:rPr>
          <w:rFonts w:eastAsiaTheme="majorEastAsia" w:cs="Arial"/>
          <w:szCs w:val="20"/>
        </w:rPr>
        <w:t xml:space="preserve"> </w:t>
      </w:r>
      <w:r w:rsidRPr="00445B9C">
        <w:rPr>
          <w:rFonts w:cs="Arial"/>
          <w:szCs w:val="20"/>
        </w:rPr>
        <w:t>n</w:t>
      </w:r>
      <w:r w:rsidR="00BA3FFE" w:rsidRPr="00445B9C">
        <w:rPr>
          <w:rFonts w:cs="Arial"/>
          <w:szCs w:val="20"/>
        </w:rPr>
        <w:t>apovedn</w:t>
      </w:r>
      <w:r w:rsidR="00293E8F" w:rsidRPr="00445B9C">
        <w:rPr>
          <w:rFonts w:cs="Arial"/>
          <w:szCs w:val="20"/>
        </w:rPr>
        <w:t>em</w:t>
      </w:r>
      <w:r w:rsidR="00BA3FFE" w:rsidRPr="00445B9C">
        <w:rPr>
          <w:rFonts w:cs="Arial"/>
          <w:szCs w:val="20"/>
        </w:rPr>
        <w:t xml:space="preserve"> stavk</w:t>
      </w:r>
      <w:r w:rsidR="00F85836" w:rsidRPr="00445B9C">
        <w:rPr>
          <w:rFonts w:cs="Arial"/>
          <w:szCs w:val="20"/>
        </w:rPr>
        <w:t>u</w:t>
      </w:r>
      <w:r w:rsidR="00BA3FFE" w:rsidRPr="00445B9C">
        <w:rPr>
          <w:rFonts w:cs="Arial"/>
          <w:szCs w:val="20"/>
        </w:rPr>
        <w:t xml:space="preserve"> </w:t>
      </w:r>
      <w:r w:rsidR="009A4A1D" w:rsidRPr="00445B9C">
        <w:rPr>
          <w:rFonts w:cs="Arial"/>
          <w:szCs w:val="20"/>
        </w:rPr>
        <w:t>za besedilom »na blago ali« doda besedilo »izvedenimi finančnimi instrumenti na emisijske kupone«</w:t>
      </w:r>
      <w:r w:rsidR="00F85836" w:rsidRPr="00445B9C">
        <w:rPr>
          <w:rFonts w:cs="Arial"/>
          <w:szCs w:val="20"/>
        </w:rPr>
        <w:t>.</w:t>
      </w:r>
    </w:p>
    <w:p w14:paraId="4F69484E" w14:textId="77777777" w:rsidR="00F85836" w:rsidRPr="00445B9C" w:rsidRDefault="00F85836" w:rsidP="003A32E6">
      <w:pPr>
        <w:jc w:val="both"/>
        <w:rPr>
          <w:rFonts w:cs="Arial"/>
          <w:szCs w:val="20"/>
        </w:rPr>
      </w:pPr>
    </w:p>
    <w:p w14:paraId="1507B088" w14:textId="59317DB3" w:rsidR="00F85836" w:rsidRPr="00445B9C" w:rsidRDefault="00BA3FFE" w:rsidP="003A32E6">
      <w:pPr>
        <w:jc w:val="both"/>
        <w:rPr>
          <w:rFonts w:cs="Arial"/>
          <w:szCs w:val="20"/>
        </w:rPr>
      </w:pPr>
      <w:r w:rsidRPr="00445B9C">
        <w:rPr>
          <w:rFonts w:cs="Arial"/>
          <w:szCs w:val="20"/>
        </w:rPr>
        <w:t>1.</w:t>
      </w:r>
      <w:r w:rsidR="009A4A1D" w:rsidRPr="00445B9C">
        <w:rPr>
          <w:rFonts w:cs="Arial"/>
          <w:szCs w:val="20"/>
        </w:rPr>
        <w:t xml:space="preserve"> točka </w:t>
      </w:r>
      <w:r w:rsidR="00F85836" w:rsidRPr="00445B9C">
        <w:rPr>
          <w:rFonts w:cs="Arial"/>
          <w:szCs w:val="20"/>
        </w:rPr>
        <w:t xml:space="preserve">se </w:t>
      </w:r>
      <w:r w:rsidR="009A4A1D" w:rsidRPr="00445B9C">
        <w:rPr>
          <w:rFonts w:cs="Arial"/>
          <w:szCs w:val="20"/>
        </w:rPr>
        <w:t xml:space="preserve">spremeni tako, da </w:t>
      </w:r>
      <w:r w:rsidR="00F85836" w:rsidRPr="00445B9C">
        <w:rPr>
          <w:rFonts w:cs="Arial"/>
          <w:szCs w:val="20"/>
        </w:rPr>
        <w:t xml:space="preserve">se glasi: </w:t>
      </w:r>
    </w:p>
    <w:p w14:paraId="630BFCDD" w14:textId="4DAED6E1" w:rsidR="00F85836" w:rsidRPr="00445B9C" w:rsidRDefault="00F85836">
      <w:pPr>
        <w:jc w:val="both"/>
        <w:rPr>
          <w:rFonts w:cs="Arial"/>
          <w:szCs w:val="20"/>
        </w:rPr>
      </w:pPr>
      <w:r w:rsidRPr="00445B9C">
        <w:rPr>
          <w:rFonts w:cs="Arial"/>
          <w:szCs w:val="20"/>
        </w:rPr>
        <w:t>»</w:t>
      </w:r>
      <w:r w:rsidR="00684A25">
        <w:rPr>
          <w:rFonts w:cs="Arial"/>
          <w:szCs w:val="20"/>
        </w:rPr>
        <w:t xml:space="preserve">1. </w:t>
      </w:r>
      <w:r w:rsidR="009E1C0C" w:rsidRPr="00445B9C">
        <w:rPr>
          <w:rFonts w:cs="Arial"/>
          <w:szCs w:val="20"/>
        </w:rPr>
        <w:t>objavi tedensko poročilo, ki vsebuje skupne pozicije, ki jih imajo posamezne kategorije oseb v različnih izvedenih finančnih instrumentih na blago ali izvedenih finančnih instrumentih na emisijske kupone, s katerimi se trguje na tem mestu trgovanja. V poročilu navede število dolgih in kratkih pozicij posameznih kategorij, njihovih sprememb glede na prejšnje poročilo, delež posamezne kategorije v skupn</w:t>
      </w:r>
      <w:r w:rsidR="00483913">
        <w:rPr>
          <w:rFonts w:cs="Arial"/>
          <w:szCs w:val="20"/>
        </w:rPr>
        <w:t>i</w:t>
      </w:r>
      <w:r w:rsidR="009E1C0C" w:rsidRPr="00445B9C">
        <w:rPr>
          <w:rFonts w:cs="Arial"/>
          <w:szCs w:val="20"/>
        </w:rPr>
        <w:t xml:space="preserve"> količini odprtih pozicij in število oseb, ki imajo pozicijo v posamezni kategoriji v skladu s petim odstavkom tega člena. Za mesta trgovanja, kjer se trguje tudi z opcijami, se objavita dve poročili, od tega so v enem izključene opcije;</w:t>
      </w:r>
      <w:r w:rsidRPr="00445B9C">
        <w:rPr>
          <w:rFonts w:cs="Arial"/>
          <w:szCs w:val="20"/>
        </w:rPr>
        <w:t>«.</w:t>
      </w:r>
    </w:p>
    <w:p w14:paraId="710EFA04" w14:textId="023CA172" w:rsidR="002F0A05" w:rsidRPr="00445B9C" w:rsidRDefault="003762CF"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tretjem odstavku se </w:t>
      </w:r>
      <w:r w:rsidR="00925549" w:rsidRPr="00445B9C">
        <w:rPr>
          <w:rFonts w:eastAsiaTheme="majorEastAsia" w:cs="Arial"/>
          <w:bCs/>
          <w:szCs w:val="20"/>
        </w:rPr>
        <w:t xml:space="preserve">v </w:t>
      </w:r>
      <w:r w:rsidRPr="00445B9C">
        <w:rPr>
          <w:rFonts w:eastAsiaTheme="majorEastAsia" w:cs="Arial"/>
          <w:bCs/>
          <w:szCs w:val="20"/>
        </w:rPr>
        <w:t>p</w:t>
      </w:r>
      <w:r w:rsidR="00340D86" w:rsidRPr="00445B9C">
        <w:rPr>
          <w:rFonts w:eastAsiaTheme="majorEastAsia" w:cs="Arial"/>
          <w:bCs/>
          <w:szCs w:val="20"/>
        </w:rPr>
        <w:t>rv</w:t>
      </w:r>
      <w:r w:rsidR="00925549" w:rsidRPr="00445B9C">
        <w:rPr>
          <w:rFonts w:eastAsiaTheme="majorEastAsia" w:cs="Arial"/>
          <w:bCs/>
          <w:szCs w:val="20"/>
        </w:rPr>
        <w:t>em</w:t>
      </w:r>
      <w:r w:rsidR="00340D86" w:rsidRPr="00445B9C">
        <w:rPr>
          <w:rFonts w:eastAsiaTheme="majorEastAsia" w:cs="Arial"/>
          <w:bCs/>
          <w:szCs w:val="20"/>
        </w:rPr>
        <w:t xml:space="preserve"> stavk</w:t>
      </w:r>
      <w:r w:rsidR="00925549" w:rsidRPr="00445B9C">
        <w:rPr>
          <w:rFonts w:eastAsiaTheme="majorEastAsia" w:cs="Arial"/>
          <w:bCs/>
          <w:szCs w:val="20"/>
        </w:rPr>
        <w:t>u</w:t>
      </w:r>
      <w:r w:rsidR="00340D86" w:rsidRPr="00445B9C">
        <w:rPr>
          <w:rFonts w:eastAsiaTheme="majorEastAsia" w:cs="Arial"/>
          <w:bCs/>
          <w:szCs w:val="20"/>
        </w:rPr>
        <w:t xml:space="preserve"> </w:t>
      </w:r>
      <w:r w:rsidR="00D51101" w:rsidRPr="00445B9C">
        <w:rPr>
          <w:rFonts w:eastAsiaTheme="majorEastAsia" w:cs="Arial"/>
          <w:bCs/>
          <w:szCs w:val="20"/>
        </w:rPr>
        <w:t>besedilo »emisijskimi kuponi ali njihovimi izvedenimi finančnimi instrumenti«</w:t>
      </w:r>
      <w:r w:rsidR="00590CFC" w:rsidRPr="00445B9C">
        <w:rPr>
          <w:rFonts w:eastAsiaTheme="majorEastAsia" w:cs="Arial"/>
          <w:bCs/>
          <w:szCs w:val="20"/>
        </w:rPr>
        <w:t xml:space="preserve"> </w:t>
      </w:r>
      <w:r w:rsidR="00D51101" w:rsidRPr="00445B9C">
        <w:rPr>
          <w:rFonts w:eastAsiaTheme="majorEastAsia" w:cs="Arial"/>
          <w:bCs/>
          <w:szCs w:val="20"/>
        </w:rPr>
        <w:t>nadomesti z besedilom »izvedenimi finančnimi instrumenti na emisijske kupone«</w:t>
      </w:r>
      <w:r w:rsidR="00925549" w:rsidRPr="00445B9C">
        <w:rPr>
          <w:rFonts w:eastAsiaTheme="majorEastAsia" w:cs="Arial"/>
          <w:bCs/>
          <w:szCs w:val="20"/>
        </w:rPr>
        <w:t>,</w:t>
      </w:r>
      <w:r w:rsidR="00D51101" w:rsidRPr="00445B9C">
        <w:rPr>
          <w:rFonts w:eastAsiaTheme="majorEastAsia" w:cs="Arial"/>
          <w:bCs/>
          <w:szCs w:val="20"/>
        </w:rPr>
        <w:t xml:space="preserve"> besedilo »emisijskih kuponih ali njihovih izvedenih finančnih instrumentih«</w:t>
      </w:r>
      <w:r w:rsidR="00590CFC" w:rsidRPr="00445B9C">
        <w:rPr>
          <w:rFonts w:eastAsiaTheme="majorEastAsia" w:cs="Arial"/>
          <w:bCs/>
          <w:szCs w:val="20"/>
        </w:rPr>
        <w:t xml:space="preserve"> </w:t>
      </w:r>
      <w:r w:rsidR="00925549" w:rsidRPr="00445B9C">
        <w:rPr>
          <w:rFonts w:eastAsiaTheme="majorEastAsia" w:cs="Arial"/>
          <w:bCs/>
          <w:szCs w:val="20"/>
        </w:rPr>
        <w:t xml:space="preserve">pa se </w:t>
      </w:r>
      <w:r w:rsidR="00D51101" w:rsidRPr="00445B9C">
        <w:rPr>
          <w:rFonts w:eastAsiaTheme="majorEastAsia" w:cs="Arial"/>
          <w:bCs/>
          <w:szCs w:val="20"/>
        </w:rPr>
        <w:t>nadomesti z besedil</w:t>
      </w:r>
      <w:r w:rsidR="00825024" w:rsidRPr="00445B9C">
        <w:rPr>
          <w:rFonts w:eastAsiaTheme="majorEastAsia" w:cs="Arial"/>
          <w:bCs/>
          <w:szCs w:val="20"/>
        </w:rPr>
        <w:t>o</w:t>
      </w:r>
      <w:r w:rsidR="00D51101" w:rsidRPr="00445B9C">
        <w:rPr>
          <w:rFonts w:eastAsiaTheme="majorEastAsia" w:cs="Arial"/>
          <w:bCs/>
          <w:szCs w:val="20"/>
        </w:rPr>
        <w:t>m »izvedenih finančnih instrumentih na emisijske kupone«.</w:t>
      </w:r>
    </w:p>
    <w:p w14:paraId="669A5E51" w14:textId="19B0F288" w:rsidR="00340D86" w:rsidRPr="00445B9C" w:rsidRDefault="003762CF"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petem odstavku se </w:t>
      </w:r>
      <w:r w:rsidR="00925549" w:rsidRPr="00445B9C">
        <w:rPr>
          <w:rFonts w:eastAsiaTheme="majorEastAsia" w:cs="Arial"/>
          <w:bCs/>
          <w:szCs w:val="20"/>
        </w:rPr>
        <w:t xml:space="preserve">v </w:t>
      </w:r>
      <w:r w:rsidRPr="00445B9C">
        <w:rPr>
          <w:rFonts w:eastAsiaTheme="majorEastAsia" w:cs="Arial"/>
          <w:bCs/>
          <w:szCs w:val="20"/>
        </w:rPr>
        <w:t>n</w:t>
      </w:r>
      <w:r w:rsidR="00A10CE9" w:rsidRPr="00445B9C">
        <w:rPr>
          <w:rFonts w:eastAsiaTheme="majorEastAsia" w:cs="Arial"/>
          <w:bCs/>
          <w:szCs w:val="20"/>
        </w:rPr>
        <w:t>apovedn</w:t>
      </w:r>
      <w:r w:rsidR="00925549" w:rsidRPr="00445B9C">
        <w:rPr>
          <w:rFonts w:eastAsiaTheme="majorEastAsia" w:cs="Arial"/>
          <w:bCs/>
          <w:szCs w:val="20"/>
        </w:rPr>
        <w:t>em</w:t>
      </w:r>
      <w:r w:rsidR="00A10CE9" w:rsidRPr="00445B9C">
        <w:rPr>
          <w:rFonts w:eastAsiaTheme="majorEastAsia" w:cs="Arial"/>
          <w:bCs/>
          <w:szCs w:val="20"/>
        </w:rPr>
        <w:t xml:space="preserve"> stavk</w:t>
      </w:r>
      <w:r w:rsidR="00925549" w:rsidRPr="00445B9C">
        <w:rPr>
          <w:rFonts w:eastAsiaTheme="majorEastAsia" w:cs="Arial"/>
          <w:bCs/>
          <w:szCs w:val="20"/>
        </w:rPr>
        <w:t>u</w:t>
      </w:r>
      <w:r w:rsidR="00A10CE9" w:rsidRPr="00445B9C">
        <w:rPr>
          <w:rFonts w:eastAsiaTheme="majorEastAsia" w:cs="Arial"/>
          <w:bCs/>
          <w:szCs w:val="20"/>
        </w:rPr>
        <w:t xml:space="preserve"> </w:t>
      </w:r>
      <w:r w:rsidR="000F68AF" w:rsidRPr="00445B9C">
        <w:rPr>
          <w:rFonts w:eastAsiaTheme="majorEastAsia" w:cs="Arial"/>
          <w:bCs/>
          <w:szCs w:val="20"/>
        </w:rPr>
        <w:t xml:space="preserve">in 5. točki </w:t>
      </w:r>
      <w:r w:rsidR="006A204B" w:rsidRPr="00445B9C">
        <w:rPr>
          <w:rFonts w:eastAsiaTheme="majorEastAsia" w:cs="Arial"/>
          <w:bCs/>
          <w:szCs w:val="20"/>
        </w:rPr>
        <w:t>besedilo »emisijskimi kuponi ali njihovimi izvedenimi finančnimi instrumenti« nadomesti z besedilom »izvedenimi finančnimi instrumenti na emisijske kupone«</w:t>
      </w:r>
      <w:r w:rsidR="00992729" w:rsidRPr="00445B9C">
        <w:rPr>
          <w:rFonts w:eastAsiaTheme="majorEastAsia" w:cs="Arial"/>
          <w:bCs/>
          <w:szCs w:val="20"/>
        </w:rPr>
        <w:t>.</w:t>
      </w:r>
      <w:r w:rsidR="000C702F" w:rsidRPr="00445B9C">
        <w:rPr>
          <w:rFonts w:eastAsiaTheme="majorEastAsia" w:cs="Arial"/>
          <w:bCs/>
          <w:szCs w:val="20"/>
        </w:rPr>
        <w:t xml:space="preserve"> </w:t>
      </w:r>
    </w:p>
    <w:p w14:paraId="282A6ED8" w14:textId="7F93A438" w:rsidR="000C702F" w:rsidRPr="00445B9C" w:rsidRDefault="000C702F"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1. točki se besedilo »borznoposredniške družbe in banke« nadomesti z besedilom »borznoposredniške družbe, banke in kreditne družbe«.</w:t>
      </w:r>
    </w:p>
    <w:p w14:paraId="4B2134CC" w14:textId="77777777" w:rsidR="00CF7586" w:rsidRPr="00445B9C" w:rsidRDefault="00CF7586"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osmem odstavku se za besedilom »ne uporablja za« doda beseda »ostale«.</w:t>
      </w:r>
    </w:p>
    <w:p w14:paraId="53F35B1D" w14:textId="77777777" w:rsidR="0092037A" w:rsidRPr="00445B9C" w:rsidRDefault="0092037A" w:rsidP="00BA786D">
      <w:pPr>
        <w:spacing w:before="240" w:after="240" w:line="259" w:lineRule="auto"/>
        <w:jc w:val="both"/>
        <w:outlineLvl w:val="0"/>
        <w:rPr>
          <w:rFonts w:eastAsiaTheme="majorEastAsia" w:cs="Arial"/>
          <w:bCs/>
          <w:szCs w:val="20"/>
        </w:rPr>
      </w:pPr>
      <w:r w:rsidRPr="00445B9C">
        <w:rPr>
          <w:rFonts w:eastAsiaTheme="majorEastAsia" w:cs="Arial"/>
          <w:bCs/>
          <w:szCs w:val="20"/>
        </w:rPr>
        <w:t>Za osmim odstavkom se doda nov</w:t>
      </w:r>
      <w:r w:rsidR="00925549" w:rsidRPr="00445B9C">
        <w:rPr>
          <w:rFonts w:eastAsiaTheme="majorEastAsia" w:cs="Arial"/>
          <w:bCs/>
          <w:szCs w:val="20"/>
        </w:rPr>
        <w:t>,</w:t>
      </w:r>
      <w:r w:rsidRPr="00445B9C">
        <w:rPr>
          <w:rFonts w:eastAsiaTheme="majorEastAsia" w:cs="Arial"/>
          <w:bCs/>
          <w:szCs w:val="20"/>
        </w:rPr>
        <w:t xml:space="preserve"> deveti odstavek, ki se glasi:</w:t>
      </w:r>
    </w:p>
    <w:p w14:paraId="39FB3BAE" w14:textId="51C1D110" w:rsidR="0092037A" w:rsidRPr="00445B9C" w:rsidRDefault="0092037A" w:rsidP="00BA786D">
      <w:pPr>
        <w:spacing w:before="240" w:after="240" w:line="259" w:lineRule="auto"/>
        <w:jc w:val="both"/>
        <w:outlineLvl w:val="0"/>
        <w:rPr>
          <w:rFonts w:eastAsiaTheme="majorEastAsia" w:cs="Arial"/>
          <w:bCs/>
          <w:szCs w:val="20"/>
        </w:rPr>
      </w:pPr>
      <w:r w:rsidRPr="00445B9C">
        <w:rPr>
          <w:rFonts w:eastAsiaTheme="majorEastAsia" w:cs="Arial"/>
          <w:bCs/>
          <w:szCs w:val="20"/>
        </w:rPr>
        <w:t>»(9) Upravljavec mesta trgovanja informacije iz 1. točke prvega odstavka tega člena hkrati z objavo pošlje tudi ESMA. Informacije so skladne z zahtevami, kot jih določa šesti odstavek 257.a člena tega zakona.«</w:t>
      </w:r>
      <w:r w:rsidR="007C5912" w:rsidRPr="00445B9C">
        <w:rPr>
          <w:rFonts w:eastAsiaTheme="majorEastAsia" w:cs="Arial"/>
          <w:bCs/>
          <w:szCs w:val="20"/>
        </w:rPr>
        <w:t>.</w:t>
      </w:r>
    </w:p>
    <w:p w14:paraId="3D530F4C" w14:textId="5A1771B4" w:rsidR="00427E3C" w:rsidRPr="00445B9C" w:rsidRDefault="00427E3C" w:rsidP="00427E3C">
      <w:pPr>
        <w:numPr>
          <w:ilvl w:val="0"/>
          <w:numId w:val="16"/>
        </w:numPr>
        <w:spacing w:before="240" w:after="240" w:line="259" w:lineRule="auto"/>
        <w:ind w:left="720"/>
        <w:jc w:val="center"/>
        <w:outlineLvl w:val="0"/>
        <w:rPr>
          <w:rFonts w:eastAsiaTheme="majorEastAsia" w:cs="Arial"/>
          <w:b/>
          <w:szCs w:val="20"/>
        </w:rPr>
      </w:pPr>
      <w:bookmarkStart w:id="44" w:name="_Ref196825761"/>
      <w:r w:rsidRPr="00445B9C">
        <w:rPr>
          <w:rFonts w:eastAsiaTheme="majorEastAsia" w:cs="Arial"/>
          <w:b/>
          <w:szCs w:val="20"/>
        </w:rPr>
        <w:t>člen</w:t>
      </w:r>
      <w:bookmarkEnd w:id="44"/>
    </w:p>
    <w:p w14:paraId="38CDEF4A" w14:textId="2C97BAAA" w:rsidR="00427E3C" w:rsidRPr="00445B9C" w:rsidRDefault="00427E3C" w:rsidP="00427E3C">
      <w:pPr>
        <w:jc w:val="both"/>
        <w:rPr>
          <w:rFonts w:eastAsiaTheme="majorEastAsia" w:cs="Arial"/>
          <w:szCs w:val="20"/>
        </w:rPr>
      </w:pPr>
      <w:r w:rsidRPr="00445B9C">
        <w:rPr>
          <w:rFonts w:eastAsiaTheme="majorEastAsia" w:cs="Arial"/>
          <w:szCs w:val="20"/>
        </w:rPr>
        <w:t>V 344. členu se v drugem odstavku besedilo »borznoposredniškimi družbami in bankami« nadomesti z besedilom »borznoposredniškimi družbami, bankami in kreditnimi družbami«.</w:t>
      </w:r>
    </w:p>
    <w:p w14:paraId="762D5B5F" w14:textId="5412FAC7" w:rsidR="006A2506" w:rsidRPr="00445B9C" w:rsidRDefault="00293E8F" w:rsidP="00F810E6">
      <w:pPr>
        <w:numPr>
          <w:ilvl w:val="0"/>
          <w:numId w:val="16"/>
        </w:numPr>
        <w:spacing w:before="240" w:after="240" w:line="259" w:lineRule="auto"/>
        <w:ind w:left="720"/>
        <w:jc w:val="center"/>
        <w:outlineLvl w:val="0"/>
        <w:rPr>
          <w:rFonts w:eastAsiaTheme="majorEastAsia" w:cs="Arial"/>
          <w:b/>
          <w:szCs w:val="20"/>
        </w:rPr>
      </w:pPr>
      <w:bookmarkStart w:id="45" w:name="_Ref192067456"/>
      <w:r w:rsidRPr="00445B9C">
        <w:rPr>
          <w:rFonts w:eastAsiaTheme="majorEastAsia" w:cs="Arial"/>
          <w:b/>
          <w:szCs w:val="20"/>
        </w:rPr>
        <w:t>č</w:t>
      </w:r>
      <w:r w:rsidR="006A2506" w:rsidRPr="00445B9C">
        <w:rPr>
          <w:rFonts w:eastAsiaTheme="majorEastAsia" w:cs="Arial"/>
          <w:b/>
          <w:szCs w:val="20"/>
        </w:rPr>
        <w:t>len</w:t>
      </w:r>
      <w:bookmarkEnd w:id="45"/>
    </w:p>
    <w:p w14:paraId="4517518F" w14:textId="3F934DF4" w:rsidR="00BF5C70" w:rsidRPr="00445B9C" w:rsidRDefault="00BF5C70"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357. členu se </w:t>
      </w:r>
      <w:r w:rsidR="007C5912" w:rsidRPr="00445B9C">
        <w:rPr>
          <w:rFonts w:eastAsiaTheme="majorEastAsia" w:cs="Arial"/>
          <w:bCs/>
          <w:szCs w:val="20"/>
        </w:rPr>
        <w:t xml:space="preserve">v sedmem odstavku </w:t>
      </w:r>
      <w:r w:rsidRPr="00445B9C">
        <w:rPr>
          <w:rFonts w:eastAsiaTheme="majorEastAsia" w:cs="Arial"/>
          <w:bCs/>
          <w:szCs w:val="20"/>
        </w:rPr>
        <w:t>besed</w:t>
      </w:r>
      <w:r w:rsidR="000F68AF" w:rsidRPr="00445B9C">
        <w:rPr>
          <w:rFonts w:eastAsiaTheme="majorEastAsia" w:cs="Arial"/>
          <w:bCs/>
          <w:szCs w:val="20"/>
        </w:rPr>
        <w:t>ilo</w:t>
      </w:r>
      <w:r w:rsidRPr="00445B9C">
        <w:rPr>
          <w:rFonts w:eastAsiaTheme="majorEastAsia" w:cs="Arial"/>
          <w:bCs/>
          <w:szCs w:val="20"/>
        </w:rPr>
        <w:t xml:space="preserve"> »prejšnjega</w:t>
      </w:r>
      <w:r w:rsidR="000F68AF" w:rsidRPr="00445B9C">
        <w:rPr>
          <w:rFonts w:eastAsiaTheme="majorEastAsia" w:cs="Arial"/>
          <w:bCs/>
          <w:szCs w:val="20"/>
        </w:rPr>
        <w:t xml:space="preserve"> odstavka</w:t>
      </w:r>
      <w:r w:rsidRPr="00445B9C">
        <w:rPr>
          <w:rFonts w:eastAsiaTheme="majorEastAsia" w:cs="Arial"/>
          <w:bCs/>
          <w:szCs w:val="20"/>
        </w:rPr>
        <w:t>« nadomesti z besed</w:t>
      </w:r>
      <w:r w:rsidR="000F68AF" w:rsidRPr="00445B9C">
        <w:rPr>
          <w:rFonts w:eastAsiaTheme="majorEastAsia" w:cs="Arial"/>
          <w:bCs/>
          <w:szCs w:val="20"/>
        </w:rPr>
        <w:t>ilom</w:t>
      </w:r>
      <w:r w:rsidRPr="00445B9C">
        <w:rPr>
          <w:rFonts w:eastAsiaTheme="majorEastAsia" w:cs="Arial"/>
          <w:bCs/>
          <w:szCs w:val="20"/>
        </w:rPr>
        <w:t xml:space="preserve"> »četrtega</w:t>
      </w:r>
      <w:r w:rsidR="000F68AF" w:rsidRPr="00445B9C">
        <w:rPr>
          <w:rFonts w:eastAsiaTheme="majorEastAsia" w:cs="Arial"/>
          <w:bCs/>
          <w:szCs w:val="20"/>
        </w:rPr>
        <w:t xml:space="preserve"> odstavka tega člena</w:t>
      </w:r>
      <w:r w:rsidRPr="00445B9C">
        <w:rPr>
          <w:rFonts w:eastAsiaTheme="majorEastAsia" w:cs="Arial"/>
          <w:bCs/>
          <w:szCs w:val="20"/>
        </w:rPr>
        <w:t xml:space="preserve">«. </w:t>
      </w:r>
    </w:p>
    <w:p w14:paraId="2AA0B324" w14:textId="5832FC93" w:rsidR="00AE52A2" w:rsidRPr="00445B9C" w:rsidRDefault="00293E8F" w:rsidP="00F810E6">
      <w:pPr>
        <w:numPr>
          <w:ilvl w:val="0"/>
          <w:numId w:val="16"/>
        </w:numPr>
        <w:spacing w:before="240" w:after="240" w:line="259" w:lineRule="auto"/>
        <w:ind w:left="720"/>
        <w:jc w:val="center"/>
        <w:outlineLvl w:val="0"/>
        <w:rPr>
          <w:rFonts w:eastAsiaTheme="majorEastAsia" w:cs="Arial"/>
          <w:b/>
          <w:szCs w:val="20"/>
        </w:rPr>
      </w:pPr>
      <w:bookmarkStart w:id="46" w:name="_Ref192067465"/>
      <w:r w:rsidRPr="00445B9C">
        <w:rPr>
          <w:rFonts w:eastAsiaTheme="majorEastAsia" w:cs="Arial"/>
          <w:b/>
          <w:szCs w:val="20"/>
        </w:rPr>
        <w:t>č</w:t>
      </w:r>
      <w:r w:rsidR="00AE52A2" w:rsidRPr="00445B9C">
        <w:rPr>
          <w:rFonts w:eastAsiaTheme="majorEastAsia" w:cs="Arial"/>
          <w:b/>
          <w:szCs w:val="20"/>
        </w:rPr>
        <w:t>len</w:t>
      </w:r>
      <w:bookmarkEnd w:id="46"/>
    </w:p>
    <w:p w14:paraId="72053DE6" w14:textId="2509B5F9" w:rsidR="00AE52A2" w:rsidRPr="00445B9C" w:rsidRDefault="00AE52A2" w:rsidP="00BA786D">
      <w:pPr>
        <w:spacing w:before="240" w:after="240" w:line="259" w:lineRule="auto"/>
        <w:jc w:val="both"/>
        <w:outlineLvl w:val="0"/>
        <w:rPr>
          <w:rFonts w:eastAsiaTheme="majorEastAsia" w:cs="Arial"/>
          <w:bCs/>
          <w:szCs w:val="20"/>
        </w:rPr>
      </w:pPr>
      <w:r w:rsidRPr="00445B9C">
        <w:rPr>
          <w:rFonts w:eastAsiaTheme="majorEastAsia" w:cs="Arial"/>
          <w:bCs/>
          <w:szCs w:val="20"/>
        </w:rPr>
        <w:t>Za 357. členom se doda nov</w:t>
      </w:r>
      <w:r w:rsidR="009F6193" w:rsidRPr="00445B9C">
        <w:rPr>
          <w:rFonts w:eastAsiaTheme="majorEastAsia" w:cs="Arial"/>
          <w:bCs/>
          <w:szCs w:val="20"/>
        </w:rPr>
        <w:t>,</w:t>
      </w:r>
      <w:r w:rsidRPr="00445B9C">
        <w:rPr>
          <w:rFonts w:eastAsiaTheme="majorEastAsia" w:cs="Arial"/>
          <w:bCs/>
          <w:szCs w:val="20"/>
        </w:rPr>
        <w:t xml:space="preserve"> 357.a člen, ki se glasi:</w:t>
      </w:r>
    </w:p>
    <w:p w14:paraId="4E2487E1" w14:textId="77777777" w:rsidR="00AE52A2" w:rsidRPr="00445B9C" w:rsidRDefault="00AE52A2" w:rsidP="00BA786D">
      <w:pPr>
        <w:spacing w:before="240" w:after="240" w:line="259" w:lineRule="auto"/>
        <w:jc w:val="center"/>
        <w:outlineLvl w:val="0"/>
        <w:rPr>
          <w:rFonts w:eastAsiaTheme="majorEastAsia" w:cs="Arial"/>
          <w:b/>
          <w:szCs w:val="20"/>
        </w:rPr>
      </w:pPr>
      <w:r w:rsidRPr="00445B9C">
        <w:rPr>
          <w:rFonts w:eastAsiaTheme="majorEastAsia" w:cs="Arial"/>
          <w:b/>
          <w:szCs w:val="20"/>
        </w:rPr>
        <w:t>»357.a člen</w:t>
      </w:r>
    </w:p>
    <w:p w14:paraId="6A7DAF28" w14:textId="11226CA0" w:rsidR="00AE52A2" w:rsidRPr="00445B9C" w:rsidRDefault="00AE52A2" w:rsidP="00BA786D">
      <w:pPr>
        <w:spacing w:before="240" w:after="240" w:line="259" w:lineRule="auto"/>
        <w:jc w:val="center"/>
        <w:outlineLvl w:val="0"/>
        <w:rPr>
          <w:rFonts w:eastAsiaTheme="majorEastAsia" w:cs="Arial"/>
          <w:b/>
          <w:szCs w:val="20"/>
        </w:rPr>
      </w:pPr>
      <w:r w:rsidRPr="00445B9C">
        <w:rPr>
          <w:rFonts w:eastAsiaTheme="majorEastAsia" w:cs="Arial"/>
          <w:b/>
          <w:szCs w:val="20"/>
        </w:rPr>
        <w:lastRenderedPageBreak/>
        <w:t>(posredovanje informacij v evropsko enotno točko dostopa)</w:t>
      </w:r>
    </w:p>
    <w:p w14:paraId="72B58B5D" w14:textId="600475C1"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 xml:space="preserve">(1) Agencija je organ za zbiranje podatkov, kot je opredeljen v 2. točki 2. člena Uredbe 2023/2859/EU, za informacije iz desetega odstavka 322. </w:t>
      </w:r>
      <w:r w:rsidR="000F68AF" w:rsidRPr="00445B9C">
        <w:rPr>
          <w:rFonts w:eastAsiaTheme="majorEastAsia" w:cs="Arial"/>
          <w:bCs/>
          <w:szCs w:val="20"/>
        </w:rPr>
        <w:t xml:space="preserve">člena, </w:t>
      </w:r>
      <w:r w:rsidRPr="00445B9C">
        <w:rPr>
          <w:rFonts w:eastAsiaTheme="majorEastAsia" w:cs="Arial"/>
          <w:bCs/>
          <w:szCs w:val="20"/>
        </w:rPr>
        <w:t xml:space="preserve">osmega odstavka 326. </w:t>
      </w:r>
      <w:r w:rsidR="000F68AF" w:rsidRPr="00445B9C">
        <w:rPr>
          <w:rFonts w:eastAsiaTheme="majorEastAsia" w:cs="Arial"/>
          <w:bCs/>
          <w:szCs w:val="20"/>
        </w:rPr>
        <w:t xml:space="preserve">člena, </w:t>
      </w:r>
      <w:r w:rsidRPr="00445B9C">
        <w:rPr>
          <w:rFonts w:eastAsiaTheme="majorEastAsia" w:cs="Arial"/>
          <w:bCs/>
          <w:szCs w:val="20"/>
        </w:rPr>
        <w:t xml:space="preserve">četrtega odstavka 368. </w:t>
      </w:r>
      <w:r w:rsidR="000F68AF" w:rsidRPr="00445B9C">
        <w:rPr>
          <w:rFonts w:eastAsiaTheme="majorEastAsia" w:cs="Arial"/>
          <w:bCs/>
          <w:szCs w:val="20"/>
        </w:rPr>
        <w:t xml:space="preserve">člena </w:t>
      </w:r>
      <w:r w:rsidRPr="00445B9C">
        <w:rPr>
          <w:rFonts w:eastAsiaTheme="majorEastAsia" w:cs="Arial"/>
          <w:bCs/>
          <w:szCs w:val="20"/>
        </w:rPr>
        <w:t>in tretjega odstavka 406. člena tega zakona ter zagotavlja, da so te informacije dostopne v evropski enotni točki dostopa, vzpostavljeni na podlagi</w:t>
      </w:r>
      <w:r w:rsidR="00B26C8C" w:rsidRPr="00445B9C">
        <w:rPr>
          <w:rFonts w:eastAsiaTheme="majorEastAsia" w:cs="Arial"/>
          <w:bCs/>
          <w:szCs w:val="20"/>
        </w:rPr>
        <w:t xml:space="preserve"> prvega odstavka 1. člena</w:t>
      </w:r>
      <w:r w:rsidRPr="00445B9C">
        <w:rPr>
          <w:rFonts w:eastAsiaTheme="majorEastAsia" w:cs="Arial"/>
          <w:bCs/>
          <w:szCs w:val="20"/>
        </w:rPr>
        <w:t xml:space="preserve"> Uredbe 2023/2859/EU.</w:t>
      </w:r>
    </w:p>
    <w:p w14:paraId="39B055F6" w14:textId="70ADE793"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(2) Informacije iz prejšnjega odstavka so skladne z naslednjimi zahtevami:</w:t>
      </w:r>
    </w:p>
    <w:p w14:paraId="3CDE9CDA" w14:textId="5CADEABA"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 xml:space="preserve">1. predložene </w:t>
      </w:r>
      <w:r w:rsidR="00483913" w:rsidRPr="00445B9C">
        <w:rPr>
          <w:rFonts w:eastAsiaTheme="majorEastAsia" w:cs="Arial"/>
          <w:bCs/>
          <w:szCs w:val="20"/>
        </w:rPr>
        <w:t xml:space="preserve">so </w:t>
      </w:r>
      <w:r w:rsidRPr="00445B9C">
        <w:rPr>
          <w:rFonts w:eastAsiaTheme="majorEastAsia" w:cs="Arial"/>
          <w:bCs/>
          <w:szCs w:val="20"/>
        </w:rPr>
        <w:t>v formatu, ki omogoča izvoz podatkov, kakor je opredeljen v 3. točki 2. člena Uredbe 2023/2859/EU</w:t>
      </w:r>
      <w:r w:rsidR="00322D02">
        <w:rPr>
          <w:rFonts w:eastAsiaTheme="majorEastAsia" w:cs="Arial"/>
          <w:bCs/>
          <w:szCs w:val="20"/>
        </w:rPr>
        <w:t>,</w:t>
      </w:r>
      <w:r w:rsidRPr="00445B9C">
        <w:rPr>
          <w:rFonts w:eastAsiaTheme="majorEastAsia" w:cs="Arial"/>
          <w:bCs/>
          <w:szCs w:val="20"/>
        </w:rPr>
        <w:t xml:space="preserve"> ali, kadar to zahtevajo predpisi, v strojno berljivem formatu, kakor je opredeljen v 4. točki 2. člena Uredbe 2023/2859/EU;</w:t>
      </w:r>
      <w:r w:rsidR="00483913">
        <w:rPr>
          <w:rFonts w:eastAsiaTheme="majorEastAsia" w:cs="Arial"/>
          <w:bCs/>
          <w:szCs w:val="20"/>
        </w:rPr>
        <w:t xml:space="preserve"> </w:t>
      </w:r>
    </w:p>
    <w:p w14:paraId="433432E8" w14:textId="3A6412A1"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2.</w:t>
      </w:r>
      <w:r w:rsidRPr="00445B9C">
        <w:rPr>
          <w:rFonts w:eastAsiaTheme="majorEastAsia" w:cs="Arial"/>
          <w:bCs/>
          <w:szCs w:val="20"/>
        </w:rPr>
        <w:tab/>
        <w:t>vsebujejo naslednje metapodatke:</w:t>
      </w:r>
    </w:p>
    <w:p w14:paraId="4491D4B5" w14:textId="4B64EEEF" w:rsidR="00AE52A2" w:rsidRPr="00445B9C" w:rsidRDefault="00322D02"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vsa imena družbe</w:t>
      </w:r>
      <w:r w:rsidR="000F68AF" w:rsidRPr="00445B9C">
        <w:rPr>
          <w:rFonts w:eastAsiaTheme="majorEastAsia" w:cs="Arial"/>
          <w:bCs/>
          <w:szCs w:val="20"/>
        </w:rPr>
        <w:t>,</w:t>
      </w:r>
      <w:r w:rsidR="00AE52A2" w:rsidRPr="00445B9C">
        <w:rPr>
          <w:rFonts w:eastAsiaTheme="majorEastAsia" w:cs="Arial"/>
          <w:bCs/>
          <w:szCs w:val="20"/>
        </w:rPr>
        <w:t xml:space="preserve"> na katero se informacije nanašajo;</w:t>
      </w:r>
    </w:p>
    <w:p w14:paraId="299A0935" w14:textId="05767075" w:rsidR="00AE52A2" w:rsidRPr="00445B9C" w:rsidRDefault="00322D02"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enolično mednarodno identifikacijsko številko (LEI</w:t>
      </w:r>
      <w:r>
        <w:rPr>
          <w:rFonts w:eastAsiaTheme="majorEastAsia" w:cs="Arial"/>
          <w:bCs/>
          <w:szCs w:val="20"/>
        </w:rPr>
        <w:t>-</w:t>
      </w:r>
      <w:r w:rsidR="00AE52A2" w:rsidRPr="00445B9C">
        <w:rPr>
          <w:rFonts w:eastAsiaTheme="majorEastAsia" w:cs="Arial"/>
          <w:bCs/>
          <w:szCs w:val="20"/>
        </w:rPr>
        <w:t>koda) družbe, kot je določena na podlagi b) točke četrtega odstavka 7. člena Uredbe 2023/2859/EU;</w:t>
      </w:r>
    </w:p>
    <w:p w14:paraId="15600DD9" w14:textId="57017270" w:rsidR="00AE52A2" w:rsidRPr="00445B9C" w:rsidRDefault="00322D02"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velikost družbe po kategorijah, kot so določene na podlagi d) točke četrtega odstavka 7. člena Uredbe 2023/2859/EU;</w:t>
      </w:r>
    </w:p>
    <w:p w14:paraId="20FFFE46" w14:textId="687CE6F0" w:rsidR="00AE52A2" w:rsidRPr="00445B9C" w:rsidRDefault="00322D02"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vrst</w:t>
      </w:r>
      <w:r w:rsidR="00CD0B50" w:rsidRPr="00445B9C">
        <w:rPr>
          <w:rFonts w:eastAsiaTheme="majorEastAsia" w:cs="Arial"/>
          <w:bCs/>
          <w:szCs w:val="20"/>
        </w:rPr>
        <w:t>o</w:t>
      </w:r>
      <w:r w:rsidR="00AE52A2" w:rsidRPr="00445B9C">
        <w:rPr>
          <w:rFonts w:eastAsiaTheme="majorEastAsia" w:cs="Arial"/>
          <w:bCs/>
          <w:szCs w:val="20"/>
        </w:rPr>
        <w:t xml:space="preserve"> informacij glede na razvrstitev na podlagi c) točke četrtega odstavka 7. člena Uredbe 2023/2859/EU; </w:t>
      </w:r>
    </w:p>
    <w:p w14:paraId="17CA7F00" w14:textId="79218971" w:rsidR="00AE52A2" w:rsidRPr="00445B9C" w:rsidRDefault="00322D02"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oznak</w:t>
      </w:r>
      <w:r w:rsidR="00CD0B50" w:rsidRPr="00445B9C">
        <w:rPr>
          <w:rFonts w:eastAsiaTheme="majorEastAsia" w:cs="Arial"/>
          <w:bCs/>
          <w:szCs w:val="20"/>
        </w:rPr>
        <w:t>o</w:t>
      </w:r>
      <w:r w:rsidR="00AE52A2" w:rsidRPr="00445B9C">
        <w:rPr>
          <w:rFonts w:eastAsiaTheme="majorEastAsia" w:cs="Arial"/>
          <w:bCs/>
          <w:szCs w:val="20"/>
        </w:rPr>
        <w:t>, ali informacije vsebujejo osebne podatke.</w:t>
      </w:r>
    </w:p>
    <w:p w14:paraId="4E76E5FC" w14:textId="0797E3AF"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 xml:space="preserve">(3) Družbe, ki poročajo </w:t>
      </w:r>
      <w:r w:rsidR="00322D02">
        <w:rPr>
          <w:rFonts w:eastAsiaTheme="majorEastAsia" w:cs="Arial"/>
          <w:bCs/>
          <w:szCs w:val="20"/>
        </w:rPr>
        <w:t xml:space="preserve">v </w:t>
      </w:r>
      <w:r w:rsidRPr="00445B9C">
        <w:rPr>
          <w:rFonts w:eastAsiaTheme="majorEastAsia" w:cs="Arial"/>
          <w:bCs/>
          <w:szCs w:val="20"/>
        </w:rPr>
        <w:t>sklad</w:t>
      </w:r>
      <w:r w:rsidR="00322D02">
        <w:rPr>
          <w:rFonts w:eastAsiaTheme="majorEastAsia" w:cs="Arial"/>
          <w:bCs/>
          <w:szCs w:val="20"/>
        </w:rPr>
        <w:t>u</w:t>
      </w:r>
      <w:r w:rsidRPr="00445B9C">
        <w:rPr>
          <w:rFonts w:eastAsiaTheme="majorEastAsia" w:cs="Arial"/>
          <w:bCs/>
          <w:szCs w:val="20"/>
        </w:rPr>
        <w:t xml:space="preserve"> </w:t>
      </w:r>
      <w:r w:rsidR="000F68AF" w:rsidRPr="00445B9C">
        <w:rPr>
          <w:rFonts w:eastAsiaTheme="majorEastAsia" w:cs="Arial"/>
          <w:bCs/>
          <w:szCs w:val="20"/>
        </w:rPr>
        <w:t xml:space="preserve">s </w:t>
      </w:r>
      <w:r w:rsidRPr="00445B9C">
        <w:rPr>
          <w:rFonts w:eastAsiaTheme="majorEastAsia" w:cs="Arial"/>
          <w:bCs/>
          <w:szCs w:val="20"/>
        </w:rPr>
        <w:t>prv</w:t>
      </w:r>
      <w:r w:rsidR="000F68AF" w:rsidRPr="00445B9C">
        <w:rPr>
          <w:rFonts w:eastAsiaTheme="majorEastAsia" w:cs="Arial"/>
          <w:bCs/>
          <w:szCs w:val="20"/>
        </w:rPr>
        <w:t>im</w:t>
      </w:r>
      <w:r w:rsidRPr="00445B9C">
        <w:rPr>
          <w:rFonts w:eastAsiaTheme="majorEastAsia" w:cs="Arial"/>
          <w:bCs/>
          <w:szCs w:val="20"/>
        </w:rPr>
        <w:t xml:space="preserve"> odstavk</w:t>
      </w:r>
      <w:r w:rsidR="000F68AF" w:rsidRPr="00445B9C">
        <w:rPr>
          <w:rFonts w:eastAsiaTheme="majorEastAsia" w:cs="Arial"/>
          <w:bCs/>
          <w:szCs w:val="20"/>
        </w:rPr>
        <w:t>om</w:t>
      </w:r>
      <w:r w:rsidRPr="00445B9C">
        <w:rPr>
          <w:rFonts w:eastAsiaTheme="majorEastAsia" w:cs="Arial"/>
          <w:bCs/>
          <w:szCs w:val="20"/>
        </w:rPr>
        <w:t xml:space="preserve"> tega člena, imajo enolično mednarodno identifikacijsko številko (LEI</w:t>
      </w:r>
      <w:r w:rsidR="00322D02">
        <w:rPr>
          <w:rFonts w:eastAsiaTheme="majorEastAsia" w:cs="Arial"/>
          <w:bCs/>
          <w:szCs w:val="20"/>
        </w:rPr>
        <w:t>-</w:t>
      </w:r>
      <w:r w:rsidRPr="00445B9C">
        <w:rPr>
          <w:rFonts w:eastAsiaTheme="majorEastAsia" w:cs="Arial"/>
          <w:bCs/>
          <w:szCs w:val="20"/>
        </w:rPr>
        <w:t>koda), k</w:t>
      </w:r>
      <w:r w:rsidR="00322D02">
        <w:rPr>
          <w:rFonts w:eastAsiaTheme="majorEastAsia" w:cs="Arial"/>
          <w:bCs/>
          <w:szCs w:val="20"/>
        </w:rPr>
        <w:t>akor</w:t>
      </w:r>
      <w:r w:rsidRPr="00445B9C">
        <w:rPr>
          <w:rFonts w:eastAsiaTheme="majorEastAsia" w:cs="Arial"/>
          <w:bCs/>
          <w:szCs w:val="20"/>
        </w:rPr>
        <w:t xml:space="preserve"> je določena na podlagi b) točke četrtega odstavka 7. člena Uredbe 2023/2859/EU. </w:t>
      </w:r>
    </w:p>
    <w:p w14:paraId="4261DD39" w14:textId="7033254F"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 xml:space="preserve">(4) Agencija zagotovi, da so informacije, ki jih objavi </w:t>
      </w:r>
      <w:r w:rsidR="00D85249">
        <w:rPr>
          <w:rFonts w:eastAsiaTheme="majorEastAsia" w:cs="Arial"/>
          <w:bCs/>
          <w:szCs w:val="20"/>
        </w:rPr>
        <w:t xml:space="preserve">v </w:t>
      </w:r>
      <w:r w:rsidRPr="00445B9C">
        <w:rPr>
          <w:rFonts w:eastAsiaTheme="majorEastAsia" w:cs="Arial"/>
          <w:bCs/>
          <w:szCs w:val="20"/>
        </w:rPr>
        <w:t>sklad</w:t>
      </w:r>
      <w:r w:rsidR="00D85249">
        <w:rPr>
          <w:rFonts w:eastAsiaTheme="majorEastAsia" w:cs="Arial"/>
          <w:bCs/>
          <w:szCs w:val="20"/>
        </w:rPr>
        <w:t>u</w:t>
      </w:r>
      <w:r w:rsidRPr="00445B9C">
        <w:rPr>
          <w:rFonts w:eastAsiaTheme="majorEastAsia" w:cs="Arial"/>
          <w:bCs/>
          <w:szCs w:val="20"/>
        </w:rPr>
        <w:t xml:space="preserve"> </w:t>
      </w:r>
      <w:r w:rsidR="00345912" w:rsidRPr="00445B9C">
        <w:rPr>
          <w:rFonts w:eastAsiaTheme="majorEastAsia" w:cs="Arial"/>
          <w:bCs/>
          <w:szCs w:val="20"/>
        </w:rPr>
        <w:t>s</w:t>
      </w:r>
      <w:r w:rsidRPr="00445B9C">
        <w:rPr>
          <w:rFonts w:eastAsiaTheme="majorEastAsia" w:cs="Arial"/>
          <w:bCs/>
          <w:szCs w:val="20"/>
        </w:rPr>
        <w:t xml:space="preserve"> šest</w:t>
      </w:r>
      <w:r w:rsidR="00345912" w:rsidRPr="00445B9C">
        <w:rPr>
          <w:rFonts w:eastAsiaTheme="majorEastAsia" w:cs="Arial"/>
          <w:bCs/>
          <w:szCs w:val="20"/>
        </w:rPr>
        <w:t>im</w:t>
      </w:r>
      <w:r w:rsidRPr="00445B9C">
        <w:rPr>
          <w:rFonts w:eastAsiaTheme="majorEastAsia" w:cs="Arial"/>
          <w:bCs/>
          <w:szCs w:val="20"/>
        </w:rPr>
        <w:t xml:space="preserve"> odstavk</w:t>
      </w:r>
      <w:r w:rsidR="00345912" w:rsidRPr="00445B9C">
        <w:rPr>
          <w:rFonts w:eastAsiaTheme="majorEastAsia" w:cs="Arial"/>
          <w:bCs/>
          <w:szCs w:val="20"/>
        </w:rPr>
        <w:t>om</w:t>
      </w:r>
      <w:r w:rsidRPr="00445B9C">
        <w:rPr>
          <w:rFonts w:eastAsiaTheme="majorEastAsia" w:cs="Arial"/>
          <w:bCs/>
          <w:szCs w:val="20"/>
        </w:rPr>
        <w:t xml:space="preserve"> 322.</w:t>
      </w:r>
      <w:r w:rsidR="003468C1" w:rsidRPr="00445B9C">
        <w:rPr>
          <w:rFonts w:eastAsiaTheme="majorEastAsia" w:cs="Arial"/>
          <w:bCs/>
          <w:szCs w:val="20"/>
        </w:rPr>
        <w:t xml:space="preserve"> člena</w:t>
      </w:r>
      <w:r w:rsidRPr="00445B9C">
        <w:rPr>
          <w:rFonts w:eastAsiaTheme="majorEastAsia" w:cs="Arial"/>
          <w:bCs/>
          <w:szCs w:val="20"/>
        </w:rPr>
        <w:t xml:space="preserve">, 357. </w:t>
      </w:r>
      <w:r w:rsidR="003468C1" w:rsidRPr="00445B9C">
        <w:rPr>
          <w:rFonts w:eastAsiaTheme="majorEastAsia" w:cs="Arial"/>
          <w:bCs/>
          <w:szCs w:val="20"/>
        </w:rPr>
        <w:t>člen</w:t>
      </w:r>
      <w:r w:rsidR="00345912" w:rsidRPr="00445B9C">
        <w:rPr>
          <w:rFonts w:eastAsiaTheme="majorEastAsia" w:cs="Arial"/>
          <w:bCs/>
          <w:szCs w:val="20"/>
        </w:rPr>
        <w:t>om</w:t>
      </w:r>
      <w:r w:rsidR="003468C1" w:rsidRPr="00445B9C">
        <w:rPr>
          <w:rFonts w:eastAsiaTheme="majorEastAsia" w:cs="Arial"/>
          <w:bCs/>
          <w:szCs w:val="20"/>
        </w:rPr>
        <w:t xml:space="preserve"> </w:t>
      </w:r>
      <w:r w:rsidRPr="00445B9C">
        <w:rPr>
          <w:rFonts w:eastAsiaTheme="majorEastAsia" w:cs="Arial"/>
          <w:bCs/>
          <w:szCs w:val="20"/>
        </w:rPr>
        <w:t>in pet</w:t>
      </w:r>
      <w:r w:rsidR="00345912" w:rsidRPr="00445B9C">
        <w:rPr>
          <w:rFonts w:eastAsiaTheme="majorEastAsia" w:cs="Arial"/>
          <w:bCs/>
          <w:szCs w:val="20"/>
        </w:rPr>
        <w:t>im</w:t>
      </w:r>
      <w:r w:rsidRPr="00445B9C">
        <w:rPr>
          <w:rFonts w:eastAsiaTheme="majorEastAsia" w:cs="Arial"/>
          <w:bCs/>
          <w:szCs w:val="20"/>
        </w:rPr>
        <w:t xml:space="preserve"> odstavk</w:t>
      </w:r>
      <w:r w:rsidR="00345912" w:rsidRPr="00445B9C">
        <w:rPr>
          <w:rFonts w:eastAsiaTheme="majorEastAsia" w:cs="Arial"/>
          <w:bCs/>
          <w:szCs w:val="20"/>
        </w:rPr>
        <w:t>om</w:t>
      </w:r>
      <w:r w:rsidRPr="00445B9C">
        <w:rPr>
          <w:rFonts w:eastAsiaTheme="majorEastAsia" w:cs="Arial"/>
          <w:bCs/>
          <w:szCs w:val="20"/>
        </w:rPr>
        <w:t xml:space="preserve"> 422. člena tega zakona, dostopne v evropski enotni točki dostopa, vzpostavljeni na podlagi </w:t>
      </w:r>
      <w:r w:rsidR="005F4BFC" w:rsidRPr="00445B9C">
        <w:rPr>
          <w:rFonts w:eastAsiaTheme="majorEastAsia" w:cs="Arial"/>
          <w:bCs/>
          <w:szCs w:val="20"/>
        </w:rPr>
        <w:t xml:space="preserve">prvega odstavka 1. člena </w:t>
      </w:r>
      <w:r w:rsidRPr="00445B9C">
        <w:rPr>
          <w:rFonts w:eastAsiaTheme="majorEastAsia" w:cs="Arial"/>
          <w:bCs/>
          <w:szCs w:val="20"/>
        </w:rPr>
        <w:t>Uredbe 2023/2859/EU.</w:t>
      </w:r>
    </w:p>
    <w:p w14:paraId="3F70A408" w14:textId="6AE065E5"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(5) Informacije iz prejšnjega odstavka so skladne z naslednjimi zahtevami:</w:t>
      </w:r>
    </w:p>
    <w:p w14:paraId="5F5195F4" w14:textId="792F95D1"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 xml:space="preserve">1. predložene </w:t>
      </w:r>
      <w:r w:rsidR="00D85249" w:rsidRPr="00445B9C">
        <w:rPr>
          <w:rFonts w:eastAsiaTheme="majorEastAsia" w:cs="Arial"/>
          <w:bCs/>
          <w:szCs w:val="20"/>
        </w:rPr>
        <w:t xml:space="preserve">so </w:t>
      </w:r>
      <w:r w:rsidRPr="00445B9C">
        <w:rPr>
          <w:rFonts w:eastAsiaTheme="majorEastAsia" w:cs="Arial"/>
          <w:bCs/>
          <w:szCs w:val="20"/>
        </w:rPr>
        <w:t>v formatu, ki omogoča izvoz podatkov, kakor je opredeljen v 3. točki 2. člena Uredbe 2023/2859/EU;</w:t>
      </w:r>
    </w:p>
    <w:p w14:paraId="57F2A3AE" w14:textId="044137E2"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t>2.</w:t>
      </w:r>
      <w:r w:rsidRPr="00445B9C">
        <w:rPr>
          <w:rFonts w:eastAsiaTheme="majorEastAsia" w:cs="Arial"/>
          <w:bCs/>
          <w:szCs w:val="20"/>
        </w:rPr>
        <w:tab/>
        <w:t>vsebujejo naslednje metapodatke:</w:t>
      </w:r>
      <w:r w:rsidR="00D85249">
        <w:rPr>
          <w:rFonts w:eastAsiaTheme="majorEastAsia" w:cs="Arial"/>
          <w:bCs/>
          <w:szCs w:val="20"/>
        </w:rPr>
        <w:t xml:space="preserve"> </w:t>
      </w:r>
    </w:p>
    <w:p w14:paraId="127E3596" w14:textId="6B2D7784" w:rsidR="00AE52A2" w:rsidRPr="00445B9C" w:rsidRDefault="00D85249"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vsa imena družbe</w:t>
      </w:r>
      <w:r w:rsidR="00345912" w:rsidRPr="00445B9C">
        <w:rPr>
          <w:rFonts w:eastAsiaTheme="majorEastAsia" w:cs="Arial"/>
          <w:bCs/>
          <w:szCs w:val="20"/>
        </w:rPr>
        <w:t>,</w:t>
      </w:r>
      <w:r w:rsidR="00AE52A2" w:rsidRPr="00445B9C">
        <w:rPr>
          <w:rFonts w:eastAsiaTheme="majorEastAsia" w:cs="Arial"/>
          <w:bCs/>
          <w:szCs w:val="20"/>
        </w:rPr>
        <w:t xml:space="preserve"> na katero se informacije nanašajo;</w:t>
      </w:r>
    </w:p>
    <w:p w14:paraId="0EDA7A23" w14:textId="0270F343" w:rsidR="00AE52A2" w:rsidRPr="00445B9C" w:rsidRDefault="00D85249"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če obstaja, enolično mednarodno identifikacijsko številko (LEI</w:t>
      </w:r>
      <w:r>
        <w:rPr>
          <w:rFonts w:eastAsiaTheme="majorEastAsia" w:cs="Arial"/>
          <w:bCs/>
          <w:szCs w:val="20"/>
        </w:rPr>
        <w:t>-</w:t>
      </w:r>
      <w:r w:rsidR="00AE52A2" w:rsidRPr="00445B9C">
        <w:rPr>
          <w:rFonts w:eastAsiaTheme="majorEastAsia" w:cs="Arial"/>
          <w:bCs/>
          <w:szCs w:val="20"/>
        </w:rPr>
        <w:t>koda) družbe, k</w:t>
      </w:r>
      <w:r>
        <w:rPr>
          <w:rFonts w:eastAsiaTheme="majorEastAsia" w:cs="Arial"/>
          <w:bCs/>
          <w:szCs w:val="20"/>
        </w:rPr>
        <w:t>akor</w:t>
      </w:r>
      <w:r w:rsidR="00AE52A2" w:rsidRPr="00445B9C">
        <w:rPr>
          <w:rFonts w:eastAsiaTheme="majorEastAsia" w:cs="Arial"/>
          <w:bCs/>
          <w:szCs w:val="20"/>
        </w:rPr>
        <w:t xml:space="preserve"> je določena na podlagi b) točke četrtega odstavka 7. člena Uredbe 2023/2859/EU;</w:t>
      </w:r>
    </w:p>
    <w:p w14:paraId="6E8C3E7E" w14:textId="2FF878FA" w:rsidR="00AE52A2" w:rsidRPr="00445B9C" w:rsidRDefault="00D85249"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vrst</w:t>
      </w:r>
      <w:r w:rsidR="00A2403E" w:rsidRPr="00445B9C">
        <w:rPr>
          <w:rFonts w:eastAsiaTheme="majorEastAsia" w:cs="Arial"/>
          <w:bCs/>
          <w:szCs w:val="20"/>
        </w:rPr>
        <w:t>o</w:t>
      </w:r>
      <w:r w:rsidR="00AE52A2" w:rsidRPr="00445B9C">
        <w:rPr>
          <w:rFonts w:eastAsiaTheme="majorEastAsia" w:cs="Arial"/>
          <w:bCs/>
          <w:szCs w:val="20"/>
        </w:rPr>
        <w:t xml:space="preserve"> informacij glede na razvrstitev na podlagi c) točke četrtega odstavka 7. člena Uredbe 2023/2859/EU; </w:t>
      </w:r>
    </w:p>
    <w:p w14:paraId="1546674E" w14:textId="31380B8F" w:rsidR="00AE52A2" w:rsidRPr="00445B9C" w:rsidRDefault="00D85249" w:rsidP="00BA786D">
      <w:pPr>
        <w:spacing w:before="240" w:after="240" w:line="259" w:lineRule="auto"/>
        <w:ind w:firstLine="1021"/>
        <w:jc w:val="both"/>
        <w:outlineLvl w:val="0"/>
        <w:rPr>
          <w:rFonts w:eastAsiaTheme="majorEastAsia" w:cs="Arial"/>
          <w:bCs/>
          <w:szCs w:val="20"/>
        </w:rPr>
      </w:pPr>
      <w:r>
        <w:rPr>
          <w:rFonts w:eastAsiaTheme="majorEastAsia" w:cs="Arial"/>
          <w:bCs/>
          <w:szCs w:val="20"/>
        </w:rPr>
        <w:t>–</w:t>
      </w:r>
      <w:r w:rsidR="00AE52A2" w:rsidRPr="00445B9C">
        <w:rPr>
          <w:rFonts w:eastAsiaTheme="majorEastAsia" w:cs="Arial"/>
          <w:bCs/>
          <w:szCs w:val="20"/>
        </w:rPr>
        <w:tab/>
        <w:t>oznak</w:t>
      </w:r>
      <w:r w:rsidR="00A2403E" w:rsidRPr="00445B9C">
        <w:rPr>
          <w:rFonts w:eastAsiaTheme="majorEastAsia" w:cs="Arial"/>
          <w:bCs/>
          <w:szCs w:val="20"/>
        </w:rPr>
        <w:t>o</w:t>
      </w:r>
      <w:r w:rsidR="00AE52A2" w:rsidRPr="00445B9C">
        <w:rPr>
          <w:rFonts w:eastAsiaTheme="majorEastAsia" w:cs="Arial"/>
          <w:bCs/>
          <w:szCs w:val="20"/>
        </w:rPr>
        <w:t>, ali informacije vsebujejo osebne podatke.</w:t>
      </w:r>
    </w:p>
    <w:p w14:paraId="48F5D4CE" w14:textId="6832180A" w:rsidR="00AE52A2" w:rsidRPr="00445B9C" w:rsidRDefault="00AE52A2" w:rsidP="00BA786D">
      <w:pPr>
        <w:spacing w:before="240" w:after="240" w:line="259" w:lineRule="auto"/>
        <w:ind w:firstLine="1021"/>
        <w:jc w:val="both"/>
        <w:outlineLvl w:val="0"/>
        <w:rPr>
          <w:rFonts w:eastAsiaTheme="majorEastAsia" w:cs="Arial"/>
          <w:bCs/>
          <w:szCs w:val="20"/>
        </w:rPr>
      </w:pPr>
      <w:r w:rsidRPr="00445B9C">
        <w:rPr>
          <w:rFonts w:eastAsiaTheme="majorEastAsia" w:cs="Arial"/>
          <w:bCs/>
          <w:szCs w:val="20"/>
        </w:rPr>
        <w:lastRenderedPageBreak/>
        <w:t xml:space="preserve">(6) Informacije, ki jih </w:t>
      </w:r>
      <w:r w:rsidR="00D85249">
        <w:rPr>
          <w:rFonts w:eastAsiaTheme="majorEastAsia" w:cs="Arial"/>
          <w:bCs/>
          <w:szCs w:val="20"/>
        </w:rPr>
        <w:t>a</w:t>
      </w:r>
      <w:r w:rsidRPr="00445B9C">
        <w:rPr>
          <w:rFonts w:eastAsiaTheme="majorEastAsia" w:cs="Arial"/>
          <w:bCs/>
          <w:szCs w:val="20"/>
        </w:rPr>
        <w:t xml:space="preserve">gencija </w:t>
      </w:r>
      <w:r w:rsidR="00D85249">
        <w:rPr>
          <w:rFonts w:eastAsiaTheme="majorEastAsia" w:cs="Arial"/>
          <w:bCs/>
          <w:szCs w:val="20"/>
        </w:rPr>
        <w:t xml:space="preserve">predloži </w:t>
      </w:r>
      <w:r w:rsidRPr="00445B9C">
        <w:rPr>
          <w:rFonts w:eastAsiaTheme="majorEastAsia" w:cs="Arial"/>
          <w:bCs/>
          <w:szCs w:val="20"/>
        </w:rPr>
        <w:t xml:space="preserve">ESMA na podlagi tretjega odstavka 197. člena in tretjega odstavka 319. člena </w:t>
      </w:r>
      <w:r w:rsidR="00345912" w:rsidRPr="00445B9C">
        <w:rPr>
          <w:rFonts w:eastAsiaTheme="majorEastAsia" w:cs="Arial"/>
          <w:bCs/>
          <w:szCs w:val="20"/>
        </w:rPr>
        <w:t xml:space="preserve">tega zakona, </w:t>
      </w:r>
      <w:r w:rsidRPr="00445B9C">
        <w:rPr>
          <w:rFonts w:eastAsiaTheme="majorEastAsia" w:cs="Arial"/>
          <w:bCs/>
          <w:szCs w:val="20"/>
        </w:rPr>
        <w:t>so skladne z zahtevami iz prejšnjega odstavka.«</w:t>
      </w:r>
      <w:r w:rsidR="007C5912" w:rsidRPr="00445B9C">
        <w:rPr>
          <w:rFonts w:eastAsiaTheme="majorEastAsia" w:cs="Arial"/>
          <w:bCs/>
          <w:szCs w:val="20"/>
        </w:rPr>
        <w:t>.</w:t>
      </w:r>
    </w:p>
    <w:p w14:paraId="29BC32CD" w14:textId="1AD2B919" w:rsidR="00C62997" w:rsidRPr="00445B9C" w:rsidRDefault="00C62997" w:rsidP="00C62997">
      <w:pPr>
        <w:numPr>
          <w:ilvl w:val="0"/>
          <w:numId w:val="16"/>
        </w:numPr>
        <w:spacing w:before="240" w:after="240" w:line="259" w:lineRule="auto"/>
        <w:ind w:left="720"/>
        <w:jc w:val="center"/>
        <w:outlineLvl w:val="0"/>
        <w:rPr>
          <w:rFonts w:eastAsiaTheme="majorEastAsia" w:cs="Arial"/>
          <w:b/>
          <w:szCs w:val="20"/>
        </w:rPr>
      </w:pPr>
      <w:bookmarkStart w:id="47" w:name="_Ref196825809"/>
      <w:r w:rsidRPr="00445B9C">
        <w:rPr>
          <w:rFonts w:eastAsiaTheme="majorEastAsia" w:cs="Arial"/>
          <w:b/>
          <w:szCs w:val="20"/>
        </w:rPr>
        <w:t>člen</w:t>
      </w:r>
      <w:bookmarkEnd w:id="47"/>
    </w:p>
    <w:p w14:paraId="18FA9266" w14:textId="712CE9F0" w:rsidR="00C62997" w:rsidRPr="00445B9C" w:rsidRDefault="00C62997" w:rsidP="00C62997">
      <w:pPr>
        <w:spacing w:before="240" w:after="240" w:line="259" w:lineRule="auto"/>
        <w:jc w:val="both"/>
        <w:outlineLvl w:val="0"/>
        <w:rPr>
          <w:rFonts w:eastAsiaTheme="majorEastAsia" w:cs="Arial"/>
          <w:bCs/>
          <w:szCs w:val="20"/>
        </w:rPr>
      </w:pPr>
      <w:r w:rsidRPr="00445B9C">
        <w:rPr>
          <w:rFonts w:eastAsiaTheme="majorEastAsia" w:cs="Arial"/>
          <w:bCs/>
          <w:szCs w:val="20"/>
        </w:rPr>
        <w:t>V 358. členu se v drugem odstavku za besedo »banke« doda besedilo »in kreditne družbe«.</w:t>
      </w:r>
    </w:p>
    <w:p w14:paraId="19F1C8E4" w14:textId="77777777" w:rsidR="00BC0BDF" w:rsidRPr="00445B9C" w:rsidRDefault="007C5912" w:rsidP="00F810E6">
      <w:pPr>
        <w:numPr>
          <w:ilvl w:val="0"/>
          <w:numId w:val="16"/>
        </w:numPr>
        <w:spacing w:before="240" w:after="240" w:line="259" w:lineRule="auto"/>
        <w:ind w:left="720"/>
        <w:jc w:val="center"/>
        <w:outlineLvl w:val="0"/>
        <w:rPr>
          <w:rFonts w:eastAsiaTheme="majorEastAsia" w:cs="Arial"/>
          <w:b/>
          <w:szCs w:val="20"/>
        </w:rPr>
      </w:pPr>
      <w:bookmarkStart w:id="48" w:name="_Ref196734698"/>
      <w:r w:rsidRPr="00445B9C">
        <w:rPr>
          <w:rFonts w:eastAsiaTheme="majorEastAsia" w:cs="Arial"/>
          <w:b/>
          <w:szCs w:val="20"/>
        </w:rPr>
        <w:t>člen</w:t>
      </w:r>
      <w:bookmarkEnd w:id="48"/>
    </w:p>
    <w:p w14:paraId="6BB49570" w14:textId="4DF6E2C6" w:rsidR="00BC0BDF" w:rsidRPr="00445B9C" w:rsidRDefault="00BC0BDF"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368. členu se za četrtim odstavkom doda nov</w:t>
      </w:r>
      <w:r w:rsidR="00611907" w:rsidRPr="00445B9C">
        <w:rPr>
          <w:rFonts w:eastAsiaTheme="majorEastAsia" w:cs="Arial"/>
          <w:bCs/>
          <w:szCs w:val="20"/>
        </w:rPr>
        <w:t>,</w:t>
      </w:r>
      <w:r w:rsidRPr="00445B9C">
        <w:rPr>
          <w:rFonts w:eastAsiaTheme="majorEastAsia" w:cs="Arial"/>
          <w:bCs/>
          <w:szCs w:val="20"/>
        </w:rPr>
        <w:t xml:space="preserve"> peti odstavek, ki se glasi:</w:t>
      </w:r>
    </w:p>
    <w:p w14:paraId="09D5D5E3" w14:textId="7E7DD6F3" w:rsidR="00BC0BDF" w:rsidRPr="00445B9C" w:rsidRDefault="00BC0BDF"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»(5) Borza informacije iz prejšnjega odstavka hkrati z objavo pošlje tudi </w:t>
      </w:r>
      <w:r w:rsidR="00BD448E" w:rsidRPr="00445B9C">
        <w:rPr>
          <w:rFonts w:eastAsiaTheme="majorEastAsia" w:cs="Arial"/>
          <w:bCs/>
          <w:szCs w:val="20"/>
        </w:rPr>
        <w:t>agenciji</w:t>
      </w:r>
      <w:r w:rsidRPr="00445B9C">
        <w:rPr>
          <w:rFonts w:eastAsiaTheme="majorEastAsia" w:cs="Arial"/>
          <w:bCs/>
          <w:szCs w:val="20"/>
        </w:rPr>
        <w:t>.«</w:t>
      </w:r>
      <w:r w:rsidR="007C5912" w:rsidRPr="00445B9C">
        <w:rPr>
          <w:rFonts w:eastAsiaTheme="majorEastAsia" w:cs="Arial"/>
          <w:bCs/>
          <w:szCs w:val="20"/>
        </w:rPr>
        <w:t>.</w:t>
      </w:r>
    </w:p>
    <w:p w14:paraId="6B7B2407" w14:textId="77777777" w:rsidR="006A2506" w:rsidRPr="00445B9C" w:rsidRDefault="007C5912" w:rsidP="00F810E6">
      <w:pPr>
        <w:numPr>
          <w:ilvl w:val="0"/>
          <w:numId w:val="16"/>
        </w:numPr>
        <w:spacing w:before="240" w:after="240" w:line="259" w:lineRule="auto"/>
        <w:ind w:left="720"/>
        <w:jc w:val="center"/>
        <w:outlineLvl w:val="0"/>
        <w:rPr>
          <w:rFonts w:eastAsiaTheme="majorEastAsia" w:cs="Arial"/>
          <w:b/>
          <w:szCs w:val="20"/>
        </w:rPr>
      </w:pPr>
      <w:bookmarkStart w:id="49" w:name="_Ref196734725"/>
      <w:r w:rsidRPr="00445B9C">
        <w:rPr>
          <w:rFonts w:eastAsiaTheme="majorEastAsia" w:cs="Arial"/>
          <w:b/>
          <w:szCs w:val="20"/>
        </w:rPr>
        <w:t>člen</w:t>
      </w:r>
      <w:bookmarkEnd w:id="49"/>
    </w:p>
    <w:p w14:paraId="57E9AA42" w14:textId="77777777" w:rsidR="00684A25" w:rsidRPr="00684A25" w:rsidRDefault="00684A25" w:rsidP="00684A25">
      <w:pPr>
        <w:rPr>
          <w:rFonts w:eastAsiaTheme="majorEastAsia" w:cs="Arial"/>
          <w:szCs w:val="20"/>
        </w:rPr>
      </w:pPr>
      <w:r w:rsidRPr="00684A25">
        <w:rPr>
          <w:rFonts w:eastAsiaTheme="majorEastAsia" w:cs="Arial"/>
          <w:szCs w:val="20"/>
        </w:rPr>
        <w:t xml:space="preserve">V 373. členu se v prvem odstavku v 2. točki  za vejico na koncu doda besedilo »vključno z obvladovanjem tveganj na področju IKT v skladu z II. poglavjem Uredbe 2022/2554/EU,«. </w:t>
      </w:r>
    </w:p>
    <w:p w14:paraId="3A357D58" w14:textId="77777777" w:rsidR="00684A25" w:rsidRPr="00684A25" w:rsidRDefault="00684A25" w:rsidP="00684A25">
      <w:pPr>
        <w:rPr>
          <w:rFonts w:eastAsiaTheme="majorEastAsia" w:cs="Arial"/>
          <w:szCs w:val="20"/>
        </w:rPr>
      </w:pPr>
    </w:p>
    <w:p w14:paraId="5DD81E22" w14:textId="69A1B3EC" w:rsidR="00875FD2" w:rsidRPr="00445B9C" w:rsidRDefault="00684A25" w:rsidP="00B806EF">
      <w:pPr>
        <w:rPr>
          <w:rFonts w:cs="Arial"/>
          <w:szCs w:val="20"/>
        </w:rPr>
      </w:pPr>
      <w:r w:rsidRPr="00684A25">
        <w:rPr>
          <w:rFonts w:eastAsiaTheme="majorEastAsia" w:cs="Arial"/>
          <w:szCs w:val="20"/>
        </w:rPr>
        <w:t>V 3. točki se pika na koncu nadomesti z vejico in doda nova, 4. točka, ki se glasi:</w:t>
      </w:r>
    </w:p>
    <w:p w14:paraId="4708D8B7" w14:textId="42539127" w:rsidR="00875FD2" w:rsidRPr="00445B9C" w:rsidRDefault="00875FD2" w:rsidP="00BA786D">
      <w:pPr>
        <w:spacing w:before="240" w:after="240" w:line="259" w:lineRule="auto"/>
        <w:jc w:val="both"/>
        <w:outlineLvl w:val="0"/>
        <w:rPr>
          <w:rFonts w:eastAsiaTheme="majorEastAsia" w:cs="Arial"/>
          <w:bCs/>
          <w:szCs w:val="20"/>
        </w:rPr>
      </w:pPr>
      <w:r w:rsidRPr="00445B9C">
        <w:rPr>
          <w:rFonts w:eastAsiaTheme="majorEastAsia" w:cs="Arial"/>
          <w:bCs/>
          <w:szCs w:val="20"/>
        </w:rPr>
        <w:t>»4. zagotavljanje izpolnjevanja kakovosti podatkov</w:t>
      </w:r>
      <w:r w:rsidR="003314ED" w:rsidRPr="00445B9C">
        <w:rPr>
          <w:rFonts w:eastAsiaTheme="majorEastAsia" w:cs="Arial"/>
          <w:bCs/>
          <w:szCs w:val="20"/>
        </w:rPr>
        <w:t>,</w:t>
      </w:r>
      <w:r w:rsidRPr="00445B9C">
        <w:rPr>
          <w:rFonts w:eastAsiaTheme="majorEastAsia" w:cs="Arial"/>
          <w:bCs/>
          <w:szCs w:val="20"/>
        </w:rPr>
        <w:t xml:space="preserve"> k</w:t>
      </w:r>
      <w:r w:rsidR="003253C8">
        <w:rPr>
          <w:rFonts w:eastAsiaTheme="majorEastAsia" w:cs="Arial"/>
          <w:bCs/>
          <w:szCs w:val="20"/>
        </w:rPr>
        <w:t>akor</w:t>
      </w:r>
      <w:r w:rsidRPr="00445B9C">
        <w:rPr>
          <w:rFonts w:eastAsiaTheme="majorEastAsia" w:cs="Arial"/>
          <w:bCs/>
          <w:szCs w:val="20"/>
        </w:rPr>
        <w:t xml:space="preserve"> jih določa 22.b člen Uredbe 600/2014/EU.«</w:t>
      </w:r>
      <w:r w:rsidR="007C5912" w:rsidRPr="00445B9C">
        <w:rPr>
          <w:rFonts w:eastAsiaTheme="majorEastAsia" w:cs="Arial"/>
          <w:bCs/>
          <w:szCs w:val="20"/>
        </w:rPr>
        <w:t>.</w:t>
      </w:r>
    </w:p>
    <w:p w14:paraId="396EC091" w14:textId="7D53CDF7" w:rsidR="00875FD2" w:rsidRPr="00445B9C" w:rsidRDefault="00875FD2" w:rsidP="00BA786D">
      <w:pPr>
        <w:spacing w:before="240" w:after="240" w:line="259" w:lineRule="auto"/>
        <w:jc w:val="both"/>
        <w:outlineLvl w:val="0"/>
        <w:rPr>
          <w:rFonts w:eastAsiaTheme="majorEastAsia" w:cs="Arial"/>
          <w:bCs/>
          <w:szCs w:val="20"/>
        </w:rPr>
      </w:pPr>
      <w:r w:rsidRPr="00445B9C">
        <w:rPr>
          <w:rFonts w:eastAsiaTheme="majorEastAsia" w:cs="Arial"/>
          <w:bCs/>
          <w:szCs w:val="20"/>
        </w:rPr>
        <w:t>Za tretjim odstavkom se doda nov</w:t>
      </w:r>
      <w:r w:rsidR="00D43095" w:rsidRPr="00445B9C">
        <w:rPr>
          <w:rFonts w:eastAsiaTheme="majorEastAsia" w:cs="Arial"/>
          <w:bCs/>
          <w:szCs w:val="20"/>
        </w:rPr>
        <w:t>,</w:t>
      </w:r>
      <w:r w:rsidRPr="00445B9C">
        <w:rPr>
          <w:rFonts w:eastAsiaTheme="majorEastAsia" w:cs="Arial"/>
          <w:bCs/>
          <w:szCs w:val="20"/>
        </w:rPr>
        <w:t xml:space="preserve"> četrti odstavek, ki se glasi:</w:t>
      </w:r>
    </w:p>
    <w:p w14:paraId="68DE5D94" w14:textId="39C38650" w:rsidR="00875FD2" w:rsidRPr="00445B9C" w:rsidRDefault="00875FD2"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»(4) Borzni trg ima vsaj tri dejansko aktivne člane ali udeležence, od katerih vsak lahko sodeluje z vsemi </w:t>
      </w:r>
      <w:r w:rsidR="003253C8">
        <w:rPr>
          <w:rFonts w:eastAsiaTheme="majorEastAsia" w:cs="Arial"/>
          <w:bCs/>
          <w:szCs w:val="20"/>
        </w:rPr>
        <w:t>pre</w:t>
      </w:r>
      <w:r w:rsidRPr="00445B9C">
        <w:rPr>
          <w:rFonts w:eastAsiaTheme="majorEastAsia" w:cs="Arial"/>
          <w:bCs/>
          <w:szCs w:val="20"/>
        </w:rPr>
        <w:t>ostalimi pri oblikovanju cen.«.</w:t>
      </w:r>
    </w:p>
    <w:p w14:paraId="35B8EDFA"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50" w:name="_Ref196734767"/>
      <w:r w:rsidRPr="00445B9C">
        <w:rPr>
          <w:rFonts w:eastAsiaTheme="majorEastAsia" w:cs="Arial"/>
          <w:b/>
          <w:szCs w:val="20"/>
        </w:rPr>
        <w:t>člen</w:t>
      </w:r>
      <w:bookmarkEnd w:id="50"/>
    </w:p>
    <w:p w14:paraId="128E694A" w14:textId="1D0E8758"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375. členu se </w:t>
      </w:r>
      <w:r w:rsidR="00146BE4" w:rsidRPr="00445B9C">
        <w:rPr>
          <w:rFonts w:eastAsiaTheme="majorEastAsia" w:cs="Arial"/>
          <w:bCs/>
          <w:szCs w:val="20"/>
        </w:rPr>
        <w:t xml:space="preserve">v </w:t>
      </w:r>
      <w:r w:rsidRPr="00445B9C">
        <w:rPr>
          <w:rFonts w:eastAsiaTheme="majorEastAsia" w:cs="Arial"/>
          <w:bCs/>
          <w:szCs w:val="20"/>
        </w:rPr>
        <w:t>drug</w:t>
      </w:r>
      <w:r w:rsidR="00146BE4" w:rsidRPr="00445B9C">
        <w:rPr>
          <w:rFonts w:eastAsiaTheme="majorEastAsia" w:cs="Arial"/>
          <w:bCs/>
          <w:szCs w:val="20"/>
        </w:rPr>
        <w:t>em</w:t>
      </w:r>
      <w:r w:rsidRPr="00445B9C">
        <w:rPr>
          <w:rFonts w:eastAsiaTheme="majorEastAsia" w:cs="Arial"/>
          <w:bCs/>
          <w:szCs w:val="20"/>
        </w:rPr>
        <w:t xml:space="preserve"> odstavk</w:t>
      </w:r>
      <w:r w:rsidR="00146BE4" w:rsidRPr="00445B9C">
        <w:rPr>
          <w:rFonts w:eastAsiaTheme="majorEastAsia" w:cs="Arial"/>
          <w:bCs/>
          <w:szCs w:val="20"/>
        </w:rPr>
        <w:t>u</w:t>
      </w:r>
      <w:r w:rsidRPr="00445B9C">
        <w:rPr>
          <w:rFonts w:eastAsiaTheme="majorEastAsia" w:cs="Arial"/>
          <w:bCs/>
          <w:szCs w:val="20"/>
        </w:rPr>
        <w:t xml:space="preserve"> za besed</w:t>
      </w:r>
      <w:r w:rsidR="00146BE4" w:rsidRPr="00445B9C">
        <w:rPr>
          <w:rFonts w:eastAsiaTheme="majorEastAsia" w:cs="Arial"/>
          <w:bCs/>
          <w:szCs w:val="20"/>
        </w:rPr>
        <w:t>ilom</w:t>
      </w:r>
      <w:r w:rsidRPr="00445B9C">
        <w:rPr>
          <w:rFonts w:eastAsiaTheme="majorEastAsia" w:cs="Arial"/>
          <w:bCs/>
          <w:szCs w:val="20"/>
        </w:rPr>
        <w:t xml:space="preserve"> »borznem trgu«</w:t>
      </w:r>
      <w:r w:rsidR="00D228FA" w:rsidRPr="00445B9C">
        <w:rPr>
          <w:rFonts w:eastAsiaTheme="majorEastAsia" w:cs="Arial"/>
          <w:bCs/>
          <w:szCs w:val="20"/>
        </w:rPr>
        <w:t xml:space="preserve"> črta vejica in</w:t>
      </w:r>
      <w:r w:rsidRPr="00445B9C">
        <w:rPr>
          <w:rFonts w:eastAsiaTheme="majorEastAsia" w:cs="Arial"/>
          <w:bCs/>
          <w:szCs w:val="20"/>
        </w:rPr>
        <w:t xml:space="preserve"> doda besedilo »v izrednih razmerah ali«.</w:t>
      </w:r>
    </w:p>
    <w:p w14:paraId="7C69EAB6" w14:textId="40CF20CB"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Za šestim odstavkom se dodata nova</w:t>
      </w:r>
      <w:r w:rsidR="00146BE4" w:rsidRPr="00445B9C">
        <w:rPr>
          <w:rFonts w:eastAsiaTheme="majorEastAsia" w:cs="Arial"/>
          <w:bCs/>
          <w:szCs w:val="20"/>
        </w:rPr>
        <w:t>,</w:t>
      </w:r>
      <w:r w:rsidRPr="00445B9C">
        <w:rPr>
          <w:rFonts w:eastAsiaTheme="majorEastAsia" w:cs="Arial"/>
          <w:bCs/>
          <w:szCs w:val="20"/>
        </w:rPr>
        <w:t xml:space="preserve"> sedmi in osmi odstavek, ki se glasita:</w:t>
      </w:r>
    </w:p>
    <w:p w14:paraId="065E361E" w14:textId="08F7A197"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»(7) Borza na svoji spletni strani objavi informacije o okoliščinah, ki so pripeljale do ustavitve ali omejitve trgovanja</w:t>
      </w:r>
      <w:r w:rsidR="00146BE4" w:rsidRPr="00445B9C">
        <w:rPr>
          <w:rFonts w:eastAsiaTheme="majorEastAsia" w:cs="Arial"/>
          <w:bCs/>
          <w:szCs w:val="20"/>
        </w:rPr>
        <w:t>,</w:t>
      </w:r>
      <w:r w:rsidRPr="00445B9C">
        <w:rPr>
          <w:rFonts w:eastAsiaTheme="majorEastAsia" w:cs="Arial"/>
          <w:bCs/>
          <w:szCs w:val="20"/>
        </w:rPr>
        <w:t xml:space="preserve"> in o načelih za določitev glavnih tehničnih parametrov, ki jih je uporabila pri tem.</w:t>
      </w:r>
    </w:p>
    <w:p w14:paraId="674EC2E3" w14:textId="1D046E5A"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(8) Če borza začasno ne ustavi ali omeji trgovanja v primerih iz drugega odstavka tega člena, kljub temu, da je prišlo do resnih motenj urejenega trgovanja, lahko agencija za zagotavljanje urejenega trgovanja, poleg </w:t>
      </w:r>
      <w:r w:rsidR="003253C8">
        <w:rPr>
          <w:rFonts w:eastAsiaTheme="majorEastAsia" w:cs="Arial"/>
          <w:bCs/>
          <w:szCs w:val="20"/>
        </w:rPr>
        <w:t>pre</w:t>
      </w:r>
      <w:r w:rsidRPr="00445B9C">
        <w:rPr>
          <w:rFonts w:eastAsiaTheme="majorEastAsia" w:cs="Arial"/>
          <w:bCs/>
          <w:szCs w:val="20"/>
        </w:rPr>
        <w:t>ostalih ukrepov, ki jih ima po tem zakonu, uporabi tudi naslednje ukrepe:</w:t>
      </w:r>
    </w:p>
    <w:p w14:paraId="53975BD3" w14:textId="516B03E0"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1. odredi začasno ustavitev trgovanja s finančnim instrumentom;</w:t>
      </w:r>
    </w:p>
    <w:p w14:paraId="70AA93ED" w14:textId="77777777"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2. odredi umik finančnega instrumenta iz trgovanja na borznem trgu ali drugem sistemu trgovanja;</w:t>
      </w:r>
    </w:p>
    <w:p w14:paraId="5AF9E8FA" w14:textId="67ECD7F7"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3. zahteva, da katera</w:t>
      </w:r>
      <w:r w:rsidR="00C20FC0">
        <w:rPr>
          <w:rFonts w:eastAsiaTheme="majorEastAsia" w:cs="Arial"/>
          <w:bCs/>
          <w:szCs w:val="20"/>
        </w:rPr>
        <w:t xml:space="preserve"> </w:t>
      </w:r>
      <w:r w:rsidRPr="00445B9C">
        <w:rPr>
          <w:rFonts w:eastAsiaTheme="majorEastAsia" w:cs="Arial"/>
          <w:bCs/>
          <w:szCs w:val="20"/>
        </w:rPr>
        <w:t>koli oseba sprejme ukrepe za zmanjšanje velikosti pozicije ali izpostavljenosti v izvedenih finančnih instrumentih na blago;</w:t>
      </w:r>
    </w:p>
    <w:p w14:paraId="406B9EA7" w14:textId="77777777" w:rsidR="00001E53" w:rsidRPr="00445B9C" w:rsidRDefault="00001E53" w:rsidP="00BA786D">
      <w:pPr>
        <w:spacing w:before="240" w:after="240" w:line="259" w:lineRule="auto"/>
        <w:jc w:val="both"/>
        <w:outlineLvl w:val="0"/>
        <w:rPr>
          <w:rFonts w:eastAsiaTheme="majorEastAsia" w:cs="Arial"/>
          <w:bCs/>
          <w:szCs w:val="20"/>
        </w:rPr>
      </w:pPr>
      <w:r w:rsidRPr="00445B9C">
        <w:rPr>
          <w:rFonts w:eastAsiaTheme="majorEastAsia" w:cs="Arial"/>
          <w:bCs/>
          <w:szCs w:val="20"/>
        </w:rPr>
        <w:t>4. omeji, da katerakoli oseba sklene posel z izvedenim finančnim instrumentom na blago, z uvedbo omejitev na velikost pozicije, ki jo lahko ima ta oseba.«.</w:t>
      </w:r>
    </w:p>
    <w:p w14:paraId="7BB252B8" w14:textId="77777777" w:rsidR="006A2506" w:rsidRPr="00445B9C" w:rsidRDefault="007C5912" w:rsidP="00F810E6">
      <w:pPr>
        <w:keepNext/>
        <w:keepLines/>
        <w:widowControl w:val="0"/>
        <w:numPr>
          <w:ilvl w:val="0"/>
          <w:numId w:val="16"/>
        </w:numPr>
        <w:spacing w:before="240" w:after="240" w:line="259" w:lineRule="auto"/>
        <w:ind w:left="567" w:hanging="357"/>
        <w:jc w:val="center"/>
        <w:outlineLvl w:val="0"/>
        <w:rPr>
          <w:rFonts w:eastAsiaTheme="majorEastAsia" w:cs="Arial"/>
          <w:b/>
          <w:szCs w:val="20"/>
        </w:rPr>
      </w:pPr>
      <w:bookmarkStart w:id="51" w:name="_Ref196734784"/>
      <w:r w:rsidRPr="00445B9C">
        <w:rPr>
          <w:rFonts w:eastAsiaTheme="majorEastAsia" w:cs="Arial"/>
          <w:b/>
          <w:szCs w:val="20"/>
        </w:rPr>
        <w:lastRenderedPageBreak/>
        <w:t>člen</w:t>
      </w:r>
      <w:bookmarkEnd w:id="51"/>
    </w:p>
    <w:p w14:paraId="031C45D3" w14:textId="06C48DD2" w:rsidR="00A662B6" w:rsidRPr="00445B9C" w:rsidRDefault="00A662B6" w:rsidP="001A4DD5">
      <w:pPr>
        <w:keepNext/>
        <w:keepLines/>
        <w:widowControl w:val="0"/>
        <w:spacing w:before="240" w:after="240" w:line="259" w:lineRule="auto"/>
        <w:jc w:val="both"/>
        <w:outlineLvl w:val="0"/>
        <w:rPr>
          <w:rFonts w:eastAsiaTheme="majorEastAsia" w:cs="Arial"/>
          <w:bCs/>
          <w:szCs w:val="20"/>
        </w:rPr>
      </w:pPr>
      <w:r w:rsidRPr="00445B9C">
        <w:rPr>
          <w:rFonts w:eastAsiaTheme="majorEastAsia" w:cs="Arial"/>
          <w:bCs/>
          <w:szCs w:val="20"/>
        </w:rPr>
        <w:t xml:space="preserve">V 376. členu se </w:t>
      </w:r>
      <w:r w:rsidR="00146BE4" w:rsidRPr="00445B9C">
        <w:rPr>
          <w:rFonts w:eastAsiaTheme="majorEastAsia" w:cs="Arial"/>
          <w:bCs/>
          <w:szCs w:val="20"/>
        </w:rPr>
        <w:t xml:space="preserve">v </w:t>
      </w:r>
      <w:r w:rsidRPr="00445B9C">
        <w:rPr>
          <w:rFonts w:eastAsiaTheme="majorEastAsia" w:cs="Arial"/>
          <w:bCs/>
          <w:szCs w:val="20"/>
        </w:rPr>
        <w:t>drug</w:t>
      </w:r>
      <w:r w:rsidR="00146BE4" w:rsidRPr="00445B9C">
        <w:rPr>
          <w:rFonts w:eastAsiaTheme="majorEastAsia" w:cs="Arial"/>
          <w:bCs/>
          <w:szCs w:val="20"/>
        </w:rPr>
        <w:t>em</w:t>
      </w:r>
      <w:r w:rsidRPr="00445B9C">
        <w:rPr>
          <w:rFonts w:eastAsiaTheme="majorEastAsia" w:cs="Arial"/>
          <w:bCs/>
          <w:szCs w:val="20"/>
        </w:rPr>
        <w:t xml:space="preserve"> odstavk</w:t>
      </w:r>
      <w:r w:rsidR="00146BE4" w:rsidRPr="00445B9C">
        <w:rPr>
          <w:rFonts w:eastAsiaTheme="majorEastAsia" w:cs="Arial"/>
          <w:bCs/>
          <w:szCs w:val="20"/>
        </w:rPr>
        <w:t>u</w:t>
      </w:r>
      <w:r w:rsidRPr="00445B9C">
        <w:rPr>
          <w:rFonts w:eastAsiaTheme="majorEastAsia" w:cs="Arial"/>
          <w:bCs/>
          <w:szCs w:val="20"/>
        </w:rPr>
        <w:t xml:space="preserve"> </w:t>
      </w:r>
      <w:r w:rsidR="00BF16C2" w:rsidRPr="00445B9C">
        <w:rPr>
          <w:rFonts w:eastAsiaTheme="majorEastAsia" w:cs="Arial"/>
          <w:bCs/>
          <w:szCs w:val="20"/>
        </w:rPr>
        <w:t>za besedilom »ustrezna testiranja algoritmov«</w:t>
      </w:r>
      <w:r w:rsidRPr="00445B9C">
        <w:rPr>
          <w:rFonts w:eastAsiaTheme="majorEastAsia" w:cs="Arial"/>
          <w:bCs/>
          <w:szCs w:val="20"/>
        </w:rPr>
        <w:t xml:space="preserve"> doda besedilo »v skladu z zahtevami iz II. in IV. poglavja Uredbe 2022/2554/EU.«.</w:t>
      </w:r>
    </w:p>
    <w:p w14:paraId="6EAF4F32"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52" w:name="_Ref196734801"/>
      <w:r w:rsidRPr="00445B9C">
        <w:rPr>
          <w:rFonts w:eastAsiaTheme="majorEastAsia" w:cs="Arial"/>
          <w:b/>
          <w:szCs w:val="20"/>
        </w:rPr>
        <w:t>člen</w:t>
      </w:r>
      <w:bookmarkEnd w:id="52"/>
    </w:p>
    <w:p w14:paraId="567E1D10" w14:textId="42B106AA" w:rsidR="007A2D6D" w:rsidRPr="00445B9C" w:rsidRDefault="007A2D6D"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377. členu se v drugem odstavku </w:t>
      </w:r>
      <w:r w:rsidR="00ED2ED4" w:rsidRPr="00445B9C">
        <w:rPr>
          <w:rFonts w:eastAsiaTheme="majorEastAsia" w:cs="Arial"/>
          <w:bCs/>
          <w:szCs w:val="20"/>
        </w:rPr>
        <w:t xml:space="preserve">v </w:t>
      </w:r>
      <w:r w:rsidR="00146BE4" w:rsidRPr="00445B9C">
        <w:rPr>
          <w:rFonts w:eastAsiaTheme="majorEastAsia" w:cs="Arial"/>
          <w:bCs/>
          <w:szCs w:val="20"/>
        </w:rPr>
        <w:t>2. točk</w:t>
      </w:r>
      <w:r w:rsidR="00ED2ED4" w:rsidRPr="00445B9C">
        <w:rPr>
          <w:rFonts w:eastAsiaTheme="majorEastAsia" w:cs="Arial"/>
          <w:bCs/>
          <w:szCs w:val="20"/>
        </w:rPr>
        <w:t>i</w:t>
      </w:r>
      <w:r w:rsidR="00146BE4" w:rsidRPr="00445B9C">
        <w:rPr>
          <w:rFonts w:eastAsiaTheme="majorEastAsia" w:cs="Arial"/>
          <w:bCs/>
          <w:szCs w:val="20"/>
        </w:rPr>
        <w:t xml:space="preserve"> </w:t>
      </w:r>
      <w:r w:rsidR="00ED2ED4" w:rsidRPr="00445B9C">
        <w:rPr>
          <w:rFonts w:eastAsiaTheme="majorEastAsia" w:cs="Arial"/>
          <w:bCs/>
          <w:szCs w:val="20"/>
        </w:rPr>
        <w:t xml:space="preserve">pika </w:t>
      </w:r>
      <w:r w:rsidR="00152305">
        <w:rPr>
          <w:rFonts w:eastAsiaTheme="majorEastAsia" w:cs="Arial"/>
          <w:bCs/>
          <w:szCs w:val="20"/>
        </w:rPr>
        <w:t xml:space="preserve">na koncu </w:t>
      </w:r>
      <w:r w:rsidR="00ED2ED4" w:rsidRPr="00445B9C">
        <w:rPr>
          <w:rFonts w:eastAsiaTheme="majorEastAsia" w:cs="Arial"/>
          <w:bCs/>
          <w:szCs w:val="20"/>
        </w:rPr>
        <w:t xml:space="preserve">nadomesti z vejico in </w:t>
      </w:r>
      <w:r w:rsidRPr="00445B9C">
        <w:rPr>
          <w:rFonts w:eastAsiaTheme="majorEastAsia" w:cs="Arial"/>
          <w:bCs/>
          <w:szCs w:val="20"/>
        </w:rPr>
        <w:t>doda nova</w:t>
      </w:r>
      <w:r w:rsidR="00146BE4" w:rsidRPr="00445B9C">
        <w:rPr>
          <w:rFonts w:eastAsiaTheme="majorEastAsia" w:cs="Arial"/>
          <w:bCs/>
          <w:szCs w:val="20"/>
        </w:rPr>
        <w:t>,</w:t>
      </w:r>
      <w:r w:rsidRPr="00445B9C">
        <w:rPr>
          <w:rFonts w:eastAsiaTheme="majorEastAsia" w:cs="Arial"/>
          <w:bCs/>
          <w:szCs w:val="20"/>
        </w:rPr>
        <w:t xml:space="preserve"> 3. točka, ki se glasi:</w:t>
      </w:r>
    </w:p>
    <w:p w14:paraId="3F2DCEF2" w14:textId="70C38F01" w:rsidR="006A2506" w:rsidRPr="00445B9C" w:rsidRDefault="007A2D6D" w:rsidP="00DC5F55">
      <w:pPr>
        <w:spacing w:before="240" w:after="240" w:line="259" w:lineRule="auto"/>
        <w:jc w:val="both"/>
        <w:outlineLvl w:val="0"/>
        <w:rPr>
          <w:rFonts w:cs="Arial"/>
          <w:szCs w:val="20"/>
        </w:rPr>
      </w:pPr>
      <w:r w:rsidRPr="00445B9C">
        <w:rPr>
          <w:rFonts w:eastAsiaTheme="majorEastAsia" w:cs="Arial"/>
          <w:bCs/>
          <w:szCs w:val="20"/>
        </w:rPr>
        <w:t>»3. Za delnice z mednarodno identifikacijsko številko vrednostnega papirja (</w:t>
      </w:r>
      <w:r w:rsidR="00DC5F55" w:rsidRPr="00445B9C">
        <w:rPr>
          <w:rFonts w:eastAsiaTheme="majorEastAsia" w:cs="Arial"/>
          <w:bCs/>
          <w:szCs w:val="20"/>
        </w:rPr>
        <w:t xml:space="preserve">v nadaljnjem besedilu: </w:t>
      </w:r>
      <w:r w:rsidRPr="00445B9C">
        <w:rPr>
          <w:rFonts w:eastAsiaTheme="majorEastAsia" w:cs="Arial"/>
          <w:bCs/>
          <w:szCs w:val="20"/>
        </w:rPr>
        <w:t>ISIN), dodeljeno zunaj Evropskega gospodarskega prostora (</w:t>
      </w:r>
      <w:r w:rsidR="00DC5F55" w:rsidRPr="00445B9C">
        <w:rPr>
          <w:rFonts w:eastAsiaTheme="majorEastAsia" w:cs="Arial"/>
          <w:bCs/>
          <w:szCs w:val="20"/>
        </w:rPr>
        <w:t xml:space="preserve">v nadaljnjem besedilu: </w:t>
      </w:r>
      <w:r w:rsidRPr="00445B9C">
        <w:rPr>
          <w:rFonts w:eastAsiaTheme="majorEastAsia" w:cs="Arial"/>
          <w:bCs/>
          <w:szCs w:val="20"/>
        </w:rPr>
        <w:t>EGP), ali delnic</w:t>
      </w:r>
      <w:r w:rsidR="00C20FC0">
        <w:rPr>
          <w:rFonts w:eastAsiaTheme="majorEastAsia" w:cs="Arial"/>
          <w:bCs/>
          <w:szCs w:val="20"/>
        </w:rPr>
        <w:t>e</w:t>
      </w:r>
      <w:r w:rsidRPr="00445B9C">
        <w:rPr>
          <w:rFonts w:eastAsiaTheme="majorEastAsia" w:cs="Arial"/>
          <w:bCs/>
          <w:szCs w:val="20"/>
        </w:rPr>
        <w:t>, ki imajo številko ISIN, dodeljeno v EGP, in s katerimi se trguje na mestu trgovanja v tretji državi v lokalni valuti ali valuti, ki ni valut</w:t>
      </w:r>
      <w:r w:rsidR="00730169" w:rsidRPr="00445B9C">
        <w:rPr>
          <w:rFonts w:eastAsiaTheme="majorEastAsia" w:cs="Arial"/>
          <w:bCs/>
          <w:szCs w:val="20"/>
        </w:rPr>
        <w:t xml:space="preserve">a </w:t>
      </w:r>
      <w:r w:rsidRPr="00445B9C">
        <w:rPr>
          <w:rFonts w:eastAsiaTheme="majorEastAsia" w:cs="Arial"/>
          <w:bCs/>
          <w:szCs w:val="20"/>
        </w:rPr>
        <w:t>EGP, k</w:t>
      </w:r>
      <w:r w:rsidR="00456947">
        <w:rPr>
          <w:rFonts w:eastAsiaTheme="majorEastAsia" w:cs="Arial"/>
          <w:bCs/>
          <w:szCs w:val="20"/>
        </w:rPr>
        <w:t>akor</w:t>
      </w:r>
      <w:r w:rsidRPr="00445B9C">
        <w:rPr>
          <w:rFonts w:eastAsiaTheme="majorEastAsia" w:cs="Arial"/>
          <w:bCs/>
          <w:szCs w:val="20"/>
        </w:rPr>
        <w:t xml:space="preserve"> je navedeno v točki a)</w:t>
      </w:r>
      <w:r w:rsidR="00730169" w:rsidRPr="00445B9C">
        <w:rPr>
          <w:rFonts w:eastAsiaTheme="majorEastAsia" w:cs="Arial"/>
          <w:bCs/>
          <w:szCs w:val="20"/>
        </w:rPr>
        <w:t xml:space="preserve"> prvega odstavka 23. člena Uredbe 600/2014/EU, za katere je mesto trgovanja, ki je najpomembnejši trg kar zadeva likvidnost, v tretji državi, lahko borza uporabi isti korak kotacije, k</w:t>
      </w:r>
      <w:r w:rsidR="00C20FC0">
        <w:rPr>
          <w:rFonts w:eastAsiaTheme="majorEastAsia" w:cs="Arial"/>
          <w:bCs/>
          <w:szCs w:val="20"/>
        </w:rPr>
        <w:t>akor</w:t>
      </w:r>
      <w:r w:rsidR="00730169" w:rsidRPr="00445B9C">
        <w:rPr>
          <w:rFonts w:eastAsiaTheme="majorEastAsia" w:cs="Arial"/>
          <w:bCs/>
          <w:szCs w:val="20"/>
        </w:rPr>
        <w:t xml:space="preserve"> se uporablja na navedenem mestu trgovanja.«.</w:t>
      </w:r>
    </w:p>
    <w:p w14:paraId="5B68F57A"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53" w:name="_Ref196734811"/>
      <w:r w:rsidRPr="00445B9C">
        <w:rPr>
          <w:rFonts w:eastAsiaTheme="majorEastAsia" w:cs="Arial"/>
          <w:b/>
          <w:szCs w:val="20"/>
        </w:rPr>
        <w:t>člen</w:t>
      </w:r>
      <w:bookmarkEnd w:id="53"/>
    </w:p>
    <w:p w14:paraId="649E21CF" w14:textId="77777777" w:rsidR="00DC1A0A" w:rsidRPr="00445B9C" w:rsidRDefault="00DC1A0A" w:rsidP="00BA786D">
      <w:pPr>
        <w:spacing w:before="240" w:after="240" w:line="259" w:lineRule="auto"/>
        <w:jc w:val="both"/>
        <w:outlineLvl w:val="0"/>
        <w:rPr>
          <w:rFonts w:eastAsiaTheme="majorEastAsia" w:cs="Arial"/>
          <w:bCs/>
          <w:szCs w:val="20"/>
        </w:rPr>
      </w:pPr>
      <w:r w:rsidRPr="00445B9C">
        <w:rPr>
          <w:rFonts w:eastAsiaTheme="majorEastAsia" w:cs="Arial"/>
          <w:bCs/>
          <w:szCs w:val="20"/>
        </w:rPr>
        <w:t>378. člen se črta.</w:t>
      </w:r>
    </w:p>
    <w:p w14:paraId="2183EFE5" w14:textId="161FF362" w:rsidR="006A2506" w:rsidRPr="00445B9C" w:rsidRDefault="007C5912" w:rsidP="00F810E6">
      <w:pPr>
        <w:numPr>
          <w:ilvl w:val="0"/>
          <w:numId w:val="16"/>
        </w:numPr>
        <w:spacing w:before="240" w:after="240" w:line="259" w:lineRule="auto"/>
        <w:ind w:left="567" w:hanging="357"/>
        <w:jc w:val="center"/>
        <w:outlineLvl w:val="0"/>
        <w:rPr>
          <w:rFonts w:cs="Arial"/>
          <w:b/>
          <w:szCs w:val="20"/>
        </w:rPr>
      </w:pPr>
      <w:bookmarkStart w:id="54" w:name="_Ref196734826"/>
      <w:r w:rsidRPr="00445B9C">
        <w:rPr>
          <w:rFonts w:eastAsiaTheme="majorEastAsia" w:cs="Arial"/>
          <w:b/>
          <w:szCs w:val="20"/>
        </w:rPr>
        <w:t>člen</w:t>
      </w:r>
      <w:bookmarkEnd w:id="54"/>
    </w:p>
    <w:p w14:paraId="5D96FB08" w14:textId="72DCE24E" w:rsidR="009F3D7C" w:rsidRPr="00445B9C" w:rsidRDefault="00FC72E8" w:rsidP="00BA786D">
      <w:pPr>
        <w:spacing w:before="240" w:after="240" w:line="259" w:lineRule="auto"/>
        <w:jc w:val="both"/>
        <w:outlineLvl w:val="0"/>
        <w:rPr>
          <w:rFonts w:cs="Arial"/>
          <w:bCs/>
          <w:szCs w:val="20"/>
        </w:rPr>
      </w:pPr>
      <w:r w:rsidRPr="00445B9C">
        <w:rPr>
          <w:rFonts w:cs="Arial"/>
          <w:bCs/>
          <w:szCs w:val="20"/>
        </w:rPr>
        <w:t xml:space="preserve">V 382. členu </w:t>
      </w:r>
      <w:r w:rsidR="009F3D7C" w:rsidRPr="00445B9C">
        <w:rPr>
          <w:rFonts w:cs="Arial"/>
          <w:bCs/>
          <w:szCs w:val="20"/>
        </w:rPr>
        <w:t xml:space="preserve">se </w:t>
      </w:r>
      <w:r w:rsidR="00ED2ED4" w:rsidRPr="00445B9C">
        <w:rPr>
          <w:rFonts w:cs="Arial"/>
          <w:bCs/>
          <w:szCs w:val="20"/>
        </w:rPr>
        <w:t xml:space="preserve">v </w:t>
      </w:r>
      <w:r w:rsidR="009F3D7C" w:rsidRPr="00445B9C">
        <w:rPr>
          <w:rFonts w:cs="Arial"/>
          <w:bCs/>
          <w:szCs w:val="20"/>
        </w:rPr>
        <w:t>drug</w:t>
      </w:r>
      <w:r w:rsidR="00ED2ED4" w:rsidRPr="00445B9C">
        <w:rPr>
          <w:rFonts w:cs="Arial"/>
          <w:bCs/>
          <w:szCs w:val="20"/>
        </w:rPr>
        <w:t>em</w:t>
      </w:r>
      <w:r w:rsidR="009F3D7C" w:rsidRPr="00445B9C">
        <w:rPr>
          <w:rFonts w:cs="Arial"/>
          <w:bCs/>
          <w:szCs w:val="20"/>
        </w:rPr>
        <w:t xml:space="preserve"> odstavk</w:t>
      </w:r>
      <w:r w:rsidR="00ED2ED4" w:rsidRPr="00445B9C">
        <w:rPr>
          <w:rFonts w:cs="Arial"/>
          <w:bCs/>
          <w:szCs w:val="20"/>
        </w:rPr>
        <w:t>u</w:t>
      </w:r>
      <w:r w:rsidR="009F3D7C" w:rsidRPr="00445B9C">
        <w:rPr>
          <w:rFonts w:cs="Arial"/>
          <w:bCs/>
          <w:szCs w:val="20"/>
        </w:rPr>
        <w:t xml:space="preserve"> </w:t>
      </w:r>
      <w:r w:rsidR="0048196A" w:rsidRPr="00445B9C">
        <w:rPr>
          <w:rFonts w:cs="Arial"/>
          <w:bCs/>
          <w:szCs w:val="20"/>
        </w:rPr>
        <w:t>za besedilom »odpornost trgovalnega sistema« doda besedilo »v skladu z II. poglavjem Uredbe 2022/2554/EU«</w:t>
      </w:r>
      <w:r w:rsidR="00ED2ED4" w:rsidRPr="00445B9C">
        <w:rPr>
          <w:rFonts w:cs="Arial"/>
          <w:bCs/>
          <w:szCs w:val="20"/>
        </w:rPr>
        <w:t>,</w:t>
      </w:r>
      <w:r w:rsidR="0048196A" w:rsidRPr="00445B9C">
        <w:rPr>
          <w:rFonts w:cs="Arial"/>
          <w:bCs/>
          <w:szCs w:val="20"/>
        </w:rPr>
        <w:t xml:space="preserve"> za besedilom »načrtu neprekinjenega poslovanja« </w:t>
      </w:r>
      <w:r w:rsidR="00ED2ED4" w:rsidRPr="00445B9C">
        <w:rPr>
          <w:rFonts w:cs="Arial"/>
          <w:bCs/>
          <w:szCs w:val="20"/>
        </w:rPr>
        <w:t xml:space="preserve">pa se </w:t>
      </w:r>
      <w:r w:rsidR="0048196A" w:rsidRPr="00445B9C">
        <w:rPr>
          <w:rFonts w:cs="Arial"/>
          <w:bCs/>
          <w:szCs w:val="20"/>
        </w:rPr>
        <w:t>doda</w:t>
      </w:r>
      <w:r w:rsidR="00ED2ED4" w:rsidRPr="00445B9C">
        <w:rPr>
          <w:rFonts w:cs="Arial"/>
          <w:bCs/>
          <w:szCs w:val="20"/>
        </w:rPr>
        <w:t>ta</w:t>
      </w:r>
      <w:r w:rsidR="0048196A" w:rsidRPr="00445B9C">
        <w:rPr>
          <w:rFonts w:cs="Arial"/>
          <w:bCs/>
          <w:szCs w:val="20"/>
        </w:rPr>
        <w:t xml:space="preserve"> </w:t>
      </w:r>
      <w:r w:rsidR="00ED2ED4" w:rsidRPr="00445B9C">
        <w:rPr>
          <w:rFonts w:cs="Arial"/>
          <w:bCs/>
          <w:szCs w:val="20"/>
        </w:rPr>
        <w:t xml:space="preserve">vejica in </w:t>
      </w:r>
      <w:r w:rsidR="0048196A" w:rsidRPr="00445B9C">
        <w:rPr>
          <w:rFonts w:cs="Arial"/>
          <w:bCs/>
          <w:szCs w:val="20"/>
        </w:rPr>
        <w:t>besedilo »vključno s politiko in načrti neprekinjenega poslovanja na področju IKT ter načrti odzivanja in okrevanja IKT, vzpostavljenimi v skladu z 11. členom Uredbe 2022/2554/EU«.</w:t>
      </w:r>
    </w:p>
    <w:p w14:paraId="04294FC1" w14:textId="77777777" w:rsidR="00400E9C"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55" w:name="_Ref196734840"/>
      <w:r w:rsidRPr="00445B9C">
        <w:rPr>
          <w:rFonts w:eastAsiaTheme="majorEastAsia" w:cs="Arial"/>
          <w:b/>
          <w:szCs w:val="20"/>
        </w:rPr>
        <w:t>člen</w:t>
      </w:r>
      <w:bookmarkEnd w:id="55"/>
    </w:p>
    <w:p w14:paraId="3FE55D87" w14:textId="501CE8FE" w:rsidR="00400E9C" w:rsidRPr="00445B9C" w:rsidRDefault="00400E9C" w:rsidP="00BA786D">
      <w:pPr>
        <w:spacing w:before="240" w:after="240" w:line="259" w:lineRule="auto"/>
        <w:jc w:val="both"/>
        <w:outlineLvl w:val="0"/>
        <w:rPr>
          <w:rFonts w:cs="Arial"/>
          <w:bCs/>
          <w:szCs w:val="20"/>
        </w:rPr>
      </w:pPr>
      <w:r w:rsidRPr="00445B9C">
        <w:rPr>
          <w:rFonts w:cs="Arial"/>
          <w:bCs/>
          <w:szCs w:val="20"/>
        </w:rPr>
        <w:t>V 406. členu se za drugim odstavkom doda nov</w:t>
      </w:r>
      <w:r w:rsidR="00ED2ED4" w:rsidRPr="00445B9C">
        <w:rPr>
          <w:rFonts w:cs="Arial"/>
          <w:bCs/>
          <w:szCs w:val="20"/>
        </w:rPr>
        <w:t>,</w:t>
      </w:r>
      <w:r w:rsidRPr="00445B9C">
        <w:rPr>
          <w:rFonts w:cs="Arial"/>
          <w:bCs/>
          <w:szCs w:val="20"/>
        </w:rPr>
        <w:t xml:space="preserve"> tretji odstavek, ki se glasi:</w:t>
      </w:r>
    </w:p>
    <w:p w14:paraId="5D41E9A5" w14:textId="7B86F8A3" w:rsidR="00400E9C" w:rsidRPr="00445B9C" w:rsidRDefault="00400E9C" w:rsidP="00BA786D">
      <w:pPr>
        <w:spacing w:before="240" w:after="240" w:line="259" w:lineRule="auto"/>
        <w:jc w:val="both"/>
        <w:outlineLvl w:val="0"/>
        <w:rPr>
          <w:rFonts w:cs="Arial"/>
          <w:bCs/>
          <w:szCs w:val="20"/>
        </w:rPr>
      </w:pPr>
      <w:r w:rsidRPr="00445B9C">
        <w:rPr>
          <w:rFonts w:cs="Arial"/>
          <w:bCs/>
          <w:szCs w:val="20"/>
        </w:rPr>
        <w:t xml:space="preserve">»(3) Borza informacije iz prejšnjega odstavka hkrati z objavo pošlje tudi </w:t>
      </w:r>
      <w:r w:rsidR="00DE6E33" w:rsidRPr="00445B9C">
        <w:rPr>
          <w:rFonts w:cs="Arial"/>
          <w:bCs/>
          <w:szCs w:val="20"/>
        </w:rPr>
        <w:t>agenciji</w:t>
      </w:r>
      <w:r w:rsidRPr="00445B9C">
        <w:rPr>
          <w:rFonts w:cs="Arial"/>
          <w:bCs/>
          <w:szCs w:val="20"/>
        </w:rPr>
        <w:t>.«</w:t>
      </w:r>
      <w:r w:rsidR="007C5912" w:rsidRPr="00445B9C">
        <w:rPr>
          <w:rFonts w:cs="Arial"/>
          <w:bCs/>
          <w:szCs w:val="20"/>
        </w:rPr>
        <w:t>.</w:t>
      </w:r>
    </w:p>
    <w:p w14:paraId="6E802610" w14:textId="0F1DA06C" w:rsidR="00897002" w:rsidRPr="00445B9C" w:rsidRDefault="00897002" w:rsidP="006625C7">
      <w:pPr>
        <w:numPr>
          <w:ilvl w:val="0"/>
          <w:numId w:val="16"/>
        </w:numPr>
        <w:spacing w:before="240" w:after="240" w:line="259" w:lineRule="auto"/>
        <w:ind w:left="567" w:hanging="357"/>
        <w:jc w:val="center"/>
        <w:outlineLvl w:val="0"/>
        <w:rPr>
          <w:rFonts w:eastAsiaTheme="majorEastAsia" w:cs="Arial"/>
          <w:b/>
          <w:szCs w:val="20"/>
        </w:rPr>
      </w:pPr>
      <w:bookmarkStart w:id="56" w:name="_Ref196825855"/>
      <w:r w:rsidRPr="00445B9C">
        <w:rPr>
          <w:rFonts w:eastAsiaTheme="majorEastAsia" w:cs="Arial"/>
          <w:b/>
          <w:szCs w:val="20"/>
        </w:rPr>
        <w:t>člen</w:t>
      </w:r>
      <w:bookmarkEnd w:id="56"/>
    </w:p>
    <w:p w14:paraId="70671B5B" w14:textId="34368427" w:rsidR="00897002" w:rsidRPr="00445B9C" w:rsidRDefault="00897002" w:rsidP="006625C7">
      <w:pPr>
        <w:spacing w:before="240" w:after="240" w:line="259" w:lineRule="auto"/>
        <w:jc w:val="both"/>
        <w:outlineLvl w:val="0"/>
        <w:rPr>
          <w:rFonts w:cs="Arial"/>
          <w:bCs/>
          <w:szCs w:val="20"/>
        </w:rPr>
      </w:pPr>
      <w:r w:rsidRPr="00445B9C">
        <w:rPr>
          <w:rFonts w:cs="Arial"/>
          <w:bCs/>
          <w:szCs w:val="20"/>
        </w:rPr>
        <w:t xml:space="preserve">V 411. členu se </w:t>
      </w:r>
      <w:r w:rsidR="00F11A6A" w:rsidRPr="00445B9C">
        <w:rPr>
          <w:rFonts w:cs="Arial"/>
          <w:bCs/>
          <w:szCs w:val="20"/>
        </w:rPr>
        <w:t xml:space="preserve">v prvem odstavku </w:t>
      </w:r>
      <w:r w:rsidRPr="00445B9C">
        <w:rPr>
          <w:rFonts w:cs="Arial"/>
          <w:bCs/>
          <w:szCs w:val="20"/>
        </w:rPr>
        <w:t xml:space="preserve">v 1. </w:t>
      </w:r>
      <w:r w:rsidR="00152305">
        <w:rPr>
          <w:rFonts w:cs="Arial"/>
          <w:bCs/>
          <w:szCs w:val="20"/>
        </w:rPr>
        <w:t xml:space="preserve">in 2. </w:t>
      </w:r>
      <w:r w:rsidRPr="00445B9C">
        <w:rPr>
          <w:rFonts w:cs="Arial"/>
          <w:bCs/>
          <w:szCs w:val="20"/>
        </w:rPr>
        <w:t>točki za besedo »banko« doda</w:t>
      </w:r>
      <w:r w:rsidR="004B46A8" w:rsidRPr="00445B9C">
        <w:rPr>
          <w:rFonts w:cs="Arial"/>
          <w:bCs/>
          <w:szCs w:val="20"/>
        </w:rPr>
        <w:t>ta</w:t>
      </w:r>
      <w:r w:rsidRPr="00445B9C">
        <w:rPr>
          <w:rFonts w:cs="Arial"/>
          <w:bCs/>
          <w:szCs w:val="20"/>
        </w:rPr>
        <w:t xml:space="preserve"> vejica in besedilo »kreditno družbo«.</w:t>
      </w:r>
    </w:p>
    <w:p w14:paraId="44AD4478" w14:textId="77777777" w:rsidR="006A2506" w:rsidRPr="00445B9C" w:rsidRDefault="006A2506" w:rsidP="00F810E6">
      <w:pPr>
        <w:numPr>
          <w:ilvl w:val="0"/>
          <w:numId w:val="16"/>
        </w:numPr>
        <w:spacing w:before="240" w:after="240" w:line="259" w:lineRule="auto"/>
        <w:ind w:left="567" w:hanging="357"/>
        <w:jc w:val="center"/>
        <w:outlineLvl w:val="0"/>
        <w:rPr>
          <w:rFonts w:eastAsiaTheme="majorEastAsia" w:cs="Arial"/>
          <w:b/>
          <w:szCs w:val="20"/>
        </w:rPr>
      </w:pPr>
      <w:bookmarkStart w:id="57" w:name="_Ref192070531"/>
      <w:r w:rsidRPr="00445B9C">
        <w:rPr>
          <w:rFonts w:eastAsiaTheme="majorEastAsia" w:cs="Arial"/>
          <w:b/>
          <w:szCs w:val="20"/>
        </w:rPr>
        <w:t>člen</w:t>
      </w:r>
      <w:bookmarkEnd w:id="57"/>
    </w:p>
    <w:p w14:paraId="46288E27" w14:textId="2B9AED27" w:rsidR="006A2506" w:rsidRPr="00445B9C" w:rsidRDefault="00AD02FB" w:rsidP="00BA786D">
      <w:pPr>
        <w:jc w:val="both"/>
        <w:rPr>
          <w:rFonts w:cs="Arial"/>
          <w:szCs w:val="20"/>
        </w:rPr>
      </w:pPr>
      <w:r w:rsidRPr="00445B9C">
        <w:rPr>
          <w:rFonts w:cs="Arial"/>
          <w:szCs w:val="20"/>
        </w:rPr>
        <w:t xml:space="preserve">V 422. členu se </w:t>
      </w:r>
      <w:r w:rsidR="0066146D" w:rsidRPr="00445B9C">
        <w:rPr>
          <w:rFonts w:cs="Arial"/>
          <w:szCs w:val="20"/>
        </w:rPr>
        <w:t xml:space="preserve">v </w:t>
      </w:r>
      <w:r w:rsidRPr="00445B9C">
        <w:rPr>
          <w:rFonts w:cs="Arial"/>
          <w:szCs w:val="20"/>
        </w:rPr>
        <w:t>pet</w:t>
      </w:r>
      <w:r w:rsidR="0066146D" w:rsidRPr="00445B9C">
        <w:rPr>
          <w:rFonts w:cs="Arial"/>
          <w:szCs w:val="20"/>
        </w:rPr>
        <w:t>em</w:t>
      </w:r>
      <w:r w:rsidRPr="00445B9C">
        <w:rPr>
          <w:rFonts w:cs="Arial"/>
          <w:szCs w:val="20"/>
        </w:rPr>
        <w:t xml:space="preserve"> odstavk</w:t>
      </w:r>
      <w:r w:rsidR="0066146D" w:rsidRPr="00445B9C">
        <w:rPr>
          <w:rFonts w:cs="Arial"/>
          <w:szCs w:val="20"/>
        </w:rPr>
        <w:t>u</w:t>
      </w:r>
      <w:r w:rsidRPr="00445B9C">
        <w:rPr>
          <w:rFonts w:cs="Arial"/>
          <w:szCs w:val="20"/>
        </w:rPr>
        <w:t xml:space="preserve"> za besedo »članic« doda besedilo »ter ga javno objavi.«.</w:t>
      </w:r>
    </w:p>
    <w:p w14:paraId="1CE250DA" w14:textId="77777777" w:rsidR="004039F5" w:rsidRPr="00445B9C" w:rsidRDefault="004039F5" w:rsidP="00BA786D">
      <w:pPr>
        <w:jc w:val="both"/>
        <w:rPr>
          <w:rFonts w:cs="Arial"/>
          <w:szCs w:val="20"/>
        </w:rPr>
      </w:pPr>
    </w:p>
    <w:p w14:paraId="31447724" w14:textId="77777777" w:rsidR="004039F5"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58" w:name="_Ref196733662"/>
      <w:r w:rsidRPr="00445B9C">
        <w:rPr>
          <w:rFonts w:eastAsiaTheme="majorEastAsia" w:cs="Arial"/>
          <w:b/>
          <w:szCs w:val="20"/>
        </w:rPr>
        <w:t>člen</w:t>
      </w:r>
      <w:bookmarkEnd w:id="58"/>
    </w:p>
    <w:p w14:paraId="25AD2B91" w14:textId="0391E789" w:rsidR="004039F5" w:rsidRPr="00445B9C" w:rsidRDefault="004039F5" w:rsidP="00BA786D">
      <w:pPr>
        <w:jc w:val="both"/>
        <w:rPr>
          <w:rFonts w:cs="Arial"/>
          <w:szCs w:val="20"/>
        </w:rPr>
      </w:pPr>
      <w:r w:rsidRPr="00445B9C">
        <w:rPr>
          <w:rFonts w:cs="Arial"/>
          <w:szCs w:val="20"/>
        </w:rPr>
        <w:t>Za 429. členom se doda nov</w:t>
      </w:r>
      <w:r w:rsidR="0066146D" w:rsidRPr="00445B9C">
        <w:rPr>
          <w:rFonts w:cs="Arial"/>
          <w:szCs w:val="20"/>
        </w:rPr>
        <w:t>,</w:t>
      </w:r>
      <w:r w:rsidRPr="00445B9C">
        <w:rPr>
          <w:rFonts w:cs="Arial"/>
          <w:szCs w:val="20"/>
        </w:rPr>
        <w:t xml:space="preserve"> 429.a člen, ki se glasi:</w:t>
      </w:r>
    </w:p>
    <w:p w14:paraId="7F6D2BDE" w14:textId="77777777" w:rsidR="004039F5" w:rsidRPr="00445B9C" w:rsidRDefault="004039F5" w:rsidP="00BA786D">
      <w:pPr>
        <w:jc w:val="both"/>
        <w:rPr>
          <w:rFonts w:cs="Arial"/>
          <w:szCs w:val="20"/>
        </w:rPr>
      </w:pPr>
    </w:p>
    <w:p w14:paraId="1A38EDD2" w14:textId="77777777" w:rsidR="004039F5" w:rsidRPr="00445B9C" w:rsidRDefault="004039F5" w:rsidP="00BA786D">
      <w:pPr>
        <w:jc w:val="center"/>
        <w:rPr>
          <w:rFonts w:cs="Arial"/>
          <w:b/>
          <w:bCs/>
          <w:szCs w:val="20"/>
        </w:rPr>
      </w:pPr>
      <w:r w:rsidRPr="00445B9C">
        <w:rPr>
          <w:rFonts w:cs="Arial"/>
          <w:szCs w:val="20"/>
        </w:rPr>
        <w:t>»</w:t>
      </w:r>
      <w:r w:rsidRPr="00445B9C">
        <w:rPr>
          <w:rFonts w:cs="Arial"/>
          <w:b/>
          <w:bCs/>
          <w:szCs w:val="20"/>
        </w:rPr>
        <w:t>429.a člen</w:t>
      </w:r>
    </w:p>
    <w:p w14:paraId="150842AB" w14:textId="77777777" w:rsidR="004039F5" w:rsidRPr="00445B9C" w:rsidRDefault="004039F5" w:rsidP="00BA786D">
      <w:pPr>
        <w:jc w:val="center"/>
        <w:rPr>
          <w:rFonts w:cs="Arial"/>
          <w:b/>
          <w:bCs/>
          <w:szCs w:val="20"/>
        </w:rPr>
      </w:pPr>
      <w:r w:rsidRPr="00445B9C">
        <w:rPr>
          <w:rFonts w:cs="Arial"/>
          <w:b/>
          <w:bCs/>
          <w:szCs w:val="20"/>
        </w:rPr>
        <w:t>(organ za sprejemanje podatkov)</w:t>
      </w:r>
    </w:p>
    <w:p w14:paraId="78F2687E" w14:textId="334F9F33" w:rsidR="004039F5" w:rsidRPr="00445B9C" w:rsidRDefault="004039F5" w:rsidP="00BA786D">
      <w:pPr>
        <w:jc w:val="both"/>
        <w:rPr>
          <w:rFonts w:cs="Arial"/>
          <w:szCs w:val="20"/>
        </w:rPr>
      </w:pPr>
    </w:p>
    <w:p w14:paraId="18389BFA" w14:textId="6102BD20" w:rsidR="002757F6" w:rsidRPr="00445B9C" w:rsidRDefault="007B0C9A" w:rsidP="00BA786D">
      <w:pPr>
        <w:ind w:firstLine="1021"/>
        <w:jc w:val="both"/>
        <w:rPr>
          <w:rFonts w:cs="Arial"/>
          <w:szCs w:val="20"/>
        </w:rPr>
      </w:pPr>
      <w:r w:rsidRPr="00445B9C">
        <w:rPr>
          <w:rFonts w:cs="Arial"/>
          <w:szCs w:val="20"/>
        </w:rPr>
        <w:t>(1) Sistem iz prvega odstavka 159. člena tega zakona</w:t>
      </w:r>
      <w:r w:rsidR="004039F5" w:rsidRPr="00445B9C">
        <w:rPr>
          <w:rFonts w:cs="Arial"/>
          <w:szCs w:val="20"/>
        </w:rPr>
        <w:t xml:space="preserve"> je organ za sprejemanje podatkov za informacije iz prvega in drugega odstavka 17. člena in tretjega odstavka 19. člena </w:t>
      </w:r>
      <w:r w:rsidR="004039F5" w:rsidRPr="00445B9C">
        <w:rPr>
          <w:rFonts w:cs="Arial"/>
          <w:szCs w:val="20"/>
        </w:rPr>
        <w:lastRenderedPageBreak/>
        <w:t xml:space="preserve">Uredbe 596/2014/EU </w:t>
      </w:r>
      <w:r w:rsidR="006D7571">
        <w:rPr>
          <w:rFonts w:cs="Arial"/>
          <w:szCs w:val="20"/>
        </w:rPr>
        <w:t>ter</w:t>
      </w:r>
      <w:r w:rsidR="006D7571" w:rsidRPr="00445B9C">
        <w:rPr>
          <w:rFonts w:cs="Arial"/>
          <w:szCs w:val="20"/>
        </w:rPr>
        <w:t xml:space="preserve"> </w:t>
      </w:r>
      <w:r w:rsidR="004039F5" w:rsidRPr="00445B9C">
        <w:rPr>
          <w:rFonts w:cs="Arial"/>
          <w:szCs w:val="20"/>
        </w:rPr>
        <w:t xml:space="preserve">zagotavlja, da so informacije iz tega sistema dostopne v evropski enotni točki dostopa, vzpostavljeni na podlagi </w:t>
      </w:r>
      <w:r w:rsidR="005F4BFC" w:rsidRPr="00445B9C">
        <w:rPr>
          <w:rFonts w:eastAsiaTheme="majorEastAsia" w:cs="Arial"/>
          <w:bCs/>
          <w:szCs w:val="20"/>
        </w:rPr>
        <w:t>prvega odstavka 1. člena</w:t>
      </w:r>
      <w:r w:rsidR="005F4BFC" w:rsidRPr="00445B9C">
        <w:rPr>
          <w:rFonts w:cs="Arial"/>
          <w:szCs w:val="20"/>
        </w:rPr>
        <w:t xml:space="preserve"> </w:t>
      </w:r>
      <w:r w:rsidR="004039F5" w:rsidRPr="00445B9C">
        <w:rPr>
          <w:rFonts w:cs="Arial"/>
          <w:szCs w:val="20"/>
        </w:rPr>
        <w:t>Uredbe 2023/2859/EU.</w:t>
      </w:r>
    </w:p>
    <w:p w14:paraId="028731C8" w14:textId="77777777" w:rsidR="002757F6" w:rsidRPr="00445B9C" w:rsidRDefault="002757F6" w:rsidP="00BA786D">
      <w:pPr>
        <w:ind w:firstLine="1021"/>
        <w:jc w:val="both"/>
        <w:rPr>
          <w:rFonts w:cs="Arial"/>
          <w:szCs w:val="20"/>
        </w:rPr>
      </w:pPr>
    </w:p>
    <w:p w14:paraId="3642EDD4" w14:textId="3F77E5E2" w:rsidR="00887CB2" w:rsidRPr="00445B9C" w:rsidRDefault="002757F6" w:rsidP="00B510AE">
      <w:pPr>
        <w:ind w:firstLine="1021"/>
        <w:jc w:val="both"/>
        <w:rPr>
          <w:rFonts w:cs="Arial"/>
          <w:szCs w:val="20"/>
        </w:rPr>
      </w:pPr>
      <w:r w:rsidRPr="00445B9C">
        <w:rPr>
          <w:rFonts w:cs="Arial"/>
          <w:szCs w:val="20"/>
        </w:rPr>
        <w:t xml:space="preserve">(2) Ne glede na prejšnji odstavek je v primeru izdajateljev finančnih instrumentov, s katerimi se trguje samo v MTF ali OTF, za izdajatelje, ki so odobrili trgovanje s svojimi finančnimi instrumenti v MTF ali OTF ali zahtevali uvrstitev svojih finančnih instrumentov v trgovanje v MTF v državi članici, </w:t>
      </w:r>
      <w:r w:rsidR="00C20571">
        <w:rPr>
          <w:rFonts w:cs="Arial"/>
          <w:szCs w:val="20"/>
        </w:rPr>
        <w:t>a</w:t>
      </w:r>
      <w:r w:rsidRPr="00445B9C">
        <w:rPr>
          <w:rFonts w:cs="Arial"/>
          <w:szCs w:val="20"/>
        </w:rPr>
        <w:t>gencija organ za sprejemanje podatkov za informacije iz prvega in drugega odstavka 17. člena in tretjega odstavka 19. člena Uredbe 596/2014/EU</w:t>
      </w:r>
      <w:r w:rsidR="00FD19EE" w:rsidRPr="00445B9C">
        <w:rPr>
          <w:rFonts w:cs="Arial"/>
          <w:szCs w:val="20"/>
        </w:rPr>
        <w:t xml:space="preserve"> </w:t>
      </w:r>
      <w:r w:rsidR="006D7571">
        <w:rPr>
          <w:rFonts w:cs="Arial"/>
          <w:szCs w:val="20"/>
        </w:rPr>
        <w:t>ter</w:t>
      </w:r>
      <w:r w:rsidR="006D7571" w:rsidRPr="00445B9C">
        <w:rPr>
          <w:rFonts w:cs="Arial"/>
          <w:szCs w:val="20"/>
        </w:rPr>
        <w:t xml:space="preserve"> </w:t>
      </w:r>
      <w:r w:rsidRPr="00445B9C">
        <w:rPr>
          <w:rFonts w:cs="Arial"/>
          <w:szCs w:val="20"/>
        </w:rPr>
        <w:t>zagotavlja, da so te informacije dostopne v evropski enotni točki dostopa, vzpostavljeni na podlagi Uredbe 2023/2859/EU</w:t>
      </w:r>
      <w:r w:rsidR="00FD19EE" w:rsidRPr="00445B9C">
        <w:rPr>
          <w:rFonts w:cs="Arial"/>
          <w:szCs w:val="20"/>
        </w:rPr>
        <w:t>.</w:t>
      </w:r>
      <w:r w:rsidR="004039F5" w:rsidRPr="00445B9C">
        <w:rPr>
          <w:rFonts w:cs="Arial"/>
          <w:szCs w:val="20"/>
        </w:rPr>
        <w:t>«</w:t>
      </w:r>
      <w:r w:rsidR="007C5912" w:rsidRPr="00445B9C">
        <w:rPr>
          <w:rFonts w:cs="Arial"/>
          <w:szCs w:val="20"/>
        </w:rPr>
        <w:t>.</w:t>
      </w:r>
    </w:p>
    <w:p w14:paraId="40AAA041" w14:textId="77777777" w:rsidR="00887CB2"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59" w:name="_Ref196734890"/>
      <w:r w:rsidRPr="00445B9C">
        <w:rPr>
          <w:rFonts w:eastAsiaTheme="majorEastAsia" w:cs="Arial"/>
          <w:b/>
          <w:szCs w:val="20"/>
        </w:rPr>
        <w:t>člen</w:t>
      </w:r>
      <w:bookmarkEnd w:id="59"/>
    </w:p>
    <w:p w14:paraId="6CD2A6F7" w14:textId="47FD2A8C" w:rsidR="00887CB2" w:rsidRPr="00445B9C" w:rsidRDefault="00FD659F" w:rsidP="00BA786D">
      <w:pPr>
        <w:jc w:val="both"/>
        <w:rPr>
          <w:rFonts w:cs="Arial"/>
          <w:szCs w:val="20"/>
        </w:rPr>
      </w:pPr>
      <w:r w:rsidRPr="00445B9C">
        <w:rPr>
          <w:rFonts w:cs="Arial"/>
          <w:szCs w:val="20"/>
        </w:rPr>
        <w:t xml:space="preserve">V 443. členu se </w:t>
      </w:r>
      <w:r w:rsidR="00040CF3" w:rsidRPr="00445B9C">
        <w:rPr>
          <w:rFonts w:cs="Arial"/>
          <w:szCs w:val="20"/>
        </w:rPr>
        <w:t xml:space="preserve">v </w:t>
      </w:r>
      <w:r w:rsidRPr="00445B9C">
        <w:rPr>
          <w:rFonts w:cs="Arial"/>
          <w:szCs w:val="20"/>
        </w:rPr>
        <w:t>šest</w:t>
      </w:r>
      <w:r w:rsidR="00040CF3" w:rsidRPr="00445B9C">
        <w:rPr>
          <w:rFonts w:cs="Arial"/>
          <w:szCs w:val="20"/>
        </w:rPr>
        <w:t>em</w:t>
      </w:r>
      <w:r w:rsidRPr="00445B9C">
        <w:rPr>
          <w:rFonts w:cs="Arial"/>
          <w:szCs w:val="20"/>
        </w:rPr>
        <w:t xml:space="preserve"> odstavk</w:t>
      </w:r>
      <w:r w:rsidR="00040CF3" w:rsidRPr="00445B9C">
        <w:rPr>
          <w:rFonts w:cs="Arial"/>
          <w:szCs w:val="20"/>
        </w:rPr>
        <w:t>u</w:t>
      </w:r>
      <w:r w:rsidRPr="00445B9C">
        <w:rPr>
          <w:rFonts w:cs="Arial"/>
          <w:szCs w:val="20"/>
        </w:rPr>
        <w:t xml:space="preserve"> </w:t>
      </w:r>
      <w:r w:rsidR="00040CF3" w:rsidRPr="00445B9C">
        <w:rPr>
          <w:rFonts w:cs="Arial"/>
          <w:szCs w:val="20"/>
        </w:rPr>
        <w:t>besedilo</w:t>
      </w:r>
      <w:r w:rsidR="004C6445" w:rsidRPr="00445B9C">
        <w:rPr>
          <w:rFonts w:cs="Arial"/>
          <w:szCs w:val="20"/>
        </w:rPr>
        <w:t xml:space="preserve"> »9.4« nadomesti </w:t>
      </w:r>
      <w:r w:rsidR="00040CF3" w:rsidRPr="00445B9C">
        <w:rPr>
          <w:rFonts w:cs="Arial"/>
          <w:szCs w:val="20"/>
        </w:rPr>
        <w:t>z besedilom</w:t>
      </w:r>
      <w:r w:rsidR="004C6445" w:rsidRPr="00445B9C">
        <w:rPr>
          <w:rFonts w:cs="Arial"/>
          <w:szCs w:val="20"/>
        </w:rPr>
        <w:t xml:space="preserve"> »9.5«.</w:t>
      </w:r>
    </w:p>
    <w:p w14:paraId="72D112D9" w14:textId="77777777" w:rsidR="00B05593" w:rsidRPr="00445B9C" w:rsidRDefault="00B05593" w:rsidP="00BA786D">
      <w:pPr>
        <w:jc w:val="both"/>
        <w:rPr>
          <w:rFonts w:cs="Arial"/>
          <w:szCs w:val="20"/>
        </w:rPr>
      </w:pPr>
    </w:p>
    <w:p w14:paraId="2D47F813" w14:textId="1EB92898" w:rsidR="00B05593" w:rsidRPr="00445B9C" w:rsidRDefault="00B05593" w:rsidP="00B05593">
      <w:pPr>
        <w:numPr>
          <w:ilvl w:val="0"/>
          <w:numId w:val="16"/>
        </w:numPr>
        <w:spacing w:before="240" w:after="240" w:line="259" w:lineRule="auto"/>
        <w:ind w:left="567" w:hanging="357"/>
        <w:jc w:val="center"/>
        <w:outlineLvl w:val="0"/>
        <w:rPr>
          <w:rFonts w:eastAsiaTheme="majorEastAsia" w:cs="Arial"/>
          <w:b/>
          <w:szCs w:val="20"/>
        </w:rPr>
      </w:pPr>
      <w:bookmarkStart w:id="60" w:name="_Ref196825906"/>
      <w:r w:rsidRPr="00445B9C">
        <w:rPr>
          <w:rFonts w:eastAsiaTheme="majorEastAsia" w:cs="Arial"/>
          <w:b/>
          <w:szCs w:val="20"/>
        </w:rPr>
        <w:t>člen</w:t>
      </w:r>
      <w:bookmarkEnd w:id="60"/>
    </w:p>
    <w:p w14:paraId="3D04C220" w14:textId="61B587D2" w:rsidR="00B05593" w:rsidRPr="00445B9C" w:rsidRDefault="00B05593" w:rsidP="00B05593">
      <w:pPr>
        <w:spacing w:before="240" w:after="240" w:line="259" w:lineRule="auto"/>
        <w:jc w:val="both"/>
        <w:outlineLvl w:val="0"/>
        <w:rPr>
          <w:rFonts w:cs="Arial"/>
          <w:bCs/>
          <w:szCs w:val="20"/>
        </w:rPr>
      </w:pPr>
      <w:r w:rsidRPr="00445B9C">
        <w:rPr>
          <w:rFonts w:cs="Arial"/>
          <w:bCs/>
          <w:szCs w:val="20"/>
        </w:rPr>
        <w:t xml:space="preserve">V 448. členu se </w:t>
      </w:r>
      <w:r w:rsidR="00E00A0D" w:rsidRPr="00445B9C">
        <w:rPr>
          <w:rFonts w:cs="Arial"/>
          <w:bCs/>
          <w:szCs w:val="20"/>
        </w:rPr>
        <w:t xml:space="preserve">v prvem odstavku </w:t>
      </w:r>
      <w:r w:rsidRPr="00445B9C">
        <w:rPr>
          <w:rFonts w:cs="Arial"/>
          <w:bCs/>
          <w:szCs w:val="20"/>
        </w:rPr>
        <w:t xml:space="preserve">v 1. </w:t>
      </w:r>
      <w:r w:rsidR="006D7571">
        <w:rPr>
          <w:rFonts w:cs="Arial"/>
          <w:bCs/>
          <w:szCs w:val="20"/>
        </w:rPr>
        <w:t xml:space="preserve">in 2. </w:t>
      </w:r>
      <w:r w:rsidRPr="00445B9C">
        <w:rPr>
          <w:rFonts w:cs="Arial"/>
          <w:bCs/>
          <w:szCs w:val="20"/>
        </w:rPr>
        <w:t>točki za besedo »banka« doda</w:t>
      </w:r>
      <w:r w:rsidR="004B46A8" w:rsidRPr="00445B9C">
        <w:rPr>
          <w:rFonts w:cs="Arial"/>
          <w:bCs/>
          <w:szCs w:val="20"/>
        </w:rPr>
        <w:t>ta</w:t>
      </w:r>
      <w:r w:rsidRPr="00445B9C">
        <w:rPr>
          <w:rFonts w:cs="Arial"/>
          <w:bCs/>
          <w:szCs w:val="20"/>
        </w:rPr>
        <w:t xml:space="preserve"> vejica in besedilo »kreditna družba«.</w:t>
      </w:r>
    </w:p>
    <w:p w14:paraId="685C4B43" w14:textId="77777777" w:rsidR="006A2506" w:rsidRPr="00445B9C" w:rsidRDefault="006A2506" w:rsidP="00F810E6">
      <w:pPr>
        <w:numPr>
          <w:ilvl w:val="0"/>
          <w:numId w:val="16"/>
        </w:numPr>
        <w:spacing w:before="240" w:after="240" w:line="259" w:lineRule="auto"/>
        <w:ind w:left="567" w:hanging="357"/>
        <w:jc w:val="center"/>
        <w:outlineLvl w:val="0"/>
        <w:rPr>
          <w:rFonts w:eastAsiaTheme="majorEastAsia" w:cs="Arial"/>
          <w:b/>
          <w:szCs w:val="20"/>
        </w:rPr>
      </w:pPr>
      <w:bookmarkStart w:id="61" w:name="_Ref64902651"/>
      <w:r w:rsidRPr="00445B9C">
        <w:rPr>
          <w:rFonts w:eastAsiaTheme="majorEastAsia" w:cs="Arial"/>
          <w:b/>
          <w:szCs w:val="20"/>
        </w:rPr>
        <w:t>člen</w:t>
      </w:r>
      <w:bookmarkEnd w:id="61"/>
    </w:p>
    <w:p w14:paraId="68E6DC1A" w14:textId="3D9BCE67" w:rsidR="00DC4437" w:rsidRPr="00445B9C" w:rsidRDefault="00575CA5"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450. členu se </w:t>
      </w:r>
      <w:r w:rsidR="00E00A0D" w:rsidRPr="00445B9C">
        <w:rPr>
          <w:rFonts w:eastAsiaTheme="majorEastAsia" w:cs="Arial"/>
          <w:bCs/>
          <w:szCs w:val="20"/>
        </w:rPr>
        <w:t xml:space="preserve">v prvem odstavku </w:t>
      </w:r>
      <w:r w:rsidR="00DC4437" w:rsidRPr="00445B9C">
        <w:rPr>
          <w:rFonts w:eastAsiaTheme="majorEastAsia" w:cs="Arial"/>
          <w:bCs/>
          <w:szCs w:val="20"/>
        </w:rPr>
        <w:t>v drugi alineji besedo »Sloveniji« doda besedilo »ali kreditna družba«.</w:t>
      </w:r>
    </w:p>
    <w:p w14:paraId="37C03B28" w14:textId="770F9A42" w:rsidR="00575CA5" w:rsidRPr="00445B9C" w:rsidRDefault="00E00A0D"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3C4484" w:rsidRPr="00445B9C">
        <w:rPr>
          <w:rFonts w:eastAsiaTheme="majorEastAsia" w:cs="Arial"/>
          <w:bCs/>
          <w:szCs w:val="20"/>
        </w:rPr>
        <w:t xml:space="preserve">drugem odstavku </w:t>
      </w:r>
      <w:r w:rsidR="006D7571">
        <w:rPr>
          <w:rFonts w:eastAsiaTheme="majorEastAsia" w:cs="Arial"/>
          <w:bCs/>
          <w:szCs w:val="20"/>
        </w:rPr>
        <w:t xml:space="preserve">se </w:t>
      </w:r>
      <w:r w:rsidR="003C4484" w:rsidRPr="00445B9C">
        <w:rPr>
          <w:rFonts w:eastAsiaTheme="majorEastAsia" w:cs="Arial"/>
          <w:bCs/>
          <w:szCs w:val="20"/>
        </w:rPr>
        <w:t xml:space="preserve">v </w:t>
      </w:r>
      <w:r w:rsidR="00575CA5" w:rsidRPr="00445B9C">
        <w:rPr>
          <w:rFonts w:eastAsiaTheme="majorEastAsia" w:cs="Arial"/>
          <w:bCs/>
          <w:szCs w:val="20"/>
        </w:rPr>
        <w:t>napovednem stavku besed</w:t>
      </w:r>
      <w:r w:rsidR="006D7571">
        <w:rPr>
          <w:rFonts w:eastAsiaTheme="majorEastAsia" w:cs="Arial"/>
          <w:bCs/>
          <w:szCs w:val="20"/>
        </w:rPr>
        <w:t>a</w:t>
      </w:r>
      <w:r w:rsidR="00575CA5" w:rsidRPr="00445B9C">
        <w:rPr>
          <w:rFonts w:eastAsiaTheme="majorEastAsia" w:cs="Arial"/>
          <w:bCs/>
          <w:szCs w:val="20"/>
        </w:rPr>
        <w:t xml:space="preserve"> »četrte«</w:t>
      </w:r>
      <w:r w:rsidR="00952346" w:rsidRPr="00445B9C">
        <w:rPr>
          <w:rFonts w:eastAsiaTheme="majorEastAsia" w:cs="Arial"/>
          <w:bCs/>
          <w:szCs w:val="20"/>
        </w:rPr>
        <w:t xml:space="preserve"> </w:t>
      </w:r>
      <w:r w:rsidR="00575CA5" w:rsidRPr="00445B9C">
        <w:rPr>
          <w:rFonts w:eastAsiaTheme="majorEastAsia" w:cs="Arial"/>
          <w:bCs/>
          <w:szCs w:val="20"/>
        </w:rPr>
        <w:t xml:space="preserve">nadomesti </w:t>
      </w:r>
      <w:r w:rsidR="00B93DF5" w:rsidRPr="00445B9C">
        <w:rPr>
          <w:rFonts w:eastAsiaTheme="majorEastAsia" w:cs="Arial"/>
          <w:bCs/>
          <w:szCs w:val="20"/>
        </w:rPr>
        <w:t>z besedilom</w:t>
      </w:r>
      <w:r w:rsidR="00FD659F" w:rsidRPr="00445B9C">
        <w:rPr>
          <w:rFonts w:eastAsiaTheme="majorEastAsia" w:cs="Arial"/>
          <w:bCs/>
          <w:szCs w:val="20"/>
        </w:rPr>
        <w:t xml:space="preserve"> </w:t>
      </w:r>
      <w:r w:rsidR="00575CA5" w:rsidRPr="00445B9C">
        <w:rPr>
          <w:rFonts w:eastAsiaTheme="majorEastAsia" w:cs="Arial"/>
          <w:bCs/>
          <w:szCs w:val="20"/>
        </w:rPr>
        <w:t>»4.«.</w:t>
      </w:r>
    </w:p>
    <w:p w14:paraId="0825BF56"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62" w:name="_Ref196734927"/>
      <w:r w:rsidRPr="00445B9C">
        <w:rPr>
          <w:rFonts w:eastAsiaTheme="majorEastAsia" w:cs="Arial"/>
          <w:b/>
          <w:szCs w:val="20"/>
        </w:rPr>
        <w:t>člen</w:t>
      </w:r>
      <w:bookmarkEnd w:id="62"/>
    </w:p>
    <w:p w14:paraId="2B29F0A7" w14:textId="77E21315" w:rsidR="00A56649" w:rsidRPr="00445B9C" w:rsidRDefault="00A56649"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531. členu se v </w:t>
      </w:r>
      <w:r w:rsidR="00891EE2" w:rsidRPr="00445B9C">
        <w:rPr>
          <w:rFonts w:eastAsiaTheme="majorEastAsia" w:cs="Arial"/>
          <w:bCs/>
          <w:szCs w:val="20"/>
        </w:rPr>
        <w:t xml:space="preserve">prvem odstavku v </w:t>
      </w:r>
      <w:r w:rsidRPr="00445B9C">
        <w:rPr>
          <w:rFonts w:eastAsiaTheme="majorEastAsia" w:cs="Arial"/>
          <w:bCs/>
          <w:szCs w:val="20"/>
        </w:rPr>
        <w:t>napovednem stavku besed</w:t>
      </w:r>
      <w:r w:rsidR="00891EE2" w:rsidRPr="00445B9C">
        <w:rPr>
          <w:rFonts w:eastAsiaTheme="majorEastAsia" w:cs="Arial"/>
          <w:bCs/>
          <w:szCs w:val="20"/>
        </w:rPr>
        <w:t>ilo</w:t>
      </w:r>
      <w:r w:rsidRPr="00445B9C">
        <w:rPr>
          <w:rFonts w:eastAsiaTheme="majorEastAsia" w:cs="Arial"/>
          <w:bCs/>
          <w:szCs w:val="20"/>
        </w:rPr>
        <w:t xml:space="preserve"> »borznoposredniška družba</w:t>
      </w:r>
      <w:r w:rsidR="00891EE2" w:rsidRPr="00445B9C">
        <w:rPr>
          <w:rFonts w:eastAsiaTheme="majorEastAsia" w:cs="Arial"/>
          <w:bCs/>
          <w:szCs w:val="20"/>
        </w:rPr>
        <w:t xml:space="preserve"> ali banka</w:t>
      </w:r>
      <w:r w:rsidRPr="00445B9C">
        <w:rPr>
          <w:rFonts w:eastAsiaTheme="majorEastAsia" w:cs="Arial"/>
          <w:bCs/>
          <w:szCs w:val="20"/>
        </w:rPr>
        <w:t xml:space="preserve">« </w:t>
      </w:r>
      <w:r w:rsidR="00891EE2" w:rsidRPr="00445B9C">
        <w:rPr>
          <w:rFonts w:eastAsiaTheme="majorEastAsia" w:cs="Arial"/>
          <w:bCs/>
          <w:szCs w:val="20"/>
        </w:rPr>
        <w:t xml:space="preserve">nadomesti z </w:t>
      </w:r>
      <w:r w:rsidRPr="00445B9C">
        <w:rPr>
          <w:rFonts w:eastAsiaTheme="majorEastAsia" w:cs="Arial"/>
          <w:bCs/>
          <w:szCs w:val="20"/>
        </w:rPr>
        <w:t>besed</w:t>
      </w:r>
      <w:r w:rsidR="00891EE2" w:rsidRPr="00445B9C">
        <w:rPr>
          <w:rFonts w:eastAsiaTheme="majorEastAsia" w:cs="Arial"/>
          <w:bCs/>
          <w:szCs w:val="20"/>
        </w:rPr>
        <w:t>ilom</w:t>
      </w:r>
      <w:r w:rsidRPr="00445B9C">
        <w:rPr>
          <w:rFonts w:eastAsiaTheme="majorEastAsia" w:cs="Arial"/>
          <w:bCs/>
          <w:szCs w:val="20"/>
        </w:rPr>
        <w:t xml:space="preserve"> »</w:t>
      </w:r>
      <w:r w:rsidR="00891EE2" w:rsidRPr="00445B9C">
        <w:rPr>
          <w:rFonts w:eastAsiaTheme="majorEastAsia" w:cs="Arial"/>
          <w:bCs/>
          <w:szCs w:val="20"/>
        </w:rPr>
        <w:t>borznoposredniška družba, kreditna družba, banka</w:t>
      </w:r>
      <w:r w:rsidRPr="00445B9C">
        <w:rPr>
          <w:rFonts w:eastAsiaTheme="majorEastAsia" w:cs="Arial"/>
          <w:bCs/>
          <w:szCs w:val="20"/>
        </w:rPr>
        <w:t>«</w:t>
      </w:r>
      <w:r w:rsidR="00891EE2" w:rsidRPr="00445B9C">
        <w:rPr>
          <w:rFonts w:eastAsiaTheme="majorEastAsia" w:cs="Arial"/>
          <w:bCs/>
          <w:szCs w:val="20"/>
        </w:rPr>
        <w:t>.</w:t>
      </w:r>
    </w:p>
    <w:p w14:paraId="0302092B" w14:textId="069A1F7F" w:rsidR="00A56649" w:rsidRPr="00445B9C" w:rsidRDefault="00891EE2" w:rsidP="00B510AE">
      <w:pPr>
        <w:rPr>
          <w:rFonts w:cs="Arial"/>
          <w:szCs w:val="20"/>
        </w:rPr>
      </w:pPr>
      <w:r w:rsidRPr="00445B9C">
        <w:rPr>
          <w:rFonts w:cs="Arial"/>
          <w:szCs w:val="20"/>
        </w:rPr>
        <w:t xml:space="preserve">V </w:t>
      </w:r>
      <w:r w:rsidR="00A56649" w:rsidRPr="00445B9C">
        <w:rPr>
          <w:rFonts w:cs="Arial"/>
          <w:szCs w:val="20"/>
        </w:rPr>
        <w:t>6. točk</w:t>
      </w:r>
      <w:r w:rsidRPr="00445B9C">
        <w:rPr>
          <w:rFonts w:cs="Arial"/>
          <w:szCs w:val="20"/>
        </w:rPr>
        <w:t>i</w:t>
      </w:r>
      <w:r w:rsidR="00A56649" w:rsidRPr="00445B9C">
        <w:rPr>
          <w:rFonts w:cs="Arial"/>
          <w:szCs w:val="20"/>
        </w:rPr>
        <w:t xml:space="preserve"> se za besed</w:t>
      </w:r>
      <w:r w:rsidRPr="00445B9C">
        <w:rPr>
          <w:rFonts w:cs="Arial"/>
          <w:szCs w:val="20"/>
        </w:rPr>
        <w:t>ilom</w:t>
      </w:r>
      <w:r w:rsidR="00A56649" w:rsidRPr="00445B9C">
        <w:rPr>
          <w:rFonts w:cs="Arial"/>
          <w:szCs w:val="20"/>
        </w:rPr>
        <w:t xml:space="preserve"> »borznoposredniške družbe« doda</w:t>
      </w:r>
      <w:r w:rsidRPr="00445B9C">
        <w:rPr>
          <w:rFonts w:cs="Arial"/>
          <w:szCs w:val="20"/>
        </w:rPr>
        <w:t>ta</w:t>
      </w:r>
      <w:r w:rsidR="00A56649" w:rsidRPr="00445B9C">
        <w:rPr>
          <w:rFonts w:cs="Arial"/>
          <w:szCs w:val="20"/>
        </w:rPr>
        <w:t xml:space="preserve"> vejica in </w:t>
      </w:r>
      <w:r w:rsidR="00483AE8" w:rsidRPr="00445B9C">
        <w:rPr>
          <w:rFonts w:cs="Arial"/>
          <w:szCs w:val="20"/>
        </w:rPr>
        <w:t>besed</w:t>
      </w:r>
      <w:r w:rsidRPr="00445B9C">
        <w:rPr>
          <w:rFonts w:cs="Arial"/>
          <w:szCs w:val="20"/>
        </w:rPr>
        <w:t>ilo</w:t>
      </w:r>
      <w:r w:rsidR="00483AE8" w:rsidRPr="00445B9C">
        <w:rPr>
          <w:rFonts w:cs="Arial"/>
          <w:szCs w:val="20"/>
        </w:rPr>
        <w:t xml:space="preserve"> </w:t>
      </w:r>
      <w:r w:rsidR="00A56649" w:rsidRPr="00445B9C">
        <w:rPr>
          <w:rFonts w:cs="Arial"/>
          <w:szCs w:val="20"/>
        </w:rPr>
        <w:t>»kreditne družbe«</w:t>
      </w:r>
      <w:r w:rsidRPr="00445B9C">
        <w:rPr>
          <w:rFonts w:cs="Arial"/>
          <w:szCs w:val="20"/>
        </w:rPr>
        <w:t>.</w:t>
      </w:r>
    </w:p>
    <w:p w14:paraId="2F0FD151" w14:textId="77777777" w:rsidR="00891EE2" w:rsidRPr="00445B9C" w:rsidRDefault="00891EE2" w:rsidP="00891EE2">
      <w:pPr>
        <w:rPr>
          <w:rFonts w:cs="Arial"/>
          <w:szCs w:val="20"/>
        </w:rPr>
      </w:pPr>
    </w:p>
    <w:p w14:paraId="00266994" w14:textId="61B70B80" w:rsidR="00A56649" w:rsidRPr="00445B9C" w:rsidRDefault="00891EE2" w:rsidP="00B510AE">
      <w:pPr>
        <w:rPr>
          <w:rFonts w:cs="Arial"/>
          <w:szCs w:val="20"/>
        </w:rPr>
      </w:pPr>
      <w:r w:rsidRPr="00445B9C">
        <w:rPr>
          <w:rFonts w:cs="Arial"/>
          <w:szCs w:val="20"/>
        </w:rPr>
        <w:t>V</w:t>
      </w:r>
      <w:r w:rsidR="00483AE8" w:rsidRPr="00445B9C">
        <w:rPr>
          <w:rFonts w:cs="Arial"/>
          <w:szCs w:val="20"/>
        </w:rPr>
        <w:t xml:space="preserve"> </w:t>
      </w:r>
      <w:r w:rsidR="00A56649" w:rsidRPr="00445B9C">
        <w:rPr>
          <w:rFonts w:cs="Arial"/>
          <w:szCs w:val="20"/>
        </w:rPr>
        <w:t xml:space="preserve">19. </w:t>
      </w:r>
      <w:r w:rsidR="007C5912" w:rsidRPr="00445B9C">
        <w:rPr>
          <w:rFonts w:cs="Arial"/>
          <w:szCs w:val="20"/>
        </w:rPr>
        <w:t xml:space="preserve">točki </w:t>
      </w:r>
      <w:r w:rsidRPr="00445B9C">
        <w:rPr>
          <w:rFonts w:cs="Arial"/>
          <w:szCs w:val="20"/>
        </w:rPr>
        <w:t xml:space="preserve">se </w:t>
      </w:r>
      <w:r w:rsidR="007C5912" w:rsidRPr="00445B9C">
        <w:rPr>
          <w:rFonts w:cs="Arial"/>
          <w:szCs w:val="20"/>
        </w:rPr>
        <w:t xml:space="preserve">beseda </w:t>
      </w:r>
      <w:r w:rsidR="00A56649" w:rsidRPr="00445B9C">
        <w:rPr>
          <w:rFonts w:cs="Arial"/>
          <w:szCs w:val="20"/>
        </w:rPr>
        <w:t>»šestim« nadomesti z besedo »petim«</w:t>
      </w:r>
      <w:r w:rsidR="00FD659F" w:rsidRPr="00445B9C">
        <w:rPr>
          <w:rFonts w:cs="Arial"/>
          <w:szCs w:val="20"/>
        </w:rPr>
        <w:t>.</w:t>
      </w:r>
      <w:r w:rsidR="00A56649" w:rsidRPr="00445B9C">
        <w:rPr>
          <w:rFonts w:cs="Arial"/>
          <w:szCs w:val="20"/>
        </w:rPr>
        <w:t xml:space="preserve"> </w:t>
      </w:r>
    </w:p>
    <w:p w14:paraId="5CACF3A9" w14:textId="77777777" w:rsidR="00A56649" w:rsidRPr="00445B9C" w:rsidRDefault="00A56649" w:rsidP="00BA786D">
      <w:pPr>
        <w:spacing w:before="240" w:after="240" w:line="259" w:lineRule="auto"/>
        <w:jc w:val="both"/>
        <w:outlineLvl w:val="0"/>
        <w:rPr>
          <w:rFonts w:eastAsiaTheme="majorEastAsia" w:cs="Arial"/>
          <w:bCs/>
          <w:szCs w:val="20"/>
        </w:rPr>
      </w:pPr>
      <w:r w:rsidRPr="00445B9C">
        <w:rPr>
          <w:rFonts w:eastAsiaTheme="majorEastAsia" w:cs="Arial"/>
          <w:bCs/>
          <w:szCs w:val="20"/>
        </w:rPr>
        <w:t>Drugi odstavek se črta</w:t>
      </w:r>
      <w:r w:rsidR="009C2E5A" w:rsidRPr="00445B9C">
        <w:rPr>
          <w:rFonts w:eastAsiaTheme="majorEastAsia" w:cs="Arial"/>
          <w:bCs/>
          <w:szCs w:val="20"/>
        </w:rPr>
        <w:t>.</w:t>
      </w:r>
    </w:p>
    <w:p w14:paraId="720C8143" w14:textId="46410876" w:rsidR="009C2E5A" w:rsidRPr="00445B9C" w:rsidRDefault="009C2E5A"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tretjem odstavku se v napovednem stavku črta besed</w:t>
      </w:r>
      <w:r w:rsidR="00891EE2" w:rsidRPr="00445B9C">
        <w:rPr>
          <w:rFonts w:eastAsiaTheme="majorEastAsia" w:cs="Arial"/>
          <w:bCs/>
          <w:szCs w:val="20"/>
        </w:rPr>
        <w:t>ilo</w:t>
      </w:r>
      <w:r w:rsidRPr="00445B9C">
        <w:rPr>
          <w:rFonts w:eastAsiaTheme="majorEastAsia" w:cs="Arial"/>
          <w:bCs/>
          <w:szCs w:val="20"/>
        </w:rPr>
        <w:t xml:space="preserve"> »in drugega«</w:t>
      </w:r>
      <w:r w:rsidR="00D90BD3" w:rsidRPr="00445B9C">
        <w:rPr>
          <w:rFonts w:eastAsiaTheme="majorEastAsia" w:cs="Arial"/>
          <w:bCs/>
          <w:szCs w:val="20"/>
        </w:rPr>
        <w:t>.</w:t>
      </w:r>
    </w:p>
    <w:p w14:paraId="64C7E657" w14:textId="77777777" w:rsidR="009C2E5A" w:rsidRPr="00445B9C" w:rsidRDefault="009C2E5A"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četrtem</w:t>
      </w:r>
      <w:r w:rsidR="00D90BD3" w:rsidRPr="00445B9C">
        <w:rPr>
          <w:rFonts w:eastAsiaTheme="majorEastAsia" w:cs="Arial"/>
          <w:bCs/>
          <w:szCs w:val="20"/>
        </w:rPr>
        <w:t>, petem in šestem</w:t>
      </w:r>
      <w:r w:rsidRPr="00445B9C">
        <w:rPr>
          <w:rFonts w:eastAsiaTheme="majorEastAsia" w:cs="Arial"/>
          <w:bCs/>
          <w:szCs w:val="20"/>
        </w:rPr>
        <w:t xml:space="preserve"> odstavku se črta besedilo »ali sistematičnega </w:t>
      </w:r>
      <w:proofErr w:type="spellStart"/>
      <w:r w:rsidRPr="00445B9C">
        <w:rPr>
          <w:rFonts w:eastAsiaTheme="majorEastAsia" w:cs="Arial"/>
          <w:bCs/>
          <w:szCs w:val="20"/>
        </w:rPr>
        <w:t>internalizatorja</w:t>
      </w:r>
      <w:proofErr w:type="spellEnd"/>
      <w:r w:rsidRPr="00445B9C">
        <w:rPr>
          <w:rFonts w:eastAsiaTheme="majorEastAsia" w:cs="Arial"/>
          <w:bCs/>
          <w:szCs w:val="20"/>
        </w:rPr>
        <w:t>«</w:t>
      </w:r>
      <w:r w:rsidR="00D90BD3" w:rsidRPr="00445B9C">
        <w:rPr>
          <w:rFonts w:eastAsiaTheme="majorEastAsia" w:cs="Arial"/>
          <w:bCs/>
          <w:szCs w:val="20"/>
        </w:rPr>
        <w:t>.</w:t>
      </w:r>
    </w:p>
    <w:p w14:paraId="63DC934F" w14:textId="1F97900A" w:rsidR="009C2E5A" w:rsidRPr="00445B9C" w:rsidRDefault="009C2E5A"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sedmem odstavku se </w:t>
      </w:r>
      <w:r w:rsidR="00762F52" w:rsidRPr="00445B9C">
        <w:rPr>
          <w:rFonts w:eastAsiaTheme="majorEastAsia" w:cs="Arial"/>
          <w:bCs/>
          <w:szCs w:val="20"/>
        </w:rPr>
        <w:t xml:space="preserve">besedilo </w:t>
      </w:r>
      <w:r w:rsidRPr="00445B9C">
        <w:rPr>
          <w:rFonts w:eastAsiaTheme="majorEastAsia" w:cs="Arial"/>
          <w:bCs/>
          <w:szCs w:val="20"/>
        </w:rPr>
        <w:t xml:space="preserve">»ali sistematičnega </w:t>
      </w:r>
      <w:proofErr w:type="spellStart"/>
      <w:r w:rsidRPr="00445B9C">
        <w:rPr>
          <w:rFonts w:eastAsiaTheme="majorEastAsia" w:cs="Arial"/>
          <w:bCs/>
          <w:szCs w:val="20"/>
        </w:rPr>
        <w:t>internalizatorja</w:t>
      </w:r>
      <w:proofErr w:type="spellEnd"/>
      <w:r w:rsidRPr="00445B9C">
        <w:rPr>
          <w:rFonts w:eastAsiaTheme="majorEastAsia" w:cs="Arial"/>
          <w:bCs/>
          <w:szCs w:val="20"/>
        </w:rPr>
        <w:t>«</w:t>
      </w:r>
      <w:r w:rsidR="00762F52" w:rsidRPr="00445B9C">
        <w:rPr>
          <w:rFonts w:eastAsiaTheme="majorEastAsia" w:cs="Arial"/>
          <w:bCs/>
          <w:szCs w:val="20"/>
        </w:rPr>
        <w:t xml:space="preserve"> </w:t>
      </w:r>
      <w:r w:rsidR="00891EE2" w:rsidRPr="00445B9C">
        <w:rPr>
          <w:rFonts w:eastAsiaTheme="majorEastAsia" w:cs="Arial"/>
          <w:bCs/>
          <w:szCs w:val="20"/>
        </w:rPr>
        <w:t xml:space="preserve">črta, </w:t>
      </w:r>
      <w:r w:rsidRPr="00445B9C">
        <w:rPr>
          <w:rFonts w:eastAsiaTheme="majorEastAsia" w:cs="Arial"/>
          <w:bCs/>
          <w:szCs w:val="20"/>
        </w:rPr>
        <w:t>za besed</w:t>
      </w:r>
      <w:r w:rsidR="00891EE2" w:rsidRPr="00445B9C">
        <w:rPr>
          <w:rFonts w:eastAsiaTheme="majorEastAsia" w:cs="Arial"/>
          <w:bCs/>
          <w:szCs w:val="20"/>
        </w:rPr>
        <w:t>ilom</w:t>
      </w:r>
      <w:r w:rsidRPr="00445B9C">
        <w:rPr>
          <w:rFonts w:eastAsiaTheme="majorEastAsia" w:cs="Arial"/>
          <w:bCs/>
          <w:szCs w:val="20"/>
        </w:rPr>
        <w:t xml:space="preserve"> »borznoposredniške družbe« </w:t>
      </w:r>
      <w:r w:rsidR="00891EE2" w:rsidRPr="00445B9C">
        <w:rPr>
          <w:rFonts w:eastAsiaTheme="majorEastAsia" w:cs="Arial"/>
          <w:bCs/>
          <w:szCs w:val="20"/>
        </w:rPr>
        <w:t xml:space="preserve">pa se </w:t>
      </w:r>
      <w:r w:rsidRPr="00445B9C">
        <w:rPr>
          <w:rFonts w:eastAsiaTheme="majorEastAsia" w:cs="Arial"/>
          <w:bCs/>
          <w:szCs w:val="20"/>
        </w:rPr>
        <w:t>doda</w:t>
      </w:r>
      <w:r w:rsidR="00891EE2" w:rsidRPr="00445B9C">
        <w:rPr>
          <w:rFonts w:eastAsiaTheme="majorEastAsia" w:cs="Arial"/>
          <w:bCs/>
          <w:szCs w:val="20"/>
        </w:rPr>
        <w:t>ta</w:t>
      </w:r>
      <w:r w:rsidRPr="00445B9C">
        <w:rPr>
          <w:rFonts w:eastAsiaTheme="majorEastAsia" w:cs="Arial"/>
          <w:bCs/>
          <w:szCs w:val="20"/>
        </w:rPr>
        <w:t xml:space="preserve"> vejic</w:t>
      </w:r>
      <w:r w:rsidR="00891EE2" w:rsidRPr="00445B9C">
        <w:rPr>
          <w:rFonts w:eastAsiaTheme="majorEastAsia" w:cs="Arial"/>
          <w:bCs/>
          <w:szCs w:val="20"/>
        </w:rPr>
        <w:t>a</w:t>
      </w:r>
      <w:r w:rsidRPr="00445B9C">
        <w:rPr>
          <w:rFonts w:eastAsiaTheme="majorEastAsia" w:cs="Arial"/>
          <w:bCs/>
          <w:szCs w:val="20"/>
        </w:rPr>
        <w:t xml:space="preserve"> in </w:t>
      </w:r>
      <w:r w:rsidR="00483AE8" w:rsidRPr="00445B9C">
        <w:rPr>
          <w:rFonts w:eastAsiaTheme="majorEastAsia" w:cs="Arial"/>
          <w:bCs/>
          <w:szCs w:val="20"/>
        </w:rPr>
        <w:t>besed</w:t>
      </w:r>
      <w:r w:rsidR="00891EE2" w:rsidRPr="00445B9C">
        <w:rPr>
          <w:rFonts w:eastAsiaTheme="majorEastAsia" w:cs="Arial"/>
          <w:bCs/>
          <w:szCs w:val="20"/>
        </w:rPr>
        <w:t>ilo</w:t>
      </w:r>
      <w:r w:rsidR="00483AE8" w:rsidRPr="00445B9C">
        <w:rPr>
          <w:rFonts w:eastAsiaTheme="majorEastAsia" w:cs="Arial"/>
          <w:bCs/>
          <w:szCs w:val="20"/>
        </w:rPr>
        <w:t xml:space="preserve"> </w:t>
      </w:r>
      <w:r w:rsidRPr="00445B9C">
        <w:rPr>
          <w:rFonts w:eastAsiaTheme="majorEastAsia" w:cs="Arial"/>
          <w:bCs/>
          <w:szCs w:val="20"/>
        </w:rPr>
        <w:t>»kreditne družbe«</w:t>
      </w:r>
      <w:r w:rsidR="00762F52" w:rsidRPr="00445B9C">
        <w:rPr>
          <w:rFonts w:eastAsiaTheme="majorEastAsia" w:cs="Arial"/>
          <w:bCs/>
          <w:szCs w:val="20"/>
        </w:rPr>
        <w:t>.</w:t>
      </w:r>
    </w:p>
    <w:p w14:paraId="200C39A2" w14:textId="77777777" w:rsidR="006A2506" w:rsidRPr="00445B9C" w:rsidRDefault="006A2506" w:rsidP="00F810E6">
      <w:pPr>
        <w:numPr>
          <w:ilvl w:val="0"/>
          <w:numId w:val="16"/>
        </w:numPr>
        <w:spacing w:before="240" w:after="240" w:line="259" w:lineRule="auto"/>
        <w:ind w:left="567" w:hanging="357"/>
        <w:jc w:val="center"/>
        <w:outlineLvl w:val="0"/>
        <w:rPr>
          <w:rFonts w:eastAsiaTheme="majorEastAsia" w:cs="Arial"/>
          <w:b/>
          <w:szCs w:val="20"/>
        </w:rPr>
      </w:pPr>
      <w:bookmarkStart w:id="63" w:name="_Ref192070590"/>
      <w:r w:rsidRPr="00445B9C">
        <w:rPr>
          <w:rFonts w:eastAsiaTheme="majorEastAsia" w:cs="Arial"/>
          <w:b/>
          <w:szCs w:val="20"/>
        </w:rPr>
        <w:t>člen</w:t>
      </w:r>
      <w:bookmarkEnd w:id="63"/>
    </w:p>
    <w:p w14:paraId="101FC264" w14:textId="77777777" w:rsidR="00C4684F" w:rsidRPr="00445B9C" w:rsidRDefault="00C4684F" w:rsidP="00C4684F">
      <w:pPr>
        <w:jc w:val="both"/>
        <w:rPr>
          <w:rFonts w:eastAsiaTheme="majorEastAsia" w:cs="Arial"/>
          <w:szCs w:val="20"/>
        </w:rPr>
      </w:pPr>
      <w:bookmarkStart w:id="64" w:name="_Hlk195607985"/>
      <w:r w:rsidRPr="00445B9C">
        <w:rPr>
          <w:rFonts w:eastAsiaTheme="majorEastAsia" w:cs="Arial"/>
          <w:szCs w:val="20"/>
        </w:rPr>
        <w:t>V 532. členu se naslov člena spremeni tako, da se glasi:</w:t>
      </w:r>
    </w:p>
    <w:p w14:paraId="3B214DD9" w14:textId="77777777" w:rsidR="00454AA1" w:rsidRPr="00445B9C" w:rsidRDefault="00454AA1" w:rsidP="00C4684F">
      <w:pPr>
        <w:jc w:val="both"/>
        <w:rPr>
          <w:rFonts w:eastAsiaTheme="majorEastAsia" w:cs="Arial"/>
          <w:szCs w:val="20"/>
        </w:rPr>
      </w:pPr>
    </w:p>
    <w:p w14:paraId="5C9719B7" w14:textId="2D712828" w:rsidR="00C4684F" w:rsidRPr="00445B9C" w:rsidRDefault="00C4684F" w:rsidP="00C4684F">
      <w:pPr>
        <w:jc w:val="both"/>
        <w:rPr>
          <w:rFonts w:eastAsiaTheme="majorEastAsia" w:cs="Arial"/>
          <w:szCs w:val="20"/>
        </w:rPr>
      </w:pPr>
      <w:r w:rsidRPr="00445B9C">
        <w:rPr>
          <w:rFonts w:eastAsiaTheme="majorEastAsia" w:cs="Arial"/>
          <w:szCs w:val="20"/>
        </w:rPr>
        <w:t>»(druge hujše kršitve borznoposredniške družbe, kreditne družbe ali banke)«.</w:t>
      </w:r>
    </w:p>
    <w:p w14:paraId="18402EFD" w14:textId="77777777" w:rsidR="00C4684F" w:rsidRPr="00445B9C" w:rsidRDefault="00C4684F">
      <w:pPr>
        <w:jc w:val="both"/>
        <w:rPr>
          <w:rFonts w:eastAsiaTheme="majorEastAsia" w:cs="Arial"/>
          <w:szCs w:val="20"/>
        </w:rPr>
      </w:pPr>
    </w:p>
    <w:p w14:paraId="100BBFF7" w14:textId="72D31FFC" w:rsidR="00DE7839" w:rsidRPr="00445B9C" w:rsidRDefault="0038544A" w:rsidP="00B510AE">
      <w:pPr>
        <w:jc w:val="both"/>
        <w:rPr>
          <w:rFonts w:eastAsiaTheme="majorEastAsia" w:cs="Arial"/>
          <w:szCs w:val="20"/>
        </w:rPr>
      </w:pPr>
      <w:r w:rsidRPr="00445B9C">
        <w:rPr>
          <w:rFonts w:eastAsiaTheme="majorEastAsia" w:cs="Arial"/>
          <w:szCs w:val="20"/>
        </w:rPr>
        <w:t>V prve</w:t>
      </w:r>
      <w:r w:rsidR="00AF7083" w:rsidRPr="00445B9C">
        <w:rPr>
          <w:rFonts w:eastAsiaTheme="majorEastAsia" w:cs="Arial"/>
          <w:szCs w:val="20"/>
        </w:rPr>
        <w:t>m</w:t>
      </w:r>
      <w:r w:rsidRPr="00445B9C">
        <w:rPr>
          <w:rFonts w:eastAsiaTheme="majorEastAsia" w:cs="Arial"/>
          <w:szCs w:val="20"/>
        </w:rPr>
        <w:t xml:space="preserve"> odstavk</w:t>
      </w:r>
      <w:r w:rsidR="00AF7083" w:rsidRPr="00445B9C">
        <w:rPr>
          <w:rFonts w:eastAsiaTheme="majorEastAsia" w:cs="Arial"/>
          <w:szCs w:val="20"/>
        </w:rPr>
        <w:t>u</w:t>
      </w:r>
      <w:r w:rsidR="00C4684F" w:rsidRPr="00445B9C">
        <w:rPr>
          <w:rFonts w:eastAsiaTheme="majorEastAsia" w:cs="Arial"/>
          <w:szCs w:val="20"/>
        </w:rPr>
        <w:t xml:space="preserve"> se</w:t>
      </w:r>
      <w:r w:rsidR="00AF7083" w:rsidRPr="00445B9C">
        <w:rPr>
          <w:rFonts w:eastAsiaTheme="majorEastAsia" w:cs="Arial"/>
          <w:szCs w:val="20"/>
        </w:rPr>
        <w:t xml:space="preserve"> napovedni stavek</w:t>
      </w:r>
      <w:r w:rsidRPr="00445B9C">
        <w:rPr>
          <w:rFonts w:eastAsiaTheme="majorEastAsia" w:cs="Arial"/>
          <w:szCs w:val="20"/>
        </w:rPr>
        <w:t xml:space="preserve"> spremeni tako, da se glasi:</w:t>
      </w:r>
    </w:p>
    <w:p w14:paraId="2DD01E7B" w14:textId="77777777" w:rsidR="0038544A" w:rsidRPr="00445B9C" w:rsidRDefault="0038544A" w:rsidP="00B510AE">
      <w:pPr>
        <w:jc w:val="both"/>
        <w:rPr>
          <w:rFonts w:eastAsiaTheme="majorEastAsia" w:cs="Arial"/>
          <w:szCs w:val="20"/>
        </w:rPr>
      </w:pPr>
    </w:p>
    <w:p w14:paraId="2194B341" w14:textId="77777777" w:rsidR="00AF7083" w:rsidRPr="00445B9C" w:rsidRDefault="0038544A" w:rsidP="00B510AE">
      <w:pPr>
        <w:jc w:val="both"/>
        <w:rPr>
          <w:rFonts w:eastAsiaTheme="majorEastAsia" w:cs="Arial"/>
          <w:szCs w:val="20"/>
        </w:rPr>
      </w:pPr>
      <w:r w:rsidRPr="00445B9C">
        <w:rPr>
          <w:rFonts w:eastAsiaTheme="majorEastAsia" w:cs="Arial"/>
          <w:szCs w:val="20"/>
        </w:rPr>
        <w:t>»(1) Z globo od 25.000 do 250.000 eurov se za prekršek kaznuje borznoposredniška družba, kreditna družba ali banka, z globo od 80.000 do 500.000 eurov pa borznoposredniška družba, kreditna družba ali banka, ki se po ZGD-1 šteje za srednjo ali veliko gospodarsko družbo, če:«</w:t>
      </w:r>
      <w:r w:rsidR="00AF7083" w:rsidRPr="00445B9C">
        <w:rPr>
          <w:rFonts w:eastAsiaTheme="majorEastAsia" w:cs="Arial"/>
          <w:szCs w:val="20"/>
        </w:rPr>
        <w:t>.</w:t>
      </w:r>
    </w:p>
    <w:p w14:paraId="49ED39A7" w14:textId="77777777" w:rsidR="00AF7083" w:rsidRPr="00445B9C" w:rsidRDefault="00AF7083" w:rsidP="00B510AE">
      <w:pPr>
        <w:jc w:val="both"/>
        <w:rPr>
          <w:rFonts w:eastAsiaTheme="majorEastAsia" w:cs="Arial"/>
          <w:szCs w:val="20"/>
        </w:rPr>
      </w:pPr>
    </w:p>
    <w:p w14:paraId="64A98990" w14:textId="120ACA43" w:rsidR="00AF7083" w:rsidRPr="00445B9C" w:rsidRDefault="00AF7083" w:rsidP="00B510AE">
      <w:pPr>
        <w:jc w:val="both"/>
        <w:rPr>
          <w:rFonts w:cs="Arial"/>
          <w:szCs w:val="20"/>
        </w:rPr>
      </w:pPr>
      <w:r w:rsidRPr="00445B9C">
        <w:rPr>
          <w:rFonts w:cs="Arial"/>
          <w:szCs w:val="20"/>
        </w:rPr>
        <w:t>V</w:t>
      </w:r>
      <w:r w:rsidR="007C5912" w:rsidRPr="00445B9C">
        <w:rPr>
          <w:rFonts w:cs="Arial"/>
          <w:szCs w:val="20"/>
        </w:rPr>
        <w:t xml:space="preserve"> </w:t>
      </w:r>
      <w:r w:rsidR="0038544A" w:rsidRPr="00445B9C">
        <w:rPr>
          <w:rFonts w:cs="Arial"/>
          <w:szCs w:val="20"/>
        </w:rPr>
        <w:t xml:space="preserve">35. </w:t>
      </w:r>
      <w:r w:rsidR="007C5912" w:rsidRPr="00445B9C">
        <w:rPr>
          <w:rFonts w:cs="Arial"/>
          <w:szCs w:val="20"/>
        </w:rPr>
        <w:t xml:space="preserve">točki </w:t>
      </w:r>
      <w:r w:rsidRPr="00445B9C">
        <w:rPr>
          <w:rFonts w:cs="Arial"/>
          <w:szCs w:val="20"/>
        </w:rPr>
        <w:t xml:space="preserve">se </w:t>
      </w:r>
      <w:r w:rsidR="00132F57" w:rsidRPr="00445B9C">
        <w:rPr>
          <w:rFonts w:cs="Arial"/>
          <w:szCs w:val="20"/>
        </w:rPr>
        <w:t>črta besedilo »in ukrepov za nadzor in varovanje informacijskih sistemov za obdelavo podatkov«</w:t>
      </w:r>
      <w:r w:rsidRPr="00445B9C">
        <w:rPr>
          <w:rFonts w:cs="Arial"/>
          <w:szCs w:val="20"/>
        </w:rPr>
        <w:t>.</w:t>
      </w:r>
    </w:p>
    <w:p w14:paraId="15CAD542" w14:textId="42FE231D" w:rsidR="002C20CB" w:rsidRPr="00445B9C" w:rsidRDefault="00132F57" w:rsidP="00B510AE">
      <w:pPr>
        <w:jc w:val="both"/>
        <w:rPr>
          <w:rFonts w:cs="Arial"/>
          <w:szCs w:val="20"/>
        </w:rPr>
      </w:pPr>
      <w:r w:rsidRPr="00445B9C">
        <w:rPr>
          <w:rFonts w:cs="Arial"/>
          <w:szCs w:val="20"/>
        </w:rPr>
        <w:t xml:space="preserve"> </w:t>
      </w:r>
    </w:p>
    <w:p w14:paraId="21640232" w14:textId="73F1E8D5" w:rsidR="00341703" w:rsidRPr="00445B9C" w:rsidRDefault="00AF7083" w:rsidP="00B510AE">
      <w:pPr>
        <w:jc w:val="both"/>
        <w:rPr>
          <w:rFonts w:cs="Arial"/>
          <w:szCs w:val="20"/>
        </w:rPr>
      </w:pPr>
      <w:r w:rsidRPr="00445B9C">
        <w:rPr>
          <w:rFonts w:cs="Arial"/>
          <w:szCs w:val="20"/>
        </w:rPr>
        <w:t>V</w:t>
      </w:r>
      <w:r w:rsidR="007C5912" w:rsidRPr="00445B9C">
        <w:rPr>
          <w:rFonts w:cs="Arial"/>
          <w:szCs w:val="20"/>
        </w:rPr>
        <w:t xml:space="preserve"> </w:t>
      </w:r>
      <w:r w:rsidR="002C20CB" w:rsidRPr="00445B9C">
        <w:rPr>
          <w:rFonts w:cs="Arial"/>
          <w:szCs w:val="20"/>
        </w:rPr>
        <w:t xml:space="preserve">36. </w:t>
      </w:r>
      <w:r w:rsidR="007C5912" w:rsidRPr="00445B9C">
        <w:rPr>
          <w:rFonts w:cs="Arial"/>
          <w:szCs w:val="20"/>
        </w:rPr>
        <w:t xml:space="preserve">točki </w:t>
      </w:r>
      <w:r w:rsidRPr="00445B9C">
        <w:rPr>
          <w:rFonts w:cs="Arial"/>
          <w:szCs w:val="20"/>
        </w:rPr>
        <w:t xml:space="preserve">se </w:t>
      </w:r>
      <w:r w:rsidR="002C20CB" w:rsidRPr="00445B9C">
        <w:rPr>
          <w:rFonts w:cs="Arial"/>
          <w:szCs w:val="20"/>
        </w:rPr>
        <w:t>za besedo »mehanizmov« doda besedilo »v skladu z zahtevami Uredbe 2022/2554/EU«</w:t>
      </w:r>
      <w:r w:rsidRPr="00445B9C">
        <w:rPr>
          <w:rFonts w:cs="Arial"/>
          <w:szCs w:val="20"/>
        </w:rPr>
        <w:t>.</w:t>
      </w:r>
    </w:p>
    <w:p w14:paraId="1BBB16DD" w14:textId="77777777" w:rsidR="00AF7083" w:rsidRPr="00445B9C" w:rsidRDefault="00AF7083" w:rsidP="00B510AE">
      <w:pPr>
        <w:jc w:val="both"/>
        <w:rPr>
          <w:rFonts w:cs="Arial"/>
          <w:szCs w:val="20"/>
        </w:rPr>
      </w:pPr>
    </w:p>
    <w:p w14:paraId="14B4FB01" w14:textId="20E10C18" w:rsidR="00341703" w:rsidRPr="00445B9C" w:rsidRDefault="00341703" w:rsidP="00B510AE">
      <w:pPr>
        <w:jc w:val="both"/>
        <w:rPr>
          <w:rFonts w:cs="Arial"/>
          <w:szCs w:val="20"/>
        </w:rPr>
      </w:pPr>
      <w:r w:rsidRPr="00445B9C">
        <w:rPr>
          <w:rFonts w:cs="Arial"/>
          <w:szCs w:val="20"/>
        </w:rPr>
        <w:t xml:space="preserve">49. točka </w:t>
      </w:r>
      <w:r w:rsidR="00AF7083" w:rsidRPr="00445B9C">
        <w:rPr>
          <w:rFonts w:cs="Arial"/>
          <w:szCs w:val="20"/>
        </w:rPr>
        <w:t xml:space="preserve">se </w:t>
      </w:r>
      <w:r w:rsidRPr="00445B9C">
        <w:rPr>
          <w:rFonts w:cs="Arial"/>
          <w:szCs w:val="20"/>
        </w:rPr>
        <w:t>spremeni tako, da se glasi:</w:t>
      </w:r>
    </w:p>
    <w:p w14:paraId="7E0E09BC" w14:textId="77777777" w:rsidR="005F04B2" w:rsidRPr="00445B9C" w:rsidRDefault="005F04B2" w:rsidP="00B510AE">
      <w:pPr>
        <w:jc w:val="both"/>
        <w:rPr>
          <w:rFonts w:cs="Arial"/>
          <w:szCs w:val="20"/>
        </w:rPr>
      </w:pPr>
    </w:p>
    <w:p w14:paraId="7B987039" w14:textId="77777777" w:rsidR="00341703" w:rsidRPr="00445B9C" w:rsidRDefault="00341703" w:rsidP="00B510AE">
      <w:pPr>
        <w:jc w:val="both"/>
        <w:rPr>
          <w:rFonts w:eastAsiaTheme="majorEastAsia" w:cs="Arial"/>
          <w:szCs w:val="20"/>
        </w:rPr>
      </w:pPr>
      <w:r w:rsidRPr="00445B9C">
        <w:rPr>
          <w:rFonts w:eastAsiaTheme="majorEastAsia" w:cs="Arial"/>
          <w:szCs w:val="20"/>
        </w:rPr>
        <w:t>»49. trguje z izvedenimi finančnimi instrumenti na blago ali izvedenimi finančnimi instrumenti na emisijske kupone izven mesta trgovanja in agenciji ne poroča v skladu s tretjim odstavkom 332. člena tega zakona;«</w:t>
      </w:r>
      <w:r w:rsidR="00706DBF" w:rsidRPr="00445B9C">
        <w:rPr>
          <w:rFonts w:eastAsiaTheme="majorEastAsia" w:cs="Arial"/>
          <w:szCs w:val="20"/>
        </w:rPr>
        <w:t>.</w:t>
      </w:r>
    </w:p>
    <w:p w14:paraId="22162F86" w14:textId="77777777" w:rsidR="00341703" w:rsidRPr="00445B9C" w:rsidRDefault="00341703" w:rsidP="00B510AE">
      <w:pPr>
        <w:jc w:val="both"/>
        <w:rPr>
          <w:rFonts w:eastAsiaTheme="majorEastAsia" w:cs="Arial"/>
          <w:szCs w:val="20"/>
        </w:rPr>
      </w:pPr>
    </w:p>
    <w:p w14:paraId="4829E20C" w14:textId="445FEB9B" w:rsidR="006C4DE0" w:rsidRPr="00445B9C" w:rsidRDefault="007C5912" w:rsidP="00B510AE">
      <w:pPr>
        <w:jc w:val="both"/>
        <w:rPr>
          <w:rFonts w:eastAsiaTheme="majorEastAsia" w:cs="Arial"/>
          <w:szCs w:val="20"/>
        </w:rPr>
      </w:pPr>
      <w:r w:rsidRPr="00445B9C">
        <w:rPr>
          <w:rFonts w:eastAsiaTheme="majorEastAsia" w:cs="Arial"/>
          <w:szCs w:val="20"/>
        </w:rPr>
        <w:t xml:space="preserve">V četrtem, petem, šestem in sedmem odstavku </w:t>
      </w:r>
      <w:r w:rsidR="00341703" w:rsidRPr="00445B9C">
        <w:rPr>
          <w:rFonts w:eastAsiaTheme="majorEastAsia" w:cs="Arial"/>
          <w:szCs w:val="20"/>
        </w:rPr>
        <w:t xml:space="preserve">se za </w:t>
      </w:r>
      <w:r w:rsidR="00A76A28" w:rsidRPr="00445B9C">
        <w:rPr>
          <w:rFonts w:eastAsiaTheme="majorEastAsia" w:cs="Arial"/>
          <w:szCs w:val="20"/>
        </w:rPr>
        <w:t>besed</w:t>
      </w:r>
      <w:r w:rsidR="00AF7083" w:rsidRPr="00445B9C">
        <w:rPr>
          <w:rFonts w:eastAsiaTheme="majorEastAsia" w:cs="Arial"/>
          <w:szCs w:val="20"/>
        </w:rPr>
        <w:t>ilom</w:t>
      </w:r>
      <w:r w:rsidR="00A76A28" w:rsidRPr="00445B9C">
        <w:rPr>
          <w:rFonts w:eastAsiaTheme="majorEastAsia" w:cs="Arial"/>
          <w:szCs w:val="20"/>
        </w:rPr>
        <w:t xml:space="preserve"> </w:t>
      </w:r>
      <w:r w:rsidR="00341703" w:rsidRPr="00445B9C">
        <w:rPr>
          <w:rFonts w:eastAsiaTheme="majorEastAsia" w:cs="Arial"/>
          <w:szCs w:val="20"/>
        </w:rPr>
        <w:t>»borznoposredniške družbe« doda</w:t>
      </w:r>
      <w:r w:rsidR="00AF7083" w:rsidRPr="00445B9C">
        <w:rPr>
          <w:rFonts w:eastAsiaTheme="majorEastAsia" w:cs="Arial"/>
          <w:szCs w:val="20"/>
        </w:rPr>
        <w:t>ta</w:t>
      </w:r>
      <w:r w:rsidR="00341703" w:rsidRPr="00445B9C">
        <w:rPr>
          <w:rFonts w:eastAsiaTheme="majorEastAsia" w:cs="Arial"/>
          <w:szCs w:val="20"/>
        </w:rPr>
        <w:t xml:space="preserve"> vejica in </w:t>
      </w:r>
      <w:r w:rsidR="00A76A28" w:rsidRPr="00445B9C">
        <w:rPr>
          <w:rFonts w:eastAsiaTheme="majorEastAsia" w:cs="Arial"/>
          <w:szCs w:val="20"/>
        </w:rPr>
        <w:t>besed</w:t>
      </w:r>
      <w:r w:rsidR="00AF7083" w:rsidRPr="00445B9C">
        <w:rPr>
          <w:rFonts w:eastAsiaTheme="majorEastAsia" w:cs="Arial"/>
          <w:szCs w:val="20"/>
        </w:rPr>
        <w:t>ilo</w:t>
      </w:r>
      <w:r w:rsidR="00A76A28" w:rsidRPr="00445B9C">
        <w:rPr>
          <w:rFonts w:eastAsiaTheme="majorEastAsia" w:cs="Arial"/>
          <w:szCs w:val="20"/>
        </w:rPr>
        <w:t xml:space="preserve"> </w:t>
      </w:r>
      <w:r w:rsidR="00341703" w:rsidRPr="00445B9C">
        <w:rPr>
          <w:rFonts w:eastAsiaTheme="majorEastAsia" w:cs="Arial"/>
          <w:szCs w:val="20"/>
        </w:rPr>
        <w:t>»kreditne družbe«</w:t>
      </w:r>
      <w:r w:rsidR="00A76A28" w:rsidRPr="00445B9C">
        <w:rPr>
          <w:rFonts w:eastAsiaTheme="majorEastAsia" w:cs="Arial"/>
          <w:szCs w:val="20"/>
        </w:rPr>
        <w:t>.</w:t>
      </w:r>
      <w:bookmarkStart w:id="65" w:name="_Ref64902713"/>
      <w:bookmarkStart w:id="66" w:name="_Hlk117776481"/>
    </w:p>
    <w:bookmarkEnd w:id="64"/>
    <w:p w14:paraId="09D1D34F" w14:textId="77777777" w:rsidR="006C4DE0" w:rsidRPr="00445B9C" w:rsidRDefault="006C4DE0" w:rsidP="00BA786D">
      <w:pPr>
        <w:rPr>
          <w:rFonts w:eastAsiaTheme="majorEastAsia" w:cs="Arial"/>
          <w:szCs w:val="20"/>
        </w:rPr>
      </w:pPr>
    </w:p>
    <w:p w14:paraId="51A43538"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67" w:name="_Ref196735090"/>
      <w:bookmarkEnd w:id="65"/>
      <w:r w:rsidRPr="00445B9C">
        <w:rPr>
          <w:rFonts w:eastAsiaTheme="majorEastAsia" w:cs="Arial"/>
          <w:b/>
          <w:szCs w:val="20"/>
        </w:rPr>
        <w:t>člen</w:t>
      </w:r>
      <w:bookmarkEnd w:id="67"/>
    </w:p>
    <w:p w14:paraId="67B8D65D" w14:textId="77777777" w:rsidR="007C50DC" w:rsidRPr="00445B9C" w:rsidRDefault="007C50DC" w:rsidP="007C50DC">
      <w:pPr>
        <w:spacing w:before="240" w:after="240" w:line="259" w:lineRule="auto"/>
        <w:jc w:val="both"/>
        <w:outlineLvl w:val="0"/>
        <w:rPr>
          <w:rFonts w:eastAsiaTheme="majorEastAsia" w:cs="Arial"/>
          <w:bCs/>
          <w:szCs w:val="20"/>
        </w:rPr>
      </w:pPr>
      <w:r w:rsidRPr="00445B9C">
        <w:rPr>
          <w:rFonts w:eastAsiaTheme="majorEastAsia" w:cs="Arial"/>
          <w:bCs/>
          <w:szCs w:val="20"/>
        </w:rPr>
        <w:t>V 533. členu se naslov člena spremeni tako, da se glasi:</w:t>
      </w:r>
    </w:p>
    <w:p w14:paraId="6FB15AD9" w14:textId="3904AC6A" w:rsidR="007C50DC" w:rsidRPr="00445B9C" w:rsidRDefault="007C50DC" w:rsidP="007C50DC">
      <w:pPr>
        <w:spacing w:before="240" w:after="240" w:line="259" w:lineRule="auto"/>
        <w:jc w:val="both"/>
        <w:outlineLvl w:val="0"/>
        <w:rPr>
          <w:rFonts w:eastAsiaTheme="majorEastAsia" w:cs="Arial"/>
          <w:bCs/>
          <w:szCs w:val="20"/>
        </w:rPr>
      </w:pPr>
      <w:r w:rsidRPr="00445B9C">
        <w:rPr>
          <w:rFonts w:eastAsiaTheme="majorEastAsia" w:cs="Arial"/>
          <w:bCs/>
          <w:szCs w:val="20"/>
        </w:rPr>
        <w:t>»(druge lažje kršitve člana uprave ali nadzornega sveta borznoposredniške družbe, kreditne družbe ali banke)«.</w:t>
      </w:r>
    </w:p>
    <w:p w14:paraId="1DB59623" w14:textId="33BCD67C" w:rsidR="00C0609A" w:rsidRPr="00445B9C" w:rsidRDefault="002406CF"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w:t>
      </w:r>
      <w:r w:rsidR="00C0609A" w:rsidRPr="00445B9C">
        <w:rPr>
          <w:rFonts w:eastAsiaTheme="majorEastAsia" w:cs="Arial"/>
          <w:bCs/>
          <w:szCs w:val="20"/>
        </w:rPr>
        <w:t xml:space="preserve">prvem odstavku </w:t>
      </w:r>
      <w:r w:rsidR="00BA554F" w:rsidRPr="00445B9C">
        <w:rPr>
          <w:rFonts w:eastAsiaTheme="majorEastAsia" w:cs="Arial"/>
          <w:bCs/>
          <w:szCs w:val="20"/>
        </w:rPr>
        <w:t xml:space="preserve">se </w:t>
      </w:r>
      <w:r w:rsidRPr="00445B9C">
        <w:rPr>
          <w:rFonts w:eastAsiaTheme="majorEastAsia" w:cs="Arial"/>
          <w:bCs/>
          <w:szCs w:val="20"/>
        </w:rPr>
        <w:t>besed</w:t>
      </w:r>
      <w:r w:rsidR="00C0609A" w:rsidRPr="00445B9C">
        <w:rPr>
          <w:rFonts w:eastAsiaTheme="majorEastAsia" w:cs="Arial"/>
          <w:bCs/>
          <w:szCs w:val="20"/>
        </w:rPr>
        <w:t>ilo</w:t>
      </w:r>
      <w:r w:rsidRPr="00445B9C">
        <w:rPr>
          <w:rFonts w:eastAsiaTheme="majorEastAsia" w:cs="Arial"/>
          <w:bCs/>
          <w:szCs w:val="20"/>
        </w:rPr>
        <w:t xml:space="preserve"> »borznoposredniške družbe</w:t>
      </w:r>
      <w:r w:rsidR="00C0609A" w:rsidRPr="00445B9C">
        <w:rPr>
          <w:rFonts w:eastAsiaTheme="majorEastAsia" w:cs="Arial"/>
          <w:bCs/>
          <w:szCs w:val="20"/>
        </w:rPr>
        <w:t xml:space="preserve"> ali banke</w:t>
      </w:r>
      <w:r w:rsidRPr="00445B9C">
        <w:rPr>
          <w:rFonts w:eastAsiaTheme="majorEastAsia" w:cs="Arial"/>
          <w:bCs/>
          <w:szCs w:val="20"/>
        </w:rPr>
        <w:t xml:space="preserve">« </w:t>
      </w:r>
      <w:r w:rsidR="006D7571">
        <w:rPr>
          <w:rFonts w:eastAsiaTheme="majorEastAsia" w:cs="Arial"/>
          <w:bCs/>
          <w:szCs w:val="20"/>
        </w:rPr>
        <w:t xml:space="preserve">v obeh sklonih </w:t>
      </w:r>
      <w:r w:rsidR="00C0609A" w:rsidRPr="00445B9C">
        <w:rPr>
          <w:rFonts w:eastAsiaTheme="majorEastAsia" w:cs="Arial"/>
          <w:bCs/>
          <w:szCs w:val="20"/>
        </w:rPr>
        <w:t>nadomesti z besedilom</w:t>
      </w:r>
      <w:r w:rsidRPr="00445B9C">
        <w:rPr>
          <w:rFonts w:eastAsiaTheme="majorEastAsia" w:cs="Arial"/>
          <w:bCs/>
          <w:szCs w:val="20"/>
        </w:rPr>
        <w:t xml:space="preserve"> »borznoposrednišk</w:t>
      </w:r>
      <w:r w:rsidR="00C0609A" w:rsidRPr="00445B9C">
        <w:rPr>
          <w:rFonts w:eastAsiaTheme="majorEastAsia" w:cs="Arial"/>
          <w:bCs/>
          <w:szCs w:val="20"/>
        </w:rPr>
        <w:t>e</w:t>
      </w:r>
      <w:r w:rsidRPr="00445B9C">
        <w:rPr>
          <w:rFonts w:eastAsiaTheme="majorEastAsia" w:cs="Arial"/>
          <w:bCs/>
          <w:szCs w:val="20"/>
        </w:rPr>
        <w:t xml:space="preserve"> družb</w:t>
      </w:r>
      <w:r w:rsidR="00C0609A" w:rsidRPr="00445B9C">
        <w:rPr>
          <w:rFonts w:eastAsiaTheme="majorEastAsia" w:cs="Arial"/>
          <w:bCs/>
          <w:szCs w:val="20"/>
        </w:rPr>
        <w:t>e, banke ali kreditne družbe</w:t>
      </w:r>
      <w:r w:rsidRPr="00445B9C">
        <w:rPr>
          <w:rFonts w:eastAsiaTheme="majorEastAsia" w:cs="Arial"/>
          <w:bCs/>
          <w:szCs w:val="20"/>
        </w:rPr>
        <w:t>«</w:t>
      </w:r>
      <w:r w:rsidR="006D7571">
        <w:rPr>
          <w:rFonts w:eastAsiaTheme="majorEastAsia" w:cs="Arial"/>
          <w:bCs/>
          <w:szCs w:val="20"/>
        </w:rPr>
        <w:t xml:space="preserve"> v ustreznem sklonu</w:t>
      </w:r>
      <w:r w:rsidR="006C4DE0" w:rsidRPr="00445B9C">
        <w:rPr>
          <w:rFonts w:eastAsiaTheme="majorEastAsia" w:cs="Arial"/>
          <w:bCs/>
          <w:szCs w:val="20"/>
        </w:rPr>
        <w:t>.</w:t>
      </w:r>
      <w:r w:rsidRPr="00445B9C">
        <w:rPr>
          <w:rFonts w:eastAsiaTheme="majorEastAsia" w:cs="Arial"/>
          <w:bCs/>
          <w:szCs w:val="20"/>
        </w:rPr>
        <w:t xml:space="preserve"> </w:t>
      </w:r>
      <w:r w:rsidR="00C0609A" w:rsidRPr="00445B9C">
        <w:rPr>
          <w:rFonts w:eastAsiaTheme="majorEastAsia" w:cs="Arial"/>
          <w:bCs/>
          <w:szCs w:val="20"/>
        </w:rPr>
        <w:t xml:space="preserve"> </w:t>
      </w:r>
    </w:p>
    <w:p w14:paraId="7C7AB84C" w14:textId="76B286D2" w:rsidR="002406CF" w:rsidRPr="00445B9C" w:rsidRDefault="00C0609A" w:rsidP="00BA786D">
      <w:pPr>
        <w:spacing w:before="240" w:after="240" w:line="259" w:lineRule="auto"/>
        <w:jc w:val="both"/>
        <w:outlineLvl w:val="0"/>
        <w:rPr>
          <w:rFonts w:eastAsiaTheme="majorEastAsia" w:cs="Arial"/>
          <w:bCs/>
          <w:szCs w:val="20"/>
        </w:rPr>
      </w:pPr>
      <w:r w:rsidRPr="00445B9C">
        <w:rPr>
          <w:rFonts w:eastAsiaTheme="majorEastAsia" w:cs="Arial"/>
          <w:bCs/>
          <w:szCs w:val="20"/>
        </w:rPr>
        <w:t>V d</w:t>
      </w:r>
      <w:r w:rsidR="00B938A0" w:rsidRPr="00445B9C">
        <w:rPr>
          <w:rFonts w:eastAsiaTheme="majorEastAsia" w:cs="Arial"/>
          <w:bCs/>
          <w:szCs w:val="20"/>
        </w:rPr>
        <w:t>rug</w:t>
      </w:r>
      <w:r w:rsidRPr="00445B9C">
        <w:rPr>
          <w:rFonts w:eastAsiaTheme="majorEastAsia" w:cs="Arial"/>
          <w:bCs/>
          <w:szCs w:val="20"/>
        </w:rPr>
        <w:t>em</w:t>
      </w:r>
      <w:r w:rsidR="00B938A0" w:rsidRPr="00445B9C">
        <w:rPr>
          <w:rFonts w:eastAsiaTheme="majorEastAsia" w:cs="Arial"/>
          <w:bCs/>
          <w:szCs w:val="20"/>
        </w:rPr>
        <w:t xml:space="preserve"> odstavk</w:t>
      </w:r>
      <w:r w:rsidRPr="00445B9C">
        <w:rPr>
          <w:rFonts w:eastAsiaTheme="majorEastAsia" w:cs="Arial"/>
          <w:bCs/>
          <w:szCs w:val="20"/>
        </w:rPr>
        <w:t>u</w:t>
      </w:r>
      <w:r w:rsidR="00B938A0" w:rsidRPr="00445B9C">
        <w:rPr>
          <w:rFonts w:eastAsiaTheme="majorEastAsia" w:cs="Arial"/>
          <w:bCs/>
          <w:szCs w:val="20"/>
        </w:rPr>
        <w:t xml:space="preserve"> se </w:t>
      </w:r>
      <w:r w:rsidRPr="00445B9C">
        <w:rPr>
          <w:rFonts w:eastAsiaTheme="majorEastAsia" w:cs="Arial"/>
          <w:bCs/>
          <w:szCs w:val="20"/>
        </w:rPr>
        <w:t xml:space="preserve">v napovednem stavku </w:t>
      </w:r>
      <w:r w:rsidR="00B938A0" w:rsidRPr="00445B9C">
        <w:rPr>
          <w:rFonts w:eastAsiaTheme="majorEastAsia" w:cs="Arial"/>
          <w:bCs/>
          <w:szCs w:val="20"/>
        </w:rPr>
        <w:t>za besed</w:t>
      </w:r>
      <w:r w:rsidRPr="00445B9C">
        <w:rPr>
          <w:rFonts w:eastAsiaTheme="majorEastAsia" w:cs="Arial"/>
          <w:bCs/>
          <w:szCs w:val="20"/>
        </w:rPr>
        <w:t>ilom</w:t>
      </w:r>
      <w:r w:rsidR="00B938A0" w:rsidRPr="00445B9C">
        <w:rPr>
          <w:rFonts w:eastAsiaTheme="majorEastAsia" w:cs="Arial"/>
          <w:bCs/>
          <w:szCs w:val="20"/>
        </w:rPr>
        <w:t xml:space="preserve"> »borznoposredniške družbe« doda</w:t>
      </w:r>
      <w:r w:rsidRPr="00445B9C">
        <w:rPr>
          <w:rFonts w:eastAsiaTheme="majorEastAsia" w:cs="Arial"/>
          <w:bCs/>
          <w:szCs w:val="20"/>
        </w:rPr>
        <w:t>ta</w:t>
      </w:r>
      <w:r w:rsidR="00B938A0" w:rsidRPr="00445B9C">
        <w:rPr>
          <w:rFonts w:eastAsiaTheme="majorEastAsia" w:cs="Arial"/>
          <w:bCs/>
          <w:szCs w:val="20"/>
        </w:rPr>
        <w:t xml:space="preserve"> vejica in besed</w:t>
      </w:r>
      <w:r w:rsidRPr="00445B9C">
        <w:rPr>
          <w:rFonts w:eastAsiaTheme="majorEastAsia" w:cs="Arial"/>
          <w:bCs/>
          <w:szCs w:val="20"/>
        </w:rPr>
        <w:t>ilo</w:t>
      </w:r>
      <w:r w:rsidR="00B938A0" w:rsidRPr="00445B9C">
        <w:rPr>
          <w:rFonts w:eastAsiaTheme="majorEastAsia" w:cs="Arial"/>
          <w:bCs/>
          <w:szCs w:val="20"/>
        </w:rPr>
        <w:t xml:space="preserve"> »kreditne družbe«.</w:t>
      </w:r>
    </w:p>
    <w:p w14:paraId="0AFD446F"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68" w:name="_Ref196735115"/>
      <w:bookmarkStart w:id="69" w:name="_Hlk149220226"/>
      <w:bookmarkEnd w:id="66"/>
      <w:r w:rsidRPr="00445B9C">
        <w:rPr>
          <w:rFonts w:eastAsiaTheme="majorEastAsia" w:cs="Arial"/>
          <w:b/>
          <w:szCs w:val="20"/>
        </w:rPr>
        <w:t>člen</w:t>
      </w:r>
      <w:bookmarkEnd w:id="68"/>
    </w:p>
    <w:p w14:paraId="25A8645B" w14:textId="320F6D52" w:rsidR="00650DEF" w:rsidRPr="00445B9C" w:rsidRDefault="00650DEF" w:rsidP="00E046D9">
      <w:pPr>
        <w:jc w:val="both"/>
        <w:rPr>
          <w:rFonts w:cs="Arial"/>
          <w:szCs w:val="20"/>
        </w:rPr>
      </w:pPr>
      <w:r w:rsidRPr="00445B9C">
        <w:rPr>
          <w:rFonts w:eastAsiaTheme="majorEastAsia" w:cs="Arial"/>
          <w:szCs w:val="20"/>
        </w:rPr>
        <w:t>V 534. členu se v prvem odstavku</w:t>
      </w:r>
      <w:r w:rsidR="00081910" w:rsidRPr="00445B9C">
        <w:rPr>
          <w:rFonts w:eastAsiaTheme="majorEastAsia" w:cs="Arial"/>
          <w:szCs w:val="20"/>
        </w:rPr>
        <w:t xml:space="preserve"> </w:t>
      </w:r>
      <w:r w:rsidRPr="00445B9C">
        <w:rPr>
          <w:rFonts w:cs="Arial"/>
          <w:szCs w:val="20"/>
        </w:rPr>
        <w:t>2.</w:t>
      </w:r>
      <w:r w:rsidR="006C4DE0" w:rsidRPr="00445B9C">
        <w:rPr>
          <w:rFonts w:cs="Arial"/>
          <w:szCs w:val="20"/>
        </w:rPr>
        <w:t xml:space="preserve"> </w:t>
      </w:r>
      <w:r w:rsidRPr="00445B9C">
        <w:rPr>
          <w:rFonts w:cs="Arial"/>
          <w:szCs w:val="20"/>
        </w:rPr>
        <w:t>točka</w:t>
      </w:r>
      <w:r w:rsidR="006C4DE0" w:rsidRPr="00445B9C">
        <w:rPr>
          <w:rFonts w:cs="Arial"/>
          <w:szCs w:val="20"/>
        </w:rPr>
        <w:t xml:space="preserve"> črta</w:t>
      </w:r>
      <w:r w:rsidR="00081910" w:rsidRPr="00445B9C">
        <w:rPr>
          <w:rFonts w:cs="Arial"/>
          <w:szCs w:val="20"/>
        </w:rPr>
        <w:t>.</w:t>
      </w:r>
    </w:p>
    <w:p w14:paraId="6F6859A4" w14:textId="77777777" w:rsidR="00081910" w:rsidRPr="00445B9C" w:rsidRDefault="00081910" w:rsidP="00E046D9">
      <w:pPr>
        <w:jc w:val="both"/>
        <w:rPr>
          <w:rFonts w:cs="Arial"/>
          <w:szCs w:val="20"/>
        </w:rPr>
      </w:pPr>
    </w:p>
    <w:p w14:paraId="481EC1C3" w14:textId="713E97D7" w:rsidR="00650DEF" w:rsidRPr="00445B9C" w:rsidRDefault="00650DEF" w:rsidP="00E046D9">
      <w:pPr>
        <w:jc w:val="both"/>
        <w:rPr>
          <w:rFonts w:cs="Arial"/>
          <w:szCs w:val="20"/>
        </w:rPr>
      </w:pPr>
      <w:r w:rsidRPr="00445B9C">
        <w:rPr>
          <w:rFonts w:cs="Arial"/>
          <w:szCs w:val="20"/>
        </w:rPr>
        <w:t xml:space="preserve">19. in 20. točka </w:t>
      </w:r>
      <w:r w:rsidR="00081910" w:rsidRPr="00445B9C">
        <w:rPr>
          <w:rFonts w:cs="Arial"/>
          <w:szCs w:val="20"/>
        </w:rPr>
        <w:t xml:space="preserve">se </w:t>
      </w:r>
      <w:r w:rsidRPr="00445B9C">
        <w:rPr>
          <w:rFonts w:cs="Arial"/>
          <w:szCs w:val="20"/>
        </w:rPr>
        <w:t>spremenita tako, da se glasita:</w:t>
      </w:r>
    </w:p>
    <w:p w14:paraId="5EFC3359" w14:textId="77777777" w:rsidR="00650DEF" w:rsidRPr="00445B9C" w:rsidRDefault="00650DEF" w:rsidP="00E046D9">
      <w:pPr>
        <w:jc w:val="both"/>
        <w:rPr>
          <w:rFonts w:eastAsiaTheme="majorEastAsia" w:cs="Arial"/>
          <w:szCs w:val="20"/>
        </w:rPr>
      </w:pPr>
      <w:r w:rsidRPr="00445B9C">
        <w:rPr>
          <w:rFonts w:eastAsiaTheme="majorEastAsia" w:cs="Arial"/>
          <w:szCs w:val="20"/>
        </w:rPr>
        <w:t>»19. glede poročanja pozicij za izvedene finančne instrumente na blago ali izvedene finančne instrumente na emisijske kupone ne ravna v skladu s prvim, šestim in sedmim odstavkom 332. člena tega zakona;</w:t>
      </w:r>
    </w:p>
    <w:p w14:paraId="0C4AD18D" w14:textId="77777777" w:rsidR="00650DEF" w:rsidRPr="00445B9C" w:rsidRDefault="00650DEF" w:rsidP="00E046D9">
      <w:pPr>
        <w:jc w:val="both"/>
        <w:rPr>
          <w:rFonts w:eastAsiaTheme="majorEastAsia" w:cs="Arial"/>
          <w:szCs w:val="20"/>
        </w:rPr>
      </w:pPr>
      <w:r w:rsidRPr="00445B9C">
        <w:rPr>
          <w:rFonts w:eastAsiaTheme="majorEastAsia" w:cs="Arial"/>
          <w:szCs w:val="20"/>
        </w:rPr>
        <w:t>20. ne razvrsti oseb, ki imajo pozicije v izvedenih finančnih instrumentih na blago ali izvedenih finančnih instrumentih na emisijske kupone v skladu s petim odstavkom 332. člena tega zakona;«</w:t>
      </w:r>
      <w:r w:rsidR="007C5912" w:rsidRPr="00445B9C">
        <w:rPr>
          <w:rFonts w:eastAsiaTheme="majorEastAsia" w:cs="Arial"/>
          <w:szCs w:val="20"/>
        </w:rPr>
        <w:t>.</w:t>
      </w:r>
    </w:p>
    <w:p w14:paraId="0F63502B" w14:textId="77777777" w:rsidR="00081910" w:rsidRPr="00445B9C" w:rsidRDefault="00081910" w:rsidP="00E046D9">
      <w:pPr>
        <w:jc w:val="both"/>
        <w:rPr>
          <w:rFonts w:eastAsiaTheme="majorEastAsia" w:cs="Arial"/>
          <w:szCs w:val="20"/>
        </w:rPr>
      </w:pPr>
    </w:p>
    <w:p w14:paraId="1EDB987E" w14:textId="32BFB359" w:rsidR="00081910" w:rsidRPr="00445B9C" w:rsidRDefault="00081910" w:rsidP="00E046D9">
      <w:pPr>
        <w:jc w:val="both"/>
        <w:rPr>
          <w:rFonts w:eastAsiaTheme="majorEastAsia" w:cs="Arial"/>
          <w:szCs w:val="20"/>
        </w:rPr>
      </w:pPr>
      <w:r w:rsidRPr="00445B9C">
        <w:rPr>
          <w:rFonts w:eastAsiaTheme="majorEastAsia" w:cs="Arial"/>
          <w:szCs w:val="20"/>
        </w:rPr>
        <w:t xml:space="preserve">22. točka se črta. </w:t>
      </w:r>
    </w:p>
    <w:p w14:paraId="2D55B723"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70" w:name="_Ref196735248"/>
      <w:r w:rsidRPr="00445B9C">
        <w:rPr>
          <w:rFonts w:eastAsiaTheme="majorEastAsia" w:cs="Arial"/>
          <w:b/>
          <w:szCs w:val="20"/>
        </w:rPr>
        <w:t>člen</w:t>
      </w:r>
      <w:bookmarkEnd w:id="70"/>
    </w:p>
    <w:p w14:paraId="217942B7" w14:textId="4DA0DF8E" w:rsidR="00F36F1F" w:rsidRPr="00445B9C" w:rsidRDefault="00703C85" w:rsidP="00E046D9">
      <w:pPr>
        <w:jc w:val="both"/>
        <w:rPr>
          <w:rFonts w:cs="Arial"/>
          <w:szCs w:val="20"/>
        </w:rPr>
      </w:pPr>
      <w:bookmarkStart w:id="71" w:name="_Hlk195622729"/>
      <w:r w:rsidRPr="00445B9C">
        <w:rPr>
          <w:rFonts w:eastAsiaTheme="majorEastAsia" w:cs="Arial"/>
          <w:szCs w:val="20"/>
        </w:rPr>
        <w:t>V 539. členu se v prvem odstavku</w:t>
      </w:r>
      <w:r w:rsidRPr="00445B9C">
        <w:rPr>
          <w:rFonts w:cs="Arial"/>
          <w:szCs w:val="20"/>
        </w:rPr>
        <w:t xml:space="preserve">1. </w:t>
      </w:r>
      <w:r w:rsidR="00F36F1F" w:rsidRPr="00445B9C">
        <w:rPr>
          <w:rFonts w:cs="Arial"/>
          <w:szCs w:val="20"/>
        </w:rPr>
        <w:t xml:space="preserve">točka črta. </w:t>
      </w:r>
    </w:p>
    <w:p w14:paraId="04EF76D6" w14:textId="1C3E3071" w:rsidR="00703C85" w:rsidRPr="00445B9C" w:rsidRDefault="00703C85" w:rsidP="00E046D9">
      <w:pPr>
        <w:jc w:val="both"/>
        <w:rPr>
          <w:rFonts w:cs="Arial"/>
          <w:szCs w:val="20"/>
        </w:rPr>
      </w:pPr>
    </w:p>
    <w:p w14:paraId="71AEAF81" w14:textId="7A748576" w:rsidR="00703C85" w:rsidRPr="00445B9C" w:rsidRDefault="00703C85" w:rsidP="00E046D9">
      <w:pPr>
        <w:jc w:val="both"/>
        <w:rPr>
          <w:rFonts w:cs="Arial"/>
          <w:szCs w:val="20"/>
        </w:rPr>
      </w:pPr>
      <w:r w:rsidRPr="00445B9C">
        <w:rPr>
          <w:rFonts w:cs="Arial"/>
          <w:szCs w:val="20"/>
        </w:rPr>
        <w:t xml:space="preserve">4. in 5. točka </w:t>
      </w:r>
      <w:r w:rsidR="00F36F1F" w:rsidRPr="00445B9C">
        <w:rPr>
          <w:rFonts w:cs="Arial"/>
          <w:szCs w:val="20"/>
        </w:rPr>
        <w:t xml:space="preserve">se </w:t>
      </w:r>
      <w:r w:rsidRPr="00445B9C">
        <w:rPr>
          <w:rFonts w:cs="Arial"/>
          <w:szCs w:val="20"/>
        </w:rPr>
        <w:t>spremenita tako, da se glasita:</w:t>
      </w:r>
    </w:p>
    <w:p w14:paraId="558FD7CE" w14:textId="77777777" w:rsidR="00703C85" w:rsidRPr="00445B9C" w:rsidRDefault="00703C85" w:rsidP="00E046D9">
      <w:pPr>
        <w:jc w:val="both"/>
        <w:rPr>
          <w:rFonts w:eastAsiaTheme="majorEastAsia" w:cs="Arial"/>
          <w:bCs/>
          <w:szCs w:val="20"/>
        </w:rPr>
      </w:pPr>
      <w:r w:rsidRPr="00445B9C">
        <w:rPr>
          <w:rFonts w:eastAsiaTheme="majorEastAsia" w:cs="Arial"/>
          <w:bCs/>
          <w:szCs w:val="20"/>
        </w:rPr>
        <w:lastRenderedPageBreak/>
        <w:t>»4. glede poročanja pozicij za izvedene finančne instrumente na blago ali izvedene finančne instrumente na emisijske kupone ne ravna v skladu s prvim, šestim in sedmim odstavkom 332. člena tega zakona;</w:t>
      </w:r>
    </w:p>
    <w:p w14:paraId="0A56E211" w14:textId="77777777" w:rsidR="00703C85" w:rsidRPr="00445B9C" w:rsidRDefault="00703C85" w:rsidP="00E046D9">
      <w:pPr>
        <w:jc w:val="both"/>
        <w:rPr>
          <w:rFonts w:eastAsiaTheme="majorEastAsia" w:cs="Arial"/>
          <w:bCs/>
          <w:szCs w:val="20"/>
        </w:rPr>
      </w:pPr>
      <w:r w:rsidRPr="00445B9C">
        <w:rPr>
          <w:rFonts w:eastAsiaTheme="majorEastAsia" w:cs="Arial"/>
          <w:bCs/>
          <w:szCs w:val="20"/>
        </w:rPr>
        <w:t>5. ne razvrsti oseb, ki imajo pozicije v izvedenih finančnih instrumentih na blago ali izvedenih finančnih instrumentih na emisijske kupone v skladu s petim odstavkom 332. člena tega zakona;«</w:t>
      </w:r>
      <w:r w:rsidR="007C5912" w:rsidRPr="00445B9C">
        <w:rPr>
          <w:rFonts w:eastAsiaTheme="majorEastAsia" w:cs="Arial"/>
          <w:bCs/>
          <w:szCs w:val="20"/>
        </w:rPr>
        <w:t>.</w:t>
      </w:r>
    </w:p>
    <w:p w14:paraId="7559844A" w14:textId="77777777" w:rsidR="001313AC" w:rsidRPr="00445B9C" w:rsidRDefault="001313AC" w:rsidP="00E046D9">
      <w:pPr>
        <w:jc w:val="both"/>
        <w:rPr>
          <w:rFonts w:eastAsiaTheme="majorEastAsia" w:cs="Arial"/>
          <w:bCs/>
          <w:szCs w:val="20"/>
        </w:rPr>
      </w:pPr>
    </w:p>
    <w:p w14:paraId="34C5CBF3" w14:textId="50847815" w:rsidR="00F36F1F" w:rsidRPr="00445B9C" w:rsidRDefault="00F36F1F" w:rsidP="00E046D9">
      <w:pPr>
        <w:jc w:val="both"/>
        <w:rPr>
          <w:rFonts w:eastAsiaTheme="majorEastAsia" w:cs="Arial"/>
          <w:bCs/>
          <w:szCs w:val="20"/>
        </w:rPr>
      </w:pPr>
      <w:r w:rsidRPr="00445B9C">
        <w:rPr>
          <w:rFonts w:eastAsiaTheme="majorEastAsia" w:cs="Arial"/>
          <w:bCs/>
          <w:szCs w:val="20"/>
        </w:rPr>
        <w:t xml:space="preserve">32. točka se črta. </w:t>
      </w:r>
    </w:p>
    <w:p w14:paraId="422B4CB0" w14:textId="77777777" w:rsidR="006A2506" w:rsidRPr="00445B9C" w:rsidRDefault="007C5912" w:rsidP="00F810E6">
      <w:pPr>
        <w:numPr>
          <w:ilvl w:val="0"/>
          <w:numId w:val="16"/>
        </w:numPr>
        <w:spacing w:before="240" w:after="240" w:line="259" w:lineRule="auto"/>
        <w:ind w:left="567" w:hanging="357"/>
        <w:jc w:val="center"/>
        <w:outlineLvl w:val="0"/>
        <w:rPr>
          <w:rFonts w:eastAsiaTheme="majorEastAsia" w:cs="Arial"/>
          <w:b/>
          <w:szCs w:val="20"/>
        </w:rPr>
      </w:pPr>
      <w:bookmarkStart w:id="72" w:name="_Ref196735266"/>
      <w:bookmarkEnd w:id="71"/>
      <w:r w:rsidRPr="00445B9C">
        <w:rPr>
          <w:rFonts w:eastAsiaTheme="majorEastAsia" w:cs="Arial"/>
          <w:b/>
          <w:szCs w:val="20"/>
        </w:rPr>
        <w:t>člen</w:t>
      </w:r>
      <w:bookmarkEnd w:id="72"/>
    </w:p>
    <w:p w14:paraId="5104473B" w14:textId="77777777" w:rsidR="00E80C9D" w:rsidRPr="00445B9C" w:rsidRDefault="00E80C9D" w:rsidP="00E80C9D">
      <w:pPr>
        <w:jc w:val="both"/>
        <w:rPr>
          <w:rFonts w:eastAsiaTheme="majorEastAsia" w:cs="Arial"/>
          <w:szCs w:val="20"/>
        </w:rPr>
      </w:pPr>
      <w:bookmarkStart w:id="73" w:name="_Hlk195624295"/>
      <w:bookmarkStart w:id="74" w:name="_Hlk195624758"/>
      <w:r w:rsidRPr="00445B9C">
        <w:rPr>
          <w:rFonts w:eastAsiaTheme="majorEastAsia" w:cs="Arial"/>
          <w:szCs w:val="20"/>
        </w:rPr>
        <w:t>Besedilo 541. člena se spremeni tako, da se glasi:</w:t>
      </w:r>
    </w:p>
    <w:p w14:paraId="6845BCD6" w14:textId="77777777" w:rsidR="001300DD" w:rsidRPr="00445B9C" w:rsidRDefault="001300DD" w:rsidP="00E80C9D">
      <w:pPr>
        <w:jc w:val="both"/>
        <w:rPr>
          <w:rFonts w:eastAsiaTheme="majorEastAsia" w:cs="Arial"/>
          <w:szCs w:val="20"/>
        </w:rPr>
      </w:pPr>
    </w:p>
    <w:p w14:paraId="2C2D74C8" w14:textId="1D19224E" w:rsidR="00E80C9D" w:rsidRPr="00445B9C" w:rsidRDefault="00E80C9D" w:rsidP="00E80C9D">
      <w:pPr>
        <w:jc w:val="both"/>
        <w:rPr>
          <w:rFonts w:eastAsiaTheme="majorEastAsia" w:cs="Arial"/>
          <w:szCs w:val="20"/>
        </w:rPr>
      </w:pPr>
      <w:r w:rsidRPr="00445B9C">
        <w:rPr>
          <w:rFonts w:eastAsiaTheme="majorEastAsia" w:cs="Arial"/>
          <w:szCs w:val="20"/>
        </w:rPr>
        <w:t>»(1) Z globo od 25.000 do 250.000 eurov se za prekršek kaznuje banka, kreditna družba, upravljavec trga ali investicijsko podjetje, ki upravlja mesto trgovanja, z globo od 80.000 do 500.000 eurov pa banka, kreditna družba, upravljavec trga ali investicijsko podjetje, ki se po ZGD-1 šteje za srednjo ali veliko gospodarsko družbo, če:</w:t>
      </w:r>
    </w:p>
    <w:p w14:paraId="6FEF6981" w14:textId="27DD376B" w:rsidR="001300DD" w:rsidRPr="00445B9C" w:rsidRDefault="001300DD" w:rsidP="00E80C9D">
      <w:pPr>
        <w:jc w:val="both"/>
        <w:rPr>
          <w:rFonts w:eastAsiaTheme="majorEastAsia" w:cs="Arial"/>
          <w:szCs w:val="20"/>
        </w:rPr>
      </w:pPr>
    </w:p>
    <w:p w14:paraId="66E5E808" w14:textId="1D4FD223" w:rsidR="00E80C9D" w:rsidRPr="00445B9C" w:rsidRDefault="00E80C9D" w:rsidP="00E80C9D">
      <w:pPr>
        <w:jc w:val="both"/>
        <w:rPr>
          <w:rFonts w:eastAsiaTheme="majorEastAsia" w:cs="Arial"/>
          <w:szCs w:val="20"/>
        </w:rPr>
      </w:pPr>
      <w:r w:rsidRPr="00445B9C">
        <w:rPr>
          <w:rFonts w:eastAsiaTheme="majorEastAsia" w:cs="Arial"/>
          <w:szCs w:val="20"/>
        </w:rPr>
        <w:t>1.</w:t>
      </w:r>
      <w:r w:rsidR="00E4141B" w:rsidRPr="00445B9C">
        <w:rPr>
          <w:rFonts w:eastAsiaTheme="majorEastAsia" w:cs="Arial"/>
          <w:szCs w:val="20"/>
        </w:rPr>
        <w:t xml:space="preserve"> </w:t>
      </w:r>
      <w:r w:rsidRPr="00445B9C">
        <w:rPr>
          <w:rFonts w:eastAsiaTheme="majorEastAsia" w:cs="Arial"/>
          <w:szCs w:val="20"/>
        </w:rPr>
        <w:t>ne ravna v skladu z zahtevami po preglednosti pred trgovanjem za mesta trgovanja v zvezi z delnicami, potrdili o lastništvu, ETF, certifikati in drugimi podobnimi finančnimi instrumenti iz prvega ali tretjega odstavka 3. člena Uredbe 600/2014/EU;</w:t>
      </w:r>
    </w:p>
    <w:p w14:paraId="1D0370C5" w14:textId="388AB78E" w:rsidR="00E80C9D" w:rsidRPr="00445B9C" w:rsidRDefault="00E80C9D" w:rsidP="00E80C9D">
      <w:pPr>
        <w:jc w:val="both"/>
        <w:rPr>
          <w:rFonts w:eastAsiaTheme="majorEastAsia" w:cs="Arial"/>
          <w:szCs w:val="20"/>
        </w:rPr>
      </w:pPr>
      <w:r w:rsidRPr="00445B9C">
        <w:rPr>
          <w:rFonts w:eastAsiaTheme="majorEastAsia" w:cs="Arial"/>
          <w:szCs w:val="20"/>
        </w:rPr>
        <w:t>2.</w:t>
      </w:r>
      <w:r w:rsidR="00E4141B" w:rsidRPr="00445B9C">
        <w:rPr>
          <w:rFonts w:eastAsiaTheme="majorEastAsia" w:cs="Arial"/>
          <w:szCs w:val="20"/>
        </w:rPr>
        <w:t xml:space="preserve"> </w:t>
      </w:r>
      <w:r w:rsidRPr="00445B9C">
        <w:rPr>
          <w:rFonts w:eastAsiaTheme="majorEastAsia" w:cs="Arial"/>
          <w:szCs w:val="20"/>
        </w:rPr>
        <w:t>mesto trgovanja upravlja sisteme, ki formalizirajo posle, dogovorjene v pogajanjih v skladu z (i) podtočko b) točke prvega odstavka 4. člena Uredbe 600/2014/EU, in ne ravna v skladu z a), b) ali c) točko tretjega odstavka 4. člena Uredbe 600/2014/EU;</w:t>
      </w:r>
    </w:p>
    <w:p w14:paraId="280A04B1" w14:textId="0968AD58" w:rsidR="00E80C9D" w:rsidRPr="00445B9C" w:rsidRDefault="00E80C9D" w:rsidP="00E80C9D">
      <w:pPr>
        <w:jc w:val="both"/>
        <w:rPr>
          <w:rFonts w:eastAsiaTheme="majorEastAsia" w:cs="Arial"/>
          <w:szCs w:val="20"/>
        </w:rPr>
      </w:pPr>
      <w:r w:rsidRPr="00445B9C">
        <w:rPr>
          <w:rFonts w:eastAsiaTheme="majorEastAsia" w:cs="Arial"/>
          <w:szCs w:val="20"/>
        </w:rPr>
        <w:t>3.</w:t>
      </w:r>
      <w:r w:rsidR="00E4141B" w:rsidRPr="00445B9C">
        <w:rPr>
          <w:rFonts w:eastAsiaTheme="majorEastAsia" w:cs="Arial"/>
          <w:szCs w:val="20"/>
        </w:rPr>
        <w:t xml:space="preserve"> </w:t>
      </w:r>
      <w:r w:rsidRPr="00445B9C">
        <w:rPr>
          <w:rFonts w:eastAsiaTheme="majorEastAsia" w:cs="Arial"/>
          <w:szCs w:val="20"/>
        </w:rPr>
        <w:t>mesto trgovanja začasno ne opusti uporab</w:t>
      </w:r>
      <w:r w:rsidR="00C21DE5">
        <w:rPr>
          <w:rFonts w:eastAsiaTheme="majorEastAsia" w:cs="Arial"/>
          <w:szCs w:val="20"/>
        </w:rPr>
        <w:t>e</w:t>
      </w:r>
      <w:r w:rsidRPr="00445B9C">
        <w:rPr>
          <w:rFonts w:eastAsiaTheme="majorEastAsia" w:cs="Arial"/>
          <w:szCs w:val="20"/>
        </w:rPr>
        <w:t xml:space="preserve"> opustitve iz prvega odstavka 4. člena Uredbe 600/2014/EU</w:t>
      </w:r>
      <w:r w:rsidR="00C21DE5">
        <w:rPr>
          <w:rFonts w:eastAsiaTheme="majorEastAsia" w:cs="Arial"/>
          <w:szCs w:val="20"/>
        </w:rPr>
        <w:t>,</w:t>
      </w:r>
      <w:r w:rsidRPr="00445B9C">
        <w:rPr>
          <w:rFonts w:eastAsiaTheme="majorEastAsia" w:cs="Arial"/>
          <w:szCs w:val="20"/>
        </w:rPr>
        <w:t xml:space="preserve"> kadar delež trgovanja s finančnim instrumentom v Uniji, ki se izvaja na podlagi te opustitve, preseže 7 % celotnega obsega trgovanja s tem finančnim instrumentom v Uniji;</w:t>
      </w:r>
    </w:p>
    <w:p w14:paraId="2362CCF3" w14:textId="2BCE4A52" w:rsidR="00E80C9D" w:rsidRPr="00445B9C" w:rsidRDefault="00E80C9D" w:rsidP="00E80C9D">
      <w:pPr>
        <w:jc w:val="both"/>
        <w:rPr>
          <w:rFonts w:eastAsiaTheme="majorEastAsia" w:cs="Arial"/>
          <w:szCs w:val="20"/>
        </w:rPr>
      </w:pPr>
      <w:r w:rsidRPr="00445B9C">
        <w:rPr>
          <w:rFonts w:eastAsiaTheme="majorEastAsia" w:cs="Arial"/>
          <w:szCs w:val="20"/>
        </w:rPr>
        <w:t>4.</w:t>
      </w:r>
      <w:r w:rsidR="00E4141B" w:rsidRPr="00445B9C">
        <w:rPr>
          <w:rFonts w:eastAsiaTheme="majorEastAsia" w:cs="Arial"/>
          <w:szCs w:val="20"/>
        </w:rPr>
        <w:t xml:space="preserve"> </w:t>
      </w:r>
      <w:r w:rsidRPr="00445B9C">
        <w:rPr>
          <w:rFonts w:eastAsiaTheme="majorEastAsia" w:cs="Arial"/>
          <w:szCs w:val="20"/>
        </w:rPr>
        <w:t>ne ravna v skladu z zahtevami po preglednosti po trgovanju za mesta trgovanja v zvezi z delnicami, potrdili o lastništvu, ETF, certifikati in drugimi podobnimi finančnimi instrumenti iz 6. člena Uredbe 600/2014/EU;</w:t>
      </w:r>
    </w:p>
    <w:p w14:paraId="205D472B" w14:textId="585FA36F" w:rsidR="00E80C9D" w:rsidRPr="00445B9C" w:rsidRDefault="00E80C9D" w:rsidP="00E80C9D">
      <w:pPr>
        <w:jc w:val="both"/>
        <w:rPr>
          <w:rFonts w:eastAsiaTheme="majorEastAsia" w:cs="Arial"/>
          <w:szCs w:val="20"/>
        </w:rPr>
      </w:pPr>
      <w:r w:rsidRPr="00445B9C">
        <w:rPr>
          <w:rFonts w:eastAsiaTheme="majorEastAsia" w:cs="Arial"/>
          <w:szCs w:val="20"/>
        </w:rPr>
        <w:t>5.</w:t>
      </w:r>
      <w:r w:rsidR="00E4141B" w:rsidRPr="00445B9C">
        <w:rPr>
          <w:rFonts w:eastAsiaTheme="majorEastAsia" w:cs="Arial"/>
          <w:szCs w:val="20"/>
        </w:rPr>
        <w:t xml:space="preserve"> </w:t>
      </w:r>
      <w:r w:rsidRPr="00445B9C">
        <w:rPr>
          <w:rFonts w:eastAsiaTheme="majorEastAsia" w:cs="Arial"/>
          <w:szCs w:val="20"/>
        </w:rPr>
        <w:t>od pristojnega organa pridobi predhodno odobritev predlagane ureditve za odlog objave v zvezi s trgovanjem in tega jasno ne razkrije udeležencem na trgu in javnosti (prvi odstavek 7. člena Uredbe 600/2014/EU);</w:t>
      </w:r>
    </w:p>
    <w:p w14:paraId="357FFBA3" w14:textId="48DAD7D0" w:rsidR="00E80C9D" w:rsidRPr="00445B9C" w:rsidRDefault="00E80C9D" w:rsidP="00E80C9D">
      <w:pPr>
        <w:jc w:val="both"/>
        <w:rPr>
          <w:rFonts w:eastAsiaTheme="majorEastAsia" w:cs="Arial"/>
          <w:szCs w:val="20"/>
        </w:rPr>
      </w:pPr>
      <w:r w:rsidRPr="00445B9C">
        <w:rPr>
          <w:rFonts w:eastAsiaTheme="majorEastAsia" w:cs="Arial"/>
          <w:szCs w:val="20"/>
        </w:rPr>
        <w:t>6.</w:t>
      </w:r>
      <w:r w:rsidR="00E4141B" w:rsidRPr="00445B9C">
        <w:rPr>
          <w:rFonts w:eastAsiaTheme="majorEastAsia" w:cs="Arial"/>
          <w:szCs w:val="20"/>
        </w:rPr>
        <w:t xml:space="preserve"> </w:t>
      </w:r>
      <w:r w:rsidRPr="00445B9C">
        <w:rPr>
          <w:rFonts w:eastAsiaTheme="majorEastAsia" w:cs="Arial"/>
          <w:szCs w:val="20"/>
        </w:rPr>
        <w:t>ne ravna v skladu z zahtevami po preglednosti pred trgovanjem za mesta trgovanja v zvezi z obveznicami, strukturiranimi finančnimi produkti, emisijskimi kuponi, paketnimi naročili in izvedenimi finančnimi instrumenti iz 8., 8.a in 8.b člena Uredbe 600/2014/EU;</w:t>
      </w:r>
    </w:p>
    <w:p w14:paraId="09E56CD7" w14:textId="4C081211" w:rsidR="00E80C9D" w:rsidRPr="00445B9C" w:rsidRDefault="00E80C9D" w:rsidP="00E80C9D">
      <w:pPr>
        <w:jc w:val="both"/>
        <w:rPr>
          <w:rFonts w:eastAsiaTheme="majorEastAsia" w:cs="Arial"/>
          <w:szCs w:val="20"/>
        </w:rPr>
      </w:pPr>
      <w:r w:rsidRPr="00445B9C">
        <w:rPr>
          <w:rFonts w:eastAsiaTheme="majorEastAsia" w:cs="Arial"/>
          <w:szCs w:val="20"/>
        </w:rPr>
        <w:t>7.</w:t>
      </w:r>
      <w:r w:rsidR="00E4141B" w:rsidRPr="00445B9C">
        <w:rPr>
          <w:rFonts w:eastAsiaTheme="majorEastAsia" w:cs="Arial"/>
          <w:szCs w:val="20"/>
        </w:rPr>
        <w:t xml:space="preserve"> </w:t>
      </w:r>
      <w:r w:rsidRPr="00445B9C">
        <w:rPr>
          <w:rFonts w:eastAsiaTheme="majorEastAsia" w:cs="Arial"/>
          <w:szCs w:val="20"/>
        </w:rPr>
        <w:t>ne ravna v skladu z zahtevami po preglednosti po trgovanju za mesta trgovanja v zvezi z obveznicami, strukturiranimi finančnimi produkti, emisijskimi kuponi in izvedenimi finančnimi instrumenti iz 10. člena Uredbe 600/2014/EU;</w:t>
      </w:r>
    </w:p>
    <w:p w14:paraId="418D38AA" w14:textId="292E4415" w:rsidR="00E80C9D" w:rsidRPr="00445B9C" w:rsidRDefault="00E80C9D" w:rsidP="00E80C9D">
      <w:pPr>
        <w:jc w:val="both"/>
        <w:rPr>
          <w:rFonts w:eastAsiaTheme="majorEastAsia" w:cs="Arial"/>
          <w:szCs w:val="20"/>
        </w:rPr>
      </w:pPr>
      <w:r w:rsidRPr="00445B9C">
        <w:rPr>
          <w:rFonts w:eastAsiaTheme="majorEastAsia" w:cs="Arial"/>
          <w:szCs w:val="20"/>
        </w:rPr>
        <w:t>8.</w:t>
      </w:r>
      <w:r w:rsidR="00E4141B" w:rsidRPr="00445B9C">
        <w:rPr>
          <w:rFonts w:eastAsiaTheme="majorEastAsia" w:cs="Arial"/>
          <w:szCs w:val="20"/>
        </w:rPr>
        <w:t xml:space="preserve"> </w:t>
      </w:r>
      <w:r w:rsidRPr="00445B9C">
        <w:rPr>
          <w:rFonts w:eastAsiaTheme="majorEastAsia" w:cs="Arial"/>
          <w:szCs w:val="20"/>
        </w:rPr>
        <w:t>jasno ne razkrije udeležencem na trgu in javnosti ureditve za odlog objave (prvi odstavek 11. člena in prvi odstavek 11.a člena Uredbe 600/2014/EU);</w:t>
      </w:r>
    </w:p>
    <w:p w14:paraId="61C3B350" w14:textId="16C34E9E" w:rsidR="00E80C9D" w:rsidRPr="00445B9C" w:rsidRDefault="00E80C9D" w:rsidP="00E80C9D">
      <w:pPr>
        <w:jc w:val="both"/>
        <w:rPr>
          <w:rFonts w:eastAsiaTheme="majorEastAsia" w:cs="Arial"/>
          <w:szCs w:val="20"/>
        </w:rPr>
      </w:pPr>
      <w:r w:rsidRPr="00445B9C">
        <w:rPr>
          <w:rFonts w:eastAsiaTheme="majorEastAsia" w:cs="Arial"/>
          <w:szCs w:val="20"/>
        </w:rPr>
        <w:t>9.</w:t>
      </w:r>
      <w:r w:rsidR="00E4141B" w:rsidRPr="00445B9C">
        <w:rPr>
          <w:rFonts w:eastAsiaTheme="majorEastAsia" w:cs="Arial"/>
          <w:szCs w:val="20"/>
        </w:rPr>
        <w:t xml:space="preserve"> </w:t>
      </w:r>
      <w:r w:rsidRPr="00445B9C">
        <w:rPr>
          <w:rFonts w:eastAsiaTheme="majorEastAsia" w:cs="Arial"/>
          <w:szCs w:val="20"/>
        </w:rPr>
        <w:t>po izteku obdobja odloga objave podrobnosti o poslih ne objavi vseh podrobnosti o posameznih poslih (prvi a in tretji odstavek 11. člena in prvi odstavek 11.a člena Uredbe 600/2014/EU);</w:t>
      </w:r>
    </w:p>
    <w:p w14:paraId="2BC2F0EF" w14:textId="3785E400" w:rsidR="00E80C9D" w:rsidRPr="00445B9C" w:rsidRDefault="00E80C9D" w:rsidP="00E80C9D">
      <w:pPr>
        <w:jc w:val="both"/>
        <w:rPr>
          <w:rFonts w:eastAsiaTheme="majorEastAsia" w:cs="Arial"/>
          <w:szCs w:val="20"/>
        </w:rPr>
      </w:pPr>
      <w:r w:rsidRPr="00445B9C">
        <w:rPr>
          <w:rFonts w:eastAsiaTheme="majorEastAsia" w:cs="Arial"/>
          <w:szCs w:val="20"/>
        </w:rPr>
        <w:t>10.</w:t>
      </w:r>
      <w:r w:rsidR="00E4141B" w:rsidRPr="00445B9C">
        <w:rPr>
          <w:rFonts w:eastAsiaTheme="majorEastAsia" w:cs="Arial"/>
          <w:szCs w:val="20"/>
        </w:rPr>
        <w:t xml:space="preserve"> </w:t>
      </w:r>
      <w:r w:rsidRPr="00445B9C">
        <w:rPr>
          <w:rFonts w:eastAsiaTheme="majorEastAsia" w:cs="Arial"/>
          <w:szCs w:val="20"/>
        </w:rPr>
        <w:t xml:space="preserve">ne organizira ureditve za odlog objave v zvezi s strukturiranimi finančnimi produkti ali emisijskimi kuponi ali njihovimi razredi, s katerimi se trguje na mestu trgovanja, na podlagi regulativnih tehničnih standardov iz točke </w:t>
      </w:r>
      <w:r w:rsidR="00265434" w:rsidRPr="00445B9C">
        <w:rPr>
          <w:rFonts w:eastAsiaTheme="majorEastAsia" w:cs="Arial"/>
          <w:szCs w:val="20"/>
        </w:rPr>
        <w:t xml:space="preserve">g) </w:t>
      </w:r>
      <w:r w:rsidRPr="00445B9C">
        <w:rPr>
          <w:rFonts w:eastAsiaTheme="majorEastAsia" w:cs="Arial"/>
          <w:szCs w:val="20"/>
        </w:rPr>
        <w:t>četrtega odstavka 11. člena Uredbe 600/2014/EU, ali po izteku obdobja odloga objave podrobnosti o poslih ne objavi vseh podrobnosti o posameznih poslih (prvi b odstavek 11. člena Uredbe 600/2014/EU);</w:t>
      </w:r>
    </w:p>
    <w:p w14:paraId="70A1D7BD" w14:textId="539FBC4E" w:rsidR="00E80C9D" w:rsidRPr="00445B9C" w:rsidRDefault="00E80C9D" w:rsidP="00E80C9D">
      <w:pPr>
        <w:jc w:val="both"/>
        <w:rPr>
          <w:rFonts w:eastAsiaTheme="majorEastAsia" w:cs="Arial"/>
          <w:szCs w:val="20"/>
        </w:rPr>
      </w:pPr>
      <w:r w:rsidRPr="00445B9C">
        <w:rPr>
          <w:rFonts w:eastAsiaTheme="majorEastAsia" w:cs="Arial"/>
          <w:szCs w:val="20"/>
        </w:rPr>
        <w:t>11.</w:t>
      </w:r>
      <w:r w:rsidR="00E4141B" w:rsidRPr="00445B9C">
        <w:rPr>
          <w:rFonts w:eastAsiaTheme="majorEastAsia" w:cs="Arial"/>
          <w:szCs w:val="20"/>
        </w:rPr>
        <w:t xml:space="preserve"> </w:t>
      </w:r>
      <w:r w:rsidRPr="00445B9C">
        <w:rPr>
          <w:rFonts w:eastAsiaTheme="majorEastAsia" w:cs="Arial"/>
          <w:szCs w:val="20"/>
        </w:rPr>
        <w:t>informacije, objavljene v skladu s 3., 4. in 6. do 11.a členom Uredbe 600/2014/EU, niso na voljo javnosti tako, da so podatki o preglednosti pred trgovanjem in po njem zagotovljeni ločeno v skladu s prvim odstavkom 12. člena Uredbe 600/2014/EU;</w:t>
      </w:r>
    </w:p>
    <w:p w14:paraId="0BDE627A" w14:textId="32B5E70C" w:rsidR="00E80C9D" w:rsidRPr="00445B9C" w:rsidRDefault="00E80C9D" w:rsidP="00E80C9D">
      <w:pPr>
        <w:jc w:val="both"/>
        <w:rPr>
          <w:rFonts w:eastAsiaTheme="majorEastAsia" w:cs="Arial"/>
          <w:szCs w:val="20"/>
        </w:rPr>
      </w:pPr>
      <w:r w:rsidRPr="00445B9C">
        <w:rPr>
          <w:rFonts w:eastAsiaTheme="majorEastAsia" w:cs="Arial"/>
          <w:szCs w:val="20"/>
        </w:rPr>
        <w:t>12.</w:t>
      </w:r>
      <w:r w:rsidR="00E4141B" w:rsidRPr="00445B9C">
        <w:rPr>
          <w:rFonts w:eastAsiaTheme="majorEastAsia" w:cs="Arial"/>
          <w:szCs w:val="20"/>
        </w:rPr>
        <w:t xml:space="preserve"> </w:t>
      </w:r>
      <w:r w:rsidRPr="00445B9C">
        <w:rPr>
          <w:rFonts w:eastAsiaTheme="majorEastAsia" w:cs="Arial"/>
          <w:szCs w:val="20"/>
        </w:rPr>
        <w:t>informacije, objavljene v skladu s 3., 4. in 6. do 11.a, 14., 20., 21., 27</w:t>
      </w:r>
      <w:r w:rsidR="00265434" w:rsidRPr="00445B9C">
        <w:rPr>
          <w:rFonts w:eastAsiaTheme="majorEastAsia" w:cs="Arial"/>
          <w:szCs w:val="20"/>
        </w:rPr>
        <w:t>.</w:t>
      </w:r>
      <w:r w:rsidRPr="00445B9C">
        <w:rPr>
          <w:rFonts w:eastAsiaTheme="majorEastAsia" w:cs="Arial"/>
          <w:szCs w:val="20"/>
        </w:rPr>
        <w:t>g in 27</w:t>
      </w:r>
      <w:r w:rsidR="00265434" w:rsidRPr="00445B9C">
        <w:rPr>
          <w:rFonts w:eastAsiaTheme="majorEastAsia" w:cs="Arial"/>
          <w:szCs w:val="20"/>
        </w:rPr>
        <w:t>.</w:t>
      </w:r>
      <w:r w:rsidRPr="00445B9C">
        <w:rPr>
          <w:rFonts w:eastAsiaTheme="majorEastAsia" w:cs="Arial"/>
          <w:szCs w:val="20"/>
        </w:rPr>
        <w:t xml:space="preserve">h členom Uredbe 600/2014/EU, niso na voljo javnosti ob razumnih poslovnih pogojih ali ni zagotovljen </w:t>
      </w:r>
      <w:r w:rsidRPr="00445B9C">
        <w:rPr>
          <w:rFonts w:eastAsiaTheme="majorEastAsia" w:cs="Arial"/>
          <w:szCs w:val="20"/>
        </w:rPr>
        <w:lastRenderedPageBreak/>
        <w:t xml:space="preserve">nediskriminatoren dostop do njih ali te informacije niso na voljo brezplačno </w:t>
      </w:r>
      <w:r w:rsidR="000F42F6">
        <w:rPr>
          <w:rFonts w:eastAsiaTheme="majorEastAsia" w:cs="Arial"/>
          <w:szCs w:val="20"/>
        </w:rPr>
        <w:t>petnajst</w:t>
      </w:r>
      <w:r w:rsidRPr="00445B9C">
        <w:rPr>
          <w:rFonts w:eastAsiaTheme="majorEastAsia" w:cs="Arial"/>
          <w:szCs w:val="20"/>
        </w:rPr>
        <w:t xml:space="preserve"> minut po njihovi objavi v zahtevani obliki (prvi in drugi odstavek 13. člena Uredbe 600/2014/EU);</w:t>
      </w:r>
    </w:p>
    <w:p w14:paraId="6D749CB0" w14:textId="387D13E1" w:rsidR="00E80C9D" w:rsidRPr="00445B9C" w:rsidRDefault="00E80C9D" w:rsidP="00E80C9D">
      <w:pPr>
        <w:jc w:val="both"/>
        <w:rPr>
          <w:rFonts w:eastAsiaTheme="majorEastAsia" w:cs="Arial"/>
          <w:szCs w:val="20"/>
        </w:rPr>
      </w:pPr>
      <w:r w:rsidRPr="00445B9C">
        <w:rPr>
          <w:rFonts w:eastAsiaTheme="majorEastAsia" w:cs="Arial"/>
          <w:szCs w:val="20"/>
        </w:rPr>
        <w:t>13.</w:t>
      </w:r>
      <w:r w:rsidR="00E4141B" w:rsidRPr="00445B9C">
        <w:rPr>
          <w:rFonts w:eastAsiaTheme="majorEastAsia" w:cs="Arial"/>
          <w:szCs w:val="20"/>
        </w:rPr>
        <w:t xml:space="preserve"> </w:t>
      </w:r>
      <w:r w:rsidRPr="00445B9C">
        <w:rPr>
          <w:rFonts w:eastAsiaTheme="majorEastAsia" w:cs="Arial"/>
          <w:szCs w:val="20"/>
        </w:rPr>
        <w:t>ne hrani potrebnih podatkov za obdobje</w:t>
      </w:r>
      <w:r w:rsidR="00C21DE5">
        <w:rPr>
          <w:rFonts w:eastAsiaTheme="majorEastAsia" w:cs="Arial"/>
          <w:szCs w:val="20"/>
        </w:rPr>
        <w:t>,</w:t>
      </w:r>
      <w:r w:rsidRPr="00445B9C">
        <w:rPr>
          <w:rFonts w:eastAsiaTheme="majorEastAsia" w:cs="Arial"/>
          <w:szCs w:val="20"/>
        </w:rPr>
        <w:t xml:space="preserve"> določeno z regulativnimi tehničnimi standardi iz tretjega odstavka 22. člena Uredbe 600/2014/EU (drugi odstavek 22. člena Uredbe 600/2014/EU);</w:t>
      </w:r>
    </w:p>
    <w:p w14:paraId="2DABF8E2" w14:textId="0774CB1A" w:rsidR="00E80C9D" w:rsidRPr="00445B9C" w:rsidRDefault="00E80C9D" w:rsidP="00E80C9D">
      <w:pPr>
        <w:jc w:val="both"/>
        <w:rPr>
          <w:rFonts w:eastAsiaTheme="majorEastAsia" w:cs="Arial"/>
          <w:szCs w:val="20"/>
        </w:rPr>
      </w:pPr>
      <w:r w:rsidRPr="00445B9C">
        <w:rPr>
          <w:rFonts w:eastAsiaTheme="majorEastAsia" w:cs="Arial"/>
          <w:szCs w:val="20"/>
        </w:rPr>
        <w:t>14.</w:t>
      </w:r>
      <w:r w:rsidR="00E4141B" w:rsidRPr="00445B9C">
        <w:rPr>
          <w:rFonts w:eastAsiaTheme="majorEastAsia" w:cs="Arial"/>
          <w:szCs w:val="20"/>
        </w:rPr>
        <w:t xml:space="preserve"> </w:t>
      </w:r>
      <w:r w:rsidRPr="00445B9C">
        <w:rPr>
          <w:rFonts w:eastAsiaTheme="majorEastAsia" w:cs="Arial"/>
          <w:szCs w:val="20"/>
        </w:rPr>
        <w:t xml:space="preserve">mesto trgovanja v zvezi z delnicami, ETF in obveznicami, s katerimi se trguje na mestu trgovanja, ter v zvezi z izvedenimi finančnimi instrumenti OTC iz drugega odstavka 8.a člena Uredbe 600/2014/EU čim bližje realnemu času, kolikor je to tehnično izvedljivo, ne </w:t>
      </w:r>
      <w:r w:rsidR="0025253A">
        <w:rPr>
          <w:rFonts w:eastAsiaTheme="majorEastAsia" w:cs="Arial"/>
          <w:szCs w:val="20"/>
        </w:rPr>
        <w:t>predložijo</w:t>
      </w:r>
      <w:r w:rsidRPr="00445B9C">
        <w:rPr>
          <w:rFonts w:eastAsiaTheme="majorEastAsia" w:cs="Arial"/>
          <w:szCs w:val="20"/>
        </w:rPr>
        <w:t xml:space="preserve"> podatkovnemu centru CTP regulativn</w:t>
      </w:r>
      <w:r w:rsidR="00C21DE5">
        <w:rPr>
          <w:rFonts w:eastAsiaTheme="majorEastAsia" w:cs="Arial"/>
          <w:szCs w:val="20"/>
        </w:rPr>
        <w:t>ih</w:t>
      </w:r>
      <w:r w:rsidRPr="00445B9C">
        <w:rPr>
          <w:rFonts w:eastAsiaTheme="majorEastAsia" w:cs="Arial"/>
          <w:szCs w:val="20"/>
        </w:rPr>
        <w:t xml:space="preserve"> podatk</w:t>
      </w:r>
      <w:r w:rsidR="00C21DE5">
        <w:rPr>
          <w:rFonts w:eastAsiaTheme="majorEastAsia" w:cs="Arial"/>
          <w:szCs w:val="20"/>
        </w:rPr>
        <w:t>ov</w:t>
      </w:r>
      <w:r w:rsidRPr="00445B9C">
        <w:rPr>
          <w:rFonts w:eastAsiaTheme="majorEastAsia" w:cs="Arial"/>
          <w:szCs w:val="20"/>
        </w:rPr>
        <w:t xml:space="preserve"> in podatk</w:t>
      </w:r>
      <w:r w:rsidR="00C21DE5">
        <w:rPr>
          <w:rFonts w:eastAsiaTheme="majorEastAsia" w:cs="Arial"/>
          <w:szCs w:val="20"/>
        </w:rPr>
        <w:t>ov</w:t>
      </w:r>
      <w:r w:rsidRPr="00445B9C">
        <w:rPr>
          <w:rFonts w:eastAsiaTheme="majorEastAsia" w:cs="Arial"/>
          <w:szCs w:val="20"/>
        </w:rPr>
        <w:t>, ki jih določa prvi odstavek 22.a člena Uredbe 600/2014/EU</w:t>
      </w:r>
      <w:r w:rsidR="00C21DE5">
        <w:rPr>
          <w:rFonts w:eastAsiaTheme="majorEastAsia" w:cs="Arial"/>
          <w:szCs w:val="20"/>
        </w:rPr>
        <w:t>,</w:t>
      </w:r>
      <w:r w:rsidRPr="00445B9C">
        <w:rPr>
          <w:rFonts w:eastAsiaTheme="majorEastAsia" w:cs="Arial"/>
          <w:szCs w:val="20"/>
        </w:rPr>
        <w:t xml:space="preserve"> ali teh podatkov ne posreduje v pravilni obliki (prvi odstavek 22.a člena Uredbe 600/2014/EU);</w:t>
      </w:r>
    </w:p>
    <w:p w14:paraId="3977D423" w14:textId="38EFE34A" w:rsidR="00E80C9D" w:rsidRPr="00445B9C" w:rsidRDefault="00E80C9D" w:rsidP="00E80C9D">
      <w:pPr>
        <w:jc w:val="both"/>
        <w:rPr>
          <w:rFonts w:eastAsiaTheme="majorEastAsia" w:cs="Arial"/>
          <w:szCs w:val="20"/>
        </w:rPr>
      </w:pPr>
      <w:r w:rsidRPr="00445B9C">
        <w:rPr>
          <w:rFonts w:eastAsiaTheme="majorEastAsia" w:cs="Arial"/>
          <w:szCs w:val="20"/>
        </w:rPr>
        <w:t>15.</w:t>
      </w:r>
      <w:r w:rsidR="00E4141B" w:rsidRPr="00445B9C">
        <w:rPr>
          <w:rFonts w:eastAsiaTheme="majorEastAsia" w:cs="Arial"/>
          <w:szCs w:val="20"/>
        </w:rPr>
        <w:t xml:space="preserve"> </w:t>
      </w:r>
      <w:r w:rsidRPr="00445B9C">
        <w:rPr>
          <w:rFonts w:eastAsiaTheme="majorEastAsia" w:cs="Arial"/>
          <w:szCs w:val="20"/>
        </w:rPr>
        <w:t>mesto trgovanja prejme plačilo za posredovane podatke iz prvega odstavka 22.a člena Uredbe 600/2014/EU ali protokola za posredovanje iz petega odstavka 22.a člena Uredbe 600/2014/EU, razen prihodkov, prejetih na podlagi petega, šestega in sedmega odstavka 27</w:t>
      </w:r>
      <w:r w:rsidR="00265434" w:rsidRPr="00445B9C">
        <w:rPr>
          <w:rFonts w:eastAsiaTheme="majorEastAsia" w:cs="Arial"/>
          <w:szCs w:val="20"/>
        </w:rPr>
        <w:t>.</w:t>
      </w:r>
      <w:r w:rsidRPr="00445B9C">
        <w:rPr>
          <w:rFonts w:eastAsiaTheme="majorEastAsia" w:cs="Arial"/>
          <w:szCs w:val="20"/>
        </w:rPr>
        <w:t>h člena Uredbe 600/2014/EU (šesti odstavek 22.a člena Uredbe 600/2014/EU);</w:t>
      </w:r>
    </w:p>
    <w:p w14:paraId="45121AFB" w14:textId="25D0DD63" w:rsidR="00E80C9D" w:rsidRPr="00445B9C" w:rsidRDefault="00E80C9D" w:rsidP="00E80C9D">
      <w:pPr>
        <w:jc w:val="both"/>
        <w:rPr>
          <w:rFonts w:eastAsiaTheme="majorEastAsia" w:cs="Arial"/>
          <w:szCs w:val="20"/>
        </w:rPr>
      </w:pPr>
      <w:r w:rsidRPr="00445B9C">
        <w:rPr>
          <w:rFonts w:eastAsiaTheme="majorEastAsia" w:cs="Arial"/>
          <w:szCs w:val="20"/>
        </w:rPr>
        <w:t>16.</w:t>
      </w:r>
      <w:r w:rsidR="00E4141B" w:rsidRPr="00445B9C">
        <w:rPr>
          <w:rFonts w:eastAsiaTheme="majorEastAsia" w:cs="Arial"/>
          <w:szCs w:val="20"/>
        </w:rPr>
        <w:t xml:space="preserve"> </w:t>
      </w:r>
      <w:r w:rsidRPr="00445B9C">
        <w:rPr>
          <w:rFonts w:eastAsiaTheme="majorEastAsia" w:cs="Arial"/>
          <w:szCs w:val="20"/>
        </w:rPr>
        <w:t>mesto trgovanja za podatke, ki se posredujejo CTP, po potrebi ne uporabi odlog</w:t>
      </w:r>
      <w:r w:rsidR="008E16C2">
        <w:rPr>
          <w:rFonts w:eastAsiaTheme="majorEastAsia" w:cs="Arial"/>
          <w:szCs w:val="20"/>
        </w:rPr>
        <w:t>ov</w:t>
      </w:r>
      <w:r w:rsidRPr="00445B9C">
        <w:rPr>
          <w:rFonts w:eastAsiaTheme="majorEastAsia" w:cs="Arial"/>
          <w:szCs w:val="20"/>
        </w:rPr>
        <w:t xml:space="preserve"> iz 7., 11. in 11.a člena ter drugega odstavka 20. in četrtega odstavka 21. člena Uredbe 600/2014/EU (sedmi odstavek 22.a člena Uredbe 600/2014/EU);</w:t>
      </w:r>
    </w:p>
    <w:p w14:paraId="62A1E7F9" w14:textId="124C0389" w:rsidR="00E80C9D" w:rsidRPr="00445B9C" w:rsidRDefault="00E80C9D" w:rsidP="00E80C9D">
      <w:pPr>
        <w:jc w:val="both"/>
        <w:rPr>
          <w:rFonts w:eastAsiaTheme="majorEastAsia" w:cs="Arial"/>
          <w:szCs w:val="20"/>
        </w:rPr>
      </w:pPr>
      <w:r w:rsidRPr="00445B9C">
        <w:rPr>
          <w:rFonts w:eastAsiaTheme="majorEastAsia" w:cs="Arial"/>
          <w:szCs w:val="20"/>
        </w:rPr>
        <w:t>17.</w:t>
      </w:r>
      <w:r w:rsidR="00E4141B" w:rsidRPr="00445B9C">
        <w:rPr>
          <w:rFonts w:eastAsiaTheme="majorEastAsia" w:cs="Arial"/>
          <w:szCs w:val="20"/>
        </w:rPr>
        <w:t xml:space="preserve"> </w:t>
      </w:r>
      <w:r w:rsidRPr="00445B9C">
        <w:rPr>
          <w:rFonts w:eastAsiaTheme="majorEastAsia" w:cs="Arial"/>
          <w:szCs w:val="20"/>
        </w:rPr>
        <w:t>mesto trgovanja podatkov iz prvega odstavka 22.a člena Uredbe 600/2014/EU ne posreduje CTP v skladu z zahtevami iz prvega odstavka 22.b člena Uredbe 600/2014/EU;</w:t>
      </w:r>
    </w:p>
    <w:p w14:paraId="784D1EA9" w14:textId="6AA4EDD9" w:rsidR="00E80C9D" w:rsidRPr="00445B9C" w:rsidRDefault="00E80C9D" w:rsidP="00E80C9D">
      <w:pPr>
        <w:jc w:val="both"/>
        <w:rPr>
          <w:rFonts w:eastAsiaTheme="majorEastAsia" w:cs="Arial"/>
          <w:szCs w:val="20"/>
        </w:rPr>
      </w:pPr>
      <w:r w:rsidRPr="00445B9C">
        <w:rPr>
          <w:rFonts w:eastAsiaTheme="majorEastAsia" w:cs="Arial"/>
          <w:szCs w:val="20"/>
        </w:rPr>
        <w:t>18.</w:t>
      </w:r>
      <w:r w:rsidR="00E4141B" w:rsidRPr="00445B9C">
        <w:rPr>
          <w:rFonts w:eastAsiaTheme="majorEastAsia" w:cs="Arial"/>
          <w:szCs w:val="20"/>
        </w:rPr>
        <w:t xml:space="preserve"> </w:t>
      </w:r>
      <w:r w:rsidRPr="00445B9C">
        <w:rPr>
          <w:rFonts w:eastAsiaTheme="majorEastAsia" w:cs="Arial"/>
          <w:szCs w:val="20"/>
        </w:rPr>
        <w:t>mest</w:t>
      </w:r>
      <w:r w:rsidR="0038797F">
        <w:rPr>
          <w:rFonts w:eastAsiaTheme="majorEastAsia" w:cs="Arial"/>
          <w:szCs w:val="20"/>
        </w:rPr>
        <w:t>a</w:t>
      </w:r>
      <w:r w:rsidRPr="00445B9C">
        <w:rPr>
          <w:rFonts w:eastAsiaTheme="majorEastAsia" w:cs="Arial"/>
          <w:szCs w:val="20"/>
        </w:rPr>
        <w:t xml:space="preserve"> trgovanja vključno s svojimi člani, udeleženci ali uporabniki, ne uskladijo poslovne ure, s katerimi beležijo datum in čas vseh dogodkov, o katerih se poroča (prvi odstavek 22.c člena Uredbe 600/2014/EU);</w:t>
      </w:r>
    </w:p>
    <w:p w14:paraId="419E261E" w14:textId="5F999BCD" w:rsidR="00E80C9D" w:rsidRPr="00445B9C" w:rsidRDefault="00E80C9D" w:rsidP="00E80C9D">
      <w:pPr>
        <w:jc w:val="both"/>
        <w:rPr>
          <w:rFonts w:eastAsiaTheme="majorEastAsia" w:cs="Arial"/>
          <w:szCs w:val="20"/>
        </w:rPr>
      </w:pPr>
      <w:r w:rsidRPr="00445B9C">
        <w:rPr>
          <w:rFonts w:eastAsiaTheme="majorEastAsia" w:cs="Arial"/>
          <w:szCs w:val="20"/>
        </w:rPr>
        <w:t>19.</w:t>
      </w:r>
      <w:r w:rsidR="00E4141B" w:rsidRPr="00445B9C">
        <w:rPr>
          <w:rFonts w:eastAsiaTheme="majorEastAsia" w:cs="Arial"/>
          <w:szCs w:val="20"/>
        </w:rPr>
        <w:t xml:space="preserve"> </w:t>
      </w:r>
      <w:r w:rsidRPr="00445B9C">
        <w:rPr>
          <w:rFonts w:eastAsiaTheme="majorEastAsia" w:cs="Arial"/>
          <w:szCs w:val="20"/>
        </w:rPr>
        <w:t>ne vodi evidenc ali agenciji ne daje na voljo podatkov v skladu z drugim odstavkom 25. člena Uredbe 600/2014/EU;</w:t>
      </w:r>
    </w:p>
    <w:p w14:paraId="6B2915F4" w14:textId="5DB25A4F" w:rsidR="00E80C9D" w:rsidRPr="00445B9C" w:rsidRDefault="00E80C9D" w:rsidP="00E80C9D">
      <w:pPr>
        <w:jc w:val="both"/>
        <w:rPr>
          <w:rFonts w:eastAsiaTheme="majorEastAsia" w:cs="Arial"/>
          <w:szCs w:val="20"/>
        </w:rPr>
      </w:pPr>
      <w:r w:rsidRPr="00445B9C">
        <w:rPr>
          <w:rFonts w:eastAsiaTheme="majorEastAsia" w:cs="Arial"/>
          <w:szCs w:val="20"/>
        </w:rPr>
        <w:t>20.</w:t>
      </w:r>
      <w:r w:rsidR="00E4141B" w:rsidRPr="00445B9C">
        <w:rPr>
          <w:rFonts w:eastAsiaTheme="majorEastAsia" w:cs="Arial"/>
          <w:szCs w:val="20"/>
        </w:rPr>
        <w:t xml:space="preserve"> </w:t>
      </w:r>
      <w:r w:rsidRPr="00445B9C">
        <w:rPr>
          <w:rFonts w:eastAsiaTheme="majorEastAsia" w:cs="Arial"/>
          <w:szCs w:val="20"/>
        </w:rPr>
        <w:t>o podrobnostih poslov s finančnimi instrumenti, s katerimi se trguje v njegovem sistemu, ne poroča v skladu z zahtevami petega odstavka 26. člena Uredbe 600/2014/EU;</w:t>
      </w:r>
    </w:p>
    <w:p w14:paraId="223C0F4E" w14:textId="1F62F5A2" w:rsidR="00E80C9D" w:rsidRPr="00445B9C" w:rsidRDefault="00E80C9D" w:rsidP="00E80C9D">
      <w:pPr>
        <w:jc w:val="both"/>
        <w:rPr>
          <w:rFonts w:eastAsiaTheme="majorEastAsia" w:cs="Arial"/>
          <w:szCs w:val="20"/>
        </w:rPr>
      </w:pPr>
      <w:r w:rsidRPr="00445B9C">
        <w:rPr>
          <w:rFonts w:eastAsiaTheme="majorEastAsia" w:cs="Arial"/>
          <w:szCs w:val="20"/>
        </w:rPr>
        <w:t>21.</w:t>
      </w:r>
      <w:r w:rsidR="00E4141B" w:rsidRPr="00445B9C">
        <w:rPr>
          <w:rFonts w:eastAsiaTheme="majorEastAsia" w:cs="Arial"/>
          <w:szCs w:val="20"/>
        </w:rPr>
        <w:t xml:space="preserve"> </w:t>
      </w:r>
      <w:r w:rsidRPr="00445B9C">
        <w:rPr>
          <w:rFonts w:eastAsiaTheme="majorEastAsia" w:cs="Arial"/>
          <w:szCs w:val="20"/>
        </w:rPr>
        <w:t>poroča v imenu investicijskega podjetja in ne predloži poročila v skladu s prvim, tretjim, sedmim in devetim odstavkom 26. člena Uredbe 600/2014/EU (sedmi odstavek 26. člena Uredbe 600/2014/EU);</w:t>
      </w:r>
    </w:p>
    <w:p w14:paraId="7523D8E8" w14:textId="0887A54C" w:rsidR="00E80C9D" w:rsidRPr="00445B9C" w:rsidRDefault="00E80C9D" w:rsidP="00E80C9D">
      <w:pPr>
        <w:jc w:val="both"/>
        <w:rPr>
          <w:rFonts w:eastAsiaTheme="majorEastAsia" w:cs="Arial"/>
          <w:szCs w:val="20"/>
        </w:rPr>
      </w:pPr>
      <w:r w:rsidRPr="00445B9C">
        <w:rPr>
          <w:rFonts w:eastAsiaTheme="majorEastAsia" w:cs="Arial"/>
          <w:szCs w:val="20"/>
        </w:rPr>
        <w:t>22.</w:t>
      </w:r>
      <w:r w:rsidR="00E4141B" w:rsidRPr="00445B9C">
        <w:rPr>
          <w:rFonts w:eastAsiaTheme="majorEastAsia" w:cs="Arial"/>
          <w:szCs w:val="20"/>
        </w:rPr>
        <w:t xml:space="preserve"> </w:t>
      </w:r>
      <w:r w:rsidRPr="00445B9C">
        <w:rPr>
          <w:rFonts w:eastAsiaTheme="majorEastAsia" w:cs="Arial"/>
          <w:szCs w:val="20"/>
        </w:rPr>
        <w:t>ne predloži referenčnih podatkov o finančnih instrumentih v skladu s prvim odstavkom 27. člena Uredbe 600/2014/EU;</w:t>
      </w:r>
    </w:p>
    <w:p w14:paraId="7B45379C" w14:textId="20400C20" w:rsidR="00E80C9D" w:rsidRPr="00445B9C" w:rsidRDefault="00E80C9D" w:rsidP="00E80C9D">
      <w:pPr>
        <w:jc w:val="both"/>
        <w:rPr>
          <w:rFonts w:eastAsiaTheme="majorEastAsia" w:cs="Arial"/>
          <w:szCs w:val="20"/>
        </w:rPr>
      </w:pPr>
      <w:r w:rsidRPr="00445B9C">
        <w:rPr>
          <w:rFonts w:eastAsiaTheme="majorEastAsia" w:cs="Arial"/>
          <w:szCs w:val="20"/>
        </w:rPr>
        <w:t>23.</w:t>
      </w:r>
      <w:r w:rsidR="00E4141B" w:rsidRPr="00445B9C">
        <w:rPr>
          <w:rFonts w:eastAsiaTheme="majorEastAsia" w:cs="Arial"/>
          <w:szCs w:val="20"/>
        </w:rPr>
        <w:t xml:space="preserve"> </w:t>
      </w:r>
      <w:r w:rsidRPr="00445B9C">
        <w:rPr>
          <w:rFonts w:eastAsiaTheme="majorEastAsia" w:cs="Arial"/>
          <w:szCs w:val="20"/>
        </w:rPr>
        <w:t>kot upravljavec organiziranega trga ne zagotovi, da CNS opravi kliring vseh poslov z izvedenimi finančnimi instrumenti, sklenjenih na tem organiziranem trgu (prvi odstavek 29. člena Uredbe 600/2014/EU);</w:t>
      </w:r>
    </w:p>
    <w:p w14:paraId="29735B47" w14:textId="3B52819D" w:rsidR="00E80C9D" w:rsidRPr="00445B9C" w:rsidRDefault="00E80C9D" w:rsidP="00E80C9D">
      <w:pPr>
        <w:jc w:val="both"/>
        <w:rPr>
          <w:rFonts w:eastAsiaTheme="majorEastAsia" w:cs="Arial"/>
          <w:szCs w:val="20"/>
        </w:rPr>
      </w:pPr>
      <w:r w:rsidRPr="00445B9C">
        <w:rPr>
          <w:rFonts w:eastAsiaTheme="majorEastAsia" w:cs="Arial"/>
          <w:szCs w:val="20"/>
        </w:rPr>
        <w:t>24.</w:t>
      </w:r>
      <w:r w:rsidR="00E4141B" w:rsidRPr="00445B9C">
        <w:rPr>
          <w:rFonts w:eastAsiaTheme="majorEastAsia" w:cs="Arial"/>
          <w:szCs w:val="20"/>
        </w:rPr>
        <w:t xml:space="preserve"> </w:t>
      </w:r>
      <w:r w:rsidRPr="00445B9C">
        <w:rPr>
          <w:rFonts w:eastAsiaTheme="majorEastAsia" w:cs="Arial"/>
          <w:szCs w:val="20"/>
        </w:rPr>
        <w:t>deluje kot klirinški član v skladu s štirinajstim odstavkom 2. člena Uredbe 648/2012/EU in nima vzpostavljenih učinkovitih sistemov, postopkov in ureditev v skladu z drugim odstavkom 29. člena Uredbe 600/2014/EU;</w:t>
      </w:r>
    </w:p>
    <w:p w14:paraId="49817328" w14:textId="0DAB9816" w:rsidR="00E80C9D" w:rsidRPr="00445B9C" w:rsidRDefault="00E80C9D" w:rsidP="00E80C9D">
      <w:pPr>
        <w:jc w:val="both"/>
        <w:rPr>
          <w:rFonts w:eastAsiaTheme="majorEastAsia" w:cs="Arial"/>
          <w:szCs w:val="20"/>
        </w:rPr>
      </w:pPr>
      <w:r w:rsidRPr="00445B9C">
        <w:rPr>
          <w:rFonts w:eastAsiaTheme="majorEastAsia" w:cs="Arial"/>
          <w:szCs w:val="20"/>
        </w:rPr>
        <w:t>25.</w:t>
      </w:r>
      <w:r w:rsidR="00E4141B" w:rsidRPr="00445B9C">
        <w:rPr>
          <w:rFonts w:eastAsiaTheme="majorEastAsia" w:cs="Arial"/>
          <w:szCs w:val="20"/>
        </w:rPr>
        <w:t xml:space="preserve"> </w:t>
      </w:r>
      <w:r w:rsidRPr="00445B9C">
        <w:rPr>
          <w:rFonts w:eastAsiaTheme="majorEastAsia" w:cs="Arial"/>
          <w:szCs w:val="20"/>
        </w:rPr>
        <w:t>kot ponudnik storitev za zmanjšanje tveganja po trgovanju ne vodi popolne in točne evidence poslov iz prvega odstavka 31. člena Uredbe 648/2012/EU, ki še niso zabeleženi ali sporočeni v skladu z Uredbo 648/2012</w:t>
      </w:r>
      <w:r w:rsidR="00265434" w:rsidRPr="00445B9C">
        <w:rPr>
          <w:rFonts w:eastAsiaTheme="majorEastAsia" w:cs="Arial"/>
          <w:szCs w:val="20"/>
        </w:rPr>
        <w:t>/EU</w:t>
      </w:r>
      <w:r w:rsidR="00C94B97">
        <w:rPr>
          <w:rFonts w:eastAsiaTheme="majorEastAsia" w:cs="Arial"/>
          <w:szCs w:val="20"/>
        </w:rPr>
        <w:t>,</w:t>
      </w:r>
      <w:r w:rsidR="00265434" w:rsidRPr="00445B9C">
        <w:rPr>
          <w:rFonts w:eastAsiaTheme="majorEastAsia" w:cs="Arial"/>
          <w:szCs w:val="20"/>
        </w:rPr>
        <w:t xml:space="preserve"> </w:t>
      </w:r>
      <w:r w:rsidRPr="00445B9C">
        <w:rPr>
          <w:rFonts w:eastAsiaTheme="majorEastAsia" w:cs="Arial"/>
          <w:szCs w:val="20"/>
        </w:rPr>
        <w:t>ali če teh podatkov na zahtevo nemudoma na predloži agenciji ali ESMA (tretji odstavek 31. člena Uredbe 600/2014/EU);</w:t>
      </w:r>
    </w:p>
    <w:p w14:paraId="062BA080" w14:textId="0EBF2380" w:rsidR="00E80C9D" w:rsidRPr="00445B9C" w:rsidRDefault="00E80C9D" w:rsidP="00E80C9D">
      <w:pPr>
        <w:jc w:val="both"/>
        <w:rPr>
          <w:rFonts w:eastAsiaTheme="majorEastAsia" w:cs="Arial"/>
          <w:szCs w:val="20"/>
        </w:rPr>
      </w:pPr>
      <w:r w:rsidRPr="00445B9C">
        <w:rPr>
          <w:rFonts w:eastAsiaTheme="majorEastAsia" w:cs="Arial"/>
          <w:szCs w:val="20"/>
        </w:rPr>
        <w:t>26.</w:t>
      </w:r>
      <w:r w:rsidR="00E4141B" w:rsidRPr="00445B9C">
        <w:rPr>
          <w:rFonts w:eastAsiaTheme="majorEastAsia" w:cs="Arial"/>
          <w:szCs w:val="20"/>
        </w:rPr>
        <w:t xml:space="preserve"> </w:t>
      </w:r>
      <w:r w:rsidRPr="00445B9C">
        <w:rPr>
          <w:rFonts w:eastAsiaTheme="majorEastAsia" w:cs="Arial"/>
          <w:szCs w:val="20"/>
        </w:rPr>
        <w:t>zahteva dostop do CNS in zahteve uradno ne predloži tej CNS in agenciji v skladu z drugim odstavkom 35. člena Uredbe 600/2014/EU;</w:t>
      </w:r>
    </w:p>
    <w:p w14:paraId="52B8EF3E" w14:textId="5A918A52" w:rsidR="00E80C9D" w:rsidRPr="00445B9C" w:rsidRDefault="00E80C9D" w:rsidP="00E80C9D">
      <w:pPr>
        <w:jc w:val="both"/>
        <w:rPr>
          <w:rFonts w:eastAsiaTheme="majorEastAsia" w:cs="Arial"/>
          <w:szCs w:val="20"/>
        </w:rPr>
      </w:pPr>
      <w:r w:rsidRPr="00445B9C">
        <w:rPr>
          <w:rFonts w:eastAsiaTheme="majorEastAsia" w:cs="Arial"/>
          <w:szCs w:val="20"/>
        </w:rPr>
        <w:t>27.</w:t>
      </w:r>
      <w:r w:rsidR="00E4141B" w:rsidRPr="00445B9C">
        <w:rPr>
          <w:rFonts w:eastAsiaTheme="majorEastAsia" w:cs="Arial"/>
          <w:szCs w:val="20"/>
        </w:rPr>
        <w:t xml:space="preserve"> </w:t>
      </w:r>
      <w:r w:rsidRPr="00445B9C">
        <w:rPr>
          <w:rFonts w:eastAsiaTheme="majorEastAsia" w:cs="Arial"/>
          <w:szCs w:val="20"/>
        </w:rPr>
        <w:t>na zahtevo katerekoli CNS, ki ima dovoljenje ali je priznana v skladu z Uredbo 648/2012/EU in želi opraviti kliring poslov s finančnimi instrumenti, sklenjenih na tem mestu trgovanja, ne zagotovi podatkov o trgovanju na nediskriminatoren in pregleden način v skladu s prvim odstavkom 36. člena Uredbe 600/2014/EU;</w:t>
      </w:r>
    </w:p>
    <w:p w14:paraId="1BBF05D3" w14:textId="1A2821E2" w:rsidR="00E80C9D" w:rsidRPr="00445B9C" w:rsidRDefault="00E80C9D" w:rsidP="00E80C9D">
      <w:pPr>
        <w:jc w:val="both"/>
        <w:rPr>
          <w:rFonts w:eastAsiaTheme="majorEastAsia" w:cs="Arial"/>
          <w:szCs w:val="20"/>
        </w:rPr>
      </w:pPr>
      <w:r w:rsidRPr="00445B9C">
        <w:rPr>
          <w:rFonts w:eastAsiaTheme="majorEastAsia" w:cs="Arial"/>
          <w:szCs w:val="20"/>
        </w:rPr>
        <w:t>28.</w:t>
      </w:r>
      <w:r w:rsidR="00E4141B" w:rsidRPr="00445B9C">
        <w:rPr>
          <w:rFonts w:eastAsiaTheme="majorEastAsia" w:cs="Arial"/>
          <w:szCs w:val="20"/>
        </w:rPr>
        <w:t xml:space="preserve"> </w:t>
      </w:r>
      <w:r w:rsidRPr="00445B9C">
        <w:rPr>
          <w:rFonts w:eastAsiaTheme="majorEastAsia" w:cs="Arial"/>
          <w:szCs w:val="20"/>
        </w:rPr>
        <w:t>v zvezi z zavrnitvijo ali odobritvijo zahteve za dostop do CNS ne ravna v skladu s tretjim odstavkom 36. člena Uredbe 600/2014/EU;</w:t>
      </w:r>
    </w:p>
    <w:p w14:paraId="0A4F4380" w14:textId="0D520D17" w:rsidR="00E80C9D" w:rsidRPr="00445B9C" w:rsidRDefault="00E80C9D" w:rsidP="00E80C9D">
      <w:pPr>
        <w:jc w:val="both"/>
        <w:rPr>
          <w:rFonts w:eastAsiaTheme="majorEastAsia" w:cs="Arial"/>
          <w:szCs w:val="20"/>
        </w:rPr>
      </w:pPr>
      <w:r w:rsidRPr="00445B9C">
        <w:rPr>
          <w:rFonts w:eastAsiaTheme="majorEastAsia" w:cs="Arial"/>
          <w:szCs w:val="20"/>
        </w:rPr>
        <w:t>29.</w:t>
      </w:r>
      <w:r w:rsidR="00E4141B" w:rsidRPr="00445B9C">
        <w:rPr>
          <w:rFonts w:eastAsiaTheme="majorEastAsia" w:cs="Arial"/>
          <w:szCs w:val="20"/>
        </w:rPr>
        <w:t xml:space="preserve"> </w:t>
      </w:r>
      <w:r w:rsidRPr="00445B9C">
        <w:rPr>
          <w:rFonts w:eastAsiaTheme="majorEastAsia" w:cs="Arial"/>
          <w:szCs w:val="20"/>
        </w:rPr>
        <w:t>sklene dogovor iz tretjega odstavka 37. člena Uredbe 600/2014/EU.</w:t>
      </w:r>
    </w:p>
    <w:p w14:paraId="520B3CBA" w14:textId="4BDB81DD" w:rsidR="00E80C9D" w:rsidRPr="00445B9C" w:rsidRDefault="00E80C9D" w:rsidP="00E80C9D">
      <w:pPr>
        <w:jc w:val="both"/>
        <w:rPr>
          <w:rFonts w:eastAsiaTheme="majorEastAsia" w:cs="Arial"/>
          <w:szCs w:val="20"/>
        </w:rPr>
      </w:pPr>
    </w:p>
    <w:p w14:paraId="1DDD42CB" w14:textId="03324A45" w:rsidR="00E80C9D" w:rsidRPr="00445B9C" w:rsidRDefault="00E80C9D" w:rsidP="00E80C9D">
      <w:pPr>
        <w:jc w:val="both"/>
        <w:rPr>
          <w:rFonts w:eastAsiaTheme="majorEastAsia" w:cs="Arial"/>
          <w:szCs w:val="20"/>
        </w:rPr>
      </w:pPr>
      <w:r w:rsidRPr="00445B9C">
        <w:rPr>
          <w:rFonts w:eastAsiaTheme="majorEastAsia" w:cs="Arial"/>
          <w:szCs w:val="20"/>
        </w:rPr>
        <w:lastRenderedPageBreak/>
        <w:t xml:space="preserve">(2) Z globo od 25.000 do 250.000 eurov se za prekršek kaznuje banka, kreditna družba ali investicijsko podjetje, ki je sistematični </w:t>
      </w:r>
      <w:proofErr w:type="spellStart"/>
      <w:r w:rsidRPr="00445B9C">
        <w:rPr>
          <w:rFonts w:eastAsiaTheme="majorEastAsia" w:cs="Arial"/>
          <w:szCs w:val="20"/>
        </w:rPr>
        <w:t>internalizator</w:t>
      </w:r>
      <w:proofErr w:type="spellEnd"/>
      <w:r w:rsidRPr="00445B9C">
        <w:rPr>
          <w:rFonts w:eastAsiaTheme="majorEastAsia" w:cs="Arial"/>
          <w:szCs w:val="20"/>
        </w:rPr>
        <w:t xml:space="preserve">, z globo od 80.000 do 500.000 eurov pa banka, kreditna družba ali investicijsko podjetje, ki je sistematični </w:t>
      </w:r>
      <w:proofErr w:type="spellStart"/>
      <w:r w:rsidRPr="00445B9C">
        <w:rPr>
          <w:rFonts w:eastAsiaTheme="majorEastAsia" w:cs="Arial"/>
          <w:szCs w:val="20"/>
        </w:rPr>
        <w:t>internalizator</w:t>
      </w:r>
      <w:proofErr w:type="spellEnd"/>
      <w:r w:rsidRPr="00445B9C">
        <w:rPr>
          <w:rFonts w:eastAsiaTheme="majorEastAsia" w:cs="Arial"/>
          <w:szCs w:val="20"/>
        </w:rPr>
        <w:t>, ki se po ZGD-1 šteje za srednjo ali veliko gospodarsko družbo, če:</w:t>
      </w:r>
    </w:p>
    <w:p w14:paraId="01C3E526" w14:textId="77777777" w:rsidR="001300DD" w:rsidRPr="00445B9C" w:rsidRDefault="001300DD" w:rsidP="00E80C9D">
      <w:pPr>
        <w:jc w:val="both"/>
        <w:rPr>
          <w:rFonts w:eastAsiaTheme="majorEastAsia" w:cs="Arial"/>
          <w:szCs w:val="20"/>
        </w:rPr>
      </w:pPr>
    </w:p>
    <w:p w14:paraId="4C582F8D" w14:textId="5865823E"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 xml:space="preserve">informacije, objavljene v skladu s 3., 4., 6. do 11.a, 14., 20., 21., 27.g in 27.h. členom Uredbe 600/2014/EU, niso na voljo javnosti ob razumnih poslovnih pogojih ali ni zagotovljen nediskriminatoren dostop do njih ali te informacije niso na voljo brezplačno </w:t>
      </w:r>
      <w:r w:rsidR="000F42F6">
        <w:rPr>
          <w:rFonts w:eastAsiaTheme="majorEastAsia" w:cs="Arial"/>
          <w:szCs w:val="20"/>
        </w:rPr>
        <w:t>petnajst</w:t>
      </w:r>
      <w:r w:rsidRPr="00445B9C">
        <w:rPr>
          <w:rFonts w:eastAsiaTheme="majorEastAsia" w:cs="Arial"/>
          <w:szCs w:val="20"/>
        </w:rPr>
        <w:t xml:space="preserve"> minut po njihovi objavi v zahtevani obliki (prvi in drugi odstavek 13. člena Uredbe 600/2014/EU)</w:t>
      </w:r>
      <w:r w:rsidR="00B34242">
        <w:rPr>
          <w:rFonts w:eastAsiaTheme="majorEastAsia" w:cs="Arial"/>
          <w:szCs w:val="20"/>
        </w:rPr>
        <w:t>;</w:t>
      </w:r>
    </w:p>
    <w:p w14:paraId="6E250AD6" w14:textId="61D4F06B"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 xml:space="preserve">ne objavi zavezujoče ponudbe v zvezi s tistimi delnicami, potrdili o lastništvu, ETF, certifikati in drugimi podobnimi finančnimi instrumenti, s katerimi se trguje na mestu trgovanja, za katere je sistematični </w:t>
      </w:r>
      <w:proofErr w:type="spellStart"/>
      <w:r w:rsidRPr="00445B9C">
        <w:rPr>
          <w:rFonts w:eastAsiaTheme="majorEastAsia" w:cs="Arial"/>
          <w:szCs w:val="20"/>
        </w:rPr>
        <w:t>internalizator</w:t>
      </w:r>
      <w:proofErr w:type="spellEnd"/>
      <w:r w:rsidRPr="00445B9C">
        <w:rPr>
          <w:rFonts w:eastAsiaTheme="majorEastAsia" w:cs="Arial"/>
          <w:szCs w:val="20"/>
        </w:rPr>
        <w:t xml:space="preserve"> in za katere obstaja likvidni trg (prvi odstavek 14. člena Uredbe 600/2014/EU);</w:t>
      </w:r>
    </w:p>
    <w:p w14:paraId="1E1DB30C" w14:textId="14778DDD" w:rsidR="00E80C9D" w:rsidRPr="00445B9C" w:rsidRDefault="00E80C9D" w:rsidP="00E80C9D">
      <w:pPr>
        <w:jc w:val="both"/>
        <w:rPr>
          <w:rFonts w:eastAsiaTheme="majorEastAsia" w:cs="Arial"/>
          <w:szCs w:val="20"/>
        </w:rPr>
      </w:pPr>
      <w:r w:rsidRPr="00445B9C">
        <w:rPr>
          <w:rFonts w:eastAsiaTheme="majorEastAsia" w:cs="Arial"/>
          <w:szCs w:val="20"/>
        </w:rPr>
        <w:t>3.</w:t>
      </w:r>
      <w:r w:rsidR="001867CE" w:rsidRPr="00445B9C">
        <w:rPr>
          <w:rFonts w:eastAsiaTheme="majorEastAsia" w:cs="Arial"/>
          <w:szCs w:val="20"/>
        </w:rPr>
        <w:t xml:space="preserve"> </w:t>
      </w:r>
      <w:r w:rsidRPr="00445B9C">
        <w:rPr>
          <w:rFonts w:eastAsiaTheme="majorEastAsia" w:cs="Arial"/>
          <w:szCs w:val="20"/>
        </w:rPr>
        <w:t>za finančne instrumente iz prvega pododstavka prvega odstavka 14. člena Uredbe 600/2014/EU</w:t>
      </w:r>
      <w:r w:rsidR="00611F6F">
        <w:rPr>
          <w:rFonts w:eastAsiaTheme="majorEastAsia" w:cs="Arial"/>
          <w:szCs w:val="20"/>
        </w:rPr>
        <w:t>, za katere</w:t>
      </w:r>
      <w:r w:rsidRPr="00445B9C">
        <w:rPr>
          <w:rFonts w:eastAsiaTheme="majorEastAsia" w:cs="Arial"/>
          <w:szCs w:val="20"/>
        </w:rPr>
        <w:t xml:space="preserve"> likvidni trg ne obstaja</w:t>
      </w:r>
      <w:r w:rsidR="00611F6F">
        <w:rPr>
          <w:rFonts w:eastAsiaTheme="majorEastAsia" w:cs="Arial"/>
          <w:szCs w:val="20"/>
        </w:rPr>
        <w:t>,</w:t>
      </w:r>
      <w:r w:rsidRPr="00445B9C">
        <w:rPr>
          <w:rFonts w:eastAsiaTheme="majorEastAsia" w:cs="Arial"/>
          <w:szCs w:val="20"/>
        </w:rPr>
        <w:t xml:space="preserve"> na zahtevo strank ne razkrije ponudbe (prvi odstavek 14. člena Uredbe 600/2014/EU);</w:t>
      </w:r>
    </w:p>
    <w:p w14:paraId="746A9E36" w14:textId="4926177B" w:rsidR="00E80C9D" w:rsidRPr="00445B9C" w:rsidRDefault="00E80C9D" w:rsidP="00E80C9D">
      <w:pPr>
        <w:jc w:val="both"/>
        <w:rPr>
          <w:rFonts w:eastAsiaTheme="majorEastAsia" w:cs="Arial"/>
          <w:szCs w:val="20"/>
        </w:rPr>
      </w:pPr>
      <w:r w:rsidRPr="00445B9C">
        <w:rPr>
          <w:rFonts w:eastAsiaTheme="majorEastAsia" w:cs="Arial"/>
          <w:szCs w:val="20"/>
        </w:rPr>
        <w:t>4.</w:t>
      </w:r>
      <w:r w:rsidR="001867CE" w:rsidRPr="00445B9C">
        <w:rPr>
          <w:rFonts w:eastAsiaTheme="majorEastAsia" w:cs="Arial"/>
          <w:szCs w:val="20"/>
        </w:rPr>
        <w:t xml:space="preserve"> </w:t>
      </w:r>
      <w:r w:rsidRPr="00445B9C">
        <w:rPr>
          <w:rFonts w:eastAsiaTheme="majorEastAsia" w:cs="Arial"/>
          <w:szCs w:val="20"/>
        </w:rPr>
        <w:t>pri opravljanju poslov z obsegom do praga in vključno s pragom, določenim v regulativnih tehničnih standardih, sprejetih na podlagi b) točke sedmega odstavka 14. člena Uredbe 600/2014/EU</w:t>
      </w:r>
      <w:r w:rsidR="00B34242">
        <w:rPr>
          <w:rFonts w:eastAsiaTheme="majorEastAsia" w:cs="Arial"/>
          <w:szCs w:val="20"/>
        </w:rPr>
        <w:t>,</w:t>
      </w:r>
      <w:r w:rsidRPr="00445B9C">
        <w:rPr>
          <w:rFonts w:eastAsiaTheme="majorEastAsia" w:cs="Arial"/>
          <w:szCs w:val="20"/>
        </w:rPr>
        <w:t xml:space="preserve"> ne ravna v skladu </w:t>
      </w:r>
      <w:r w:rsidR="00611F6F">
        <w:rPr>
          <w:rFonts w:eastAsiaTheme="majorEastAsia" w:cs="Arial"/>
          <w:szCs w:val="20"/>
        </w:rPr>
        <w:t>s</w:t>
      </w:r>
      <w:r w:rsidRPr="00445B9C">
        <w:rPr>
          <w:rFonts w:eastAsiaTheme="majorEastAsia" w:cs="Arial"/>
          <w:szCs w:val="20"/>
        </w:rPr>
        <w:t xml:space="preserve"> 14., 15., 16., ali 17. člen</w:t>
      </w:r>
      <w:r w:rsidR="00611F6F">
        <w:rPr>
          <w:rFonts w:eastAsiaTheme="majorEastAsia" w:cs="Arial"/>
          <w:szCs w:val="20"/>
        </w:rPr>
        <w:t>om</w:t>
      </w:r>
      <w:r w:rsidRPr="00445B9C">
        <w:rPr>
          <w:rFonts w:eastAsiaTheme="majorEastAsia" w:cs="Arial"/>
          <w:szCs w:val="20"/>
        </w:rPr>
        <w:t xml:space="preserve"> Uredbe 600/2014</w:t>
      </w:r>
      <w:r w:rsidR="004D3CE2">
        <w:rPr>
          <w:rFonts w:eastAsiaTheme="majorEastAsia" w:cs="Arial"/>
          <w:szCs w:val="20"/>
        </w:rPr>
        <w:t>/EU</w:t>
      </w:r>
      <w:r w:rsidRPr="00445B9C">
        <w:rPr>
          <w:rFonts w:eastAsiaTheme="majorEastAsia" w:cs="Arial"/>
          <w:szCs w:val="20"/>
        </w:rPr>
        <w:t xml:space="preserve"> (drugi odstavek 14. člena Uredbe 600/2014/EU);</w:t>
      </w:r>
    </w:p>
    <w:p w14:paraId="39446911" w14:textId="75E4D7A8" w:rsidR="00E80C9D" w:rsidRPr="00445B9C" w:rsidRDefault="00E80C9D" w:rsidP="00E80C9D">
      <w:pPr>
        <w:jc w:val="both"/>
        <w:rPr>
          <w:rFonts w:eastAsiaTheme="majorEastAsia" w:cs="Arial"/>
          <w:szCs w:val="20"/>
        </w:rPr>
      </w:pPr>
      <w:r w:rsidRPr="00445B9C">
        <w:rPr>
          <w:rFonts w:eastAsiaTheme="majorEastAsia" w:cs="Arial"/>
          <w:szCs w:val="20"/>
        </w:rPr>
        <w:t>5.</w:t>
      </w:r>
      <w:r w:rsidR="001867CE" w:rsidRPr="00445B9C">
        <w:rPr>
          <w:rFonts w:eastAsiaTheme="majorEastAsia" w:cs="Arial"/>
          <w:szCs w:val="20"/>
        </w:rPr>
        <w:t xml:space="preserve"> </w:t>
      </w:r>
      <w:r w:rsidRPr="00445B9C">
        <w:rPr>
          <w:rFonts w:eastAsiaTheme="majorEastAsia" w:cs="Arial"/>
          <w:szCs w:val="20"/>
        </w:rPr>
        <w:t>najmanjši dovoljeni obseg ponudbe ni enak tistemu, ki je določen z regulativnimi tehničnimi standardi, sprejetimi na podlagi c) točke sedmega odstavka 14. člena Uredbe 600/2014/</w:t>
      </w:r>
      <w:r w:rsidR="004D3CE2">
        <w:rPr>
          <w:rFonts w:eastAsiaTheme="majorEastAsia" w:cs="Arial"/>
          <w:szCs w:val="20"/>
        </w:rPr>
        <w:t>EU</w:t>
      </w:r>
      <w:r w:rsidRPr="00445B9C">
        <w:rPr>
          <w:rFonts w:eastAsiaTheme="majorEastAsia" w:cs="Arial"/>
          <w:szCs w:val="20"/>
        </w:rPr>
        <w:t xml:space="preserve"> (tretji odstavek 14. člena Uredbe 600/2014/EU);</w:t>
      </w:r>
    </w:p>
    <w:p w14:paraId="107F76F0" w14:textId="0ECF9CA8" w:rsidR="00E80C9D" w:rsidRPr="00445B9C" w:rsidRDefault="00E80C9D" w:rsidP="00E80C9D">
      <w:pPr>
        <w:jc w:val="both"/>
        <w:rPr>
          <w:rFonts w:eastAsiaTheme="majorEastAsia" w:cs="Arial"/>
          <w:szCs w:val="20"/>
        </w:rPr>
      </w:pPr>
      <w:r w:rsidRPr="00445B9C">
        <w:rPr>
          <w:rFonts w:eastAsiaTheme="majorEastAsia" w:cs="Arial"/>
          <w:szCs w:val="20"/>
        </w:rPr>
        <w:t>6.</w:t>
      </w:r>
      <w:r w:rsidR="001867CE" w:rsidRPr="00445B9C">
        <w:rPr>
          <w:rFonts w:eastAsiaTheme="majorEastAsia" w:cs="Arial"/>
          <w:szCs w:val="20"/>
        </w:rPr>
        <w:t xml:space="preserve"> </w:t>
      </w:r>
      <w:r w:rsidRPr="00445B9C">
        <w:rPr>
          <w:rFonts w:eastAsiaTheme="majorEastAsia" w:cs="Arial"/>
          <w:szCs w:val="20"/>
        </w:rPr>
        <w:t>za posamezno delnico, potrdilo o lastništvu, ETF, certifikat ali drug podoben finančni instrument, s katerim se trguje na mestu trgovanja, vsaka ponudba ne zajema zavezujoče nakupne in prodajne cene v velikosti do praga in vključno s pragom iz drugega odstavka 14. člena Uredbe 600/2014/EU ali če cena ali cene ne odražajo prevladujočih tržnih pogojev za te finančne instrumente (tretji odstavek 14. člena Uredbe 600/2014/EU);</w:t>
      </w:r>
    </w:p>
    <w:p w14:paraId="05028CCA" w14:textId="06F54210" w:rsidR="00E80C9D" w:rsidRPr="00445B9C" w:rsidRDefault="00E80C9D" w:rsidP="00E80C9D">
      <w:pPr>
        <w:jc w:val="both"/>
        <w:rPr>
          <w:rFonts w:eastAsiaTheme="majorEastAsia" w:cs="Arial"/>
          <w:szCs w:val="20"/>
        </w:rPr>
      </w:pPr>
      <w:r w:rsidRPr="00445B9C">
        <w:rPr>
          <w:rFonts w:eastAsiaTheme="majorEastAsia" w:cs="Arial"/>
          <w:szCs w:val="20"/>
        </w:rPr>
        <w:t>7.</w:t>
      </w:r>
      <w:r w:rsidR="001867CE" w:rsidRPr="00445B9C">
        <w:rPr>
          <w:rFonts w:eastAsiaTheme="majorEastAsia" w:cs="Arial"/>
          <w:szCs w:val="20"/>
        </w:rPr>
        <w:t xml:space="preserve"> </w:t>
      </w:r>
      <w:r w:rsidRPr="00445B9C">
        <w:rPr>
          <w:rFonts w:eastAsiaTheme="majorEastAsia" w:cs="Arial"/>
          <w:szCs w:val="20"/>
        </w:rPr>
        <w:t>redno in stalno ne objavlja svojih ponudb v času običajnih ur trgovanja v skladu s prvim odstavkom 15. člena Uredbe 600/2014/EU;</w:t>
      </w:r>
    </w:p>
    <w:p w14:paraId="4DDFCC51" w14:textId="40CBC073" w:rsidR="00E80C9D" w:rsidRPr="00445B9C" w:rsidRDefault="00E80C9D" w:rsidP="00E80C9D">
      <w:pPr>
        <w:jc w:val="both"/>
        <w:rPr>
          <w:rFonts w:eastAsiaTheme="majorEastAsia" w:cs="Arial"/>
          <w:szCs w:val="20"/>
        </w:rPr>
      </w:pPr>
      <w:r w:rsidRPr="00445B9C">
        <w:rPr>
          <w:rFonts w:eastAsiaTheme="majorEastAsia" w:cs="Arial"/>
          <w:szCs w:val="20"/>
        </w:rPr>
        <w:t>8.</w:t>
      </w:r>
      <w:r w:rsidR="001867CE" w:rsidRPr="00445B9C">
        <w:rPr>
          <w:rFonts w:eastAsiaTheme="majorEastAsia" w:cs="Arial"/>
          <w:szCs w:val="20"/>
        </w:rPr>
        <w:t xml:space="preserve"> </w:t>
      </w:r>
      <w:r w:rsidRPr="00445B9C">
        <w:rPr>
          <w:rFonts w:eastAsiaTheme="majorEastAsia" w:cs="Arial"/>
          <w:szCs w:val="20"/>
        </w:rPr>
        <w:t xml:space="preserve">pri izvrševanju naročil strank ne ravna v skladu s 27. členom Direktive 2014/65/EU ali ne izvršuje naročil strank v zvezi z delnicami, potrdili o lastništvu, ETF, certifikati ali drugimi podobnimi finančnimi instrumenti, za katere </w:t>
      </w:r>
      <w:r w:rsidR="00611F6F">
        <w:rPr>
          <w:rFonts w:eastAsiaTheme="majorEastAsia" w:cs="Arial"/>
          <w:szCs w:val="20"/>
        </w:rPr>
        <w:t>je</w:t>
      </w:r>
      <w:r w:rsidR="00611F6F" w:rsidRPr="00445B9C">
        <w:rPr>
          <w:rFonts w:eastAsiaTheme="majorEastAsia" w:cs="Arial"/>
          <w:szCs w:val="20"/>
        </w:rPr>
        <w:t xml:space="preserve"> </w:t>
      </w:r>
      <w:r w:rsidRPr="00445B9C">
        <w:rPr>
          <w:rFonts w:eastAsiaTheme="majorEastAsia" w:cs="Arial"/>
          <w:szCs w:val="20"/>
        </w:rPr>
        <w:t xml:space="preserve">sistematični </w:t>
      </w:r>
      <w:proofErr w:type="spellStart"/>
      <w:r w:rsidRPr="00445B9C">
        <w:rPr>
          <w:rFonts w:eastAsiaTheme="majorEastAsia" w:cs="Arial"/>
          <w:szCs w:val="20"/>
        </w:rPr>
        <w:t>internalizator</w:t>
      </w:r>
      <w:proofErr w:type="spellEnd"/>
      <w:r w:rsidRPr="00445B9C">
        <w:rPr>
          <w:rFonts w:eastAsiaTheme="majorEastAsia" w:cs="Arial"/>
          <w:szCs w:val="20"/>
        </w:rPr>
        <w:t>, po cenah, ponujenih ob prejetju naročila (drugi odstavek 15. člena Uredbe 600/2014/EU);</w:t>
      </w:r>
    </w:p>
    <w:p w14:paraId="1DAE1C57" w14:textId="4321BAF0" w:rsidR="00E80C9D" w:rsidRPr="00445B9C" w:rsidRDefault="00E80C9D" w:rsidP="00E80C9D">
      <w:pPr>
        <w:jc w:val="both"/>
        <w:rPr>
          <w:rFonts w:eastAsiaTheme="majorEastAsia" w:cs="Arial"/>
          <w:szCs w:val="20"/>
        </w:rPr>
      </w:pPr>
      <w:r w:rsidRPr="00445B9C">
        <w:rPr>
          <w:rFonts w:eastAsiaTheme="majorEastAsia" w:cs="Arial"/>
          <w:szCs w:val="20"/>
        </w:rPr>
        <w:t>9.</w:t>
      </w:r>
      <w:r w:rsidR="001867CE" w:rsidRPr="00445B9C">
        <w:rPr>
          <w:rFonts w:eastAsiaTheme="majorEastAsia" w:cs="Arial"/>
          <w:szCs w:val="20"/>
        </w:rPr>
        <w:t xml:space="preserve"> </w:t>
      </w:r>
      <w:r w:rsidRPr="00445B9C">
        <w:rPr>
          <w:rFonts w:eastAsiaTheme="majorEastAsia" w:cs="Arial"/>
          <w:szCs w:val="20"/>
        </w:rPr>
        <w:t>ponuja v različnih velikostih in prejme naročilo med temi velikostmi, ki se ga odloči izvršiti, in naročila ne izvrši po eni od ponujenih cen v skladu z 28. členom Direktive 2014/65/EU, razen če je v skladu z drugim in tretjim odstavkom 15. člena Uredbe 600/2014/EU dovoljeno drugače (četrti odstavek 15. člena Uredbe 600/2014/EU);</w:t>
      </w:r>
    </w:p>
    <w:p w14:paraId="3B81F213" w14:textId="324C7BC0" w:rsidR="00E80C9D" w:rsidRPr="00445B9C" w:rsidRDefault="00E80C9D" w:rsidP="00E80C9D">
      <w:pPr>
        <w:jc w:val="both"/>
        <w:rPr>
          <w:rFonts w:eastAsiaTheme="majorEastAsia" w:cs="Arial"/>
          <w:szCs w:val="20"/>
        </w:rPr>
      </w:pPr>
      <w:r w:rsidRPr="00445B9C">
        <w:rPr>
          <w:rFonts w:eastAsiaTheme="majorEastAsia" w:cs="Arial"/>
          <w:szCs w:val="20"/>
        </w:rPr>
        <w:t>10.</w:t>
      </w:r>
      <w:r w:rsidR="001867CE" w:rsidRPr="00445B9C">
        <w:rPr>
          <w:rFonts w:eastAsiaTheme="majorEastAsia" w:cs="Arial"/>
          <w:szCs w:val="20"/>
        </w:rPr>
        <w:t xml:space="preserve"> </w:t>
      </w:r>
      <w:r w:rsidRPr="00445B9C">
        <w:rPr>
          <w:rFonts w:eastAsiaTheme="majorEastAsia" w:cs="Arial"/>
          <w:szCs w:val="20"/>
        </w:rPr>
        <w:t>nima jasnih in objektivno nediskriminatornih standardov, ki veljajo za dostop do njegovih ponudb v skladu s prvim odstavkom 17. člena Uredbe 600/2014/EU;</w:t>
      </w:r>
    </w:p>
    <w:p w14:paraId="03308CC9" w14:textId="6C8A7234" w:rsidR="00E80C9D" w:rsidRPr="00445B9C" w:rsidRDefault="00E80C9D" w:rsidP="00E80C9D">
      <w:pPr>
        <w:jc w:val="both"/>
        <w:rPr>
          <w:rFonts w:eastAsiaTheme="majorEastAsia" w:cs="Arial"/>
          <w:szCs w:val="20"/>
        </w:rPr>
      </w:pPr>
      <w:r w:rsidRPr="00445B9C">
        <w:rPr>
          <w:rFonts w:eastAsiaTheme="majorEastAsia" w:cs="Arial"/>
          <w:szCs w:val="20"/>
        </w:rPr>
        <w:t>11.</w:t>
      </w:r>
      <w:r w:rsidR="001867CE" w:rsidRPr="00445B9C">
        <w:rPr>
          <w:rFonts w:eastAsiaTheme="majorEastAsia" w:cs="Arial"/>
          <w:szCs w:val="20"/>
        </w:rPr>
        <w:t xml:space="preserve"> </w:t>
      </w:r>
      <w:r w:rsidRPr="00445B9C">
        <w:rPr>
          <w:rFonts w:eastAsiaTheme="majorEastAsia" w:cs="Arial"/>
          <w:szCs w:val="20"/>
        </w:rPr>
        <w:t xml:space="preserve">za svoj račun ali v imenu strank sklene posle s finančnimi instrumenti iz prvega odstavka 20. člena ali prvega odstavka 21. člena Uredbe 600/2014/EU in ne objavi obsega in cene teh poslov ter časa njihove sklenitve ali če teh informacij ne objavi </w:t>
      </w:r>
      <w:r w:rsidR="00F842E3">
        <w:rPr>
          <w:rFonts w:eastAsiaTheme="majorEastAsia" w:cs="Arial"/>
          <w:szCs w:val="20"/>
        </w:rPr>
        <w:t>v</w:t>
      </w:r>
      <w:r w:rsidR="00F842E3" w:rsidRPr="00445B9C">
        <w:rPr>
          <w:rFonts w:eastAsiaTheme="majorEastAsia" w:cs="Arial"/>
          <w:szCs w:val="20"/>
        </w:rPr>
        <w:t xml:space="preserve"> </w:t>
      </w:r>
      <w:r w:rsidRPr="00445B9C">
        <w:rPr>
          <w:rFonts w:eastAsiaTheme="majorEastAsia" w:cs="Arial"/>
          <w:szCs w:val="20"/>
        </w:rPr>
        <w:t xml:space="preserve">APA ali če </w:t>
      </w:r>
      <w:r w:rsidR="00922547">
        <w:rPr>
          <w:rFonts w:eastAsiaTheme="majorEastAsia" w:cs="Arial"/>
          <w:szCs w:val="20"/>
        </w:rPr>
        <w:t>jih</w:t>
      </w:r>
      <w:r w:rsidRPr="00445B9C">
        <w:rPr>
          <w:rFonts w:eastAsiaTheme="majorEastAsia" w:cs="Arial"/>
          <w:szCs w:val="20"/>
        </w:rPr>
        <w:t xml:space="preserve"> za posamezni posel ne objavi samo enkrat </w:t>
      </w:r>
      <w:r w:rsidR="00F842E3">
        <w:rPr>
          <w:rFonts w:eastAsiaTheme="majorEastAsia" w:cs="Arial"/>
          <w:szCs w:val="20"/>
        </w:rPr>
        <w:t>v</w:t>
      </w:r>
      <w:r w:rsidR="00F842E3" w:rsidRPr="00445B9C">
        <w:rPr>
          <w:rFonts w:eastAsiaTheme="majorEastAsia" w:cs="Arial"/>
          <w:szCs w:val="20"/>
        </w:rPr>
        <w:t xml:space="preserve"> </w:t>
      </w:r>
      <w:r w:rsidRPr="00445B9C">
        <w:rPr>
          <w:rFonts w:eastAsiaTheme="majorEastAsia" w:cs="Arial"/>
          <w:szCs w:val="20"/>
        </w:rPr>
        <w:t>ene</w:t>
      </w:r>
      <w:r w:rsidR="00F842E3">
        <w:rPr>
          <w:rFonts w:eastAsiaTheme="majorEastAsia" w:cs="Arial"/>
          <w:szCs w:val="20"/>
        </w:rPr>
        <w:t>m</w:t>
      </w:r>
      <w:r w:rsidRPr="00445B9C">
        <w:rPr>
          <w:rFonts w:eastAsiaTheme="majorEastAsia" w:cs="Arial"/>
          <w:szCs w:val="20"/>
        </w:rPr>
        <w:t xml:space="preserve"> same</w:t>
      </w:r>
      <w:r w:rsidR="00F842E3">
        <w:rPr>
          <w:rFonts w:eastAsiaTheme="majorEastAsia" w:cs="Arial"/>
          <w:szCs w:val="20"/>
        </w:rPr>
        <w:t>m</w:t>
      </w:r>
      <w:r w:rsidRPr="00445B9C">
        <w:rPr>
          <w:rFonts w:eastAsiaTheme="majorEastAsia" w:cs="Arial"/>
          <w:szCs w:val="20"/>
        </w:rPr>
        <w:t xml:space="preserve"> APA (prvi odstavek in prvi a odstavek 20. člena </w:t>
      </w:r>
      <w:r w:rsidR="00611F6F">
        <w:rPr>
          <w:rFonts w:eastAsiaTheme="majorEastAsia" w:cs="Arial"/>
          <w:szCs w:val="20"/>
        </w:rPr>
        <w:t>ter</w:t>
      </w:r>
      <w:r w:rsidR="00611F6F" w:rsidRPr="00445B9C">
        <w:rPr>
          <w:rFonts w:eastAsiaTheme="majorEastAsia" w:cs="Arial"/>
          <w:szCs w:val="20"/>
        </w:rPr>
        <w:t xml:space="preserve"> </w:t>
      </w:r>
      <w:r w:rsidRPr="00445B9C">
        <w:rPr>
          <w:rFonts w:eastAsiaTheme="majorEastAsia" w:cs="Arial"/>
          <w:szCs w:val="20"/>
        </w:rPr>
        <w:t>prvi odstavek 21. člena Uredbe 600/2014/EU);</w:t>
      </w:r>
    </w:p>
    <w:p w14:paraId="7895B23D" w14:textId="0BB2FDBF" w:rsidR="00E80C9D" w:rsidRPr="00445B9C" w:rsidRDefault="00E80C9D" w:rsidP="00E80C9D">
      <w:pPr>
        <w:jc w:val="both"/>
        <w:rPr>
          <w:rFonts w:eastAsiaTheme="majorEastAsia" w:cs="Arial"/>
          <w:szCs w:val="20"/>
        </w:rPr>
      </w:pPr>
      <w:r w:rsidRPr="00445B9C">
        <w:rPr>
          <w:rFonts w:eastAsiaTheme="majorEastAsia" w:cs="Arial"/>
          <w:szCs w:val="20"/>
        </w:rPr>
        <w:t>12.</w:t>
      </w:r>
      <w:r w:rsidR="001867CE" w:rsidRPr="00445B9C">
        <w:rPr>
          <w:rFonts w:eastAsiaTheme="majorEastAsia" w:cs="Arial"/>
          <w:szCs w:val="20"/>
        </w:rPr>
        <w:t xml:space="preserve"> </w:t>
      </w:r>
      <w:r w:rsidRPr="00445B9C">
        <w:rPr>
          <w:rFonts w:eastAsiaTheme="majorEastAsia" w:cs="Arial"/>
          <w:szCs w:val="20"/>
        </w:rPr>
        <w:t>informacije, objavljene v skladu s prvim odstavkom 20. člena Uredbe 600/2014/EU</w:t>
      </w:r>
      <w:r w:rsidR="00F842E3">
        <w:rPr>
          <w:rFonts w:eastAsiaTheme="majorEastAsia" w:cs="Arial"/>
          <w:szCs w:val="20"/>
        </w:rPr>
        <w:t>,</w:t>
      </w:r>
      <w:r w:rsidRPr="00445B9C">
        <w:rPr>
          <w:rFonts w:eastAsiaTheme="majorEastAsia" w:cs="Arial"/>
          <w:szCs w:val="20"/>
        </w:rPr>
        <w:t xml:space="preserve"> in časovni okviri, v katerih so objavljene, niso skladni z zahtevami, sprejetimi na podlagi 6. člena Uredbe 600/2014/EU, vključno z regulativnimi tehničnimi standardi, sprejetimi v skladu z a) točko drugega odstavka 7. člena Uredbe 600/2014/EU (drugi odstavek 20. člena Uredbe 600/2014/EU);</w:t>
      </w:r>
    </w:p>
    <w:p w14:paraId="21E3C959" w14:textId="20C18C1C" w:rsidR="00E80C9D" w:rsidRPr="00445B9C" w:rsidRDefault="00E80C9D" w:rsidP="00E80C9D">
      <w:pPr>
        <w:jc w:val="both"/>
        <w:rPr>
          <w:rFonts w:eastAsiaTheme="majorEastAsia" w:cs="Arial"/>
          <w:szCs w:val="20"/>
        </w:rPr>
      </w:pPr>
      <w:r w:rsidRPr="00445B9C">
        <w:rPr>
          <w:rFonts w:eastAsiaTheme="majorEastAsia" w:cs="Arial"/>
          <w:szCs w:val="20"/>
        </w:rPr>
        <w:t>13.</w:t>
      </w:r>
      <w:r w:rsidR="001867CE" w:rsidRPr="00445B9C">
        <w:rPr>
          <w:rFonts w:eastAsiaTheme="majorEastAsia" w:cs="Arial"/>
          <w:szCs w:val="20"/>
        </w:rPr>
        <w:t xml:space="preserve"> </w:t>
      </w:r>
      <w:r w:rsidRPr="00445B9C">
        <w:rPr>
          <w:rFonts w:eastAsiaTheme="majorEastAsia" w:cs="Arial"/>
          <w:szCs w:val="20"/>
        </w:rPr>
        <w:t xml:space="preserve">vsakega posameznega posla v zvezi z obveznicami, strukturiranimi finančnimi produkti, emisijskimi kuponi in izvedenimi finančnimi instrumenti javno ne objavi </w:t>
      </w:r>
      <w:r w:rsidR="002D280D">
        <w:rPr>
          <w:rFonts w:eastAsiaTheme="majorEastAsia" w:cs="Arial"/>
          <w:szCs w:val="20"/>
        </w:rPr>
        <w:t>v</w:t>
      </w:r>
      <w:r w:rsidR="002D280D" w:rsidRPr="00445B9C">
        <w:rPr>
          <w:rFonts w:eastAsiaTheme="majorEastAsia" w:cs="Arial"/>
          <w:szCs w:val="20"/>
        </w:rPr>
        <w:t xml:space="preserve"> </w:t>
      </w:r>
      <w:r w:rsidRPr="00445B9C">
        <w:rPr>
          <w:rFonts w:eastAsiaTheme="majorEastAsia" w:cs="Arial"/>
          <w:szCs w:val="20"/>
        </w:rPr>
        <w:t>APA (drugi odstavek 21. člena Uredbe 600/2014/EU);</w:t>
      </w:r>
    </w:p>
    <w:p w14:paraId="3AB01733" w14:textId="6CBD345E" w:rsidR="00E80C9D" w:rsidRPr="00445B9C" w:rsidRDefault="00E80C9D" w:rsidP="00E80C9D">
      <w:pPr>
        <w:jc w:val="both"/>
        <w:rPr>
          <w:rFonts w:eastAsiaTheme="majorEastAsia" w:cs="Arial"/>
          <w:szCs w:val="20"/>
        </w:rPr>
      </w:pPr>
      <w:r w:rsidRPr="00445B9C">
        <w:rPr>
          <w:rFonts w:eastAsiaTheme="majorEastAsia" w:cs="Arial"/>
          <w:szCs w:val="20"/>
        </w:rPr>
        <w:lastRenderedPageBreak/>
        <w:t>14.</w:t>
      </w:r>
      <w:r w:rsidR="001867CE" w:rsidRPr="00445B9C">
        <w:rPr>
          <w:rFonts w:eastAsiaTheme="majorEastAsia" w:cs="Arial"/>
          <w:szCs w:val="20"/>
        </w:rPr>
        <w:t xml:space="preserve"> </w:t>
      </w:r>
      <w:r w:rsidRPr="00445B9C">
        <w:rPr>
          <w:rFonts w:eastAsiaTheme="majorEastAsia" w:cs="Arial"/>
          <w:szCs w:val="20"/>
        </w:rPr>
        <w:t>informacije, objavljene v skladu s prvim odstavkom 21. člena Uredbe 600/2014/EU</w:t>
      </w:r>
      <w:r w:rsidR="00F842E3">
        <w:rPr>
          <w:rFonts w:eastAsiaTheme="majorEastAsia" w:cs="Arial"/>
          <w:szCs w:val="20"/>
        </w:rPr>
        <w:t>,</w:t>
      </w:r>
      <w:r w:rsidRPr="00445B9C">
        <w:rPr>
          <w:rFonts w:eastAsiaTheme="majorEastAsia" w:cs="Arial"/>
          <w:szCs w:val="20"/>
        </w:rPr>
        <w:t xml:space="preserve"> in časovni okviri, v katerih so objavljene, niso skladni z zahtevami, sprejetimi na podlagi 10. člena Uredbe 600/2014/EU, vključno z regulativnimi tehničnimi standardi, sprejetimi v skladu z a) in b) točko četrtega odstavka 11. člena Uredbe 600/2014/EU (tretji odstavek 21. člena Uredbe 600/2014/EU);</w:t>
      </w:r>
    </w:p>
    <w:p w14:paraId="1076DE64" w14:textId="02A27F57" w:rsidR="00E80C9D" w:rsidRPr="00445B9C" w:rsidRDefault="00E80C9D" w:rsidP="00E80C9D">
      <w:pPr>
        <w:jc w:val="both"/>
        <w:rPr>
          <w:rFonts w:eastAsiaTheme="majorEastAsia" w:cs="Arial"/>
          <w:szCs w:val="20"/>
        </w:rPr>
      </w:pPr>
      <w:r w:rsidRPr="00445B9C">
        <w:rPr>
          <w:rFonts w:eastAsiaTheme="majorEastAsia" w:cs="Arial"/>
          <w:szCs w:val="20"/>
        </w:rPr>
        <w:t>15.</w:t>
      </w:r>
      <w:r w:rsidR="001867CE" w:rsidRPr="00445B9C">
        <w:rPr>
          <w:rFonts w:eastAsiaTheme="majorEastAsia" w:cs="Arial"/>
          <w:szCs w:val="20"/>
        </w:rPr>
        <w:t xml:space="preserve"> </w:t>
      </w:r>
      <w:r w:rsidRPr="00445B9C">
        <w:rPr>
          <w:rFonts w:eastAsiaTheme="majorEastAsia" w:cs="Arial"/>
          <w:szCs w:val="20"/>
        </w:rPr>
        <w:t>ne uskladi poslovne ure, s katero beleži datum in čas vseh dogodkov, o katerih se poroča (prvi odstavek 22.c člena Uredbe 600/2014/EU).</w:t>
      </w:r>
    </w:p>
    <w:p w14:paraId="7598794D" w14:textId="77777777" w:rsidR="00E80C9D" w:rsidRPr="00445B9C" w:rsidRDefault="00E80C9D" w:rsidP="00E80C9D">
      <w:pPr>
        <w:jc w:val="both"/>
        <w:rPr>
          <w:rFonts w:eastAsiaTheme="majorEastAsia" w:cs="Arial"/>
          <w:szCs w:val="20"/>
        </w:rPr>
      </w:pPr>
    </w:p>
    <w:p w14:paraId="3B3E5428" w14:textId="31F09532" w:rsidR="00E80C9D" w:rsidRPr="00445B9C" w:rsidRDefault="00E80C9D" w:rsidP="00E80C9D">
      <w:pPr>
        <w:jc w:val="both"/>
        <w:rPr>
          <w:rFonts w:eastAsiaTheme="majorEastAsia" w:cs="Arial"/>
          <w:szCs w:val="20"/>
        </w:rPr>
      </w:pPr>
      <w:r w:rsidRPr="00445B9C">
        <w:rPr>
          <w:rFonts w:eastAsiaTheme="majorEastAsia" w:cs="Arial"/>
          <w:szCs w:val="20"/>
        </w:rPr>
        <w:t>(3) Z globo od 25.000 do 250.000 eurov se za prekršek kaznuje banka, kreditna družba ali investicijsko podjetje, z globo od 80.000 do 500.000 eurov pa banka, kreditna družba ali investicijsko podjetje, ki se po ZGD-1 šteje za srednjo ali veliko gospodarsko družbo, če:</w:t>
      </w:r>
    </w:p>
    <w:p w14:paraId="311E41D2" w14:textId="77777777" w:rsidR="001300DD" w:rsidRPr="00445B9C" w:rsidRDefault="001300DD" w:rsidP="00E80C9D">
      <w:pPr>
        <w:jc w:val="both"/>
        <w:rPr>
          <w:rFonts w:eastAsiaTheme="majorEastAsia" w:cs="Arial"/>
          <w:szCs w:val="20"/>
        </w:rPr>
      </w:pPr>
    </w:p>
    <w:p w14:paraId="612F545A" w14:textId="5127E233"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 xml:space="preserve">ustreza opredelitvi sistematičnega </w:t>
      </w:r>
      <w:proofErr w:type="spellStart"/>
      <w:r w:rsidRPr="00445B9C">
        <w:rPr>
          <w:rFonts w:eastAsiaTheme="majorEastAsia" w:cs="Arial"/>
          <w:szCs w:val="20"/>
        </w:rPr>
        <w:t>internalizatorja</w:t>
      </w:r>
      <w:proofErr w:type="spellEnd"/>
      <w:r w:rsidRPr="00445B9C">
        <w:rPr>
          <w:rFonts w:eastAsiaTheme="majorEastAsia" w:cs="Arial"/>
          <w:szCs w:val="20"/>
        </w:rPr>
        <w:t xml:space="preserve"> in o tem uradno ne obvesti agencije v skladu s prvim odstavkom 15. člena</w:t>
      </w:r>
      <w:r w:rsidR="003D1A16" w:rsidRPr="003D1A16">
        <w:rPr>
          <w:rFonts w:eastAsiaTheme="majorEastAsia" w:cs="Arial"/>
          <w:szCs w:val="20"/>
        </w:rPr>
        <w:t xml:space="preserve"> </w:t>
      </w:r>
      <w:r w:rsidR="003D1A16" w:rsidRPr="00445B9C">
        <w:rPr>
          <w:rFonts w:eastAsiaTheme="majorEastAsia" w:cs="Arial"/>
          <w:szCs w:val="20"/>
        </w:rPr>
        <w:t>Uredbe 600/2014/EU</w:t>
      </w:r>
      <w:r w:rsidRPr="00445B9C">
        <w:rPr>
          <w:rFonts w:eastAsiaTheme="majorEastAsia" w:cs="Arial"/>
          <w:szCs w:val="20"/>
        </w:rPr>
        <w:t>;</w:t>
      </w:r>
    </w:p>
    <w:p w14:paraId="6FC3E805" w14:textId="549FEDFB"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 xml:space="preserve">za svoj račun ali v imenu strank sklene posle s finančnimi instrumenti iz prvega odstavka 20. člena ali prvega odstavka 21. člena Uredbe 600/2014/EU in ne objavi obsega in cene teh poslov ter časa njihove sklenitve ali teh informacij ne objavi </w:t>
      </w:r>
      <w:r w:rsidR="00F842E3">
        <w:rPr>
          <w:rFonts w:eastAsiaTheme="majorEastAsia" w:cs="Arial"/>
          <w:szCs w:val="20"/>
        </w:rPr>
        <w:t>v</w:t>
      </w:r>
      <w:r w:rsidR="00F842E3" w:rsidRPr="00445B9C">
        <w:rPr>
          <w:rFonts w:eastAsiaTheme="majorEastAsia" w:cs="Arial"/>
          <w:szCs w:val="20"/>
        </w:rPr>
        <w:t xml:space="preserve"> </w:t>
      </w:r>
      <w:r w:rsidRPr="00445B9C">
        <w:rPr>
          <w:rFonts w:eastAsiaTheme="majorEastAsia" w:cs="Arial"/>
          <w:szCs w:val="20"/>
        </w:rPr>
        <w:t xml:space="preserve">APA ali </w:t>
      </w:r>
      <w:r w:rsidR="00F842E3">
        <w:rPr>
          <w:rFonts w:eastAsiaTheme="majorEastAsia" w:cs="Arial"/>
          <w:szCs w:val="20"/>
        </w:rPr>
        <w:t>jih</w:t>
      </w:r>
      <w:r w:rsidRPr="00445B9C">
        <w:rPr>
          <w:rFonts w:eastAsiaTheme="majorEastAsia" w:cs="Arial"/>
          <w:szCs w:val="20"/>
        </w:rPr>
        <w:t xml:space="preserve"> za posamezni posel ne objavi samo enkrat </w:t>
      </w:r>
      <w:r w:rsidR="00F842E3">
        <w:rPr>
          <w:rFonts w:eastAsiaTheme="majorEastAsia" w:cs="Arial"/>
          <w:szCs w:val="20"/>
        </w:rPr>
        <w:t>v</w:t>
      </w:r>
      <w:r w:rsidR="00F842E3" w:rsidRPr="00445B9C">
        <w:rPr>
          <w:rFonts w:eastAsiaTheme="majorEastAsia" w:cs="Arial"/>
          <w:szCs w:val="20"/>
        </w:rPr>
        <w:t xml:space="preserve"> </w:t>
      </w:r>
      <w:r w:rsidRPr="00445B9C">
        <w:rPr>
          <w:rFonts w:eastAsiaTheme="majorEastAsia" w:cs="Arial"/>
          <w:szCs w:val="20"/>
        </w:rPr>
        <w:t>ene</w:t>
      </w:r>
      <w:r w:rsidR="00F842E3">
        <w:rPr>
          <w:rFonts w:eastAsiaTheme="majorEastAsia" w:cs="Arial"/>
          <w:szCs w:val="20"/>
        </w:rPr>
        <w:t>m</w:t>
      </w:r>
      <w:r w:rsidRPr="00445B9C">
        <w:rPr>
          <w:rFonts w:eastAsiaTheme="majorEastAsia" w:cs="Arial"/>
          <w:szCs w:val="20"/>
        </w:rPr>
        <w:t xml:space="preserve"> same</w:t>
      </w:r>
      <w:r w:rsidR="00F842E3">
        <w:rPr>
          <w:rFonts w:eastAsiaTheme="majorEastAsia" w:cs="Arial"/>
          <w:szCs w:val="20"/>
        </w:rPr>
        <w:t>m</w:t>
      </w:r>
      <w:r w:rsidRPr="00445B9C">
        <w:rPr>
          <w:rFonts w:eastAsiaTheme="majorEastAsia" w:cs="Arial"/>
          <w:szCs w:val="20"/>
        </w:rPr>
        <w:t xml:space="preserve"> APA (prvi odstavek in prvi a odstavek 20. člena in prvi odstavek 21. člena Uredbe 600/2014/EU);</w:t>
      </w:r>
    </w:p>
    <w:p w14:paraId="49A8F42A" w14:textId="214E0916" w:rsidR="00E80C9D" w:rsidRPr="00445B9C" w:rsidRDefault="00E80C9D" w:rsidP="00E80C9D">
      <w:pPr>
        <w:jc w:val="both"/>
        <w:rPr>
          <w:rFonts w:eastAsiaTheme="majorEastAsia" w:cs="Arial"/>
          <w:szCs w:val="20"/>
        </w:rPr>
      </w:pPr>
      <w:r w:rsidRPr="00445B9C">
        <w:rPr>
          <w:rFonts w:eastAsiaTheme="majorEastAsia" w:cs="Arial"/>
          <w:szCs w:val="20"/>
        </w:rPr>
        <w:t>3.</w:t>
      </w:r>
      <w:r w:rsidR="001867CE" w:rsidRPr="00445B9C">
        <w:rPr>
          <w:rFonts w:eastAsiaTheme="majorEastAsia" w:cs="Arial"/>
          <w:szCs w:val="20"/>
        </w:rPr>
        <w:t xml:space="preserve"> </w:t>
      </w:r>
      <w:r w:rsidRPr="00445B9C">
        <w:rPr>
          <w:rFonts w:eastAsiaTheme="majorEastAsia" w:cs="Arial"/>
          <w:szCs w:val="20"/>
        </w:rPr>
        <w:t>informacije, objavljene v skladu s prvim odstavkom 20. člena Uredbe 600/2014/EU</w:t>
      </w:r>
      <w:r w:rsidR="00F842E3">
        <w:rPr>
          <w:rFonts w:eastAsiaTheme="majorEastAsia" w:cs="Arial"/>
          <w:szCs w:val="20"/>
        </w:rPr>
        <w:t>,</w:t>
      </w:r>
      <w:r w:rsidRPr="00445B9C">
        <w:rPr>
          <w:rFonts w:eastAsiaTheme="majorEastAsia" w:cs="Arial"/>
          <w:szCs w:val="20"/>
        </w:rPr>
        <w:t xml:space="preserve"> in časovni okviri, v katerih so objavljene, niso skladni z zahtevami, sprejetimi na podlagi 6. člena Uredbe 600/2014/EU, vključno z regulativnimi tehničnimi standardi, sprejetimi v skladu z a) točko drugega odstavka 7. člena Uredbe 600/2014/EU (drugi odstavek 20. člena Uredbe 600/2014/EU);</w:t>
      </w:r>
    </w:p>
    <w:p w14:paraId="71ABBBE8" w14:textId="56B403B7" w:rsidR="00E80C9D" w:rsidRPr="00445B9C" w:rsidRDefault="00E80C9D" w:rsidP="00E80C9D">
      <w:pPr>
        <w:jc w:val="both"/>
        <w:rPr>
          <w:rFonts w:eastAsiaTheme="majorEastAsia" w:cs="Arial"/>
          <w:szCs w:val="20"/>
        </w:rPr>
      </w:pPr>
      <w:r w:rsidRPr="00445B9C">
        <w:rPr>
          <w:rFonts w:eastAsiaTheme="majorEastAsia" w:cs="Arial"/>
          <w:szCs w:val="20"/>
        </w:rPr>
        <w:t>4.</w:t>
      </w:r>
      <w:r w:rsidR="001867CE" w:rsidRPr="00445B9C">
        <w:rPr>
          <w:rFonts w:eastAsiaTheme="majorEastAsia" w:cs="Arial"/>
          <w:szCs w:val="20"/>
        </w:rPr>
        <w:t xml:space="preserve"> </w:t>
      </w:r>
      <w:r w:rsidRPr="00445B9C">
        <w:rPr>
          <w:rFonts w:eastAsiaTheme="majorEastAsia" w:cs="Arial"/>
          <w:szCs w:val="20"/>
        </w:rPr>
        <w:t xml:space="preserve">vsakega posameznega posla v zvezi z obveznicami, strukturiranimi finančnimi produkti, emisijskimi kuponi in izvedenimi finančnimi instrumenti javno ne objavi </w:t>
      </w:r>
      <w:r w:rsidR="002D280D">
        <w:rPr>
          <w:rFonts w:eastAsiaTheme="majorEastAsia" w:cs="Arial"/>
          <w:szCs w:val="20"/>
        </w:rPr>
        <w:t>v</w:t>
      </w:r>
      <w:r w:rsidR="002D280D" w:rsidRPr="00445B9C">
        <w:rPr>
          <w:rFonts w:eastAsiaTheme="majorEastAsia" w:cs="Arial"/>
          <w:szCs w:val="20"/>
        </w:rPr>
        <w:t xml:space="preserve"> </w:t>
      </w:r>
      <w:r w:rsidRPr="00445B9C">
        <w:rPr>
          <w:rFonts w:eastAsiaTheme="majorEastAsia" w:cs="Arial"/>
          <w:szCs w:val="20"/>
        </w:rPr>
        <w:t>APA (drugi odstavek 21. člena Uredbe 600/2014/EU);</w:t>
      </w:r>
    </w:p>
    <w:p w14:paraId="6454AC83" w14:textId="2F681EB6" w:rsidR="00E80C9D" w:rsidRPr="00445B9C" w:rsidRDefault="00E80C9D" w:rsidP="00E80C9D">
      <w:pPr>
        <w:jc w:val="both"/>
        <w:rPr>
          <w:rFonts w:eastAsiaTheme="majorEastAsia" w:cs="Arial"/>
          <w:szCs w:val="20"/>
        </w:rPr>
      </w:pPr>
      <w:r w:rsidRPr="00445B9C">
        <w:rPr>
          <w:rFonts w:eastAsiaTheme="majorEastAsia" w:cs="Arial"/>
          <w:szCs w:val="20"/>
        </w:rPr>
        <w:t>5.</w:t>
      </w:r>
      <w:r w:rsidR="001867CE" w:rsidRPr="00445B9C">
        <w:rPr>
          <w:rFonts w:eastAsiaTheme="majorEastAsia" w:cs="Arial"/>
          <w:szCs w:val="20"/>
        </w:rPr>
        <w:t xml:space="preserve"> </w:t>
      </w:r>
      <w:r w:rsidRPr="00445B9C">
        <w:rPr>
          <w:rFonts w:eastAsiaTheme="majorEastAsia" w:cs="Arial"/>
          <w:szCs w:val="20"/>
        </w:rPr>
        <w:t>informacije, objavljene v skladu s prvim odstavkom 21. člena Uredbe 600/2014/EU</w:t>
      </w:r>
      <w:r w:rsidR="00F842E3">
        <w:rPr>
          <w:rFonts w:eastAsiaTheme="majorEastAsia" w:cs="Arial"/>
          <w:szCs w:val="20"/>
        </w:rPr>
        <w:t>,</w:t>
      </w:r>
      <w:r w:rsidRPr="00445B9C">
        <w:rPr>
          <w:rFonts w:eastAsiaTheme="majorEastAsia" w:cs="Arial"/>
          <w:szCs w:val="20"/>
        </w:rPr>
        <w:t xml:space="preserve"> in časovni okviri, v katerih so objavljene, niso skladni z zahtevami, sprejetimi na podlagi 10. člena Uredbe 600/2014/EU, vključno z regulativnimi tehničnimi standardi, sprejetimi v skladu z a) in b) točko četrtega odstavka 11. člena Uredbe 600/2014/EU (tretji odstavek 21. člena Uredbe 600/2014/EU);</w:t>
      </w:r>
    </w:p>
    <w:p w14:paraId="1F6B19E6" w14:textId="38F35330" w:rsidR="00E80C9D" w:rsidRPr="00445B9C" w:rsidRDefault="00E80C9D" w:rsidP="00E80C9D">
      <w:pPr>
        <w:jc w:val="both"/>
        <w:rPr>
          <w:rFonts w:eastAsiaTheme="majorEastAsia" w:cs="Arial"/>
          <w:szCs w:val="20"/>
        </w:rPr>
      </w:pPr>
      <w:r w:rsidRPr="00445B9C">
        <w:rPr>
          <w:rFonts w:eastAsiaTheme="majorEastAsia" w:cs="Arial"/>
          <w:szCs w:val="20"/>
        </w:rPr>
        <w:t>6.</w:t>
      </w:r>
      <w:r w:rsidR="001867CE" w:rsidRPr="00445B9C">
        <w:rPr>
          <w:rFonts w:eastAsiaTheme="majorEastAsia" w:cs="Arial"/>
          <w:szCs w:val="20"/>
        </w:rPr>
        <w:t xml:space="preserve"> </w:t>
      </w:r>
      <w:r w:rsidRPr="00445B9C">
        <w:rPr>
          <w:rFonts w:eastAsiaTheme="majorEastAsia" w:cs="Arial"/>
          <w:szCs w:val="20"/>
        </w:rPr>
        <w:t>z delnicami, uvrščenimi v trgovanje na organiziranem trgu ali s katerimi se trguje na mestu trgovanja, trguje v nasprotju s prvim odstavkom 23. člena Uredbe 600/2014/EU;</w:t>
      </w:r>
    </w:p>
    <w:p w14:paraId="6ACD4D24" w14:textId="0E74DE2C" w:rsidR="00E80C9D" w:rsidRPr="00445B9C" w:rsidRDefault="00E80C9D" w:rsidP="00E80C9D">
      <w:pPr>
        <w:jc w:val="both"/>
        <w:rPr>
          <w:rFonts w:eastAsiaTheme="majorEastAsia" w:cs="Arial"/>
          <w:szCs w:val="20"/>
        </w:rPr>
      </w:pPr>
      <w:r w:rsidRPr="00445B9C">
        <w:rPr>
          <w:rFonts w:eastAsiaTheme="majorEastAsia" w:cs="Arial"/>
          <w:szCs w:val="20"/>
        </w:rPr>
        <w:t>7.</w:t>
      </w:r>
      <w:r w:rsidR="001867CE" w:rsidRPr="00445B9C">
        <w:rPr>
          <w:rFonts w:eastAsiaTheme="majorEastAsia" w:cs="Arial"/>
          <w:szCs w:val="20"/>
        </w:rPr>
        <w:t xml:space="preserve"> </w:t>
      </w:r>
      <w:r w:rsidRPr="00445B9C">
        <w:rPr>
          <w:rFonts w:eastAsiaTheme="majorEastAsia" w:cs="Arial"/>
          <w:szCs w:val="20"/>
        </w:rPr>
        <w:t>upravlja notranji sistem združevanja, ki izvršuje naročila strank v zvezi z delnicami, potrdili o lastništvu, ETF, certifikati in drugimi podobnimi finančnimi instrumenti na večstranski osnovi, in ne pridobi dovoljenja kot MTF v skladu z Direktivo 2014/65/EU ali ne izpolnjuje vseh ustreznih določb v zvezi s takšnim dovoljenjem (drugi odstavek 23. člena Uredbe 600/2014/EU)</w:t>
      </w:r>
      <w:r w:rsidR="002D280D">
        <w:rPr>
          <w:rFonts w:eastAsiaTheme="majorEastAsia" w:cs="Arial"/>
          <w:szCs w:val="20"/>
        </w:rPr>
        <w:t>;</w:t>
      </w:r>
    </w:p>
    <w:p w14:paraId="61154DF2" w14:textId="347A625E" w:rsidR="00E80C9D" w:rsidRPr="00445B9C" w:rsidRDefault="00E80C9D" w:rsidP="00E80C9D">
      <w:pPr>
        <w:jc w:val="both"/>
        <w:rPr>
          <w:rFonts w:eastAsiaTheme="majorEastAsia" w:cs="Arial"/>
          <w:szCs w:val="20"/>
        </w:rPr>
      </w:pPr>
      <w:r w:rsidRPr="00445B9C">
        <w:rPr>
          <w:rFonts w:eastAsiaTheme="majorEastAsia" w:cs="Arial"/>
          <w:szCs w:val="20"/>
        </w:rPr>
        <w:t>8.</w:t>
      </w:r>
      <w:r w:rsidR="001867CE" w:rsidRPr="00445B9C">
        <w:rPr>
          <w:rFonts w:eastAsiaTheme="majorEastAsia" w:cs="Arial"/>
          <w:szCs w:val="20"/>
        </w:rPr>
        <w:t xml:space="preserve"> </w:t>
      </w:r>
      <w:r w:rsidRPr="00445B9C">
        <w:rPr>
          <w:rFonts w:eastAsiaTheme="majorEastAsia" w:cs="Arial"/>
          <w:szCs w:val="20"/>
        </w:rPr>
        <w:t>ne vodi evidenc ali agenciji ne daje na voljo podatkov v skladu s prvim odstavkom 25. člena Uredbe 600/2014/EU;</w:t>
      </w:r>
    </w:p>
    <w:p w14:paraId="095C1E1A" w14:textId="13EF7254" w:rsidR="00E80C9D" w:rsidRPr="00445B9C" w:rsidRDefault="00E80C9D" w:rsidP="00E80C9D">
      <w:pPr>
        <w:jc w:val="both"/>
        <w:rPr>
          <w:rFonts w:eastAsiaTheme="majorEastAsia" w:cs="Arial"/>
          <w:szCs w:val="20"/>
        </w:rPr>
      </w:pPr>
      <w:r w:rsidRPr="00445B9C">
        <w:rPr>
          <w:rFonts w:eastAsiaTheme="majorEastAsia" w:cs="Arial"/>
          <w:szCs w:val="20"/>
        </w:rPr>
        <w:t>9.</w:t>
      </w:r>
      <w:r w:rsidR="001867CE" w:rsidRPr="00445B9C">
        <w:rPr>
          <w:rFonts w:eastAsiaTheme="majorEastAsia" w:cs="Arial"/>
          <w:szCs w:val="20"/>
        </w:rPr>
        <w:t xml:space="preserve"> </w:t>
      </w:r>
      <w:r w:rsidRPr="00445B9C">
        <w:rPr>
          <w:rFonts w:eastAsiaTheme="majorEastAsia" w:cs="Arial"/>
          <w:szCs w:val="20"/>
        </w:rPr>
        <w:t>izvršuje posle s finančnimi instrumenti iz drugega odstavka 26. člena Uredbe 600/2014/EU in agenciji izčrpno in točno ne poroča o podrobnostih teh poslov čim prej oziroma najpozneje do konca naslednjega delovnega dne (prvi odstavek 26. člena Uredbe 600/2014/EU);</w:t>
      </w:r>
    </w:p>
    <w:p w14:paraId="2DFB6F1D" w14:textId="548509E9" w:rsidR="00E80C9D" w:rsidRPr="00445B9C" w:rsidRDefault="00E80C9D" w:rsidP="00E80C9D">
      <w:pPr>
        <w:jc w:val="both"/>
        <w:rPr>
          <w:rFonts w:eastAsiaTheme="majorEastAsia" w:cs="Arial"/>
          <w:szCs w:val="20"/>
        </w:rPr>
      </w:pPr>
      <w:r w:rsidRPr="00445B9C">
        <w:rPr>
          <w:rFonts w:eastAsiaTheme="majorEastAsia" w:cs="Arial"/>
          <w:szCs w:val="20"/>
        </w:rPr>
        <w:t>10.</w:t>
      </w:r>
      <w:r w:rsidR="001867CE" w:rsidRPr="00445B9C">
        <w:rPr>
          <w:rFonts w:eastAsiaTheme="majorEastAsia" w:cs="Arial"/>
          <w:szCs w:val="20"/>
        </w:rPr>
        <w:t xml:space="preserve"> </w:t>
      </w:r>
      <w:r w:rsidRPr="00445B9C">
        <w:rPr>
          <w:rFonts w:eastAsiaTheme="majorEastAsia" w:cs="Arial"/>
          <w:szCs w:val="20"/>
        </w:rPr>
        <w:t>v poročilih ni vključenih podatkov v skladu s tretjim in četrtim odstavkom 26. člena Uredbe 600/2014/EU;</w:t>
      </w:r>
    </w:p>
    <w:p w14:paraId="21E270B2" w14:textId="4CE4E3B2" w:rsidR="00E80C9D" w:rsidRPr="00445B9C" w:rsidRDefault="00E80C9D" w:rsidP="00E80C9D">
      <w:pPr>
        <w:jc w:val="both"/>
        <w:rPr>
          <w:rFonts w:eastAsiaTheme="majorEastAsia" w:cs="Arial"/>
          <w:szCs w:val="20"/>
        </w:rPr>
      </w:pPr>
      <w:r w:rsidRPr="00445B9C">
        <w:rPr>
          <w:rFonts w:eastAsiaTheme="majorEastAsia" w:cs="Arial"/>
          <w:szCs w:val="20"/>
        </w:rPr>
        <w:t>11.</w:t>
      </w:r>
      <w:r w:rsidR="001867CE" w:rsidRPr="00445B9C">
        <w:rPr>
          <w:rFonts w:eastAsiaTheme="majorEastAsia" w:cs="Arial"/>
          <w:szCs w:val="20"/>
        </w:rPr>
        <w:t xml:space="preserve"> </w:t>
      </w:r>
      <w:r w:rsidRPr="00445B9C">
        <w:rPr>
          <w:rFonts w:eastAsiaTheme="majorEastAsia" w:cs="Arial"/>
          <w:szCs w:val="20"/>
        </w:rPr>
        <w:t>pri poročanju ne uporabi označbe za pravne osebe v skladu s šestim odstavkom 26. člena Uredbe 600/2014/EU;</w:t>
      </w:r>
    </w:p>
    <w:p w14:paraId="070A293F" w14:textId="3299569D" w:rsidR="00E80C9D" w:rsidRPr="00445B9C" w:rsidRDefault="00E80C9D" w:rsidP="00E80C9D">
      <w:pPr>
        <w:jc w:val="both"/>
        <w:rPr>
          <w:rFonts w:eastAsiaTheme="majorEastAsia" w:cs="Arial"/>
          <w:szCs w:val="20"/>
        </w:rPr>
      </w:pPr>
      <w:r w:rsidRPr="00445B9C">
        <w:rPr>
          <w:rFonts w:eastAsiaTheme="majorEastAsia" w:cs="Arial"/>
          <w:szCs w:val="20"/>
        </w:rPr>
        <w:t>12.</w:t>
      </w:r>
      <w:r w:rsidR="001867CE" w:rsidRPr="00445B9C">
        <w:rPr>
          <w:rFonts w:eastAsiaTheme="majorEastAsia" w:cs="Arial"/>
          <w:szCs w:val="20"/>
        </w:rPr>
        <w:t xml:space="preserve"> </w:t>
      </w:r>
      <w:r w:rsidRPr="00445B9C">
        <w:rPr>
          <w:rFonts w:eastAsiaTheme="majorEastAsia" w:cs="Arial"/>
          <w:szCs w:val="20"/>
        </w:rPr>
        <w:t xml:space="preserve">agenciji ne predloži poročila o poslih v skladu s prvim, tretjim in devetim odstavkom 26. člena Uredbe 600/2014/EU, razen če to poročilo v njegovem imenu predloži ARM ali mesto trgovanja, </w:t>
      </w:r>
      <w:r w:rsidR="002D280D">
        <w:rPr>
          <w:rFonts w:eastAsiaTheme="majorEastAsia" w:cs="Arial"/>
          <w:szCs w:val="20"/>
        </w:rPr>
        <w:t>v</w:t>
      </w:r>
      <w:r w:rsidR="002D280D" w:rsidRPr="00445B9C">
        <w:rPr>
          <w:rFonts w:eastAsiaTheme="majorEastAsia" w:cs="Arial"/>
          <w:szCs w:val="20"/>
        </w:rPr>
        <w:t xml:space="preserve"> katerega </w:t>
      </w:r>
      <w:r w:rsidRPr="00445B9C">
        <w:rPr>
          <w:rFonts w:eastAsiaTheme="majorEastAsia" w:cs="Arial"/>
          <w:szCs w:val="20"/>
        </w:rPr>
        <w:t>sistem</w:t>
      </w:r>
      <w:r w:rsidR="002D280D">
        <w:rPr>
          <w:rFonts w:eastAsiaTheme="majorEastAsia" w:cs="Arial"/>
          <w:szCs w:val="20"/>
        </w:rPr>
        <w:t>u</w:t>
      </w:r>
      <w:r w:rsidRPr="00445B9C">
        <w:rPr>
          <w:rFonts w:eastAsiaTheme="majorEastAsia" w:cs="Arial"/>
          <w:szCs w:val="20"/>
        </w:rPr>
        <w:t xml:space="preserve"> je bil posel opravljen (sedmi odstavek 26. člena Uredbe 600/2014/EU);</w:t>
      </w:r>
    </w:p>
    <w:p w14:paraId="2BDCFB6D" w14:textId="20E968A2" w:rsidR="00E80C9D" w:rsidRPr="00445B9C" w:rsidRDefault="00E80C9D" w:rsidP="00E80C9D">
      <w:pPr>
        <w:jc w:val="both"/>
        <w:rPr>
          <w:rFonts w:eastAsiaTheme="majorEastAsia" w:cs="Arial"/>
          <w:szCs w:val="20"/>
        </w:rPr>
      </w:pPr>
      <w:r w:rsidRPr="00445B9C">
        <w:rPr>
          <w:rFonts w:eastAsiaTheme="majorEastAsia" w:cs="Arial"/>
          <w:szCs w:val="20"/>
        </w:rPr>
        <w:t>13.</w:t>
      </w:r>
      <w:r w:rsidR="001867CE" w:rsidRPr="00445B9C">
        <w:rPr>
          <w:rFonts w:eastAsiaTheme="majorEastAsia" w:cs="Arial"/>
          <w:szCs w:val="20"/>
        </w:rPr>
        <w:t xml:space="preserve"> </w:t>
      </w:r>
      <w:r w:rsidRPr="00445B9C">
        <w:rPr>
          <w:rFonts w:eastAsiaTheme="majorEastAsia" w:cs="Arial"/>
          <w:szCs w:val="20"/>
        </w:rPr>
        <w:t>deluje kot klirinški član v skladu s štirinajstim odstavkom 2. člena Uredbe 648/2012/EU in nima vzpostavljenih učinkovitih sistemov, postopkov in ureditev v skladu z drugim odstavkom 29. člena Uredbe 600/2014/EU;</w:t>
      </w:r>
    </w:p>
    <w:p w14:paraId="57A65E83" w14:textId="6A866BCA" w:rsidR="00E80C9D" w:rsidRPr="00445B9C" w:rsidRDefault="00E80C9D" w:rsidP="00E80C9D">
      <w:pPr>
        <w:jc w:val="both"/>
        <w:rPr>
          <w:rFonts w:eastAsiaTheme="majorEastAsia" w:cs="Arial"/>
          <w:szCs w:val="20"/>
        </w:rPr>
      </w:pPr>
      <w:r w:rsidRPr="00445B9C">
        <w:rPr>
          <w:rFonts w:eastAsiaTheme="majorEastAsia" w:cs="Arial"/>
          <w:szCs w:val="20"/>
        </w:rPr>
        <w:lastRenderedPageBreak/>
        <w:t>14.</w:t>
      </w:r>
      <w:r w:rsidR="001867CE" w:rsidRPr="00445B9C">
        <w:rPr>
          <w:rFonts w:eastAsiaTheme="majorEastAsia" w:cs="Arial"/>
          <w:szCs w:val="20"/>
        </w:rPr>
        <w:t xml:space="preserve"> </w:t>
      </w:r>
      <w:r w:rsidRPr="00445B9C">
        <w:rPr>
          <w:rFonts w:eastAsiaTheme="majorEastAsia" w:cs="Arial"/>
          <w:szCs w:val="20"/>
        </w:rPr>
        <w:t>kot ponudnik storitev za zmanjšanje tveganja po trgovanju ne vodi popolne in točne evidence poslov iz prvega odstavka 31. člena Uredbe 648/2012/EU, ki še niso zabeleženi ali sporočeni v skladu z Uredbo (EU) št. 648/2012</w:t>
      </w:r>
      <w:r w:rsidR="002D280D">
        <w:rPr>
          <w:rFonts w:eastAsiaTheme="majorEastAsia" w:cs="Arial"/>
          <w:szCs w:val="20"/>
        </w:rPr>
        <w:t>,</w:t>
      </w:r>
      <w:r w:rsidRPr="00445B9C">
        <w:rPr>
          <w:rFonts w:eastAsiaTheme="majorEastAsia" w:cs="Arial"/>
          <w:szCs w:val="20"/>
        </w:rPr>
        <w:t xml:space="preserve"> ali teh podatkov na zahtevo nemudoma ne predloži agenciji ali ESMA (tretji odstavek 31. člena Uredbe 600/2014/EU);</w:t>
      </w:r>
    </w:p>
    <w:p w14:paraId="2484A03B" w14:textId="071E8B64" w:rsidR="00E80C9D" w:rsidRPr="00445B9C" w:rsidRDefault="00E80C9D" w:rsidP="00E80C9D">
      <w:pPr>
        <w:jc w:val="both"/>
        <w:rPr>
          <w:rFonts w:eastAsiaTheme="majorEastAsia" w:cs="Arial"/>
          <w:szCs w:val="20"/>
        </w:rPr>
      </w:pPr>
      <w:r w:rsidRPr="00445B9C">
        <w:rPr>
          <w:rFonts w:eastAsiaTheme="majorEastAsia" w:cs="Arial"/>
          <w:szCs w:val="20"/>
        </w:rPr>
        <w:t>15.</w:t>
      </w:r>
      <w:r w:rsidR="001867CE" w:rsidRPr="00445B9C">
        <w:rPr>
          <w:rFonts w:eastAsiaTheme="majorEastAsia" w:cs="Arial"/>
          <w:szCs w:val="20"/>
        </w:rPr>
        <w:t xml:space="preserve"> </w:t>
      </w:r>
      <w:r w:rsidRPr="00445B9C">
        <w:rPr>
          <w:rFonts w:eastAsiaTheme="majorEastAsia" w:cs="Arial"/>
          <w:szCs w:val="20"/>
        </w:rPr>
        <w:t xml:space="preserve">prejme pristojbino ali provizijo ali nedenarno korist za izvrševanje naročil strank na določenem mestu ali za </w:t>
      </w:r>
      <w:r w:rsidR="00A007A0">
        <w:rPr>
          <w:rFonts w:eastAsiaTheme="majorEastAsia" w:cs="Arial"/>
          <w:szCs w:val="20"/>
        </w:rPr>
        <w:t>oddajo</w:t>
      </w:r>
      <w:r w:rsidR="00A007A0" w:rsidRPr="00445B9C">
        <w:rPr>
          <w:rFonts w:eastAsiaTheme="majorEastAsia" w:cs="Arial"/>
          <w:szCs w:val="20"/>
        </w:rPr>
        <w:t xml:space="preserve"> </w:t>
      </w:r>
      <w:r w:rsidRPr="00445B9C">
        <w:rPr>
          <w:rFonts w:eastAsiaTheme="majorEastAsia" w:cs="Arial"/>
          <w:szCs w:val="20"/>
        </w:rPr>
        <w:t>naročil teh strank kateri koli tretji osebi za njihovo izvršitev na določenem mestu trgovanja ali drugemu mestu izvrševanja naročil v nasprotju s prvim odstavkom 39. a člena Uredbe 600/2014/EU.</w:t>
      </w:r>
    </w:p>
    <w:p w14:paraId="6394E0E2" w14:textId="77777777" w:rsidR="00E80C9D" w:rsidRPr="00445B9C" w:rsidRDefault="00E80C9D" w:rsidP="00E80C9D">
      <w:pPr>
        <w:jc w:val="both"/>
        <w:rPr>
          <w:rFonts w:eastAsiaTheme="majorEastAsia" w:cs="Arial"/>
          <w:szCs w:val="20"/>
        </w:rPr>
      </w:pPr>
    </w:p>
    <w:p w14:paraId="0F03CCB5" w14:textId="254332FD" w:rsidR="00E80C9D" w:rsidRPr="00445B9C" w:rsidRDefault="00E80C9D" w:rsidP="00E80C9D">
      <w:pPr>
        <w:jc w:val="both"/>
        <w:rPr>
          <w:rFonts w:eastAsiaTheme="majorEastAsia" w:cs="Arial"/>
          <w:szCs w:val="20"/>
        </w:rPr>
      </w:pPr>
      <w:r w:rsidRPr="00445B9C">
        <w:rPr>
          <w:rFonts w:eastAsiaTheme="majorEastAsia" w:cs="Arial"/>
          <w:szCs w:val="20"/>
        </w:rPr>
        <w:t>(4) Z globo od 25.000 do 250.000 eurov se za prekršek kaznuje izvajalec storitev poročanja podatkov, z globo od 80.000 do 500.000 eurov pa izvajalec storitev poročanja podatkov, ki se po ZGD-1 šteje za srednjo ali veliko gospodarsko družbo, če:</w:t>
      </w:r>
    </w:p>
    <w:p w14:paraId="24701729" w14:textId="5AA12CD4" w:rsidR="001300DD" w:rsidRPr="00445B9C" w:rsidRDefault="001300DD" w:rsidP="00E80C9D">
      <w:pPr>
        <w:jc w:val="both"/>
        <w:rPr>
          <w:rFonts w:eastAsiaTheme="majorEastAsia" w:cs="Arial"/>
          <w:szCs w:val="20"/>
        </w:rPr>
      </w:pPr>
    </w:p>
    <w:p w14:paraId="1FD0E3FE" w14:textId="04A2027F"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 xml:space="preserve">kot APA ali CTP ne zagotovi, da so informacije, objavljene v skladu s 3., 4. in 6. do 11.a, 14., 20., 21., 27.g in 27.h členom Uredbe 600/2014/EU, na voljo javnosti ob razumnih poslovnih pogojih ali ni zagotovljen nediskriminatoren dostop do njih ali te informacije niso na voljo brezplačno </w:t>
      </w:r>
      <w:r w:rsidR="000F42F6">
        <w:rPr>
          <w:rFonts w:eastAsiaTheme="majorEastAsia" w:cs="Arial"/>
          <w:szCs w:val="20"/>
        </w:rPr>
        <w:t>petnajst</w:t>
      </w:r>
      <w:r w:rsidRPr="00445B9C">
        <w:rPr>
          <w:rFonts w:eastAsiaTheme="majorEastAsia" w:cs="Arial"/>
          <w:szCs w:val="20"/>
        </w:rPr>
        <w:t xml:space="preserve"> minut po njihovi objavi v zahtevani obliki (prvi in drugi odstavek 13. člena Uredbe 600/2014/EU);</w:t>
      </w:r>
    </w:p>
    <w:p w14:paraId="2BC74F82" w14:textId="01A9F8DC"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kot APA ali CTP ne hrani potrebnih podatkov za obdobje</w:t>
      </w:r>
      <w:r w:rsidR="000F42F6">
        <w:rPr>
          <w:rFonts w:eastAsiaTheme="majorEastAsia" w:cs="Arial"/>
          <w:szCs w:val="20"/>
        </w:rPr>
        <w:t>,</w:t>
      </w:r>
      <w:r w:rsidRPr="00445B9C">
        <w:rPr>
          <w:rFonts w:eastAsiaTheme="majorEastAsia" w:cs="Arial"/>
          <w:szCs w:val="20"/>
        </w:rPr>
        <w:t xml:space="preserve"> določeno z regulativnimi tehničnimi standardi iz tretjega odstavka 22. člena Uredbe 600/2014/EU (drugi odstavek 22. člena Uredbe 600/2014/EU);</w:t>
      </w:r>
    </w:p>
    <w:p w14:paraId="1841E59A" w14:textId="7E46B0CF" w:rsidR="00E80C9D" w:rsidRPr="00445B9C" w:rsidRDefault="00E80C9D" w:rsidP="00E80C9D">
      <w:pPr>
        <w:jc w:val="both"/>
        <w:rPr>
          <w:rFonts w:eastAsiaTheme="majorEastAsia" w:cs="Arial"/>
          <w:szCs w:val="20"/>
        </w:rPr>
      </w:pPr>
      <w:r w:rsidRPr="00445B9C">
        <w:rPr>
          <w:rFonts w:eastAsiaTheme="majorEastAsia" w:cs="Arial"/>
          <w:szCs w:val="20"/>
        </w:rPr>
        <w:t>3.</w:t>
      </w:r>
      <w:r w:rsidR="001867CE" w:rsidRPr="00445B9C">
        <w:rPr>
          <w:rFonts w:eastAsiaTheme="majorEastAsia" w:cs="Arial"/>
          <w:szCs w:val="20"/>
        </w:rPr>
        <w:t xml:space="preserve"> </w:t>
      </w:r>
      <w:r w:rsidRPr="00445B9C">
        <w:rPr>
          <w:rFonts w:eastAsiaTheme="majorEastAsia" w:cs="Arial"/>
          <w:szCs w:val="20"/>
        </w:rPr>
        <w:t xml:space="preserve">kot APA v zvezi z delnicami, ETF in obveznicami, s katerimi se trguje na mestu trgovanja, ter v zvezi z izvedenimi finančnimi instrumenti OTC iz drugega odstavka 8.a člena Uredbe 600/2014/EU čim bližje realnemu času, kolikor je to tehnično izvedljivo, ne </w:t>
      </w:r>
      <w:proofErr w:type="spellStart"/>
      <w:r w:rsidRPr="00445B9C">
        <w:rPr>
          <w:rFonts w:eastAsiaTheme="majorEastAsia" w:cs="Arial"/>
          <w:szCs w:val="20"/>
        </w:rPr>
        <w:t>posredu</w:t>
      </w:r>
      <w:proofErr w:type="spellEnd"/>
      <w:r w:rsidRPr="00445B9C">
        <w:rPr>
          <w:rFonts w:eastAsiaTheme="majorEastAsia" w:cs="Arial"/>
          <w:szCs w:val="20"/>
        </w:rPr>
        <w:t xml:space="preserve"> podatkovnemu centru CTP regulativn</w:t>
      </w:r>
      <w:r w:rsidR="000F42F6">
        <w:rPr>
          <w:rFonts w:eastAsiaTheme="majorEastAsia" w:cs="Arial"/>
          <w:szCs w:val="20"/>
        </w:rPr>
        <w:t>ih</w:t>
      </w:r>
      <w:r w:rsidRPr="00445B9C">
        <w:rPr>
          <w:rFonts w:eastAsiaTheme="majorEastAsia" w:cs="Arial"/>
          <w:szCs w:val="20"/>
        </w:rPr>
        <w:t xml:space="preserve"> podatk</w:t>
      </w:r>
      <w:r w:rsidR="000F42F6">
        <w:rPr>
          <w:rFonts w:eastAsiaTheme="majorEastAsia" w:cs="Arial"/>
          <w:szCs w:val="20"/>
        </w:rPr>
        <w:t>ov</w:t>
      </w:r>
      <w:r w:rsidRPr="00445B9C">
        <w:rPr>
          <w:rFonts w:eastAsiaTheme="majorEastAsia" w:cs="Arial"/>
          <w:szCs w:val="20"/>
        </w:rPr>
        <w:t xml:space="preserve"> in podatk</w:t>
      </w:r>
      <w:r w:rsidR="000F42F6">
        <w:rPr>
          <w:rFonts w:eastAsiaTheme="majorEastAsia" w:cs="Arial"/>
          <w:szCs w:val="20"/>
        </w:rPr>
        <w:t>ov</w:t>
      </w:r>
      <w:r w:rsidRPr="00445B9C">
        <w:rPr>
          <w:rFonts w:eastAsiaTheme="majorEastAsia" w:cs="Arial"/>
          <w:szCs w:val="20"/>
        </w:rPr>
        <w:t>, ki jih določa prvi odstavek 22.a člena Uredbe 600/2014/EU</w:t>
      </w:r>
      <w:r w:rsidR="000F42F6">
        <w:rPr>
          <w:rFonts w:eastAsiaTheme="majorEastAsia" w:cs="Arial"/>
          <w:szCs w:val="20"/>
        </w:rPr>
        <w:t>,</w:t>
      </w:r>
      <w:r w:rsidRPr="00445B9C">
        <w:rPr>
          <w:rFonts w:eastAsiaTheme="majorEastAsia" w:cs="Arial"/>
          <w:szCs w:val="20"/>
        </w:rPr>
        <w:t xml:space="preserve"> ali teh podatkov ne posreduje v pravilni obliki (prvi odstavek 22.a člena Uredbe 600/2014/EU);</w:t>
      </w:r>
    </w:p>
    <w:p w14:paraId="33120157" w14:textId="0FF7844B" w:rsidR="00E80C9D" w:rsidRPr="00445B9C" w:rsidRDefault="00E80C9D" w:rsidP="00E80C9D">
      <w:pPr>
        <w:jc w:val="both"/>
        <w:rPr>
          <w:rFonts w:eastAsiaTheme="majorEastAsia" w:cs="Arial"/>
          <w:szCs w:val="20"/>
        </w:rPr>
      </w:pPr>
      <w:r w:rsidRPr="00445B9C">
        <w:rPr>
          <w:rFonts w:eastAsiaTheme="majorEastAsia" w:cs="Arial"/>
          <w:szCs w:val="20"/>
        </w:rPr>
        <w:t>4.</w:t>
      </w:r>
      <w:r w:rsidR="001867CE" w:rsidRPr="00445B9C">
        <w:rPr>
          <w:rFonts w:eastAsiaTheme="majorEastAsia" w:cs="Arial"/>
          <w:szCs w:val="20"/>
        </w:rPr>
        <w:t xml:space="preserve"> </w:t>
      </w:r>
      <w:r w:rsidRPr="00445B9C">
        <w:rPr>
          <w:rFonts w:eastAsiaTheme="majorEastAsia" w:cs="Arial"/>
          <w:szCs w:val="20"/>
        </w:rPr>
        <w:t>kot CTP ne izbere, kateri protokol za posredovanje se uporablja za neposredno posredovanje podatkov iz prvega odstavka 22.a člena Uredbe 600/2014/EU podatkovnemu centru CTP (peti odstavek 22.a člena Uredbe 600/2014/EU);</w:t>
      </w:r>
    </w:p>
    <w:p w14:paraId="54CA2984" w14:textId="60EB1C17" w:rsidR="00E80C9D" w:rsidRPr="00445B9C" w:rsidRDefault="00E80C9D" w:rsidP="00E80C9D">
      <w:pPr>
        <w:jc w:val="both"/>
        <w:rPr>
          <w:rFonts w:eastAsiaTheme="majorEastAsia" w:cs="Arial"/>
          <w:szCs w:val="20"/>
        </w:rPr>
      </w:pPr>
      <w:r w:rsidRPr="00445B9C">
        <w:rPr>
          <w:rFonts w:eastAsiaTheme="majorEastAsia" w:cs="Arial"/>
          <w:szCs w:val="20"/>
        </w:rPr>
        <w:t>5.</w:t>
      </w:r>
      <w:r w:rsidR="001867CE" w:rsidRPr="00445B9C">
        <w:rPr>
          <w:rFonts w:eastAsiaTheme="majorEastAsia" w:cs="Arial"/>
          <w:szCs w:val="20"/>
        </w:rPr>
        <w:t xml:space="preserve"> </w:t>
      </w:r>
      <w:r w:rsidRPr="00445B9C">
        <w:rPr>
          <w:rFonts w:eastAsiaTheme="majorEastAsia" w:cs="Arial"/>
          <w:szCs w:val="20"/>
        </w:rPr>
        <w:t>kot APA prejme plačilo za posredovane podatke iz prvega odstavka 22.a člena Uredbe 600/2014/EU ali protokola za posredovanje iz petega odstavka 22.a člena Uredbe 600/2014/EU, razen prihodkov, prejetih na podlagi petega, šestega in sedmega odstavka 27.h člena Uredbe 600/2014/EU (šesti odstavek 22.a člena Uredbe 600/2014/EU);</w:t>
      </w:r>
    </w:p>
    <w:p w14:paraId="6AA78EA8" w14:textId="1791839B" w:rsidR="00E80C9D" w:rsidRPr="00445B9C" w:rsidRDefault="00E80C9D" w:rsidP="00E80C9D">
      <w:pPr>
        <w:jc w:val="both"/>
        <w:rPr>
          <w:rFonts w:eastAsiaTheme="majorEastAsia" w:cs="Arial"/>
          <w:szCs w:val="20"/>
        </w:rPr>
      </w:pPr>
      <w:r w:rsidRPr="00445B9C">
        <w:rPr>
          <w:rFonts w:eastAsiaTheme="majorEastAsia" w:cs="Arial"/>
          <w:szCs w:val="20"/>
        </w:rPr>
        <w:t>6.</w:t>
      </w:r>
      <w:r w:rsidR="001867CE" w:rsidRPr="00445B9C">
        <w:rPr>
          <w:rFonts w:eastAsiaTheme="majorEastAsia" w:cs="Arial"/>
          <w:szCs w:val="20"/>
        </w:rPr>
        <w:t xml:space="preserve"> </w:t>
      </w:r>
      <w:r w:rsidRPr="00445B9C">
        <w:rPr>
          <w:rFonts w:eastAsiaTheme="majorEastAsia" w:cs="Arial"/>
          <w:szCs w:val="20"/>
        </w:rPr>
        <w:t xml:space="preserve">kot APA za podatke, ki se </w:t>
      </w:r>
      <w:r w:rsidR="005165A3">
        <w:rPr>
          <w:rFonts w:eastAsiaTheme="majorEastAsia" w:cs="Arial"/>
          <w:szCs w:val="20"/>
        </w:rPr>
        <w:t>predložijo</w:t>
      </w:r>
      <w:r w:rsidR="005165A3" w:rsidRPr="00445B9C">
        <w:rPr>
          <w:rFonts w:eastAsiaTheme="majorEastAsia" w:cs="Arial"/>
          <w:szCs w:val="20"/>
        </w:rPr>
        <w:t xml:space="preserve"> </w:t>
      </w:r>
      <w:r w:rsidRPr="00445B9C">
        <w:rPr>
          <w:rFonts w:eastAsiaTheme="majorEastAsia" w:cs="Arial"/>
          <w:szCs w:val="20"/>
        </w:rPr>
        <w:t>CTP, po potrebi ne uporabi odlog</w:t>
      </w:r>
      <w:r w:rsidR="005165A3">
        <w:rPr>
          <w:rFonts w:eastAsiaTheme="majorEastAsia" w:cs="Arial"/>
          <w:szCs w:val="20"/>
        </w:rPr>
        <w:t>ov</w:t>
      </w:r>
      <w:r w:rsidRPr="00445B9C">
        <w:rPr>
          <w:rFonts w:eastAsiaTheme="majorEastAsia" w:cs="Arial"/>
          <w:szCs w:val="20"/>
        </w:rPr>
        <w:t xml:space="preserve"> iz 7., 11. in 11.a člena ter drugega odstavka 20. in četrtega odstavka 21. člena Uredbe 600/2014/EU (sedmi odstavek 22.a člena Uredbe 600/2014/EU);</w:t>
      </w:r>
    </w:p>
    <w:p w14:paraId="3918BDD7" w14:textId="4DD1D07E" w:rsidR="00E80C9D" w:rsidRPr="00445B9C" w:rsidRDefault="00E80C9D" w:rsidP="00E80C9D">
      <w:pPr>
        <w:jc w:val="both"/>
        <w:rPr>
          <w:rFonts w:eastAsiaTheme="majorEastAsia" w:cs="Arial"/>
          <w:szCs w:val="20"/>
        </w:rPr>
      </w:pPr>
      <w:r w:rsidRPr="00445B9C">
        <w:rPr>
          <w:rFonts w:eastAsiaTheme="majorEastAsia" w:cs="Arial"/>
          <w:szCs w:val="20"/>
        </w:rPr>
        <w:t>7.</w:t>
      </w:r>
      <w:r w:rsidR="001867CE" w:rsidRPr="00445B9C">
        <w:rPr>
          <w:rFonts w:eastAsiaTheme="majorEastAsia" w:cs="Arial"/>
          <w:szCs w:val="20"/>
        </w:rPr>
        <w:t xml:space="preserve"> </w:t>
      </w:r>
      <w:r w:rsidRPr="00445B9C">
        <w:rPr>
          <w:rFonts w:eastAsiaTheme="majorEastAsia" w:cs="Arial"/>
          <w:szCs w:val="20"/>
        </w:rPr>
        <w:t>kot CTP ne obvesti agencije o tem, da kakovost podatkov, ki jih CTP pošilja subjekt, ki prispeva podatke, ni zadostna (osmi odstavek 22.a člena Uredbe 600/2014/EU);</w:t>
      </w:r>
    </w:p>
    <w:p w14:paraId="0537AFC9" w14:textId="0C62B228" w:rsidR="00E80C9D" w:rsidRPr="00445B9C" w:rsidRDefault="00E80C9D" w:rsidP="00E80C9D">
      <w:pPr>
        <w:jc w:val="both"/>
        <w:rPr>
          <w:rFonts w:eastAsiaTheme="majorEastAsia" w:cs="Arial"/>
          <w:szCs w:val="20"/>
        </w:rPr>
      </w:pPr>
      <w:r w:rsidRPr="00445B9C">
        <w:rPr>
          <w:rFonts w:eastAsiaTheme="majorEastAsia" w:cs="Arial"/>
          <w:szCs w:val="20"/>
        </w:rPr>
        <w:t>8.</w:t>
      </w:r>
      <w:r w:rsidR="001867CE" w:rsidRPr="00445B9C">
        <w:rPr>
          <w:rFonts w:eastAsiaTheme="majorEastAsia" w:cs="Arial"/>
          <w:szCs w:val="20"/>
        </w:rPr>
        <w:t xml:space="preserve"> </w:t>
      </w:r>
      <w:r w:rsidRPr="00445B9C">
        <w:rPr>
          <w:rFonts w:eastAsiaTheme="majorEastAsia" w:cs="Arial"/>
          <w:szCs w:val="20"/>
        </w:rPr>
        <w:t xml:space="preserve">kot APA podatkov iz prvega odstavka 22.a člena Uredbe 600/2014/EU ne </w:t>
      </w:r>
      <w:r w:rsidR="005165A3">
        <w:rPr>
          <w:rFonts w:eastAsiaTheme="majorEastAsia" w:cs="Arial"/>
          <w:szCs w:val="20"/>
        </w:rPr>
        <w:t>predloži</w:t>
      </w:r>
      <w:r w:rsidR="005165A3" w:rsidRPr="00445B9C">
        <w:rPr>
          <w:rFonts w:eastAsiaTheme="majorEastAsia" w:cs="Arial"/>
          <w:szCs w:val="20"/>
        </w:rPr>
        <w:t xml:space="preserve"> </w:t>
      </w:r>
      <w:r w:rsidRPr="00445B9C">
        <w:rPr>
          <w:rFonts w:eastAsiaTheme="majorEastAsia" w:cs="Arial"/>
          <w:szCs w:val="20"/>
        </w:rPr>
        <w:t>CTP v skladu z zahtevami iz prvega odstavka 22.b člena Uredbe 600/2014/EU (prvi odstavek 22.b člena Uredbe 600/2014/EU);</w:t>
      </w:r>
    </w:p>
    <w:p w14:paraId="445F5ADB" w14:textId="002ADDA0" w:rsidR="00E80C9D" w:rsidRPr="00445B9C" w:rsidRDefault="00E80C9D" w:rsidP="00E80C9D">
      <w:pPr>
        <w:jc w:val="both"/>
        <w:rPr>
          <w:rFonts w:eastAsiaTheme="majorEastAsia" w:cs="Arial"/>
          <w:szCs w:val="20"/>
        </w:rPr>
      </w:pPr>
      <w:r w:rsidRPr="00445B9C">
        <w:rPr>
          <w:rFonts w:eastAsiaTheme="majorEastAsia" w:cs="Arial"/>
          <w:szCs w:val="20"/>
        </w:rPr>
        <w:t>9.</w:t>
      </w:r>
      <w:r w:rsidR="001867CE" w:rsidRPr="00445B9C">
        <w:rPr>
          <w:rFonts w:eastAsiaTheme="majorEastAsia" w:cs="Arial"/>
          <w:szCs w:val="20"/>
        </w:rPr>
        <w:t xml:space="preserve"> </w:t>
      </w:r>
      <w:r w:rsidRPr="00445B9C">
        <w:rPr>
          <w:rFonts w:eastAsiaTheme="majorEastAsia" w:cs="Arial"/>
          <w:szCs w:val="20"/>
        </w:rPr>
        <w:t xml:space="preserve">kot CTP podatkov iz d) točke prvega odstavka 27.h člena </w:t>
      </w:r>
      <w:r w:rsidR="003D1A16" w:rsidRPr="00445B9C">
        <w:rPr>
          <w:rFonts w:eastAsiaTheme="majorEastAsia" w:cs="Arial"/>
          <w:szCs w:val="20"/>
        </w:rPr>
        <w:t xml:space="preserve">Uredbe 600/2014/EU </w:t>
      </w:r>
      <w:r w:rsidRPr="00445B9C">
        <w:rPr>
          <w:rFonts w:eastAsiaTheme="majorEastAsia" w:cs="Arial"/>
          <w:szCs w:val="20"/>
        </w:rPr>
        <w:t>ne razširja v skladu z zahtevami iz prvega odstavka 22.b člena Uredbe 600/2014/EU (prvi odstavek 22.b člena Uredbe 600/2014/EU);</w:t>
      </w:r>
    </w:p>
    <w:p w14:paraId="192D5D2D" w14:textId="19F9EB40" w:rsidR="00E80C9D" w:rsidRPr="00445B9C" w:rsidRDefault="00E80C9D" w:rsidP="00E80C9D">
      <w:pPr>
        <w:jc w:val="both"/>
        <w:rPr>
          <w:rFonts w:eastAsiaTheme="majorEastAsia" w:cs="Arial"/>
          <w:szCs w:val="20"/>
        </w:rPr>
      </w:pPr>
      <w:r w:rsidRPr="00445B9C">
        <w:rPr>
          <w:rFonts w:eastAsiaTheme="majorEastAsia" w:cs="Arial"/>
          <w:szCs w:val="20"/>
        </w:rPr>
        <w:t>10.</w:t>
      </w:r>
      <w:r w:rsidR="001867CE" w:rsidRPr="00445B9C">
        <w:rPr>
          <w:rFonts w:eastAsiaTheme="majorEastAsia" w:cs="Arial"/>
          <w:szCs w:val="20"/>
        </w:rPr>
        <w:t xml:space="preserve"> </w:t>
      </w:r>
      <w:r w:rsidRPr="00445B9C">
        <w:rPr>
          <w:rFonts w:eastAsiaTheme="majorEastAsia" w:cs="Arial"/>
          <w:szCs w:val="20"/>
        </w:rPr>
        <w:t>kot APA ali CTP ne uskladi poslovne ure, s katero beleži datum in čas vseh dogodkov, o katerih se poroča (prvi odstavek 22.c člena Uredbe 600/2014/EU);</w:t>
      </w:r>
    </w:p>
    <w:p w14:paraId="7C5C441C" w14:textId="3A6C5E24" w:rsidR="00E80C9D" w:rsidRPr="00445B9C" w:rsidRDefault="00E80C9D" w:rsidP="00E80C9D">
      <w:pPr>
        <w:jc w:val="both"/>
        <w:rPr>
          <w:rFonts w:eastAsiaTheme="majorEastAsia" w:cs="Arial"/>
          <w:szCs w:val="20"/>
        </w:rPr>
      </w:pPr>
      <w:r w:rsidRPr="00445B9C">
        <w:rPr>
          <w:rFonts w:eastAsiaTheme="majorEastAsia" w:cs="Arial"/>
          <w:szCs w:val="20"/>
        </w:rPr>
        <w:t>11.</w:t>
      </w:r>
      <w:r w:rsidR="001867CE" w:rsidRPr="00445B9C">
        <w:rPr>
          <w:rFonts w:eastAsiaTheme="majorEastAsia" w:cs="Arial"/>
          <w:szCs w:val="20"/>
        </w:rPr>
        <w:t xml:space="preserve"> </w:t>
      </w:r>
      <w:r w:rsidRPr="00445B9C">
        <w:rPr>
          <w:rFonts w:eastAsiaTheme="majorEastAsia" w:cs="Arial"/>
          <w:szCs w:val="20"/>
        </w:rPr>
        <w:t>kot ARM deluje v imenu investicijskega podjetja in ne predloži poročila o poslovanju v skladu s prvim, tretjim, sedmim in devetim odstavkom 26. člena Uredbe 600/2014/EU (sedmi odstavek 26. člena Uredbe 600/2014/EU);</w:t>
      </w:r>
    </w:p>
    <w:p w14:paraId="7AADF249" w14:textId="492030B9" w:rsidR="00E80C9D" w:rsidRPr="00445B9C" w:rsidRDefault="00E80C9D" w:rsidP="00E80C9D">
      <w:pPr>
        <w:jc w:val="both"/>
        <w:rPr>
          <w:rFonts w:eastAsiaTheme="majorEastAsia" w:cs="Arial"/>
          <w:szCs w:val="20"/>
        </w:rPr>
      </w:pPr>
      <w:r w:rsidRPr="00445B9C">
        <w:rPr>
          <w:rFonts w:eastAsiaTheme="majorEastAsia" w:cs="Arial"/>
          <w:szCs w:val="20"/>
        </w:rPr>
        <w:t>12.</w:t>
      </w:r>
      <w:r w:rsidR="001867CE" w:rsidRPr="00445B9C">
        <w:rPr>
          <w:rFonts w:eastAsiaTheme="majorEastAsia" w:cs="Arial"/>
          <w:szCs w:val="20"/>
        </w:rPr>
        <w:t xml:space="preserve"> </w:t>
      </w:r>
      <w:r w:rsidRPr="00445B9C">
        <w:rPr>
          <w:rFonts w:eastAsiaTheme="majorEastAsia" w:cs="Arial"/>
          <w:szCs w:val="20"/>
        </w:rPr>
        <w:t>kot APA ali ARM iz prvega odstavka 333. člena tega zakona nima dovoljenja v skladu s 27.b členom Uredbe 600/2014/EU;</w:t>
      </w:r>
    </w:p>
    <w:p w14:paraId="7E34CE21" w14:textId="6C056E8D" w:rsidR="00E80C9D" w:rsidRPr="00445B9C" w:rsidRDefault="00E80C9D" w:rsidP="00E80C9D">
      <w:pPr>
        <w:jc w:val="both"/>
        <w:rPr>
          <w:rFonts w:eastAsiaTheme="majorEastAsia" w:cs="Arial"/>
          <w:szCs w:val="20"/>
        </w:rPr>
      </w:pPr>
      <w:r w:rsidRPr="00445B9C">
        <w:rPr>
          <w:rFonts w:eastAsiaTheme="majorEastAsia" w:cs="Arial"/>
          <w:szCs w:val="20"/>
        </w:rPr>
        <w:lastRenderedPageBreak/>
        <w:t>13.</w:t>
      </w:r>
      <w:r w:rsidR="001867CE" w:rsidRPr="00445B9C">
        <w:rPr>
          <w:rFonts w:eastAsiaTheme="majorEastAsia" w:cs="Arial"/>
          <w:szCs w:val="20"/>
        </w:rPr>
        <w:t xml:space="preserve"> </w:t>
      </w:r>
      <w:r w:rsidRPr="00445B9C">
        <w:rPr>
          <w:rFonts w:eastAsiaTheme="majorEastAsia" w:cs="Arial"/>
          <w:szCs w:val="20"/>
        </w:rPr>
        <w:t>kot APA ali ARM iz prvega odstavka 333. člena tega zakona ne izpolnjuje zahtev za upravljalni organ iz prvega, drugega in tretjega odstavka 27</w:t>
      </w:r>
      <w:r w:rsidR="003D1A16">
        <w:rPr>
          <w:rFonts w:eastAsiaTheme="majorEastAsia" w:cs="Arial"/>
          <w:szCs w:val="20"/>
        </w:rPr>
        <w:t>.</w:t>
      </w:r>
      <w:r w:rsidRPr="00445B9C">
        <w:rPr>
          <w:rFonts w:eastAsiaTheme="majorEastAsia" w:cs="Arial"/>
          <w:szCs w:val="20"/>
        </w:rPr>
        <w:t>f člena Uredbe 600/2014/EU;</w:t>
      </w:r>
    </w:p>
    <w:p w14:paraId="4AD4D2AE" w14:textId="1143DDC9" w:rsidR="00E80C9D" w:rsidRPr="00445B9C" w:rsidRDefault="00E80C9D" w:rsidP="00E80C9D">
      <w:pPr>
        <w:jc w:val="both"/>
        <w:rPr>
          <w:rFonts w:eastAsiaTheme="majorEastAsia" w:cs="Arial"/>
          <w:szCs w:val="20"/>
        </w:rPr>
      </w:pPr>
      <w:r w:rsidRPr="00445B9C">
        <w:rPr>
          <w:rFonts w:eastAsiaTheme="majorEastAsia" w:cs="Arial"/>
          <w:szCs w:val="20"/>
        </w:rPr>
        <w:t>14.</w:t>
      </w:r>
      <w:r w:rsidR="001867CE" w:rsidRPr="00445B9C">
        <w:rPr>
          <w:rFonts w:eastAsiaTheme="majorEastAsia" w:cs="Arial"/>
          <w:szCs w:val="20"/>
        </w:rPr>
        <w:t xml:space="preserve"> </w:t>
      </w:r>
      <w:r w:rsidRPr="00445B9C">
        <w:rPr>
          <w:rFonts w:eastAsiaTheme="majorEastAsia" w:cs="Arial"/>
          <w:szCs w:val="20"/>
        </w:rPr>
        <w:t>kot APA iz prvega odstavka 333. člena tega zakona ne izpolnjuje organizacijskih zahtev iz prvega do petega odstavka 27.g člena Uredbe 600/2014/EU;</w:t>
      </w:r>
    </w:p>
    <w:p w14:paraId="61A33F71" w14:textId="30E918A4" w:rsidR="00E80C9D" w:rsidRPr="00445B9C" w:rsidRDefault="00E80C9D" w:rsidP="00E80C9D">
      <w:pPr>
        <w:jc w:val="both"/>
        <w:rPr>
          <w:rFonts w:eastAsiaTheme="majorEastAsia" w:cs="Arial"/>
          <w:szCs w:val="20"/>
        </w:rPr>
      </w:pPr>
      <w:r w:rsidRPr="00445B9C">
        <w:rPr>
          <w:rFonts w:eastAsiaTheme="majorEastAsia" w:cs="Arial"/>
          <w:szCs w:val="20"/>
        </w:rPr>
        <w:t>15.</w:t>
      </w:r>
      <w:r w:rsidR="001867CE" w:rsidRPr="00445B9C">
        <w:rPr>
          <w:rFonts w:eastAsiaTheme="majorEastAsia" w:cs="Arial"/>
          <w:szCs w:val="20"/>
        </w:rPr>
        <w:t xml:space="preserve"> </w:t>
      </w:r>
      <w:r w:rsidRPr="00445B9C">
        <w:rPr>
          <w:rFonts w:eastAsiaTheme="majorEastAsia" w:cs="Arial"/>
          <w:szCs w:val="20"/>
        </w:rPr>
        <w:t>kot ARM iz prvega odstavka 333. člena tega zakona ne izpolnjuje organizacijskih zahtev iz prvega do četrtega odstavka 27.i člena Uredbe 600/2014/EU.</w:t>
      </w:r>
    </w:p>
    <w:p w14:paraId="7DD135EB" w14:textId="77777777" w:rsidR="00E80C9D" w:rsidRPr="00445B9C" w:rsidRDefault="00E80C9D" w:rsidP="00E80C9D">
      <w:pPr>
        <w:jc w:val="both"/>
        <w:rPr>
          <w:rFonts w:eastAsiaTheme="majorEastAsia" w:cs="Arial"/>
          <w:szCs w:val="20"/>
        </w:rPr>
      </w:pPr>
    </w:p>
    <w:p w14:paraId="4EC5B0E9" w14:textId="0312A85A" w:rsidR="00E80C9D" w:rsidRPr="00445B9C" w:rsidRDefault="00E80C9D" w:rsidP="00E80C9D">
      <w:pPr>
        <w:jc w:val="both"/>
        <w:rPr>
          <w:rFonts w:eastAsiaTheme="majorEastAsia" w:cs="Arial"/>
          <w:szCs w:val="20"/>
        </w:rPr>
      </w:pPr>
      <w:r w:rsidRPr="00445B9C">
        <w:rPr>
          <w:rFonts w:eastAsiaTheme="majorEastAsia" w:cs="Arial"/>
          <w:szCs w:val="20"/>
        </w:rPr>
        <w:t>(5) Z globo od 25.000 do 250.000 eurov se za prekršek kaznuje CNS, z globo od 25.000 do 500.000 eurov pa CNS, ki se po ZGD-1 šteje za srednjo ali veliko gospodarsko družbo, če:</w:t>
      </w:r>
    </w:p>
    <w:p w14:paraId="2464CCEC" w14:textId="484541D0" w:rsidR="001300DD" w:rsidRPr="00445B9C" w:rsidRDefault="001300DD" w:rsidP="00E80C9D">
      <w:pPr>
        <w:jc w:val="both"/>
        <w:rPr>
          <w:rFonts w:eastAsiaTheme="majorEastAsia" w:cs="Arial"/>
          <w:szCs w:val="20"/>
        </w:rPr>
      </w:pPr>
    </w:p>
    <w:p w14:paraId="1120B2D7" w14:textId="3068B9B0"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deluje kot klirinški član v skladu s štirinajstim odstavkom 2. člena Uredbe 648/2012/EU ter nima vzpostavljenih učinkovitih sistemov, postopkov in ureditev v skladu z drugim odstavkom 29. člena Uredbe 600/2014/EU;</w:t>
      </w:r>
    </w:p>
    <w:p w14:paraId="2E798D91" w14:textId="2C9A50F8"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nediskriminatorno in pregledno ne sprejme kliringa finančnih instrumentov v skladu s prvim odstavkom 35. člena Uredbe 600/2014/EU;</w:t>
      </w:r>
    </w:p>
    <w:p w14:paraId="0838B4A4" w14:textId="3AF680B3" w:rsidR="00E80C9D" w:rsidRPr="00445B9C" w:rsidRDefault="00E80C9D" w:rsidP="00E80C9D">
      <w:pPr>
        <w:jc w:val="both"/>
        <w:rPr>
          <w:rFonts w:eastAsiaTheme="majorEastAsia" w:cs="Arial"/>
          <w:szCs w:val="20"/>
        </w:rPr>
      </w:pPr>
      <w:r w:rsidRPr="00445B9C">
        <w:rPr>
          <w:rFonts w:eastAsiaTheme="majorEastAsia" w:cs="Arial"/>
          <w:szCs w:val="20"/>
        </w:rPr>
        <w:t>3.</w:t>
      </w:r>
      <w:r w:rsidR="001867CE" w:rsidRPr="00445B9C">
        <w:rPr>
          <w:rFonts w:eastAsiaTheme="majorEastAsia" w:cs="Arial"/>
          <w:szCs w:val="20"/>
        </w:rPr>
        <w:t xml:space="preserve"> </w:t>
      </w:r>
      <w:r w:rsidRPr="00445B9C">
        <w:rPr>
          <w:rFonts w:eastAsiaTheme="majorEastAsia" w:cs="Arial"/>
          <w:szCs w:val="20"/>
        </w:rPr>
        <w:t>v zvezi z zavrnitvijo ali odobritvijo zahteve za dostop do CNS ne ravna v skladu s tretjim odstavkom 35. člena Uredbe 600/2014/EU;</w:t>
      </w:r>
    </w:p>
    <w:p w14:paraId="0276BD91" w14:textId="3DC96CFB" w:rsidR="00E80C9D" w:rsidRPr="00445B9C" w:rsidRDefault="00E80C9D" w:rsidP="00E80C9D">
      <w:pPr>
        <w:jc w:val="both"/>
        <w:rPr>
          <w:rFonts w:eastAsiaTheme="majorEastAsia" w:cs="Arial"/>
          <w:szCs w:val="20"/>
        </w:rPr>
      </w:pPr>
      <w:r w:rsidRPr="00445B9C">
        <w:rPr>
          <w:rFonts w:eastAsiaTheme="majorEastAsia" w:cs="Arial"/>
          <w:szCs w:val="20"/>
        </w:rPr>
        <w:t>4.</w:t>
      </w:r>
      <w:r w:rsidR="001867CE" w:rsidRPr="00445B9C">
        <w:rPr>
          <w:rFonts w:eastAsiaTheme="majorEastAsia" w:cs="Arial"/>
          <w:szCs w:val="20"/>
        </w:rPr>
        <w:t xml:space="preserve"> </w:t>
      </w:r>
      <w:r w:rsidRPr="00445B9C">
        <w:rPr>
          <w:rFonts w:eastAsiaTheme="majorEastAsia" w:cs="Arial"/>
          <w:szCs w:val="20"/>
        </w:rPr>
        <w:t>zahteva dostop do mesta trgovanja in zahteve uradno ne predloži temu mestu trgovanja in agenciji v skladu z drugim odstavkom 36. člena Uredbe 600/2014/EU;</w:t>
      </w:r>
    </w:p>
    <w:p w14:paraId="205309D1" w14:textId="301D523C" w:rsidR="00E80C9D" w:rsidRPr="00445B9C" w:rsidRDefault="00E80C9D" w:rsidP="00E80C9D">
      <w:pPr>
        <w:jc w:val="both"/>
        <w:rPr>
          <w:rFonts w:eastAsiaTheme="majorEastAsia" w:cs="Arial"/>
          <w:szCs w:val="20"/>
        </w:rPr>
      </w:pPr>
      <w:r w:rsidRPr="00445B9C">
        <w:rPr>
          <w:rFonts w:eastAsiaTheme="majorEastAsia" w:cs="Arial"/>
          <w:szCs w:val="20"/>
        </w:rPr>
        <w:t>5.</w:t>
      </w:r>
      <w:r w:rsidR="001867CE" w:rsidRPr="00445B9C">
        <w:rPr>
          <w:rFonts w:eastAsiaTheme="majorEastAsia" w:cs="Arial"/>
          <w:szCs w:val="20"/>
        </w:rPr>
        <w:t xml:space="preserve"> </w:t>
      </w:r>
      <w:r w:rsidRPr="00445B9C">
        <w:rPr>
          <w:rFonts w:eastAsiaTheme="majorEastAsia" w:cs="Arial"/>
          <w:szCs w:val="20"/>
        </w:rPr>
        <w:t>sklene dogovor iz tretjega odstavka 37. člena Uredbe 600/2014/EU.</w:t>
      </w:r>
    </w:p>
    <w:p w14:paraId="397EA55F" w14:textId="77777777" w:rsidR="00E80C9D" w:rsidRPr="00445B9C" w:rsidRDefault="00E80C9D" w:rsidP="00E80C9D">
      <w:pPr>
        <w:jc w:val="both"/>
        <w:rPr>
          <w:rFonts w:eastAsiaTheme="majorEastAsia" w:cs="Arial"/>
          <w:szCs w:val="20"/>
        </w:rPr>
      </w:pPr>
    </w:p>
    <w:p w14:paraId="2CAC5BDD" w14:textId="5BC541EA" w:rsidR="00E80C9D" w:rsidRPr="00445B9C" w:rsidRDefault="00E80C9D" w:rsidP="00E80C9D">
      <w:pPr>
        <w:jc w:val="both"/>
        <w:rPr>
          <w:rFonts w:eastAsiaTheme="majorEastAsia" w:cs="Arial"/>
          <w:szCs w:val="20"/>
        </w:rPr>
      </w:pPr>
      <w:r w:rsidRPr="00445B9C">
        <w:rPr>
          <w:rFonts w:eastAsiaTheme="majorEastAsia" w:cs="Arial"/>
          <w:szCs w:val="20"/>
        </w:rPr>
        <w:t>(6) Z globo od 25.000 do 250.000 eurov se za prekršek kaznuje pravna oseba, z globo od 25.000 do 500.000 eurov pa pravna oseba, ki se po ZGD-1 šteje za srednjo ali veliko gospodarsko družbo, če:</w:t>
      </w:r>
    </w:p>
    <w:p w14:paraId="7A80174D" w14:textId="3444633F" w:rsidR="001300DD" w:rsidRPr="00445B9C" w:rsidRDefault="001300DD" w:rsidP="00E80C9D">
      <w:pPr>
        <w:jc w:val="both"/>
        <w:rPr>
          <w:rFonts w:eastAsiaTheme="majorEastAsia" w:cs="Arial"/>
          <w:szCs w:val="20"/>
        </w:rPr>
      </w:pPr>
    </w:p>
    <w:p w14:paraId="6B4CFBF5" w14:textId="2757502B"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je oseba iz prvega</w:t>
      </w:r>
      <w:r w:rsidR="001300DD" w:rsidRPr="00445B9C">
        <w:rPr>
          <w:rFonts w:eastAsiaTheme="majorEastAsia" w:cs="Arial"/>
          <w:szCs w:val="20"/>
        </w:rPr>
        <w:t xml:space="preserve"> </w:t>
      </w:r>
      <w:r w:rsidRPr="00445B9C">
        <w:rPr>
          <w:rFonts w:eastAsiaTheme="majorEastAsia" w:cs="Arial"/>
          <w:szCs w:val="20"/>
        </w:rPr>
        <w:t>odstavka 28. člena Uredbe 600/2014/EU in z izvedenimi finančnimi instrumenti iz razreda izvedenih finančnih instrumentov, za katerega velja obveznost trgovanja v skladu z 32. členom in ki so navedeni v registru iz 34. člena Uredbe 600/2014/EU</w:t>
      </w:r>
      <w:r w:rsidR="00146847">
        <w:rPr>
          <w:rFonts w:eastAsiaTheme="majorEastAsia" w:cs="Arial"/>
          <w:szCs w:val="20"/>
        </w:rPr>
        <w:t>,</w:t>
      </w:r>
      <w:r w:rsidRPr="00445B9C">
        <w:rPr>
          <w:rFonts w:eastAsiaTheme="majorEastAsia" w:cs="Arial"/>
          <w:szCs w:val="20"/>
        </w:rPr>
        <w:t xml:space="preserve"> trguje zunaj mest trgovanja, naveden</w:t>
      </w:r>
      <w:r w:rsidR="00146847">
        <w:rPr>
          <w:rFonts w:eastAsiaTheme="majorEastAsia" w:cs="Arial"/>
          <w:szCs w:val="20"/>
        </w:rPr>
        <w:t>ih</w:t>
      </w:r>
      <w:r w:rsidRPr="00445B9C">
        <w:rPr>
          <w:rFonts w:eastAsiaTheme="majorEastAsia" w:cs="Arial"/>
          <w:szCs w:val="20"/>
        </w:rPr>
        <w:t xml:space="preserve"> v prvem odstavku 28. člena Uredbe 600/2014/EU (prvi odstavek 28. člena Uredbe 600/2014/EU);</w:t>
      </w:r>
    </w:p>
    <w:p w14:paraId="036ADB92" w14:textId="3CDDC5BC"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uporablja posredno ureditev kliringa in ne izpolnjuje pogojev iz prvega odstavka 30. člena Uredbe 600/2014/EU;</w:t>
      </w:r>
    </w:p>
    <w:p w14:paraId="3576235E" w14:textId="2F550C29" w:rsidR="00E80C9D" w:rsidRPr="00445B9C" w:rsidRDefault="00E80C9D" w:rsidP="00E80C9D">
      <w:pPr>
        <w:jc w:val="both"/>
        <w:rPr>
          <w:rFonts w:eastAsiaTheme="majorEastAsia" w:cs="Arial"/>
          <w:szCs w:val="20"/>
        </w:rPr>
      </w:pPr>
      <w:r w:rsidRPr="00445B9C">
        <w:rPr>
          <w:rFonts w:eastAsiaTheme="majorEastAsia" w:cs="Arial"/>
          <w:szCs w:val="20"/>
        </w:rPr>
        <w:t>3.</w:t>
      </w:r>
      <w:r w:rsidR="001867CE" w:rsidRPr="00445B9C">
        <w:rPr>
          <w:rFonts w:eastAsiaTheme="majorEastAsia" w:cs="Arial"/>
          <w:szCs w:val="20"/>
        </w:rPr>
        <w:t xml:space="preserve"> </w:t>
      </w:r>
      <w:r w:rsidRPr="00445B9C">
        <w:rPr>
          <w:rFonts w:eastAsiaTheme="majorEastAsia" w:cs="Arial"/>
          <w:szCs w:val="20"/>
        </w:rPr>
        <w:t>je oseba z lastninsko pravico v zvezi referenčnim merilom</w:t>
      </w:r>
      <w:r w:rsidR="00146847">
        <w:rPr>
          <w:rFonts w:eastAsiaTheme="majorEastAsia" w:cs="Arial"/>
          <w:szCs w:val="20"/>
        </w:rPr>
        <w:t>,</w:t>
      </w:r>
      <w:r w:rsidRPr="00445B9C">
        <w:rPr>
          <w:rFonts w:eastAsiaTheme="majorEastAsia" w:cs="Arial"/>
          <w:szCs w:val="20"/>
        </w:rPr>
        <w:t xml:space="preserve"> na podlagi katerega se izračuna vrednost finančnega instrumenta</w:t>
      </w:r>
      <w:r w:rsidR="00146847">
        <w:rPr>
          <w:rFonts w:eastAsiaTheme="majorEastAsia" w:cs="Arial"/>
          <w:szCs w:val="20"/>
        </w:rPr>
        <w:t>,</w:t>
      </w:r>
      <w:r w:rsidRPr="00445B9C">
        <w:rPr>
          <w:rFonts w:eastAsiaTheme="majorEastAsia" w:cs="Arial"/>
          <w:szCs w:val="20"/>
        </w:rPr>
        <w:t xml:space="preserve"> in ne zagotovi, da imajo CNS in mesta trgovanja za namene trgovanja in kliringa omogočen </w:t>
      </w:r>
      <w:proofErr w:type="spellStart"/>
      <w:r w:rsidRPr="00445B9C">
        <w:rPr>
          <w:rFonts w:eastAsiaTheme="majorEastAsia" w:cs="Arial"/>
          <w:szCs w:val="20"/>
        </w:rPr>
        <w:t>nediskriminatoren</w:t>
      </w:r>
      <w:proofErr w:type="spellEnd"/>
      <w:r w:rsidRPr="00445B9C">
        <w:rPr>
          <w:rFonts w:eastAsiaTheme="majorEastAsia" w:cs="Arial"/>
          <w:szCs w:val="20"/>
        </w:rPr>
        <w:t xml:space="preserve"> dostop v skladu s prvim odstavkom 37. člena Uredbe 600/2014/EU;</w:t>
      </w:r>
    </w:p>
    <w:p w14:paraId="103790E3" w14:textId="1ADB04C1" w:rsidR="00E80C9D" w:rsidRPr="00445B9C" w:rsidRDefault="00E80C9D" w:rsidP="00E80C9D">
      <w:pPr>
        <w:jc w:val="both"/>
        <w:rPr>
          <w:rFonts w:eastAsiaTheme="majorEastAsia" w:cs="Arial"/>
          <w:szCs w:val="20"/>
        </w:rPr>
      </w:pPr>
      <w:r w:rsidRPr="00445B9C">
        <w:rPr>
          <w:rFonts w:eastAsiaTheme="majorEastAsia" w:cs="Arial"/>
          <w:szCs w:val="20"/>
        </w:rPr>
        <w:t>4.</w:t>
      </w:r>
      <w:r w:rsidR="001867CE" w:rsidRPr="00445B9C">
        <w:rPr>
          <w:rFonts w:eastAsiaTheme="majorEastAsia" w:cs="Arial"/>
          <w:szCs w:val="20"/>
        </w:rPr>
        <w:t xml:space="preserve"> </w:t>
      </w:r>
      <w:r w:rsidRPr="00445B9C">
        <w:rPr>
          <w:rFonts w:eastAsiaTheme="majorEastAsia" w:cs="Arial"/>
          <w:szCs w:val="20"/>
        </w:rPr>
        <w:t>je s CNS ali mestom trgovanja povezan subjekt in sklene dogovor iz tretjega odstavka 37. člena Uredbe 600/2014/EU;</w:t>
      </w:r>
    </w:p>
    <w:p w14:paraId="3EBE0FBC" w14:textId="120A551D" w:rsidR="00E80C9D" w:rsidRPr="00445B9C" w:rsidRDefault="00E80C9D" w:rsidP="00E80C9D">
      <w:pPr>
        <w:jc w:val="both"/>
        <w:rPr>
          <w:rFonts w:eastAsiaTheme="majorEastAsia" w:cs="Arial"/>
          <w:szCs w:val="20"/>
        </w:rPr>
      </w:pPr>
      <w:r w:rsidRPr="00445B9C">
        <w:rPr>
          <w:rFonts w:eastAsiaTheme="majorEastAsia" w:cs="Arial"/>
          <w:szCs w:val="20"/>
        </w:rPr>
        <w:t>5.</w:t>
      </w:r>
      <w:r w:rsidR="001867CE" w:rsidRPr="00445B9C">
        <w:rPr>
          <w:rFonts w:eastAsiaTheme="majorEastAsia" w:cs="Arial"/>
          <w:szCs w:val="20"/>
        </w:rPr>
        <w:t xml:space="preserve"> </w:t>
      </w:r>
      <w:r w:rsidRPr="00445B9C">
        <w:rPr>
          <w:rFonts w:eastAsiaTheme="majorEastAsia" w:cs="Arial"/>
          <w:szCs w:val="20"/>
        </w:rPr>
        <w:t>ne ravna v skladu z ukrepom, ki ga izreče ESMA v skladu s prvim odstavkom 40. člena Uredbe 600/2014/EU;</w:t>
      </w:r>
    </w:p>
    <w:p w14:paraId="1C6E6CC6" w14:textId="0FCE8CFA" w:rsidR="00E80C9D" w:rsidRPr="00445B9C" w:rsidRDefault="00E80C9D" w:rsidP="00E80C9D">
      <w:pPr>
        <w:jc w:val="both"/>
        <w:rPr>
          <w:rFonts w:eastAsiaTheme="majorEastAsia" w:cs="Arial"/>
          <w:szCs w:val="20"/>
        </w:rPr>
      </w:pPr>
      <w:r w:rsidRPr="00445B9C">
        <w:rPr>
          <w:rFonts w:eastAsiaTheme="majorEastAsia" w:cs="Arial"/>
          <w:szCs w:val="20"/>
        </w:rPr>
        <w:t>6.</w:t>
      </w:r>
      <w:r w:rsidR="001867CE" w:rsidRPr="00445B9C">
        <w:rPr>
          <w:rFonts w:eastAsiaTheme="majorEastAsia" w:cs="Arial"/>
          <w:szCs w:val="20"/>
        </w:rPr>
        <w:t xml:space="preserve"> </w:t>
      </w:r>
      <w:r w:rsidRPr="00445B9C">
        <w:rPr>
          <w:rFonts w:eastAsiaTheme="majorEastAsia" w:cs="Arial"/>
          <w:szCs w:val="20"/>
        </w:rPr>
        <w:t>ne ravna v skladu z ukrepom, ki ga izreče Evropski bančni organ v skladu s prvim odstavkom 41. člena Uredbe 600/2014/EU;</w:t>
      </w:r>
    </w:p>
    <w:p w14:paraId="534FBAB9" w14:textId="393B300F" w:rsidR="00E80C9D" w:rsidRPr="00445B9C" w:rsidRDefault="00E80C9D" w:rsidP="00E80C9D">
      <w:pPr>
        <w:jc w:val="both"/>
        <w:rPr>
          <w:rFonts w:eastAsiaTheme="majorEastAsia" w:cs="Arial"/>
          <w:szCs w:val="20"/>
        </w:rPr>
      </w:pPr>
      <w:r w:rsidRPr="00445B9C">
        <w:rPr>
          <w:rFonts w:eastAsiaTheme="majorEastAsia" w:cs="Arial"/>
          <w:szCs w:val="20"/>
        </w:rPr>
        <w:t>7.</w:t>
      </w:r>
      <w:r w:rsidR="001867CE" w:rsidRPr="00445B9C">
        <w:rPr>
          <w:rFonts w:eastAsiaTheme="majorEastAsia" w:cs="Arial"/>
          <w:szCs w:val="20"/>
        </w:rPr>
        <w:t xml:space="preserve"> </w:t>
      </w:r>
      <w:r w:rsidRPr="00445B9C">
        <w:rPr>
          <w:rFonts w:eastAsiaTheme="majorEastAsia" w:cs="Arial"/>
          <w:szCs w:val="20"/>
        </w:rPr>
        <w:t>ne ravna v skladu z ukrepom, ki ga izreče agencija v skladu s prvim odstavkom 42. člena Uredbe 600/2014/EU.</w:t>
      </w:r>
    </w:p>
    <w:p w14:paraId="1917E5F6" w14:textId="77777777" w:rsidR="001867CE" w:rsidRPr="00445B9C" w:rsidRDefault="001867CE" w:rsidP="00E80C9D">
      <w:pPr>
        <w:jc w:val="both"/>
        <w:rPr>
          <w:rFonts w:eastAsiaTheme="majorEastAsia" w:cs="Arial"/>
          <w:szCs w:val="20"/>
        </w:rPr>
      </w:pPr>
    </w:p>
    <w:p w14:paraId="34BB4065" w14:textId="41A2EC85" w:rsidR="00E80C9D" w:rsidRPr="00445B9C" w:rsidRDefault="00E80C9D" w:rsidP="00E80C9D">
      <w:pPr>
        <w:jc w:val="both"/>
        <w:rPr>
          <w:rFonts w:eastAsiaTheme="majorEastAsia" w:cs="Arial"/>
          <w:szCs w:val="20"/>
        </w:rPr>
      </w:pPr>
      <w:r w:rsidRPr="00445B9C">
        <w:rPr>
          <w:rFonts w:eastAsiaTheme="majorEastAsia" w:cs="Arial"/>
          <w:szCs w:val="20"/>
        </w:rPr>
        <w:t>(7) Če je narava storjenega prekrška iz prvega do šestega odstavka tega člena posebno huda zaradi višine povzročene škode oziroma višine pridobljene protipravne premoženjske koristi ali zaradi storilčevega naklepa oziroma njegovega namena koristoljubnosti, se pravna oseba kaznuje z globo v višini do:</w:t>
      </w:r>
    </w:p>
    <w:p w14:paraId="0445B5E3" w14:textId="77777777" w:rsidR="001300DD" w:rsidRPr="00445B9C" w:rsidRDefault="001300DD" w:rsidP="00E80C9D">
      <w:pPr>
        <w:jc w:val="both"/>
        <w:rPr>
          <w:rFonts w:eastAsiaTheme="majorEastAsia" w:cs="Arial"/>
          <w:szCs w:val="20"/>
        </w:rPr>
      </w:pPr>
    </w:p>
    <w:p w14:paraId="0EA23FD5" w14:textId="21BE8FB3"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 xml:space="preserve">5.000.000 eurov ali 10 % skupnega letnega prometa glede na zadnje razpoložljive računovodske izkaze, ki jih je odobril pristojni organ družbe, oziroma skupnega letnega prometa </w:t>
      </w:r>
      <w:r w:rsidRPr="00445B9C">
        <w:rPr>
          <w:rFonts w:eastAsiaTheme="majorEastAsia" w:cs="Arial"/>
          <w:szCs w:val="20"/>
        </w:rPr>
        <w:lastRenderedPageBreak/>
        <w:t xml:space="preserve">ali ustrezne vrste prihodka, ki izhaja iz zadnje razpoložljive konsolidirane letne bilance, ki jo je odobril pristojni organ matične družbe, če pravna oseba pripravi konsolidirane računovodske izkaze na podlagi ZGD-1, pri čemer se upošteva višji znesek, če gre za kršitev iz 1. do 5. točke prejšnjega odstavka, </w:t>
      </w:r>
    </w:p>
    <w:p w14:paraId="01777964" w14:textId="42A373CD"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2.500.000 eurov ali 2 % skupnega letnega prometa glede na zadnje razpoložljive računovodske izkaze, ki jih je odobril pristojni organ družbe, oziroma skupnega letnega prometa ali ustrezne vrste prihodka, ki izhaja iz zadnje razpoložljive konsolidirane letne bilance, ki jo je odobril pristojni organ matične družbe, če pravna oseba pripravi konsolidirane računovodske izkaze na podlagi ZGD-1, pri čemer se upošteva višji znesek, če gre za kršitev iz 6. ali 7. točke prejšnjega odstavka, ali</w:t>
      </w:r>
    </w:p>
    <w:p w14:paraId="5F78AED8" w14:textId="2A6390EC" w:rsidR="00E80C9D" w:rsidRPr="00445B9C" w:rsidRDefault="00E80C9D" w:rsidP="00E80C9D">
      <w:pPr>
        <w:jc w:val="both"/>
        <w:rPr>
          <w:rFonts w:eastAsiaTheme="majorEastAsia" w:cs="Arial"/>
          <w:szCs w:val="20"/>
        </w:rPr>
      </w:pPr>
      <w:r w:rsidRPr="00445B9C">
        <w:rPr>
          <w:rFonts w:eastAsiaTheme="majorEastAsia" w:cs="Arial"/>
          <w:szCs w:val="20"/>
        </w:rPr>
        <w:t>3.</w:t>
      </w:r>
      <w:r w:rsidR="001867CE" w:rsidRPr="00445B9C">
        <w:rPr>
          <w:rFonts w:eastAsiaTheme="majorEastAsia" w:cs="Arial"/>
          <w:szCs w:val="20"/>
        </w:rPr>
        <w:t xml:space="preserve"> </w:t>
      </w:r>
      <w:r w:rsidRPr="00445B9C">
        <w:rPr>
          <w:rFonts w:eastAsiaTheme="majorEastAsia" w:cs="Arial"/>
          <w:szCs w:val="20"/>
        </w:rPr>
        <w:t>trikratnega zneska dobička, pridobljenega s kršitvijo, ali izgube, preprečene s kršitvijo, kadar ju je mogoče opredeliti, če ta znesek presega znesek iz 1. oziroma 2. točke tega odstavka.</w:t>
      </w:r>
    </w:p>
    <w:p w14:paraId="1D6E16DB" w14:textId="77777777" w:rsidR="00E80C9D" w:rsidRPr="00445B9C" w:rsidRDefault="00E80C9D" w:rsidP="00E80C9D">
      <w:pPr>
        <w:jc w:val="both"/>
        <w:rPr>
          <w:rFonts w:eastAsiaTheme="majorEastAsia" w:cs="Arial"/>
          <w:szCs w:val="20"/>
        </w:rPr>
      </w:pPr>
    </w:p>
    <w:p w14:paraId="33D8732E" w14:textId="29C59EE9" w:rsidR="00E80C9D" w:rsidRPr="00445B9C" w:rsidRDefault="00E80C9D" w:rsidP="00E80C9D">
      <w:pPr>
        <w:jc w:val="both"/>
        <w:rPr>
          <w:rFonts w:eastAsiaTheme="majorEastAsia" w:cs="Arial"/>
          <w:szCs w:val="20"/>
        </w:rPr>
      </w:pPr>
      <w:r w:rsidRPr="00445B9C">
        <w:rPr>
          <w:rFonts w:eastAsiaTheme="majorEastAsia" w:cs="Arial"/>
          <w:szCs w:val="20"/>
        </w:rPr>
        <w:t>(8) Z globo od 400 do 150.000 eurov se za prekršek kaznuje podjetnik ali posameznik, ki samostojno opravlja dejavnost, ki stori prekršek iz prvega do šestega odstavka tega člena.</w:t>
      </w:r>
    </w:p>
    <w:p w14:paraId="63C8A48F" w14:textId="5189AF53" w:rsidR="00E80C9D" w:rsidRPr="00445B9C" w:rsidRDefault="00E80C9D" w:rsidP="00E80C9D">
      <w:pPr>
        <w:jc w:val="both"/>
        <w:rPr>
          <w:rFonts w:eastAsiaTheme="majorEastAsia" w:cs="Arial"/>
          <w:szCs w:val="20"/>
        </w:rPr>
      </w:pPr>
    </w:p>
    <w:p w14:paraId="11C7816F" w14:textId="54AC9436" w:rsidR="00E80C9D" w:rsidRPr="00445B9C" w:rsidRDefault="00E80C9D" w:rsidP="00E80C9D">
      <w:pPr>
        <w:jc w:val="both"/>
        <w:rPr>
          <w:rFonts w:eastAsiaTheme="majorEastAsia" w:cs="Arial"/>
          <w:szCs w:val="20"/>
        </w:rPr>
      </w:pPr>
      <w:r w:rsidRPr="00445B9C">
        <w:rPr>
          <w:rFonts w:eastAsiaTheme="majorEastAsia" w:cs="Arial"/>
          <w:szCs w:val="20"/>
        </w:rPr>
        <w:t>(9) Z globo od 800 do 10.000 eurov se za prekršek kaznuje odgovorna oseba pravne osebe, ki stori prekršek iz prvega do šestega odstavka tega člena, in odgovorna oseba podjetnika ali posameznika, ki samostojno opravlja dejavnost, ki stori prekršek iz prvega do šestega odstavka tega člena.</w:t>
      </w:r>
    </w:p>
    <w:p w14:paraId="4A19174B" w14:textId="77777777" w:rsidR="00E80C9D" w:rsidRPr="00445B9C" w:rsidRDefault="00E80C9D" w:rsidP="00E80C9D">
      <w:pPr>
        <w:jc w:val="both"/>
        <w:rPr>
          <w:rFonts w:eastAsiaTheme="majorEastAsia" w:cs="Arial"/>
          <w:szCs w:val="20"/>
        </w:rPr>
      </w:pPr>
    </w:p>
    <w:p w14:paraId="2DBD2B02" w14:textId="1672B867" w:rsidR="00E80C9D" w:rsidRPr="00445B9C" w:rsidRDefault="00E80C9D" w:rsidP="00E80C9D">
      <w:pPr>
        <w:jc w:val="both"/>
        <w:rPr>
          <w:rFonts w:eastAsiaTheme="majorEastAsia" w:cs="Arial"/>
          <w:szCs w:val="20"/>
        </w:rPr>
      </w:pPr>
      <w:r w:rsidRPr="00445B9C">
        <w:rPr>
          <w:rFonts w:eastAsiaTheme="majorEastAsia" w:cs="Arial"/>
          <w:szCs w:val="20"/>
        </w:rPr>
        <w:t>(10) Z globo od 400 do 5.000 eurov se za prekršek kaznuje posameznik, ki stori prekršek iz prvega do šestega odstavka tega člena.</w:t>
      </w:r>
    </w:p>
    <w:p w14:paraId="3A68B0F9" w14:textId="77777777" w:rsidR="00E80C9D" w:rsidRPr="00445B9C" w:rsidRDefault="00E80C9D" w:rsidP="00E80C9D">
      <w:pPr>
        <w:jc w:val="both"/>
        <w:rPr>
          <w:rFonts w:eastAsiaTheme="majorEastAsia" w:cs="Arial"/>
          <w:szCs w:val="20"/>
        </w:rPr>
      </w:pPr>
    </w:p>
    <w:p w14:paraId="4D27C198" w14:textId="30CCC32F" w:rsidR="00E80C9D" w:rsidRPr="00445B9C" w:rsidRDefault="00E80C9D" w:rsidP="00E80C9D">
      <w:pPr>
        <w:jc w:val="both"/>
        <w:rPr>
          <w:rFonts w:eastAsiaTheme="majorEastAsia" w:cs="Arial"/>
          <w:szCs w:val="20"/>
        </w:rPr>
      </w:pPr>
      <w:r w:rsidRPr="00445B9C">
        <w:rPr>
          <w:rFonts w:eastAsiaTheme="majorEastAsia" w:cs="Arial"/>
          <w:szCs w:val="20"/>
        </w:rPr>
        <w:t>(11) Če je narava storjenega prekrška iz osmega, devetega ali desetega odstavka tega člena posebno huda zaradi višine povzročene škode oziroma višine pridobljene protipravne premoženjske koristi ali zaradi storilčevega naklepa oziroma njegovega namena koristoljubnosti, se oseba iz osmega, devetega ali desetega odstavka tega člena kaznuje z globo do višine:</w:t>
      </w:r>
    </w:p>
    <w:p w14:paraId="093AC435" w14:textId="41EE1A51" w:rsidR="00E80C9D" w:rsidRPr="00445B9C" w:rsidRDefault="00E80C9D" w:rsidP="00E80C9D">
      <w:pPr>
        <w:jc w:val="both"/>
        <w:rPr>
          <w:rFonts w:eastAsiaTheme="majorEastAsia" w:cs="Arial"/>
          <w:szCs w:val="20"/>
        </w:rPr>
      </w:pPr>
      <w:r w:rsidRPr="00445B9C">
        <w:rPr>
          <w:rFonts w:eastAsiaTheme="majorEastAsia" w:cs="Arial"/>
          <w:szCs w:val="20"/>
        </w:rPr>
        <w:t>1.</w:t>
      </w:r>
      <w:r w:rsidR="001867CE" w:rsidRPr="00445B9C">
        <w:rPr>
          <w:rFonts w:eastAsiaTheme="majorEastAsia" w:cs="Arial"/>
          <w:szCs w:val="20"/>
        </w:rPr>
        <w:t xml:space="preserve"> </w:t>
      </w:r>
      <w:r w:rsidRPr="00445B9C">
        <w:rPr>
          <w:rFonts w:eastAsiaTheme="majorEastAsia" w:cs="Arial"/>
          <w:szCs w:val="20"/>
        </w:rPr>
        <w:t>5.000.000 eurov, če gre za kršitev iz prvega do šestega odstavka tega člena, ali</w:t>
      </w:r>
    </w:p>
    <w:p w14:paraId="2E85CC85" w14:textId="166E60F8" w:rsidR="00E80C9D" w:rsidRPr="00445B9C" w:rsidRDefault="00E80C9D" w:rsidP="00E80C9D">
      <w:pPr>
        <w:jc w:val="both"/>
        <w:rPr>
          <w:rFonts w:eastAsiaTheme="majorEastAsia" w:cs="Arial"/>
          <w:szCs w:val="20"/>
        </w:rPr>
      </w:pPr>
      <w:r w:rsidRPr="00445B9C">
        <w:rPr>
          <w:rFonts w:eastAsiaTheme="majorEastAsia" w:cs="Arial"/>
          <w:szCs w:val="20"/>
        </w:rPr>
        <w:t>2.</w:t>
      </w:r>
      <w:r w:rsidR="001867CE" w:rsidRPr="00445B9C">
        <w:rPr>
          <w:rFonts w:eastAsiaTheme="majorEastAsia" w:cs="Arial"/>
          <w:szCs w:val="20"/>
        </w:rPr>
        <w:t xml:space="preserve"> </w:t>
      </w:r>
      <w:r w:rsidRPr="00445B9C">
        <w:rPr>
          <w:rFonts w:eastAsiaTheme="majorEastAsia" w:cs="Arial"/>
          <w:szCs w:val="20"/>
        </w:rPr>
        <w:t>trikratnega zneska dobička, pridobljenega s kršitvijo, ali izgube, preprečene s kršitvijo, kadar ju je mogoče opredeliti, če ta znesek presega znesek iz prejšnje točke.«</w:t>
      </w:r>
      <w:r w:rsidR="00865F47">
        <w:rPr>
          <w:rFonts w:eastAsiaTheme="majorEastAsia" w:cs="Arial"/>
          <w:szCs w:val="20"/>
        </w:rPr>
        <w:t>.</w:t>
      </w:r>
    </w:p>
    <w:p w14:paraId="1991EE76" w14:textId="1402D8D8" w:rsidR="00BD09B5" w:rsidRPr="00445B9C" w:rsidRDefault="00BD09B5" w:rsidP="00F922A3">
      <w:pPr>
        <w:jc w:val="both"/>
        <w:rPr>
          <w:rFonts w:eastAsiaTheme="majorEastAsia" w:cs="Arial"/>
          <w:szCs w:val="20"/>
        </w:rPr>
      </w:pPr>
    </w:p>
    <w:p w14:paraId="0E75DBCB" w14:textId="77777777" w:rsidR="006A2506" w:rsidRPr="00445B9C" w:rsidRDefault="006B4B89" w:rsidP="00F810E6">
      <w:pPr>
        <w:numPr>
          <w:ilvl w:val="0"/>
          <w:numId w:val="16"/>
        </w:numPr>
        <w:spacing w:before="240" w:after="240" w:line="259" w:lineRule="auto"/>
        <w:ind w:left="720"/>
        <w:jc w:val="center"/>
        <w:outlineLvl w:val="0"/>
        <w:rPr>
          <w:rFonts w:eastAsiaTheme="majorEastAsia" w:cs="Arial"/>
          <w:b/>
          <w:szCs w:val="20"/>
        </w:rPr>
      </w:pPr>
      <w:bookmarkStart w:id="75" w:name="_Ref196735286"/>
      <w:bookmarkEnd w:id="69"/>
      <w:r w:rsidRPr="00445B9C">
        <w:rPr>
          <w:rFonts w:eastAsiaTheme="majorEastAsia" w:cs="Arial"/>
          <w:b/>
          <w:szCs w:val="20"/>
        </w:rPr>
        <w:t>člen</w:t>
      </w:r>
      <w:bookmarkEnd w:id="75"/>
    </w:p>
    <w:p w14:paraId="5A7DB3B1" w14:textId="02FA61C9" w:rsidR="003477B9" w:rsidRPr="00445B9C" w:rsidRDefault="00BD09B5" w:rsidP="00BA786D">
      <w:pPr>
        <w:spacing w:before="240" w:after="240" w:line="259" w:lineRule="auto"/>
        <w:jc w:val="both"/>
        <w:outlineLvl w:val="0"/>
        <w:rPr>
          <w:rFonts w:eastAsiaTheme="majorEastAsia" w:cs="Arial"/>
          <w:bCs/>
          <w:szCs w:val="20"/>
        </w:rPr>
      </w:pPr>
      <w:r w:rsidRPr="00445B9C">
        <w:rPr>
          <w:rFonts w:eastAsiaTheme="majorEastAsia" w:cs="Arial"/>
          <w:bCs/>
          <w:szCs w:val="20"/>
        </w:rPr>
        <w:t xml:space="preserve">V 546. členu se </w:t>
      </w:r>
      <w:r w:rsidR="00907F48" w:rsidRPr="00445B9C">
        <w:rPr>
          <w:rFonts w:eastAsiaTheme="majorEastAsia" w:cs="Arial"/>
          <w:bCs/>
          <w:szCs w:val="20"/>
        </w:rPr>
        <w:t xml:space="preserve">v </w:t>
      </w:r>
      <w:r w:rsidRPr="00445B9C">
        <w:rPr>
          <w:rFonts w:eastAsiaTheme="majorEastAsia" w:cs="Arial"/>
          <w:bCs/>
          <w:szCs w:val="20"/>
        </w:rPr>
        <w:t>tretj</w:t>
      </w:r>
      <w:r w:rsidR="00907F48" w:rsidRPr="00445B9C">
        <w:rPr>
          <w:rFonts w:eastAsiaTheme="majorEastAsia" w:cs="Arial"/>
          <w:bCs/>
          <w:szCs w:val="20"/>
        </w:rPr>
        <w:t>em</w:t>
      </w:r>
      <w:r w:rsidRPr="00445B9C">
        <w:rPr>
          <w:rFonts w:eastAsiaTheme="majorEastAsia" w:cs="Arial"/>
          <w:bCs/>
          <w:szCs w:val="20"/>
        </w:rPr>
        <w:t xml:space="preserve"> odstavk</w:t>
      </w:r>
      <w:r w:rsidR="00907F48" w:rsidRPr="00445B9C">
        <w:rPr>
          <w:rFonts w:eastAsiaTheme="majorEastAsia" w:cs="Arial"/>
          <w:bCs/>
          <w:szCs w:val="20"/>
        </w:rPr>
        <w:t>u</w:t>
      </w:r>
      <w:r w:rsidRPr="00445B9C">
        <w:rPr>
          <w:rFonts w:eastAsiaTheme="majorEastAsia" w:cs="Arial"/>
          <w:bCs/>
          <w:szCs w:val="20"/>
        </w:rPr>
        <w:t xml:space="preserve"> za besed</w:t>
      </w:r>
      <w:r w:rsidR="00907F48" w:rsidRPr="00445B9C">
        <w:rPr>
          <w:rFonts w:eastAsiaTheme="majorEastAsia" w:cs="Arial"/>
          <w:bCs/>
          <w:szCs w:val="20"/>
        </w:rPr>
        <w:t>ilom</w:t>
      </w:r>
      <w:r w:rsidRPr="00445B9C">
        <w:rPr>
          <w:rFonts w:eastAsiaTheme="majorEastAsia" w:cs="Arial"/>
          <w:bCs/>
          <w:szCs w:val="20"/>
        </w:rPr>
        <w:t xml:space="preserve"> »kršitelj bank</w:t>
      </w:r>
      <w:r w:rsidR="00BD11FB" w:rsidRPr="00445B9C">
        <w:rPr>
          <w:rFonts w:eastAsiaTheme="majorEastAsia" w:cs="Arial"/>
          <w:bCs/>
          <w:szCs w:val="20"/>
        </w:rPr>
        <w:t>a</w:t>
      </w:r>
      <w:r w:rsidRPr="00445B9C">
        <w:rPr>
          <w:rFonts w:eastAsiaTheme="majorEastAsia" w:cs="Arial"/>
          <w:bCs/>
          <w:szCs w:val="20"/>
        </w:rPr>
        <w:t xml:space="preserve">« </w:t>
      </w:r>
      <w:r w:rsidR="00DF6381" w:rsidRPr="00445B9C">
        <w:rPr>
          <w:rFonts w:eastAsiaTheme="majorEastAsia" w:cs="Arial"/>
          <w:bCs/>
          <w:szCs w:val="20"/>
        </w:rPr>
        <w:t xml:space="preserve">črta </w:t>
      </w:r>
      <w:r w:rsidRPr="00445B9C">
        <w:rPr>
          <w:rFonts w:eastAsiaTheme="majorEastAsia" w:cs="Arial"/>
          <w:bCs/>
          <w:szCs w:val="20"/>
        </w:rPr>
        <w:t>vejic</w:t>
      </w:r>
      <w:r w:rsidR="00907F48" w:rsidRPr="00445B9C">
        <w:rPr>
          <w:rFonts w:eastAsiaTheme="majorEastAsia" w:cs="Arial"/>
          <w:bCs/>
          <w:szCs w:val="20"/>
        </w:rPr>
        <w:t>a</w:t>
      </w:r>
      <w:r w:rsidRPr="00445B9C">
        <w:rPr>
          <w:rFonts w:eastAsiaTheme="majorEastAsia" w:cs="Arial"/>
          <w:bCs/>
          <w:szCs w:val="20"/>
        </w:rPr>
        <w:t xml:space="preserve"> in doda besedilo »ali kreditna družba ter« in za besed</w:t>
      </w:r>
      <w:r w:rsidR="00907F48" w:rsidRPr="00445B9C">
        <w:rPr>
          <w:rFonts w:eastAsiaTheme="majorEastAsia" w:cs="Arial"/>
          <w:bCs/>
          <w:szCs w:val="20"/>
        </w:rPr>
        <w:t>ilom</w:t>
      </w:r>
      <w:r w:rsidRPr="00445B9C">
        <w:rPr>
          <w:rFonts w:eastAsiaTheme="majorEastAsia" w:cs="Arial"/>
          <w:bCs/>
          <w:szCs w:val="20"/>
        </w:rPr>
        <w:t xml:space="preserve"> »sveta banke« doda besedilo »ali kreditne družbe.«</w:t>
      </w:r>
    </w:p>
    <w:bookmarkEnd w:id="73"/>
    <w:p w14:paraId="236368F1" w14:textId="7F0E7DD6" w:rsidR="003477B9" w:rsidRPr="00445B9C" w:rsidRDefault="006B4B89" w:rsidP="00BA786D">
      <w:pPr>
        <w:spacing w:before="240" w:after="240" w:line="259" w:lineRule="auto"/>
        <w:jc w:val="center"/>
        <w:outlineLvl w:val="0"/>
        <w:rPr>
          <w:rFonts w:eastAsiaTheme="majorEastAsia" w:cs="Arial"/>
          <w:bCs/>
          <w:szCs w:val="20"/>
        </w:rPr>
      </w:pPr>
      <w:r w:rsidRPr="00445B9C">
        <w:rPr>
          <w:rFonts w:eastAsiaTheme="majorEastAsia" w:cs="Arial"/>
          <w:bCs/>
          <w:szCs w:val="20"/>
        </w:rPr>
        <w:t>KONČN</w:t>
      </w:r>
      <w:r w:rsidR="003D1A16">
        <w:rPr>
          <w:rFonts w:eastAsiaTheme="majorEastAsia" w:cs="Arial"/>
          <w:bCs/>
          <w:szCs w:val="20"/>
        </w:rPr>
        <w:t>I</w:t>
      </w:r>
      <w:r w:rsidRPr="00445B9C">
        <w:rPr>
          <w:rFonts w:eastAsiaTheme="majorEastAsia" w:cs="Arial"/>
          <w:bCs/>
          <w:szCs w:val="20"/>
        </w:rPr>
        <w:t xml:space="preserve"> DOLOČB</w:t>
      </w:r>
      <w:r w:rsidR="003D1A16">
        <w:rPr>
          <w:rFonts w:eastAsiaTheme="majorEastAsia" w:cs="Arial"/>
          <w:bCs/>
          <w:szCs w:val="20"/>
        </w:rPr>
        <w:t>I</w:t>
      </w:r>
    </w:p>
    <w:p w14:paraId="37BD9EA6" w14:textId="0ABEA285" w:rsidR="008A298D" w:rsidRPr="00445B9C" w:rsidRDefault="00907F48" w:rsidP="00F810E6">
      <w:pPr>
        <w:numPr>
          <w:ilvl w:val="0"/>
          <w:numId w:val="16"/>
        </w:numPr>
        <w:spacing w:before="240" w:after="240" w:line="259" w:lineRule="auto"/>
        <w:ind w:left="720"/>
        <w:jc w:val="center"/>
        <w:outlineLvl w:val="0"/>
        <w:rPr>
          <w:rFonts w:eastAsiaTheme="majorEastAsia" w:cs="Arial"/>
          <w:b/>
          <w:szCs w:val="20"/>
        </w:rPr>
      </w:pPr>
      <w:bookmarkStart w:id="76" w:name="_Ref196734116"/>
      <w:r w:rsidRPr="00445B9C">
        <w:rPr>
          <w:rFonts w:eastAsiaTheme="majorEastAsia" w:cs="Arial"/>
          <w:b/>
          <w:szCs w:val="20"/>
        </w:rPr>
        <w:t>č</w:t>
      </w:r>
      <w:r w:rsidR="006B4B89" w:rsidRPr="00445B9C">
        <w:rPr>
          <w:rFonts w:eastAsiaTheme="majorEastAsia" w:cs="Arial"/>
          <w:b/>
          <w:szCs w:val="20"/>
        </w:rPr>
        <w:t>len</w:t>
      </w:r>
      <w:bookmarkEnd w:id="76"/>
    </w:p>
    <w:p w14:paraId="007C0985" w14:textId="77777777" w:rsidR="00656CB4" w:rsidRPr="00445B9C" w:rsidRDefault="00656CB4" w:rsidP="00BA786D">
      <w:pPr>
        <w:spacing w:before="240" w:after="240" w:line="259" w:lineRule="auto"/>
        <w:jc w:val="center"/>
        <w:outlineLvl w:val="0"/>
        <w:rPr>
          <w:rFonts w:eastAsiaTheme="majorEastAsia" w:cs="Arial"/>
          <w:b/>
          <w:szCs w:val="20"/>
        </w:rPr>
      </w:pPr>
      <w:r w:rsidRPr="00445B9C">
        <w:rPr>
          <w:rFonts w:eastAsiaTheme="majorEastAsia" w:cs="Arial"/>
          <w:b/>
          <w:szCs w:val="20"/>
        </w:rPr>
        <w:t xml:space="preserve">(začetek uporabe </w:t>
      </w:r>
      <w:r w:rsidR="00D614B9" w:rsidRPr="00445B9C">
        <w:rPr>
          <w:rFonts w:eastAsiaTheme="majorEastAsia" w:cs="Arial"/>
          <w:b/>
          <w:szCs w:val="20"/>
        </w:rPr>
        <w:t>posameznih določb</w:t>
      </w:r>
      <w:r w:rsidRPr="00445B9C">
        <w:rPr>
          <w:rFonts w:eastAsiaTheme="majorEastAsia" w:cs="Arial"/>
          <w:b/>
          <w:szCs w:val="20"/>
        </w:rPr>
        <w:t>)</w:t>
      </w:r>
    </w:p>
    <w:p w14:paraId="3185E42C" w14:textId="14E1C360" w:rsidR="00341E37" w:rsidRDefault="007B3D9A" w:rsidP="003D1A16">
      <w:pPr>
        <w:pStyle w:val="Odstavekseznama"/>
        <w:numPr>
          <w:ilvl w:val="0"/>
          <w:numId w:val="19"/>
        </w:numPr>
        <w:spacing w:before="240" w:after="240" w:line="259" w:lineRule="auto"/>
        <w:ind w:left="0" w:firstLine="1021"/>
        <w:jc w:val="both"/>
        <w:outlineLvl w:val="0"/>
        <w:rPr>
          <w:rFonts w:eastAsiaTheme="majorEastAsia" w:cs="Arial"/>
          <w:bCs/>
          <w:szCs w:val="20"/>
        </w:rPr>
      </w:pPr>
      <w:r w:rsidRPr="00445B9C">
        <w:rPr>
          <w:rFonts w:eastAsiaTheme="majorEastAsia" w:cs="Arial"/>
          <w:bCs/>
          <w:szCs w:val="20"/>
        </w:rPr>
        <w:t>Nov</w:t>
      </w:r>
      <w:r w:rsidR="00907F48" w:rsidRPr="00445B9C">
        <w:rPr>
          <w:rFonts w:eastAsiaTheme="majorEastAsia" w:cs="Arial"/>
          <w:bCs/>
          <w:szCs w:val="20"/>
        </w:rPr>
        <w:t>i</w:t>
      </w:r>
      <w:r w:rsidRPr="00445B9C">
        <w:rPr>
          <w:rFonts w:eastAsiaTheme="majorEastAsia" w:cs="Arial"/>
          <w:bCs/>
          <w:szCs w:val="20"/>
        </w:rPr>
        <w:t xml:space="preserve"> četrti in peti odstavek 158. člena, </w:t>
      </w:r>
      <w:r w:rsidR="00907F48" w:rsidRPr="00445B9C">
        <w:rPr>
          <w:rFonts w:eastAsiaTheme="majorEastAsia" w:cs="Arial"/>
          <w:bCs/>
          <w:szCs w:val="20"/>
        </w:rPr>
        <w:t xml:space="preserve">dopolnjeni </w:t>
      </w:r>
      <w:r w:rsidRPr="00445B9C">
        <w:rPr>
          <w:rFonts w:eastAsiaTheme="majorEastAsia" w:cs="Arial"/>
          <w:bCs/>
          <w:szCs w:val="20"/>
        </w:rPr>
        <w:t>prv</w:t>
      </w:r>
      <w:r w:rsidR="00907F48" w:rsidRPr="00445B9C">
        <w:rPr>
          <w:rFonts w:eastAsiaTheme="majorEastAsia" w:cs="Arial"/>
          <w:bCs/>
          <w:szCs w:val="20"/>
        </w:rPr>
        <w:t>i</w:t>
      </w:r>
      <w:r w:rsidRPr="00445B9C">
        <w:rPr>
          <w:rFonts w:eastAsiaTheme="majorEastAsia" w:cs="Arial"/>
          <w:bCs/>
          <w:szCs w:val="20"/>
        </w:rPr>
        <w:t xml:space="preserve"> in pet</w:t>
      </w:r>
      <w:r w:rsidR="00907F48" w:rsidRPr="00445B9C">
        <w:rPr>
          <w:rFonts w:eastAsiaTheme="majorEastAsia" w:cs="Arial"/>
          <w:bCs/>
          <w:szCs w:val="20"/>
        </w:rPr>
        <w:t>i</w:t>
      </w:r>
      <w:r w:rsidRPr="00445B9C">
        <w:rPr>
          <w:rFonts w:eastAsiaTheme="majorEastAsia" w:cs="Arial"/>
          <w:bCs/>
          <w:szCs w:val="20"/>
        </w:rPr>
        <w:t xml:space="preserve"> odstav</w:t>
      </w:r>
      <w:r w:rsidR="00907F48" w:rsidRPr="00445B9C">
        <w:rPr>
          <w:rFonts w:eastAsiaTheme="majorEastAsia" w:cs="Arial"/>
          <w:bCs/>
          <w:szCs w:val="20"/>
        </w:rPr>
        <w:t>e</w:t>
      </w:r>
      <w:r w:rsidRPr="00445B9C">
        <w:rPr>
          <w:rFonts w:eastAsiaTheme="majorEastAsia" w:cs="Arial"/>
          <w:bCs/>
          <w:szCs w:val="20"/>
        </w:rPr>
        <w:t xml:space="preserve">k 159. člena in </w:t>
      </w:r>
      <w:r w:rsidR="001C25A3" w:rsidRPr="00445B9C">
        <w:rPr>
          <w:rFonts w:eastAsiaTheme="majorEastAsia" w:cs="Arial"/>
          <w:bCs/>
          <w:szCs w:val="20"/>
        </w:rPr>
        <w:t>nov</w:t>
      </w:r>
      <w:r w:rsidR="00907F48" w:rsidRPr="00445B9C">
        <w:rPr>
          <w:rFonts w:eastAsiaTheme="majorEastAsia" w:cs="Arial"/>
          <w:bCs/>
          <w:szCs w:val="20"/>
        </w:rPr>
        <w:t>i</w:t>
      </w:r>
      <w:r w:rsidR="001C25A3" w:rsidRPr="00445B9C">
        <w:rPr>
          <w:rFonts w:eastAsiaTheme="majorEastAsia" w:cs="Arial"/>
          <w:bCs/>
          <w:szCs w:val="20"/>
        </w:rPr>
        <w:t xml:space="preserve"> </w:t>
      </w:r>
      <w:r w:rsidRPr="00445B9C">
        <w:rPr>
          <w:rFonts w:eastAsiaTheme="majorEastAsia" w:cs="Arial"/>
          <w:bCs/>
          <w:szCs w:val="20"/>
        </w:rPr>
        <w:t>peti odstavek 169. člena zakona se začnejo uporabljati 10. julija 2026.</w:t>
      </w:r>
    </w:p>
    <w:p w14:paraId="15239DDA" w14:textId="77777777" w:rsidR="003D1A16" w:rsidRDefault="003D1A16" w:rsidP="003D1A16">
      <w:pPr>
        <w:pStyle w:val="Odstavekseznama"/>
        <w:spacing w:before="240" w:after="240" w:line="259" w:lineRule="auto"/>
        <w:ind w:left="1021"/>
        <w:jc w:val="both"/>
        <w:outlineLvl w:val="0"/>
        <w:rPr>
          <w:rFonts w:eastAsiaTheme="majorEastAsia" w:cs="Arial"/>
          <w:bCs/>
          <w:szCs w:val="20"/>
        </w:rPr>
      </w:pPr>
    </w:p>
    <w:p w14:paraId="75C31175" w14:textId="6CEF178C" w:rsidR="003D1A16" w:rsidRPr="00445B9C" w:rsidRDefault="003D1A16" w:rsidP="003D1A16">
      <w:pPr>
        <w:pStyle w:val="Odstavekseznama"/>
        <w:numPr>
          <w:ilvl w:val="0"/>
          <w:numId w:val="19"/>
        </w:numPr>
        <w:spacing w:before="240" w:after="240" w:line="259" w:lineRule="auto"/>
        <w:ind w:left="0" w:firstLine="1021"/>
        <w:jc w:val="both"/>
        <w:outlineLvl w:val="0"/>
        <w:rPr>
          <w:rFonts w:eastAsiaTheme="majorEastAsia" w:cs="Arial"/>
          <w:bCs/>
          <w:szCs w:val="20"/>
        </w:rPr>
      </w:pPr>
      <w:r w:rsidRPr="003D1A16">
        <w:rPr>
          <w:rFonts w:eastAsiaTheme="majorEastAsia" w:cs="Arial"/>
          <w:bCs/>
          <w:szCs w:val="20"/>
        </w:rPr>
        <w:t xml:space="preserve">Do začetka uporabe dopolnjenih prvega in petega odstavka 159. člena zakona se uporabljata prvi in peti odstavek 159. člena Zakona o trgu finančnih instrumentov (Uradni list RS, št. 77/18, 17/19 – </w:t>
      </w:r>
      <w:proofErr w:type="spellStart"/>
      <w:r w:rsidRPr="003D1A16">
        <w:rPr>
          <w:rFonts w:eastAsiaTheme="majorEastAsia" w:cs="Arial"/>
          <w:bCs/>
          <w:szCs w:val="20"/>
        </w:rPr>
        <w:t>popr</w:t>
      </w:r>
      <w:proofErr w:type="spellEnd"/>
      <w:r w:rsidRPr="003D1A16">
        <w:rPr>
          <w:rFonts w:eastAsiaTheme="majorEastAsia" w:cs="Arial"/>
          <w:bCs/>
          <w:szCs w:val="20"/>
        </w:rPr>
        <w:t>., 66/19, 123/21 in 45/24).</w:t>
      </w:r>
    </w:p>
    <w:p w14:paraId="788F2FF1" w14:textId="77777777" w:rsidR="00D12185" w:rsidRPr="00445B9C" w:rsidRDefault="00D12185" w:rsidP="003D1A16">
      <w:pPr>
        <w:pStyle w:val="Odstavekseznama"/>
        <w:spacing w:before="240" w:after="240" w:line="259" w:lineRule="auto"/>
        <w:ind w:left="1021"/>
        <w:jc w:val="both"/>
        <w:outlineLvl w:val="0"/>
        <w:rPr>
          <w:rFonts w:eastAsiaTheme="majorEastAsia" w:cs="Arial"/>
          <w:bCs/>
          <w:szCs w:val="20"/>
        </w:rPr>
      </w:pPr>
    </w:p>
    <w:p w14:paraId="282F3297" w14:textId="09030E73" w:rsidR="00D12185" w:rsidRPr="00445B9C" w:rsidRDefault="00D12185" w:rsidP="003D1A16">
      <w:pPr>
        <w:pStyle w:val="Odstavekseznama"/>
        <w:numPr>
          <w:ilvl w:val="0"/>
          <w:numId w:val="19"/>
        </w:numPr>
        <w:spacing w:before="240" w:after="240" w:line="259" w:lineRule="auto"/>
        <w:ind w:left="0" w:firstLine="1021"/>
        <w:jc w:val="both"/>
        <w:outlineLvl w:val="0"/>
        <w:rPr>
          <w:rFonts w:eastAsiaTheme="majorEastAsia" w:cs="Arial"/>
          <w:bCs/>
          <w:szCs w:val="20"/>
        </w:rPr>
      </w:pPr>
      <w:r w:rsidRPr="00445B9C">
        <w:rPr>
          <w:rFonts w:eastAsiaTheme="majorEastAsia" w:cs="Arial"/>
          <w:bCs/>
          <w:szCs w:val="20"/>
        </w:rPr>
        <w:lastRenderedPageBreak/>
        <w:t>Nov</w:t>
      </w:r>
      <w:r w:rsidR="00907F48" w:rsidRPr="00445B9C">
        <w:rPr>
          <w:rFonts w:eastAsiaTheme="majorEastAsia" w:cs="Arial"/>
          <w:bCs/>
          <w:szCs w:val="20"/>
        </w:rPr>
        <w:t>i</w:t>
      </w:r>
      <w:r w:rsidRPr="00445B9C">
        <w:rPr>
          <w:rFonts w:eastAsiaTheme="majorEastAsia" w:cs="Arial"/>
          <w:bCs/>
          <w:szCs w:val="20"/>
        </w:rPr>
        <w:t xml:space="preserve"> deveti odstavek 278. člena, nov</w:t>
      </w:r>
      <w:r w:rsidR="00907F48" w:rsidRPr="00445B9C">
        <w:rPr>
          <w:rFonts w:eastAsiaTheme="majorEastAsia" w:cs="Arial"/>
          <w:bCs/>
          <w:szCs w:val="20"/>
        </w:rPr>
        <w:t>i</w:t>
      </w:r>
      <w:r w:rsidRPr="00445B9C">
        <w:rPr>
          <w:rFonts w:eastAsiaTheme="majorEastAsia" w:cs="Arial"/>
          <w:bCs/>
          <w:szCs w:val="20"/>
        </w:rPr>
        <w:t xml:space="preserve"> deseti odstavek 322. člena, nov</w:t>
      </w:r>
      <w:r w:rsidR="00907F48" w:rsidRPr="00445B9C">
        <w:rPr>
          <w:rFonts w:eastAsiaTheme="majorEastAsia" w:cs="Arial"/>
          <w:bCs/>
          <w:szCs w:val="20"/>
        </w:rPr>
        <w:t>i</w:t>
      </w:r>
      <w:r w:rsidRPr="00445B9C">
        <w:rPr>
          <w:rFonts w:eastAsiaTheme="majorEastAsia" w:cs="Arial"/>
          <w:bCs/>
          <w:szCs w:val="20"/>
        </w:rPr>
        <w:t xml:space="preserve"> osmi odstavek 326. člena, nov</w:t>
      </w:r>
      <w:r w:rsidR="00907F48" w:rsidRPr="00445B9C">
        <w:rPr>
          <w:rFonts w:eastAsiaTheme="majorEastAsia" w:cs="Arial"/>
          <w:bCs/>
          <w:szCs w:val="20"/>
        </w:rPr>
        <w:t>i</w:t>
      </w:r>
      <w:r w:rsidRPr="00445B9C">
        <w:rPr>
          <w:rFonts w:eastAsiaTheme="majorEastAsia" w:cs="Arial"/>
          <w:bCs/>
          <w:szCs w:val="20"/>
        </w:rPr>
        <w:t xml:space="preserve"> deveti odstavek 331. člena, </w:t>
      </w:r>
      <w:r w:rsidR="00B41055" w:rsidRPr="00445B9C">
        <w:rPr>
          <w:rFonts w:eastAsiaTheme="majorEastAsia" w:cs="Arial"/>
          <w:bCs/>
          <w:szCs w:val="20"/>
        </w:rPr>
        <w:t>nov</w:t>
      </w:r>
      <w:r w:rsidR="00907F48" w:rsidRPr="00445B9C">
        <w:rPr>
          <w:rFonts w:eastAsiaTheme="majorEastAsia" w:cs="Arial"/>
          <w:bCs/>
          <w:szCs w:val="20"/>
        </w:rPr>
        <w:t>i</w:t>
      </w:r>
      <w:r w:rsidR="00B41055" w:rsidRPr="00445B9C">
        <w:rPr>
          <w:rFonts w:eastAsiaTheme="majorEastAsia" w:cs="Arial"/>
          <w:bCs/>
          <w:szCs w:val="20"/>
        </w:rPr>
        <w:t xml:space="preserve"> </w:t>
      </w:r>
      <w:r w:rsidRPr="00445B9C">
        <w:rPr>
          <w:rFonts w:eastAsiaTheme="majorEastAsia" w:cs="Arial"/>
          <w:bCs/>
          <w:szCs w:val="20"/>
        </w:rPr>
        <w:t xml:space="preserve">peti odstavek 368. člena </w:t>
      </w:r>
      <w:r w:rsidR="00CB6B7D" w:rsidRPr="00445B9C">
        <w:rPr>
          <w:rFonts w:eastAsiaTheme="majorEastAsia" w:cs="Arial"/>
          <w:bCs/>
          <w:szCs w:val="20"/>
        </w:rPr>
        <w:t xml:space="preserve">in </w:t>
      </w:r>
      <w:r w:rsidRPr="00445B9C">
        <w:rPr>
          <w:rFonts w:eastAsiaTheme="majorEastAsia" w:cs="Arial"/>
          <w:bCs/>
          <w:szCs w:val="20"/>
        </w:rPr>
        <w:t>nov</w:t>
      </w:r>
      <w:r w:rsidR="00907F48" w:rsidRPr="00445B9C">
        <w:rPr>
          <w:rFonts w:eastAsiaTheme="majorEastAsia" w:cs="Arial"/>
          <w:bCs/>
          <w:szCs w:val="20"/>
        </w:rPr>
        <w:t>i</w:t>
      </w:r>
      <w:r w:rsidRPr="00445B9C">
        <w:rPr>
          <w:rFonts w:eastAsiaTheme="majorEastAsia" w:cs="Arial"/>
          <w:bCs/>
          <w:szCs w:val="20"/>
        </w:rPr>
        <w:t xml:space="preserve"> tretji odstavek 406. člena zakona se začnejo uporabljati 10. januarja 20</w:t>
      </w:r>
      <w:r w:rsidR="00B41055" w:rsidRPr="00445B9C">
        <w:rPr>
          <w:rFonts w:eastAsiaTheme="majorEastAsia" w:cs="Arial"/>
          <w:bCs/>
          <w:szCs w:val="20"/>
        </w:rPr>
        <w:t>30</w:t>
      </w:r>
      <w:r w:rsidRPr="00445B9C">
        <w:rPr>
          <w:rFonts w:eastAsiaTheme="majorEastAsia" w:cs="Arial"/>
          <w:bCs/>
          <w:szCs w:val="20"/>
        </w:rPr>
        <w:t>.</w:t>
      </w:r>
    </w:p>
    <w:p w14:paraId="35B49AA8" w14:textId="77777777" w:rsidR="00CB6B7D" w:rsidRPr="00445B9C" w:rsidRDefault="00CB6B7D" w:rsidP="003D1A16">
      <w:pPr>
        <w:pStyle w:val="Odstavekseznama"/>
        <w:jc w:val="both"/>
        <w:rPr>
          <w:rFonts w:eastAsiaTheme="majorEastAsia" w:cs="Arial"/>
          <w:bCs/>
          <w:szCs w:val="20"/>
        </w:rPr>
      </w:pPr>
    </w:p>
    <w:p w14:paraId="6C9DE3AA" w14:textId="69E58252" w:rsidR="00CB6B7D" w:rsidRPr="00445B9C" w:rsidRDefault="00CB6B7D" w:rsidP="003D1A16">
      <w:pPr>
        <w:pStyle w:val="Odstavekseznama"/>
        <w:numPr>
          <w:ilvl w:val="0"/>
          <w:numId w:val="19"/>
        </w:numPr>
        <w:spacing w:before="240" w:after="240" w:line="259" w:lineRule="auto"/>
        <w:ind w:left="0" w:firstLine="1021"/>
        <w:jc w:val="both"/>
        <w:outlineLvl w:val="0"/>
        <w:rPr>
          <w:rFonts w:eastAsiaTheme="majorEastAsia" w:cs="Arial"/>
          <w:bCs/>
          <w:szCs w:val="20"/>
        </w:rPr>
      </w:pPr>
      <w:r w:rsidRPr="00445B9C">
        <w:rPr>
          <w:rFonts w:eastAsiaTheme="majorEastAsia" w:cs="Arial"/>
          <w:bCs/>
          <w:szCs w:val="20"/>
        </w:rPr>
        <w:t>Nov</w:t>
      </w:r>
      <w:r w:rsidR="00907F48" w:rsidRPr="00445B9C">
        <w:rPr>
          <w:rFonts w:eastAsiaTheme="majorEastAsia" w:cs="Arial"/>
          <w:bCs/>
          <w:szCs w:val="20"/>
        </w:rPr>
        <w:t>i</w:t>
      </w:r>
      <w:r w:rsidRPr="00445B9C">
        <w:rPr>
          <w:rFonts w:eastAsiaTheme="majorEastAsia" w:cs="Arial"/>
          <w:bCs/>
          <w:szCs w:val="20"/>
        </w:rPr>
        <w:t xml:space="preserve"> 429.a člen zakona se začne uporabljati 10. januarja 2028.</w:t>
      </w:r>
    </w:p>
    <w:p w14:paraId="0033D949" w14:textId="77777777" w:rsidR="00652D8F" w:rsidRPr="00445B9C" w:rsidRDefault="00652D8F" w:rsidP="00BA786D">
      <w:pPr>
        <w:pStyle w:val="Odstavekseznama"/>
        <w:spacing w:before="240" w:after="240" w:line="259" w:lineRule="auto"/>
        <w:ind w:left="1021"/>
        <w:outlineLvl w:val="0"/>
        <w:rPr>
          <w:rFonts w:eastAsiaTheme="majorEastAsia" w:cs="Arial"/>
          <w:bCs/>
          <w:szCs w:val="20"/>
        </w:rPr>
      </w:pPr>
    </w:p>
    <w:p w14:paraId="602387FB" w14:textId="77777777" w:rsidR="008A298D" w:rsidRPr="00445B9C" w:rsidRDefault="008A298D" w:rsidP="00F810E6">
      <w:pPr>
        <w:numPr>
          <w:ilvl w:val="0"/>
          <w:numId w:val="16"/>
        </w:numPr>
        <w:spacing w:before="240" w:after="240" w:line="259" w:lineRule="auto"/>
        <w:ind w:left="720"/>
        <w:jc w:val="center"/>
        <w:outlineLvl w:val="0"/>
        <w:rPr>
          <w:rFonts w:eastAsiaTheme="majorEastAsia" w:cs="Arial"/>
          <w:b/>
          <w:szCs w:val="20"/>
        </w:rPr>
      </w:pPr>
      <w:bookmarkStart w:id="77" w:name="_Ref192597677"/>
      <w:r w:rsidRPr="00445B9C">
        <w:rPr>
          <w:rFonts w:eastAsiaTheme="majorEastAsia" w:cs="Arial"/>
          <w:b/>
          <w:szCs w:val="20"/>
        </w:rPr>
        <w:t>člen</w:t>
      </w:r>
      <w:bookmarkEnd w:id="77"/>
    </w:p>
    <w:p w14:paraId="4E248672" w14:textId="77777777" w:rsidR="00E66587" w:rsidRPr="00445B9C" w:rsidRDefault="00E66587" w:rsidP="00BA786D">
      <w:pPr>
        <w:jc w:val="center"/>
        <w:rPr>
          <w:rFonts w:eastAsiaTheme="majorEastAsia" w:cs="Arial"/>
          <w:b/>
          <w:szCs w:val="20"/>
        </w:rPr>
      </w:pPr>
      <w:bookmarkStart w:id="78" w:name="_Hlk54478635"/>
      <w:r w:rsidRPr="00445B9C">
        <w:rPr>
          <w:rFonts w:eastAsiaTheme="majorEastAsia" w:cs="Arial"/>
          <w:b/>
          <w:szCs w:val="20"/>
        </w:rPr>
        <w:t>(začetek veljavnosti)</w:t>
      </w:r>
    </w:p>
    <w:p w14:paraId="6A46989B" w14:textId="77777777" w:rsidR="00E66587" w:rsidRPr="00445B9C" w:rsidRDefault="00E66587" w:rsidP="00BA786D">
      <w:pPr>
        <w:jc w:val="both"/>
        <w:rPr>
          <w:rFonts w:eastAsiaTheme="majorEastAsia" w:cs="Arial"/>
          <w:bCs/>
          <w:szCs w:val="20"/>
        </w:rPr>
      </w:pPr>
    </w:p>
    <w:p w14:paraId="3159604E" w14:textId="77777777" w:rsidR="006A2506" w:rsidRPr="00445B9C" w:rsidRDefault="00E66587" w:rsidP="00BA786D">
      <w:pPr>
        <w:jc w:val="both"/>
        <w:rPr>
          <w:rFonts w:eastAsiaTheme="majorEastAsia" w:cs="Arial"/>
          <w:bCs/>
          <w:szCs w:val="20"/>
        </w:rPr>
      </w:pPr>
      <w:r w:rsidRPr="00445B9C">
        <w:rPr>
          <w:rFonts w:eastAsiaTheme="majorEastAsia" w:cs="Arial"/>
          <w:bCs/>
          <w:szCs w:val="20"/>
        </w:rPr>
        <w:t>Ta zakon začne veljati petnajsti dan po objavi v Uradnem listu Republike Slovenije.</w:t>
      </w:r>
    </w:p>
    <w:bookmarkEnd w:id="78"/>
    <w:p w14:paraId="4CD05CB0" w14:textId="77777777" w:rsidR="001E1871" w:rsidRPr="00445B9C" w:rsidRDefault="001E1871" w:rsidP="00BA786D">
      <w:pPr>
        <w:spacing w:line="240" w:lineRule="auto"/>
        <w:rPr>
          <w:rFonts w:cs="Arial"/>
          <w:b/>
          <w:szCs w:val="20"/>
        </w:rPr>
      </w:pPr>
      <w:r w:rsidRPr="00445B9C">
        <w:rPr>
          <w:rFonts w:cs="Arial"/>
          <w:b/>
          <w:szCs w:val="20"/>
        </w:rPr>
        <w:br w:type="page"/>
      </w:r>
    </w:p>
    <w:bookmarkEnd w:id="74"/>
    <w:p w14:paraId="7080A94C" w14:textId="50AAA28D" w:rsidR="000258C6" w:rsidRPr="00445B9C" w:rsidRDefault="007C0AB6" w:rsidP="001E1871">
      <w:pPr>
        <w:spacing w:after="160" w:line="259" w:lineRule="auto"/>
        <w:jc w:val="both"/>
        <w:rPr>
          <w:rFonts w:cs="Arial"/>
          <w:b/>
          <w:bCs/>
          <w:szCs w:val="20"/>
        </w:rPr>
      </w:pPr>
      <w:r w:rsidRPr="00445B9C">
        <w:rPr>
          <w:rFonts w:cs="Arial"/>
          <w:b/>
          <w:bCs/>
          <w:szCs w:val="20"/>
        </w:rPr>
        <w:lastRenderedPageBreak/>
        <w:t xml:space="preserve">III. </w:t>
      </w:r>
      <w:r w:rsidR="000258C6" w:rsidRPr="00445B9C">
        <w:rPr>
          <w:rFonts w:cs="Arial"/>
          <w:b/>
          <w:bCs/>
          <w:szCs w:val="20"/>
        </w:rPr>
        <w:t>OBRAZLOŽITEV</w:t>
      </w:r>
    </w:p>
    <w:p w14:paraId="12EBAEE4" w14:textId="16429527" w:rsidR="009C32B7" w:rsidRPr="00445B9C" w:rsidRDefault="00E610BA" w:rsidP="00C64B3F">
      <w:pPr>
        <w:spacing w:line="276" w:lineRule="auto"/>
        <w:jc w:val="both"/>
        <w:rPr>
          <w:rFonts w:cs="Arial"/>
          <w:b/>
          <w:bCs/>
          <w:szCs w:val="20"/>
        </w:rPr>
      </w:pPr>
      <w:r w:rsidRPr="00445B9C">
        <w:rPr>
          <w:rFonts w:cs="Arial"/>
          <w:b/>
          <w:bCs/>
          <w:szCs w:val="20"/>
        </w:rPr>
        <w:t xml:space="preserve">K </w:t>
      </w:r>
      <w:r w:rsidRPr="00445B9C">
        <w:rPr>
          <w:rFonts w:cs="Arial"/>
          <w:szCs w:val="20"/>
        </w:rPr>
        <w:fldChar w:fldCharType="begin"/>
      </w:r>
      <w:r w:rsidR="009C32B7" w:rsidRPr="00445B9C">
        <w:rPr>
          <w:rFonts w:cs="Arial"/>
          <w:szCs w:val="20"/>
        </w:rPr>
        <w:instrText xml:space="preserve"> REF _Ref64902430 \r \h  \* MERGEFORMAT </w:instrText>
      </w:r>
      <w:r w:rsidRPr="00445B9C">
        <w:rPr>
          <w:rFonts w:cs="Arial"/>
          <w:szCs w:val="20"/>
        </w:rPr>
      </w:r>
      <w:r w:rsidRPr="00445B9C">
        <w:rPr>
          <w:rFonts w:cs="Arial"/>
          <w:szCs w:val="20"/>
        </w:rPr>
        <w:fldChar w:fldCharType="separate"/>
      </w:r>
      <w:r w:rsidR="001638A0" w:rsidRPr="00445B9C">
        <w:rPr>
          <w:rFonts w:cs="Arial"/>
          <w:b/>
          <w:bCs/>
          <w:szCs w:val="20"/>
        </w:rPr>
        <w:t xml:space="preserve">1. </w:t>
      </w:r>
      <w:r w:rsidRPr="00445B9C">
        <w:rPr>
          <w:rFonts w:cs="Arial"/>
          <w:szCs w:val="20"/>
        </w:rPr>
        <w:fldChar w:fldCharType="end"/>
      </w:r>
      <w:r w:rsidRPr="00445B9C">
        <w:rPr>
          <w:rFonts w:cs="Arial"/>
          <w:b/>
          <w:bCs/>
          <w:szCs w:val="20"/>
        </w:rPr>
        <w:t>členu</w:t>
      </w:r>
    </w:p>
    <w:p w14:paraId="76A1120E" w14:textId="410CE90F" w:rsidR="00D67963" w:rsidRPr="00445B9C" w:rsidRDefault="009E77F4" w:rsidP="009E77F4">
      <w:pPr>
        <w:spacing w:line="276" w:lineRule="auto"/>
        <w:jc w:val="both"/>
        <w:rPr>
          <w:rFonts w:cs="Arial"/>
          <w:szCs w:val="20"/>
        </w:rPr>
      </w:pPr>
      <w:r w:rsidRPr="00445B9C">
        <w:rPr>
          <w:rFonts w:cs="Arial"/>
          <w:szCs w:val="20"/>
        </w:rPr>
        <w:t xml:space="preserve">Zakon o trgu finančnih instrumentov (Uradni list RS, št. 77/18, 17/19 – popr., 66/19, 123/21 in 45/24; v nadaljnjem besedilu: ZTFI-1), ki taksativno določa direktive in uredbe Evropske unije (v nadaljnjem besedilu: EU), ki se prenašajo in izvajajo z ZTFI-1, se v </w:t>
      </w:r>
      <w:r w:rsidR="003D1A16">
        <w:rPr>
          <w:rFonts w:cs="Arial"/>
          <w:szCs w:val="20"/>
        </w:rPr>
        <w:t>prvem</w:t>
      </w:r>
      <w:r w:rsidRPr="00445B9C">
        <w:rPr>
          <w:rFonts w:cs="Arial"/>
          <w:szCs w:val="20"/>
        </w:rPr>
        <w:t xml:space="preserve"> odstavk</w:t>
      </w:r>
      <w:r w:rsidR="003D1A16">
        <w:rPr>
          <w:rFonts w:cs="Arial"/>
          <w:szCs w:val="20"/>
        </w:rPr>
        <w:t>u</w:t>
      </w:r>
      <w:r w:rsidRPr="00445B9C">
        <w:rPr>
          <w:rFonts w:cs="Arial"/>
          <w:szCs w:val="20"/>
        </w:rPr>
        <w:t xml:space="preserve"> </w:t>
      </w:r>
      <w:r w:rsidR="001A1DE5">
        <w:rPr>
          <w:rFonts w:cs="Arial"/>
          <w:szCs w:val="20"/>
        </w:rPr>
        <w:t>2.</w:t>
      </w:r>
      <w:r w:rsidR="001A1DE5" w:rsidRPr="00445B9C">
        <w:rPr>
          <w:rFonts w:cs="Arial"/>
          <w:szCs w:val="20"/>
        </w:rPr>
        <w:t xml:space="preserve"> člen</w:t>
      </w:r>
      <w:r w:rsidR="001A1DE5">
        <w:rPr>
          <w:rFonts w:cs="Arial"/>
          <w:szCs w:val="20"/>
        </w:rPr>
        <w:t>a</w:t>
      </w:r>
      <w:r w:rsidR="001A1DE5" w:rsidRPr="00445B9C">
        <w:rPr>
          <w:rFonts w:cs="Arial"/>
          <w:szCs w:val="20"/>
        </w:rPr>
        <w:t xml:space="preserve"> </w:t>
      </w:r>
      <w:r w:rsidRPr="00445B9C">
        <w:rPr>
          <w:rFonts w:cs="Arial"/>
          <w:szCs w:val="20"/>
        </w:rPr>
        <w:t>sprem</w:t>
      </w:r>
      <w:r w:rsidR="003D1A16">
        <w:rPr>
          <w:rFonts w:cs="Arial"/>
          <w:szCs w:val="20"/>
        </w:rPr>
        <w:t>inja in dopolnjuje</w:t>
      </w:r>
      <w:r w:rsidRPr="00445B9C">
        <w:rPr>
          <w:rFonts w:cs="Arial"/>
          <w:szCs w:val="20"/>
        </w:rPr>
        <w:t xml:space="preserve"> tako, da se navedejo akti, ki so dopolnili</w:t>
      </w:r>
      <w:r w:rsidR="003D1A16">
        <w:rPr>
          <w:rFonts w:cs="Arial"/>
          <w:szCs w:val="20"/>
        </w:rPr>
        <w:t>, zlasti</w:t>
      </w:r>
      <w:r w:rsidR="001A1DE5">
        <w:rPr>
          <w:rFonts w:cs="Arial"/>
          <w:szCs w:val="20"/>
        </w:rPr>
        <w:t>:</w:t>
      </w:r>
      <w:r w:rsidRPr="00445B9C">
        <w:rPr>
          <w:rFonts w:cs="Arial"/>
          <w:szCs w:val="20"/>
        </w:rPr>
        <w:t xml:space="preserve"> </w:t>
      </w:r>
    </w:p>
    <w:p w14:paraId="1C3E89E4" w14:textId="74E2FC56" w:rsidR="00D67963" w:rsidRPr="00445B9C" w:rsidRDefault="001A1DE5" w:rsidP="009E77F4">
      <w:pPr>
        <w:spacing w:line="276" w:lineRule="auto"/>
        <w:jc w:val="both"/>
        <w:rPr>
          <w:rFonts w:cs="Arial"/>
          <w:szCs w:val="20"/>
        </w:rPr>
      </w:pPr>
      <w:r>
        <w:rPr>
          <w:rFonts w:cs="Arial"/>
          <w:szCs w:val="20"/>
        </w:rPr>
        <w:t>–</w:t>
      </w:r>
      <w:r w:rsidR="000D1998" w:rsidRPr="00445B9C">
        <w:rPr>
          <w:rFonts w:cs="Arial"/>
          <w:szCs w:val="20"/>
        </w:rPr>
        <w:t xml:space="preserve"> </w:t>
      </w:r>
      <w:r w:rsidR="009E77F4" w:rsidRPr="00445B9C">
        <w:rPr>
          <w:rFonts w:cs="Arial"/>
          <w:szCs w:val="20"/>
        </w:rPr>
        <w:t xml:space="preserve">Direktivo 98/26/ES Evropskega parlamenta in Sveta z dne 19. maja 1998 o dokončnosti poravnave pri plačilih in sistemih poravnave vrednostnih papirjev (UL L št. 166 z dne 11. 6. 1998, str. 45), </w:t>
      </w:r>
      <w:r w:rsidR="00D67963" w:rsidRPr="00445B9C">
        <w:rPr>
          <w:rFonts w:cs="Arial"/>
          <w:szCs w:val="20"/>
        </w:rPr>
        <w:t>in sicer</w:t>
      </w:r>
      <w:r w:rsidR="009E77F4" w:rsidRPr="00445B9C">
        <w:rPr>
          <w:rFonts w:cs="Arial"/>
          <w:szCs w:val="20"/>
        </w:rPr>
        <w:t xml:space="preserve"> Uredb</w:t>
      </w:r>
      <w:r w:rsidR="00D67963" w:rsidRPr="00445B9C">
        <w:rPr>
          <w:rFonts w:cs="Arial"/>
          <w:szCs w:val="20"/>
        </w:rPr>
        <w:t>a</w:t>
      </w:r>
      <w:r w:rsidR="009E77F4" w:rsidRPr="00445B9C">
        <w:rPr>
          <w:rFonts w:cs="Arial"/>
          <w:szCs w:val="20"/>
        </w:rPr>
        <w:t xml:space="preserve"> (EU) 2024/886 Evropskega parlamenta in Sveta z dne 13. </w:t>
      </w:r>
      <w:r>
        <w:rPr>
          <w:rFonts w:cs="Arial"/>
          <w:szCs w:val="20"/>
        </w:rPr>
        <w:t>m</w:t>
      </w:r>
      <w:r w:rsidR="009E77F4" w:rsidRPr="00445B9C">
        <w:rPr>
          <w:rFonts w:cs="Arial"/>
          <w:szCs w:val="20"/>
        </w:rPr>
        <w:t>arca 2024 o spremembi uredb (EU) št. 260/2012 in (EU) 2021/1230 ter direktiv 98/26/ES in (EU) 2015/2366 glede takojšnjih kreditnih prenosov v eurih (UL L, 2024/886, 19.3.2024), (v nadaljnjem besedilu: Direktiva 98/26/ES)</w:t>
      </w:r>
      <w:r w:rsidR="00D67963" w:rsidRPr="00445B9C">
        <w:rPr>
          <w:rFonts w:cs="Arial"/>
          <w:szCs w:val="20"/>
        </w:rPr>
        <w:t>;</w:t>
      </w:r>
      <w:r w:rsidR="009E77F4" w:rsidRPr="00445B9C">
        <w:rPr>
          <w:rFonts w:cs="Arial"/>
          <w:szCs w:val="20"/>
        </w:rPr>
        <w:t xml:space="preserve"> in </w:t>
      </w:r>
    </w:p>
    <w:p w14:paraId="263CAB66" w14:textId="31402FB9" w:rsidR="00D67963" w:rsidRPr="00445B9C" w:rsidRDefault="001A1DE5" w:rsidP="009E77F4">
      <w:pPr>
        <w:spacing w:line="276" w:lineRule="auto"/>
        <w:jc w:val="both"/>
        <w:rPr>
          <w:rFonts w:cs="Arial"/>
          <w:szCs w:val="20"/>
        </w:rPr>
      </w:pPr>
      <w:r>
        <w:rPr>
          <w:rFonts w:cs="Arial"/>
          <w:szCs w:val="20"/>
        </w:rPr>
        <w:t>–</w:t>
      </w:r>
      <w:r w:rsidR="000D1998" w:rsidRPr="00445B9C">
        <w:rPr>
          <w:rFonts w:cs="Arial"/>
          <w:szCs w:val="20"/>
        </w:rPr>
        <w:t xml:space="preserve"> </w:t>
      </w:r>
      <w:r w:rsidR="009E77F4" w:rsidRPr="00445B9C">
        <w:rPr>
          <w:rFonts w:cs="Arial"/>
          <w:szCs w:val="20"/>
        </w:rPr>
        <w:t xml:space="preserve">Direktivo 2014/65/EU Evropskega parlamenta in Sveta z dne 15. maja 2014 o trgih finančnih instrumentov ter spremembi Direktive 2002/92/ES in Direktive 2011/61/EU (UL L št. 173 z dne 12. 6. 2014, str. 349), </w:t>
      </w:r>
      <w:r w:rsidR="00D67963" w:rsidRPr="00445B9C">
        <w:rPr>
          <w:rFonts w:cs="Arial"/>
          <w:szCs w:val="20"/>
        </w:rPr>
        <w:t>in sicer</w:t>
      </w:r>
      <w:r w:rsidR="009E77F4" w:rsidRPr="00445B9C">
        <w:rPr>
          <w:rFonts w:cs="Arial"/>
          <w:szCs w:val="20"/>
        </w:rPr>
        <w:t xml:space="preserve"> Direktiv</w:t>
      </w:r>
      <w:r w:rsidR="00D67963" w:rsidRPr="00445B9C">
        <w:rPr>
          <w:rFonts w:cs="Arial"/>
          <w:szCs w:val="20"/>
        </w:rPr>
        <w:t>a</w:t>
      </w:r>
      <w:r w:rsidR="009E77F4" w:rsidRPr="00445B9C">
        <w:rPr>
          <w:rFonts w:cs="Arial"/>
          <w:szCs w:val="20"/>
        </w:rPr>
        <w:t xml:space="preserve"> (EU) 2024/790 Evropskega parlamenta in Sveta z dne 28. februarja 2024 o spremembi Direktive 2014/65/EU o trgih finančnih instrumentov (UL L št. 790 z dne 8.3.2024, str. 1), (v nadaljnjem besedilu: Direktiva 2014/65/EU). </w:t>
      </w:r>
    </w:p>
    <w:p w14:paraId="00882B0B" w14:textId="77777777" w:rsidR="00D67963" w:rsidRPr="00445B9C" w:rsidRDefault="00D67963" w:rsidP="009E77F4">
      <w:pPr>
        <w:spacing w:line="276" w:lineRule="auto"/>
        <w:jc w:val="both"/>
        <w:rPr>
          <w:rFonts w:cs="Arial"/>
          <w:szCs w:val="20"/>
        </w:rPr>
      </w:pPr>
    </w:p>
    <w:p w14:paraId="02E80750" w14:textId="19F1F9BC" w:rsidR="009E77F4" w:rsidRPr="00445B9C" w:rsidRDefault="009E77F4" w:rsidP="009E77F4">
      <w:pPr>
        <w:spacing w:line="276" w:lineRule="auto"/>
        <w:jc w:val="both"/>
        <w:rPr>
          <w:rFonts w:cs="Arial"/>
          <w:szCs w:val="20"/>
        </w:rPr>
      </w:pPr>
      <w:r w:rsidRPr="00445B9C">
        <w:rPr>
          <w:rFonts w:cs="Arial"/>
          <w:szCs w:val="20"/>
        </w:rPr>
        <w:t>Prav tako se zaradi prenosa Direktive (EU) 2022/2556 Evropskega parlamenta in Sveta z dne 14. decembra 2022 o spremembi direktiv 2009/65/ES, 2009/138/ES, 2011/61/EU, 2013/36/EU, 2014/59/EU, 2014/65/EU, (EU) 2015/2366 in (EU) 2016/2341 glede digitalne operativne odpornosti za finančni sektor (UL L št. 333 z dne 27. 12. 2022, str. 153</w:t>
      </w:r>
      <w:r w:rsidR="00B02A77">
        <w:rPr>
          <w:rFonts w:cs="Arial"/>
          <w:szCs w:val="20"/>
        </w:rPr>
        <w:t>;</w:t>
      </w:r>
      <w:r w:rsidRPr="00445B9C">
        <w:rPr>
          <w:rFonts w:cs="Arial"/>
          <w:szCs w:val="20"/>
        </w:rPr>
        <w:t xml:space="preserve"> v </w:t>
      </w:r>
      <w:r w:rsidR="00B02A77" w:rsidRPr="00445B9C">
        <w:rPr>
          <w:rFonts w:cs="Arial"/>
          <w:szCs w:val="20"/>
        </w:rPr>
        <w:t>nadaljnjem besedilu</w:t>
      </w:r>
      <w:r w:rsidRPr="00445B9C">
        <w:rPr>
          <w:rFonts w:cs="Arial"/>
          <w:szCs w:val="20"/>
        </w:rPr>
        <w:t>: Direktiva 2022/2556/EU) in Direktive (EU) 2023/2864 Evropskega parlamenta in Sveta z dne 13. decembra 2023 o spremembi nekaterih direktiv glede vzpostavitve in delovanja evropske enotne točke dostopa (UL L št. 2864 z dne 20. 12. 2023</w:t>
      </w:r>
      <w:r w:rsidR="00B02A77">
        <w:rPr>
          <w:rFonts w:cs="Arial"/>
          <w:szCs w:val="20"/>
        </w:rPr>
        <w:t>;</w:t>
      </w:r>
      <w:r w:rsidRPr="00445B9C">
        <w:rPr>
          <w:rFonts w:cs="Arial"/>
          <w:szCs w:val="20"/>
        </w:rPr>
        <w:t xml:space="preserve"> v </w:t>
      </w:r>
      <w:r w:rsidR="00B02A77" w:rsidRPr="00445B9C">
        <w:rPr>
          <w:rFonts w:cs="Arial"/>
          <w:szCs w:val="20"/>
        </w:rPr>
        <w:t>nadaljnjem besedilu</w:t>
      </w:r>
      <w:r w:rsidRPr="00445B9C">
        <w:rPr>
          <w:rFonts w:cs="Arial"/>
          <w:szCs w:val="20"/>
        </w:rPr>
        <w:t>: Direktiva 2023/2864/EU)</w:t>
      </w:r>
      <w:r w:rsidR="00CB3F2D" w:rsidRPr="00445B9C">
        <w:rPr>
          <w:rFonts w:cs="Arial"/>
          <w:szCs w:val="20"/>
        </w:rPr>
        <w:t xml:space="preserve"> prvi odstavek 2. člena ZTFI-1 dopolni z novima 17. in 18. točko</w:t>
      </w:r>
      <w:r w:rsidRPr="00445B9C">
        <w:rPr>
          <w:rFonts w:cs="Arial"/>
          <w:szCs w:val="20"/>
        </w:rPr>
        <w:t>.</w:t>
      </w:r>
    </w:p>
    <w:p w14:paraId="1A6D3207" w14:textId="77777777" w:rsidR="009E77F4" w:rsidRPr="00445B9C" w:rsidRDefault="009E77F4" w:rsidP="009E77F4">
      <w:pPr>
        <w:spacing w:line="276" w:lineRule="auto"/>
        <w:jc w:val="both"/>
        <w:rPr>
          <w:rFonts w:cs="Arial"/>
          <w:szCs w:val="20"/>
        </w:rPr>
      </w:pPr>
      <w:r w:rsidRPr="00445B9C">
        <w:rPr>
          <w:rFonts w:cs="Arial"/>
          <w:szCs w:val="20"/>
        </w:rPr>
        <w:t xml:space="preserve"> </w:t>
      </w:r>
    </w:p>
    <w:p w14:paraId="6A24EABA" w14:textId="3BEEEFFD" w:rsidR="000C34BD" w:rsidRPr="00445B9C" w:rsidRDefault="000C34BD" w:rsidP="009E77F4">
      <w:pPr>
        <w:spacing w:line="276" w:lineRule="auto"/>
        <w:jc w:val="both"/>
        <w:rPr>
          <w:rFonts w:cs="Arial"/>
          <w:szCs w:val="20"/>
        </w:rPr>
      </w:pPr>
      <w:r w:rsidRPr="00445B9C">
        <w:rPr>
          <w:rFonts w:cs="Arial"/>
          <w:szCs w:val="20"/>
        </w:rPr>
        <w:t>V</w:t>
      </w:r>
      <w:r w:rsidR="009E77F4" w:rsidRPr="00445B9C">
        <w:rPr>
          <w:rFonts w:cs="Arial"/>
          <w:szCs w:val="20"/>
        </w:rPr>
        <w:t xml:space="preserve"> drugem odstavku</w:t>
      </w:r>
      <w:r w:rsidRPr="00445B9C">
        <w:rPr>
          <w:rFonts w:cs="Arial"/>
          <w:szCs w:val="20"/>
        </w:rPr>
        <w:t xml:space="preserve"> 2. člena se v 2. točki</w:t>
      </w:r>
      <w:r w:rsidR="009E77F4" w:rsidRPr="00445B9C">
        <w:rPr>
          <w:rFonts w:cs="Arial"/>
          <w:szCs w:val="20"/>
        </w:rPr>
        <w:t xml:space="preserve"> spremeni navedba Uredbe </w:t>
      </w:r>
      <w:r w:rsidRPr="00445B9C">
        <w:rPr>
          <w:rFonts w:cs="Arial"/>
          <w:szCs w:val="20"/>
        </w:rPr>
        <w:t>575/2013</w:t>
      </w:r>
      <w:r w:rsidR="009E77F4" w:rsidRPr="00445B9C">
        <w:rPr>
          <w:rFonts w:cs="Arial"/>
          <w:szCs w:val="20"/>
        </w:rPr>
        <w:t xml:space="preserve">/EU, ki je bila </w:t>
      </w:r>
      <w:r w:rsidR="00B02A77">
        <w:rPr>
          <w:rFonts w:cs="Arial"/>
          <w:szCs w:val="20"/>
        </w:rPr>
        <w:t>na</w:t>
      </w:r>
      <w:r w:rsidR="009E77F4" w:rsidRPr="00445B9C">
        <w:rPr>
          <w:rFonts w:cs="Arial"/>
          <w:szCs w:val="20"/>
        </w:rPr>
        <w:t>zadnj</w:t>
      </w:r>
      <w:r w:rsidR="00B02A77">
        <w:rPr>
          <w:rFonts w:cs="Arial"/>
          <w:szCs w:val="20"/>
        </w:rPr>
        <w:t>e</w:t>
      </w:r>
      <w:r w:rsidR="009E77F4" w:rsidRPr="00445B9C">
        <w:rPr>
          <w:rFonts w:cs="Arial"/>
          <w:szCs w:val="20"/>
        </w:rPr>
        <w:t xml:space="preserve"> spremenjena</w:t>
      </w:r>
      <w:r w:rsidRPr="00445B9C">
        <w:rPr>
          <w:rFonts w:cs="Arial"/>
          <w:szCs w:val="20"/>
        </w:rPr>
        <w:t xml:space="preserve"> z Uredbo (EU) 2022/2036 Evropskega parlamenta in Sveta z dne 19. oktobra 2022 o spremembi Uredbe (EU) št. 575/2013 in Direktive 2014/59/EU v zvezi z bonitetno obravnavo globalnih sistemsko pomembnih institucij s strategijo reševanja z več vstopnimi točkami in metodami za posredni vpis instrumentov, primernih za izpolnjevanje minimalne zahteve glede kapitala in kvalificiranih obveznosti (UL L št. 275 z dne 25. 10. 2022, str. 1). V osmi točki pa se spremeni navedba Uredbe 600/2014/EU ki je bila </w:t>
      </w:r>
      <w:proofErr w:type="spellStart"/>
      <w:r w:rsidR="00B02A77">
        <w:rPr>
          <w:rFonts w:cs="Arial"/>
          <w:szCs w:val="20"/>
        </w:rPr>
        <w:t>na</w:t>
      </w:r>
      <w:r w:rsidRPr="00445B9C">
        <w:rPr>
          <w:rFonts w:cs="Arial"/>
          <w:szCs w:val="20"/>
        </w:rPr>
        <w:t>zadnj</w:t>
      </w:r>
      <w:r w:rsidR="00B02A77">
        <w:rPr>
          <w:rFonts w:cs="Arial"/>
          <w:szCs w:val="20"/>
        </w:rPr>
        <w:t>a</w:t>
      </w:r>
      <w:proofErr w:type="spellEnd"/>
      <w:r w:rsidRPr="00445B9C">
        <w:rPr>
          <w:rFonts w:cs="Arial"/>
          <w:szCs w:val="20"/>
        </w:rPr>
        <w:t xml:space="preserve"> spremenjena z Uredbo (EU) 2024/791 Evropskega parlamenta in Sveta z dne 28. februarja 2024 o spremembi Uredbe (EU) št. 600/2014 v zvezi z izboljšanjem preglednosti podatkov, odpravo ovir za vzpostavitev sistema stalnih informacij, optimizacijo obveznosti trgovanja in prepovedjo prejemanja plačil za tok naročil (UL L, 2024/791 z dne 8.3.2024)</w:t>
      </w:r>
      <w:r w:rsidR="004D24E9" w:rsidRPr="00445B9C">
        <w:rPr>
          <w:rFonts w:cs="Arial"/>
          <w:szCs w:val="20"/>
        </w:rPr>
        <w:t>.</w:t>
      </w:r>
    </w:p>
    <w:p w14:paraId="254DCB42" w14:textId="77777777" w:rsidR="00FE0F83" w:rsidRPr="00445B9C" w:rsidRDefault="00FE0F83" w:rsidP="00C64B3F">
      <w:pPr>
        <w:spacing w:line="276" w:lineRule="auto"/>
        <w:jc w:val="both"/>
        <w:rPr>
          <w:rFonts w:cs="Arial"/>
          <w:szCs w:val="20"/>
        </w:rPr>
      </w:pPr>
    </w:p>
    <w:p w14:paraId="347B7181" w14:textId="4D2944A0"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_Ref192067043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2. </w:t>
      </w:r>
      <w:r w:rsidR="00CF0FDA" w:rsidRPr="00445B9C">
        <w:rPr>
          <w:rFonts w:cs="Arial"/>
          <w:b/>
          <w:bCs/>
          <w:szCs w:val="20"/>
        </w:rPr>
        <w:fldChar w:fldCharType="end"/>
      </w:r>
      <w:r w:rsidRPr="00445B9C">
        <w:rPr>
          <w:rFonts w:cs="Arial"/>
          <w:b/>
          <w:bCs/>
          <w:szCs w:val="20"/>
        </w:rPr>
        <w:t>členu</w:t>
      </w:r>
    </w:p>
    <w:p w14:paraId="6D4995A7" w14:textId="2BA45652" w:rsidR="005173AB" w:rsidRPr="00445B9C" w:rsidRDefault="005173AB" w:rsidP="005173AB">
      <w:pPr>
        <w:spacing w:line="276" w:lineRule="auto"/>
        <w:jc w:val="both"/>
        <w:rPr>
          <w:rFonts w:cs="Arial"/>
          <w:szCs w:val="20"/>
        </w:rPr>
      </w:pPr>
      <w:r w:rsidRPr="00445B9C">
        <w:rPr>
          <w:rFonts w:cs="Arial"/>
          <w:szCs w:val="20"/>
        </w:rPr>
        <w:t>Sprememba drugega odstavka 4. člena ZTFI-1 je potrebna, da se zagotovi skladnost z veljavnimi pravnimi akti EU, ki so bili posodobljeni ali nadomeščeni, s čimer se ohranja</w:t>
      </w:r>
      <w:r w:rsidR="00B02A77">
        <w:rPr>
          <w:rFonts w:cs="Arial"/>
          <w:szCs w:val="20"/>
        </w:rPr>
        <w:t>ta</w:t>
      </w:r>
      <w:r w:rsidRPr="00445B9C">
        <w:rPr>
          <w:rFonts w:cs="Arial"/>
          <w:szCs w:val="20"/>
        </w:rPr>
        <w:t xml:space="preserve"> pravna pravilnost in usklajenost nacionalne zakonodaje predpisi</w:t>
      </w:r>
      <w:r w:rsidR="00881A8F">
        <w:rPr>
          <w:rFonts w:cs="Arial"/>
          <w:szCs w:val="20"/>
        </w:rPr>
        <w:t xml:space="preserve"> EU</w:t>
      </w:r>
      <w:r w:rsidRPr="00445B9C">
        <w:rPr>
          <w:rFonts w:cs="Arial"/>
          <w:szCs w:val="20"/>
        </w:rPr>
        <w:t>. Namen uskladitve je zagotoviti jasnost, natančnost in doslednost pri sklicevanju na akte EU ter preprečiti morebitne neskladnosti pri izvajanju predpisa.</w:t>
      </w:r>
    </w:p>
    <w:p w14:paraId="5F56647B" w14:textId="529C6E6A" w:rsidR="00FE0F83" w:rsidRPr="00445B9C" w:rsidRDefault="00FE0F83" w:rsidP="00C64B3F">
      <w:pPr>
        <w:spacing w:line="276" w:lineRule="auto"/>
        <w:jc w:val="both"/>
        <w:rPr>
          <w:rFonts w:cs="Arial"/>
          <w:szCs w:val="20"/>
        </w:rPr>
      </w:pPr>
    </w:p>
    <w:p w14:paraId="1059A538" w14:textId="77777777" w:rsidR="00FE0F83" w:rsidRPr="00445B9C" w:rsidRDefault="00FE0F83" w:rsidP="00C64B3F">
      <w:pPr>
        <w:spacing w:line="276" w:lineRule="auto"/>
        <w:jc w:val="both"/>
        <w:rPr>
          <w:rFonts w:cs="Arial"/>
          <w:szCs w:val="20"/>
        </w:rPr>
      </w:pPr>
    </w:p>
    <w:p w14:paraId="5A240359" w14:textId="433A8D36"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_Ref192067056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3. </w:t>
      </w:r>
      <w:r w:rsidR="00CF0FDA" w:rsidRPr="00445B9C">
        <w:rPr>
          <w:rFonts w:cs="Arial"/>
          <w:b/>
          <w:bCs/>
          <w:szCs w:val="20"/>
        </w:rPr>
        <w:fldChar w:fldCharType="end"/>
      </w:r>
      <w:r w:rsidRPr="00445B9C">
        <w:rPr>
          <w:rFonts w:cs="Arial"/>
          <w:b/>
          <w:bCs/>
          <w:szCs w:val="20"/>
        </w:rPr>
        <w:t>členu</w:t>
      </w:r>
    </w:p>
    <w:p w14:paraId="32A15B67" w14:textId="7BC05143" w:rsidR="00FE0F83" w:rsidRPr="00445B9C" w:rsidRDefault="009F5EB1" w:rsidP="00AE2EEF">
      <w:pPr>
        <w:spacing w:line="276" w:lineRule="auto"/>
        <w:jc w:val="both"/>
        <w:rPr>
          <w:rFonts w:cs="Arial"/>
          <w:szCs w:val="20"/>
        </w:rPr>
      </w:pPr>
      <w:r w:rsidRPr="00445B9C">
        <w:rPr>
          <w:rFonts w:cs="Arial"/>
          <w:szCs w:val="20"/>
        </w:rPr>
        <w:t xml:space="preserve">Tretji odstavek </w:t>
      </w:r>
      <w:r w:rsidR="003F6E1F" w:rsidRPr="00445B9C">
        <w:rPr>
          <w:rFonts w:cs="Arial"/>
          <w:szCs w:val="20"/>
        </w:rPr>
        <w:t>5. člen</w:t>
      </w:r>
      <w:r w:rsidRPr="00445B9C">
        <w:rPr>
          <w:rFonts w:cs="Arial"/>
          <w:szCs w:val="20"/>
        </w:rPr>
        <w:t>a</w:t>
      </w:r>
      <w:r w:rsidR="003F6E1F" w:rsidRPr="00445B9C">
        <w:rPr>
          <w:rFonts w:cs="Arial"/>
          <w:szCs w:val="20"/>
        </w:rPr>
        <w:t xml:space="preserve"> ZTFI-1 se spreminja zaradi uskladitve z </w:t>
      </w:r>
      <w:r w:rsidR="00AA6892" w:rsidRPr="00445B9C">
        <w:rPr>
          <w:rFonts w:cs="Arial"/>
          <w:szCs w:val="20"/>
        </w:rPr>
        <w:t>Zakon</w:t>
      </w:r>
      <w:r w:rsidR="00AC0977" w:rsidRPr="00445B9C">
        <w:rPr>
          <w:rFonts w:cs="Arial"/>
          <w:szCs w:val="20"/>
        </w:rPr>
        <w:t>om</w:t>
      </w:r>
      <w:r w:rsidR="00AA6892" w:rsidRPr="00445B9C">
        <w:rPr>
          <w:rFonts w:cs="Arial"/>
          <w:szCs w:val="20"/>
        </w:rPr>
        <w:t xml:space="preserve"> o spremembah in dopolnitvah Zakona o bančništvu (v </w:t>
      </w:r>
      <w:r w:rsidR="00B02A77" w:rsidRPr="00445B9C">
        <w:rPr>
          <w:rFonts w:cs="Arial"/>
          <w:szCs w:val="20"/>
        </w:rPr>
        <w:t>nadaljnjem besedilu</w:t>
      </w:r>
      <w:r w:rsidR="00AA6892" w:rsidRPr="00445B9C">
        <w:rPr>
          <w:rFonts w:cs="Arial"/>
          <w:szCs w:val="20"/>
        </w:rPr>
        <w:t xml:space="preserve">: ZBan-3A). </w:t>
      </w:r>
      <w:r w:rsidR="003F6E1F" w:rsidRPr="00445B9C">
        <w:rPr>
          <w:rFonts w:cs="Arial"/>
          <w:szCs w:val="20"/>
        </w:rPr>
        <w:t xml:space="preserve">V skladu z ZBan-3A se izraz </w:t>
      </w:r>
      <w:r w:rsidR="00E25B39" w:rsidRPr="00445B9C">
        <w:rPr>
          <w:rFonts w:cs="Arial"/>
          <w:szCs w:val="20"/>
        </w:rPr>
        <w:t xml:space="preserve">»modelsko tveganje« črta, saj je bila zadevna definicija </w:t>
      </w:r>
      <w:r w:rsidR="001334BB">
        <w:rPr>
          <w:rFonts w:cs="Arial"/>
          <w:szCs w:val="20"/>
        </w:rPr>
        <w:t>s spremembo</w:t>
      </w:r>
      <w:r w:rsidR="00E25B39" w:rsidRPr="00445B9C">
        <w:rPr>
          <w:rFonts w:cs="Arial"/>
          <w:szCs w:val="20"/>
        </w:rPr>
        <w:t xml:space="preserve"> ZBan-3 odpravljena, doda </w:t>
      </w:r>
      <w:r w:rsidR="00E25B39" w:rsidRPr="00445B9C">
        <w:rPr>
          <w:rFonts w:cs="Arial"/>
          <w:szCs w:val="20"/>
        </w:rPr>
        <w:lastRenderedPageBreak/>
        <w:t xml:space="preserve">pa se izraz </w:t>
      </w:r>
      <w:r w:rsidR="003F6E1F" w:rsidRPr="00445B9C">
        <w:rPr>
          <w:rFonts w:cs="Arial"/>
          <w:szCs w:val="20"/>
        </w:rPr>
        <w:t>»kreditna družba«</w:t>
      </w:r>
      <w:r w:rsidR="00E25B39" w:rsidRPr="00445B9C">
        <w:rPr>
          <w:rFonts w:cs="Arial"/>
          <w:szCs w:val="20"/>
        </w:rPr>
        <w:t>, ki se</w:t>
      </w:r>
      <w:r w:rsidR="003F6E1F" w:rsidRPr="00445B9C">
        <w:rPr>
          <w:rFonts w:cs="Arial"/>
          <w:szCs w:val="20"/>
        </w:rPr>
        <w:t xml:space="preserve"> v tem zakonu uporablja za družbo iz </w:t>
      </w:r>
      <w:r w:rsidR="00AE2EEF" w:rsidRPr="00445B9C">
        <w:rPr>
          <w:rFonts w:cs="Arial"/>
          <w:szCs w:val="20"/>
        </w:rPr>
        <w:t>podtočke (b) 1. točke prvega odstavka 4. člena Uredbe 575/2013/EU s sedežem v Republiki Sloveniji, ki je pridobila dovoljenje za opravljanje investicijskih storitev in poslov iz 3. in 6. točke prvega odstavka 11. člena ZTFI-1 kot kreditna institucija v skladu s tem zakonom.</w:t>
      </w:r>
      <w:r w:rsidR="00D05F8E" w:rsidRPr="00445B9C">
        <w:rPr>
          <w:rFonts w:cs="Arial"/>
          <w:szCs w:val="20"/>
        </w:rPr>
        <w:t xml:space="preserve"> Navedena sprememba se vnese v več členov ZTFI-1.</w:t>
      </w:r>
    </w:p>
    <w:p w14:paraId="733C51BC" w14:textId="573144C8" w:rsidR="00FE0F83" w:rsidRPr="00445B9C" w:rsidRDefault="009F5EB1" w:rsidP="00C64B3F">
      <w:pPr>
        <w:spacing w:line="276" w:lineRule="auto"/>
        <w:jc w:val="both"/>
        <w:rPr>
          <w:rFonts w:cs="Arial"/>
          <w:szCs w:val="20"/>
        </w:rPr>
      </w:pPr>
      <w:r w:rsidRPr="00445B9C">
        <w:rPr>
          <w:rFonts w:cs="Arial"/>
          <w:szCs w:val="20"/>
        </w:rPr>
        <w:t>Ker se v zakonu uporablja nov pojem »evropska enotna točka dostopa«, se predlaga navezava njegove opredelitve na 1. člen Uredbe 2023/2859/EU</w:t>
      </w:r>
      <w:r w:rsidR="007B5CAB" w:rsidRPr="00445B9C">
        <w:rPr>
          <w:rFonts w:cs="Arial"/>
          <w:szCs w:val="20"/>
        </w:rPr>
        <w:t>, ki določa ustanovitev evropske enotne točke dostopa (</w:t>
      </w:r>
      <w:r w:rsidR="00E25B39" w:rsidRPr="00445B9C">
        <w:rPr>
          <w:rFonts w:cs="Arial"/>
          <w:szCs w:val="20"/>
        </w:rPr>
        <w:t>v nadaljnjem besedilu</w:t>
      </w:r>
      <w:r w:rsidR="007B5CAB" w:rsidRPr="00445B9C">
        <w:rPr>
          <w:rFonts w:cs="Arial"/>
          <w:szCs w:val="20"/>
        </w:rPr>
        <w:t>: ESAP) in obseg centraliziranega dostopa do informacij.</w:t>
      </w:r>
    </w:p>
    <w:p w14:paraId="076602F1" w14:textId="77777777" w:rsidR="006327B8" w:rsidRPr="00445B9C" w:rsidRDefault="006327B8" w:rsidP="00C64B3F">
      <w:pPr>
        <w:spacing w:line="276" w:lineRule="auto"/>
        <w:jc w:val="both"/>
        <w:rPr>
          <w:rFonts w:cs="Arial"/>
          <w:szCs w:val="20"/>
        </w:rPr>
      </w:pPr>
    </w:p>
    <w:p w14:paraId="7E0713B6" w14:textId="3848175A" w:rsidR="006327B8" w:rsidRPr="00445B9C" w:rsidRDefault="006327B8" w:rsidP="00C64B3F">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_Ref196824312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4. </w:t>
      </w:r>
      <w:r w:rsidRPr="00445B9C">
        <w:rPr>
          <w:rFonts w:cs="Arial"/>
          <w:b/>
          <w:bCs/>
          <w:szCs w:val="20"/>
        </w:rPr>
        <w:fldChar w:fldCharType="end"/>
      </w:r>
      <w:r w:rsidRPr="00445B9C">
        <w:rPr>
          <w:rFonts w:cs="Arial"/>
          <w:b/>
          <w:bCs/>
          <w:szCs w:val="20"/>
        </w:rPr>
        <w:t>členu</w:t>
      </w:r>
    </w:p>
    <w:p w14:paraId="20303AAC" w14:textId="40B49D27" w:rsidR="006327B8" w:rsidRPr="00445B9C" w:rsidRDefault="006327B8" w:rsidP="00C64B3F">
      <w:pPr>
        <w:spacing w:line="276" w:lineRule="auto"/>
        <w:jc w:val="both"/>
        <w:rPr>
          <w:rFonts w:cs="Arial"/>
          <w:szCs w:val="20"/>
        </w:rPr>
      </w:pPr>
      <w:r w:rsidRPr="00445B9C">
        <w:rPr>
          <w:rFonts w:cs="Arial"/>
          <w:szCs w:val="20"/>
        </w:rPr>
        <w:t xml:space="preserve">Besedilo 20.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členu predloga zakona.</w:t>
      </w:r>
    </w:p>
    <w:p w14:paraId="6C1898E6" w14:textId="77777777" w:rsidR="00FE0F83" w:rsidRPr="00445B9C" w:rsidRDefault="00FE0F83" w:rsidP="00C64B3F">
      <w:pPr>
        <w:spacing w:line="276" w:lineRule="auto"/>
        <w:jc w:val="both"/>
        <w:rPr>
          <w:rFonts w:cs="Arial"/>
          <w:szCs w:val="20"/>
        </w:rPr>
      </w:pPr>
    </w:p>
    <w:p w14:paraId="06AE9649" w14:textId="6BFDC99E" w:rsidR="00FE0F83" w:rsidRPr="00445B9C" w:rsidRDefault="00FE0F83" w:rsidP="00FE0F83">
      <w:pPr>
        <w:spacing w:line="276" w:lineRule="auto"/>
        <w:jc w:val="both"/>
        <w:rPr>
          <w:rFonts w:cs="Arial"/>
          <w:b/>
          <w:bCs/>
          <w:szCs w:val="20"/>
        </w:rPr>
      </w:pPr>
      <w:r w:rsidRPr="00445B9C">
        <w:rPr>
          <w:rFonts w:cs="Arial"/>
          <w:b/>
          <w:bCs/>
          <w:szCs w:val="20"/>
        </w:rPr>
        <w:t xml:space="preserve">K </w:t>
      </w:r>
      <w:r w:rsidR="00F27967" w:rsidRPr="00445B9C">
        <w:rPr>
          <w:rFonts w:cs="Arial"/>
          <w:b/>
          <w:bCs/>
          <w:szCs w:val="20"/>
        </w:rPr>
        <w:fldChar w:fldCharType="begin"/>
      </w:r>
      <w:r w:rsidR="00F27967" w:rsidRPr="00445B9C">
        <w:rPr>
          <w:rFonts w:cs="Arial"/>
          <w:b/>
          <w:bCs/>
          <w:szCs w:val="20"/>
        </w:rPr>
        <w:instrText xml:space="preserve"> REF _Ref196733803 \r \h </w:instrText>
      </w:r>
      <w:r w:rsidR="00445B9C" w:rsidRPr="00445B9C">
        <w:rPr>
          <w:rFonts w:cs="Arial"/>
          <w:b/>
          <w:bCs/>
          <w:szCs w:val="20"/>
        </w:rPr>
        <w:instrText xml:space="preserve"> \* MERGEFORMAT </w:instrText>
      </w:r>
      <w:r w:rsidR="00F27967" w:rsidRPr="00445B9C">
        <w:rPr>
          <w:rFonts w:cs="Arial"/>
          <w:b/>
          <w:bCs/>
          <w:szCs w:val="20"/>
        </w:rPr>
      </w:r>
      <w:r w:rsidR="00F27967" w:rsidRPr="00445B9C">
        <w:rPr>
          <w:rFonts w:cs="Arial"/>
          <w:b/>
          <w:bCs/>
          <w:szCs w:val="20"/>
        </w:rPr>
        <w:fldChar w:fldCharType="separate"/>
      </w:r>
      <w:r w:rsidR="001638A0" w:rsidRPr="00445B9C">
        <w:rPr>
          <w:rFonts w:cs="Arial"/>
          <w:b/>
          <w:bCs/>
          <w:szCs w:val="20"/>
        </w:rPr>
        <w:t xml:space="preserve">5. </w:t>
      </w:r>
      <w:r w:rsidR="00F27967" w:rsidRPr="00445B9C">
        <w:rPr>
          <w:rFonts w:cs="Arial"/>
          <w:b/>
          <w:bCs/>
          <w:szCs w:val="20"/>
        </w:rPr>
        <w:fldChar w:fldCharType="end"/>
      </w:r>
      <w:r w:rsidRPr="00445B9C">
        <w:rPr>
          <w:rFonts w:cs="Arial"/>
          <w:b/>
          <w:bCs/>
          <w:szCs w:val="20"/>
        </w:rPr>
        <w:t>členu</w:t>
      </w:r>
    </w:p>
    <w:p w14:paraId="1042A607" w14:textId="655A6D61" w:rsidR="00A17AD3" w:rsidRPr="00445B9C" w:rsidRDefault="00211B20" w:rsidP="00E5600E">
      <w:pPr>
        <w:spacing w:line="276" w:lineRule="auto"/>
        <w:jc w:val="both"/>
        <w:rPr>
          <w:rFonts w:cs="Arial"/>
          <w:szCs w:val="20"/>
        </w:rPr>
      </w:pPr>
      <w:r w:rsidRPr="00445B9C">
        <w:rPr>
          <w:rFonts w:cs="Arial"/>
          <w:szCs w:val="20"/>
        </w:rPr>
        <w:t>ZTFI-1</w:t>
      </w:r>
      <w:r w:rsidR="00EF3ADD" w:rsidRPr="00445B9C">
        <w:rPr>
          <w:rFonts w:cs="Arial"/>
          <w:szCs w:val="20"/>
        </w:rPr>
        <w:t xml:space="preserve"> </w:t>
      </w:r>
      <w:r w:rsidR="00536510">
        <w:rPr>
          <w:rFonts w:cs="Arial"/>
          <w:szCs w:val="20"/>
        </w:rPr>
        <w:t xml:space="preserve">v </w:t>
      </w:r>
      <w:r w:rsidR="00536510" w:rsidRPr="00445B9C">
        <w:rPr>
          <w:rFonts w:cs="Arial"/>
          <w:szCs w:val="20"/>
        </w:rPr>
        <w:t>28. člen</w:t>
      </w:r>
      <w:r w:rsidR="00536510">
        <w:rPr>
          <w:rFonts w:cs="Arial"/>
          <w:szCs w:val="20"/>
        </w:rPr>
        <w:t>u</w:t>
      </w:r>
      <w:r w:rsidR="00536510" w:rsidRPr="00445B9C">
        <w:rPr>
          <w:rFonts w:cs="Arial"/>
          <w:szCs w:val="20"/>
        </w:rPr>
        <w:t xml:space="preserve"> </w:t>
      </w:r>
      <w:r w:rsidRPr="00445B9C">
        <w:rPr>
          <w:rFonts w:cs="Arial"/>
          <w:szCs w:val="20"/>
        </w:rPr>
        <w:t>opredeljuje večstranski sistem</w:t>
      </w:r>
      <w:r w:rsidR="0004194C" w:rsidRPr="00445B9C">
        <w:rPr>
          <w:rFonts w:cs="Arial"/>
          <w:szCs w:val="20"/>
        </w:rPr>
        <w:t xml:space="preserve"> kot sistem ali infrastrukturo, v kateri lahko vzajemno delujejo nakupni in prodajni interesi več tretjih oseb v zvezi s finančnimi instrumenti. Nadalje v drugem odstavku določa, da morajo delovati</w:t>
      </w:r>
      <w:r w:rsidRPr="00445B9C">
        <w:rPr>
          <w:rFonts w:cs="Arial"/>
          <w:szCs w:val="20"/>
        </w:rPr>
        <w:t xml:space="preserve"> v skladu z zahtevami za regulirane trge, večstranske sisteme trgovanja (MTF) ali organizirane sisteme trgovanja (OTF). Vendar </w:t>
      </w:r>
      <w:r w:rsidR="0004194C" w:rsidRPr="00445B9C">
        <w:rPr>
          <w:rFonts w:cs="Arial"/>
          <w:szCs w:val="20"/>
        </w:rPr>
        <w:t>so se v praksi pokazale pomanjkljivosti tega sistema</w:t>
      </w:r>
      <w:r w:rsidRPr="00445B9C">
        <w:rPr>
          <w:rFonts w:cs="Arial"/>
          <w:szCs w:val="20"/>
        </w:rPr>
        <w:t xml:space="preserve"> </w:t>
      </w:r>
      <w:r w:rsidR="0004194C" w:rsidRPr="00445B9C">
        <w:rPr>
          <w:rFonts w:cs="Arial"/>
          <w:szCs w:val="20"/>
        </w:rPr>
        <w:t xml:space="preserve">na območju EU, kar je ugotovil </w:t>
      </w:r>
      <w:r w:rsidRPr="00445B9C">
        <w:rPr>
          <w:rFonts w:cs="Arial"/>
          <w:szCs w:val="20"/>
        </w:rPr>
        <w:t>Evropski organ za vrednostne papirje in trge (</w:t>
      </w:r>
      <w:r w:rsidR="0004194C" w:rsidRPr="00445B9C">
        <w:rPr>
          <w:rFonts w:cs="Arial"/>
          <w:szCs w:val="20"/>
        </w:rPr>
        <w:t xml:space="preserve">v </w:t>
      </w:r>
      <w:r w:rsidR="00352700" w:rsidRPr="00445B9C">
        <w:rPr>
          <w:rFonts w:cs="Arial"/>
          <w:szCs w:val="20"/>
        </w:rPr>
        <w:t>nadaljnjem besedilu:</w:t>
      </w:r>
      <w:r w:rsidR="0004194C" w:rsidRPr="00445B9C">
        <w:rPr>
          <w:rFonts w:cs="Arial"/>
          <w:szCs w:val="20"/>
        </w:rPr>
        <w:t xml:space="preserve"> </w:t>
      </w:r>
      <w:r w:rsidRPr="00445B9C">
        <w:rPr>
          <w:rFonts w:cs="Arial"/>
          <w:szCs w:val="20"/>
        </w:rPr>
        <w:t>ESMA) v svojem končnem poročilu z dne 23. marca 2021 o delovanju organiziranih sistemov trgovanja</w:t>
      </w:r>
      <w:r w:rsidR="0004194C" w:rsidRPr="00445B9C">
        <w:rPr>
          <w:rFonts w:cs="Arial"/>
          <w:szCs w:val="20"/>
        </w:rPr>
        <w:t>. V poročilu je bilo ugotovljeno, da</w:t>
      </w:r>
      <w:r w:rsidRPr="00445B9C">
        <w:rPr>
          <w:rFonts w:cs="Arial"/>
          <w:szCs w:val="20"/>
        </w:rPr>
        <w:t xml:space="preserve"> načelo, da je za večstranske </w:t>
      </w:r>
      <w:r w:rsidR="0004194C" w:rsidRPr="00445B9C">
        <w:rPr>
          <w:rFonts w:cs="Arial"/>
          <w:szCs w:val="20"/>
        </w:rPr>
        <w:t>sisteme</w:t>
      </w:r>
      <w:r w:rsidRPr="00445B9C">
        <w:rPr>
          <w:rFonts w:cs="Arial"/>
          <w:szCs w:val="20"/>
        </w:rPr>
        <w:t xml:space="preserve"> trgovanja potrebno dovoljenje</w:t>
      </w:r>
      <w:r w:rsidR="00536510">
        <w:rPr>
          <w:rFonts w:cs="Arial"/>
          <w:szCs w:val="20"/>
        </w:rPr>
        <w:t>,</w:t>
      </w:r>
      <w:r w:rsidRPr="00445B9C">
        <w:rPr>
          <w:rFonts w:cs="Arial"/>
          <w:szCs w:val="20"/>
        </w:rPr>
        <w:t xml:space="preserve"> v </w:t>
      </w:r>
      <w:r w:rsidR="0004194C" w:rsidRPr="00445B9C">
        <w:rPr>
          <w:rFonts w:cs="Arial"/>
          <w:szCs w:val="20"/>
        </w:rPr>
        <w:t>EU</w:t>
      </w:r>
      <w:r w:rsidRPr="00445B9C">
        <w:rPr>
          <w:rFonts w:cs="Arial"/>
          <w:szCs w:val="20"/>
        </w:rPr>
        <w:t xml:space="preserve"> ni bilo upoštevano, kar je privedlo do neenakih konkurenčnih pogojev med večstranskimi sistemi, ki imajo dovoljenje kot regulirani trg, MTF ali OTF, in večstranskimi sistemi, ki takega dovoljenja nimajo. Poleg tega je ta položaj za nekatere udeležence na trgu povzročil pravno negotovost glede regulativnih pričakovanj v zvezi s takimi večstranskimi sistemi. </w:t>
      </w:r>
      <w:r w:rsidR="0004194C" w:rsidRPr="00445B9C">
        <w:rPr>
          <w:rFonts w:cs="Arial"/>
          <w:szCs w:val="20"/>
        </w:rPr>
        <w:t>Da bi se zagotovil</w:t>
      </w:r>
      <w:r w:rsidR="00536510">
        <w:rPr>
          <w:rFonts w:cs="Arial"/>
          <w:szCs w:val="20"/>
        </w:rPr>
        <w:t>i</w:t>
      </w:r>
      <w:r w:rsidR="0004194C" w:rsidRPr="00445B9C">
        <w:rPr>
          <w:rFonts w:cs="Arial"/>
          <w:szCs w:val="20"/>
        </w:rPr>
        <w:t xml:space="preserve"> pravna varnost in enotnost na finančnih trgih EU, kar bi okrepilo zaupanje udeležencev na trgu ter izboljšalo delovanje notranjega trga</w:t>
      </w:r>
      <w:r w:rsidR="00536510">
        <w:rPr>
          <w:rFonts w:cs="Arial"/>
          <w:szCs w:val="20"/>
        </w:rPr>
        <w:t>,</w:t>
      </w:r>
      <w:r w:rsidR="0004194C" w:rsidRPr="00445B9C">
        <w:rPr>
          <w:rFonts w:cs="Arial"/>
          <w:szCs w:val="20"/>
        </w:rPr>
        <w:t xml:space="preserve"> se je navedena vsebina uredila v Uredbi 600/2014/EU. </w:t>
      </w:r>
      <w:r w:rsidR="00EF3ADD" w:rsidRPr="00445B9C">
        <w:rPr>
          <w:rFonts w:cs="Arial"/>
          <w:szCs w:val="20"/>
        </w:rPr>
        <w:t xml:space="preserve">Ker večstranski sistemi ne spadajo več na področje uporabe </w:t>
      </w:r>
      <w:r w:rsidR="00D27982" w:rsidRPr="00445B9C">
        <w:rPr>
          <w:rFonts w:cs="Arial"/>
          <w:szCs w:val="20"/>
        </w:rPr>
        <w:t xml:space="preserve">Direktive </w:t>
      </w:r>
      <w:r w:rsidR="00EF3ADD" w:rsidRPr="00445B9C">
        <w:rPr>
          <w:rFonts w:cs="Arial"/>
          <w:szCs w:val="20"/>
        </w:rPr>
        <w:t>2014/65/EU, ampak bodo vključeni v Uredbo 600/2014/EU</w:t>
      </w:r>
      <w:r w:rsidR="00692C21">
        <w:rPr>
          <w:rFonts w:cs="Arial"/>
          <w:szCs w:val="20"/>
        </w:rPr>
        <w:t>,</w:t>
      </w:r>
      <w:r w:rsidR="00EF3ADD" w:rsidRPr="00445B9C">
        <w:rPr>
          <w:rFonts w:cs="Arial"/>
          <w:szCs w:val="20"/>
        </w:rPr>
        <w:t xml:space="preserve"> se predlaga sprememba 28. člena ZTFI-1 na način, da se navede sklic na Uredbo 600/2014/EU.</w:t>
      </w:r>
      <w:r w:rsidR="00E5600E" w:rsidRPr="00445B9C">
        <w:rPr>
          <w:rFonts w:cs="Arial"/>
          <w:szCs w:val="20"/>
        </w:rPr>
        <w:t xml:space="preserve"> </w:t>
      </w:r>
    </w:p>
    <w:p w14:paraId="72C82331" w14:textId="25AA45C0" w:rsidR="00E5600E" w:rsidRPr="00445B9C" w:rsidRDefault="00E5600E" w:rsidP="00E5600E">
      <w:pPr>
        <w:spacing w:line="276" w:lineRule="auto"/>
        <w:jc w:val="both"/>
        <w:rPr>
          <w:rFonts w:cs="Arial"/>
          <w:szCs w:val="20"/>
        </w:rPr>
      </w:pPr>
      <w:r w:rsidRPr="00445B9C">
        <w:rPr>
          <w:rFonts w:cs="Arial"/>
          <w:szCs w:val="20"/>
        </w:rPr>
        <w:t>S predlagano spremembo se prenaša točka (a) tretjega odstavka 1. člena Direktive 2024/790/EU.</w:t>
      </w:r>
    </w:p>
    <w:p w14:paraId="02FB033E" w14:textId="77777777" w:rsidR="00FE0F83" w:rsidRPr="00445B9C" w:rsidRDefault="00FE0F83" w:rsidP="00C64B3F">
      <w:pPr>
        <w:spacing w:line="276" w:lineRule="auto"/>
        <w:jc w:val="both"/>
        <w:rPr>
          <w:rFonts w:cs="Arial"/>
          <w:szCs w:val="20"/>
        </w:rPr>
      </w:pPr>
    </w:p>
    <w:p w14:paraId="72B81F7D" w14:textId="022C942F" w:rsidR="00FE0F83" w:rsidRPr="00445B9C" w:rsidRDefault="00FE0F83" w:rsidP="00FE0F83">
      <w:pPr>
        <w:spacing w:line="276" w:lineRule="auto"/>
        <w:jc w:val="both"/>
        <w:rPr>
          <w:rFonts w:cs="Arial"/>
          <w:b/>
          <w:bCs/>
          <w:szCs w:val="20"/>
        </w:rPr>
      </w:pPr>
      <w:r w:rsidRPr="00445B9C">
        <w:rPr>
          <w:rFonts w:cs="Arial"/>
          <w:b/>
          <w:bCs/>
          <w:szCs w:val="20"/>
        </w:rPr>
        <w:t xml:space="preserve">K </w:t>
      </w:r>
      <w:r w:rsidR="001638A0" w:rsidRPr="00445B9C">
        <w:rPr>
          <w:rFonts w:cs="Arial"/>
          <w:b/>
          <w:bCs/>
          <w:szCs w:val="20"/>
        </w:rPr>
        <w:fldChar w:fldCharType="begin"/>
      </w:r>
      <w:r w:rsidR="001638A0" w:rsidRPr="00445B9C">
        <w:rPr>
          <w:rFonts w:cs="Arial"/>
          <w:b/>
          <w:bCs/>
          <w:szCs w:val="20"/>
        </w:rPr>
        <w:instrText xml:space="preserve"> REF _Ref196733822 \r \h </w:instrText>
      </w:r>
      <w:r w:rsidR="00445B9C" w:rsidRPr="00445B9C">
        <w:rPr>
          <w:rFonts w:cs="Arial"/>
          <w:b/>
          <w:bCs/>
          <w:szCs w:val="20"/>
        </w:rPr>
        <w:instrText xml:space="preserve"> \* MERGEFORMAT </w:instrText>
      </w:r>
      <w:r w:rsidR="001638A0" w:rsidRPr="00445B9C">
        <w:rPr>
          <w:rFonts w:cs="Arial"/>
          <w:b/>
          <w:bCs/>
          <w:szCs w:val="20"/>
        </w:rPr>
      </w:r>
      <w:r w:rsidR="001638A0" w:rsidRPr="00445B9C">
        <w:rPr>
          <w:rFonts w:cs="Arial"/>
          <w:b/>
          <w:bCs/>
          <w:szCs w:val="20"/>
        </w:rPr>
        <w:fldChar w:fldCharType="separate"/>
      </w:r>
      <w:r w:rsidR="001638A0" w:rsidRPr="00445B9C">
        <w:rPr>
          <w:rFonts w:cs="Arial"/>
          <w:b/>
          <w:bCs/>
          <w:szCs w:val="20"/>
        </w:rPr>
        <w:t xml:space="preserve">6. </w:t>
      </w:r>
      <w:r w:rsidR="001638A0" w:rsidRPr="00445B9C">
        <w:rPr>
          <w:rFonts w:cs="Arial"/>
          <w:b/>
          <w:bCs/>
          <w:szCs w:val="20"/>
        </w:rPr>
        <w:fldChar w:fldCharType="end"/>
      </w:r>
      <w:r w:rsidRPr="00445B9C">
        <w:rPr>
          <w:rFonts w:cs="Arial"/>
          <w:b/>
          <w:bCs/>
          <w:szCs w:val="20"/>
        </w:rPr>
        <w:t>členu</w:t>
      </w:r>
    </w:p>
    <w:p w14:paraId="1C9CE092" w14:textId="401B9DAA" w:rsidR="00E5600E" w:rsidRPr="00445B9C" w:rsidRDefault="00210F96" w:rsidP="00E5600E">
      <w:pPr>
        <w:spacing w:line="276" w:lineRule="auto"/>
        <w:jc w:val="both"/>
        <w:rPr>
          <w:rFonts w:cs="Arial"/>
          <w:szCs w:val="20"/>
        </w:rPr>
      </w:pPr>
      <w:r w:rsidRPr="00445B9C">
        <w:rPr>
          <w:rFonts w:cs="Arial"/>
          <w:szCs w:val="20"/>
        </w:rPr>
        <w:t xml:space="preserve">Drugi odstavek 34. člena ZTFI-1 opredeljuje sistematičnega </w:t>
      </w:r>
      <w:proofErr w:type="spellStart"/>
      <w:r w:rsidRPr="00445B9C">
        <w:rPr>
          <w:rFonts w:cs="Arial"/>
          <w:szCs w:val="20"/>
        </w:rPr>
        <w:t>intrnalizatorja</w:t>
      </w:r>
      <w:proofErr w:type="spellEnd"/>
      <w:r w:rsidRPr="00445B9C">
        <w:rPr>
          <w:rFonts w:cs="Arial"/>
          <w:szCs w:val="20"/>
        </w:rPr>
        <w:t xml:space="preserve"> kot investicijsko podjetje, ki na organizirani, pogosti in sistematični podlagi ter v precejšnjem obsegu posluje za lasten račun z izvrševanjem naročil strank zunaj organiziranega trga, MTF ali OTF, ne da bi upravljal večstranski sistem.</w:t>
      </w:r>
      <w:r w:rsidR="00D27982" w:rsidRPr="00445B9C">
        <w:rPr>
          <w:rFonts w:cs="Arial"/>
          <w:szCs w:val="20"/>
        </w:rPr>
        <w:t xml:space="preserve"> </w:t>
      </w:r>
      <w:r w:rsidR="002930F8" w:rsidRPr="00445B9C">
        <w:rPr>
          <w:rFonts w:cs="Arial"/>
          <w:szCs w:val="20"/>
        </w:rPr>
        <w:t>Pogostost, sistematičnost in znatni obseg so določeni s kvantitativnimi merili</w:t>
      </w:r>
      <w:r w:rsidRPr="00445B9C">
        <w:rPr>
          <w:rFonts w:cs="Arial"/>
          <w:szCs w:val="20"/>
        </w:rPr>
        <w:t xml:space="preserve"> v tretjem odstavku 34. člena ZTFI-1</w:t>
      </w:r>
      <w:r w:rsidR="002930F8" w:rsidRPr="00445B9C">
        <w:rPr>
          <w:rFonts w:cs="Arial"/>
          <w:szCs w:val="20"/>
        </w:rPr>
        <w:t>. To je povzročilo preveliko breme investicijskim podjetjem, ki morajo opraviti oceno</w:t>
      </w:r>
      <w:r w:rsidR="001A77E9">
        <w:rPr>
          <w:rFonts w:cs="Arial"/>
          <w:szCs w:val="20"/>
        </w:rPr>
        <w:t>,</w:t>
      </w:r>
      <w:r w:rsidR="002930F8" w:rsidRPr="00445B9C">
        <w:rPr>
          <w:rFonts w:cs="Arial"/>
          <w:szCs w:val="20"/>
        </w:rPr>
        <w:t xml:space="preserve"> in ESMA, ki mora objaviti podatke za namene ocene. </w:t>
      </w:r>
      <w:r w:rsidR="00D27982" w:rsidRPr="00445B9C">
        <w:rPr>
          <w:rFonts w:cs="Arial"/>
          <w:szCs w:val="20"/>
        </w:rPr>
        <w:t xml:space="preserve">Zato se predlaga nadomestitev kvantitativnih meril s kvalitativno oceno. </w:t>
      </w:r>
      <w:r w:rsidR="002930F8" w:rsidRPr="00445B9C">
        <w:rPr>
          <w:rFonts w:cs="Arial"/>
          <w:szCs w:val="20"/>
        </w:rPr>
        <w:t>Ob upoštevanju, da je Uredba 600/2014</w:t>
      </w:r>
      <w:r w:rsidR="00D27982" w:rsidRPr="00445B9C">
        <w:rPr>
          <w:rFonts w:cs="Arial"/>
          <w:szCs w:val="20"/>
        </w:rPr>
        <w:t xml:space="preserve">/EU </w:t>
      </w:r>
      <w:r w:rsidR="002930F8" w:rsidRPr="00445B9C">
        <w:rPr>
          <w:rFonts w:cs="Arial"/>
          <w:szCs w:val="20"/>
        </w:rPr>
        <w:t xml:space="preserve">spremenjena in so se sistematični </w:t>
      </w:r>
      <w:proofErr w:type="spellStart"/>
      <w:r w:rsidR="002930F8" w:rsidRPr="00445B9C">
        <w:rPr>
          <w:rFonts w:cs="Arial"/>
          <w:szCs w:val="20"/>
        </w:rPr>
        <w:t>internalizatorji</w:t>
      </w:r>
      <w:proofErr w:type="spellEnd"/>
      <w:r w:rsidR="002930F8" w:rsidRPr="00445B9C">
        <w:rPr>
          <w:rFonts w:cs="Arial"/>
          <w:szCs w:val="20"/>
        </w:rPr>
        <w:t xml:space="preserve"> izključili iz področja uporabe zahtev po preglednosti pred trgovanjem za nelastniške instrumente, bi se morala kvalitativna ocena sistematičnih </w:t>
      </w:r>
      <w:proofErr w:type="spellStart"/>
      <w:r w:rsidR="002930F8" w:rsidRPr="00445B9C">
        <w:rPr>
          <w:rFonts w:cs="Arial"/>
          <w:szCs w:val="20"/>
        </w:rPr>
        <w:t>internalizatorjev</w:t>
      </w:r>
      <w:proofErr w:type="spellEnd"/>
      <w:r w:rsidR="002930F8" w:rsidRPr="00445B9C">
        <w:rPr>
          <w:rFonts w:cs="Arial"/>
          <w:szCs w:val="20"/>
        </w:rPr>
        <w:t xml:space="preserve"> uporabljati samo za lastniške instrumente. </w:t>
      </w:r>
      <w:r w:rsidR="00D27982" w:rsidRPr="00445B9C">
        <w:rPr>
          <w:rFonts w:cs="Arial"/>
          <w:szCs w:val="20"/>
        </w:rPr>
        <w:t xml:space="preserve">A </w:t>
      </w:r>
      <w:proofErr w:type="spellStart"/>
      <w:r w:rsidR="00D27982" w:rsidRPr="00445B9C">
        <w:rPr>
          <w:rFonts w:cs="Arial"/>
          <w:szCs w:val="20"/>
        </w:rPr>
        <w:t>khrati</w:t>
      </w:r>
      <w:proofErr w:type="spellEnd"/>
      <w:r w:rsidR="002930F8" w:rsidRPr="00445B9C">
        <w:rPr>
          <w:rFonts w:cs="Arial"/>
          <w:szCs w:val="20"/>
        </w:rPr>
        <w:t xml:space="preserve"> bi investicijsko podjetje </w:t>
      </w:r>
      <w:r w:rsidR="001A77E9" w:rsidRPr="00445B9C">
        <w:rPr>
          <w:rFonts w:cs="Arial"/>
          <w:szCs w:val="20"/>
        </w:rPr>
        <w:t xml:space="preserve">moralo </w:t>
      </w:r>
      <w:r w:rsidR="002930F8" w:rsidRPr="00445B9C">
        <w:rPr>
          <w:rFonts w:cs="Arial"/>
          <w:szCs w:val="20"/>
        </w:rPr>
        <w:t xml:space="preserve">imeti možnost, da se odloči, da postane sistematični </w:t>
      </w:r>
      <w:proofErr w:type="spellStart"/>
      <w:r w:rsidR="002930F8" w:rsidRPr="00445B9C">
        <w:rPr>
          <w:rFonts w:cs="Arial"/>
          <w:szCs w:val="20"/>
        </w:rPr>
        <w:t>internalizator</w:t>
      </w:r>
      <w:proofErr w:type="spellEnd"/>
      <w:r w:rsidR="002930F8" w:rsidRPr="00445B9C">
        <w:rPr>
          <w:rFonts w:cs="Arial"/>
          <w:szCs w:val="20"/>
        </w:rPr>
        <w:t xml:space="preserve"> za nelastniške instrumente.</w:t>
      </w:r>
      <w:r w:rsidR="00D27982" w:rsidRPr="00445B9C">
        <w:rPr>
          <w:rFonts w:cs="Arial"/>
          <w:szCs w:val="20"/>
        </w:rPr>
        <w:t xml:space="preserve"> Zaradi navedenih razlogov in potrebe po uskladitvi z Direktivo 2014/65/EU se predlaga </w:t>
      </w:r>
      <w:r w:rsidR="003B377D" w:rsidRPr="00445B9C">
        <w:rPr>
          <w:rFonts w:cs="Arial"/>
          <w:szCs w:val="20"/>
        </w:rPr>
        <w:t xml:space="preserve">sprememba </w:t>
      </w:r>
      <w:r w:rsidR="00D27982" w:rsidRPr="00445B9C">
        <w:rPr>
          <w:rFonts w:cs="Arial"/>
          <w:szCs w:val="20"/>
        </w:rPr>
        <w:t xml:space="preserve">opredelitve sistematičnih </w:t>
      </w:r>
      <w:proofErr w:type="spellStart"/>
      <w:r w:rsidR="00D27982" w:rsidRPr="00445B9C">
        <w:rPr>
          <w:rFonts w:cs="Arial"/>
          <w:szCs w:val="20"/>
        </w:rPr>
        <w:t>internalizatorjev</w:t>
      </w:r>
      <w:proofErr w:type="spellEnd"/>
      <w:r w:rsidR="00D27982" w:rsidRPr="00445B9C">
        <w:rPr>
          <w:rFonts w:cs="Arial"/>
          <w:szCs w:val="20"/>
        </w:rPr>
        <w:t xml:space="preserve"> ter črtanje tretjega odstavka 34. člena ZTFI-1. </w:t>
      </w:r>
      <w:r w:rsidR="001A77E9">
        <w:rPr>
          <w:rFonts w:cs="Arial"/>
          <w:szCs w:val="20"/>
        </w:rPr>
        <w:t xml:space="preserve"> </w:t>
      </w:r>
    </w:p>
    <w:p w14:paraId="496009A5" w14:textId="77777777" w:rsidR="00E5600E" w:rsidRPr="00445B9C" w:rsidRDefault="00E5600E" w:rsidP="00E5600E">
      <w:pPr>
        <w:spacing w:line="276" w:lineRule="auto"/>
        <w:jc w:val="both"/>
        <w:rPr>
          <w:rFonts w:cs="Arial"/>
          <w:szCs w:val="20"/>
        </w:rPr>
      </w:pPr>
    </w:p>
    <w:p w14:paraId="045ED929" w14:textId="77777777" w:rsidR="00E5600E" w:rsidRPr="00445B9C" w:rsidRDefault="00E5600E" w:rsidP="00E5600E">
      <w:pPr>
        <w:spacing w:line="276" w:lineRule="auto"/>
        <w:jc w:val="both"/>
        <w:rPr>
          <w:rFonts w:cs="Arial"/>
          <w:szCs w:val="20"/>
        </w:rPr>
      </w:pPr>
      <w:r w:rsidRPr="00445B9C">
        <w:rPr>
          <w:rFonts w:cs="Arial"/>
          <w:szCs w:val="20"/>
        </w:rPr>
        <w:t>S predlagano spremembo se prenaša točka (b) tretjega odstavka 1. člena Direktive 2024/790/EU.</w:t>
      </w:r>
    </w:p>
    <w:p w14:paraId="0824ABFB" w14:textId="77777777" w:rsidR="00A17AD3" w:rsidRPr="00445B9C" w:rsidRDefault="00A17AD3" w:rsidP="00E5600E">
      <w:pPr>
        <w:spacing w:line="276" w:lineRule="auto"/>
        <w:jc w:val="both"/>
        <w:rPr>
          <w:rFonts w:cs="Arial"/>
          <w:szCs w:val="20"/>
        </w:rPr>
      </w:pPr>
    </w:p>
    <w:p w14:paraId="4AAC132C" w14:textId="033D8434" w:rsidR="00A17AD3" w:rsidRPr="00445B9C" w:rsidRDefault="00A17AD3" w:rsidP="00A17AD3">
      <w:pPr>
        <w:spacing w:line="276" w:lineRule="auto"/>
        <w:jc w:val="both"/>
        <w:rPr>
          <w:rFonts w:cs="Arial"/>
          <w:b/>
          <w:bCs/>
          <w:szCs w:val="20"/>
        </w:rPr>
      </w:pPr>
      <w:r w:rsidRPr="00445B9C">
        <w:rPr>
          <w:rFonts w:cs="Arial"/>
          <w:b/>
          <w:bCs/>
          <w:szCs w:val="20"/>
        </w:rPr>
        <w:lastRenderedPageBreak/>
        <w:t xml:space="preserve">K </w:t>
      </w:r>
      <w:r w:rsidRPr="00445B9C">
        <w:rPr>
          <w:rFonts w:cs="Arial"/>
          <w:b/>
          <w:bCs/>
          <w:szCs w:val="20"/>
        </w:rPr>
        <w:fldChar w:fldCharType="begin"/>
      </w:r>
      <w:r w:rsidRPr="00445B9C">
        <w:rPr>
          <w:rFonts w:cs="Arial"/>
          <w:b/>
          <w:bCs/>
          <w:szCs w:val="20"/>
        </w:rPr>
        <w:instrText xml:space="preserve"> REF _Ref196824582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7. </w:t>
      </w:r>
      <w:r w:rsidRPr="00445B9C">
        <w:rPr>
          <w:rFonts w:cs="Arial"/>
          <w:b/>
          <w:bCs/>
          <w:szCs w:val="20"/>
        </w:rPr>
        <w:fldChar w:fldCharType="end"/>
      </w:r>
      <w:r w:rsidRPr="00445B9C">
        <w:rPr>
          <w:rFonts w:cs="Arial"/>
          <w:b/>
          <w:bCs/>
          <w:szCs w:val="20"/>
        </w:rPr>
        <w:t>členu</w:t>
      </w:r>
    </w:p>
    <w:p w14:paraId="4668603E" w14:textId="6A056A0D" w:rsidR="00A17AD3" w:rsidRPr="00445B9C" w:rsidRDefault="00A17AD3" w:rsidP="00A17AD3">
      <w:pPr>
        <w:spacing w:line="276" w:lineRule="auto"/>
        <w:jc w:val="both"/>
        <w:rPr>
          <w:rFonts w:cs="Arial"/>
          <w:szCs w:val="20"/>
        </w:rPr>
      </w:pPr>
      <w:r w:rsidRPr="00445B9C">
        <w:rPr>
          <w:rFonts w:cs="Arial"/>
          <w:szCs w:val="20"/>
        </w:rPr>
        <w:t xml:space="preserve">Besedilo 36.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 xml:space="preserve"> členu predloga zakona.</w:t>
      </w:r>
    </w:p>
    <w:p w14:paraId="45BDA1AE" w14:textId="77777777" w:rsidR="00FE0F83" w:rsidRPr="00445B9C" w:rsidRDefault="00FE0F83" w:rsidP="00C64B3F">
      <w:pPr>
        <w:spacing w:line="276" w:lineRule="auto"/>
        <w:jc w:val="both"/>
        <w:rPr>
          <w:rFonts w:cs="Arial"/>
          <w:szCs w:val="20"/>
        </w:rPr>
      </w:pPr>
    </w:p>
    <w:p w14:paraId="16F07B5C" w14:textId="6CC2572C" w:rsidR="00FE0F83" w:rsidRPr="00445B9C" w:rsidRDefault="00FE0F83" w:rsidP="00FE0F83">
      <w:pPr>
        <w:spacing w:line="276" w:lineRule="auto"/>
        <w:jc w:val="both"/>
        <w:rPr>
          <w:rFonts w:cs="Arial"/>
          <w:b/>
          <w:bCs/>
          <w:szCs w:val="20"/>
        </w:rPr>
      </w:pPr>
      <w:r w:rsidRPr="00445B9C">
        <w:rPr>
          <w:rFonts w:cs="Arial"/>
          <w:b/>
          <w:bCs/>
          <w:szCs w:val="20"/>
        </w:rPr>
        <w:t xml:space="preserve">K </w:t>
      </w:r>
      <w:r w:rsidR="00F27967" w:rsidRPr="00445B9C">
        <w:rPr>
          <w:rFonts w:cs="Arial"/>
          <w:b/>
          <w:bCs/>
          <w:szCs w:val="20"/>
        </w:rPr>
        <w:fldChar w:fldCharType="begin"/>
      </w:r>
      <w:r w:rsidR="00F27967" w:rsidRPr="00445B9C">
        <w:rPr>
          <w:rFonts w:cs="Arial"/>
          <w:b/>
          <w:bCs/>
          <w:szCs w:val="20"/>
        </w:rPr>
        <w:instrText xml:space="preserve"> REF _Ref196733839 \r \h </w:instrText>
      </w:r>
      <w:r w:rsidR="00445B9C" w:rsidRPr="00445B9C">
        <w:rPr>
          <w:rFonts w:cs="Arial"/>
          <w:b/>
          <w:bCs/>
          <w:szCs w:val="20"/>
        </w:rPr>
        <w:instrText xml:space="preserve"> \* MERGEFORMAT </w:instrText>
      </w:r>
      <w:r w:rsidR="00F27967" w:rsidRPr="00445B9C">
        <w:rPr>
          <w:rFonts w:cs="Arial"/>
          <w:b/>
          <w:bCs/>
          <w:szCs w:val="20"/>
        </w:rPr>
      </w:r>
      <w:r w:rsidR="00F27967" w:rsidRPr="00445B9C">
        <w:rPr>
          <w:rFonts w:cs="Arial"/>
          <w:b/>
          <w:bCs/>
          <w:szCs w:val="20"/>
        </w:rPr>
        <w:fldChar w:fldCharType="separate"/>
      </w:r>
      <w:r w:rsidR="001638A0" w:rsidRPr="00445B9C">
        <w:rPr>
          <w:rFonts w:cs="Arial"/>
          <w:b/>
          <w:bCs/>
          <w:szCs w:val="20"/>
        </w:rPr>
        <w:t xml:space="preserve">8. </w:t>
      </w:r>
      <w:r w:rsidR="00F27967" w:rsidRPr="00445B9C">
        <w:rPr>
          <w:rFonts w:cs="Arial"/>
          <w:b/>
          <w:bCs/>
          <w:szCs w:val="20"/>
        </w:rPr>
        <w:fldChar w:fldCharType="end"/>
      </w:r>
      <w:r w:rsidRPr="00445B9C">
        <w:rPr>
          <w:rFonts w:cs="Arial"/>
          <w:b/>
          <w:bCs/>
          <w:szCs w:val="20"/>
        </w:rPr>
        <w:t>členu</w:t>
      </w:r>
    </w:p>
    <w:p w14:paraId="22B94886" w14:textId="76971F1A" w:rsidR="00FE0F83" w:rsidRPr="00445B9C" w:rsidRDefault="00192D1A" w:rsidP="00C64B3F">
      <w:pPr>
        <w:spacing w:line="276" w:lineRule="auto"/>
        <w:jc w:val="both"/>
        <w:rPr>
          <w:rFonts w:cs="Arial"/>
          <w:szCs w:val="20"/>
        </w:rPr>
      </w:pPr>
      <w:r w:rsidRPr="00445B9C">
        <w:rPr>
          <w:rFonts w:cs="Arial"/>
          <w:szCs w:val="20"/>
        </w:rPr>
        <w:t>Besedilo</w:t>
      </w:r>
      <w:r w:rsidR="00A022A3" w:rsidRPr="00445B9C">
        <w:rPr>
          <w:rFonts w:cs="Arial"/>
          <w:szCs w:val="20"/>
        </w:rPr>
        <w:t xml:space="preserve"> drugega odstavka 59. člena ZTFI-1</w:t>
      </w:r>
      <w:r w:rsidRPr="00445B9C">
        <w:rPr>
          <w:rFonts w:cs="Arial"/>
          <w:szCs w:val="20"/>
        </w:rPr>
        <w:t xml:space="preserve"> se usklajuje z ZBan-3A in </w:t>
      </w:r>
      <w:r w:rsidR="00B429D1" w:rsidRPr="00445B9C">
        <w:rPr>
          <w:rFonts w:cs="Arial"/>
          <w:szCs w:val="20"/>
        </w:rPr>
        <w:t>U</w:t>
      </w:r>
      <w:r w:rsidRPr="00445B9C">
        <w:rPr>
          <w:rFonts w:cs="Arial"/>
          <w:szCs w:val="20"/>
        </w:rPr>
        <w:t xml:space="preserve">redbo 575/2013/EU. Glej obrazložitev k </w:t>
      </w:r>
      <w:r w:rsidR="00CF0FDA" w:rsidRPr="00445B9C">
        <w:rPr>
          <w:rFonts w:cs="Arial"/>
          <w:szCs w:val="20"/>
        </w:rPr>
        <w:fldChar w:fldCharType="begin"/>
      </w:r>
      <w:r w:rsidR="00EB1EBB" w:rsidRPr="00445B9C">
        <w:rPr>
          <w:rFonts w:cs="Arial"/>
          <w:szCs w:val="20"/>
        </w:rPr>
        <w:instrText xml:space="preserve"> REF _Ref192067056 \r \h </w:instrText>
      </w:r>
      <w:r w:rsidR="00445B9C" w:rsidRPr="00445B9C">
        <w:rPr>
          <w:rFonts w:cs="Arial"/>
          <w:szCs w:val="20"/>
        </w:rPr>
        <w:instrText xml:space="preserve"> \* MERGEFORMAT </w:instrText>
      </w:r>
      <w:r w:rsidR="00CF0FDA" w:rsidRPr="00445B9C">
        <w:rPr>
          <w:rFonts w:cs="Arial"/>
          <w:szCs w:val="20"/>
        </w:rPr>
      </w:r>
      <w:r w:rsidR="00CF0FDA" w:rsidRPr="00445B9C">
        <w:rPr>
          <w:rFonts w:cs="Arial"/>
          <w:szCs w:val="20"/>
        </w:rPr>
        <w:fldChar w:fldCharType="separate"/>
      </w:r>
      <w:r w:rsidR="001638A0" w:rsidRPr="00445B9C">
        <w:rPr>
          <w:rFonts w:cs="Arial"/>
          <w:szCs w:val="20"/>
        </w:rPr>
        <w:t xml:space="preserve">3. </w:t>
      </w:r>
      <w:r w:rsidR="00CF0FDA" w:rsidRPr="00445B9C">
        <w:rPr>
          <w:rFonts w:cs="Arial"/>
          <w:szCs w:val="20"/>
        </w:rPr>
        <w:fldChar w:fldCharType="end"/>
      </w:r>
      <w:r w:rsidRPr="00445B9C">
        <w:rPr>
          <w:rFonts w:cs="Arial"/>
          <w:szCs w:val="20"/>
        </w:rPr>
        <w:t>členu predloga zakona.</w:t>
      </w:r>
      <w:r w:rsidR="00CE5447" w:rsidRPr="00445B9C">
        <w:rPr>
          <w:rFonts w:cs="Arial"/>
          <w:szCs w:val="20"/>
        </w:rPr>
        <w:t xml:space="preserve"> Prav tako se besedilo »ki za to pridobi dovoljenje Banke Slovenije« nadomesti z besedilom »ki za to pridobi dovoljenje v skladu z ZBan-3«, saj dovoljenja za poslovanje banke ali kreditne družbe izdaja Evropska centralna banka.</w:t>
      </w:r>
    </w:p>
    <w:p w14:paraId="391FF6D3" w14:textId="77777777" w:rsidR="00192D1A" w:rsidRPr="00445B9C" w:rsidRDefault="00192D1A" w:rsidP="00C64B3F">
      <w:pPr>
        <w:spacing w:line="276" w:lineRule="auto"/>
        <w:jc w:val="both"/>
        <w:rPr>
          <w:rFonts w:cs="Arial"/>
          <w:szCs w:val="20"/>
        </w:rPr>
      </w:pPr>
    </w:p>
    <w:p w14:paraId="1A4CD4B2" w14:textId="427232CF" w:rsidR="00192D1A" w:rsidRPr="00445B9C" w:rsidRDefault="00A022A3" w:rsidP="00C64B3F">
      <w:pPr>
        <w:spacing w:line="276" w:lineRule="auto"/>
        <w:jc w:val="both"/>
        <w:rPr>
          <w:rFonts w:cs="Arial"/>
          <w:szCs w:val="20"/>
        </w:rPr>
      </w:pPr>
      <w:r w:rsidRPr="00445B9C">
        <w:rPr>
          <w:rFonts w:cs="Arial"/>
          <w:szCs w:val="20"/>
        </w:rPr>
        <w:t xml:space="preserve">Sedmi odstavek 59. člena se črta zaradi prenosa vsebine v Uredbo 600/2014/EU. Glej obrazložitev k </w:t>
      </w:r>
      <w:r w:rsidR="00F27967" w:rsidRPr="00445B9C">
        <w:rPr>
          <w:rFonts w:cs="Arial"/>
          <w:szCs w:val="20"/>
        </w:rPr>
        <w:fldChar w:fldCharType="begin"/>
      </w:r>
      <w:r w:rsidR="00F27967" w:rsidRPr="00445B9C">
        <w:rPr>
          <w:rFonts w:cs="Arial"/>
          <w:szCs w:val="20"/>
        </w:rPr>
        <w:instrText xml:space="preserve"> REF _Ref196733803 \r \h </w:instrText>
      </w:r>
      <w:r w:rsidR="00445B9C" w:rsidRPr="00445B9C">
        <w:rPr>
          <w:rFonts w:cs="Arial"/>
          <w:szCs w:val="20"/>
        </w:rPr>
        <w:instrText xml:space="preserve"> \* MERGEFORMAT </w:instrText>
      </w:r>
      <w:r w:rsidR="00F27967" w:rsidRPr="00445B9C">
        <w:rPr>
          <w:rFonts w:cs="Arial"/>
          <w:szCs w:val="20"/>
        </w:rPr>
      </w:r>
      <w:r w:rsidR="00F27967" w:rsidRPr="00445B9C">
        <w:rPr>
          <w:rFonts w:cs="Arial"/>
          <w:szCs w:val="20"/>
        </w:rPr>
        <w:fldChar w:fldCharType="separate"/>
      </w:r>
      <w:r w:rsidR="001638A0" w:rsidRPr="00445B9C">
        <w:rPr>
          <w:rFonts w:cs="Arial"/>
          <w:szCs w:val="20"/>
        </w:rPr>
        <w:t xml:space="preserve">5. </w:t>
      </w:r>
      <w:r w:rsidR="00F27967" w:rsidRPr="00445B9C">
        <w:rPr>
          <w:rFonts w:cs="Arial"/>
          <w:szCs w:val="20"/>
        </w:rPr>
        <w:fldChar w:fldCharType="end"/>
      </w:r>
      <w:r w:rsidRPr="00445B9C">
        <w:rPr>
          <w:rFonts w:cs="Arial"/>
          <w:szCs w:val="20"/>
        </w:rPr>
        <w:t xml:space="preserve">in </w:t>
      </w:r>
      <w:r w:rsidR="008F40B4" w:rsidRPr="00445B9C">
        <w:rPr>
          <w:rFonts w:cs="Arial"/>
          <w:szCs w:val="20"/>
        </w:rPr>
        <w:fldChar w:fldCharType="begin"/>
      </w:r>
      <w:r w:rsidR="008F40B4" w:rsidRPr="00445B9C">
        <w:rPr>
          <w:rFonts w:cs="Arial"/>
          <w:szCs w:val="20"/>
        </w:rPr>
        <w:instrText xml:space="preserve"> REF _Ref196733822 \r \h </w:instrText>
      </w:r>
      <w:r w:rsidR="00445B9C" w:rsidRPr="00445B9C">
        <w:rPr>
          <w:rFonts w:cs="Arial"/>
          <w:szCs w:val="20"/>
        </w:rPr>
        <w:instrText xml:space="preserve"> \* MERGEFORMAT </w:instrText>
      </w:r>
      <w:r w:rsidR="008F40B4" w:rsidRPr="00445B9C">
        <w:rPr>
          <w:rFonts w:cs="Arial"/>
          <w:szCs w:val="20"/>
        </w:rPr>
      </w:r>
      <w:r w:rsidR="008F40B4" w:rsidRPr="00445B9C">
        <w:rPr>
          <w:rFonts w:cs="Arial"/>
          <w:szCs w:val="20"/>
        </w:rPr>
        <w:fldChar w:fldCharType="separate"/>
      </w:r>
      <w:r w:rsidR="001638A0" w:rsidRPr="00445B9C">
        <w:rPr>
          <w:rFonts w:cs="Arial"/>
          <w:szCs w:val="20"/>
        </w:rPr>
        <w:t xml:space="preserve">6. </w:t>
      </w:r>
      <w:r w:rsidR="008F40B4" w:rsidRPr="00445B9C">
        <w:rPr>
          <w:rFonts w:cs="Arial"/>
          <w:szCs w:val="20"/>
        </w:rPr>
        <w:fldChar w:fldCharType="end"/>
      </w:r>
      <w:r w:rsidRPr="00445B9C">
        <w:rPr>
          <w:rFonts w:cs="Arial"/>
          <w:szCs w:val="20"/>
        </w:rPr>
        <w:t>členu predloga zakona.</w:t>
      </w:r>
    </w:p>
    <w:p w14:paraId="1088748D" w14:textId="77777777" w:rsidR="00FE0F83" w:rsidRPr="00445B9C" w:rsidRDefault="00FE0F83" w:rsidP="00C64B3F">
      <w:pPr>
        <w:spacing w:line="276" w:lineRule="auto"/>
        <w:jc w:val="both"/>
        <w:rPr>
          <w:rFonts w:cs="Arial"/>
          <w:szCs w:val="20"/>
        </w:rPr>
      </w:pPr>
    </w:p>
    <w:p w14:paraId="5DEC0E6D" w14:textId="32140EF5" w:rsidR="00FE0F83" w:rsidRPr="00445B9C" w:rsidRDefault="00FE0F83" w:rsidP="00FE0F83">
      <w:pPr>
        <w:spacing w:line="276" w:lineRule="auto"/>
        <w:jc w:val="both"/>
        <w:rPr>
          <w:rFonts w:cs="Arial"/>
          <w:b/>
          <w:bCs/>
          <w:szCs w:val="20"/>
        </w:rPr>
      </w:pPr>
      <w:r w:rsidRPr="00445B9C">
        <w:rPr>
          <w:rFonts w:cs="Arial"/>
          <w:b/>
          <w:bCs/>
          <w:szCs w:val="20"/>
        </w:rPr>
        <w:t xml:space="preserve">K </w:t>
      </w:r>
      <w:r w:rsidR="00F27967" w:rsidRPr="00445B9C">
        <w:rPr>
          <w:rFonts w:cs="Arial"/>
          <w:b/>
          <w:bCs/>
          <w:szCs w:val="20"/>
        </w:rPr>
        <w:fldChar w:fldCharType="begin"/>
      </w:r>
      <w:r w:rsidR="00F27967" w:rsidRPr="00445B9C">
        <w:rPr>
          <w:rFonts w:cs="Arial"/>
          <w:b/>
          <w:bCs/>
          <w:szCs w:val="20"/>
        </w:rPr>
        <w:instrText xml:space="preserve"> REF _Ref196733902 \r \h </w:instrText>
      </w:r>
      <w:r w:rsidR="00445B9C" w:rsidRPr="00445B9C">
        <w:rPr>
          <w:rFonts w:cs="Arial"/>
          <w:b/>
          <w:bCs/>
          <w:szCs w:val="20"/>
        </w:rPr>
        <w:instrText xml:space="preserve"> \* MERGEFORMAT </w:instrText>
      </w:r>
      <w:r w:rsidR="00F27967" w:rsidRPr="00445B9C">
        <w:rPr>
          <w:rFonts w:cs="Arial"/>
          <w:b/>
          <w:bCs/>
          <w:szCs w:val="20"/>
        </w:rPr>
      </w:r>
      <w:r w:rsidR="00F27967" w:rsidRPr="00445B9C">
        <w:rPr>
          <w:rFonts w:cs="Arial"/>
          <w:b/>
          <w:bCs/>
          <w:szCs w:val="20"/>
        </w:rPr>
        <w:fldChar w:fldCharType="separate"/>
      </w:r>
      <w:r w:rsidR="001638A0" w:rsidRPr="00445B9C">
        <w:rPr>
          <w:rFonts w:cs="Arial"/>
          <w:b/>
          <w:bCs/>
          <w:szCs w:val="20"/>
        </w:rPr>
        <w:t xml:space="preserve">9. </w:t>
      </w:r>
      <w:r w:rsidR="00F27967" w:rsidRPr="00445B9C">
        <w:rPr>
          <w:rFonts w:cs="Arial"/>
          <w:b/>
          <w:bCs/>
          <w:szCs w:val="20"/>
        </w:rPr>
        <w:fldChar w:fldCharType="end"/>
      </w:r>
      <w:r w:rsidRPr="00445B9C">
        <w:rPr>
          <w:rFonts w:cs="Arial"/>
          <w:b/>
          <w:bCs/>
          <w:szCs w:val="20"/>
        </w:rPr>
        <w:t>členu</w:t>
      </w:r>
    </w:p>
    <w:p w14:paraId="43F25732" w14:textId="5461FC8D" w:rsidR="00192D1A" w:rsidRPr="00445B9C" w:rsidRDefault="008D1381" w:rsidP="00192D1A">
      <w:pPr>
        <w:spacing w:line="276" w:lineRule="auto"/>
        <w:jc w:val="both"/>
        <w:rPr>
          <w:rFonts w:cs="Arial"/>
          <w:szCs w:val="20"/>
        </w:rPr>
      </w:pPr>
      <w:r w:rsidRPr="00445B9C">
        <w:rPr>
          <w:rFonts w:cs="Arial"/>
          <w:szCs w:val="20"/>
        </w:rPr>
        <w:t>Naslov in b</w:t>
      </w:r>
      <w:r w:rsidR="00192D1A" w:rsidRPr="00445B9C">
        <w:rPr>
          <w:rFonts w:cs="Arial"/>
          <w:szCs w:val="20"/>
        </w:rPr>
        <w:t xml:space="preserve">esedilo </w:t>
      </w:r>
      <w:r w:rsidR="00EB1EBB" w:rsidRPr="00445B9C">
        <w:rPr>
          <w:rFonts w:cs="Arial"/>
          <w:szCs w:val="20"/>
        </w:rPr>
        <w:t>60</w:t>
      </w:r>
      <w:r w:rsidR="0012468E" w:rsidRPr="00445B9C">
        <w:rPr>
          <w:rFonts w:cs="Arial"/>
          <w:szCs w:val="20"/>
        </w:rPr>
        <w:t>.</w:t>
      </w:r>
      <w:r w:rsidR="00EB1EBB" w:rsidRPr="00445B9C">
        <w:rPr>
          <w:rFonts w:cs="Arial"/>
          <w:szCs w:val="20"/>
        </w:rPr>
        <w:t xml:space="preserve"> člena ZTFI-1 </w:t>
      </w:r>
      <w:r w:rsidR="00192D1A" w:rsidRPr="00445B9C">
        <w:rPr>
          <w:rFonts w:cs="Arial"/>
          <w:szCs w:val="20"/>
        </w:rPr>
        <w:t>se usklajuje</w:t>
      </w:r>
      <w:r w:rsidR="001A77E9">
        <w:rPr>
          <w:rFonts w:cs="Arial"/>
          <w:szCs w:val="20"/>
        </w:rPr>
        <w:t>ta</w:t>
      </w:r>
      <w:r w:rsidR="00192D1A" w:rsidRPr="00445B9C">
        <w:rPr>
          <w:rFonts w:cs="Arial"/>
          <w:szCs w:val="20"/>
        </w:rPr>
        <w:t xml:space="preserve"> z ZBan-3A in </w:t>
      </w:r>
      <w:r w:rsidR="00B429D1" w:rsidRPr="00445B9C">
        <w:rPr>
          <w:rFonts w:cs="Arial"/>
          <w:szCs w:val="20"/>
        </w:rPr>
        <w:t>U</w:t>
      </w:r>
      <w:r w:rsidR="00192D1A" w:rsidRPr="00445B9C">
        <w:rPr>
          <w:rFonts w:cs="Arial"/>
          <w:szCs w:val="20"/>
        </w:rPr>
        <w:t>redbo 575/2013/EU. Glej obrazložitev k členu predloga zakona.</w:t>
      </w:r>
    </w:p>
    <w:p w14:paraId="0F437885" w14:textId="77777777" w:rsidR="00682509" w:rsidRPr="00445B9C" w:rsidRDefault="00682509" w:rsidP="00192D1A">
      <w:pPr>
        <w:spacing w:line="276" w:lineRule="auto"/>
        <w:jc w:val="both"/>
        <w:rPr>
          <w:rFonts w:cs="Arial"/>
          <w:szCs w:val="20"/>
        </w:rPr>
      </w:pPr>
    </w:p>
    <w:p w14:paraId="466703BD" w14:textId="468EAC16" w:rsidR="00682509" w:rsidRPr="00445B9C" w:rsidRDefault="00682509" w:rsidP="00682509">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_Ref196825139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10. </w:t>
      </w:r>
      <w:r w:rsidRPr="00445B9C">
        <w:rPr>
          <w:rFonts w:cs="Arial"/>
          <w:b/>
          <w:bCs/>
          <w:szCs w:val="20"/>
        </w:rPr>
        <w:fldChar w:fldCharType="end"/>
      </w:r>
      <w:r w:rsidRPr="00445B9C">
        <w:rPr>
          <w:rFonts w:cs="Arial"/>
          <w:b/>
          <w:bCs/>
          <w:szCs w:val="20"/>
        </w:rPr>
        <w:t>členu</w:t>
      </w:r>
    </w:p>
    <w:p w14:paraId="7907552E" w14:textId="6A6CB516" w:rsidR="00682509" w:rsidRPr="00445B9C" w:rsidRDefault="00682509" w:rsidP="00682509">
      <w:pPr>
        <w:spacing w:line="276" w:lineRule="auto"/>
        <w:jc w:val="both"/>
        <w:rPr>
          <w:rFonts w:cs="Arial"/>
          <w:szCs w:val="20"/>
        </w:rPr>
      </w:pPr>
      <w:r w:rsidRPr="00445B9C">
        <w:rPr>
          <w:rFonts w:cs="Arial"/>
          <w:szCs w:val="20"/>
        </w:rPr>
        <w:t xml:space="preserve">Besedilo 61.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 xml:space="preserve"> členu predloga zakona.</w:t>
      </w:r>
    </w:p>
    <w:p w14:paraId="4307ECB6" w14:textId="77777777" w:rsidR="00FE0F83" w:rsidRPr="00445B9C" w:rsidRDefault="00FE0F83" w:rsidP="00C64B3F">
      <w:pPr>
        <w:spacing w:line="276" w:lineRule="auto"/>
        <w:jc w:val="both"/>
        <w:rPr>
          <w:rFonts w:cs="Arial"/>
          <w:szCs w:val="20"/>
        </w:rPr>
      </w:pPr>
    </w:p>
    <w:p w14:paraId="2210C9E7" w14:textId="676BF8D0"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_Ref192067114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11. </w:t>
      </w:r>
      <w:r w:rsidR="00CF0FDA" w:rsidRPr="00445B9C">
        <w:rPr>
          <w:rFonts w:cs="Arial"/>
          <w:b/>
          <w:bCs/>
          <w:szCs w:val="20"/>
        </w:rPr>
        <w:fldChar w:fldCharType="end"/>
      </w:r>
      <w:r w:rsidRPr="00445B9C">
        <w:rPr>
          <w:rFonts w:cs="Arial"/>
          <w:b/>
          <w:bCs/>
          <w:szCs w:val="20"/>
        </w:rPr>
        <w:t>členu</w:t>
      </w:r>
    </w:p>
    <w:p w14:paraId="4C914E03" w14:textId="74A6C4B3" w:rsidR="00447128" w:rsidRPr="00445B9C" w:rsidRDefault="00FA7CEA" w:rsidP="00C64B3F">
      <w:pPr>
        <w:spacing w:line="276" w:lineRule="auto"/>
        <w:jc w:val="both"/>
        <w:rPr>
          <w:rFonts w:cs="Arial"/>
          <w:szCs w:val="20"/>
        </w:rPr>
      </w:pPr>
      <w:r w:rsidRPr="00445B9C">
        <w:rPr>
          <w:rFonts w:cs="Arial"/>
          <w:szCs w:val="20"/>
        </w:rPr>
        <w:t>4. točka prvega</w:t>
      </w:r>
      <w:r w:rsidR="00934133" w:rsidRPr="00445B9C">
        <w:rPr>
          <w:rFonts w:cs="Arial"/>
          <w:szCs w:val="20"/>
        </w:rPr>
        <w:t xml:space="preserve"> odstavk</w:t>
      </w:r>
      <w:r w:rsidRPr="00445B9C">
        <w:rPr>
          <w:rFonts w:cs="Arial"/>
          <w:szCs w:val="20"/>
        </w:rPr>
        <w:t>a</w:t>
      </w:r>
      <w:r w:rsidR="00934133" w:rsidRPr="00445B9C">
        <w:rPr>
          <w:rFonts w:cs="Arial"/>
          <w:szCs w:val="20"/>
        </w:rPr>
        <w:t xml:space="preserve"> 62. člena ZTFI-1 izvzema </w:t>
      </w:r>
      <w:r w:rsidR="00F25D3A" w:rsidRPr="00445B9C">
        <w:rPr>
          <w:rFonts w:cs="Arial"/>
          <w:szCs w:val="20"/>
        </w:rPr>
        <w:t>osebe, ki poslujejo za svoj račun</w:t>
      </w:r>
      <w:r w:rsidR="001A77E9">
        <w:rPr>
          <w:rFonts w:cs="Arial"/>
          <w:szCs w:val="20"/>
        </w:rPr>
        <w:t>,</w:t>
      </w:r>
      <w:r w:rsidR="00934133" w:rsidRPr="00445B9C">
        <w:rPr>
          <w:rFonts w:cs="Arial"/>
          <w:szCs w:val="20"/>
        </w:rPr>
        <w:t xml:space="preserve"> </w:t>
      </w:r>
      <w:r w:rsidR="00F25D3A" w:rsidRPr="00445B9C">
        <w:rPr>
          <w:rFonts w:cs="Arial"/>
          <w:szCs w:val="20"/>
        </w:rPr>
        <w:t xml:space="preserve">iz zahteve po pridobitvi dovoljenja kot investicijsko podjetje ali kreditna institucija, </w:t>
      </w:r>
      <w:r w:rsidR="00934133" w:rsidRPr="00445B9C">
        <w:rPr>
          <w:rFonts w:cs="Arial"/>
          <w:szCs w:val="20"/>
        </w:rPr>
        <w:t>razen če so te osebe člani ali udeleženci reguliranega trga</w:t>
      </w:r>
      <w:r w:rsidR="00A620D9" w:rsidRPr="00445B9C">
        <w:rPr>
          <w:rFonts w:cs="Arial"/>
          <w:szCs w:val="20"/>
        </w:rPr>
        <w:t xml:space="preserve"> (borze)</w:t>
      </w:r>
      <w:r w:rsidR="00934133" w:rsidRPr="00445B9C">
        <w:rPr>
          <w:rFonts w:cs="Arial"/>
          <w:szCs w:val="20"/>
        </w:rPr>
        <w:t xml:space="preserve"> ali MTF ali imajo neposreden elektronski dostop do mesta trgovanja. </w:t>
      </w:r>
      <w:r w:rsidR="001A77E9" w:rsidRPr="00445B9C">
        <w:rPr>
          <w:rFonts w:cs="Arial"/>
          <w:szCs w:val="20"/>
        </w:rPr>
        <w:t xml:space="preserve">ZTFI-1 </w:t>
      </w:r>
      <w:r w:rsidR="001A77E9">
        <w:rPr>
          <w:rFonts w:cs="Arial"/>
          <w:szCs w:val="20"/>
        </w:rPr>
        <w:t xml:space="preserve">v </w:t>
      </w:r>
      <w:r w:rsidR="00934133" w:rsidRPr="00445B9C">
        <w:rPr>
          <w:rFonts w:cs="Arial"/>
          <w:szCs w:val="20"/>
        </w:rPr>
        <w:t>234. in 376 člen</w:t>
      </w:r>
      <w:r w:rsidR="001A77E9">
        <w:rPr>
          <w:rFonts w:cs="Arial"/>
          <w:szCs w:val="20"/>
        </w:rPr>
        <w:t>u</w:t>
      </w:r>
      <w:r w:rsidR="00934133" w:rsidRPr="00445B9C">
        <w:rPr>
          <w:rFonts w:cs="Arial"/>
          <w:szCs w:val="20"/>
        </w:rPr>
        <w:t xml:space="preserve"> </w:t>
      </w:r>
      <w:r w:rsidR="00F25D3A" w:rsidRPr="00445B9C">
        <w:rPr>
          <w:rFonts w:cs="Arial"/>
          <w:szCs w:val="20"/>
        </w:rPr>
        <w:t>v zvezi z neposrednim elektronskim dostopom do mesta trgovanja zahteva, da so ponudniki neposrednega elektronskega dostopa investicijska podjetja ali kreditne institucije z dovoljenjem.</w:t>
      </w:r>
      <w:r w:rsidR="00934133" w:rsidRPr="00445B9C">
        <w:rPr>
          <w:rFonts w:cs="Arial"/>
          <w:szCs w:val="20"/>
        </w:rPr>
        <w:t xml:space="preserve"> </w:t>
      </w:r>
      <w:r w:rsidR="00F25D3A" w:rsidRPr="00445B9C">
        <w:rPr>
          <w:rFonts w:cs="Arial"/>
          <w:szCs w:val="20"/>
        </w:rPr>
        <w:t xml:space="preserve">Investicijska podjetja ali kreditne institucije, ki zagotavljajo neposreden elektronski dostop, </w:t>
      </w:r>
      <w:r w:rsidR="001A77E9">
        <w:rPr>
          <w:rFonts w:cs="Arial"/>
          <w:szCs w:val="20"/>
        </w:rPr>
        <w:t>morajo</w:t>
      </w:r>
      <w:r w:rsidR="00F25D3A" w:rsidRPr="00445B9C">
        <w:rPr>
          <w:rFonts w:cs="Arial"/>
          <w:szCs w:val="20"/>
        </w:rPr>
        <w:t xml:space="preserve"> zagot</w:t>
      </w:r>
      <w:r w:rsidR="001A77E9">
        <w:rPr>
          <w:rFonts w:cs="Arial"/>
          <w:szCs w:val="20"/>
        </w:rPr>
        <w:t>o</w:t>
      </w:r>
      <w:r w:rsidR="00F25D3A" w:rsidRPr="00445B9C">
        <w:rPr>
          <w:rFonts w:cs="Arial"/>
          <w:szCs w:val="20"/>
        </w:rPr>
        <w:t>v</w:t>
      </w:r>
      <w:r w:rsidR="001A77E9">
        <w:rPr>
          <w:rFonts w:cs="Arial"/>
          <w:szCs w:val="20"/>
        </w:rPr>
        <w:t>iti</w:t>
      </w:r>
      <w:r w:rsidR="00F25D3A" w:rsidRPr="00445B9C">
        <w:rPr>
          <w:rFonts w:cs="Arial"/>
          <w:szCs w:val="20"/>
        </w:rPr>
        <w:t>, da njihove stranke izpolnjujejo zahteve</w:t>
      </w:r>
      <w:r w:rsidR="00934133" w:rsidRPr="00445B9C">
        <w:rPr>
          <w:rFonts w:cs="Arial"/>
          <w:szCs w:val="20"/>
        </w:rPr>
        <w:t xml:space="preserve"> iz</w:t>
      </w:r>
      <w:r w:rsidR="00F25D3A" w:rsidRPr="00445B9C">
        <w:rPr>
          <w:rFonts w:cs="Arial"/>
          <w:szCs w:val="20"/>
        </w:rPr>
        <w:t xml:space="preserve"> </w:t>
      </w:r>
      <w:r w:rsidR="00A218B8" w:rsidRPr="00445B9C">
        <w:rPr>
          <w:rFonts w:cs="Arial"/>
          <w:szCs w:val="20"/>
        </w:rPr>
        <w:t>234. in 376 člena ZTFI-1</w:t>
      </w:r>
      <w:r w:rsidR="00F25D3A" w:rsidRPr="00445B9C">
        <w:rPr>
          <w:rFonts w:cs="Arial"/>
          <w:szCs w:val="20"/>
        </w:rPr>
        <w:t>. Ta nadzorna funkcija je učinkovita</w:t>
      </w:r>
      <w:r w:rsidR="001A77E9">
        <w:rPr>
          <w:rFonts w:cs="Arial"/>
          <w:szCs w:val="20"/>
        </w:rPr>
        <w:t>, zato</w:t>
      </w:r>
      <w:r w:rsidR="00F25D3A" w:rsidRPr="00445B9C">
        <w:rPr>
          <w:rFonts w:cs="Arial"/>
          <w:szCs w:val="20"/>
        </w:rPr>
        <w:t xml:space="preserve"> ni potrebno, da se za stranke ponudnika neposrednega elektronskega dostopa, vključno z osebami, ki poslujejo za svoj račun</w:t>
      </w:r>
      <w:r w:rsidR="001A77E9">
        <w:rPr>
          <w:rFonts w:cs="Arial"/>
          <w:szCs w:val="20"/>
        </w:rPr>
        <w:t>,</w:t>
      </w:r>
      <w:r w:rsidR="000F485F" w:rsidRPr="00445B9C">
        <w:rPr>
          <w:rFonts w:cs="Arial"/>
          <w:szCs w:val="20"/>
        </w:rPr>
        <w:t xml:space="preserve"> v tem delu</w:t>
      </w:r>
      <w:r w:rsidR="00F25D3A" w:rsidRPr="00445B9C">
        <w:rPr>
          <w:rFonts w:cs="Arial"/>
          <w:szCs w:val="20"/>
        </w:rPr>
        <w:t xml:space="preserve"> uporablja</w:t>
      </w:r>
      <w:r w:rsidR="001A77E9">
        <w:rPr>
          <w:rFonts w:cs="Arial"/>
          <w:szCs w:val="20"/>
        </w:rPr>
        <w:t>ta</w:t>
      </w:r>
      <w:r w:rsidR="00F25D3A" w:rsidRPr="00445B9C">
        <w:rPr>
          <w:rFonts w:cs="Arial"/>
          <w:szCs w:val="20"/>
        </w:rPr>
        <w:t xml:space="preserve"> </w:t>
      </w:r>
      <w:r w:rsidR="00934133" w:rsidRPr="00445B9C">
        <w:rPr>
          <w:rFonts w:cs="Arial"/>
          <w:szCs w:val="20"/>
        </w:rPr>
        <w:t xml:space="preserve">ZTFI-1 </w:t>
      </w:r>
      <w:r w:rsidR="001A77E9">
        <w:rPr>
          <w:rFonts w:cs="Arial"/>
          <w:szCs w:val="20"/>
        </w:rPr>
        <w:t>in</w:t>
      </w:r>
      <w:r w:rsidR="001A77E9" w:rsidRPr="00445B9C">
        <w:rPr>
          <w:rFonts w:cs="Arial"/>
          <w:szCs w:val="20"/>
        </w:rPr>
        <w:t xml:space="preserve"> </w:t>
      </w:r>
      <w:r w:rsidR="00F25D3A" w:rsidRPr="00445B9C">
        <w:rPr>
          <w:rFonts w:cs="Arial"/>
          <w:szCs w:val="20"/>
        </w:rPr>
        <w:t xml:space="preserve">Direktiva 2014/65/EU. Poleg tega bi odprava te zahteve prispevala k enakim konkurenčnim pogojem za osebe s sedežem v </w:t>
      </w:r>
      <w:r w:rsidR="00934133" w:rsidRPr="00445B9C">
        <w:rPr>
          <w:rFonts w:cs="Arial"/>
          <w:szCs w:val="20"/>
        </w:rPr>
        <w:t>EU</w:t>
      </w:r>
      <w:r w:rsidR="00F25D3A" w:rsidRPr="00445B9C">
        <w:rPr>
          <w:rFonts w:cs="Arial"/>
          <w:szCs w:val="20"/>
        </w:rPr>
        <w:t xml:space="preserve"> na eni strani in </w:t>
      </w:r>
      <w:r w:rsidR="00934133" w:rsidRPr="00445B9C">
        <w:rPr>
          <w:rFonts w:cs="Arial"/>
          <w:szCs w:val="20"/>
        </w:rPr>
        <w:t xml:space="preserve">na drugi strani </w:t>
      </w:r>
      <w:r w:rsidR="00F25D3A" w:rsidRPr="00445B9C">
        <w:rPr>
          <w:rFonts w:cs="Arial"/>
          <w:szCs w:val="20"/>
        </w:rPr>
        <w:t xml:space="preserve">za osebe s sedežem v tretji državi, ki dostopajo do mest trgovanja v </w:t>
      </w:r>
      <w:r w:rsidR="00934133" w:rsidRPr="00445B9C">
        <w:rPr>
          <w:rFonts w:cs="Arial"/>
          <w:szCs w:val="20"/>
        </w:rPr>
        <w:t>EU</w:t>
      </w:r>
      <w:r w:rsidR="00F25D3A" w:rsidRPr="00445B9C">
        <w:rPr>
          <w:rFonts w:cs="Arial"/>
          <w:szCs w:val="20"/>
        </w:rPr>
        <w:t xml:space="preserve"> </w:t>
      </w:r>
      <w:r w:rsidR="001A77E9">
        <w:rPr>
          <w:rFonts w:cs="Arial"/>
          <w:szCs w:val="20"/>
        </w:rPr>
        <w:t>po</w:t>
      </w:r>
      <w:r w:rsidR="001A77E9" w:rsidRPr="00445B9C">
        <w:rPr>
          <w:rFonts w:cs="Arial"/>
          <w:szCs w:val="20"/>
        </w:rPr>
        <w:t xml:space="preserve"> </w:t>
      </w:r>
      <w:r w:rsidR="00F25D3A" w:rsidRPr="00445B9C">
        <w:rPr>
          <w:rFonts w:cs="Arial"/>
          <w:szCs w:val="20"/>
        </w:rPr>
        <w:t>neposredne</w:t>
      </w:r>
      <w:r w:rsidR="001A77E9">
        <w:rPr>
          <w:rFonts w:cs="Arial"/>
          <w:szCs w:val="20"/>
        </w:rPr>
        <w:t>m</w:t>
      </w:r>
      <w:r w:rsidR="00F25D3A" w:rsidRPr="00445B9C">
        <w:rPr>
          <w:rFonts w:cs="Arial"/>
          <w:szCs w:val="20"/>
        </w:rPr>
        <w:t xml:space="preserve"> elektronske</w:t>
      </w:r>
      <w:r w:rsidR="001A77E9">
        <w:rPr>
          <w:rFonts w:cs="Arial"/>
          <w:szCs w:val="20"/>
        </w:rPr>
        <w:t>m</w:t>
      </w:r>
      <w:r w:rsidR="00F25D3A" w:rsidRPr="00445B9C">
        <w:rPr>
          <w:rFonts w:cs="Arial"/>
          <w:szCs w:val="20"/>
        </w:rPr>
        <w:t xml:space="preserve"> dostop</w:t>
      </w:r>
      <w:r w:rsidR="001A77E9">
        <w:rPr>
          <w:rFonts w:cs="Arial"/>
          <w:szCs w:val="20"/>
        </w:rPr>
        <w:t>u</w:t>
      </w:r>
      <w:r w:rsidR="00F25D3A" w:rsidRPr="00445B9C">
        <w:rPr>
          <w:rFonts w:cs="Arial"/>
          <w:szCs w:val="20"/>
        </w:rPr>
        <w:t xml:space="preserve">, za katere </w:t>
      </w:r>
      <w:r w:rsidR="00934133" w:rsidRPr="00445B9C">
        <w:rPr>
          <w:rFonts w:cs="Arial"/>
          <w:szCs w:val="20"/>
        </w:rPr>
        <w:t xml:space="preserve">ZTFI-1 oziroma </w:t>
      </w:r>
      <w:r w:rsidR="00F25D3A" w:rsidRPr="00445B9C">
        <w:rPr>
          <w:rFonts w:cs="Arial"/>
          <w:szCs w:val="20"/>
        </w:rPr>
        <w:t>Direktiva 2014/65/EU ne zahteva dovoljenja.</w:t>
      </w:r>
      <w:r w:rsidRPr="00445B9C">
        <w:rPr>
          <w:rFonts w:cs="Arial"/>
          <w:szCs w:val="20"/>
        </w:rPr>
        <w:t xml:space="preserve"> </w:t>
      </w:r>
      <w:r w:rsidR="002D4FAB" w:rsidRPr="00445B9C">
        <w:rPr>
          <w:rFonts w:cs="Arial"/>
          <w:szCs w:val="20"/>
        </w:rPr>
        <w:t>S predlagano spremembo se prenaša drugi odstavek 1. člena Direktive 2024/790/EU.</w:t>
      </w:r>
    </w:p>
    <w:p w14:paraId="09C606BC" w14:textId="10D96A21" w:rsidR="00447128" w:rsidRPr="00445B9C" w:rsidRDefault="00447128" w:rsidP="00C64B3F">
      <w:pPr>
        <w:spacing w:line="276" w:lineRule="auto"/>
        <w:jc w:val="both"/>
        <w:rPr>
          <w:rFonts w:cs="Arial"/>
          <w:szCs w:val="20"/>
        </w:rPr>
      </w:pPr>
      <w:r w:rsidRPr="00445B9C">
        <w:rPr>
          <w:rFonts w:cs="Arial"/>
          <w:szCs w:val="20"/>
        </w:rPr>
        <w:t xml:space="preserve">V 10. točki prvega odstavka se popravlja sklic na uredbi, ki </w:t>
      </w:r>
      <w:r w:rsidR="001A77E9">
        <w:rPr>
          <w:rFonts w:cs="Arial"/>
          <w:szCs w:val="20"/>
        </w:rPr>
        <w:t>sta</w:t>
      </w:r>
      <w:r w:rsidR="001A77E9" w:rsidRPr="00445B9C">
        <w:rPr>
          <w:rFonts w:cs="Arial"/>
          <w:szCs w:val="20"/>
        </w:rPr>
        <w:t xml:space="preserve"> </w:t>
      </w:r>
      <w:r w:rsidRPr="00445B9C">
        <w:rPr>
          <w:rFonts w:cs="Arial"/>
          <w:szCs w:val="20"/>
        </w:rPr>
        <w:t xml:space="preserve">bili razveljavljeni z novima uredbama. </w:t>
      </w:r>
    </w:p>
    <w:p w14:paraId="58706E84" w14:textId="3751AA32" w:rsidR="00FA7CEA" w:rsidRPr="00445B9C" w:rsidRDefault="00FA7CEA" w:rsidP="00FA7CEA">
      <w:pPr>
        <w:spacing w:line="276" w:lineRule="auto"/>
        <w:jc w:val="both"/>
        <w:rPr>
          <w:rFonts w:cs="Arial"/>
          <w:szCs w:val="20"/>
        </w:rPr>
      </w:pPr>
    </w:p>
    <w:p w14:paraId="6C4CB4C9" w14:textId="77777777" w:rsidR="00E610BA" w:rsidRPr="00445B9C" w:rsidRDefault="00E610BA" w:rsidP="00C64B3F">
      <w:pPr>
        <w:spacing w:line="276" w:lineRule="auto"/>
        <w:jc w:val="both"/>
        <w:rPr>
          <w:rFonts w:cs="Arial"/>
          <w:szCs w:val="20"/>
        </w:rPr>
      </w:pPr>
    </w:p>
    <w:p w14:paraId="55C0865E" w14:textId="52FAFE5B" w:rsidR="00FD1CE8" w:rsidRPr="00445B9C" w:rsidRDefault="00FE0F83" w:rsidP="00D96A7D">
      <w:pPr>
        <w:spacing w:line="276" w:lineRule="auto"/>
        <w:jc w:val="both"/>
        <w:rPr>
          <w:rFonts w:cs="Arial"/>
          <w:b/>
          <w:bCs/>
          <w:szCs w:val="20"/>
        </w:rPr>
      </w:pPr>
      <w:r w:rsidRPr="00445B9C">
        <w:rPr>
          <w:rFonts w:cs="Arial"/>
          <w:b/>
          <w:bCs/>
          <w:szCs w:val="20"/>
        </w:rPr>
        <w:t xml:space="preserve">K </w:t>
      </w:r>
      <w:r w:rsidRPr="00445B9C">
        <w:rPr>
          <w:rFonts w:cs="Arial"/>
          <w:szCs w:val="20"/>
        </w:rPr>
        <w:fldChar w:fldCharType="begin"/>
      </w:r>
      <w:r w:rsidR="00FD1CE8" w:rsidRPr="00445B9C">
        <w:rPr>
          <w:rFonts w:cs="Arial"/>
          <w:szCs w:val="20"/>
        </w:rPr>
        <w:instrText xml:space="preserve"> REF _Ref192067208 \r \h  \* MERGEFORMAT </w:instrText>
      </w:r>
      <w:r w:rsidRPr="00445B9C">
        <w:rPr>
          <w:rFonts w:cs="Arial"/>
          <w:szCs w:val="20"/>
        </w:rPr>
      </w:r>
      <w:r w:rsidRPr="00445B9C">
        <w:rPr>
          <w:rFonts w:cs="Arial"/>
          <w:szCs w:val="20"/>
        </w:rPr>
        <w:fldChar w:fldCharType="separate"/>
      </w:r>
      <w:r w:rsidR="001638A0" w:rsidRPr="00445B9C">
        <w:rPr>
          <w:rFonts w:cs="Arial"/>
          <w:b/>
          <w:bCs/>
          <w:szCs w:val="20"/>
        </w:rPr>
        <w:t xml:space="preserve">12. </w:t>
      </w:r>
      <w:r w:rsidRPr="00445B9C">
        <w:rPr>
          <w:rFonts w:cs="Arial"/>
          <w:szCs w:val="20"/>
        </w:rPr>
        <w:fldChar w:fldCharType="end"/>
      </w:r>
      <w:r w:rsidRPr="00445B9C">
        <w:rPr>
          <w:rFonts w:cs="Arial"/>
          <w:b/>
          <w:bCs/>
          <w:szCs w:val="20"/>
        </w:rPr>
        <w:t>členu</w:t>
      </w:r>
    </w:p>
    <w:p w14:paraId="55EFAE05" w14:textId="0C41A108" w:rsidR="004F2B7E" w:rsidRPr="00445B9C" w:rsidRDefault="004F2B7E" w:rsidP="004F2B7E">
      <w:pPr>
        <w:spacing w:line="276" w:lineRule="auto"/>
        <w:jc w:val="both"/>
        <w:rPr>
          <w:rFonts w:cs="Arial"/>
          <w:szCs w:val="20"/>
        </w:rPr>
      </w:pPr>
      <w:r w:rsidRPr="00445B9C">
        <w:rPr>
          <w:rFonts w:cs="Arial"/>
          <w:szCs w:val="20"/>
        </w:rPr>
        <w:t>Zaradi prenosa Direktive 2022/2464/EU je treb</w:t>
      </w:r>
      <w:r w:rsidR="001A77E9">
        <w:rPr>
          <w:rFonts w:cs="Arial"/>
          <w:szCs w:val="20"/>
        </w:rPr>
        <w:t>a</w:t>
      </w:r>
      <w:r w:rsidRPr="00445B9C">
        <w:rPr>
          <w:rFonts w:cs="Arial"/>
          <w:szCs w:val="20"/>
        </w:rPr>
        <w:t xml:space="preserve"> spremeniti </w:t>
      </w:r>
      <w:r w:rsidR="001A77E9">
        <w:rPr>
          <w:rFonts w:cs="Arial"/>
          <w:szCs w:val="20"/>
        </w:rPr>
        <w:t>prvi</w:t>
      </w:r>
      <w:r w:rsidRPr="00445B9C">
        <w:rPr>
          <w:rFonts w:cs="Arial"/>
          <w:szCs w:val="20"/>
        </w:rPr>
        <w:t xml:space="preserve"> in </w:t>
      </w:r>
      <w:r w:rsidR="001A77E9">
        <w:rPr>
          <w:rFonts w:cs="Arial"/>
          <w:szCs w:val="20"/>
        </w:rPr>
        <w:t>drugi</w:t>
      </w:r>
      <w:r w:rsidRPr="00445B9C">
        <w:rPr>
          <w:rFonts w:cs="Arial"/>
          <w:szCs w:val="20"/>
        </w:rPr>
        <w:t xml:space="preserve"> odstavek 133. člena ZTFI-1.</w:t>
      </w:r>
      <w:r w:rsidR="001A77E9">
        <w:rPr>
          <w:rFonts w:cs="Arial"/>
          <w:szCs w:val="20"/>
        </w:rPr>
        <w:t xml:space="preserve"> </w:t>
      </w:r>
    </w:p>
    <w:p w14:paraId="66F3E8E7" w14:textId="77777777" w:rsidR="004F2B7E" w:rsidRPr="00445B9C" w:rsidRDefault="004F2B7E" w:rsidP="00AF08C8">
      <w:pPr>
        <w:spacing w:line="276" w:lineRule="auto"/>
        <w:jc w:val="both"/>
        <w:rPr>
          <w:rFonts w:cs="Arial"/>
          <w:szCs w:val="20"/>
        </w:rPr>
      </w:pPr>
      <w:r w:rsidRPr="00445B9C">
        <w:rPr>
          <w:rFonts w:cs="Arial"/>
          <w:szCs w:val="20"/>
        </w:rPr>
        <w:t xml:space="preserve"> </w:t>
      </w:r>
    </w:p>
    <w:p w14:paraId="363AE61F" w14:textId="57712124" w:rsidR="004F2B7E" w:rsidRPr="00445B9C" w:rsidRDefault="004F2B7E" w:rsidP="004F2B7E">
      <w:pPr>
        <w:spacing w:line="276" w:lineRule="auto"/>
        <w:jc w:val="both"/>
        <w:rPr>
          <w:rFonts w:cs="Arial"/>
          <w:szCs w:val="20"/>
        </w:rPr>
      </w:pPr>
      <w:r w:rsidRPr="00445B9C">
        <w:rPr>
          <w:rFonts w:cs="Arial"/>
          <w:szCs w:val="20"/>
        </w:rPr>
        <w:t>V prvem odstavku 133. člena ZTFI-1, ki obravnava uporabo določb glede letnega poročila javne družbe, ki ima sedež v R</w:t>
      </w:r>
      <w:r w:rsidR="001A77E9">
        <w:rPr>
          <w:rFonts w:cs="Arial"/>
          <w:szCs w:val="20"/>
        </w:rPr>
        <w:t xml:space="preserve">epubliki </w:t>
      </w:r>
      <w:r w:rsidRPr="00445B9C">
        <w:rPr>
          <w:rFonts w:cs="Arial"/>
          <w:szCs w:val="20"/>
        </w:rPr>
        <w:t>S</w:t>
      </w:r>
      <w:r w:rsidR="001A77E9">
        <w:rPr>
          <w:rFonts w:cs="Arial"/>
          <w:szCs w:val="20"/>
        </w:rPr>
        <w:t>loveniji</w:t>
      </w:r>
      <w:r w:rsidRPr="00445B9C">
        <w:rPr>
          <w:rFonts w:cs="Arial"/>
          <w:szCs w:val="20"/>
        </w:rPr>
        <w:t>, je treb</w:t>
      </w:r>
      <w:r w:rsidR="001A77E9">
        <w:rPr>
          <w:rFonts w:cs="Arial"/>
          <w:szCs w:val="20"/>
        </w:rPr>
        <w:t>a</w:t>
      </w:r>
      <w:r w:rsidRPr="00445B9C">
        <w:rPr>
          <w:rFonts w:cs="Arial"/>
          <w:szCs w:val="20"/>
        </w:rPr>
        <w:t xml:space="preserve"> </w:t>
      </w:r>
      <w:r w:rsidR="001A77E9" w:rsidRPr="00445B9C">
        <w:rPr>
          <w:rFonts w:cs="Arial"/>
          <w:szCs w:val="20"/>
        </w:rPr>
        <w:t xml:space="preserve">spremeniti </w:t>
      </w:r>
      <w:r w:rsidR="00B520EC" w:rsidRPr="00445B9C">
        <w:rPr>
          <w:rFonts w:cs="Arial"/>
          <w:szCs w:val="20"/>
        </w:rPr>
        <w:t>drugi stavek tega odstavka</w:t>
      </w:r>
      <w:r w:rsidRPr="00445B9C">
        <w:rPr>
          <w:rFonts w:cs="Arial"/>
          <w:szCs w:val="20"/>
        </w:rPr>
        <w:t>.</w:t>
      </w:r>
      <w:r w:rsidR="00B520EC" w:rsidRPr="00445B9C">
        <w:rPr>
          <w:rFonts w:cs="Arial"/>
          <w:szCs w:val="20"/>
        </w:rPr>
        <w:t xml:space="preserve"> Ob upoštevanju dejstva, da se je z </w:t>
      </w:r>
      <w:r w:rsidR="001A77E9">
        <w:rPr>
          <w:rFonts w:cs="Arial"/>
          <w:szCs w:val="20"/>
        </w:rPr>
        <w:t>najnovejšo</w:t>
      </w:r>
      <w:r w:rsidR="001A77E9" w:rsidRPr="00445B9C">
        <w:rPr>
          <w:rFonts w:cs="Arial"/>
          <w:szCs w:val="20"/>
        </w:rPr>
        <w:t xml:space="preserve"> </w:t>
      </w:r>
      <w:r w:rsidR="001A77E9">
        <w:rPr>
          <w:rFonts w:cs="Arial"/>
          <w:szCs w:val="20"/>
        </w:rPr>
        <w:t>spremembo</w:t>
      </w:r>
      <w:r w:rsidR="001A77E9" w:rsidRPr="00445B9C">
        <w:rPr>
          <w:rFonts w:cs="Arial"/>
          <w:szCs w:val="20"/>
        </w:rPr>
        <w:t xml:space="preserve"> </w:t>
      </w:r>
      <w:r w:rsidR="00B520EC" w:rsidRPr="00445B9C">
        <w:rPr>
          <w:rFonts w:cs="Arial"/>
          <w:szCs w:val="20"/>
        </w:rPr>
        <w:t xml:space="preserve">ZGD-1 (ZGD-1M) pri poročilu o </w:t>
      </w:r>
      <w:proofErr w:type="spellStart"/>
      <w:r w:rsidR="00B520EC" w:rsidRPr="00445B9C">
        <w:rPr>
          <w:rFonts w:cs="Arial"/>
          <w:szCs w:val="20"/>
        </w:rPr>
        <w:t>trajnostnosti</w:t>
      </w:r>
      <w:proofErr w:type="spellEnd"/>
      <w:r w:rsidR="00B520EC" w:rsidRPr="00445B9C">
        <w:rPr>
          <w:rFonts w:cs="Arial"/>
          <w:szCs w:val="20"/>
        </w:rPr>
        <w:t xml:space="preserve"> (prvi odstavek 70.c člena in drugi odstavek 70.č člena ZGD-1) vključila tudi navezava na 8. člen Uredbe 2020/852/EU</w:t>
      </w:r>
      <w:r w:rsidR="001A77E9">
        <w:rPr>
          <w:rFonts w:cs="Arial"/>
          <w:szCs w:val="20"/>
        </w:rPr>
        <w:t>,</w:t>
      </w:r>
      <w:r w:rsidR="00B520EC" w:rsidRPr="00445B9C">
        <w:rPr>
          <w:rFonts w:cs="Arial"/>
          <w:szCs w:val="20"/>
        </w:rPr>
        <w:t xml:space="preserve"> črtano besedilo ni več potrebno.</w:t>
      </w:r>
    </w:p>
    <w:p w14:paraId="0C9B04F0" w14:textId="77777777" w:rsidR="004F2B7E" w:rsidRPr="00445B9C" w:rsidRDefault="004F2B7E" w:rsidP="00AF08C8">
      <w:pPr>
        <w:spacing w:line="276" w:lineRule="auto"/>
        <w:jc w:val="both"/>
        <w:rPr>
          <w:rFonts w:cs="Arial"/>
          <w:szCs w:val="20"/>
        </w:rPr>
      </w:pPr>
    </w:p>
    <w:p w14:paraId="32191E37" w14:textId="4CA6FF78" w:rsidR="004F2B7E" w:rsidRPr="00445B9C" w:rsidRDefault="004F2B7E" w:rsidP="004F2B7E">
      <w:pPr>
        <w:spacing w:line="276" w:lineRule="auto"/>
        <w:jc w:val="both"/>
        <w:rPr>
          <w:rFonts w:cs="Arial"/>
          <w:szCs w:val="20"/>
        </w:rPr>
      </w:pPr>
      <w:r w:rsidRPr="00445B9C">
        <w:rPr>
          <w:rFonts w:cs="Arial"/>
          <w:szCs w:val="20"/>
        </w:rPr>
        <w:lastRenderedPageBreak/>
        <w:t>V drugem odstavku 133. člena ZTFI-1, ki obravnava letno in konsolidirano letno poročilo ter revizorjevo poročilo, ko ima javna družba sedež v drugi državi članici ali v tretji državi, je treb</w:t>
      </w:r>
      <w:r w:rsidR="001334BB">
        <w:rPr>
          <w:rFonts w:cs="Arial"/>
          <w:szCs w:val="20"/>
        </w:rPr>
        <w:t>a</w:t>
      </w:r>
      <w:r w:rsidRPr="00445B9C">
        <w:rPr>
          <w:rFonts w:cs="Arial"/>
          <w:szCs w:val="20"/>
        </w:rPr>
        <w:t xml:space="preserve"> upoštevati določbe 2. člena Direktive 2022/2464/EU glede sprememb v zvezi z letnimi računovodskimi poročili iz četrtega in petega odstavka 4. člena Direktive 2004/109/E</w:t>
      </w:r>
      <w:r w:rsidR="00FF4F34" w:rsidRPr="00445B9C">
        <w:rPr>
          <w:rFonts w:cs="Arial"/>
          <w:szCs w:val="20"/>
        </w:rPr>
        <w:t>S</w:t>
      </w:r>
      <w:r w:rsidRPr="00445B9C">
        <w:rPr>
          <w:rFonts w:cs="Arial"/>
          <w:szCs w:val="20"/>
        </w:rPr>
        <w:t>. Ob upoštevanju 4. pododstavka četrtega odstavka 4. člena Direktive 2004/109/E</w:t>
      </w:r>
      <w:r w:rsidR="00FF4F34" w:rsidRPr="00445B9C">
        <w:rPr>
          <w:rFonts w:cs="Arial"/>
          <w:szCs w:val="20"/>
        </w:rPr>
        <w:t>S</w:t>
      </w:r>
      <w:r w:rsidRPr="00445B9C">
        <w:rPr>
          <w:rFonts w:cs="Arial"/>
          <w:szCs w:val="20"/>
        </w:rPr>
        <w:t xml:space="preserve"> je treb</w:t>
      </w:r>
      <w:r w:rsidR="001334BB">
        <w:rPr>
          <w:rFonts w:cs="Arial"/>
          <w:szCs w:val="20"/>
        </w:rPr>
        <w:t>a</w:t>
      </w:r>
      <w:r w:rsidRPr="00445B9C">
        <w:rPr>
          <w:rFonts w:cs="Arial"/>
          <w:szCs w:val="20"/>
        </w:rPr>
        <w:t xml:space="preserve"> dopolniti 3. točko drugega odstavka 133. člena tako, da revizijsko poročilo po potrebi vključuje tudi mnenje o zanesljivosti poročanja o trajnostnosti, ki mora biti pripravljeno </w:t>
      </w:r>
      <w:r w:rsidR="001334BB">
        <w:rPr>
          <w:rFonts w:cs="Arial"/>
          <w:szCs w:val="20"/>
        </w:rPr>
        <w:t xml:space="preserve">v </w:t>
      </w:r>
      <w:r w:rsidRPr="00445B9C">
        <w:rPr>
          <w:rFonts w:cs="Arial"/>
          <w:szCs w:val="20"/>
        </w:rPr>
        <w:t>sklad</w:t>
      </w:r>
      <w:r w:rsidR="001334BB">
        <w:rPr>
          <w:rFonts w:cs="Arial"/>
          <w:szCs w:val="20"/>
        </w:rPr>
        <w:t>u</w:t>
      </w:r>
      <w:r w:rsidRPr="00445B9C">
        <w:rPr>
          <w:rFonts w:cs="Arial"/>
          <w:szCs w:val="20"/>
        </w:rPr>
        <w:t xml:space="preserve"> s 34. členom Direktive 2013/34/EU. Hkrati je treb</w:t>
      </w:r>
      <w:r w:rsidR="001334BB">
        <w:rPr>
          <w:rFonts w:cs="Arial"/>
          <w:szCs w:val="20"/>
        </w:rPr>
        <w:t>a</w:t>
      </w:r>
      <w:r w:rsidRPr="00445B9C">
        <w:rPr>
          <w:rFonts w:cs="Arial"/>
          <w:szCs w:val="20"/>
        </w:rPr>
        <w:t xml:space="preserve"> prilagoditi tudi 4. točko drugega odstavka 133. člena ZTFI-1, tako da bodo upoštevana vsa določila glede poslovnega poročila iz </w:t>
      </w:r>
      <w:r w:rsidR="001334BB">
        <w:rPr>
          <w:rFonts w:cs="Arial"/>
          <w:szCs w:val="20"/>
        </w:rPr>
        <w:t>drugega</w:t>
      </w:r>
      <w:r w:rsidRPr="00445B9C">
        <w:rPr>
          <w:rFonts w:cs="Arial"/>
          <w:szCs w:val="20"/>
        </w:rPr>
        <w:t xml:space="preserve"> pododstavka petega odstavka 4. člena Direktive 2004/109/E</w:t>
      </w:r>
      <w:r w:rsidR="00FF4F34" w:rsidRPr="00445B9C">
        <w:rPr>
          <w:rFonts w:cs="Arial"/>
          <w:szCs w:val="20"/>
        </w:rPr>
        <w:t>S</w:t>
      </w:r>
      <w:r w:rsidRPr="00445B9C">
        <w:rPr>
          <w:rFonts w:cs="Arial"/>
          <w:szCs w:val="20"/>
        </w:rPr>
        <w:t>. V novem drugem odstavku 133. člena ZTFI-1 je s tem še dodatno opredeljena vsebina glede uporabe zadevnih predpisov v primeru, ko gre za trajnostno poročanje javnih družb, ki imajo sedež v drugi državi članici ali v tretji državi.</w:t>
      </w:r>
    </w:p>
    <w:p w14:paraId="08A8F236" w14:textId="77777777" w:rsidR="004F2B7E" w:rsidRPr="00445B9C" w:rsidRDefault="004F2B7E" w:rsidP="00AF08C8">
      <w:pPr>
        <w:spacing w:line="276" w:lineRule="auto"/>
        <w:jc w:val="both"/>
        <w:rPr>
          <w:rFonts w:cs="Arial"/>
          <w:szCs w:val="20"/>
        </w:rPr>
      </w:pPr>
      <w:r w:rsidRPr="00445B9C">
        <w:rPr>
          <w:rFonts w:cs="Arial"/>
          <w:szCs w:val="20"/>
        </w:rPr>
        <w:t xml:space="preserve"> </w:t>
      </w:r>
    </w:p>
    <w:p w14:paraId="5460A701" w14:textId="77777777" w:rsidR="00FE0F83" w:rsidRPr="00445B9C" w:rsidRDefault="004F2B7E" w:rsidP="00C64B3F">
      <w:pPr>
        <w:spacing w:line="240" w:lineRule="auto"/>
        <w:jc w:val="both"/>
        <w:rPr>
          <w:rFonts w:cs="Arial"/>
          <w:szCs w:val="20"/>
        </w:rPr>
      </w:pPr>
      <w:r w:rsidRPr="00445B9C">
        <w:rPr>
          <w:rFonts w:cs="Arial"/>
          <w:szCs w:val="20"/>
        </w:rPr>
        <w:t>Tretji odstavek 133. člena ZTFI-1 ostaja nespremenjen.</w:t>
      </w:r>
    </w:p>
    <w:p w14:paraId="1AF3C3B5" w14:textId="77777777" w:rsidR="00AF08C8" w:rsidRPr="00445B9C" w:rsidRDefault="00AF08C8" w:rsidP="00C64B3F">
      <w:pPr>
        <w:spacing w:line="240" w:lineRule="auto"/>
        <w:jc w:val="both"/>
        <w:rPr>
          <w:rFonts w:cs="Arial"/>
          <w:szCs w:val="20"/>
        </w:rPr>
      </w:pPr>
    </w:p>
    <w:p w14:paraId="14A7B147" w14:textId="34352C03"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_Ref192067217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13. </w:t>
      </w:r>
      <w:r w:rsidR="00CF0FDA" w:rsidRPr="00445B9C">
        <w:rPr>
          <w:rFonts w:cs="Arial"/>
          <w:b/>
          <w:bCs/>
          <w:szCs w:val="20"/>
        </w:rPr>
        <w:fldChar w:fldCharType="end"/>
      </w:r>
      <w:r w:rsidRPr="00445B9C">
        <w:rPr>
          <w:rFonts w:cs="Arial"/>
          <w:b/>
          <w:bCs/>
          <w:szCs w:val="20"/>
        </w:rPr>
        <w:t>členu</w:t>
      </w:r>
    </w:p>
    <w:p w14:paraId="00489EF4" w14:textId="53AF4A45" w:rsidR="00214101" w:rsidRPr="00445B9C" w:rsidRDefault="001A27F7" w:rsidP="001A27F7">
      <w:pPr>
        <w:spacing w:line="276" w:lineRule="auto"/>
        <w:jc w:val="both"/>
        <w:rPr>
          <w:rFonts w:cs="Arial"/>
          <w:szCs w:val="20"/>
        </w:rPr>
      </w:pPr>
      <w:r w:rsidRPr="00445B9C">
        <w:rPr>
          <w:rFonts w:cs="Arial"/>
          <w:szCs w:val="20"/>
        </w:rPr>
        <w:t>Z ZTFI-1C se je v ZTFI-1 prenesla Direktiva 2022/2464/EU. Točka (a) drugega odstavka 2. člena Direktive 2022/2464/EU</w:t>
      </w:r>
      <w:r w:rsidR="00214101" w:rsidRPr="00445B9C">
        <w:rPr>
          <w:rFonts w:cs="Arial"/>
          <w:szCs w:val="20"/>
        </w:rPr>
        <w:t>, ki ni bila prenesena z ZTFI-1C</w:t>
      </w:r>
      <w:r w:rsidR="00D23100" w:rsidRPr="00445B9C">
        <w:rPr>
          <w:rFonts w:cs="Arial"/>
          <w:szCs w:val="20"/>
        </w:rPr>
        <w:t xml:space="preserve"> in</w:t>
      </w:r>
      <w:r w:rsidRPr="00445B9C">
        <w:rPr>
          <w:rFonts w:cs="Arial"/>
          <w:szCs w:val="20"/>
        </w:rPr>
        <w:t xml:space="preserve"> posega v točko (c) drugega odstavka 4. člen</w:t>
      </w:r>
      <w:r w:rsidR="005B2A34">
        <w:rPr>
          <w:rFonts w:cs="Arial"/>
          <w:szCs w:val="20"/>
        </w:rPr>
        <w:t>a</w:t>
      </w:r>
      <w:r w:rsidRPr="00445B9C">
        <w:rPr>
          <w:rFonts w:cs="Arial"/>
          <w:szCs w:val="20"/>
        </w:rPr>
        <w:t xml:space="preserve"> Direktive 2004/109/</w:t>
      </w:r>
      <w:r w:rsidR="00FF4F34" w:rsidRPr="00445B9C">
        <w:rPr>
          <w:rFonts w:cs="Arial"/>
          <w:szCs w:val="20"/>
        </w:rPr>
        <w:t>ES</w:t>
      </w:r>
      <w:r w:rsidR="005B2A34">
        <w:rPr>
          <w:rFonts w:cs="Arial"/>
          <w:szCs w:val="20"/>
        </w:rPr>
        <w:t>,</w:t>
      </w:r>
      <w:r w:rsidR="00FF4F34" w:rsidRPr="00445B9C">
        <w:rPr>
          <w:rFonts w:cs="Arial"/>
          <w:szCs w:val="20"/>
        </w:rPr>
        <w:t xml:space="preserve"> </w:t>
      </w:r>
      <w:r w:rsidRPr="00445B9C">
        <w:rPr>
          <w:rFonts w:cs="Arial"/>
          <w:szCs w:val="20"/>
        </w:rPr>
        <w:t>in sicer na način, da dopolnjuje izjavo odgovornih oseb izdajatelja oz</w:t>
      </w:r>
      <w:r w:rsidR="005B2A34">
        <w:rPr>
          <w:rFonts w:cs="Arial"/>
          <w:szCs w:val="20"/>
        </w:rPr>
        <w:t>iroma</w:t>
      </w:r>
      <w:r w:rsidRPr="00445B9C">
        <w:rPr>
          <w:rFonts w:cs="Arial"/>
          <w:szCs w:val="20"/>
        </w:rPr>
        <w:t xml:space="preserve"> izjavo članov poslovodstva in drugih oseb javne družbe, odgovorni</w:t>
      </w:r>
      <w:r w:rsidR="005B2A34">
        <w:rPr>
          <w:rFonts w:cs="Arial"/>
          <w:szCs w:val="20"/>
        </w:rPr>
        <w:t>h</w:t>
      </w:r>
      <w:r w:rsidRPr="00445B9C">
        <w:rPr>
          <w:rFonts w:cs="Arial"/>
          <w:szCs w:val="20"/>
        </w:rPr>
        <w:t xml:space="preserve"> za sestavo letnega poročila</w:t>
      </w:r>
      <w:r w:rsidR="00214101" w:rsidRPr="00445B9C">
        <w:rPr>
          <w:rFonts w:cs="Arial"/>
          <w:szCs w:val="20"/>
        </w:rPr>
        <w:t>, da je to pripravljeno v skladu z evropskimi standardi poročanja o trajnostnosti.</w:t>
      </w:r>
    </w:p>
    <w:p w14:paraId="7D06A5EB" w14:textId="77777777" w:rsidR="00D23100" w:rsidRPr="00445B9C" w:rsidRDefault="00D23100" w:rsidP="001A27F7">
      <w:pPr>
        <w:spacing w:line="276" w:lineRule="auto"/>
        <w:jc w:val="both"/>
        <w:rPr>
          <w:rFonts w:cs="Arial"/>
          <w:szCs w:val="20"/>
        </w:rPr>
      </w:pPr>
    </w:p>
    <w:p w14:paraId="031819D1" w14:textId="77777777" w:rsidR="00D23100" w:rsidRPr="00445B9C" w:rsidRDefault="00D23100" w:rsidP="001A27F7">
      <w:pPr>
        <w:spacing w:line="276" w:lineRule="auto"/>
        <w:jc w:val="both"/>
        <w:rPr>
          <w:rFonts w:cs="Arial"/>
          <w:szCs w:val="20"/>
        </w:rPr>
      </w:pPr>
      <w:r w:rsidRPr="00445B9C">
        <w:rPr>
          <w:rFonts w:cs="Arial"/>
          <w:szCs w:val="20"/>
        </w:rPr>
        <w:t>S predlagano spremembo se prenaša točka (a) drugega odstavka 2. člena Direktive 2022/2464/EU.</w:t>
      </w:r>
    </w:p>
    <w:p w14:paraId="4EA328F0" w14:textId="77777777" w:rsidR="00FE0F83" w:rsidRPr="00445B9C" w:rsidRDefault="00FE0F83" w:rsidP="00C64B3F">
      <w:pPr>
        <w:spacing w:line="240" w:lineRule="auto"/>
        <w:jc w:val="both"/>
        <w:rPr>
          <w:rFonts w:cs="Arial"/>
          <w:szCs w:val="20"/>
        </w:rPr>
      </w:pPr>
    </w:p>
    <w:p w14:paraId="64665A00" w14:textId="76E650DE"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_Ref192067226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14. </w:t>
      </w:r>
      <w:r w:rsidR="00CF0FDA" w:rsidRPr="00445B9C">
        <w:rPr>
          <w:rFonts w:cs="Arial"/>
          <w:b/>
          <w:bCs/>
          <w:szCs w:val="20"/>
        </w:rPr>
        <w:fldChar w:fldCharType="end"/>
      </w:r>
      <w:r w:rsidRPr="00445B9C">
        <w:rPr>
          <w:rFonts w:cs="Arial"/>
          <w:b/>
          <w:bCs/>
          <w:szCs w:val="20"/>
        </w:rPr>
        <w:t>členu</w:t>
      </w:r>
    </w:p>
    <w:p w14:paraId="4597A889" w14:textId="3E1800B4" w:rsidR="00F5265D" w:rsidRPr="00445B9C" w:rsidRDefault="00F5265D" w:rsidP="00742018">
      <w:pPr>
        <w:spacing w:line="276" w:lineRule="auto"/>
        <w:jc w:val="both"/>
        <w:rPr>
          <w:rFonts w:cs="Arial"/>
          <w:szCs w:val="20"/>
        </w:rPr>
      </w:pPr>
      <w:r w:rsidRPr="00445B9C">
        <w:rPr>
          <w:rFonts w:cs="Arial"/>
          <w:szCs w:val="20"/>
        </w:rPr>
        <w:t>V okviru zbirke vprašanj in odgovorov ESMA pod zaporedno številko 59</w:t>
      </w:r>
      <w:r w:rsidR="00BA63B9" w:rsidRPr="00445B9C">
        <w:rPr>
          <w:rFonts w:cs="Arial"/>
          <w:szCs w:val="20"/>
        </w:rPr>
        <w:t>3</w:t>
      </w:r>
      <w:r w:rsidRPr="00445B9C">
        <w:rPr>
          <w:rFonts w:cs="Arial"/>
          <w:szCs w:val="20"/>
        </w:rPr>
        <w:t>, dostopno na</w:t>
      </w:r>
      <w:r w:rsidR="00BA63B9" w:rsidRPr="00445B9C">
        <w:rPr>
          <w:rFonts w:cs="Arial"/>
          <w:szCs w:val="20"/>
        </w:rPr>
        <w:t xml:space="preserve"> </w:t>
      </w:r>
      <w:r w:rsidR="00481145" w:rsidRPr="00445B9C">
        <w:rPr>
          <w:rFonts w:cs="Arial"/>
          <w:szCs w:val="20"/>
        </w:rPr>
        <w:t>[</w:t>
      </w:r>
      <w:r w:rsidR="00AF08C8" w:rsidRPr="00445B9C">
        <w:rPr>
          <w:rFonts w:cs="Arial"/>
          <w:szCs w:val="20"/>
        </w:rPr>
        <w:t>https://www.esma.europa.eu/qa/593</w:t>
      </w:r>
      <w:r w:rsidR="00481145" w:rsidRPr="00445B9C">
        <w:rPr>
          <w:rFonts w:cs="Arial"/>
          <w:szCs w:val="20"/>
        </w:rPr>
        <w:t xml:space="preserve">] </w:t>
      </w:r>
      <w:r w:rsidR="00AF08C8" w:rsidRPr="00445B9C">
        <w:rPr>
          <w:rFonts w:cs="Arial"/>
          <w:szCs w:val="20"/>
        </w:rPr>
        <w:t xml:space="preserve">17. </w:t>
      </w:r>
      <w:r w:rsidR="005B2A34">
        <w:rPr>
          <w:rFonts w:cs="Arial"/>
          <w:szCs w:val="20"/>
        </w:rPr>
        <w:t>marca</w:t>
      </w:r>
      <w:r w:rsidR="00BA63B9" w:rsidRPr="00445B9C">
        <w:rPr>
          <w:rFonts w:cs="Arial"/>
          <w:szCs w:val="20"/>
        </w:rPr>
        <w:t xml:space="preserve"> 2025</w:t>
      </w:r>
      <w:r w:rsidR="005B2A34">
        <w:rPr>
          <w:rFonts w:cs="Arial"/>
          <w:szCs w:val="20"/>
        </w:rPr>
        <w:t>,</w:t>
      </w:r>
      <w:r w:rsidR="00BA63B9" w:rsidRPr="00445B9C">
        <w:rPr>
          <w:rFonts w:cs="Arial"/>
          <w:szCs w:val="20"/>
        </w:rPr>
        <w:t xml:space="preserve"> </w:t>
      </w:r>
      <w:r w:rsidRPr="00445B9C">
        <w:rPr>
          <w:rFonts w:cs="Arial"/>
          <w:szCs w:val="20"/>
        </w:rPr>
        <w:t xml:space="preserve">je razumeti, da je stališče ESMA oziroma Evropske komisije, da lahko </w:t>
      </w:r>
      <w:r w:rsidR="005B2A34">
        <w:rPr>
          <w:rFonts w:cs="Arial"/>
          <w:szCs w:val="20"/>
        </w:rPr>
        <w:t>le</w:t>
      </w:r>
      <w:r w:rsidR="005B2A34" w:rsidRPr="00445B9C">
        <w:rPr>
          <w:rFonts w:cs="Arial"/>
          <w:szCs w:val="20"/>
        </w:rPr>
        <w:t xml:space="preserve"> </w:t>
      </w:r>
      <w:r w:rsidRPr="00445B9C">
        <w:rPr>
          <w:rFonts w:cs="Arial"/>
          <w:szCs w:val="20"/>
        </w:rPr>
        <w:t xml:space="preserve">kreditne institucije in investicijska podjetja, katerih trgovalna knjiga je urejena v skladu s pravom </w:t>
      </w:r>
      <w:r w:rsidR="00742018" w:rsidRPr="00445B9C">
        <w:rPr>
          <w:rFonts w:cs="Arial"/>
          <w:szCs w:val="20"/>
        </w:rPr>
        <w:t>EU</w:t>
      </w:r>
      <w:r w:rsidRPr="00445B9C">
        <w:rPr>
          <w:rFonts w:cs="Arial"/>
          <w:szCs w:val="20"/>
        </w:rPr>
        <w:t>, uporabijo izjemo, ki jo nudi šesti odstavek 9. člena Direktive 2004/109/ES, kar bi pomenilo, da predmetna izjema ne velja za kreditne institucije in investicijska podjetja iz tretjih držav.</w:t>
      </w:r>
    </w:p>
    <w:p w14:paraId="6629773E" w14:textId="7E4C1D60" w:rsidR="00742018" w:rsidRPr="00445B9C" w:rsidRDefault="00742018" w:rsidP="00742018">
      <w:pPr>
        <w:spacing w:line="276" w:lineRule="auto"/>
        <w:jc w:val="both"/>
        <w:rPr>
          <w:rFonts w:cs="Arial"/>
          <w:szCs w:val="20"/>
        </w:rPr>
      </w:pPr>
    </w:p>
    <w:p w14:paraId="5FD07FCE" w14:textId="1A4943E6" w:rsidR="00FE0F83" w:rsidRPr="00445B9C" w:rsidRDefault="00F5265D" w:rsidP="00742018">
      <w:pPr>
        <w:spacing w:line="276" w:lineRule="auto"/>
        <w:jc w:val="both"/>
        <w:rPr>
          <w:rFonts w:cs="Arial"/>
          <w:szCs w:val="20"/>
        </w:rPr>
      </w:pPr>
      <w:r w:rsidRPr="00445B9C">
        <w:rPr>
          <w:rFonts w:cs="Arial"/>
          <w:szCs w:val="20"/>
        </w:rPr>
        <w:t>Določba četrtega odstavka 141. člena ZTFI-</w:t>
      </w:r>
      <w:r w:rsidR="00742018" w:rsidRPr="00445B9C">
        <w:rPr>
          <w:rFonts w:cs="Arial"/>
          <w:szCs w:val="20"/>
        </w:rPr>
        <w:t>1</w:t>
      </w:r>
      <w:r w:rsidRPr="00445B9C">
        <w:rPr>
          <w:rFonts w:cs="Arial"/>
          <w:szCs w:val="20"/>
        </w:rPr>
        <w:t xml:space="preserve"> </w:t>
      </w:r>
      <w:r w:rsidR="0011718D">
        <w:rPr>
          <w:rFonts w:cs="Arial"/>
          <w:szCs w:val="20"/>
        </w:rPr>
        <w:t xml:space="preserve">ne upošteva </w:t>
      </w:r>
      <w:r w:rsidRPr="00445B9C">
        <w:rPr>
          <w:rFonts w:cs="Arial"/>
          <w:szCs w:val="20"/>
        </w:rPr>
        <w:t>zgoraj predstavljen</w:t>
      </w:r>
      <w:r w:rsidR="0011718D">
        <w:rPr>
          <w:rFonts w:cs="Arial"/>
          <w:szCs w:val="20"/>
        </w:rPr>
        <w:t>e</w:t>
      </w:r>
      <w:r w:rsidRPr="00445B9C">
        <w:rPr>
          <w:rFonts w:cs="Arial"/>
          <w:szCs w:val="20"/>
        </w:rPr>
        <w:t xml:space="preserve"> razlag</w:t>
      </w:r>
      <w:r w:rsidR="0011718D">
        <w:rPr>
          <w:rFonts w:cs="Arial"/>
          <w:szCs w:val="20"/>
        </w:rPr>
        <w:t>e</w:t>
      </w:r>
      <w:r w:rsidRPr="00445B9C">
        <w:rPr>
          <w:rFonts w:cs="Arial"/>
          <w:szCs w:val="20"/>
        </w:rPr>
        <w:t xml:space="preserve"> evropske zakonodaje, saj v okviru izjeme od obveznosti delničarjev obveščati javno družbo o spremembi pomembnega deleža nedvoumno navaja tudi glasovalne pravice iz trgovalne knjige banke tretje države</w:t>
      </w:r>
      <w:r w:rsidR="00742018" w:rsidRPr="00445B9C">
        <w:rPr>
          <w:rFonts w:cs="Arial"/>
          <w:szCs w:val="20"/>
        </w:rPr>
        <w:t xml:space="preserve">, </w:t>
      </w:r>
      <w:r w:rsidRPr="00445B9C">
        <w:rPr>
          <w:rFonts w:cs="Arial"/>
          <w:szCs w:val="20"/>
        </w:rPr>
        <w:t>pri čemer je obenem problematičen tudi izostanek sklica na Uredbo</w:t>
      </w:r>
      <w:r w:rsidR="00742018" w:rsidRPr="00445B9C">
        <w:rPr>
          <w:rFonts w:cs="Arial"/>
          <w:szCs w:val="20"/>
        </w:rPr>
        <w:t xml:space="preserve"> </w:t>
      </w:r>
      <w:r w:rsidRPr="00445B9C">
        <w:rPr>
          <w:rFonts w:cs="Arial"/>
          <w:szCs w:val="20"/>
        </w:rPr>
        <w:t>2019/2033</w:t>
      </w:r>
      <w:r w:rsidR="00742018" w:rsidRPr="00445B9C">
        <w:rPr>
          <w:rFonts w:cs="Arial"/>
          <w:szCs w:val="20"/>
        </w:rPr>
        <w:t>/EU</w:t>
      </w:r>
      <w:r w:rsidRPr="00445B9C">
        <w:rPr>
          <w:rFonts w:cs="Arial"/>
          <w:szCs w:val="20"/>
        </w:rPr>
        <w:t>.</w:t>
      </w:r>
      <w:r w:rsidR="00742018" w:rsidRPr="00445B9C">
        <w:rPr>
          <w:rFonts w:cs="Arial"/>
          <w:szCs w:val="20"/>
        </w:rPr>
        <w:t xml:space="preserve"> Zaradi navedenih razlogov se </w:t>
      </w:r>
      <w:r w:rsidR="00F430AD" w:rsidRPr="00445B9C">
        <w:rPr>
          <w:rFonts w:cs="Arial"/>
          <w:szCs w:val="20"/>
        </w:rPr>
        <w:t>predlaga sprememba četrtega odstavka 141. člena ZTFI-1.</w:t>
      </w:r>
    </w:p>
    <w:p w14:paraId="5CC3EC75" w14:textId="77777777" w:rsidR="00FE0F83" w:rsidRPr="00445B9C" w:rsidRDefault="00FE0F83" w:rsidP="00C64B3F">
      <w:pPr>
        <w:spacing w:line="240" w:lineRule="auto"/>
        <w:jc w:val="both"/>
        <w:rPr>
          <w:rFonts w:cs="Arial"/>
          <w:szCs w:val="20"/>
        </w:rPr>
      </w:pPr>
    </w:p>
    <w:p w14:paraId="6353308C" w14:textId="7CB9566C" w:rsidR="00FE0F83" w:rsidRPr="00445B9C" w:rsidRDefault="00FE0F83" w:rsidP="00FE0F83">
      <w:pPr>
        <w:spacing w:line="276" w:lineRule="auto"/>
        <w:jc w:val="both"/>
        <w:rPr>
          <w:rFonts w:cs="Arial"/>
          <w:b/>
          <w:bCs/>
          <w:szCs w:val="20"/>
        </w:rPr>
      </w:pPr>
      <w:r w:rsidRPr="00445B9C">
        <w:rPr>
          <w:rFonts w:cs="Arial"/>
          <w:b/>
          <w:bCs/>
          <w:szCs w:val="20"/>
        </w:rPr>
        <w:t xml:space="preserve">K </w:t>
      </w:r>
      <w:r w:rsidR="001638A0" w:rsidRPr="00445B9C">
        <w:rPr>
          <w:rFonts w:cs="Arial"/>
          <w:b/>
          <w:bCs/>
          <w:szCs w:val="20"/>
        </w:rPr>
        <w:fldChar w:fldCharType="begin"/>
      </w:r>
      <w:r w:rsidR="001638A0" w:rsidRPr="00445B9C">
        <w:rPr>
          <w:rFonts w:cs="Arial"/>
          <w:b/>
          <w:bCs/>
          <w:szCs w:val="20"/>
        </w:rPr>
        <w:instrText xml:space="preserve"> REF _Ref196734005 \r \h </w:instrText>
      </w:r>
      <w:r w:rsidR="00445B9C" w:rsidRPr="00445B9C">
        <w:rPr>
          <w:rFonts w:cs="Arial"/>
          <w:b/>
          <w:bCs/>
          <w:szCs w:val="20"/>
        </w:rPr>
        <w:instrText xml:space="preserve"> \* MERGEFORMAT </w:instrText>
      </w:r>
      <w:r w:rsidR="001638A0" w:rsidRPr="00445B9C">
        <w:rPr>
          <w:rFonts w:cs="Arial"/>
          <w:b/>
          <w:bCs/>
          <w:szCs w:val="20"/>
        </w:rPr>
      </w:r>
      <w:r w:rsidR="001638A0" w:rsidRPr="00445B9C">
        <w:rPr>
          <w:rFonts w:cs="Arial"/>
          <w:b/>
          <w:bCs/>
          <w:szCs w:val="20"/>
        </w:rPr>
        <w:fldChar w:fldCharType="separate"/>
      </w:r>
      <w:r w:rsidR="001638A0" w:rsidRPr="00445B9C">
        <w:rPr>
          <w:rFonts w:cs="Arial"/>
          <w:b/>
          <w:bCs/>
          <w:szCs w:val="20"/>
        </w:rPr>
        <w:t xml:space="preserve">15. </w:t>
      </w:r>
      <w:r w:rsidR="001638A0" w:rsidRPr="00445B9C">
        <w:rPr>
          <w:rFonts w:cs="Arial"/>
          <w:b/>
          <w:bCs/>
          <w:szCs w:val="20"/>
        </w:rPr>
        <w:fldChar w:fldCharType="end"/>
      </w:r>
      <w:r w:rsidRPr="00445B9C">
        <w:rPr>
          <w:rFonts w:cs="Arial"/>
          <w:b/>
          <w:bCs/>
          <w:szCs w:val="20"/>
        </w:rPr>
        <w:t>členu</w:t>
      </w:r>
    </w:p>
    <w:p w14:paraId="097A6838" w14:textId="6BFEB811" w:rsidR="00FE0F83" w:rsidRPr="00445B9C" w:rsidRDefault="007A27FB" w:rsidP="00FD3D06">
      <w:pPr>
        <w:spacing w:line="276" w:lineRule="auto"/>
        <w:jc w:val="both"/>
        <w:rPr>
          <w:rFonts w:cs="Arial"/>
          <w:szCs w:val="20"/>
        </w:rPr>
      </w:pPr>
      <w:r w:rsidRPr="00445B9C">
        <w:rPr>
          <w:rFonts w:cs="Arial"/>
          <w:szCs w:val="20"/>
        </w:rPr>
        <w:t>Da bi bile informacije ESAP digitalno uporabne,</w:t>
      </w:r>
      <w:r w:rsidR="00E322CB" w:rsidRPr="00445B9C">
        <w:rPr>
          <w:rFonts w:cs="Arial"/>
          <w:szCs w:val="20"/>
        </w:rPr>
        <w:t xml:space="preserve"> morajo </w:t>
      </w:r>
      <w:r w:rsidR="00F6418D" w:rsidRPr="00445B9C">
        <w:rPr>
          <w:rFonts w:cs="Arial"/>
          <w:szCs w:val="20"/>
        </w:rPr>
        <w:t xml:space="preserve">javne družbe oziroma osebe, ki </w:t>
      </w:r>
      <w:r w:rsidR="0011718D">
        <w:rPr>
          <w:rFonts w:cs="Arial"/>
          <w:szCs w:val="20"/>
        </w:rPr>
        <w:t>so</w:t>
      </w:r>
      <w:r w:rsidR="00F6418D" w:rsidRPr="00445B9C">
        <w:rPr>
          <w:rFonts w:cs="Arial"/>
          <w:szCs w:val="20"/>
        </w:rPr>
        <w:t xml:space="preserve"> zahteval</w:t>
      </w:r>
      <w:r w:rsidR="0011718D">
        <w:rPr>
          <w:rFonts w:cs="Arial"/>
          <w:szCs w:val="20"/>
        </w:rPr>
        <w:t>e</w:t>
      </w:r>
      <w:r w:rsidR="00F6418D" w:rsidRPr="00445B9C">
        <w:rPr>
          <w:rFonts w:cs="Arial"/>
          <w:szCs w:val="20"/>
        </w:rPr>
        <w:t xml:space="preserve"> uvrstitev vrednostnih papirjev v trgovanje na organiziranem trgu brez soglasja javne družbe</w:t>
      </w:r>
      <w:r w:rsidR="00E322CB" w:rsidRPr="00445B9C">
        <w:rPr>
          <w:rFonts w:cs="Arial"/>
          <w:szCs w:val="20"/>
        </w:rPr>
        <w:t xml:space="preserve"> organu</w:t>
      </w:r>
      <w:r w:rsidRPr="00445B9C">
        <w:rPr>
          <w:rFonts w:cs="Arial"/>
          <w:szCs w:val="20"/>
        </w:rPr>
        <w:t xml:space="preserve"> za </w:t>
      </w:r>
      <w:r w:rsidR="00E322CB" w:rsidRPr="00445B9C">
        <w:rPr>
          <w:rFonts w:cs="Arial"/>
          <w:szCs w:val="20"/>
        </w:rPr>
        <w:t>sprejemanje</w:t>
      </w:r>
      <w:r w:rsidRPr="00445B9C">
        <w:rPr>
          <w:rFonts w:cs="Arial"/>
          <w:szCs w:val="20"/>
        </w:rPr>
        <w:t xml:space="preserve"> podatkov</w:t>
      </w:r>
      <w:r w:rsidR="00E322CB" w:rsidRPr="00445B9C">
        <w:rPr>
          <w:rFonts w:cs="Arial"/>
          <w:szCs w:val="20"/>
        </w:rPr>
        <w:t xml:space="preserve"> (na podlagi predlagane spremembe 159. člena ZTFI-1</w:t>
      </w:r>
      <w:r w:rsidR="00C64F96" w:rsidRPr="00445B9C">
        <w:rPr>
          <w:rFonts w:cs="Arial"/>
          <w:szCs w:val="20"/>
        </w:rPr>
        <w:t xml:space="preserve"> </w:t>
      </w:r>
      <w:r w:rsidR="0011718D">
        <w:rPr>
          <w:rFonts w:cs="Arial"/>
          <w:szCs w:val="20"/>
        </w:rPr>
        <w:t>/</w:t>
      </w:r>
      <w:r w:rsidR="001638A0" w:rsidRPr="00445B9C">
        <w:rPr>
          <w:rFonts w:cs="Arial"/>
          <w:szCs w:val="20"/>
        </w:rPr>
        <w:fldChar w:fldCharType="begin"/>
      </w:r>
      <w:r w:rsidR="001638A0" w:rsidRPr="00445B9C">
        <w:rPr>
          <w:rFonts w:cs="Arial"/>
          <w:szCs w:val="20"/>
        </w:rPr>
        <w:instrText xml:space="preserve"> REF _Ref196734031 \r \h </w:instrText>
      </w:r>
      <w:r w:rsidR="00445B9C" w:rsidRPr="00445B9C">
        <w:rPr>
          <w:rFonts w:cs="Arial"/>
          <w:szCs w:val="20"/>
        </w:rPr>
        <w:instrText xml:space="preserve"> \* MERGEFORMAT </w:instrText>
      </w:r>
      <w:r w:rsidR="001638A0" w:rsidRPr="00445B9C">
        <w:rPr>
          <w:rFonts w:cs="Arial"/>
          <w:szCs w:val="20"/>
        </w:rPr>
      </w:r>
      <w:r w:rsidR="001638A0" w:rsidRPr="00445B9C">
        <w:rPr>
          <w:rFonts w:cs="Arial"/>
          <w:szCs w:val="20"/>
        </w:rPr>
        <w:fldChar w:fldCharType="separate"/>
      </w:r>
      <w:r w:rsidR="001638A0" w:rsidRPr="00445B9C">
        <w:rPr>
          <w:rFonts w:cs="Arial"/>
          <w:szCs w:val="20"/>
        </w:rPr>
        <w:t xml:space="preserve">16. </w:t>
      </w:r>
      <w:r w:rsidR="001638A0" w:rsidRPr="00445B9C">
        <w:rPr>
          <w:rFonts w:cs="Arial"/>
          <w:szCs w:val="20"/>
        </w:rPr>
        <w:fldChar w:fldCharType="end"/>
      </w:r>
      <w:r w:rsidR="00C64F96" w:rsidRPr="00445B9C">
        <w:rPr>
          <w:rFonts w:cs="Arial"/>
          <w:szCs w:val="20"/>
        </w:rPr>
        <w:t>člen predloga zakona</w:t>
      </w:r>
      <w:r w:rsidR="0011718D">
        <w:rPr>
          <w:rFonts w:cs="Arial"/>
          <w:szCs w:val="20"/>
        </w:rPr>
        <w:t>/</w:t>
      </w:r>
      <w:r w:rsidR="00E322CB" w:rsidRPr="00445B9C">
        <w:rPr>
          <w:rFonts w:cs="Arial"/>
          <w:szCs w:val="20"/>
        </w:rPr>
        <w:t xml:space="preserve"> je to ATVP)</w:t>
      </w:r>
      <w:r w:rsidRPr="00445B9C">
        <w:rPr>
          <w:rFonts w:cs="Arial"/>
          <w:szCs w:val="20"/>
        </w:rPr>
        <w:t xml:space="preserve"> predložiti informacije v formatu, ki omogoča </w:t>
      </w:r>
      <w:r w:rsidR="00E322CB" w:rsidRPr="00445B9C">
        <w:rPr>
          <w:rFonts w:cs="Arial"/>
          <w:szCs w:val="20"/>
        </w:rPr>
        <w:t>izvoz</w:t>
      </w:r>
      <w:r w:rsidRPr="00445B9C">
        <w:rPr>
          <w:rFonts w:cs="Arial"/>
          <w:szCs w:val="20"/>
        </w:rPr>
        <w:t xml:space="preserve"> podatkov</w:t>
      </w:r>
      <w:r w:rsidR="0011718D">
        <w:rPr>
          <w:rFonts w:cs="Arial"/>
          <w:szCs w:val="20"/>
        </w:rPr>
        <w:t>,</w:t>
      </w:r>
      <w:r w:rsidRPr="00445B9C">
        <w:rPr>
          <w:rFonts w:cs="Arial"/>
          <w:szCs w:val="20"/>
        </w:rPr>
        <w:t xml:space="preserve"> ali kadar to zahteva pravo </w:t>
      </w:r>
      <w:r w:rsidR="00E322CB" w:rsidRPr="00445B9C">
        <w:rPr>
          <w:rFonts w:cs="Arial"/>
          <w:szCs w:val="20"/>
        </w:rPr>
        <w:t>EU</w:t>
      </w:r>
      <w:r w:rsidRPr="00445B9C">
        <w:rPr>
          <w:rFonts w:cs="Arial"/>
          <w:szCs w:val="20"/>
        </w:rPr>
        <w:t xml:space="preserve">, v strojno berljivem formatu. Informacijam, ki jih subjekti predložijo </w:t>
      </w:r>
      <w:r w:rsidR="00E322CB" w:rsidRPr="00445B9C">
        <w:rPr>
          <w:rFonts w:cs="Arial"/>
          <w:szCs w:val="20"/>
        </w:rPr>
        <w:t>ATVP</w:t>
      </w:r>
      <w:r w:rsidR="0011718D">
        <w:rPr>
          <w:rFonts w:cs="Arial"/>
          <w:szCs w:val="20"/>
        </w:rPr>
        <w:t>,</w:t>
      </w:r>
      <w:r w:rsidR="00E322CB" w:rsidRPr="00445B9C">
        <w:rPr>
          <w:rFonts w:cs="Arial"/>
          <w:szCs w:val="20"/>
        </w:rPr>
        <w:t xml:space="preserve"> je treb</w:t>
      </w:r>
      <w:r w:rsidR="0011718D">
        <w:rPr>
          <w:rFonts w:cs="Arial"/>
          <w:szCs w:val="20"/>
        </w:rPr>
        <w:t>a</w:t>
      </w:r>
      <w:r w:rsidRPr="00445B9C">
        <w:rPr>
          <w:rFonts w:cs="Arial"/>
          <w:szCs w:val="20"/>
        </w:rPr>
        <w:t xml:space="preserve"> priložiti tudi metapodatke, </w:t>
      </w:r>
      <w:r w:rsidR="00E322CB" w:rsidRPr="00445B9C">
        <w:rPr>
          <w:rFonts w:cs="Arial"/>
          <w:szCs w:val="20"/>
        </w:rPr>
        <w:t>naveden</w:t>
      </w:r>
      <w:r w:rsidR="0011718D">
        <w:rPr>
          <w:rFonts w:cs="Arial"/>
          <w:szCs w:val="20"/>
        </w:rPr>
        <w:t>e</w:t>
      </w:r>
      <w:r w:rsidR="00E322CB" w:rsidRPr="00445B9C">
        <w:rPr>
          <w:rFonts w:cs="Arial"/>
          <w:szCs w:val="20"/>
        </w:rPr>
        <w:t xml:space="preserve"> v predlagani 2. točki četrtega odstavka 158. člena ZTFI</w:t>
      </w:r>
      <w:r w:rsidR="0088753B" w:rsidRPr="00445B9C">
        <w:rPr>
          <w:rFonts w:cs="Arial"/>
          <w:szCs w:val="20"/>
        </w:rPr>
        <w:t>-1</w:t>
      </w:r>
      <w:r w:rsidRPr="00445B9C">
        <w:rPr>
          <w:rFonts w:cs="Arial"/>
          <w:szCs w:val="20"/>
        </w:rPr>
        <w:t>.</w:t>
      </w:r>
      <w:r w:rsidR="00E322CB" w:rsidRPr="00445B9C">
        <w:rPr>
          <w:rFonts w:cs="Arial"/>
          <w:szCs w:val="20"/>
        </w:rPr>
        <w:t xml:space="preserve"> Z </w:t>
      </w:r>
      <w:r w:rsidRPr="00445B9C">
        <w:rPr>
          <w:rFonts w:cs="Arial"/>
          <w:szCs w:val="20"/>
        </w:rPr>
        <w:t>izvedbeni</w:t>
      </w:r>
      <w:r w:rsidR="00E322CB" w:rsidRPr="00445B9C">
        <w:rPr>
          <w:rFonts w:cs="Arial"/>
          <w:szCs w:val="20"/>
        </w:rPr>
        <w:t>mi</w:t>
      </w:r>
      <w:r w:rsidRPr="00445B9C">
        <w:rPr>
          <w:rFonts w:cs="Arial"/>
          <w:szCs w:val="20"/>
        </w:rPr>
        <w:t xml:space="preserve"> tehnični</w:t>
      </w:r>
      <w:r w:rsidR="00E322CB" w:rsidRPr="00445B9C">
        <w:rPr>
          <w:rFonts w:cs="Arial"/>
          <w:szCs w:val="20"/>
        </w:rPr>
        <w:t>mi</w:t>
      </w:r>
      <w:r w:rsidRPr="00445B9C">
        <w:rPr>
          <w:rFonts w:cs="Arial"/>
          <w:szCs w:val="20"/>
        </w:rPr>
        <w:t xml:space="preserve"> standard</w:t>
      </w:r>
      <w:r w:rsidR="0011718D">
        <w:rPr>
          <w:rFonts w:cs="Arial"/>
          <w:szCs w:val="20"/>
        </w:rPr>
        <w:t>i</w:t>
      </w:r>
      <w:r w:rsidRPr="00445B9C">
        <w:rPr>
          <w:rFonts w:cs="Arial"/>
          <w:szCs w:val="20"/>
        </w:rPr>
        <w:t xml:space="preserve">, </w:t>
      </w:r>
      <w:r w:rsidR="00E322CB" w:rsidRPr="00445B9C">
        <w:rPr>
          <w:rFonts w:cs="Arial"/>
          <w:szCs w:val="20"/>
        </w:rPr>
        <w:t xml:space="preserve">za katerih </w:t>
      </w:r>
      <w:r w:rsidR="0011718D" w:rsidRPr="00445B9C">
        <w:rPr>
          <w:rFonts w:cs="Arial"/>
          <w:szCs w:val="20"/>
        </w:rPr>
        <w:t xml:space="preserve">pripravo </w:t>
      </w:r>
      <w:r w:rsidR="00E322CB" w:rsidRPr="00445B9C">
        <w:rPr>
          <w:rFonts w:cs="Arial"/>
          <w:szCs w:val="20"/>
        </w:rPr>
        <w:t>so pristojni</w:t>
      </w:r>
      <w:r w:rsidRPr="00445B9C">
        <w:rPr>
          <w:rFonts w:cs="Arial"/>
          <w:szCs w:val="20"/>
        </w:rPr>
        <w:t xml:space="preserve"> evropski nadzorni organi</w:t>
      </w:r>
      <w:r w:rsidR="00E322CB" w:rsidRPr="00445B9C">
        <w:rPr>
          <w:rFonts w:cs="Arial"/>
          <w:szCs w:val="20"/>
        </w:rPr>
        <w:t xml:space="preserve"> (EBA, EIOPA in ESMA)</w:t>
      </w:r>
      <w:r w:rsidR="0011718D">
        <w:rPr>
          <w:rFonts w:cs="Arial"/>
          <w:szCs w:val="20"/>
        </w:rPr>
        <w:t>,</w:t>
      </w:r>
      <w:r w:rsidRPr="00445B9C">
        <w:rPr>
          <w:rFonts w:cs="Arial"/>
          <w:szCs w:val="20"/>
        </w:rPr>
        <w:t xml:space="preserve"> so določeni metapodatki za vsako informacijo, način strukturiranja podatkov v informacijah in informacije, za katere se zahteva strojno berljiv format</w:t>
      </w:r>
      <w:r w:rsidR="0011718D">
        <w:rPr>
          <w:rFonts w:cs="Arial"/>
          <w:szCs w:val="20"/>
        </w:rPr>
        <w:t>,</w:t>
      </w:r>
      <w:r w:rsidRPr="00445B9C">
        <w:rPr>
          <w:rFonts w:cs="Arial"/>
          <w:szCs w:val="20"/>
        </w:rPr>
        <w:t xml:space="preserve"> in </w:t>
      </w:r>
      <w:r w:rsidR="0011718D">
        <w:rPr>
          <w:rFonts w:cs="Arial"/>
          <w:szCs w:val="20"/>
        </w:rPr>
        <w:t>podatek,</w:t>
      </w:r>
      <w:r w:rsidR="0011718D" w:rsidRPr="00445B9C">
        <w:rPr>
          <w:rFonts w:cs="Arial"/>
          <w:szCs w:val="20"/>
        </w:rPr>
        <w:t xml:space="preserve"> </w:t>
      </w:r>
      <w:r w:rsidRPr="00445B9C">
        <w:rPr>
          <w:rFonts w:cs="Arial"/>
          <w:szCs w:val="20"/>
        </w:rPr>
        <w:t xml:space="preserve">kateri strojno berljivi format se v takih primerih uporablja. </w:t>
      </w:r>
      <w:r w:rsidR="0011718D">
        <w:rPr>
          <w:rFonts w:cs="Arial"/>
          <w:szCs w:val="20"/>
        </w:rPr>
        <w:t xml:space="preserve"> </w:t>
      </w:r>
    </w:p>
    <w:p w14:paraId="37FCDB66" w14:textId="77777777" w:rsidR="00FE0F83" w:rsidRPr="00445B9C" w:rsidRDefault="00FE0F83" w:rsidP="00FD3D06">
      <w:pPr>
        <w:spacing w:line="276" w:lineRule="auto"/>
        <w:jc w:val="both"/>
        <w:rPr>
          <w:rFonts w:cs="Arial"/>
          <w:szCs w:val="20"/>
        </w:rPr>
      </w:pPr>
    </w:p>
    <w:p w14:paraId="7A79B496" w14:textId="3369CDD1" w:rsidR="00FE0F83" w:rsidRPr="00445B9C" w:rsidRDefault="00E322CB" w:rsidP="00B63727">
      <w:pPr>
        <w:spacing w:line="276" w:lineRule="auto"/>
        <w:jc w:val="both"/>
        <w:rPr>
          <w:rFonts w:cs="Arial"/>
          <w:szCs w:val="20"/>
        </w:rPr>
      </w:pPr>
      <w:r w:rsidRPr="00445B9C">
        <w:rPr>
          <w:rFonts w:cs="Arial"/>
          <w:szCs w:val="20"/>
        </w:rPr>
        <w:lastRenderedPageBreak/>
        <w:t>Z dopolnitvijo 158. člena se v ZTFI-1 prenaša drugi odstavek 3. člena Direktive 2023/2864/EU.</w:t>
      </w:r>
      <w:r w:rsidR="00FD3D06" w:rsidRPr="00445B9C">
        <w:rPr>
          <w:rFonts w:cs="Arial"/>
          <w:szCs w:val="20"/>
        </w:rPr>
        <w:t xml:space="preserve"> </w:t>
      </w:r>
      <w:r w:rsidR="00B63727" w:rsidRPr="00445B9C">
        <w:rPr>
          <w:rFonts w:cs="Arial"/>
          <w:szCs w:val="20"/>
        </w:rPr>
        <w:t>Dopolnitve</w:t>
      </w:r>
      <w:r w:rsidR="00FD3D06" w:rsidRPr="00445B9C">
        <w:rPr>
          <w:rFonts w:cs="Arial"/>
          <w:szCs w:val="20"/>
        </w:rPr>
        <w:t xml:space="preserve"> se začnejo uporabljati 10. julija 2026, kar je urejeno v prehodnih določbah predloga zakona (prvi odstavek </w:t>
      </w:r>
      <w:r w:rsidR="00C03581" w:rsidRPr="00445B9C">
        <w:rPr>
          <w:rFonts w:cs="Arial"/>
          <w:szCs w:val="20"/>
        </w:rPr>
        <w:fldChar w:fldCharType="begin"/>
      </w:r>
      <w:r w:rsidR="00C03581" w:rsidRPr="00445B9C">
        <w:rPr>
          <w:rFonts w:cs="Arial"/>
          <w:szCs w:val="20"/>
        </w:rPr>
        <w:instrText xml:space="preserve"> REF _Ref196734116 \r \h </w:instrText>
      </w:r>
      <w:r w:rsidR="00445B9C" w:rsidRPr="00445B9C">
        <w:rPr>
          <w:rFonts w:cs="Arial"/>
          <w:szCs w:val="20"/>
        </w:rPr>
        <w:instrText xml:space="preserve"> \* MERGEFORMAT </w:instrText>
      </w:r>
      <w:r w:rsidR="00C03581" w:rsidRPr="00445B9C">
        <w:rPr>
          <w:rFonts w:cs="Arial"/>
          <w:szCs w:val="20"/>
        </w:rPr>
      </w:r>
      <w:r w:rsidR="00C03581" w:rsidRPr="00445B9C">
        <w:rPr>
          <w:rFonts w:cs="Arial"/>
          <w:szCs w:val="20"/>
        </w:rPr>
        <w:fldChar w:fldCharType="separate"/>
      </w:r>
      <w:r w:rsidR="001638A0" w:rsidRPr="00445B9C">
        <w:rPr>
          <w:rFonts w:cs="Arial"/>
          <w:szCs w:val="20"/>
        </w:rPr>
        <w:t xml:space="preserve">57. </w:t>
      </w:r>
      <w:r w:rsidR="00C03581" w:rsidRPr="00445B9C">
        <w:rPr>
          <w:rFonts w:cs="Arial"/>
          <w:szCs w:val="20"/>
        </w:rPr>
        <w:fldChar w:fldCharType="end"/>
      </w:r>
      <w:r w:rsidR="00FD3D06" w:rsidRPr="00445B9C">
        <w:rPr>
          <w:rFonts w:cs="Arial"/>
          <w:szCs w:val="20"/>
        </w:rPr>
        <w:t>člena predloga zakona).</w:t>
      </w:r>
    </w:p>
    <w:p w14:paraId="2A11EB36" w14:textId="77777777" w:rsidR="00FE0F83" w:rsidRPr="00445B9C" w:rsidRDefault="00FE0F83" w:rsidP="00C64B3F">
      <w:pPr>
        <w:spacing w:line="240" w:lineRule="auto"/>
        <w:jc w:val="both"/>
        <w:rPr>
          <w:rFonts w:cs="Arial"/>
          <w:szCs w:val="20"/>
        </w:rPr>
      </w:pPr>
    </w:p>
    <w:p w14:paraId="0C792EE4" w14:textId="7D09A80F"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03581" w:rsidRPr="00445B9C">
        <w:rPr>
          <w:rFonts w:cs="Arial"/>
          <w:b/>
          <w:bCs/>
          <w:szCs w:val="20"/>
        </w:rPr>
        <w:fldChar w:fldCharType="begin"/>
      </w:r>
      <w:r w:rsidR="00C03581" w:rsidRPr="00445B9C">
        <w:rPr>
          <w:rFonts w:cs="Arial"/>
          <w:b/>
          <w:bCs/>
          <w:szCs w:val="20"/>
        </w:rPr>
        <w:instrText xml:space="preserve"> REF _Ref196734031 \r \h </w:instrText>
      </w:r>
      <w:r w:rsidR="00445B9C" w:rsidRPr="00445B9C">
        <w:rPr>
          <w:rFonts w:cs="Arial"/>
          <w:b/>
          <w:bCs/>
          <w:szCs w:val="20"/>
        </w:rPr>
        <w:instrText xml:space="preserve"> \* MERGEFORMAT </w:instrText>
      </w:r>
      <w:r w:rsidR="00C03581" w:rsidRPr="00445B9C">
        <w:rPr>
          <w:rFonts w:cs="Arial"/>
          <w:b/>
          <w:bCs/>
          <w:szCs w:val="20"/>
        </w:rPr>
      </w:r>
      <w:r w:rsidR="00C03581" w:rsidRPr="00445B9C">
        <w:rPr>
          <w:rFonts w:cs="Arial"/>
          <w:b/>
          <w:bCs/>
          <w:szCs w:val="20"/>
        </w:rPr>
        <w:fldChar w:fldCharType="separate"/>
      </w:r>
      <w:r w:rsidR="001638A0" w:rsidRPr="00445B9C">
        <w:rPr>
          <w:rFonts w:cs="Arial"/>
          <w:b/>
          <w:bCs/>
          <w:szCs w:val="20"/>
        </w:rPr>
        <w:t xml:space="preserve">16. </w:t>
      </w:r>
      <w:r w:rsidR="00C03581" w:rsidRPr="00445B9C">
        <w:rPr>
          <w:rFonts w:cs="Arial"/>
          <w:b/>
          <w:bCs/>
          <w:szCs w:val="20"/>
        </w:rPr>
        <w:fldChar w:fldCharType="end"/>
      </w:r>
      <w:r w:rsidRPr="00445B9C">
        <w:rPr>
          <w:rFonts w:cs="Arial"/>
          <w:b/>
          <w:bCs/>
          <w:szCs w:val="20"/>
        </w:rPr>
        <w:t>členu</w:t>
      </w:r>
    </w:p>
    <w:p w14:paraId="2008A41E" w14:textId="265E705F" w:rsidR="00FE0F83" w:rsidRPr="00445B9C" w:rsidRDefault="00383105" w:rsidP="00C9398D">
      <w:pPr>
        <w:spacing w:line="276" w:lineRule="auto"/>
        <w:jc w:val="both"/>
        <w:rPr>
          <w:rFonts w:cs="Arial"/>
          <w:szCs w:val="20"/>
        </w:rPr>
      </w:pPr>
      <w:r w:rsidRPr="00445B9C">
        <w:rPr>
          <w:rFonts w:cs="Arial"/>
          <w:szCs w:val="20"/>
        </w:rPr>
        <w:t>Z dopolnitvijo 159. člena ZTFI-1 se ureja izvajanje drugega odstavka 3. člena Uredbe 2023/2859/EU</w:t>
      </w:r>
      <w:r w:rsidR="0011718D">
        <w:rPr>
          <w:rFonts w:cs="Arial"/>
          <w:szCs w:val="20"/>
        </w:rPr>
        <w:t>,</w:t>
      </w:r>
      <w:r w:rsidRPr="00445B9C">
        <w:rPr>
          <w:rFonts w:cs="Arial"/>
          <w:szCs w:val="20"/>
        </w:rPr>
        <w:t xml:space="preserve"> s katerim se določi, da je ATVP organ za sprejemanje podatkov za nadzorovane informacije, k</w:t>
      </w:r>
      <w:r w:rsidR="006D4B56">
        <w:rPr>
          <w:rFonts w:cs="Arial"/>
          <w:szCs w:val="20"/>
        </w:rPr>
        <w:t>akor</w:t>
      </w:r>
      <w:r w:rsidRPr="00445B9C">
        <w:rPr>
          <w:rFonts w:cs="Arial"/>
          <w:szCs w:val="20"/>
        </w:rPr>
        <w:t xml:space="preserve"> je opredeljen v 2. točki 2. člena Uredbe 2023/2859/EU</w:t>
      </w:r>
      <w:r w:rsidR="006D4B56">
        <w:rPr>
          <w:rFonts w:cs="Arial"/>
          <w:szCs w:val="20"/>
        </w:rPr>
        <w:t>,</w:t>
      </w:r>
      <w:r w:rsidRPr="00445B9C">
        <w:rPr>
          <w:rFonts w:cs="Arial"/>
          <w:szCs w:val="20"/>
        </w:rPr>
        <w:t xml:space="preserve"> in zagotavlja, da so informacije iz tega sistema dostopne v ESAP, vzpostavljeni na podlagi Uredbe 2023/2859/EU.</w:t>
      </w:r>
    </w:p>
    <w:p w14:paraId="068CCAB9" w14:textId="77777777" w:rsidR="00B63727" w:rsidRPr="00445B9C" w:rsidRDefault="00B63727" w:rsidP="00C9398D">
      <w:pPr>
        <w:spacing w:line="276" w:lineRule="auto"/>
        <w:jc w:val="both"/>
        <w:rPr>
          <w:rFonts w:cs="Arial"/>
          <w:szCs w:val="20"/>
        </w:rPr>
      </w:pPr>
    </w:p>
    <w:p w14:paraId="6249DB0B" w14:textId="76813F2E" w:rsidR="00B63727" w:rsidRPr="00445B9C" w:rsidRDefault="00B63727" w:rsidP="00B63727">
      <w:pPr>
        <w:spacing w:line="276" w:lineRule="auto"/>
        <w:jc w:val="both"/>
        <w:rPr>
          <w:rFonts w:cs="Arial"/>
          <w:szCs w:val="20"/>
        </w:rPr>
      </w:pPr>
      <w:r w:rsidRPr="00445B9C">
        <w:rPr>
          <w:rFonts w:cs="Arial"/>
          <w:szCs w:val="20"/>
        </w:rPr>
        <w:t xml:space="preserve">Dopolnitve se začnejo uporabljati 10. julija 2026, kar je urejeno v prehodnih določbah predloga zakona (prvi odstavek </w:t>
      </w:r>
      <w:r w:rsidR="00C4385A" w:rsidRPr="00445B9C">
        <w:rPr>
          <w:rFonts w:cs="Arial"/>
          <w:szCs w:val="20"/>
        </w:rPr>
        <w:fldChar w:fldCharType="begin"/>
      </w:r>
      <w:r w:rsidR="00C4385A" w:rsidRPr="00445B9C">
        <w:rPr>
          <w:rFonts w:cs="Arial"/>
          <w:szCs w:val="20"/>
        </w:rPr>
        <w:instrText xml:space="preserve"> REF _Ref196734116 \r \h </w:instrText>
      </w:r>
      <w:r w:rsidR="00445B9C" w:rsidRPr="00445B9C">
        <w:rPr>
          <w:rFonts w:cs="Arial"/>
          <w:szCs w:val="20"/>
        </w:rPr>
        <w:instrText xml:space="preserve"> \* MERGEFORMAT </w:instrText>
      </w:r>
      <w:r w:rsidR="00C4385A" w:rsidRPr="00445B9C">
        <w:rPr>
          <w:rFonts w:cs="Arial"/>
          <w:szCs w:val="20"/>
        </w:rPr>
      </w:r>
      <w:r w:rsidR="00C4385A" w:rsidRPr="00445B9C">
        <w:rPr>
          <w:rFonts w:cs="Arial"/>
          <w:szCs w:val="20"/>
        </w:rPr>
        <w:fldChar w:fldCharType="separate"/>
      </w:r>
      <w:r w:rsidR="001638A0" w:rsidRPr="00445B9C">
        <w:rPr>
          <w:rFonts w:cs="Arial"/>
          <w:szCs w:val="20"/>
        </w:rPr>
        <w:t xml:space="preserve">57. </w:t>
      </w:r>
      <w:r w:rsidR="00C4385A" w:rsidRPr="00445B9C">
        <w:rPr>
          <w:rFonts w:cs="Arial"/>
          <w:szCs w:val="20"/>
        </w:rPr>
        <w:fldChar w:fldCharType="end"/>
      </w:r>
      <w:r w:rsidRPr="00445B9C">
        <w:rPr>
          <w:rFonts w:cs="Arial"/>
          <w:szCs w:val="20"/>
        </w:rPr>
        <w:t>člena predloga zakona).</w:t>
      </w:r>
    </w:p>
    <w:p w14:paraId="46652BE8" w14:textId="77777777" w:rsidR="009D4F90" w:rsidRPr="00445B9C" w:rsidRDefault="009D4F90" w:rsidP="00C64B3F">
      <w:pPr>
        <w:spacing w:line="240" w:lineRule="auto"/>
        <w:jc w:val="both"/>
        <w:rPr>
          <w:rFonts w:cs="Arial"/>
          <w:szCs w:val="20"/>
        </w:rPr>
      </w:pPr>
    </w:p>
    <w:p w14:paraId="3252473D" w14:textId="5761D21A" w:rsidR="00FE0F83" w:rsidRPr="00445B9C" w:rsidRDefault="00FE0F83" w:rsidP="00603A31">
      <w:pPr>
        <w:keepNext/>
        <w:keepLines/>
        <w:widowControl w:val="0"/>
        <w:spacing w:line="276" w:lineRule="auto"/>
        <w:jc w:val="both"/>
        <w:rPr>
          <w:rFonts w:cs="Arial"/>
          <w:b/>
          <w:bCs/>
          <w:szCs w:val="20"/>
        </w:rPr>
      </w:pPr>
      <w:r w:rsidRPr="00445B9C">
        <w:rPr>
          <w:rFonts w:cs="Arial"/>
          <w:b/>
          <w:bCs/>
          <w:szCs w:val="20"/>
        </w:rPr>
        <w:t xml:space="preserve">K </w:t>
      </w:r>
      <w:r w:rsidR="0003288D" w:rsidRPr="00445B9C">
        <w:rPr>
          <w:rFonts w:cs="Arial"/>
          <w:b/>
          <w:bCs/>
          <w:szCs w:val="20"/>
        </w:rPr>
        <w:fldChar w:fldCharType="begin"/>
      </w:r>
      <w:r w:rsidR="0003288D" w:rsidRPr="00445B9C">
        <w:rPr>
          <w:rFonts w:cs="Arial"/>
          <w:b/>
          <w:bCs/>
          <w:szCs w:val="20"/>
        </w:rPr>
        <w:instrText xml:space="preserve"> REF _Ref196734154 \r \h </w:instrText>
      </w:r>
      <w:r w:rsidR="00445B9C" w:rsidRPr="00445B9C">
        <w:rPr>
          <w:rFonts w:cs="Arial"/>
          <w:b/>
          <w:bCs/>
          <w:szCs w:val="20"/>
        </w:rPr>
        <w:instrText xml:space="preserve"> \* MERGEFORMAT </w:instrText>
      </w:r>
      <w:r w:rsidR="0003288D" w:rsidRPr="00445B9C">
        <w:rPr>
          <w:rFonts w:cs="Arial"/>
          <w:b/>
          <w:bCs/>
          <w:szCs w:val="20"/>
        </w:rPr>
      </w:r>
      <w:r w:rsidR="0003288D" w:rsidRPr="00445B9C">
        <w:rPr>
          <w:rFonts w:cs="Arial"/>
          <w:b/>
          <w:bCs/>
          <w:szCs w:val="20"/>
        </w:rPr>
        <w:fldChar w:fldCharType="separate"/>
      </w:r>
      <w:r w:rsidR="001638A0" w:rsidRPr="00445B9C">
        <w:rPr>
          <w:rFonts w:cs="Arial"/>
          <w:b/>
          <w:bCs/>
          <w:szCs w:val="20"/>
        </w:rPr>
        <w:t xml:space="preserve">17. </w:t>
      </w:r>
      <w:r w:rsidR="0003288D" w:rsidRPr="00445B9C">
        <w:rPr>
          <w:rFonts w:cs="Arial"/>
          <w:b/>
          <w:bCs/>
          <w:szCs w:val="20"/>
        </w:rPr>
        <w:fldChar w:fldCharType="end"/>
      </w:r>
      <w:r w:rsidRPr="00445B9C">
        <w:rPr>
          <w:rFonts w:cs="Arial"/>
          <w:b/>
          <w:bCs/>
          <w:szCs w:val="20"/>
        </w:rPr>
        <w:t>členu</w:t>
      </w:r>
    </w:p>
    <w:p w14:paraId="1983AE7A" w14:textId="1FD4C6C8" w:rsidR="00FE0F83" w:rsidRPr="00445B9C" w:rsidRDefault="00282C4D" w:rsidP="00603A31">
      <w:pPr>
        <w:keepNext/>
        <w:keepLines/>
        <w:widowControl w:val="0"/>
        <w:spacing w:line="276" w:lineRule="auto"/>
        <w:jc w:val="both"/>
        <w:rPr>
          <w:rFonts w:cs="Arial"/>
          <w:szCs w:val="20"/>
        </w:rPr>
      </w:pPr>
      <w:r w:rsidRPr="00445B9C">
        <w:rPr>
          <w:rFonts w:cs="Arial"/>
          <w:szCs w:val="20"/>
        </w:rPr>
        <w:t>S predlagano dopolnitvijo 169. člena ZTFI-1 se določa operativno izvajanje 158. člena ZTFI-1</w:t>
      </w:r>
      <w:r w:rsidR="00A33CB3" w:rsidRPr="00445B9C">
        <w:rPr>
          <w:rFonts w:cs="Arial"/>
          <w:szCs w:val="20"/>
        </w:rPr>
        <w:t xml:space="preserve"> (</w:t>
      </w:r>
      <w:r w:rsidR="00C4385A" w:rsidRPr="00445B9C">
        <w:rPr>
          <w:rFonts w:cs="Arial"/>
          <w:szCs w:val="20"/>
        </w:rPr>
        <w:fldChar w:fldCharType="begin"/>
      </w:r>
      <w:r w:rsidR="00C4385A" w:rsidRPr="00445B9C">
        <w:rPr>
          <w:rFonts w:cs="Arial"/>
          <w:szCs w:val="20"/>
        </w:rPr>
        <w:instrText xml:space="preserve"> REF _Ref196734005 \r \h </w:instrText>
      </w:r>
      <w:r w:rsidR="00445B9C" w:rsidRPr="00445B9C">
        <w:rPr>
          <w:rFonts w:cs="Arial"/>
          <w:szCs w:val="20"/>
        </w:rPr>
        <w:instrText xml:space="preserve"> \* MERGEFORMAT </w:instrText>
      </w:r>
      <w:r w:rsidR="00C4385A" w:rsidRPr="00445B9C">
        <w:rPr>
          <w:rFonts w:cs="Arial"/>
          <w:szCs w:val="20"/>
        </w:rPr>
      </w:r>
      <w:r w:rsidR="00C4385A" w:rsidRPr="00445B9C">
        <w:rPr>
          <w:rFonts w:cs="Arial"/>
          <w:szCs w:val="20"/>
        </w:rPr>
        <w:fldChar w:fldCharType="separate"/>
      </w:r>
      <w:r w:rsidR="001638A0" w:rsidRPr="00445B9C">
        <w:rPr>
          <w:rFonts w:cs="Arial"/>
          <w:szCs w:val="20"/>
        </w:rPr>
        <w:t xml:space="preserve">15. </w:t>
      </w:r>
      <w:r w:rsidR="00C4385A" w:rsidRPr="00445B9C">
        <w:rPr>
          <w:rFonts w:cs="Arial"/>
          <w:szCs w:val="20"/>
        </w:rPr>
        <w:fldChar w:fldCharType="end"/>
      </w:r>
      <w:r w:rsidR="00A33CB3" w:rsidRPr="00445B9C">
        <w:rPr>
          <w:rFonts w:cs="Arial"/>
          <w:szCs w:val="20"/>
        </w:rPr>
        <w:t>člen predloga zakona)</w:t>
      </w:r>
      <w:r w:rsidRPr="00445B9C">
        <w:rPr>
          <w:rFonts w:cs="Arial"/>
          <w:szCs w:val="20"/>
        </w:rPr>
        <w:t xml:space="preserve">, saj se določa, da ATVP </w:t>
      </w:r>
      <w:r w:rsidR="006D4B56">
        <w:rPr>
          <w:rFonts w:cs="Arial"/>
          <w:szCs w:val="20"/>
        </w:rPr>
        <w:t>predloži</w:t>
      </w:r>
      <w:r w:rsidR="006D4B56" w:rsidRPr="00445B9C">
        <w:rPr>
          <w:rFonts w:cs="Arial"/>
          <w:szCs w:val="20"/>
        </w:rPr>
        <w:t xml:space="preserve"> </w:t>
      </w:r>
      <w:r w:rsidRPr="00445B9C">
        <w:rPr>
          <w:rFonts w:cs="Arial"/>
          <w:szCs w:val="20"/>
        </w:rPr>
        <w:t>podatke ESAP</w:t>
      </w:r>
      <w:r w:rsidR="0088753B" w:rsidRPr="00445B9C">
        <w:rPr>
          <w:rFonts w:cs="Arial"/>
          <w:szCs w:val="20"/>
        </w:rPr>
        <w:t xml:space="preserve"> ter </w:t>
      </w:r>
      <w:r w:rsidR="00206F31" w:rsidRPr="00445B9C">
        <w:rPr>
          <w:rFonts w:cs="Arial"/>
          <w:szCs w:val="20"/>
        </w:rPr>
        <w:t xml:space="preserve">s </w:t>
      </w:r>
      <w:r w:rsidR="0088753B" w:rsidRPr="00445B9C">
        <w:rPr>
          <w:rFonts w:cs="Arial"/>
          <w:szCs w:val="20"/>
        </w:rPr>
        <w:t>katerimi zahtevami morajo biti te informacije skladne</w:t>
      </w:r>
      <w:r w:rsidRPr="00445B9C">
        <w:rPr>
          <w:rFonts w:cs="Arial"/>
          <w:szCs w:val="20"/>
        </w:rPr>
        <w:t>.</w:t>
      </w:r>
    </w:p>
    <w:p w14:paraId="31A2ED47" w14:textId="77777777" w:rsidR="00362A0F" w:rsidRPr="00445B9C" w:rsidRDefault="00362A0F" w:rsidP="00603A31">
      <w:pPr>
        <w:keepNext/>
        <w:keepLines/>
        <w:widowControl w:val="0"/>
        <w:spacing w:line="276" w:lineRule="auto"/>
        <w:jc w:val="both"/>
        <w:rPr>
          <w:rFonts w:cs="Arial"/>
          <w:szCs w:val="20"/>
        </w:rPr>
      </w:pPr>
    </w:p>
    <w:p w14:paraId="36AADB13" w14:textId="71336699" w:rsidR="00362A0F" w:rsidRPr="00445B9C" w:rsidRDefault="00362A0F" w:rsidP="00362A0F">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_Ref196825350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18. </w:t>
      </w:r>
      <w:r w:rsidRPr="00445B9C">
        <w:rPr>
          <w:rFonts w:cs="Arial"/>
          <w:b/>
          <w:bCs/>
          <w:szCs w:val="20"/>
        </w:rPr>
        <w:fldChar w:fldCharType="end"/>
      </w:r>
      <w:r w:rsidRPr="00445B9C">
        <w:rPr>
          <w:rFonts w:cs="Arial"/>
          <w:b/>
          <w:bCs/>
          <w:szCs w:val="20"/>
        </w:rPr>
        <w:t>členu</w:t>
      </w:r>
    </w:p>
    <w:p w14:paraId="17EA6C31" w14:textId="5BF3F8A3" w:rsidR="00362A0F" w:rsidRPr="00445B9C" w:rsidRDefault="00362A0F" w:rsidP="00362A0F">
      <w:pPr>
        <w:spacing w:line="276" w:lineRule="auto"/>
        <w:jc w:val="both"/>
        <w:rPr>
          <w:rFonts w:cs="Arial"/>
          <w:szCs w:val="20"/>
        </w:rPr>
      </w:pPr>
      <w:r w:rsidRPr="00445B9C">
        <w:rPr>
          <w:rFonts w:cs="Arial"/>
          <w:szCs w:val="20"/>
        </w:rPr>
        <w:t xml:space="preserve">Besedilo 195.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členu predloga zakona.</w:t>
      </w:r>
    </w:p>
    <w:p w14:paraId="6BC94473" w14:textId="77777777" w:rsidR="00FE0F83" w:rsidRPr="00445B9C" w:rsidRDefault="00FE0F83" w:rsidP="00C64B3F">
      <w:pPr>
        <w:spacing w:line="240" w:lineRule="auto"/>
        <w:jc w:val="both"/>
        <w:rPr>
          <w:rFonts w:cs="Arial"/>
          <w:szCs w:val="20"/>
        </w:rPr>
      </w:pPr>
    </w:p>
    <w:p w14:paraId="2353F095" w14:textId="39966533"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4385A" w:rsidRPr="00445B9C">
        <w:rPr>
          <w:rFonts w:cs="Arial"/>
          <w:b/>
          <w:bCs/>
          <w:szCs w:val="20"/>
        </w:rPr>
        <w:fldChar w:fldCharType="begin"/>
      </w:r>
      <w:r w:rsidR="00C4385A" w:rsidRPr="00445B9C">
        <w:rPr>
          <w:rFonts w:cs="Arial"/>
          <w:b/>
          <w:bCs/>
          <w:szCs w:val="20"/>
        </w:rPr>
        <w:instrText xml:space="preserve"> REF _Ref196734293 \r \h </w:instrText>
      </w:r>
      <w:r w:rsidR="00445B9C" w:rsidRPr="00445B9C">
        <w:rPr>
          <w:rFonts w:cs="Arial"/>
          <w:b/>
          <w:bCs/>
          <w:szCs w:val="20"/>
        </w:rPr>
        <w:instrText xml:space="preserve"> \* MERGEFORMAT </w:instrText>
      </w:r>
      <w:r w:rsidR="00C4385A" w:rsidRPr="00445B9C">
        <w:rPr>
          <w:rFonts w:cs="Arial"/>
          <w:b/>
          <w:bCs/>
          <w:szCs w:val="20"/>
        </w:rPr>
      </w:r>
      <w:r w:rsidR="00C4385A" w:rsidRPr="00445B9C">
        <w:rPr>
          <w:rFonts w:cs="Arial"/>
          <w:b/>
          <w:bCs/>
          <w:szCs w:val="20"/>
        </w:rPr>
        <w:fldChar w:fldCharType="separate"/>
      </w:r>
      <w:r w:rsidR="001638A0" w:rsidRPr="00445B9C">
        <w:rPr>
          <w:rFonts w:cs="Arial"/>
          <w:b/>
          <w:bCs/>
          <w:szCs w:val="20"/>
        </w:rPr>
        <w:t xml:space="preserve">19. </w:t>
      </w:r>
      <w:r w:rsidR="00C4385A" w:rsidRPr="00445B9C">
        <w:rPr>
          <w:rFonts w:cs="Arial"/>
          <w:b/>
          <w:bCs/>
          <w:szCs w:val="20"/>
        </w:rPr>
        <w:fldChar w:fldCharType="end"/>
      </w:r>
      <w:r w:rsidRPr="00445B9C">
        <w:rPr>
          <w:rFonts w:cs="Arial"/>
          <w:b/>
          <w:bCs/>
          <w:szCs w:val="20"/>
        </w:rPr>
        <w:t>členu</w:t>
      </w:r>
    </w:p>
    <w:p w14:paraId="664140E5" w14:textId="792F1B4E" w:rsidR="00603046" w:rsidRPr="00445B9C" w:rsidRDefault="00603046" w:rsidP="00C9398D">
      <w:pPr>
        <w:spacing w:line="276" w:lineRule="auto"/>
        <w:jc w:val="both"/>
        <w:rPr>
          <w:rFonts w:cs="Arial"/>
          <w:szCs w:val="20"/>
        </w:rPr>
      </w:pPr>
      <w:r w:rsidRPr="00445B9C">
        <w:rPr>
          <w:rFonts w:cs="Arial"/>
          <w:szCs w:val="20"/>
        </w:rPr>
        <w:t xml:space="preserve">Za razliko od kreditnih institucij </w:t>
      </w:r>
      <w:proofErr w:type="spellStart"/>
      <w:r w:rsidRPr="00445B9C">
        <w:rPr>
          <w:rFonts w:cs="Arial"/>
          <w:szCs w:val="20"/>
        </w:rPr>
        <w:t>borznposredniške</w:t>
      </w:r>
      <w:proofErr w:type="spellEnd"/>
      <w:r w:rsidRPr="00445B9C">
        <w:rPr>
          <w:rFonts w:cs="Arial"/>
          <w:szCs w:val="20"/>
        </w:rPr>
        <w:t xml:space="preserve"> družbe niso nujno subjekti javnega interesa </w:t>
      </w:r>
      <w:r w:rsidR="006D4B56">
        <w:rPr>
          <w:rFonts w:cs="Arial"/>
          <w:szCs w:val="20"/>
        </w:rPr>
        <w:t xml:space="preserve">po </w:t>
      </w:r>
      <w:r w:rsidRPr="00445B9C">
        <w:rPr>
          <w:rFonts w:cs="Arial"/>
          <w:szCs w:val="20"/>
        </w:rPr>
        <w:t>44. točk</w:t>
      </w:r>
      <w:r w:rsidR="006D4B56">
        <w:rPr>
          <w:rFonts w:cs="Arial"/>
          <w:szCs w:val="20"/>
        </w:rPr>
        <w:t>i</w:t>
      </w:r>
      <w:r w:rsidRPr="00445B9C">
        <w:rPr>
          <w:rFonts w:cs="Arial"/>
          <w:szCs w:val="20"/>
        </w:rPr>
        <w:t xml:space="preserve"> 3. člena Zakona o revidiranju</w:t>
      </w:r>
      <w:r w:rsidR="00206F31" w:rsidRPr="00445B9C">
        <w:rPr>
          <w:rFonts w:cs="Arial"/>
          <w:szCs w:val="20"/>
        </w:rPr>
        <w:t xml:space="preserve"> (Uradni list RS, št. 65/08, 63/13 – ZS-K, 84/18, 115/21 in 85/24)</w:t>
      </w:r>
      <w:r w:rsidRPr="00445B9C">
        <w:rPr>
          <w:rFonts w:cs="Arial"/>
          <w:szCs w:val="20"/>
        </w:rPr>
        <w:t>. Zato se predlaga sprememba 229. člena ZTFI-1 s čimer bi se uredilo to področje tudi za družbe, ki niso nujno subjekti javnega interesa.</w:t>
      </w:r>
    </w:p>
    <w:p w14:paraId="706376F1" w14:textId="77777777" w:rsidR="00FE0F83" w:rsidRPr="00445B9C" w:rsidRDefault="00FE0F83" w:rsidP="00C64B3F">
      <w:pPr>
        <w:spacing w:line="240" w:lineRule="auto"/>
        <w:jc w:val="both"/>
        <w:rPr>
          <w:rFonts w:cs="Arial"/>
          <w:szCs w:val="20"/>
        </w:rPr>
      </w:pPr>
    </w:p>
    <w:p w14:paraId="32D6EF04" w14:textId="59B52327"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4385A" w:rsidRPr="00445B9C">
        <w:rPr>
          <w:rFonts w:cs="Arial"/>
          <w:b/>
          <w:bCs/>
          <w:szCs w:val="20"/>
        </w:rPr>
        <w:fldChar w:fldCharType="begin"/>
      </w:r>
      <w:r w:rsidR="00C4385A" w:rsidRPr="00445B9C">
        <w:rPr>
          <w:rFonts w:cs="Arial"/>
          <w:b/>
          <w:bCs/>
          <w:szCs w:val="20"/>
        </w:rPr>
        <w:instrText xml:space="preserve"> REF _Ref196734313 \r \h </w:instrText>
      </w:r>
      <w:r w:rsidR="00445B9C" w:rsidRPr="00445B9C">
        <w:rPr>
          <w:rFonts w:cs="Arial"/>
          <w:b/>
          <w:bCs/>
          <w:szCs w:val="20"/>
        </w:rPr>
        <w:instrText xml:space="preserve"> \* MERGEFORMAT </w:instrText>
      </w:r>
      <w:r w:rsidR="00C4385A" w:rsidRPr="00445B9C">
        <w:rPr>
          <w:rFonts w:cs="Arial"/>
          <w:b/>
          <w:bCs/>
          <w:szCs w:val="20"/>
        </w:rPr>
      </w:r>
      <w:r w:rsidR="00C4385A" w:rsidRPr="00445B9C">
        <w:rPr>
          <w:rFonts w:cs="Arial"/>
          <w:b/>
          <w:bCs/>
          <w:szCs w:val="20"/>
        </w:rPr>
        <w:fldChar w:fldCharType="separate"/>
      </w:r>
      <w:r w:rsidR="001638A0" w:rsidRPr="00445B9C">
        <w:rPr>
          <w:rFonts w:cs="Arial"/>
          <w:b/>
          <w:bCs/>
          <w:szCs w:val="20"/>
        </w:rPr>
        <w:t xml:space="preserve">20. </w:t>
      </w:r>
      <w:r w:rsidR="00C4385A" w:rsidRPr="00445B9C">
        <w:rPr>
          <w:rFonts w:cs="Arial"/>
          <w:b/>
          <w:bCs/>
          <w:szCs w:val="20"/>
        </w:rPr>
        <w:fldChar w:fldCharType="end"/>
      </w:r>
      <w:r w:rsidRPr="00445B9C">
        <w:rPr>
          <w:rFonts w:cs="Arial"/>
          <w:b/>
          <w:bCs/>
          <w:szCs w:val="20"/>
        </w:rPr>
        <w:t>členu</w:t>
      </w:r>
    </w:p>
    <w:p w14:paraId="7A9C42D8" w14:textId="0412E250" w:rsidR="00907A29" w:rsidRPr="00445B9C" w:rsidRDefault="00907A29" w:rsidP="00907A29">
      <w:pPr>
        <w:spacing w:line="276" w:lineRule="auto"/>
        <w:jc w:val="both"/>
        <w:rPr>
          <w:rFonts w:cs="Arial"/>
          <w:szCs w:val="20"/>
        </w:rPr>
      </w:pPr>
      <w:r w:rsidRPr="00445B9C">
        <w:rPr>
          <w:rFonts w:cs="Arial"/>
          <w:szCs w:val="20"/>
        </w:rPr>
        <w:t xml:space="preserve">Investicijska podjetja so zajeta s splošnimi organizacijskimi zahtevami, ki zahtevajo ureditev za sisteme za obdelavo informacij, varnostne mehanizme in avtentikacijo za prenos informacij, zmanjšanje tveganj poškodovanja podatkov in nepooblaščenega dostopa ter preprečevanje uhajanja informacij. Te zahteve so podrobneje opredeljene v </w:t>
      </w:r>
      <w:r w:rsidRPr="00445B9C">
        <w:rPr>
          <w:rFonts w:cs="Arial"/>
          <w:i/>
          <w:iCs/>
          <w:szCs w:val="20"/>
        </w:rPr>
        <w:t>Delegirani uredbi Komisije (EU) 2017/565 z dne 25. aprila 2016 o dopolnitvi Direktive 2014/65/EU Evropskega parlamenta in Sveta v zvezi z organizacijskimi zahtevami in pogoji poslovanja investicijskih podjetij ter opredeljenimi izrazi za namene navedene direktive</w:t>
      </w:r>
      <w:r w:rsidRPr="00445B9C">
        <w:rPr>
          <w:rFonts w:cs="Arial"/>
          <w:szCs w:val="20"/>
        </w:rPr>
        <w:t>, ki obravnava postopke in sisteme, ki varujejo varnost, celovitost in zaupnost podatkov, k</w:t>
      </w:r>
      <w:r w:rsidR="00C30FE4">
        <w:rPr>
          <w:rFonts w:cs="Arial"/>
          <w:szCs w:val="20"/>
        </w:rPr>
        <w:t>akor</w:t>
      </w:r>
      <w:r w:rsidRPr="00445B9C">
        <w:rPr>
          <w:rFonts w:cs="Arial"/>
          <w:szCs w:val="20"/>
        </w:rPr>
        <w:t xml:space="preserve"> tudi potrebe po neprekinjenem poslovanju in obnovitvi. Zaradi povečevanje groženj, povezanih z IKT</w:t>
      </w:r>
      <w:r w:rsidR="00C30FE4">
        <w:rPr>
          <w:rFonts w:cs="Arial"/>
          <w:szCs w:val="20"/>
        </w:rPr>
        <w:t>,</w:t>
      </w:r>
      <w:r w:rsidRPr="00445B9C">
        <w:rPr>
          <w:rFonts w:cs="Arial"/>
          <w:szCs w:val="20"/>
        </w:rPr>
        <w:t xml:space="preserve"> je treb</w:t>
      </w:r>
      <w:r w:rsidR="00C30FE4">
        <w:rPr>
          <w:rFonts w:cs="Arial"/>
          <w:szCs w:val="20"/>
        </w:rPr>
        <w:t>a</w:t>
      </w:r>
      <w:r w:rsidRPr="00445B9C">
        <w:rPr>
          <w:rFonts w:cs="Arial"/>
          <w:szCs w:val="20"/>
        </w:rPr>
        <w:t xml:space="preserve"> pravila posodobiti, zato je treb</w:t>
      </w:r>
      <w:r w:rsidR="00C30FE4">
        <w:rPr>
          <w:rFonts w:cs="Arial"/>
          <w:szCs w:val="20"/>
        </w:rPr>
        <w:t>a</w:t>
      </w:r>
      <w:r w:rsidRPr="00445B9C">
        <w:rPr>
          <w:rFonts w:cs="Arial"/>
          <w:szCs w:val="20"/>
        </w:rPr>
        <w:t xml:space="preserve"> ZTFI-1 uskladiti z Uredbo 2022/2554/EU</w:t>
      </w:r>
      <w:r w:rsidR="005A4099" w:rsidRPr="00445B9C">
        <w:rPr>
          <w:rFonts w:cs="Arial"/>
          <w:szCs w:val="20"/>
        </w:rPr>
        <w:t xml:space="preserve"> na način, da so ITK</w:t>
      </w:r>
      <w:r w:rsidR="00C30FE4">
        <w:rPr>
          <w:rFonts w:cs="Arial"/>
          <w:szCs w:val="20"/>
        </w:rPr>
        <w:t>-</w:t>
      </w:r>
      <w:r w:rsidR="005A4099" w:rsidRPr="00445B9C">
        <w:rPr>
          <w:rFonts w:cs="Arial"/>
          <w:szCs w:val="20"/>
        </w:rPr>
        <w:t>sistemi borznoposredniških družb vzpostavljeni in upravljani v skladu s 7. členom Uredbe 2022/2554/EU</w:t>
      </w:r>
      <w:r w:rsidRPr="00445B9C">
        <w:rPr>
          <w:rFonts w:cs="Arial"/>
          <w:szCs w:val="20"/>
        </w:rPr>
        <w:t>.</w:t>
      </w:r>
    </w:p>
    <w:p w14:paraId="57BD42DE" w14:textId="77777777" w:rsidR="00A531C0" w:rsidRPr="00445B9C" w:rsidRDefault="00A531C0" w:rsidP="00A531C0">
      <w:pPr>
        <w:spacing w:line="276" w:lineRule="auto"/>
        <w:jc w:val="both"/>
        <w:rPr>
          <w:rFonts w:cs="Arial"/>
          <w:szCs w:val="20"/>
        </w:rPr>
      </w:pPr>
    </w:p>
    <w:p w14:paraId="12BB15CB" w14:textId="77777777" w:rsidR="00FE0F83" w:rsidRPr="00445B9C" w:rsidRDefault="00A531C0" w:rsidP="00A531C0">
      <w:pPr>
        <w:spacing w:line="276" w:lineRule="auto"/>
        <w:jc w:val="both"/>
        <w:rPr>
          <w:rFonts w:cs="Arial"/>
          <w:szCs w:val="20"/>
        </w:rPr>
      </w:pPr>
      <w:r w:rsidRPr="00445B9C">
        <w:rPr>
          <w:rFonts w:cs="Arial"/>
          <w:szCs w:val="20"/>
        </w:rPr>
        <w:t>Z dopolnitvijo drugega odstavka 234. člena se v ZTFI-1 prenaša točka (a) prvega odstavka 6. člena Direktive 2022/2556/EU.</w:t>
      </w:r>
    </w:p>
    <w:p w14:paraId="2E3FC9BD" w14:textId="77777777" w:rsidR="00FE0F83" w:rsidRPr="00445B9C" w:rsidRDefault="00FE0F83" w:rsidP="00C64B3F">
      <w:pPr>
        <w:spacing w:line="240" w:lineRule="auto"/>
        <w:jc w:val="both"/>
        <w:rPr>
          <w:rFonts w:cs="Arial"/>
          <w:szCs w:val="20"/>
        </w:rPr>
      </w:pPr>
    </w:p>
    <w:p w14:paraId="602B2BF4" w14:textId="04507C76" w:rsidR="00FE0F83" w:rsidRPr="00445B9C" w:rsidRDefault="00FE0F83" w:rsidP="00FE0F83">
      <w:pPr>
        <w:spacing w:line="276" w:lineRule="auto"/>
        <w:jc w:val="both"/>
        <w:rPr>
          <w:rFonts w:cs="Arial"/>
          <w:b/>
          <w:bCs/>
          <w:szCs w:val="20"/>
        </w:rPr>
      </w:pPr>
      <w:r w:rsidRPr="00445B9C">
        <w:rPr>
          <w:rFonts w:cs="Arial"/>
          <w:b/>
          <w:bCs/>
          <w:szCs w:val="20"/>
        </w:rPr>
        <w:t xml:space="preserve">K </w:t>
      </w:r>
      <w:r w:rsidR="009C60CB" w:rsidRPr="00445B9C">
        <w:rPr>
          <w:rFonts w:cs="Arial"/>
          <w:b/>
          <w:bCs/>
          <w:szCs w:val="20"/>
        </w:rPr>
        <w:fldChar w:fldCharType="begin"/>
      </w:r>
      <w:r w:rsidR="009C60CB" w:rsidRPr="00445B9C">
        <w:rPr>
          <w:rFonts w:cs="Arial"/>
          <w:b/>
          <w:bCs/>
          <w:szCs w:val="20"/>
        </w:rPr>
        <w:instrText xml:space="preserve"> REF _Ref196734335 \r \h </w:instrText>
      </w:r>
      <w:r w:rsidR="00445B9C" w:rsidRPr="00445B9C">
        <w:rPr>
          <w:rFonts w:cs="Arial"/>
          <w:b/>
          <w:bCs/>
          <w:szCs w:val="20"/>
        </w:rPr>
        <w:instrText xml:space="preserve"> \* MERGEFORMAT </w:instrText>
      </w:r>
      <w:r w:rsidR="009C60CB" w:rsidRPr="00445B9C">
        <w:rPr>
          <w:rFonts w:cs="Arial"/>
          <w:b/>
          <w:bCs/>
          <w:szCs w:val="20"/>
        </w:rPr>
      </w:r>
      <w:r w:rsidR="009C60CB" w:rsidRPr="00445B9C">
        <w:rPr>
          <w:rFonts w:cs="Arial"/>
          <w:b/>
          <w:bCs/>
          <w:szCs w:val="20"/>
        </w:rPr>
        <w:fldChar w:fldCharType="separate"/>
      </w:r>
      <w:r w:rsidR="001638A0" w:rsidRPr="00445B9C">
        <w:rPr>
          <w:rFonts w:cs="Arial"/>
          <w:b/>
          <w:bCs/>
          <w:szCs w:val="20"/>
        </w:rPr>
        <w:t xml:space="preserve">21. </w:t>
      </w:r>
      <w:r w:rsidR="009C60CB" w:rsidRPr="00445B9C">
        <w:rPr>
          <w:rFonts w:cs="Arial"/>
          <w:b/>
          <w:bCs/>
          <w:szCs w:val="20"/>
        </w:rPr>
        <w:fldChar w:fldCharType="end"/>
      </w:r>
      <w:r w:rsidRPr="00445B9C">
        <w:rPr>
          <w:rFonts w:cs="Arial"/>
          <w:b/>
          <w:bCs/>
          <w:szCs w:val="20"/>
        </w:rPr>
        <w:t>členu</w:t>
      </w:r>
    </w:p>
    <w:p w14:paraId="734216BD" w14:textId="7F5BB77F" w:rsidR="00FE0F83" w:rsidRPr="00445B9C" w:rsidRDefault="009E574C" w:rsidP="00214059">
      <w:pPr>
        <w:spacing w:line="276" w:lineRule="auto"/>
        <w:jc w:val="both"/>
        <w:rPr>
          <w:rFonts w:cs="Arial"/>
          <w:szCs w:val="20"/>
        </w:rPr>
      </w:pPr>
      <w:r w:rsidRPr="00445B9C">
        <w:rPr>
          <w:rFonts w:cs="Arial"/>
          <w:szCs w:val="20"/>
        </w:rPr>
        <w:t>Zaradi dopolnitve 234. člena ZTFI-1 (</w:t>
      </w:r>
      <w:r w:rsidR="009C60CB" w:rsidRPr="00445B9C">
        <w:rPr>
          <w:rFonts w:cs="Arial"/>
          <w:szCs w:val="20"/>
        </w:rPr>
        <w:fldChar w:fldCharType="begin"/>
      </w:r>
      <w:r w:rsidR="009C60CB" w:rsidRPr="00445B9C">
        <w:rPr>
          <w:rFonts w:cs="Arial"/>
          <w:szCs w:val="20"/>
        </w:rPr>
        <w:instrText xml:space="preserve"> REF _Ref196734313 \r \h </w:instrText>
      </w:r>
      <w:r w:rsidR="00445B9C" w:rsidRPr="00445B9C">
        <w:rPr>
          <w:rFonts w:cs="Arial"/>
          <w:szCs w:val="20"/>
        </w:rPr>
        <w:instrText xml:space="preserve"> \* MERGEFORMAT </w:instrText>
      </w:r>
      <w:r w:rsidR="009C60CB" w:rsidRPr="00445B9C">
        <w:rPr>
          <w:rFonts w:cs="Arial"/>
          <w:szCs w:val="20"/>
        </w:rPr>
      </w:r>
      <w:r w:rsidR="009C60CB" w:rsidRPr="00445B9C">
        <w:rPr>
          <w:rFonts w:cs="Arial"/>
          <w:szCs w:val="20"/>
        </w:rPr>
        <w:fldChar w:fldCharType="separate"/>
      </w:r>
      <w:r w:rsidR="001638A0" w:rsidRPr="00445B9C">
        <w:rPr>
          <w:rFonts w:cs="Arial"/>
          <w:szCs w:val="20"/>
        </w:rPr>
        <w:t xml:space="preserve">20. </w:t>
      </w:r>
      <w:r w:rsidR="009C60CB" w:rsidRPr="00445B9C">
        <w:rPr>
          <w:rFonts w:cs="Arial"/>
          <w:szCs w:val="20"/>
        </w:rPr>
        <w:fldChar w:fldCharType="end"/>
      </w:r>
      <w:r w:rsidRPr="00445B9C">
        <w:rPr>
          <w:rFonts w:cs="Arial"/>
          <w:szCs w:val="20"/>
        </w:rPr>
        <w:t>člen predloga zakona) se predlaga črtanje 3. točke prvega odstavka 236. člena ZTFI-1, saj ni več potreben.</w:t>
      </w:r>
    </w:p>
    <w:p w14:paraId="496F4E77" w14:textId="77777777" w:rsidR="008C06DF" w:rsidRPr="00445B9C" w:rsidRDefault="008C06DF" w:rsidP="00214059">
      <w:pPr>
        <w:spacing w:line="276" w:lineRule="auto"/>
        <w:jc w:val="both"/>
        <w:rPr>
          <w:rFonts w:cs="Arial"/>
          <w:szCs w:val="20"/>
        </w:rPr>
      </w:pPr>
    </w:p>
    <w:p w14:paraId="4E22042B" w14:textId="09C8EE56" w:rsidR="008C06DF" w:rsidRPr="00445B9C" w:rsidRDefault="008C06DF" w:rsidP="00214059">
      <w:pPr>
        <w:spacing w:line="276" w:lineRule="auto"/>
        <w:jc w:val="both"/>
        <w:rPr>
          <w:rFonts w:cs="Arial"/>
          <w:szCs w:val="20"/>
        </w:rPr>
      </w:pPr>
      <w:r w:rsidRPr="00445B9C">
        <w:rPr>
          <w:rFonts w:cs="Arial"/>
          <w:szCs w:val="20"/>
        </w:rPr>
        <w:t>Drugi odstavek 236. člena ZTFI-1 se dopolni s sklicem na zahteve iz Uredbe 2022/2554/EU</w:t>
      </w:r>
      <w:r w:rsidR="00284C35" w:rsidRPr="00445B9C">
        <w:rPr>
          <w:rFonts w:cs="Arial"/>
          <w:szCs w:val="20"/>
        </w:rPr>
        <w:t xml:space="preserve"> s katerim se zagotovi varnost in preverjanje prenosa informacij, zmanjšuje tveganje spreminjanja</w:t>
      </w:r>
      <w:r w:rsidR="00E215F7">
        <w:rPr>
          <w:rFonts w:cs="Arial"/>
          <w:szCs w:val="20"/>
        </w:rPr>
        <w:t>,</w:t>
      </w:r>
      <w:r w:rsidR="00284C35" w:rsidRPr="00445B9C">
        <w:rPr>
          <w:rFonts w:cs="Arial"/>
          <w:szCs w:val="20"/>
        </w:rPr>
        <w:t xml:space="preserve"> izgube informacij </w:t>
      </w:r>
      <w:r w:rsidR="00E215F7">
        <w:rPr>
          <w:rFonts w:cs="Arial"/>
          <w:szCs w:val="20"/>
        </w:rPr>
        <w:t xml:space="preserve">in </w:t>
      </w:r>
      <w:r w:rsidR="00284C35" w:rsidRPr="00445B9C">
        <w:rPr>
          <w:rFonts w:cs="Arial"/>
          <w:szCs w:val="20"/>
        </w:rPr>
        <w:t xml:space="preserve">nepooblaščenega dostopa do informacij </w:t>
      </w:r>
      <w:r w:rsidR="00E215F7">
        <w:rPr>
          <w:rFonts w:cs="Arial"/>
          <w:szCs w:val="20"/>
        </w:rPr>
        <w:t>ter</w:t>
      </w:r>
      <w:r w:rsidR="00284C35" w:rsidRPr="00445B9C">
        <w:rPr>
          <w:rFonts w:cs="Arial"/>
          <w:szCs w:val="20"/>
        </w:rPr>
        <w:t xml:space="preserve"> prepreči odtekanje informacij</w:t>
      </w:r>
      <w:r w:rsidRPr="00445B9C">
        <w:rPr>
          <w:rFonts w:cs="Arial"/>
          <w:szCs w:val="20"/>
        </w:rPr>
        <w:t xml:space="preserve">. Z </w:t>
      </w:r>
      <w:r w:rsidRPr="00445B9C">
        <w:rPr>
          <w:rFonts w:cs="Arial"/>
          <w:szCs w:val="20"/>
        </w:rPr>
        <w:lastRenderedPageBreak/>
        <w:t>dopolnitvijo drugega odstavka 236. člena se v ZTFI-1 prenaša točka (b) prvega odstavka 6. člena Direktive 2022/2556/EU.</w:t>
      </w:r>
    </w:p>
    <w:p w14:paraId="0A06D6C4" w14:textId="77777777" w:rsidR="00FE0F83" w:rsidRPr="00445B9C" w:rsidRDefault="00FE0F83" w:rsidP="00C64B3F">
      <w:pPr>
        <w:spacing w:line="240" w:lineRule="auto"/>
        <w:jc w:val="both"/>
        <w:rPr>
          <w:rFonts w:cs="Arial"/>
          <w:szCs w:val="20"/>
        </w:rPr>
      </w:pPr>
    </w:p>
    <w:p w14:paraId="4369DB52" w14:textId="7C9B8762" w:rsidR="00FE0F83" w:rsidRPr="00445B9C" w:rsidRDefault="00FE0F83" w:rsidP="00FE0F83">
      <w:pPr>
        <w:spacing w:line="276" w:lineRule="auto"/>
        <w:jc w:val="both"/>
        <w:rPr>
          <w:rFonts w:cs="Arial"/>
          <w:b/>
          <w:bCs/>
          <w:szCs w:val="20"/>
        </w:rPr>
      </w:pPr>
      <w:r w:rsidRPr="00445B9C">
        <w:rPr>
          <w:rFonts w:cs="Arial"/>
          <w:b/>
          <w:bCs/>
          <w:szCs w:val="20"/>
        </w:rPr>
        <w:t xml:space="preserve">K </w:t>
      </w:r>
      <w:r w:rsidR="009C60CB" w:rsidRPr="00445B9C">
        <w:rPr>
          <w:rFonts w:cs="Arial"/>
          <w:b/>
          <w:bCs/>
          <w:szCs w:val="20"/>
        </w:rPr>
        <w:fldChar w:fldCharType="begin"/>
      </w:r>
      <w:r w:rsidR="009C60CB" w:rsidRPr="00445B9C">
        <w:rPr>
          <w:rFonts w:cs="Arial"/>
          <w:b/>
          <w:bCs/>
          <w:szCs w:val="20"/>
        </w:rPr>
        <w:instrText xml:space="preserve"> REF _Ref196734397 \r \h </w:instrText>
      </w:r>
      <w:r w:rsidR="00445B9C" w:rsidRPr="00445B9C">
        <w:rPr>
          <w:rFonts w:cs="Arial"/>
          <w:b/>
          <w:bCs/>
          <w:szCs w:val="20"/>
        </w:rPr>
        <w:instrText xml:space="preserve"> \* MERGEFORMAT </w:instrText>
      </w:r>
      <w:r w:rsidR="009C60CB" w:rsidRPr="00445B9C">
        <w:rPr>
          <w:rFonts w:cs="Arial"/>
          <w:b/>
          <w:bCs/>
          <w:szCs w:val="20"/>
        </w:rPr>
      </w:r>
      <w:r w:rsidR="009C60CB" w:rsidRPr="00445B9C">
        <w:rPr>
          <w:rFonts w:cs="Arial"/>
          <w:b/>
          <w:bCs/>
          <w:szCs w:val="20"/>
        </w:rPr>
        <w:fldChar w:fldCharType="separate"/>
      </w:r>
      <w:r w:rsidR="001638A0" w:rsidRPr="00445B9C">
        <w:rPr>
          <w:rFonts w:cs="Arial"/>
          <w:b/>
          <w:bCs/>
          <w:szCs w:val="20"/>
        </w:rPr>
        <w:t xml:space="preserve">22. </w:t>
      </w:r>
      <w:r w:rsidR="009C60CB" w:rsidRPr="00445B9C">
        <w:rPr>
          <w:rFonts w:cs="Arial"/>
          <w:b/>
          <w:bCs/>
          <w:szCs w:val="20"/>
        </w:rPr>
        <w:fldChar w:fldCharType="end"/>
      </w:r>
      <w:r w:rsidRPr="00445B9C">
        <w:rPr>
          <w:rFonts w:cs="Arial"/>
          <w:b/>
          <w:bCs/>
          <w:szCs w:val="20"/>
        </w:rPr>
        <w:t>členu</w:t>
      </w:r>
    </w:p>
    <w:p w14:paraId="4F0FA285" w14:textId="65E6AAEE" w:rsidR="00907A29" w:rsidRPr="00445B9C" w:rsidRDefault="0003108D" w:rsidP="00907A29">
      <w:pPr>
        <w:spacing w:line="276" w:lineRule="auto"/>
        <w:jc w:val="both"/>
        <w:rPr>
          <w:rFonts w:cs="Arial"/>
          <w:szCs w:val="20"/>
        </w:rPr>
      </w:pPr>
      <w:r w:rsidRPr="00445B9C">
        <w:rPr>
          <w:rFonts w:cs="Arial"/>
          <w:szCs w:val="20"/>
        </w:rPr>
        <w:t>Za investicijska podjetja, ki izvajajo algoritemsko trgovanje</w:t>
      </w:r>
      <w:r w:rsidR="00E215F7">
        <w:rPr>
          <w:rFonts w:cs="Arial"/>
          <w:szCs w:val="20"/>
        </w:rPr>
        <w:t>,</w:t>
      </w:r>
      <w:r w:rsidRPr="00445B9C">
        <w:rPr>
          <w:rFonts w:cs="Arial"/>
          <w:szCs w:val="20"/>
        </w:rPr>
        <w:t xml:space="preserve"> že veljajo podrobnejša pravila v ZTFI-1 in delegiranih aktih (</w:t>
      </w:r>
      <w:r w:rsidRPr="00445B9C">
        <w:rPr>
          <w:rFonts w:cs="Arial"/>
          <w:i/>
          <w:iCs/>
          <w:szCs w:val="20"/>
        </w:rPr>
        <w:t>Delegirana uredba Komisije (EU) 2017/589 z dne 19. julija 2016 o dopolnitvi Direktive 2014/65/EU Evropskega parlamenta in Sveta v zvezi z regulativnimi tehničnimi standardi o organizacijskih zahtevah za investicijska podjetja, ki se ukvarjajo z algoritemskim trgovanjem</w:t>
      </w:r>
      <w:r w:rsidRPr="00445B9C">
        <w:rPr>
          <w:rFonts w:cs="Arial"/>
          <w:szCs w:val="20"/>
        </w:rPr>
        <w:t xml:space="preserve">), zlasti glede učinkovitih sistemov in nadzora tveganja za zagotavljanje odpornosti sistemov trgovanja, preprečevanje napačnih naročil ali zlorabe takih sistemov trgovanja. Prav tako morajo imeti dogovore o neprekinjenem poslovanju, ki jim omogočajo, da se soočijo z okvarami trgovalnih sistemov </w:t>
      </w:r>
      <w:r w:rsidR="00E215F7">
        <w:rPr>
          <w:rFonts w:cs="Arial"/>
          <w:szCs w:val="20"/>
        </w:rPr>
        <w:t>ter</w:t>
      </w:r>
      <w:r w:rsidR="00E215F7" w:rsidRPr="00445B9C">
        <w:rPr>
          <w:rFonts w:cs="Arial"/>
          <w:szCs w:val="20"/>
        </w:rPr>
        <w:t xml:space="preserve"> </w:t>
      </w:r>
      <w:r w:rsidRPr="00445B9C">
        <w:rPr>
          <w:rFonts w:cs="Arial"/>
          <w:szCs w:val="20"/>
        </w:rPr>
        <w:t xml:space="preserve">opravijo popolno testiranje in spremljanje takih sistemov. </w:t>
      </w:r>
      <w:r w:rsidR="00E215F7">
        <w:rPr>
          <w:rFonts w:cs="Arial"/>
          <w:szCs w:val="20"/>
        </w:rPr>
        <w:t>Vendar pa</w:t>
      </w:r>
      <w:r w:rsidRPr="00445B9C">
        <w:rPr>
          <w:rFonts w:cs="Arial"/>
          <w:szCs w:val="20"/>
        </w:rPr>
        <w:t xml:space="preserve"> ta pravila</w:t>
      </w:r>
      <w:r w:rsidR="00907A29" w:rsidRPr="00445B9C">
        <w:rPr>
          <w:rFonts w:cs="Arial"/>
          <w:szCs w:val="20"/>
        </w:rPr>
        <w:t xml:space="preserve"> vsebuje</w:t>
      </w:r>
      <w:r w:rsidRPr="00445B9C">
        <w:rPr>
          <w:rFonts w:cs="Arial"/>
          <w:szCs w:val="20"/>
        </w:rPr>
        <w:t>jo</w:t>
      </w:r>
      <w:r w:rsidR="00907A29" w:rsidRPr="00445B9C">
        <w:rPr>
          <w:rFonts w:cs="Arial"/>
          <w:szCs w:val="20"/>
        </w:rPr>
        <w:t xml:space="preserve"> le omejena sklicevanja na nadzorne in zaščitne ureditve za sisteme obdelovanja informacij ter na uporabo ustreznih sistemov, virov in postopkov za zagotavljanje </w:t>
      </w:r>
      <w:r w:rsidR="00E215F7">
        <w:rPr>
          <w:rFonts w:cs="Arial"/>
          <w:szCs w:val="20"/>
        </w:rPr>
        <w:t>neprekinjenosti</w:t>
      </w:r>
      <w:r w:rsidR="00E215F7" w:rsidRPr="00445B9C">
        <w:rPr>
          <w:rFonts w:cs="Arial"/>
          <w:szCs w:val="20"/>
        </w:rPr>
        <w:t xml:space="preserve"> </w:t>
      </w:r>
      <w:r w:rsidR="00907A29" w:rsidRPr="00445B9C">
        <w:rPr>
          <w:rFonts w:cs="Arial"/>
          <w:szCs w:val="20"/>
        </w:rPr>
        <w:t>in pravilnosti opravljanja poslovnih dejavnosti. Zato je treb</w:t>
      </w:r>
      <w:r w:rsidR="00E215F7">
        <w:rPr>
          <w:rFonts w:cs="Arial"/>
          <w:szCs w:val="20"/>
        </w:rPr>
        <w:t>a</w:t>
      </w:r>
      <w:r w:rsidR="00907A29" w:rsidRPr="00445B9C">
        <w:rPr>
          <w:rFonts w:cs="Arial"/>
          <w:szCs w:val="20"/>
        </w:rPr>
        <w:t xml:space="preserve"> ZTFI-1 uskladiti z Uredbo 2022/2554/EU glede </w:t>
      </w:r>
      <w:r w:rsidR="00E215F7">
        <w:rPr>
          <w:rFonts w:cs="Arial"/>
          <w:szCs w:val="20"/>
        </w:rPr>
        <w:t>neprekinjenosti</w:t>
      </w:r>
      <w:r w:rsidR="00E215F7" w:rsidRPr="00445B9C">
        <w:rPr>
          <w:rFonts w:cs="Arial"/>
          <w:szCs w:val="20"/>
        </w:rPr>
        <w:t xml:space="preserve"> </w:t>
      </w:r>
      <w:r w:rsidR="00907A29" w:rsidRPr="00445B9C">
        <w:rPr>
          <w:rFonts w:cs="Arial"/>
          <w:szCs w:val="20"/>
        </w:rPr>
        <w:t>in pravilnosti pri zagotavljanju investicijskih storitev in opravljanju investicijskih poslov, operativn</w:t>
      </w:r>
      <w:r w:rsidR="00E215F7">
        <w:rPr>
          <w:rFonts w:cs="Arial"/>
          <w:szCs w:val="20"/>
        </w:rPr>
        <w:t>e</w:t>
      </w:r>
      <w:r w:rsidR="00907A29" w:rsidRPr="00445B9C">
        <w:rPr>
          <w:rFonts w:cs="Arial"/>
          <w:szCs w:val="20"/>
        </w:rPr>
        <w:t xml:space="preserve"> odpornost</w:t>
      </w:r>
      <w:r w:rsidR="00E215F7">
        <w:rPr>
          <w:rFonts w:cs="Arial"/>
          <w:szCs w:val="20"/>
        </w:rPr>
        <w:t>i</w:t>
      </w:r>
      <w:r w:rsidR="00907A29" w:rsidRPr="00445B9C">
        <w:rPr>
          <w:rFonts w:cs="Arial"/>
          <w:szCs w:val="20"/>
        </w:rPr>
        <w:t>, zmogljivost</w:t>
      </w:r>
      <w:r w:rsidR="00E215F7">
        <w:rPr>
          <w:rFonts w:cs="Arial"/>
          <w:szCs w:val="20"/>
        </w:rPr>
        <w:t>i</w:t>
      </w:r>
      <w:r w:rsidR="00907A29" w:rsidRPr="00445B9C">
        <w:rPr>
          <w:rFonts w:cs="Arial"/>
          <w:szCs w:val="20"/>
        </w:rPr>
        <w:t xml:space="preserve"> sistemov trgovanja ter učinkovitost</w:t>
      </w:r>
      <w:r w:rsidR="00E215F7">
        <w:rPr>
          <w:rFonts w:cs="Arial"/>
          <w:szCs w:val="20"/>
        </w:rPr>
        <w:t>i</w:t>
      </w:r>
      <w:r w:rsidR="00907A29" w:rsidRPr="00445B9C">
        <w:rPr>
          <w:rFonts w:cs="Arial"/>
          <w:szCs w:val="20"/>
        </w:rPr>
        <w:t xml:space="preserve"> ureditev neprekinjenega poslovanja in upravljanja tveganj.</w:t>
      </w:r>
    </w:p>
    <w:p w14:paraId="25DA97F8" w14:textId="77777777" w:rsidR="00907A29" w:rsidRPr="00445B9C" w:rsidRDefault="00907A29" w:rsidP="00907A29">
      <w:pPr>
        <w:spacing w:line="276" w:lineRule="auto"/>
        <w:jc w:val="both"/>
        <w:rPr>
          <w:rFonts w:cs="Arial"/>
          <w:szCs w:val="20"/>
        </w:rPr>
      </w:pPr>
    </w:p>
    <w:p w14:paraId="4E04BBCA" w14:textId="77777777" w:rsidR="00907A29" w:rsidRPr="00445B9C" w:rsidRDefault="00907A29" w:rsidP="00907A29">
      <w:pPr>
        <w:spacing w:line="276" w:lineRule="auto"/>
        <w:jc w:val="both"/>
        <w:rPr>
          <w:rFonts w:cs="Arial"/>
          <w:szCs w:val="20"/>
        </w:rPr>
      </w:pPr>
      <w:r w:rsidRPr="00445B9C">
        <w:rPr>
          <w:rFonts w:cs="Arial"/>
          <w:szCs w:val="20"/>
        </w:rPr>
        <w:t xml:space="preserve">Z dopolnitvijo </w:t>
      </w:r>
      <w:r w:rsidR="000034AD" w:rsidRPr="00445B9C">
        <w:rPr>
          <w:rFonts w:cs="Arial"/>
          <w:szCs w:val="20"/>
        </w:rPr>
        <w:t>prvega</w:t>
      </w:r>
      <w:r w:rsidRPr="00445B9C">
        <w:rPr>
          <w:rFonts w:cs="Arial"/>
          <w:szCs w:val="20"/>
        </w:rPr>
        <w:t xml:space="preserve"> odstavka 24</w:t>
      </w:r>
      <w:r w:rsidR="000034AD" w:rsidRPr="00445B9C">
        <w:rPr>
          <w:rFonts w:cs="Arial"/>
          <w:szCs w:val="20"/>
        </w:rPr>
        <w:t>2</w:t>
      </w:r>
      <w:r w:rsidRPr="00445B9C">
        <w:rPr>
          <w:rFonts w:cs="Arial"/>
          <w:szCs w:val="20"/>
        </w:rPr>
        <w:t xml:space="preserve">. člena se v ZTFI-1 prenaša točka (a) </w:t>
      </w:r>
      <w:r w:rsidR="000034AD" w:rsidRPr="00445B9C">
        <w:rPr>
          <w:rFonts w:cs="Arial"/>
          <w:szCs w:val="20"/>
        </w:rPr>
        <w:t>drugega</w:t>
      </w:r>
      <w:r w:rsidRPr="00445B9C">
        <w:rPr>
          <w:rFonts w:cs="Arial"/>
          <w:szCs w:val="20"/>
        </w:rPr>
        <w:t xml:space="preserve"> odstavka 6. člena Direktive 2022/2556/EU.</w:t>
      </w:r>
    </w:p>
    <w:p w14:paraId="26A52527" w14:textId="77777777" w:rsidR="00FE0F83" w:rsidRPr="00445B9C" w:rsidRDefault="00FE0F83" w:rsidP="00C64B3F">
      <w:pPr>
        <w:spacing w:line="240" w:lineRule="auto"/>
        <w:jc w:val="both"/>
        <w:rPr>
          <w:rFonts w:cs="Arial"/>
          <w:szCs w:val="20"/>
        </w:rPr>
      </w:pPr>
    </w:p>
    <w:p w14:paraId="288F0ACF" w14:textId="141FB37B" w:rsidR="00FE0F83" w:rsidRPr="00445B9C" w:rsidRDefault="00FE0F83" w:rsidP="00FE0F83">
      <w:pPr>
        <w:spacing w:line="276" w:lineRule="auto"/>
        <w:jc w:val="both"/>
        <w:rPr>
          <w:rFonts w:cs="Arial"/>
          <w:b/>
          <w:bCs/>
          <w:szCs w:val="20"/>
        </w:rPr>
      </w:pPr>
      <w:r w:rsidRPr="00445B9C">
        <w:rPr>
          <w:rFonts w:cs="Arial"/>
          <w:b/>
          <w:bCs/>
          <w:szCs w:val="20"/>
        </w:rPr>
        <w:t xml:space="preserve">K </w:t>
      </w:r>
      <w:r w:rsidR="009C60CB" w:rsidRPr="00445B9C">
        <w:rPr>
          <w:rFonts w:cs="Arial"/>
          <w:b/>
          <w:bCs/>
          <w:szCs w:val="20"/>
        </w:rPr>
        <w:fldChar w:fldCharType="begin"/>
      </w:r>
      <w:r w:rsidR="009C60CB" w:rsidRPr="00445B9C">
        <w:rPr>
          <w:rFonts w:cs="Arial"/>
          <w:b/>
          <w:bCs/>
          <w:szCs w:val="20"/>
        </w:rPr>
        <w:instrText xml:space="preserve"> REF _Ref196734410 \r \h </w:instrText>
      </w:r>
      <w:r w:rsidR="00445B9C" w:rsidRPr="00445B9C">
        <w:rPr>
          <w:rFonts w:cs="Arial"/>
          <w:b/>
          <w:bCs/>
          <w:szCs w:val="20"/>
        </w:rPr>
        <w:instrText xml:space="preserve"> \* MERGEFORMAT </w:instrText>
      </w:r>
      <w:r w:rsidR="009C60CB" w:rsidRPr="00445B9C">
        <w:rPr>
          <w:rFonts w:cs="Arial"/>
          <w:b/>
          <w:bCs/>
          <w:szCs w:val="20"/>
        </w:rPr>
      </w:r>
      <w:r w:rsidR="009C60CB" w:rsidRPr="00445B9C">
        <w:rPr>
          <w:rFonts w:cs="Arial"/>
          <w:b/>
          <w:bCs/>
          <w:szCs w:val="20"/>
        </w:rPr>
        <w:fldChar w:fldCharType="separate"/>
      </w:r>
      <w:r w:rsidR="001638A0" w:rsidRPr="00445B9C">
        <w:rPr>
          <w:rFonts w:cs="Arial"/>
          <w:b/>
          <w:bCs/>
          <w:szCs w:val="20"/>
        </w:rPr>
        <w:t xml:space="preserve">23. </w:t>
      </w:r>
      <w:r w:rsidR="009C60CB" w:rsidRPr="00445B9C">
        <w:rPr>
          <w:rFonts w:cs="Arial"/>
          <w:b/>
          <w:bCs/>
          <w:szCs w:val="20"/>
        </w:rPr>
        <w:fldChar w:fldCharType="end"/>
      </w:r>
      <w:r w:rsidRPr="00445B9C">
        <w:rPr>
          <w:rFonts w:cs="Arial"/>
          <w:b/>
          <w:bCs/>
          <w:szCs w:val="20"/>
        </w:rPr>
        <w:t>členu</w:t>
      </w:r>
    </w:p>
    <w:p w14:paraId="129E5F2C" w14:textId="3055BDB8" w:rsidR="00FE0F83" w:rsidRPr="00445B9C" w:rsidRDefault="0074706F" w:rsidP="00706ABD">
      <w:pPr>
        <w:spacing w:line="276" w:lineRule="auto"/>
        <w:jc w:val="both"/>
        <w:rPr>
          <w:rFonts w:cs="Arial"/>
          <w:szCs w:val="20"/>
        </w:rPr>
      </w:pPr>
      <w:r w:rsidRPr="00445B9C">
        <w:rPr>
          <w:rFonts w:cs="Arial"/>
          <w:szCs w:val="20"/>
        </w:rPr>
        <w:t xml:space="preserve">ZTFI-1 </w:t>
      </w:r>
      <w:r w:rsidR="00E215F7">
        <w:rPr>
          <w:rFonts w:cs="Arial"/>
          <w:szCs w:val="20"/>
        </w:rPr>
        <w:t xml:space="preserve">v </w:t>
      </w:r>
      <w:r w:rsidR="00E215F7" w:rsidRPr="00445B9C">
        <w:rPr>
          <w:rFonts w:cs="Arial"/>
          <w:szCs w:val="20"/>
        </w:rPr>
        <w:t>267. člen</w:t>
      </w:r>
      <w:r w:rsidR="00E215F7">
        <w:rPr>
          <w:rFonts w:cs="Arial"/>
          <w:szCs w:val="20"/>
        </w:rPr>
        <w:t>u</w:t>
      </w:r>
      <w:r w:rsidR="00E215F7" w:rsidRPr="00445B9C">
        <w:rPr>
          <w:rFonts w:cs="Arial"/>
          <w:szCs w:val="20"/>
        </w:rPr>
        <w:t xml:space="preserve"> </w:t>
      </w:r>
      <w:r w:rsidRPr="00445B9C">
        <w:rPr>
          <w:rFonts w:cs="Arial"/>
          <w:szCs w:val="20"/>
        </w:rPr>
        <w:t>ureja izvrševanje naročil pod najugodnejšimi pogoji za stranko, med drugim tudi v zvezi s plačili za tok naročil. Uredba 2024/791/EU o spremembi Uredbe 600/2014/EU prepoveduje investicijskim podjetjem prejemati takšna plačila v vsej EU, zato se predlaga črtanje šestega odstavka 267. člena ZTFI-1.</w:t>
      </w:r>
    </w:p>
    <w:p w14:paraId="60B5E8C2" w14:textId="77777777" w:rsidR="00FE0F83" w:rsidRPr="00445B9C" w:rsidRDefault="00FE0F83" w:rsidP="00706ABD">
      <w:pPr>
        <w:spacing w:line="276" w:lineRule="auto"/>
        <w:jc w:val="both"/>
        <w:rPr>
          <w:rFonts w:cs="Arial"/>
          <w:szCs w:val="20"/>
        </w:rPr>
      </w:pPr>
    </w:p>
    <w:p w14:paraId="3DAF4925" w14:textId="7AC8B1EB" w:rsidR="0074706F" w:rsidRPr="00445B9C" w:rsidRDefault="0074706F" w:rsidP="00706ABD">
      <w:pPr>
        <w:spacing w:line="276" w:lineRule="auto"/>
        <w:jc w:val="both"/>
        <w:rPr>
          <w:rFonts w:cs="Arial"/>
          <w:szCs w:val="20"/>
        </w:rPr>
      </w:pPr>
      <w:r w:rsidRPr="00445B9C">
        <w:rPr>
          <w:rFonts w:cs="Arial"/>
          <w:szCs w:val="20"/>
        </w:rPr>
        <w:t>Direktiva 2014/65/EU (tretji odstavek 27. člena Direktive, ki je prenesen v sedmi in osmi odstavek 267. člena ZTFI-1) je zahtevala objavo poročila o najboljši izvršitvi naročil, vendar je praksa pokazala, da se ta poročila redko berejo in da vlagateljem ali drugim uporabnikom teh poročil ne omogočajo, da bi na podlagi informacij v njih delali smiselne primerjave. Zato je bila ta zahteva z Direktivo 2021/338</w:t>
      </w:r>
      <w:r w:rsidR="00BA408D" w:rsidRPr="00445B9C">
        <w:rPr>
          <w:rFonts w:cs="Arial"/>
          <w:szCs w:val="20"/>
        </w:rPr>
        <w:t>/EU</w:t>
      </w:r>
      <w:r w:rsidRPr="00445B9C">
        <w:rPr>
          <w:rFonts w:cs="Arial"/>
          <w:szCs w:val="20"/>
        </w:rPr>
        <w:t xml:space="preserve"> začasno ukinjena za dve leti.</w:t>
      </w:r>
      <w:r w:rsidR="00216371" w:rsidRPr="00445B9C">
        <w:rPr>
          <w:rFonts w:cs="Arial"/>
          <w:szCs w:val="20"/>
        </w:rPr>
        <w:t xml:space="preserve"> Uredba 600/2014/EU na novo ureja sistem stalnih informacij, ki se lahko uporabijo kot dokaz najboljše izvršitve. Zato zahteva glede poročanja iz sedmega odstavka 267. člena ZTFI-1 ni več </w:t>
      </w:r>
      <w:r w:rsidR="007D5B63">
        <w:rPr>
          <w:rFonts w:cs="Arial"/>
          <w:szCs w:val="20"/>
        </w:rPr>
        <w:t>pomembna</w:t>
      </w:r>
      <w:r w:rsidR="007D5B63" w:rsidRPr="00445B9C">
        <w:rPr>
          <w:rFonts w:cs="Arial"/>
          <w:szCs w:val="20"/>
        </w:rPr>
        <w:t xml:space="preserve"> </w:t>
      </w:r>
      <w:r w:rsidR="00216371" w:rsidRPr="00445B9C">
        <w:rPr>
          <w:rFonts w:cs="Arial"/>
          <w:szCs w:val="20"/>
        </w:rPr>
        <w:t>in jo je treba črtati, osmi odstavek 267. člena ZTFI-1 pa je ustrezno dopolniti.</w:t>
      </w:r>
    </w:p>
    <w:p w14:paraId="0895F526" w14:textId="77777777" w:rsidR="0074706F" w:rsidRPr="00445B9C" w:rsidRDefault="0074706F" w:rsidP="00706ABD">
      <w:pPr>
        <w:spacing w:line="276" w:lineRule="auto"/>
        <w:jc w:val="both"/>
        <w:rPr>
          <w:rFonts w:cs="Arial"/>
          <w:szCs w:val="20"/>
        </w:rPr>
      </w:pPr>
    </w:p>
    <w:p w14:paraId="7BEA6B13" w14:textId="77777777" w:rsidR="0074706F" w:rsidRPr="00445B9C" w:rsidRDefault="00216371" w:rsidP="0074706F">
      <w:pPr>
        <w:spacing w:line="276" w:lineRule="auto"/>
        <w:jc w:val="both"/>
        <w:rPr>
          <w:rFonts w:cs="Arial"/>
          <w:szCs w:val="20"/>
        </w:rPr>
      </w:pPr>
      <w:r w:rsidRPr="00445B9C">
        <w:rPr>
          <w:rFonts w:cs="Arial"/>
          <w:szCs w:val="20"/>
        </w:rPr>
        <w:t xml:space="preserve">S spremembo in </w:t>
      </w:r>
      <w:r w:rsidR="0074706F" w:rsidRPr="00445B9C">
        <w:rPr>
          <w:rFonts w:cs="Arial"/>
          <w:szCs w:val="20"/>
        </w:rPr>
        <w:t>dopolnitvijo 2</w:t>
      </w:r>
      <w:r w:rsidRPr="00445B9C">
        <w:rPr>
          <w:rFonts w:cs="Arial"/>
          <w:szCs w:val="20"/>
        </w:rPr>
        <w:t>67</w:t>
      </w:r>
      <w:r w:rsidR="0074706F" w:rsidRPr="00445B9C">
        <w:rPr>
          <w:rFonts w:cs="Arial"/>
          <w:szCs w:val="20"/>
        </w:rPr>
        <w:t>. člena se v ZTFI-1 prenaša</w:t>
      </w:r>
      <w:r w:rsidRPr="00445B9C">
        <w:rPr>
          <w:rFonts w:cs="Arial"/>
          <w:szCs w:val="20"/>
        </w:rPr>
        <w:t>ta</w:t>
      </w:r>
      <w:r w:rsidR="0074706F" w:rsidRPr="00445B9C">
        <w:rPr>
          <w:rFonts w:cs="Arial"/>
          <w:szCs w:val="20"/>
        </w:rPr>
        <w:t xml:space="preserve"> točk</w:t>
      </w:r>
      <w:r w:rsidRPr="00445B9C">
        <w:rPr>
          <w:rFonts w:cs="Arial"/>
          <w:szCs w:val="20"/>
        </w:rPr>
        <w:t>i</w:t>
      </w:r>
      <w:r w:rsidR="0074706F" w:rsidRPr="00445B9C">
        <w:rPr>
          <w:rFonts w:cs="Arial"/>
          <w:szCs w:val="20"/>
        </w:rPr>
        <w:t xml:space="preserve"> </w:t>
      </w:r>
      <w:r w:rsidRPr="00445B9C">
        <w:rPr>
          <w:rFonts w:cs="Arial"/>
          <w:szCs w:val="20"/>
        </w:rPr>
        <w:t xml:space="preserve">(a) in </w:t>
      </w:r>
      <w:r w:rsidR="0074706F" w:rsidRPr="00445B9C">
        <w:rPr>
          <w:rFonts w:cs="Arial"/>
          <w:szCs w:val="20"/>
        </w:rPr>
        <w:t>(</w:t>
      </w:r>
      <w:r w:rsidRPr="00445B9C">
        <w:rPr>
          <w:rFonts w:cs="Arial"/>
          <w:szCs w:val="20"/>
        </w:rPr>
        <w:t>b</w:t>
      </w:r>
      <w:r w:rsidR="0074706F" w:rsidRPr="00445B9C">
        <w:rPr>
          <w:rFonts w:cs="Arial"/>
          <w:szCs w:val="20"/>
        </w:rPr>
        <w:t xml:space="preserve">) </w:t>
      </w:r>
      <w:r w:rsidRPr="00445B9C">
        <w:rPr>
          <w:rFonts w:cs="Arial"/>
          <w:szCs w:val="20"/>
        </w:rPr>
        <w:t>četrtega</w:t>
      </w:r>
      <w:r w:rsidR="0074706F" w:rsidRPr="00445B9C">
        <w:rPr>
          <w:rFonts w:cs="Arial"/>
          <w:szCs w:val="20"/>
        </w:rPr>
        <w:t xml:space="preserve"> odstavka 6. člena Direktive 2022/2556/EU.</w:t>
      </w:r>
    </w:p>
    <w:p w14:paraId="6B1AA18D" w14:textId="77777777" w:rsidR="00FE0F83" w:rsidRPr="00445B9C" w:rsidRDefault="00FE0F83" w:rsidP="00C64B3F">
      <w:pPr>
        <w:spacing w:line="240" w:lineRule="auto"/>
        <w:jc w:val="both"/>
        <w:rPr>
          <w:rFonts w:cs="Arial"/>
          <w:szCs w:val="20"/>
        </w:rPr>
      </w:pPr>
    </w:p>
    <w:p w14:paraId="77B47C8E" w14:textId="6FAC1D39"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_Ref196734445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24. </w:t>
      </w:r>
      <w:r w:rsidR="00416396" w:rsidRPr="00445B9C">
        <w:rPr>
          <w:rFonts w:cs="Arial"/>
          <w:b/>
          <w:bCs/>
          <w:szCs w:val="20"/>
        </w:rPr>
        <w:fldChar w:fldCharType="end"/>
      </w:r>
      <w:r w:rsidRPr="00445B9C">
        <w:rPr>
          <w:rFonts w:cs="Arial"/>
          <w:b/>
          <w:bCs/>
          <w:szCs w:val="20"/>
        </w:rPr>
        <w:t>členu</w:t>
      </w:r>
    </w:p>
    <w:p w14:paraId="621B47CC" w14:textId="41708FB8" w:rsidR="00FE0F83" w:rsidRPr="00445B9C" w:rsidRDefault="00D81867" w:rsidP="00706ABD">
      <w:pPr>
        <w:spacing w:line="276" w:lineRule="auto"/>
        <w:jc w:val="both"/>
        <w:rPr>
          <w:rFonts w:cs="Arial"/>
          <w:szCs w:val="20"/>
        </w:rPr>
      </w:pPr>
      <w:r w:rsidRPr="00445B9C">
        <w:rPr>
          <w:rFonts w:cs="Arial"/>
          <w:szCs w:val="20"/>
        </w:rPr>
        <w:t xml:space="preserve">Četrti odstavek 269. člena ZTFI-1 je vsebinsko povezan s sedmim odstavkom 267. člena ZTFI-1 (glej obrazložitev k </w:t>
      </w:r>
      <w:r w:rsidR="00416396" w:rsidRPr="00445B9C">
        <w:rPr>
          <w:rFonts w:cs="Arial"/>
          <w:szCs w:val="20"/>
        </w:rPr>
        <w:fldChar w:fldCharType="begin"/>
      </w:r>
      <w:r w:rsidR="00416396" w:rsidRPr="00445B9C">
        <w:rPr>
          <w:rFonts w:cs="Arial"/>
          <w:szCs w:val="20"/>
        </w:rPr>
        <w:instrText xml:space="preserve"> REF _Ref196734410 \r \h </w:instrText>
      </w:r>
      <w:r w:rsidR="00445B9C" w:rsidRPr="00445B9C">
        <w:rPr>
          <w:rFonts w:cs="Arial"/>
          <w:szCs w:val="20"/>
        </w:rPr>
        <w:instrText xml:space="preserve"> \* MERGEFORMAT </w:instrText>
      </w:r>
      <w:r w:rsidR="00416396" w:rsidRPr="00445B9C">
        <w:rPr>
          <w:rFonts w:cs="Arial"/>
          <w:szCs w:val="20"/>
        </w:rPr>
      </w:r>
      <w:r w:rsidR="00416396" w:rsidRPr="00445B9C">
        <w:rPr>
          <w:rFonts w:cs="Arial"/>
          <w:szCs w:val="20"/>
        </w:rPr>
        <w:fldChar w:fldCharType="separate"/>
      </w:r>
      <w:r w:rsidR="001638A0" w:rsidRPr="00445B9C">
        <w:rPr>
          <w:rFonts w:cs="Arial"/>
          <w:szCs w:val="20"/>
        </w:rPr>
        <w:t xml:space="preserve">23. </w:t>
      </w:r>
      <w:r w:rsidR="00416396" w:rsidRPr="00445B9C">
        <w:rPr>
          <w:rFonts w:cs="Arial"/>
          <w:szCs w:val="20"/>
        </w:rPr>
        <w:fldChar w:fldCharType="end"/>
      </w:r>
      <w:r w:rsidRPr="00445B9C">
        <w:rPr>
          <w:rFonts w:cs="Arial"/>
          <w:szCs w:val="20"/>
        </w:rPr>
        <w:t>členu predloga zakona)</w:t>
      </w:r>
      <w:r w:rsidR="00CB688E" w:rsidRPr="00445B9C">
        <w:rPr>
          <w:rFonts w:cs="Arial"/>
          <w:szCs w:val="20"/>
        </w:rPr>
        <w:t>. Ker poročila iz četrtega odstavka 269. člena ZTFI-1 v praksi ne dosegajo svojega namena, hkrati pa Uredba 600/2014/EU na novo ureja sistem stalnih informacij</w:t>
      </w:r>
      <w:r w:rsidR="007D5B63">
        <w:rPr>
          <w:rFonts w:cs="Arial"/>
          <w:szCs w:val="20"/>
        </w:rPr>
        <w:t>,</w:t>
      </w:r>
      <w:r w:rsidR="00CB688E" w:rsidRPr="00445B9C">
        <w:rPr>
          <w:rFonts w:cs="Arial"/>
          <w:szCs w:val="20"/>
        </w:rPr>
        <w:t xml:space="preserve"> se predlaga črtanje četrtega odstavka 269. člena.</w:t>
      </w:r>
    </w:p>
    <w:p w14:paraId="4B9E52D2" w14:textId="77777777" w:rsidR="00D81867" w:rsidRPr="00445B9C" w:rsidRDefault="00D81867" w:rsidP="00706ABD">
      <w:pPr>
        <w:spacing w:line="276" w:lineRule="auto"/>
        <w:jc w:val="both"/>
        <w:rPr>
          <w:rFonts w:cs="Arial"/>
          <w:szCs w:val="20"/>
        </w:rPr>
      </w:pPr>
    </w:p>
    <w:p w14:paraId="13DC29D8" w14:textId="77777777" w:rsidR="00CB688E" w:rsidRPr="00445B9C" w:rsidRDefault="00CB688E" w:rsidP="00CB688E">
      <w:pPr>
        <w:spacing w:line="276" w:lineRule="auto"/>
        <w:jc w:val="both"/>
        <w:rPr>
          <w:rFonts w:cs="Arial"/>
          <w:szCs w:val="20"/>
        </w:rPr>
      </w:pPr>
      <w:r w:rsidRPr="00445B9C">
        <w:rPr>
          <w:rFonts w:cs="Arial"/>
          <w:szCs w:val="20"/>
        </w:rPr>
        <w:t>S črtanjem četrtega odstavka 269. člena se v ZTFI-1 prenaša točka (c) četrtega odstavka 6. člena Direktive 2022/2556/EU.</w:t>
      </w:r>
    </w:p>
    <w:p w14:paraId="003DF7FF" w14:textId="77777777" w:rsidR="00FE0F83" w:rsidRPr="00445B9C" w:rsidRDefault="00FE0F83" w:rsidP="00C64B3F">
      <w:pPr>
        <w:spacing w:line="240" w:lineRule="auto"/>
        <w:jc w:val="both"/>
        <w:rPr>
          <w:rFonts w:cs="Arial"/>
          <w:szCs w:val="20"/>
        </w:rPr>
      </w:pPr>
    </w:p>
    <w:p w14:paraId="645FB1C6" w14:textId="030591B2"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_Ref196734480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25. </w:t>
      </w:r>
      <w:r w:rsidR="00416396" w:rsidRPr="00445B9C">
        <w:rPr>
          <w:rFonts w:cs="Arial"/>
          <w:b/>
          <w:bCs/>
          <w:szCs w:val="20"/>
        </w:rPr>
        <w:fldChar w:fldCharType="end"/>
      </w:r>
      <w:r w:rsidRPr="00445B9C">
        <w:rPr>
          <w:rFonts w:cs="Arial"/>
          <w:b/>
          <w:bCs/>
          <w:szCs w:val="20"/>
        </w:rPr>
        <w:t>členu</w:t>
      </w:r>
    </w:p>
    <w:p w14:paraId="4633E55A" w14:textId="164664B5" w:rsidR="00FE0F83" w:rsidRPr="00445B9C" w:rsidRDefault="006D5DCE" w:rsidP="00706ABD">
      <w:pPr>
        <w:spacing w:line="276" w:lineRule="auto"/>
        <w:jc w:val="both"/>
        <w:rPr>
          <w:rFonts w:cs="Arial"/>
          <w:szCs w:val="20"/>
        </w:rPr>
      </w:pPr>
      <w:r w:rsidRPr="00445B9C">
        <w:rPr>
          <w:rFonts w:cs="Arial"/>
          <w:szCs w:val="20"/>
        </w:rPr>
        <w:t>Ker se predlaga črtanje sedmega in osmega odstavka 267. in četrtega odstavka 269. člena ZTFI-1</w:t>
      </w:r>
      <w:r w:rsidR="007D5B63">
        <w:rPr>
          <w:rFonts w:cs="Arial"/>
          <w:szCs w:val="20"/>
        </w:rPr>
        <w:t>,</w:t>
      </w:r>
      <w:r w:rsidRPr="00445B9C">
        <w:rPr>
          <w:rFonts w:cs="Arial"/>
          <w:szCs w:val="20"/>
        </w:rPr>
        <w:t xml:space="preserve"> se predlaga tudi črtanje dela besedila prvega odstavka 270. člena ZTFI-1</w:t>
      </w:r>
      <w:r w:rsidR="009D0B41" w:rsidRPr="00445B9C">
        <w:rPr>
          <w:rFonts w:cs="Arial"/>
          <w:szCs w:val="20"/>
        </w:rPr>
        <w:t>.</w:t>
      </w:r>
    </w:p>
    <w:p w14:paraId="4FF28F8D" w14:textId="77777777" w:rsidR="009D0B41" w:rsidRPr="00445B9C" w:rsidRDefault="009D0B41" w:rsidP="00706ABD">
      <w:pPr>
        <w:spacing w:line="276" w:lineRule="auto"/>
        <w:jc w:val="both"/>
        <w:rPr>
          <w:rFonts w:cs="Arial"/>
          <w:szCs w:val="20"/>
        </w:rPr>
      </w:pPr>
    </w:p>
    <w:p w14:paraId="2779F69B" w14:textId="77777777" w:rsidR="009D0B41" w:rsidRPr="00445B9C" w:rsidRDefault="009D0B41" w:rsidP="009D0B41">
      <w:pPr>
        <w:spacing w:line="276" w:lineRule="auto"/>
        <w:jc w:val="both"/>
        <w:rPr>
          <w:rFonts w:cs="Arial"/>
          <w:szCs w:val="20"/>
        </w:rPr>
      </w:pPr>
      <w:r w:rsidRPr="00445B9C">
        <w:rPr>
          <w:rFonts w:cs="Arial"/>
          <w:szCs w:val="20"/>
        </w:rPr>
        <w:t>S črtanjem dela besedila prvega odstavka 270. člena se v ZTFI-1 prenaša točka (d) četrtega odstavka 6. člena Direktive 2022/2556/EU.</w:t>
      </w:r>
    </w:p>
    <w:p w14:paraId="0CF65EBF" w14:textId="77777777" w:rsidR="00FE0F83" w:rsidRPr="00445B9C" w:rsidRDefault="00FE0F83" w:rsidP="00C64B3F">
      <w:pPr>
        <w:spacing w:line="240" w:lineRule="auto"/>
        <w:jc w:val="both"/>
        <w:rPr>
          <w:rFonts w:cs="Arial"/>
          <w:szCs w:val="20"/>
        </w:rPr>
      </w:pPr>
    </w:p>
    <w:p w14:paraId="629D6EF8" w14:textId="07B2FED5"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_Ref196734494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26. </w:t>
      </w:r>
      <w:r w:rsidR="00416396" w:rsidRPr="00445B9C">
        <w:rPr>
          <w:rFonts w:cs="Arial"/>
          <w:b/>
          <w:bCs/>
          <w:szCs w:val="20"/>
        </w:rPr>
        <w:fldChar w:fldCharType="end"/>
      </w:r>
      <w:r w:rsidRPr="00445B9C">
        <w:rPr>
          <w:rFonts w:cs="Arial"/>
          <w:b/>
          <w:bCs/>
          <w:szCs w:val="20"/>
        </w:rPr>
        <w:t>členu</w:t>
      </w:r>
    </w:p>
    <w:p w14:paraId="4CB71907" w14:textId="77777777" w:rsidR="00FE0F83" w:rsidRPr="00445B9C" w:rsidRDefault="007B7976" w:rsidP="00706ABD">
      <w:pPr>
        <w:spacing w:line="276" w:lineRule="auto"/>
        <w:jc w:val="both"/>
        <w:rPr>
          <w:rFonts w:cs="Arial"/>
          <w:szCs w:val="20"/>
        </w:rPr>
      </w:pPr>
      <w:r w:rsidRPr="00445B9C">
        <w:rPr>
          <w:rFonts w:cs="Arial"/>
          <w:szCs w:val="20"/>
        </w:rPr>
        <w:t>Z novim devetim odstavkom 278. člena ZTFI-1</w:t>
      </w:r>
      <w:r w:rsidR="00705F83" w:rsidRPr="00445B9C">
        <w:rPr>
          <w:rFonts w:cs="Arial"/>
          <w:szCs w:val="20"/>
        </w:rPr>
        <w:t xml:space="preserve"> </w:t>
      </w:r>
      <w:r w:rsidRPr="00445B9C">
        <w:rPr>
          <w:rFonts w:cs="Arial"/>
          <w:szCs w:val="20"/>
        </w:rPr>
        <w:t>se predlaga ureditev dostopnosti informacij iz registra zastopnikov, ki naj bodo dostopne ESAP. Določajo se tudi zahteve, ki jih morajo te informacije izpolnjevati.</w:t>
      </w:r>
    </w:p>
    <w:p w14:paraId="274801D4" w14:textId="77777777" w:rsidR="007B7976" w:rsidRPr="00445B9C" w:rsidRDefault="007B7976" w:rsidP="00706ABD">
      <w:pPr>
        <w:spacing w:line="276" w:lineRule="auto"/>
        <w:jc w:val="both"/>
        <w:rPr>
          <w:rFonts w:cs="Arial"/>
          <w:szCs w:val="20"/>
        </w:rPr>
      </w:pPr>
    </w:p>
    <w:p w14:paraId="107AE528" w14:textId="66F4BA71" w:rsidR="007B7976" w:rsidRPr="00445B9C" w:rsidRDefault="007B7976" w:rsidP="007B7976">
      <w:pPr>
        <w:spacing w:line="276" w:lineRule="auto"/>
        <w:jc w:val="both"/>
        <w:rPr>
          <w:rFonts w:cs="Arial"/>
          <w:szCs w:val="20"/>
        </w:rPr>
      </w:pPr>
      <w:r w:rsidRPr="00445B9C">
        <w:rPr>
          <w:rFonts w:cs="Arial"/>
          <w:szCs w:val="20"/>
        </w:rPr>
        <w:t xml:space="preserve">Z novim devetim odstavkom 278. člena se v ZTFI-1 prenaša 12. člen Direktive 2023/2864/EU. Novi deveti odstavek 278. člena ZTFI-1 se začne uporabljati 10. januarja 2030, kar je urejeno v </w:t>
      </w:r>
      <w:r w:rsidR="005D1302" w:rsidRPr="00445B9C">
        <w:rPr>
          <w:rFonts w:cs="Arial"/>
          <w:szCs w:val="20"/>
        </w:rPr>
        <w:t xml:space="preserve">drugem odstavku </w:t>
      </w:r>
      <w:r w:rsidR="0091793C" w:rsidRPr="00445B9C">
        <w:rPr>
          <w:rFonts w:cs="Arial"/>
          <w:szCs w:val="20"/>
        </w:rPr>
        <w:fldChar w:fldCharType="begin"/>
      </w:r>
      <w:r w:rsidR="0091793C" w:rsidRPr="00445B9C">
        <w:rPr>
          <w:rFonts w:cs="Arial"/>
          <w:szCs w:val="20"/>
        </w:rPr>
        <w:instrText xml:space="preserve"> REF _Ref196734116 \r \h </w:instrText>
      </w:r>
      <w:r w:rsidR="00445B9C" w:rsidRPr="00445B9C">
        <w:rPr>
          <w:rFonts w:cs="Arial"/>
          <w:szCs w:val="20"/>
        </w:rPr>
        <w:instrText xml:space="preserve"> \* MERGEFORMAT </w:instrText>
      </w:r>
      <w:r w:rsidR="0091793C" w:rsidRPr="00445B9C">
        <w:rPr>
          <w:rFonts w:cs="Arial"/>
          <w:szCs w:val="20"/>
        </w:rPr>
      </w:r>
      <w:r w:rsidR="0091793C" w:rsidRPr="00445B9C">
        <w:rPr>
          <w:rFonts w:cs="Arial"/>
          <w:szCs w:val="20"/>
        </w:rPr>
        <w:fldChar w:fldCharType="separate"/>
      </w:r>
      <w:r w:rsidR="0091793C" w:rsidRPr="00445B9C">
        <w:rPr>
          <w:rFonts w:cs="Arial"/>
          <w:szCs w:val="20"/>
        </w:rPr>
        <w:t xml:space="preserve">57. </w:t>
      </w:r>
      <w:r w:rsidR="0091793C" w:rsidRPr="00445B9C">
        <w:rPr>
          <w:rFonts w:cs="Arial"/>
          <w:szCs w:val="20"/>
        </w:rPr>
        <w:fldChar w:fldCharType="end"/>
      </w:r>
      <w:r w:rsidRPr="00445B9C">
        <w:rPr>
          <w:rFonts w:cs="Arial"/>
          <w:szCs w:val="20"/>
        </w:rPr>
        <w:t>člen</w:t>
      </w:r>
      <w:r w:rsidR="007D5B63">
        <w:rPr>
          <w:rFonts w:cs="Arial"/>
          <w:szCs w:val="20"/>
        </w:rPr>
        <w:t>a</w:t>
      </w:r>
      <w:r w:rsidRPr="00445B9C">
        <w:rPr>
          <w:rFonts w:cs="Arial"/>
          <w:szCs w:val="20"/>
        </w:rPr>
        <w:t xml:space="preserve"> predloga zakona.</w:t>
      </w:r>
    </w:p>
    <w:p w14:paraId="55B5D96A" w14:textId="77777777" w:rsidR="00FE0F83" w:rsidRPr="00445B9C" w:rsidRDefault="00FE0F83" w:rsidP="00C64B3F">
      <w:pPr>
        <w:spacing w:line="240" w:lineRule="auto"/>
        <w:jc w:val="both"/>
        <w:rPr>
          <w:rFonts w:cs="Arial"/>
          <w:szCs w:val="20"/>
        </w:rPr>
      </w:pPr>
    </w:p>
    <w:p w14:paraId="3C62A5F4" w14:textId="4D708804"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_Ref196734550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27. </w:t>
      </w:r>
      <w:r w:rsidR="00416396" w:rsidRPr="00445B9C">
        <w:rPr>
          <w:rFonts w:cs="Arial"/>
          <w:b/>
          <w:bCs/>
          <w:szCs w:val="20"/>
        </w:rPr>
        <w:fldChar w:fldCharType="end"/>
      </w:r>
      <w:r w:rsidRPr="00445B9C">
        <w:rPr>
          <w:rFonts w:cs="Arial"/>
          <w:b/>
          <w:bCs/>
          <w:szCs w:val="20"/>
        </w:rPr>
        <w:t>členu</w:t>
      </w:r>
    </w:p>
    <w:p w14:paraId="2F855171" w14:textId="39CC6DA9" w:rsidR="00EA43AD" w:rsidRPr="00445B9C" w:rsidRDefault="00EA43AD" w:rsidP="00706ABD">
      <w:pPr>
        <w:spacing w:line="276" w:lineRule="auto"/>
        <w:jc w:val="both"/>
        <w:rPr>
          <w:rFonts w:cs="Arial"/>
          <w:szCs w:val="20"/>
        </w:rPr>
      </w:pPr>
      <w:r w:rsidRPr="00445B9C">
        <w:rPr>
          <w:rFonts w:cs="Arial"/>
          <w:szCs w:val="20"/>
        </w:rPr>
        <w:t xml:space="preserve">Če obstaja sum kršitve predpisov o zlorabah trga, prevzemov javnih družb ali nerazkritja notranjih informacij o izdajatelju ali finančnem instrumentu, lahko agencija zahteva, da vsa mesta trgovanja in sistematični </w:t>
      </w:r>
      <w:proofErr w:type="spellStart"/>
      <w:r w:rsidRPr="00445B9C">
        <w:rPr>
          <w:rFonts w:cs="Arial"/>
          <w:szCs w:val="20"/>
        </w:rPr>
        <w:t>internalizatorji</w:t>
      </w:r>
      <w:proofErr w:type="spellEnd"/>
      <w:r w:rsidRPr="00445B9C">
        <w:rPr>
          <w:rFonts w:cs="Arial"/>
          <w:szCs w:val="20"/>
        </w:rPr>
        <w:t xml:space="preserve"> v Sloveniji začasno ustavijo trgovanje s spornim finančnim instrumentom. Zaradi zagotavljanja </w:t>
      </w:r>
      <w:r w:rsidR="007D5B63">
        <w:rPr>
          <w:rFonts w:cs="Arial"/>
          <w:szCs w:val="20"/>
        </w:rPr>
        <w:t>preglednosti</w:t>
      </w:r>
      <w:r w:rsidR="007D5B63" w:rsidRPr="00445B9C">
        <w:rPr>
          <w:rFonts w:cs="Arial"/>
          <w:szCs w:val="20"/>
        </w:rPr>
        <w:t xml:space="preserve"> </w:t>
      </w:r>
      <w:r w:rsidRPr="00445B9C">
        <w:rPr>
          <w:rFonts w:cs="Arial"/>
          <w:szCs w:val="20"/>
        </w:rPr>
        <w:t xml:space="preserve">in obveščenosti vlagateljev o </w:t>
      </w:r>
      <w:r w:rsidR="007D5B63">
        <w:rPr>
          <w:rFonts w:cs="Arial"/>
          <w:szCs w:val="20"/>
        </w:rPr>
        <w:t>razmerah</w:t>
      </w:r>
      <w:r w:rsidR="007D5B63" w:rsidRPr="00445B9C">
        <w:rPr>
          <w:rFonts w:cs="Arial"/>
          <w:szCs w:val="20"/>
        </w:rPr>
        <w:t xml:space="preserve"> </w:t>
      </w:r>
      <w:r w:rsidRPr="00445B9C">
        <w:rPr>
          <w:rFonts w:cs="Arial"/>
          <w:szCs w:val="20"/>
        </w:rPr>
        <w:t xml:space="preserve">na trgu se predlaga dopolnitev </w:t>
      </w:r>
      <w:r w:rsidR="000C702F" w:rsidRPr="00445B9C">
        <w:rPr>
          <w:rFonts w:cs="Arial"/>
          <w:szCs w:val="20"/>
        </w:rPr>
        <w:t>šestega</w:t>
      </w:r>
      <w:r w:rsidRPr="00445B9C">
        <w:rPr>
          <w:rFonts w:cs="Arial"/>
          <w:szCs w:val="20"/>
        </w:rPr>
        <w:t xml:space="preserve"> odstavka 322. člena ZTFI-1, saj je pomembno, da se ta informacija objavi</w:t>
      </w:r>
      <w:r w:rsidR="007D5B63" w:rsidRPr="007D5B63">
        <w:rPr>
          <w:rFonts w:cs="Arial"/>
          <w:szCs w:val="20"/>
        </w:rPr>
        <w:t xml:space="preserve"> </w:t>
      </w:r>
      <w:r w:rsidR="007D5B63" w:rsidRPr="00445B9C">
        <w:rPr>
          <w:rFonts w:cs="Arial"/>
          <w:szCs w:val="20"/>
        </w:rPr>
        <w:t>javno</w:t>
      </w:r>
      <w:r w:rsidRPr="00445B9C">
        <w:rPr>
          <w:rFonts w:cs="Arial"/>
          <w:szCs w:val="20"/>
        </w:rPr>
        <w:t>.</w:t>
      </w:r>
      <w:r w:rsidR="007D5B63">
        <w:rPr>
          <w:rFonts w:cs="Arial"/>
          <w:szCs w:val="20"/>
        </w:rPr>
        <w:t xml:space="preserve"> </w:t>
      </w:r>
    </w:p>
    <w:p w14:paraId="289220B0" w14:textId="77777777" w:rsidR="00EA43AD" w:rsidRPr="00445B9C" w:rsidRDefault="00EA43AD" w:rsidP="00706ABD">
      <w:pPr>
        <w:spacing w:line="276" w:lineRule="auto"/>
        <w:jc w:val="both"/>
        <w:rPr>
          <w:rFonts w:cs="Arial"/>
          <w:szCs w:val="20"/>
        </w:rPr>
      </w:pPr>
    </w:p>
    <w:p w14:paraId="08FCC21A" w14:textId="258F69A1" w:rsidR="00705F83" w:rsidRPr="00445B9C" w:rsidRDefault="00705F83" w:rsidP="00706ABD">
      <w:pPr>
        <w:spacing w:line="276" w:lineRule="auto"/>
        <w:jc w:val="both"/>
        <w:rPr>
          <w:rFonts w:cs="Arial"/>
          <w:szCs w:val="20"/>
        </w:rPr>
      </w:pPr>
      <w:r w:rsidRPr="00445B9C">
        <w:rPr>
          <w:rFonts w:cs="Arial"/>
          <w:szCs w:val="20"/>
        </w:rPr>
        <w:t>Z novim desetim odstavkom 322. člena ZTFI-1 se predlaga ureditev pošiljanj</w:t>
      </w:r>
      <w:r w:rsidR="007D5B63">
        <w:rPr>
          <w:rFonts w:cs="Arial"/>
          <w:szCs w:val="20"/>
        </w:rPr>
        <w:t>a</w:t>
      </w:r>
      <w:r w:rsidRPr="00445B9C">
        <w:rPr>
          <w:rFonts w:cs="Arial"/>
          <w:szCs w:val="20"/>
        </w:rPr>
        <w:t xml:space="preserve"> informacij ATVP.</w:t>
      </w:r>
    </w:p>
    <w:p w14:paraId="63AF21D4" w14:textId="77777777" w:rsidR="00705F83" w:rsidRPr="00445B9C" w:rsidRDefault="00705F83" w:rsidP="00706ABD">
      <w:pPr>
        <w:spacing w:line="276" w:lineRule="auto"/>
        <w:jc w:val="both"/>
        <w:rPr>
          <w:rFonts w:cs="Arial"/>
          <w:szCs w:val="20"/>
        </w:rPr>
      </w:pPr>
    </w:p>
    <w:p w14:paraId="50B1BFAB" w14:textId="32D5F177" w:rsidR="00705F83" w:rsidRPr="00445B9C" w:rsidRDefault="00705F83" w:rsidP="00705F83">
      <w:pPr>
        <w:spacing w:line="276" w:lineRule="auto"/>
        <w:jc w:val="both"/>
        <w:rPr>
          <w:rFonts w:cs="Arial"/>
          <w:szCs w:val="20"/>
        </w:rPr>
      </w:pPr>
      <w:r w:rsidRPr="00445B9C">
        <w:rPr>
          <w:rFonts w:cs="Arial"/>
          <w:szCs w:val="20"/>
        </w:rPr>
        <w:t xml:space="preserve">Z novim </w:t>
      </w:r>
      <w:r w:rsidR="001253FC" w:rsidRPr="00445B9C">
        <w:rPr>
          <w:rFonts w:cs="Arial"/>
          <w:szCs w:val="20"/>
        </w:rPr>
        <w:t>desetim</w:t>
      </w:r>
      <w:r w:rsidRPr="00445B9C">
        <w:rPr>
          <w:rFonts w:cs="Arial"/>
          <w:szCs w:val="20"/>
        </w:rPr>
        <w:t xml:space="preserve"> odstavkom </w:t>
      </w:r>
      <w:r w:rsidR="001253FC" w:rsidRPr="00445B9C">
        <w:rPr>
          <w:rFonts w:cs="Arial"/>
          <w:szCs w:val="20"/>
        </w:rPr>
        <w:t>322</w:t>
      </w:r>
      <w:r w:rsidRPr="00445B9C">
        <w:rPr>
          <w:rFonts w:cs="Arial"/>
          <w:szCs w:val="20"/>
        </w:rPr>
        <w:t xml:space="preserve">. člena se v ZTFI-1 prenaša 12. člen Direktive 2023/2864/EU. Novi </w:t>
      </w:r>
      <w:r w:rsidR="00674FE7" w:rsidRPr="00445B9C">
        <w:rPr>
          <w:rFonts w:cs="Arial"/>
          <w:szCs w:val="20"/>
        </w:rPr>
        <w:t>deseti</w:t>
      </w:r>
      <w:r w:rsidRPr="00445B9C">
        <w:rPr>
          <w:rFonts w:cs="Arial"/>
          <w:szCs w:val="20"/>
        </w:rPr>
        <w:t xml:space="preserve"> odstavek </w:t>
      </w:r>
      <w:r w:rsidR="00674FE7" w:rsidRPr="00445B9C">
        <w:rPr>
          <w:rFonts w:cs="Arial"/>
          <w:szCs w:val="20"/>
        </w:rPr>
        <w:t>322</w:t>
      </w:r>
      <w:r w:rsidRPr="00445B9C">
        <w:rPr>
          <w:rFonts w:cs="Arial"/>
          <w:szCs w:val="20"/>
        </w:rPr>
        <w:t xml:space="preserve">. člena ZTFI-1 se začne uporabljati 10. januarja 2030, kar je urejeno v drugem odstavku </w:t>
      </w:r>
      <w:r w:rsidR="00416396" w:rsidRPr="00445B9C">
        <w:rPr>
          <w:rFonts w:cs="Arial"/>
          <w:szCs w:val="20"/>
        </w:rPr>
        <w:fldChar w:fldCharType="begin"/>
      </w:r>
      <w:r w:rsidR="00416396" w:rsidRPr="00445B9C">
        <w:rPr>
          <w:rFonts w:cs="Arial"/>
          <w:szCs w:val="20"/>
        </w:rPr>
        <w:instrText xml:space="preserve"> REF _Ref196734116 \r \h </w:instrText>
      </w:r>
      <w:r w:rsidR="00445B9C" w:rsidRPr="00445B9C">
        <w:rPr>
          <w:rFonts w:cs="Arial"/>
          <w:szCs w:val="20"/>
        </w:rPr>
        <w:instrText xml:space="preserve"> \* MERGEFORMAT </w:instrText>
      </w:r>
      <w:r w:rsidR="00416396" w:rsidRPr="00445B9C">
        <w:rPr>
          <w:rFonts w:cs="Arial"/>
          <w:szCs w:val="20"/>
        </w:rPr>
      </w:r>
      <w:r w:rsidR="00416396" w:rsidRPr="00445B9C">
        <w:rPr>
          <w:rFonts w:cs="Arial"/>
          <w:szCs w:val="20"/>
        </w:rPr>
        <w:fldChar w:fldCharType="separate"/>
      </w:r>
      <w:r w:rsidR="001638A0" w:rsidRPr="00445B9C">
        <w:rPr>
          <w:rFonts w:cs="Arial"/>
          <w:szCs w:val="20"/>
        </w:rPr>
        <w:t xml:space="preserve">57. </w:t>
      </w:r>
      <w:r w:rsidR="00416396" w:rsidRPr="00445B9C">
        <w:rPr>
          <w:rFonts w:cs="Arial"/>
          <w:szCs w:val="20"/>
        </w:rPr>
        <w:fldChar w:fldCharType="end"/>
      </w:r>
      <w:r w:rsidRPr="00445B9C">
        <w:rPr>
          <w:rFonts w:cs="Arial"/>
          <w:szCs w:val="20"/>
        </w:rPr>
        <w:t>člen</w:t>
      </w:r>
      <w:r w:rsidR="007D5B63">
        <w:rPr>
          <w:rFonts w:cs="Arial"/>
          <w:szCs w:val="20"/>
        </w:rPr>
        <w:t>a</w:t>
      </w:r>
      <w:r w:rsidRPr="00445B9C">
        <w:rPr>
          <w:rFonts w:cs="Arial"/>
          <w:szCs w:val="20"/>
        </w:rPr>
        <w:t xml:space="preserve"> predloga zakona.</w:t>
      </w:r>
    </w:p>
    <w:p w14:paraId="4E12F46A" w14:textId="77777777" w:rsidR="00FE0F83" w:rsidRPr="00445B9C" w:rsidRDefault="00FE0F83" w:rsidP="00C64B3F">
      <w:pPr>
        <w:spacing w:line="240" w:lineRule="auto"/>
        <w:jc w:val="both"/>
        <w:rPr>
          <w:rFonts w:cs="Arial"/>
          <w:szCs w:val="20"/>
        </w:rPr>
      </w:pPr>
    </w:p>
    <w:p w14:paraId="4837528F" w14:textId="48F4D0BA"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_Ref196734578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28. </w:t>
      </w:r>
      <w:r w:rsidR="00416396" w:rsidRPr="00445B9C">
        <w:rPr>
          <w:rFonts w:cs="Arial"/>
          <w:b/>
          <w:bCs/>
          <w:szCs w:val="20"/>
        </w:rPr>
        <w:fldChar w:fldCharType="end"/>
      </w:r>
      <w:r w:rsidRPr="00445B9C">
        <w:rPr>
          <w:rFonts w:cs="Arial"/>
          <w:b/>
          <w:bCs/>
          <w:szCs w:val="20"/>
        </w:rPr>
        <w:t>členu</w:t>
      </w:r>
    </w:p>
    <w:p w14:paraId="0D671FCE" w14:textId="1E919D48" w:rsidR="00FE0F83" w:rsidRPr="00445B9C" w:rsidRDefault="00D315FD" w:rsidP="00706ABD">
      <w:pPr>
        <w:spacing w:line="276" w:lineRule="auto"/>
        <w:jc w:val="both"/>
        <w:rPr>
          <w:rFonts w:cs="Arial"/>
          <w:szCs w:val="20"/>
        </w:rPr>
      </w:pPr>
      <w:r w:rsidRPr="00445B9C">
        <w:rPr>
          <w:rFonts w:cs="Arial"/>
          <w:szCs w:val="20"/>
        </w:rPr>
        <w:t>Z namenom celovite ureditve toka informacij se predlaga dopolnitev 325. člena ZTFI-1 z novim šestim odstavkom, ki nalaga upravljavcem MTF ali OTF</w:t>
      </w:r>
      <w:r w:rsidR="007D5B63">
        <w:rPr>
          <w:rFonts w:cs="Arial"/>
          <w:szCs w:val="20"/>
        </w:rPr>
        <w:t>,</w:t>
      </w:r>
      <w:r w:rsidRPr="00445B9C">
        <w:rPr>
          <w:rFonts w:cs="Arial"/>
          <w:szCs w:val="20"/>
        </w:rPr>
        <w:t xml:space="preserve"> da vzpostavijo ustrezne ukrepe, ki zagotavljajo izpolnjevanje kakovosti podatkov</w:t>
      </w:r>
      <w:r w:rsidR="007D5B63">
        <w:rPr>
          <w:rFonts w:cs="Arial"/>
          <w:szCs w:val="20"/>
        </w:rPr>
        <w:t>,</w:t>
      </w:r>
      <w:r w:rsidRPr="00445B9C">
        <w:rPr>
          <w:rFonts w:cs="Arial"/>
          <w:szCs w:val="20"/>
        </w:rPr>
        <w:t xml:space="preserve"> kot jih določa 22.b člen Uredbe 600/2014/EU. </w:t>
      </w:r>
    </w:p>
    <w:p w14:paraId="483BCBDF" w14:textId="77777777" w:rsidR="00FE0F83" w:rsidRPr="00445B9C" w:rsidRDefault="00FE0F83" w:rsidP="00706ABD">
      <w:pPr>
        <w:spacing w:line="276" w:lineRule="auto"/>
        <w:jc w:val="both"/>
        <w:rPr>
          <w:rFonts w:cs="Arial"/>
          <w:szCs w:val="20"/>
        </w:rPr>
      </w:pPr>
    </w:p>
    <w:p w14:paraId="39090008" w14:textId="77777777" w:rsidR="00FE0F83" w:rsidRPr="00445B9C" w:rsidRDefault="00D315FD" w:rsidP="00D315FD">
      <w:pPr>
        <w:spacing w:line="276" w:lineRule="auto"/>
        <w:jc w:val="both"/>
        <w:rPr>
          <w:rFonts w:cs="Arial"/>
          <w:szCs w:val="20"/>
        </w:rPr>
      </w:pPr>
      <w:r w:rsidRPr="00445B9C">
        <w:rPr>
          <w:rFonts w:cs="Arial"/>
          <w:szCs w:val="20"/>
        </w:rPr>
        <w:t>Z novim šestim odstavkom 325. člena se v ZTFI-1 prenaša peti odstavek 1. člena Direktive 2024/790/EU.</w:t>
      </w:r>
    </w:p>
    <w:p w14:paraId="2952FA77" w14:textId="77777777" w:rsidR="00FE0F83" w:rsidRPr="00445B9C" w:rsidRDefault="00FE0F83" w:rsidP="00C64B3F">
      <w:pPr>
        <w:spacing w:line="240" w:lineRule="auto"/>
        <w:jc w:val="both"/>
        <w:rPr>
          <w:rFonts w:cs="Arial"/>
          <w:szCs w:val="20"/>
        </w:rPr>
      </w:pPr>
    </w:p>
    <w:p w14:paraId="6F5F6C9D" w14:textId="72F84A9B"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_Ref196734589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29. </w:t>
      </w:r>
      <w:r w:rsidR="00416396" w:rsidRPr="00445B9C">
        <w:rPr>
          <w:rFonts w:cs="Arial"/>
          <w:b/>
          <w:bCs/>
          <w:szCs w:val="20"/>
        </w:rPr>
        <w:fldChar w:fldCharType="end"/>
      </w:r>
      <w:r w:rsidRPr="00445B9C">
        <w:rPr>
          <w:rFonts w:cs="Arial"/>
          <w:b/>
          <w:bCs/>
          <w:szCs w:val="20"/>
        </w:rPr>
        <w:t>členu</w:t>
      </w:r>
    </w:p>
    <w:p w14:paraId="3AD6A484" w14:textId="77777777" w:rsidR="007023EE" w:rsidRPr="00445B9C" w:rsidRDefault="007023EE" w:rsidP="00706ABD">
      <w:pPr>
        <w:spacing w:line="276" w:lineRule="auto"/>
        <w:jc w:val="both"/>
        <w:rPr>
          <w:rFonts w:cs="Arial"/>
          <w:szCs w:val="20"/>
        </w:rPr>
      </w:pPr>
      <w:r w:rsidRPr="00445B9C">
        <w:rPr>
          <w:rFonts w:cs="Arial"/>
          <w:szCs w:val="20"/>
        </w:rPr>
        <w:t>Z novim osmim odstavkom 326. člena ZTFI-1 se predlaga ureditev pošiljanje informacij ATVP.</w:t>
      </w:r>
    </w:p>
    <w:p w14:paraId="577241EE" w14:textId="77777777" w:rsidR="007023EE" w:rsidRPr="00445B9C" w:rsidRDefault="007023EE" w:rsidP="00706ABD">
      <w:pPr>
        <w:spacing w:line="276" w:lineRule="auto"/>
        <w:jc w:val="both"/>
        <w:rPr>
          <w:rFonts w:cs="Arial"/>
          <w:szCs w:val="20"/>
        </w:rPr>
      </w:pPr>
    </w:p>
    <w:p w14:paraId="55582977" w14:textId="3A5310BF" w:rsidR="00FE0F83" w:rsidRPr="00445B9C" w:rsidRDefault="007023EE" w:rsidP="003F38D9">
      <w:pPr>
        <w:spacing w:line="276" w:lineRule="auto"/>
        <w:jc w:val="both"/>
        <w:rPr>
          <w:rFonts w:cs="Arial"/>
          <w:szCs w:val="20"/>
        </w:rPr>
      </w:pPr>
      <w:r w:rsidRPr="00445B9C">
        <w:rPr>
          <w:rFonts w:cs="Arial"/>
          <w:szCs w:val="20"/>
        </w:rPr>
        <w:t xml:space="preserve">Z novim osmim odstavkom 326. člena se v ZTFI-1 prenaša 12. člen Direktive 2023/2864/EU. Novi osmi odstavek 326. člena ZTFI-1 se začne uporabljati 10. januarja 2030, kar je urejeno v drugem odstavku </w:t>
      </w:r>
      <w:r w:rsidR="00416396" w:rsidRPr="00445B9C">
        <w:rPr>
          <w:rFonts w:cs="Arial"/>
          <w:szCs w:val="20"/>
        </w:rPr>
        <w:fldChar w:fldCharType="begin"/>
      </w:r>
      <w:r w:rsidR="00416396" w:rsidRPr="00445B9C">
        <w:rPr>
          <w:rFonts w:cs="Arial"/>
          <w:szCs w:val="20"/>
        </w:rPr>
        <w:instrText xml:space="preserve"> REF _Ref196734116 \r \h </w:instrText>
      </w:r>
      <w:r w:rsidR="00445B9C" w:rsidRPr="00445B9C">
        <w:rPr>
          <w:rFonts w:cs="Arial"/>
          <w:szCs w:val="20"/>
        </w:rPr>
        <w:instrText xml:space="preserve"> \* MERGEFORMAT </w:instrText>
      </w:r>
      <w:r w:rsidR="00416396" w:rsidRPr="00445B9C">
        <w:rPr>
          <w:rFonts w:cs="Arial"/>
          <w:szCs w:val="20"/>
        </w:rPr>
      </w:r>
      <w:r w:rsidR="00416396" w:rsidRPr="00445B9C">
        <w:rPr>
          <w:rFonts w:cs="Arial"/>
          <w:szCs w:val="20"/>
        </w:rPr>
        <w:fldChar w:fldCharType="separate"/>
      </w:r>
      <w:r w:rsidR="001638A0" w:rsidRPr="00445B9C">
        <w:rPr>
          <w:rFonts w:cs="Arial"/>
          <w:szCs w:val="20"/>
        </w:rPr>
        <w:t xml:space="preserve">57. </w:t>
      </w:r>
      <w:r w:rsidR="00416396" w:rsidRPr="00445B9C">
        <w:rPr>
          <w:rFonts w:cs="Arial"/>
          <w:szCs w:val="20"/>
        </w:rPr>
        <w:fldChar w:fldCharType="end"/>
      </w:r>
      <w:r w:rsidRPr="00445B9C">
        <w:rPr>
          <w:rFonts w:cs="Arial"/>
          <w:szCs w:val="20"/>
        </w:rPr>
        <w:t>členu predloga zakona.</w:t>
      </w:r>
    </w:p>
    <w:p w14:paraId="323BAA8D" w14:textId="77777777" w:rsidR="00FE0F83" w:rsidRPr="00445B9C" w:rsidRDefault="00FE0F83" w:rsidP="00C64B3F">
      <w:pPr>
        <w:spacing w:line="240" w:lineRule="auto"/>
        <w:jc w:val="both"/>
        <w:rPr>
          <w:rFonts w:cs="Arial"/>
          <w:szCs w:val="20"/>
        </w:rPr>
      </w:pPr>
    </w:p>
    <w:p w14:paraId="360AA16A" w14:textId="1FB653B8" w:rsidR="00FE0F83" w:rsidRPr="00445B9C" w:rsidRDefault="00FE0F83" w:rsidP="00FE0F83">
      <w:pPr>
        <w:spacing w:line="276" w:lineRule="auto"/>
        <w:jc w:val="both"/>
        <w:rPr>
          <w:rFonts w:cs="Arial"/>
          <w:b/>
          <w:bCs/>
          <w:szCs w:val="20"/>
        </w:rPr>
      </w:pPr>
      <w:r w:rsidRPr="00445B9C">
        <w:rPr>
          <w:rFonts w:cs="Arial"/>
          <w:b/>
          <w:bCs/>
          <w:szCs w:val="20"/>
        </w:rPr>
        <w:t xml:space="preserve">K </w:t>
      </w:r>
      <w:r w:rsidR="00416396" w:rsidRPr="00445B9C">
        <w:rPr>
          <w:rFonts w:cs="Arial"/>
          <w:b/>
          <w:bCs/>
          <w:szCs w:val="20"/>
        </w:rPr>
        <w:fldChar w:fldCharType="begin"/>
      </w:r>
      <w:r w:rsidR="00416396" w:rsidRPr="00445B9C">
        <w:rPr>
          <w:rFonts w:cs="Arial"/>
          <w:b/>
          <w:bCs/>
          <w:szCs w:val="20"/>
        </w:rPr>
        <w:instrText xml:space="preserve"> REF _Ref196734612 \r \h </w:instrText>
      </w:r>
      <w:r w:rsidR="00445B9C" w:rsidRPr="00445B9C">
        <w:rPr>
          <w:rFonts w:cs="Arial"/>
          <w:b/>
          <w:bCs/>
          <w:szCs w:val="20"/>
        </w:rPr>
        <w:instrText xml:space="preserve"> \* MERGEFORMAT </w:instrText>
      </w:r>
      <w:r w:rsidR="00416396" w:rsidRPr="00445B9C">
        <w:rPr>
          <w:rFonts w:cs="Arial"/>
          <w:b/>
          <w:bCs/>
          <w:szCs w:val="20"/>
        </w:rPr>
      </w:r>
      <w:r w:rsidR="00416396" w:rsidRPr="00445B9C">
        <w:rPr>
          <w:rFonts w:cs="Arial"/>
          <w:b/>
          <w:bCs/>
          <w:szCs w:val="20"/>
        </w:rPr>
        <w:fldChar w:fldCharType="separate"/>
      </w:r>
      <w:r w:rsidR="001638A0" w:rsidRPr="00445B9C">
        <w:rPr>
          <w:rFonts w:cs="Arial"/>
          <w:b/>
          <w:bCs/>
          <w:szCs w:val="20"/>
        </w:rPr>
        <w:t xml:space="preserve">30. </w:t>
      </w:r>
      <w:r w:rsidR="00416396" w:rsidRPr="00445B9C">
        <w:rPr>
          <w:rFonts w:cs="Arial"/>
          <w:b/>
          <w:bCs/>
          <w:szCs w:val="20"/>
        </w:rPr>
        <w:fldChar w:fldCharType="end"/>
      </w:r>
      <w:r w:rsidRPr="00445B9C">
        <w:rPr>
          <w:rFonts w:cs="Arial"/>
          <w:b/>
          <w:bCs/>
          <w:szCs w:val="20"/>
        </w:rPr>
        <w:t>členu</w:t>
      </w:r>
    </w:p>
    <w:p w14:paraId="50DF3034" w14:textId="5612810A" w:rsidR="008A4073" w:rsidRPr="00445B9C" w:rsidRDefault="0034147D" w:rsidP="00603A31">
      <w:pPr>
        <w:spacing w:line="276" w:lineRule="auto"/>
        <w:jc w:val="both"/>
        <w:rPr>
          <w:rFonts w:cs="Arial"/>
          <w:szCs w:val="20"/>
        </w:rPr>
      </w:pPr>
      <w:r w:rsidRPr="00445B9C">
        <w:rPr>
          <w:rFonts w:cs="Arial"/>
          <w:szCs w:val="20"/>
        </w:rPr>
        <w:t xml:space="preserve">Po energetski krizi leta 2022 in izjemni nestanovitnosti se je pokazala potreba po dopolnitvi splošnega okvira za trge izvedenih finančnih instrumentov. </w:t>
      </w:r>
      <w:r w:rsidR="008A4073" w:rsidRPr="00445B9C">
        <w:rPr>
          <w:rFonts w:cs="Arial"/>
          <w:szCs w:val="20"/>
        </w:rPr>
        <w:t xml:space="preserve">Nadzor nad upravljanjem pozicij za izvedene finančne instrumente na blago in emisijske kupone je ključen za zagotavljanje stabilnosti in </w:t>
      </w:r>
      <w:r w:rsidR="007D5B63">
        <w:rPr>
          <w:rFonts w:cs="Arial"/>
          <w:szCs w:val="20"/>
        </w:rPr>
        <w:t>skladnosti</w:t>
      </w:r>
      <w:r w:rsidR="007D5B63" w:rsidRPr="00445B9C">
        <w:rPr>
          <w:rFonts w:cs="Arial"/>
          <w:szCs w:val="20"/>
        </w:rPr>
        <w:t xml:space="preserve"> </w:t>
      </w:r>
      <w:r w:rsidR="008A4073" w:rsidRPr="00445B9C">
        <w:rPr>
          <w:rFonts w:cs="Arial"/>
          <w:szCs w:val="20"/>
        </w:rPr>
        <w:t>finančnih trgov. Brez ustreznega nadzora bi lahko posamezni udeleženci trga prevzeli prevelike ali prevladujoče pozicije, kar bi lahko povzročilo neravnovesje na trgu, umetno zviševanje ali zniževanje cen ter povečano volatilnost. To bi lahko negativno vplivalo na podjetja, ki dejansko uporabljajo te instrumente za zavarovanje pred tveganji, saj bi se soočala z nepredvidljivimi in nestabilnimi cenami osnovnih dobrin ali emisijskih kuponov. Poleg tega bi pomanjkanje nadzora povečalo tveganje za manipul</w:t>
      </w:r>
      <w:r w:rsidR="00945B39">
        <w:rPr>
          <w:rFonts w:cs="Arial"/>
          <w:szCs w:val="20"/>
        </w:rPr>
        <w:t>iranje</w:t>
      </w:r>
      <w:r w:rsidR="008A4073" w:rsidRPr="00445B9C">
        <w:rPr>
          <w:rFonts w:cs="Arial"/>
          <w:szCs w:val="20"/>
        </w:rPr>
        <w:t xml:space="preserve"> trga, saj bi posamezni udeleženci lahko </w:t>
      </w:r>
      <w:r w:rsidR="008A4073" w:rsidRPr="00445B9C">
        <w:rPr>
          <w:rFonts w:cs="Arial"/>
          <w:szCs w:val="20"/>
        </w:rPr>
        <w:lastRenderedPageBreak/>
        <w:t>vplivali na gibanje cen v svojo korist, kar bi škodilo manjšim vlagateljem in zmanjšalo zaupanje v finančni sistem.</w:t>
      </w:r>
    </w:p>
    <w:p w14:paraId="1D492CC9" w14:textId="77777777" w:rsidR="0034147D" w:rsidRPr="00445B9C" w:rsidRDefault="0034147D" w:rsidP="00603A31">
      <w:pPr>
        <w:spacing w:line="276" w:lineRule="auto"/>
        <w:jc w:val="both"/>
        <w:rPr>
          <w:rFonts w:cs="Arial"/>
          <w:szCs w:val="20"/>
        </w:rPr>
      </w:pPr>
    </w:p>
    <w:p w14:paraId="1B47D218" w14:textId="099F1BC6" w:rsidR="00FE0F83" w:rsidRPr="0003210C" w:rsidRDefault="00984EC8" w:rsidP="0023520D">
      <w:r w:rsidRPr="00445B9C">
        <w:rPr>
          <w:rFonts w:cs="Arial"/>
          <w:szCs w:val="20"/>
        </w:rPr>
        <w:t xml:space="preserve">Direktiva 2024/790/EU je spremenila 57. člen Direktive 2014/65/EU v naslovu, ki je bil po vsebini prenesen v 331. člen ZTFI-1. Zato se predlaga dopolnitev naslova člena in se doda besedilo </w:t>
      </w:r>
      <w:r w:rsidR="00945B39" w:rsidRPr="00445B9C">
        <w:rPr>
          <w:rFonts w:cs="Arial"/>
          <w:iCs/>
          <w:szCs w:val="20"/>
        </w:rPr>
        <w:t>»</w:t>
      </w:r>
      <w:r w:rsidRPr="00445B9C">
        <w:rPr>
          <w:rFonts w:cs="Arial"/>
          <w:szCs w:val="20"/>
        </w:rPr>
        <w:t>ter izvedene finančne instrumente na pravice do emisije</w:t>
      </w:r>
      <w:r w:rsidR="00945B39" w:rsidRPr="00445B9C">
        <w:rPr>
          <w:rFonts w:cs="Arial"/>
          <w:iCs/>
          <w:szCs w:val="20"/>
        </w:rPr>
        <w:t>«</w:t>
      </w:r>
      <w:r w:rsidRPr="00445B9C">
        <w:rPr>
          <w:rFonts w:cs="Arial"/>
          <w:szCs w:val="20"/>
        </w:rPr>
        <w:t>.</w:t>
      </w:r>
    </w:p>
    <w:p w14:paraId="2D53A99A" w14:textId="77777777" w:rsidR="0087753F" w:rsidRPr="00445B9C" w:rsidRDefault="0087753F" w:rsidP="00603A31">
      <w:pPr>
        <w:spacing w:line="276" w:lineRule="auto"/>
        <w:jc w:val="both"/>
        <w:rPr>
          <w:rFonts w:cs="Arial"/>
          <w:szCs w:val="20"/>
        </w:rPr>
      </w:pPr>
    </w:p>
    <w:p w14:paraId="7D9E4C56" w14:textId="2165CD33" w:rsidR="0087753F" w:rsidRPr="00445B9C" w:rsidRDefault="008A4073" w:rsidP="00603A31">
      <w:pPr>
        <w:spacing w:line="276" w:lineRule="auto"/>
        <w:jc w:val="both"/>
        <w:rPr>
          <w:rFonts w:cs="Arial"/>
          <w:szCs w:val="20"/>
        </w:rPr>
      </w:pPr>
      <w:r w:rsidRPr="00445B9C">
        <w:rPr>
          <w:rFonts w:cs="Arial"/>
          <w:szCs w:val="20"/>
        </w:rPr>
        <w:t>V z</w:t>
      </w:r>
      <w:r w:rsidR="0087753F" w:rsidRPr="00445B9C">
        <w:rPr>
          <w:rFonts w:cs="Arial"/>
          <w:szCs w:val="20"/>
        </w:rPr>
        <w:t>ahteve, ki že veljajo za nadziranje upravljanja pozicij za izvedene finančne instrumente na blago</w:t>
      </w:r>
      <w:r w:rsidR="00945B39">
        <w:rPr>
          <w:rFonts w:cs="Arial"/>
          <w:szCs w:val="20"/>
        </w:rPr>
        <w:t>,</w:t>
      </w:r>
      <w:r w:rsidR="0087753F" w:rsidRPr="00445B9C">
        <w:rPr>
          <w:rFonts w:cs="Arial"/>
          <w:szCs w:val="20"/>
        </w:rPr>
        <w:t xml:space="preserve"> se vključujejo tudi emisijski kuponi, zato se predlaga sprememba prvega odstavka 331. člena ZTFI-1.</w:t>
      </w:r>
      <w:r w:rsidRPr="00445B9C">
        <w:rPr>
          <w:rFonts w:cs="Arial"/>
          <w:szCs w:val="20"/>
        </w:rPr>
        <w:t xml:space="preserve"> Z ustreznim nadzorom se zagotavlja preglednost trga, saj </w:t>
      </w:r>
      <w:r w:rsidR="000A241C" w:rsidRPr="00445B9C">
        <w:rPr>
          <w:rFonts w:cs="Arial"/>
          <w:szCs w:val="20"/>
        </w:rPr>
        <w:t>ATVP od upravljavca mesta trgovanja s sedežem v Sloveniji pridobi potrebne</w:t>
      </w:r>
      <w:r w:rsidRPr="00445B9C">
        <w:rPr>
          <w:rFonts w:cs="Arial"/>
          <w:szCs w:val="20"/>
        </w:rPr>
        <w:t xml:space="preserve"> informacije, kar omogoča pravočasno ukrepanje v primeru suma zlorabe. Prav tako nadzor omogoča, da se ob zaznanih tveganjih pravočasno sprejmejo ukrepi, kot so zahteva po zmanjšanju pozicije ali </w:t>
      </w:r>
      <w:r w:rsidR="00945B39">
        <w:rPr>
          <w:rFonts w:cs="Arial"/>
          <w:szCs w:val="20"/>
        </w:rPr>
        <w:t>vnovični</w:t>
      </w:r>
      <w:r w:rsidR="00945B39" w:rsidRPr="00445B9C">
        <w:rPr>
          <w:rFonts w:cs="Arial"/>
          <w:szCs w:val="20"/>
        </w:rPr>
        <w:t xml:space="preserve"> </w:t>
      </w:r>
      <w:r w:rsidRPr="00445B9C">
        <w:rPr>
          <w:rFonts w:cs="Arial"/>
          <w:szCs w:val="20"/>
        </w:rPr>
        <w:t xml:space="preserve">vzpostavitvi likvidnosti, s čimer se preprečijo motnje v trgovanju. To pripomore k stabilnemu delovanju trga in zaščiti vlagateljev, saj se zmanjšuje tveganje </w:t>
      </w:r>
      <w:r w:rsidR="00945B39">
        <w:rPr>
          <w:rFonts w:cs="Arial"/>
          <w:szCs w:val="20"/>
        </w:rPr>
        <w:t xml:space="preserve">za nastanek </w:t>
      </w:r>
      <w:r w:rsidRPr="00445B9C">
        <w:rPr>
          <w:rFonts w:cs="Arial"/>
          <w:szCs w:val="20"/>
        </w:rPr>
        <w:t>večjih tržnih pretresov.</w:t>
      </w:r>
    </w:p>
    <w:p w14:paraId="3CE385D0" w14:textId="77777777" w:rsidR="0034147D" w:rsidRPr="00445B9C" w:rsidRDefault="0034147D" w:rsidP="00603A31">
      <w:pPr>
        <w:spacing w:line="276" w:lineRule="auto"/>
        <w:jc w:val="both"/>
        <w:rPr>
          <w:rFonts w:cs="Arial"/>
          <w:szCs w:val="20"/>
        </w:rPr>
      </w:pPr>
    </w:p>
    <w:p w14:paraId="7F915F17" w14:textId="77777777" w:rsidR="0087753F" w:rsidRPr="00445B9C" w:rsidRDefault="0087753F" w:rsidP="00603A31">
      <w:pPr>
        <w:spacing w:line="276" w:lineRule="auto"/>
        <w:jc w:val="both"/>
        <w:rPr>
          <w:rFonts w:cs="Arial"/>
          <w:szCs w:val="20"/>
        </w:rPr>
      </w:pPr>
      <w:r w:rsidRPr="00445B9C">
        <w:rPr>
          <w:rFonts w:cs="Arial"/>
          <w:szCs w:val="20"/>
        </w:rPr>
        <w:t>S spremembami naslova in prvega odstavka 331. člena se v ZTFI-1 prenaša deseti odstavek 1. člena Direktive 2024/</w:t>
      </w:r>
      <w:r w:rsidR="00155DF2" w:rsidRPr="00445B9C">
        <w:rPr>
          <w:rFonts w:cs="Arial"/>
          <w:szCs w:val="20"/>
        </w:rPr>
        <w:t>7</w:t>
      </w:r>
      <w:r w:rsidRPr="00445B9C">
        <w:rPr>
          <w:rFonts w:cs="Arial"/>
          <w:szCs w:val="20"/>
        </w:rPr>
        <w:t>90/EU.</w:t>
      </w:r>
    </w:p>
    <w:p w14:paraId="06F9F018" w14:textId="77777777" w:rsidR="00FE0F83" w:rsidRPr="00445B9C" w:rsidRDefault="00FE0F83" w:rsidP="00FE0F83">
      <w:pPr>
        <w:spacing w:line="276" w:lineRule="auto"/>
        <w:jc w:val="both"/>
        <w:rPr>
          <w:rFonts w:cs="Arial"/>
          <w:szCs w:val="20"/>
        </w:rPr>
      </w:pPr>
    </w:p>
    <w:p w14:paraId="3D7C6A36" w14:textId="30B675A3" w:rsidR="00FE0F83" w:rsidRPr="00445B9C" w:rsidRDefault="00FE0F83" w:rsidP="00FE0F83">
      <w:pPr>
        <w:spacing w:line="276" w:lineRule="auto"/>
        <w:jc w:val="both"/>
        <w:rPr>
          <w:rFonts w:cs="Arial"/>
          <w:b/>
          <w:bCs/>
          <w:szCs w:val="20"/>
        </w:rPr>
      </w:pPr>
      <w:r w:rsidRPr="00445B9C">
        <w:rPr>
          <w:rFonts w:cs="Arial"/>
          <w:b/>
          <w:bCs/>
          <w:szCs w:val="20"/>
        </w:rPr>
        <w:t xml:space="preserve">K </w:t>
      </w:r>
      <w:r w:rsidR="00122C02" w:rsidRPr="00445B9C">
        <w:rPr>
          <w:rFonts w:cs="Arial"/>
          <w:b/>
          <w:bCs/>
          <w:szCs w:val="20"/>
        </w:rPr>
        <w:fldChar w:fldCharType="begin"/>
      </w:r>
      <w:r w:rsidR="00122C02" w:rsidRPr="00445B9C">
        <w:rPr>
          <w:rFonts w:cs="Arial"/>
          <w:b/>
          <w:bCs/>
          <w:szCs w:val="20"/>
        </w:rPr>
        <w:instrText xml:space="preserve"> REF _Ref196734639 \r \h </w:instrText>
      </w:r>
      <w:r w:rsidR="00445B9C" w:rsidRPr="00445B9C">
        <w:rPr>
          <w:rFonts w:cs="Arial"/>
          <w:b/>
          <w:bCs/>
          <w:szCs w:val="20"/>
        </w:rPr>
        <w:instrText xml:space="preserve"> \* MERGEFORMAT </w:instrText>
      </w:r>
      <w:r w:rsidR="00122C02" w:rsidRPr="00445B9C">
        <w:rPr>
          <w:rFonts w:cs="Arial"/>
          <w:b/>
          <w:bCs/>
          <w:szCs w:val="20"/>
        </w:rPr>
      </w:r>
      <w:r w:rsidR="00122C02" w:rsidRPr="00445B9C">
        <w:rPr>
          <w:rFonts w:cs="Arial"/>
          <w:b/>
          <w:bCs/>
          <w:szCs w:val="20"/>
        </w:rPr>
        <w:fldChar w:fldCharType="separate"/>
      </w:r>
      <w:r w:rsidR="001638A0" w:rsidRPr="00445B9C">
        <w:rPr>
          <w:rFonts w:cs="Arial"/>
          <w:b/>
          <w:bCs/>
          <w:szCs w:val="20"/>
        </w:rPr>
        <w:t xml:space="preserve">31. </w:t>
      </w:r>
      <w:r w:rsidR="00122C02" w:rsidRPr="00445B9C">
        <w:rPr>
          <w:rFonts w:cs="Arial"/>
          <w:b/>
          <w:bCs/>
          <w:szCs w:val="20"/>
        </w:rPr>
        <w:fldChar w:fldCharType="end"/>
      </w:r>
      <w:r w:rsidRPr="00445B9C">
        <w:rPr>
          <w:rFonts w:cs="Arial"/>
          <w:b/>
          <w:bCs/>
          <w:szCs w:val="20"/>
        </w:rPr>
        <w:t>členu</w:t>
      </w:r>
    </w:p>
    <w:p w14:paraId="69037ADF" w14:textId="2E83B0B9" w:rsidR="00B32776" w:rsidRPr="00445B9C" w:rsidRDefault="00EE3DCC" w:rsidP="00EE425F">
      <w:pPr>
        <w:spacing w:line="276" w:lineRule="auto"/>
        <w:jc w:val="both"/>
        <w:rPr>
          <w:rFonts w:cs="Arial"/>
          <w:szCs w:val="20"/>
        </w:rPr>
      </w:pPr>
      <w:r w:rsidRPr="00445B9C">
        <w:rPr>
          <w:rFonts w:cs="Arial"/>
          <w:szCs w:val="20"/>
        </w:rPr>
        <w:t>Zaradi razlogov</w:t>
      </w:r>
      <w:r w:rsidR="00945B39">
        <w:rPr>
          <w:rFonts w:cs="Arial"/>
          <w:szCs w:val="20"/>
        </w:rPr>
        <w:t>,</w:t>
      </w:r>
      <w:r w:rsidRPr="00445B9C">
        <w:rPr>
          <w:rFonts w:cs="Arial"/>
          <w:szCs w:val="20"/>
        </w:rPr>
        <w:t xml:space="preserve"> navedenih v obrazložitvi k </w:t>
      </w:r>
      <w:r w:rsidRPr="00445B9C">
        <w:rPr>
          <w:rFonts w:cs="Arial"/>
          <w:szCs w:val="20"/>
        </w:rPr>
        <w:fldChar w:fldCharType="begin"/>
      </w:r>
      <w:r w:rsidR="00B32776" w:rsidRPr="00445B9C">
        <w:rPr>
          <w:rFonts w:cs="Arial"/>
          <w:szCs w:val="20"/>
        </w:rPr>
        <w:instrText xml:space="preserve"> REF _Ref192067378 \r \h  \* MERGEFORMAT </w:instrText>
      </w:r>
      <w:r w:rsidRPr="00445B9C">
        <w:rPr>
          <w:rFonts w:cs="Arial"/>
          <w:szCs w:val="20"/>
        </w:rPr>
      </w:r>
      <w:r w:rsidRPr="00445B9C">
        <w:rPr>
          <w:rFonts w:cs="Arial"/>
          <w:szCs w:val="20"/>
        </w:rPr>
        <w:fldChar w:fldCharType="separate"/>
      </w:r>
      <w:r w:rsidR="0091793C" w:rsidRPr="00445B9C">
        <w:rPr>
          <w:rFonts w:cs="Arial"/>
          <w:b/>
          <w:bCs/>
          <w:szCs w:val="20"/>
        </w:rPr>
        <w:fldChar w:fldCharType="begin"/>
      </w:r>
      <w:r w:rsidR="0091793C" w:rsidRPr="00445B9C">
        <w:rPr>
          <w:rFonts w:cs="Arial"/>
          <w:szCs w:val="20"/>
        </w:rPr>
        <w:instrText xml:space="preserve"> REF _Ref196734612 \r \h </w:instrText>
      </w:r>
      <w:r w:rsidR="00445B9C" w:rsidRPr="00445B9C">
        <w:rPr>
          <w:rFonts w:cs="Arial"/>
          <w:b/>
          <w:bCs/>
          <w:szCs w:val="20"/>
        </w:rPr>
        <w:instrText xml:space="preserve"> \* MERGEFORMAT </w:instrText>
      </w:r>
      <w:r w:rsidR="0091793C" w:rsidRPr="00445B9C">
        <w:rPr>
          <w:rFonts w:cs="Arial"/>
          <w:b/>
          <w:bCs/>
          <w:szCs w:val="20"/>
        </w:rPr>
      </w:r>
      <w:r w:rsidR="0091793C" w:rsidRPr="00445B9C">
        <w:rPr>
          <w:rFonts w:cs="Arial"/>
          <w:b/>
          <w:bCs/>
          <w:szCs w:val="20"/>
        </w:rPr>
        <w:fldChar w:fldCharType="separate"/>
      </w:r>
      <w:r w:rsidR="0091793C" w:rsidRPr="00445B9C">
        <w:rPr>
          <w:rFonts w:cs="Arial"/>
          <w:szCs w:val="20"/>
        </w:rPr>
        <w:t xml:space="preserve">30. </w:t>
      </w:r>
      <w:r w:rsidR="0091793C" w:rsidRPr="00445B9C">
        <w:rPr>
          <w:rFonts w:cs="Arial"/>
          <w:b/>
          <w:bCs/>
          <w:szCs w:val="20"/>
        </w:rPr>
        <w:fldChar w:fldCharType="end"/>
      </w:r>
      <w:r w:rsidRPr="00445B9C">
        <w:rPr>
          <w:rFonts w:cs="Arial"/>
          <w:szCs w:val="20"/>
        </w:rPr>
        <w:fldChar w:fldCharType="end"/>
      </w:r>
      <w:r w:rsidRPr="00445B9C">
        <w:rPr>
          <w:rFonts w:cs="Arial"/>
          <w:szCs w:val="20"/>
        </w:rPr>
        <w:t>členu predloga zakona</w:t>
      </w:r>
      <w:r w:rsidR="00945B39">
        <w:rPr>
          <w:rFonts w:cs="Arial"/>
          <w:szCs w:val="20"/>
        </w:rPr>
        <w:t>,</w:t>
      </w:r>
      <w:r w:rsidRPr="00445B9C">
        <w:rPr>
          <w:rFonts w:cs="Arial"/>
          <w:szCs w:val="20"/>
        </w:rPr>
        <w:t xml:space="preserve"> se predlaga sprememba naslova 332. člena ZTFI-1</w:t>
      </w:r>
      <w:r w:rsidR="00887D09" w:rsidRPr="00445B9C">
        <w:rPr>
          <w:rFonts w:cs="Arial"/>
          <w:szCs w:val="20"/>
        </w:rPr>
        <w:t xml:space="preserve">, </w:t>
      </w:r>
      <w:r w:rsidR="00945B39">
        <w:rPr>
          <w:rFonts w:cs="Arial"/>
          <w:szCs w:val="20"/>
        </w:rPr>
        <w:t>s tem</w:t>
      </w:r>
      <w:r w:rsidR="00945B39" w:rsidRPr="00445B9C">
        <w:rPr>
          <w:rFonts w:cs="Arial"/>
          <w:szCs w:val="20"/>
        </w:rPr>
        <w:t xml:space="preserve"> </w:t>
      </w:r>
      <w:r w:rsidR="00887D09" w:rsidRPr="00445B9C">
        <w:rPr>
          <w:rFonts w:cs="Arial"/>
          <w:szCs w:val="20"/>
        </w:rPr>
        <w:t>pa se spremeni</w:t>
      </w:r>
      <w:r w:rsidR="00945B39">
        <w:rPr>
          <w:rFonts w:cs="Arial"/>
          <w:szCs w:val="20"/>
        </w:rPr>
        <w:t>jo</w:t>
      </w:r>
      <w:r w:rsidR="00887D09" w:rsidRPr="00445B9C">
        <w:rPr>
          <w:rFonts w:cs="Arial"/>
          <w:szCs w:val="20"/>
        </w:rPr>
        <w:t xml:space="preserve"> tudi napovedni stavek prvega odstavka ter tretji in peti odstavek tega člena.</w:t>
      </w:r>
      <w:r w:rsidR="00501570" w:rsidRPr="00445B9C">
        <w:rPr>
          <w:rFonts w:cs="Arial"/>
          <w:szCs w:val="20"/>
        </w:rPr>
        <w:t xml:space="preserve"> </w:t>
      </w:r>
    </w:p>
    <w:p w14:paraId="458DB45F" w14:textId="77777777" w:rsidR="003B45BA" w:rsidRPr="00445B9C" w:rsidRDefault="003B45BA" w:rsidP="00EE425F">
      <w:pPr>
        <w:spacing w:line="276" w:lineRule="auto"/>
        <w:jc w:val="both"/>
        <w:rPr>
          <w:rFonts w:cs="Arial"/>
          <w:szCs w:val="20"/>
        </w:rPr>
      </w:pPr>
    </w:p>
    <w:p w14:paraId="684D87E9" w14:textId="016C51FF" w:rsidR="00155DF2" w:rsidRPr="00445B9C" w:rsidRDefault="00155DF2" w:rsidP="00EE425F">
      <w:pPr>
        <w:spacing w:line="276" w:lineRule="auto"/>
        <w:jc w:val="both"/>
        <w:rPr>
          <w:rFonts w:cs="Arial"/>
          <w:szCs w:val="20"/>
        </w:rPr>
      </w:pPr>
      <w:r w:rsidRPr="00445B9C">
        <w:rPr>
          <w:rFonts w:cs="Arial"/>
          <w:szCs w:val="20"/>
        </w:rPr>
        <w:t>S spremembami prvega, tretjega in petega odstavka 332. člena se v ZTFI-1 prenaša točka (a) enajstega odstavk</w:t>
      </w:r>
      <w:r w:rsidR="00945B39">
        <w:rPr>
          <w:rFonts w:cs="Arial"/>
          <w:szCs w:val="20"/>
        </w:rPr>
        <w:t>a</w:t>
      </w:r>
      <w:r w:rsidRPr="00445B9C">
        <w:rPr>
          <w:rFonts w:cs="Arial"/>
          <w:szCs w:val="20"/>
        </w:rPr>
        <w:t xml:space="preserve"> 1. člena Direktive 2024/790/EU.</w:t>
      </w:r>
    </w:p>
    <w:p w14:paraId="0163E8F7" w14:textId="19B6EB84" w:rsidR="000D7EE4" w:rsidRPr="00445B9C" w:rsidRDefault="000D7EE4" w:rsidP="00EE425F">
      <w:pPr>
        <w:spacing w:line="276" w:lineRule="auto"/>
        <w:jc w:val="both"/>
        <w:rPr>
          <w:rFonts w:cs="Arial"/>
          <w:szCs w:val="20"/>
        </w:rPr>
      </w:pPr>
    </w:p>
    <w:p w14:paraId="70ECEDBF" w14:textId="4DBC7001" w:rsidR="000D7EE4" w:rsidRPr="00445B9C" w:rsidRDefault="000D7EE4" w:rsidP="000D7EE4">
      <w:pPr>
        <w:spacing w:line="276" w:lineRule="auto"/>
        <w:jc w:val="both"/>
        <w:rPr>
          <w:rFonts w:cs="Arial"/>
          <w:szCs w:val="20"/>
        </w:rPr>
      </w:pPr>
      <w:r w:rsidRPr="00445B9C">
        <w:rPr>
          <w:rFonts w:cs="Arial"/>
          <w:szCs w:val="20"/>
        </w:rPr>
        <w:t>Predlaga se tudi besedilo novega devetega odstavka 332. člena ZTFI-1</w:t>
      </w:r>
      <w:r w:rsidR="0094058A">
        <w:rPr>
          <w:rFonts w:cs="Arial"/>
          <w:szCs w:val="20"/>
        </w:rPr>
        <w:t>,</w:t>
      </w:r>
      <w:r w:rsidRPr="00445B9C">
        <w:rPr>
          <w:rFonts w:cs="Arial"/>
          <w:szCs w:val="20"/>
        </w:rPr>
        <w:t xml:space="preserve"> s katerim se upravljavcu mesta trgovanja </w:t>
      </w:r>
      <w:r w:rsidR="0094058A" w:rsidRPr="00445B9C">
        <w:rPr>
          <w:rFonts w:cs="Arial"/>
          <w:szCs w:val="20"/>
        </w:rPr>
        <w:t xml:space="preserve">nalaga </w:t>
      </w:r>
      <w:r w:rsidRPr="00445B9C">
        <w:rPr>
          <w:rFonts w:cs="Arial"/>
          <w:szCs w:val="20"/>
        </w:rPr>
        <w:t xml:space="preserve">pošiljaje informacij ESMA. Z novim devetim odstavkom 322. člena se v ZTFI-1 prenaša 12. člen Direktive 2023/2864/EU. Novi deveti odstavek 332. člena ZTFI-1 se začne uporabljati 10. januarja 2030, kar je urejeno v drugem odstavku </w:t>
      </w:r>
      <w:r w:rsidR="00122C02" w:rsidRPr="00445B9C">
        <w:rPr>
          <w:rFonts w:cs="Arial"/>
          <w:szCs w:val="20"/>
        </w:rPr>
        <w:fldChar w:fldCharType="begin"/>
      </w:r>
      <w:r w:rsidR="00122C02" w:rsidRPr="00445B9C">
        <w:rPr>
          <w:rFonts w:cs="Arial"/>
          <w:szCs w:val="20"/>
        </w:rPr>
        <w:instrText xml:space="preserve"> REF _Ref196734116 \r \h </w:instrText>
      </w:r>
      <w:r w:rsidR="00445B9C" w:rsidRPr="00445B9C">
        <w:rPr>
          <w:rFonts w:cs="Arial"/>
          <w:szCs w:val="20"/>
        </w:rPr>
        <w:instrText xml:space="preserve"> \* MERGEFORMAT </w:instrText>
      </w:r>
      <w:r w:rsidR="00122C02" w:rsidRPr="00445B9C">
        <w:rPr>
          <w:rFonts w:cs="Arial"/>
          <w:szCs w:val="20"/>
        </w:rPr>
      </w:r>
      <w:r w:rsidR="00122C02" w:rsidRPr="00445B9C">
        <w:rPr>
          <w:rFonts w:cs="Arial"/>
          <w:szCs w:val="20"/>
        </w:rPr>
        <w:fldChar w:fldCharType="separate"/>
      </w:r>
      <w:r w:rsidR="001638A0" w:rsidRPr="00445B9C">
        <w:rPr>
          <w:rFonts w:cs="Arial"/>
          <w:szCs w:val="20"/>
        </w:rPr>
        <w:t xml:space="preserve">57. </w:t>
      </w:r>
      <w:r w:rsidR="00122C02" w:rsidRPr="00445B9C">
        <w:rPr>
          <w:rFonts w:cs="Arial"/>
          <w:szCs w:val="20"/>
        </w:rPr>
        <w:fldChar w:fldCharType="end"/>
      </w:r>
      <w:r w:rsidRPr="00445B9C">
        <w:rPr>
          <w:rFonts w:cs="Arial"/>
          <w:szCs w:val="20"/>
        </w:rPr>
        <w:t>členu predloga zakona.</w:t>
      </w:r>
    </w:p>
    <w:p w14:paraId="77D6C18F" w14:textId="77777777" w:rsidR="00FD35DE" w:rsidRPr="00445B9C" w:rsidRDefault="00FD35DE" w:rsidP="000D7EE4">
      <w:pPr>
        <w:spacing w:line="276" w:lineRule="auto"/>
        <w:jc w:val="both"/>
        <w:rPr>
          <w:rFonts w:cs="Arial"/>
          <w:szCs w:val="20"/>
        </w:rPr>
      </w:pPr>
    </w:p>
    <w:p w14:paraId="0FD08B26" w14:textId="32ED17BC" w:rsidR="00FD35DE" w:rsidRPr="00445B9C" w:rsidRDefault="00FD35DE" w:rsidP="00FD35DE">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_Ref196825761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32. </w:t>
      </w:r>
      <w:r w:rsidRPr="00445B9C">
        <w:rPr>
          <w:rFonts w:cs="Arial"/>
          <w:b/>
          <w:bCs/>
          <w:szCs w:val="20"/>
        </w:rPr>
        <w:fldChar w:fldCharType="end"/>
      </w:r>
      <w:r w:rsidRPr="00445B9C">
        <w:rPr>
          <w:rFonts w:cs="Arial"/>
          <w:b/>
          <w:bCs/>
          <w:szCs w:val="20"/>
        </w:rPr>
        <w:t>členu</w:t>
      </w:r>
      <w:r w:rsidR="0094058A">
        <w:rPr>
          <w:rFonts w:cs="Arial"/>
          <w:b/>
          <w:bCs/>
          <w:szCs w:val="20"/>
        </w:rPr>
        <w:t xml:space="preserve"> </w:t>
      </w:r>
    </w:p>
    <w:p w14:paraId="73332D7B" w14:textId="2E3CEE9A" w:rsidR="00FD35DE" w:rsidRPr="00445B9C" w:rsidRDefault="00FD35DE" w:rsidP="000D7EE4">
      <w:pPr>
        <w:spacing w:line="276" w:lineRule="auto"/>
        <w:jc w:val="both"/>
        <w:rPr>
          <w:rFonts w:cs="Arial"/>
          <w:szCs w:val="20"/>
        </w:rPr>
      </w:pPr>
      <w:r w:rsidRPr="00445B9C">
        <w:rPr>
          <w:rFonts w:cs="Arial"/>
          <w:szCs w:val="20"/>
        </w:rPr>
        <w:t xml:space="preserve">Besedilo 344.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členu predloga zakona.</w:t>
      </w:r>
    </w:p>
    <w:p w14:paraId="4C69A40F" w14:textId="77777777" w:rsidR="00FE0F83" w:rsidRPr="00445B9C" w:rsidRDefault="00FE0F83" w:rsidP="00C64B3F">
      <w:pPr>
        <w:spacing w:line="240" w:lineRule="auto"/>
        <w:jc w:val="both"/>
        <w:rPr>
          <w:rFonts w:cs="Arial"/>
          <w:szCs w:val="20"/>
        </w:rPr>
      </w:pPr>
    </w:p>
    <w:p w14:paraId="0BC7B994" w14:textId="729A6488"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_Ref192067456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33. </w:t>
      </w:r>
      <w:r w:rsidR="00CF0FDA" w:rsidRPr="00445B9C">
        <w:rPr>
          <w:rFonts w:cs="Arial"/>
          <w:b/>
          <w:bCs/>
          <w:szCs w:val="20"/>
        </w:rPr>
        <w:fldChar w:fldCharType="end"/>
      </w:r>
      <w:r w:rsidRPr="00445B9C">
        <w:rPr>
          <w:rFonts w:cs="Arial"/>
          <w:b/>
          <w:bCs/>
          <w:szCs w:val="20"/>
        </w:rPr>
        <w:t>členu</w:t>
      </w:r>
    </w:p>
    <w:p w14:paraId="08272C59" w14:textId="77777777" w:rsidR="00261403" w:rsidRPr="00445B9C" w:rsidRDefault="00261403" w:rsidP="00EE425F">
      <w:pPr>
        <w:spacing w:line="276" w:lineRule="auto"/>
        <w:jc w:val="both"/>
        <w:rPr>
          <w:rFonts w:cs="Arial"/>
          <w:szCs w:val="20"/>
        </w:rPr>
      </w:pPr>
      <w:r w:rsidRPr="00445B9C">
        <w:rPr>
          <w:rFonts w:cs="Arial"/>
          <w:szCs w:val="20"/>
        </w:rPr>
        <w:t>Predlaga se sprememba sedmega odstavka 357. člena, kjer se beseda »prejšnjega« nadomesti z besedo »četrtega«. Z navedenim se popravlja</w:t>
      </w:r>
      <w:r w:rsidR="004D09F8" w:rsidRPr="00445B9C">
        <w:rPr>
          <w:rFonts w:cs="Arial"/>
          <w:szCs w:val="20"/>
        </w:rPr>
        <w:t xml:space="preserve"> očitno</w:t>
      </w:r>
      <w:r w:rsidRPr="00445B9C">
        <w:rPr>
          <w:rFonts w:cs="Arial"/>
          <w:szCs w:val="20"/>
        </w:rPr>
        <w:t xml:space="preserve"> napačen sklic</w:t>
      </w:r>
      <w:r w:rsidR="005B233F" w:rsidRPr="00445B9C">
        <w:rPr>
          <w:rFonts w:cs="Arial"/>
          <w:szCs w:val="20"/>
        </w:rPr>
        <w:t>.</w:t>
      </w:r>
    </w:p>
    <w:p w14:paraId="61DD140B" w14:textId="77777777" w:rsidR="00FE0F83" w:rsidRPr="00445B9C" w:rsidRDefault="00FE0F83" w:rsidP="00C64B3F">
      <w:pPr>
        <w:spacing w:line="240" w:lineRule="auto"/>
        <w:jc w:val="both"/>
        <w:rPr>
          <w:rFonts w:cs="Arial"/>
          <w:szCs w:val="20"/>
        </w:rPr>
      </w:pPr>
    </w:p>
    <w:p w14:paraId="7956CF4C" w14:textId="280FA666"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Pr="00445B9C">
        <w:rPr>
          <w:rFonts w:cs="Arial"/>
          <w:b/>
          <w:bCs/>
          <w:szCs w:val="20"/>
        </w:rPr>
        <w:instrText xml:space="preserve"> REF _Ref192067465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34. </w:t>
      </w:r>
      <w:r w:rsidR="00CF0FDA" w:rsidRPr="00445B9C">
        <w:rPr>
          <w:rFonts w:cs="Arial"/>
          <w:b/>
          <w:bCs/>
          <w:szCs w:val="20"/>
        </w:rPr>
        <w:fldChar w:fldCharType="end"/>
      </w:r>
      <w:r w:rsidRPr="00445B9C">
        <w:rPr>
          <w:rFonts w:cs="Arial"/>
          <w:b/>
          <w:bCs/>
          <w:szCs w:val="20"/>
        </w:rPr>
        <w:t>členu</w:t>
      </w:r>
    </w:p>
    <w:p w14:paraId="125B86A1" w14:textId="5CDE7660" w:rsidR="00034E1A" w:rsidRPr="00445B9C" w:rsidRDefault="00034E1A" w:rsidP="00034E1A">
      <w:pPr>
        <w:spacing w:line="276" w:lineRule="auto"/>
        <w:jc w:val="both"/>
        <w:rPr>
          <w:rFonts w:cs="Arial"/>
          <w:szCs w:val="20"/>
        </w:rPr>
      </w:pPr>
      <w:r w:rsidRPr="00445B9C">
        <w:rPr>
          <w:rFonts w:cs="Arial"/>
          <w:szCs w:val="20"/>
        </w:rPr>
        <w:t>Predlaga se nov</w:t>
      </w:r>
      <w:r w:rsidR="0094058A">
        <w:rPr>
          <w:rFonts w:cs="Arial"/>
          <w:szCs w:val="20"/>
        </w:rPr>
        <w:t>,</w:t>
      </w:r>
      <w:r w:rsidRPr="00445B9C">
        <w:rPr>
          <w:rFonts w:cs="Arial"/>
          <w:szCs w:val="20"/>
        </w:rPr>
        <w:t xml:space="preserve"> 357.a člen</w:t>
      </w:r>
      <w:r w:rsidR="0094058A">
        <w:rPr>
          <w:rFonts w:cs="Arial"/>
          <w:szCs w:val="20"/>
        </w:rPr>
        <w:t>,</w:t>
      </w:r>
      <w:r w:rsidRPr="00445B9C">
        <w:rPr>
          <w:rFonts w:cs="Arial"/>
          <w:szCs w:val="20"/>
        </w:rPr>
        <w:t xml:space="preserve"> s katerim se ureja izvajanje Uredbe 2023/2859/EU. ATVP je opredeljena kot organ za zbiranje podatkov v skladu z Uredbo 2023/2859/EU in zagotavlja, da so določene informacije dostopne v ESAP. Te informacije morajo biti predložene v ustreznem formatu za izvoz podatkov ali v strojno berljivem formatu, če to zahtevajo predpisi.</w:t>
      </w:r>
    </w:p>
    <w:p w14:paraId="5C48973E" w14:textId="77777777" w:rsidR="00034E1A" w:rsidRPr="00445B9C" w:rsidRDefault="00034E1A" w:rsidP="00034E1A">
      <w:pPr>
        <w:spacing w:line="276" w:lineRule="auto"/>
        <w:jc w:val="both"/>
        <w:rPr>
          <w:rFonts w:cs="Arial"/>
          <w:szCs w:val="20"/>
        </w:rPr>
      </w:pPr>
    </w:p>
    <w:p w14:paraId="67DF0DAC" w14:textId="543AE1ED" w:rsidR="00034E1A" w:rsidRPr="00445B9C" w:rsidRDefault="00034E1A" w:rsidP="00034E1A">
      <w:pPr>
        <w:spacing w:line="276" w:lineRule="auto"/>
        <w:jc w:val="both"/>
        <w:rPr>
          <w:rFonts w:cs="Arial"/>
          <w:szCs w:val="20"/>
        </w:rPr>
      </w:pPr>
      <w:r w:rsidRPr="00445B9C">
        <w:rPr>
          <w:rFonts w:cs="Arial"/>
          <w:szCs w:val="20"/>
        </w:rPr>
        <w:t>Podatki morajo vsebovati ključne metapodatke, kot so ime družbe, enolična mednarodna identifikacijska številka (LEI</w:t>
      </w:r>
      <w:r w:rsidR="0094058A">
        <w:rPr>
          <w:rFonts w:cs="Arial"/>
          <w:szCs w:val="20"/>
        </w:rPr>
        <w:t>-</w:t>
      </w:r>
      <w:r w:rsidRPr="00445B9C">
        <w:rPr>
          <w:rFonts w:cs="Arial"/>
          <w:szCs w:val="20"/>
        </w:rPr>
        <w:t>koda), velikost družbe, vrsta informacij in oznaka glede prisotnosti osebnih podatkov. Družbe, ki poročajo v skladu s tem členom, morajo imeti dodeljeno LEI</w:t>
      </w:r>
      <w:r w:rsidR="0094058A">
        <w:rPr>
          <w:rFonts w:cs="Arial"/>
          <w:szCs w:val="20"/>
        </w:rPr>
        <w:t>-</w:t>
      </w:r>
      <w:r w:rsidRPr="00445B9C">
        <w:rPr>
          <w:rFonts w:cs="Arial"/>
          <w:szCs w:val="20"/>
        </w:rPr>
        <w:t>kodo.</w:t>
      </w:r>
    </w:p>
    <w:p w14:paraId="731C6BC1" w14:textId="77777777" w:rsidR="00034E1A" w:rsidRPr="00445B9C" w:rsidRDefault="00034E1A" w:rsidP="00034E1A">
      <w:pPr>
        <w:spacing w:line="276" w:lineRule="auto"/>
        <w:jc w:val="both"/>
        <w:rPr>
          <w:rFonts w:cs="Arial"/>
          <w:szCs w:val="20"/>
        </w:rPr>
      </w:pPr>
    </w:p>
    <w:p w14:paraId="245EB703" w14:textId="38D36F48" w:rsidR="00FE0F83" w:rsidRPr="00445B9C" w:rsidRDefault="00034E1A" w:rsidP="00034E1A">
      <w:pPr>
        <w:spacing w:line="276" w:lineRule="auto"/>
        <w:jc w:val="both"/>
        <w:rPr>
          <w:rFonts w:cs="Arial"/>
          <w:szCs w:val="20"/>
        </w:rPr>
      </w:pPr>
      <w:r w:rsidRPr="00445B9C">
        <w:rPr>
          <w:rFonts w:cs="Arial"/>
          <w:szCs w:val="20"/>
        </w:rPr>
        <w:t xml:space="preserve">Agencija zagotavlja tudi dostopnost določenih informacij v ESAP in zagotavlja, da so podatki, ki jih </w:t>
      </w:r>
      <w:r w:rsidR="0094058A">
        <w:rPr>
          <w:rFonts w:cs="Arial"/>
          <w:szCs w:val="20"/>
        </w:rPr>
        <w:t>predloži</w:t>
      </w:r>
      <w:r w:rsidR="0094058A" w:rsidRPr="00445B9C">
        <w:rPr>
          <w:rFonts w:cs="Arial"/>
          <w:szCs w:val="20"/>
        </w:rPr>
        <w:t xml:space="preserve"> </w:t>
      </w:r>
      <w:r w:rsidRPr="00445B9C">
        <w:rPr>
          <w:rFonts w:cs="Arial"/>
          <w:szCs w:val="20"/>
        </w:rPr>
        <w:t>ESMA, skladni s predpisanimi zahtevami.</w:t>
      </w:r>
    </w:p>
    <w:p w14:paraId="571DB248" w14:textId="77777777" w:rsidR="00814AD5" w:rsidRPr="00445B9C" w:rsidRDefault="00814AD5" w:rsidP="00034E1A">
      <w:pPr>
        <w:spacing w:line="276" w:lineRule="auto"/>
        <w:jc w:val="both"/>
        <w:rPr>
          <w:rFonts w:cs="Arial"/>
          <w:szCs w:val="20"/>
        </w:rPr>
      </w:pPr>
    </w:p>
    <w:p w14:paraId="455627F8" w14:textId="7B6F6D98" w:rsidR="00814AD5" w:rsidRPr="00445B9C" w:rsidRDefault="00814AD5" w:rsidP="00814AD5">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_Ref196825809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35. </w:t>
      </w:r>
      <w:r w:rsidRPr="00445B9C">
        <w:rPr>
          <w:rFonts w:cs="Arial"/>
          <w:b/>
          <w:bCs/>
          <w:szCs w:val="20"/>
        </w:rPr>
        <w:fldChar w:fldCharType="end"/>
      </w:r>
      <w:r w:rsidRPr="00445B9C">
        <w:rPr>
          <w:rFonts w:cs="Arial"/>
          <w:b/>
          <w:bCs/>
          <w:szCs w:val="20"/>
        </w:rPr>
        <w:t>členu</w:t>
      </w:r>
    </w:p>
    <w:p w14:paraId="4C5E240E" w14:textId="7CCC588D" w:rsidR="00814AD5" w:rsidRPr="00445B9C" w:rsidRDefault="00814AD5" w:rsidP="00034E1A">
      <w:pPr>
        <w:spacing w:line="276" w:lineRule="auto"/>
        <w:jc w:val="both"/>
        <w:rPr>
          <w:rFonts w:cs="Arial"/>
          <w:szCs w:val="20"/>
        </w:rPr>
      </w:pPr>
      <w:r w:rsidRPr="00445B9C">
        <w:rPr>
          <w:rFonts w:cs="Arial"/>
          <w:szCs w:val="20"/>
        </w:rPr>
        <w:t xml:space="preserve">Besedilo 358.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členu predloga zakona.</w:t>
      </w:r>
    </w:p>
    <w:p w14:paraId="609FB725" w14:textId="4CD6FBD6" w:rsidR="00FE0F83" w:rsidRPr="00445B9C" w:rsidRDefault="00FE0F83" w:rsidP="00C64B3F">
      <w:pPr>
        <w:spacing w:line="240" w:lineRule="auto"/>
        <w:jc w:val="both"/>
        <w:rPr>
          <w:rFonts w:cs="Arial"/>
          <w:szCs w:val="20"/>
        </w:rPr>
      </w:pPr>
    </w:p>
    <w:p w14:paraId="6A41E419" w14:textId="466E0EA3"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_Ref196734698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36. </w:t>
      </w:r>
      <w:r w:rsidR="003732A5" w:rsidRPr="00445B9C">
        <w:rPr>
          <w:rFonts w:cs="Arial"/>
          <w:b/>
          <w:bCs/>
          <w:szCs w:val="20"/>
        </w:rPr>
        <w:fldChar w:fldCharType="end"/>
      </w:r>
      <w:r w:rsidRPr="00445B9C">
        <w:rPr>
          <w:rFonts w:cs="Arial"/>
          <w:b/>
          <w:bCs/>
          <w:szCs w:val="20"/>
        </w:rPr>
        <w:t>členu</w:t>
      </w:r>
    </w:p>
    <w:p w14:paraId="7CD8953B" w14:textId="5827EE53" w:rsidR="000156AC" w:rsidRPr="00445B9C" w:rsidRDefault="000156AC" w:rsidP="000156AC">
      <w:pPr>
        <w:spacing w:line="276" w:lineRule="auto"/>
        <w:jc w:val="both"/>
        <w:rPr>
          <w:rFonts w:cs="Arial"/>
          <w:szCs w:val="20"/>
        </w:rPr>
      </w:pPr>
      <w:r w:rsidRPr="00445B9C">
        <w:rPr>
          <w:rFonts w:cs="Arial"/>
          <w:szCs w:val="20"/>
        </w:rPr>
        <w:t>Predlaga se tudi besedilo novega petega odstavka 368. člena ZTFI-1</w:t>
      </w:r>
      <w:r w:rsidR="0094058A">
        <w:rPr>
          <w:rFonts w:cs="Arial"/>
          <w:szCs w:val="20"/>
        </w:rPr>
        <w:t>,</w:t>
      </w:r>
      <w:r w:rsidRPr="00445B9C">
        <w:rPr>
          <w:rFonts w:cs="Arial"/>
          <w:szCs w:val="20"/>
        </w:rPr>
        <w:t xml:space="preserve"> s katerim se nalaga borzi pošiljaje informacij ATVP. Z novim petim odstavkom 368. člena se v ZTFI-1 prenaša 12. člen Direktive 2023/2864/EU. Novi peti odstavek 368. člena ZTFI-1 se začne uporabljati 10. januarja 2030, kar je urejeno v drugem odstavku </w:t>
      </w:r>
      <w:r w:rsidR="00264CD6" w:rsidRPr="00445B9C">
        <w:rPr>
          <w:rFonts w:cs="Arial"/>
          <w:szCs w:val="20"/>
        </w:rPr>
        <w:fldChar w:fldCharType="begin"/>
      </w:r>
      <w:r w:rsidR="00264CD6" w:rsidRPr="00445B9C">
        <w:rPr>
          <w:rFonts w:cs="Arial"/>
          <w:szCs w:val="20"/>
        </w:rPr>
        <w:instrText xml:space="preserve"> REF _Ref192070643 \r \h  \* MERGEFORMAT </w:instrText>
      </w:r>
      <w:r w:rsidR="00264CD6" w:rsidRPr="00445B9C">
        <w:rPr>
          <w:rFonts w:cs="Arial"/>
          <w:szCs w:val="20"/>
        </w:rPr>
      </w:r>
      <w:r w:rsidR="00264CD6" w:rsidRPr="00445B9C">
        <w:rPr>
          <w:rFonts w:cs="Arial"/>
          <w:szCs w:val="20"/>
        </w:rPr>
        <w:fldChar w:fldCharType="separate"/>
      </w:r>
      <w:r w:rsidR="00B617CF" w:rsidRPr="00445B9C">
        <w:rPr>
          <w:rFonts w:cs="Arial"/>
          <w:b/>
          <w:bCs/>
          <w:szCs w:val="20"/>
        </w:rPr>
        <w:fldChar w:fldCharType="begin"/>
      </w:r>
      <w:r w:rsidR="00B617CF" w:rsidRPr="00445B9C">
        <w:rPr>
          <w:rFonts w:cs="Arial"/>
          <w:szCs w:val="20"/>
        </w:rPr>
        <w:instrText xml:space="preserve"> REF _Ref196734116 \r \h </w:instrText>
      </w:r>
      <w:r w:rsidR="00445B9C" w:rsidRPr="00445B9C">
        <w:rPr>
          <w:rFonts w:cs="Arial"/>
          <w:b/>
          <w:bCs/>
          <w:szCs w:val="20"/>
        </w:rPr>
        <w:instrText xml:space="preserve"> \* MERGEFORMAT </w:instrText>
      </w:r>
      <w:r w:rsidR="00B617CF" w:rsidRPr="00445B9C">
        <w:rPr>
          <w:rFonts w:cs="Arial"/>
          <w:b/>
          <w:bCs/>
          <w:szCs w:val="20"/>
        </w:rPr>
      </w:r>
      <w:r w:rsidR="00B617CF" w:rsidRPr="00445B9C">
        <w:rPr>
          <w:rFonts w:cs="Arial"/>
          <w:b/>
          <w:bCs/>
          <w:szCs w:val="20"/>
        </w:rPr>
        <w:fldChar w:fldCharType="separate"/>
      </w:r>
      <w:r w:rsidR="00B617CF" w:rsidRPr="00445B9C">
        <w:rPr>
          <w:rFonts w:cs="Arial"/>
          <w:szCs w:val="20"/>
        </w:rPr>
        <w:t xml:space="preserve">57. </w:t>
      </w:r>
      <w:r w:rsidR="00B617CF" w:rsidRPr="00445B9C">
        <w:rPr>
          <w:rFonts w:cs="Arial"/>
          <w:b/>
          <w:bCs/>
          <w:szCs w:val="20"/>
        </w:rPr>
        <w:fldChar w:fldCharType="end"/>
      </w:r>
      <w:r w:rsidR="00264CD6" w:rsidRPr="00445B9C">
        <w:rPr>
          <w:rFonts w:cs="Arial"/>
          <w:szCs w:val="20"/>
        </w:rPr>
        <w:fldChar w:fldCharType="end"/>
      </w:r>
      <w:r w:rsidRPr="00445B9C">
        <w:rPr>
          <w:rFonts w:cs="Arial"/>
          <w:szCs w:val="20"/>
        </w:rPr>
        <w:t>členu predloga zakona.</w:t>
      </w:r>
    </w:p>
    <w:p w14:paraId="1BE1E5D5" w14:textId="77777777" w:rsidR="00FE0F83" w:rsidRPr="00445B9C" w:rsidRDefault="00FE0F83" w:rsidP="00C64B3F">
      <w:pPr>
        <w:spacing w:line="240" w:lineRule="auto"/>
        <w:jc w:val="both"/>
        <w:rPr>
          <w:rFonts w:cs="Arial"/>
          <w:szCs w:val="20"/>
        </w:rPr>
      </w:pPr>
    </w:p>
    <w:p w14:paraId="443AD759" w14:textId="7CC64C11"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_Ref196734725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37. </w:t>
      </w:r>
      <w:r w:rsidR="003732A5" w:rsidRPr="00445B9C">
        <w:rPr>
          <w:rFonts w:cs="Arial"/>
          <w:b/>
          <w:bCs/>
          <w:szCs w:val="20"/>
        </w:rPr>
        <w:fldChar w:fldCharType="end"/>
      </w:r>
      <w:r w:rsidRPr="00445B9C">
        <w:rPr>
          <w:rFonts w:cs="Arial"/>
          <w:b/>
          <w:bCs/>
          <w:szCs w:val="20"/>
        </w:rPr>
        <w:t>členu</w:t>
      </w:r>
    </w:p>
    <w:p w14:paraId="2064494D" w14:textId="77777777" w:rsidR="00071A16" w:rsidRPr="00445B9C" w:rsidRDefault="0091403C" w:rsidP="00112593">
      <w:pPr>
        <w:spacing w:line="276" w:lineRule="auto"/>
        <w:jc w:val="both"/>
        <w:rPr>
          <w:rFonts w:cs="Arial"/>
          <w:szCs w:val="20"/>
        </w:rPr>
      </w:pPr>
      <w:r w:rsidRPr="00445B9C">
        <w:rPr>
          <w:rFonts w:cs="Arial"/>
          <w:szCs w:val="20"/>
        </w:rPr>
        <w:t>S spremembo 2. točke prvega odstavka 373. člena ZTFI-1 se določa razširjena obveznost za borzo v zvezi z zagotovitvijo obvladovanj tveganj na področju IKT v skladu z II. poglavjem Uredbe 2022/2554.</w:t>
      </w:r>
    </w:p>
    <w:p w14:paraId="425CCBE4" w14:textId="77777777" w:rsidR="00071A16" w:rsidRPr="00445B9C" w:rsidRDefault="00071A16" w:rsidP="00112593">
      <w:pPr>
        <w:spacing w:line="276" w:lineRule="auto"/>
        <w:jc w:val="both"/>
        <w:rPr>
          <w:rFonts w:cs="Arial"/>
          <w:szCs w:val="20"/>
        </w:rPr>
      </w:pPr>
    </w:p>
    <w:p w14:paraId="7D06B727" w14:textId="57FC77E1" w:rsidR="00071A16" w:rsidRPr="00445B9C" w:rsidRDefault="00071A16" w:rsidP="00112593">
      <w:pPr>
        <w:spacing w:line="276" w:lineRule="auto"/>
        <w:jc w:val="both"/>
        <w:rPr>
          <w:rFonts w:cs="Arial"/>
          <w:szCs w:val="20"/>
        </w:rPr>
      </w:pPr>
      <w:r w:rsidRPr="00445B9C">
        <w:rPr>
          <w:rFonts w:cs="Arial"/>
          <w:szCs w:val="20"/>
        </w:rPr>
        <w:t>Z namenom celovite ureditve toka informacij se predlaga dopolnitev 3</w:t>
      </w:r>
      <w:r w:rsidR="0091403C" w:rsidRPr="00445B9C">
        <w:rPr>
          <w:rFonts w:cs="Arial"/>
          <w:szCs w:val="20"/>
        </w:rPr>
        <w:t>73</w:t>
      </w:r>
      <w:r w:rsidRPr="00445B9C">
        <w:rPr>
          <w:rFonts w:cs="Arial"/>
          <w:szCs w:val="20"/>
        </w:rPr>
        <w:t>. člena ZTFI-1 z nov</w:t>
      </w:r>
      <w:r w:rsidR="0091403C" w:rsidRPr="00445B9C">
        <w:rPr>
          <w:rFonts w:cs="Arial"/>
          <w:szCs w:val="20"/>
        </w:rPr>
        <w:t>o 4. točko drugega odstavka</w:t>
      </w:r>
      <w:r w:rsidRPr="00445B9C">
        <w:rPr>
          <w:rFonts w:cs="Arial"/>
          <w:szCs w:val="20"/>
        </w:rPr>
        <w:t xml:space="preserve">, ki nalaga </w:t>
      </w:r>
      <w:r w:rsidR="0091403C" w:rsidRPr="00445B9C">
        <w:rPr>
          <w:rFonts w:cs="Arial"/>
          <w:szCs w:val="20"/>
        </w:rPr>
        <w:t>borzi</w:t>
      </w:r>
      <w:r w:rsidRPr="00445B9C">
        <w:rPr>
          <w:rFonts w:cs="Arial"/>
          <w:szCs w:val="20"/>
        </w:rPr>
        <w:t xml:space="preserve"> vzpostavi</w:t>
      </w:r>
      <w:r w:rsidR="0094058A">
        <w:rPr>
          <w:rFonts w:cs="Arial"/>
          <w:szCs w:val="20"/>
        </w:rPr>
        <w:t>tev</w:t>
      </w:r>
      <w:r w:rsidRPr="00445B9C">
        <w:rPr>
          <w:rFonts w:cs="Arial"/>
          <w:szCs w:val="20"/>
        </w:rPr>
        <w:t xml:space="preserve"> ustrezn</w:t>
      </w:r>
      <w:r w:rsidR="0094058A">
        <w:rPr>
          <w:rFonts w:cs="Arial"/>
          <w:szCs w:val="20"/>
        </w:rPr>
        <w:t>ih</w:t>
      </w:r>
      <w:r w:rsidRPr="00445B9C">
        <w:rPr>
          <w:rFonts w:cs="Arial"/>
          <w:szCs w:val="20"/>
        </w:rPr>
        <w:t xml:space="preserve"> ukrep</w:t>
      </w:r>
      <w:r w:rsidR="0094058A">
        <w:rPr>
          <w:rFonts w:cs="Arial"/>
          <w:szCs w:val="20"/>
        </w:rPr>
        <w:t>ov</w:t>
      </w:r>
      <w:r w:rsidRPr="00445B9C">
        <w:rPr>
          <w:rFonts w:cs="Arial"/>
          <w:szCs w:val="20"/>
        </w:rPr>
        <w:t xml:space="preserve">, </w:t>
      </w:r>
      <w:r w:rsidR="0094058A">
        <w:rPr>
          <w:rFonts w:cs="Arial"/>
          <w:szCs w:val="20"/>
        </w:rPr>
        <w:t xml:space="preserve">da bi se </w:t>
      </w:r>
      <w:r w:rsidRPr="00445B9C">
        <w:rPr>
          <w:rFonts w:cs="Arial"/>
          <w:szCs w:val="20"/>
        </w:rPr>
        <w:t>zagot</w:t>
      </w:r>
      <w:r w:rsidR="0094058A">
        <w:rPr>
          <w:rFonts w:cs="Arial"/>
          <w:szCs w:val="20"/>
        </w:rPr>
        <w:t>ovil</w:t>
      </w:r>
      <w:r w:rsidRPr="00445B9C">
        <w:rPr>
          <w:rFonts w:cs="Arial"/>
          <w:szCs w:val="20"/>
        </w:rPr>
        <w:t>o izpolnjevanje kakovosti podatkov</w:t>
      </w:r>
      <w:r w:rsidR="0094058A">
        <w:rPr>
          <w:rFonts w:cs="Arial"/>
          <w:szCs w:val="20"/>
        </w:rPr>
        <w:t>,</w:t>
      </w:r>
      <w:r w:rsidRPr="00445B9C">
        <w:rPr>
          <w:rFonts w:cs="Arial"/>
          <w:szCs w:val="20"/>
        </w:rPr>
        <w:t xml:space="preserve"> k</w:t>
      </w:r>
      <w:r w:rsidR="0094058A">
        <w:rPr>
          <w:rFonts w:cs="Arial"/>
          <w:szCs w:val="20"/>
        </w:rPr>
        <w:t>akor</w:t>
      </w:r>
      <w:r w:rsidRPr="00445B9C">
        <w:rPr>
          <w:rFonts w:cs="Arial"/>
          <w:szCs w:val="20"/>
        </w:rPr>
        <w:t xml:space="preserve"> jih določa 22.b člen Uredbe 600/2014/EU. </w:t>
      </w:r>
    </w:p>
    <w:p w14:paraId="05AD3E65" w14:textId="77777777" w:rsidR="00FE0F83" w:rsidRPr="00445B9C" w:rsidRDefault="00FE0F83" w:rsidP="00112593">
      <w:pPr>
        <w:spacing w:line="276" w:lineRule="auto"/>
        <w:jc w:val="both"/>
        <w:rPr>
          <w:rFonts w:cs="Arial"/>
          <w:szCs w:val="20"/>
        </w:rPr>
      </w:pPr>
    </w:p>
    <w:p w14:paraId="623F5978" w14:textId="60FE8218" w:rsidR="00B233CD" w:rsidRPr="00445B9C" w:rsidRDefault="0091403C" w:rsidP="00B233CD">
      <w:pPr>
        <w:spacing w:line="276" w:lineRule="auto"/>
        <w:jc w:val="both"/>
        <w:rPr>
          <w:rFonts w:cs="Arial"/>
          <w:szCs w:val="20"/>
        </w:rPr>
      </w:pPr>
      <w:r w:rsidRPr="00445B9C">
        <w:rPr>
          <w:rFonts w:cs="Arial"/>
          <w:szCs w:val="20"/>
        </w:rPr>
        <w:t xml:space="preserve">Tretji odstavek 315. člena ZTFI-1 zahteva, da imajo MTF in OTF vsaj tri dejansko dejavne člane ali uporabnike. Ta zahteva </w:t>
      </w:r>
      <w:r w:rsidR="00112593" w:rsidRPr="00445B9C">
        <w:rPr>
          <w:rFonts w:cs="Arial"/>
          <w:szCs w:val="20"/>
        </w:rPr>
        <w:t xml:space="preserve">se s predlaganim novim četrtim odstavkom 373. člena ZTFI-1 </w:t>
      </w:r>
      <w:r w:rsidR="0094058A">
        <w:rPr>
          <w:rFonts w:cs="Arial"/>
          <w:szCs w:val="20"/>
        </w:rPr>
        <w:t>z</w:t>
      </w:r>
      <w:r w:rsidR="00112593" w:rsidRPr="00445B9C">
        <w:rPr>
          <w:rFonts w:cs="Arial"/>
          <w:szCs w:val="20"/>
        </w:rPr>
        <w:t xml:space="preserve">daj razširja </w:t>
      </w:r>
      <w:r w:rsidR="0057619F" w:rsidRPr="00445B9C">
        <w:rPr>
          <w:rFonts w:cs="Arial"/>
          <w:szCs w:val="20"/>
        </w:rPr>
        <w:t xml:space="preserve">tudi </w:t>
      </w:r>
      <w:r w:rsidR="00112593" w:rsidRPr="00445B9C">
        <w:rPr>
          <w:rFonts w:cs="Arial"/>
          <w:szCs w:val="20"/>
        </w:rPr>
        <w:t>na</w:t>
      </w:r>
      <w:r w:rsidRPr="00445B9C">
        <w:rPr>
          <w:rFonts w:cs="Arial"/>
          <w:szCs w:val="20"/>
        </w:rPr>
        <w:t xml:space="preserve"> regulirane trge</w:t>
      </w:r>
      <w:r w:rsidR="00B233CD" w:rsidRPr="00445B9C">
        <w:rPr>
          <w:rFonts w:cs="Arial"/>
          <w:szCs w:val="20"/>
        </w:rPr>
        <w:t xml:space="preserve"> (borzo)</w:t>
      </w:r>
      <w:r w:rsidRPr="00445B9C">
        <w:rPr>
          <w:rFonts w:cs="Arial"/>
          <w:szCs w:val="20"/>
        </w:rPr>
        <w:t>.</w:t>
      </w:r>
      <w:r w:rsidR="00112593" w:rsidRPr="00445B9C">
        <w:rPr>
          <w:rFonts w:cs="Arial"/>
          <w:szCs w:val="20"/>
        </w:rPr>
        <w:t xml:space="preserve"> </w:t>
      </w:r>
      <w:r w:rsidR="00B233CD" w:rsidRPr="00445B9C">
        <w:rPr>
          <w:rFonts w:cs="Arial"/>
          <w:szCs w:val="20"/>
        </w:rPr>
        <w:t xml:space="preserve">Razširitev zahteve, da morajo imeti regulirani trgi vsaj tri dejansko dejavne člane ali uporabnike, izhaja iz potrebe po zagotavljanju konkurenčnosti, likvidnosti in učinkovitega delovanja finančnih trgov </w:t>
      </w:r>
      <w:r w:rsidR="0094058A">
        <w:rPr>
          <w:rFonts w:cs="Arial"/>
          <w:szCs w:val="20"/>
        </w:rPr>
        <w:t>ter</w:t>
      </w:r>
      <w:r w:rsidR="0094058A" w:rsidRPr="00445B9C">
        <w:rPr>
          <w:rFonts w:cs="Arial"/>
          <w:szCs w:val="20"/>
        </w:rPr>
        <w:t xml:space="preserve"> </w:t>
      </w:r>
      <w:r w:rsidR="00B233CD" w:rsidRPr="00445B9C">
        <w:rPr>
          <w:rFonts w:cs="Arial"/>
          <w:szCs w:val="20"/>
        </w:rPr>
        <w:t xml:space="preserve">da se prepreči monopolizacija trga in zagotovi dovolj široka udeležba. Delovanje trgov z omejenim številom udeležencev bi lahko vodilo v neučinkovitost trga, povečano tveganje manipulacije cen ter zmanjšano likvidnost. Če ima trg premalo dejavnih članov, se lahko zmanjša razpon med ponudbo in povpraševanjem, kar otežuje odkrivanje poštenih tržnih cen in povečuje stroške trgovanja za vse udeležence. Poleg tega bi lahko trg postal preveč odvisen od enega ali dveh udeležencev, kar bi </w:t>
      </w:r>
      <w:r w:rsidR="0094058A">
        <w:rPr>
          <w:rFonts w:cs="Arial"/>
          <w:szCs w:val="20"/>
        </w:rPr>
        <w:t>pomenilo</w:t>
      </w:r>
      <w:r w:rsidR="0094058A" w:rsidRPr="00445B9C">
        <w:rPr>
          <w:rFonts w:cs="Arial"/>
          <w:szCs w:val="20"/>
        </w:rPr>
        <w:t xml:space="preserve"> </w:t>
      </w:r>
      <w:r w:rsidR="00B233CD" w:rsidRPr="00445B9C">
        <w:rPr>
          <w:rFonts w:cs="Arial"/>
          <w:szCs w:val="20"/>
        </w:rPr>
        <w:t>tveganje v primeru njihovega umika. Prav tako ta ukrep zagotavlja skladnost reguliranih trgov z drugimi trgovalnimi platformami in prispeva k enotnejšemu regulativnemu okviru v EU.</w:t>
      </w:r>
    </w:p>
    <w:p w14:paraId="335833F3" w14:textId="77777777" w:rsidR="00B233CD" w:rsidRPr="00445B9C" w:rsidRDefault="00B233CD" w:rsidP="00B233CD">
      <w:pPr>
        <w:spacing w:line="276" w:lineRule="auto"/>
        <w:jc w:val="both"/>
        <w:rPr>
          <w:rFonts w:cs="Arial"/>
          <w:szCs w:val="20"/>
        </w:rPr>
      </w:pPr>
    </w:p>
    <w:p w14:paraId="59CDC592" w14:textId="4B9D3881" w:rsidR="00FE0F83" w:rsidRPr="00445B9C" w:rsidRDefault="00112593" w:rsidP="00112593">
      <w:pPr>
        <w:spacing w:line="276" w:lineRule="auto"/>
        <w:jc w:val="both"/>
        <w:rPr>
          <w:rFonts w:cs="Arial"/>
          <w:szCs w:val="20"/>
        </w:rPr>
      </w:pPr>
      <w:r w:rsidRPr="00445B9C">
        <w:rPr>
          <w:rFonts w:cs="Arial"/>
          <w:szCs w:val="20"/>
        </w:rPr>
        <w:t>Z novim četrtim odstavkom 373. člena se v ZTFI-1 prenaša točka (h) šestega odstavka 1. člen</w:t>
      </w:r>
      <w:r w:rsidR="0094058A">
        <w:rPr>
          <w:rFonts w:cs="Arial"/>
          <w:szCs w:val="20"/>
        </w:rPr>
        <w:t>a</w:t>
      </w:r>
      <w:r w:rsidRPr="00445B9C">
        <w:rPr>
          <w:rFonts w:cs="Arial"/>
          <w:szCs w:val="20"/>
        </w:rPr>
        <w:t xml:space="preserve"> Direktive 2024/790/EU.</w:t>
      </w:r>
    </w:p>
    <w:p w14:paraId="46215924" w14:textId="77777777" w:rsidR="00FE0F83" w:rsidRPr="00445B9C" w:rsidRDefault="00FE0F83" w:rsidP="00C64B3F">
      <w:pPr>
        <w:spacing w:line="240" w:lineRule="auto"/>
        <w:jc w:val="both"/>
        <w:rPr>
          <w:rFonts w:cs="Arial"/>
          <w:szCs w:val="20"/>
        </w:rPr>
      </w:pPr>
    </w:p>
    <w:p w14:paraId="08659186" w14:textId="5E612F6B"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_Ref196734767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38. </w:t>
      </w:r>
      <w:r w:rsidR="003732A5" w:rsidRPr="00445B9C">
        <w:rPr>
          <w:rFonts w:cs="Arial"/>
          <w:b/>
          <w:bCs/>
          <w:szCs w:val="20"/>
        </w:rPr>
        <w:fldChar w:fldCharType="end"/>
      </w:r>
      <w:r w:rsidRPr="00445B9C">
        <w:rPr>
          <w:rFonts w:cs="Arial"/>
          <w:b/>
          <w:bCs/>
          <w:szCs w:val="20"/>
        </w:rPr>
        <w:t>členu</w:t>
      </w:r>
    </w:p>
    <w:p w14:paraId="3B8C742F" w14:textId="56F3AF5A" w:rsidR="00FE0F83" w:rsidRPr="00445B9C" w:rsidRDefault="0094058A" w:rsidP="00C31C4B">
      <w:pPr>
        <w:spacing w:line="276" w:lineRule="auto"/>
        <w:jc w:val="both"/>
        <w:rPr>
          <w:rFonts w:cs="Arial"/>
          <w:szCs w:val="20"/>
        </w:rPr>
      </w:pPr>
      <w:r>
        <w:rPr>
          <w:rFonts w:cs="Arial"/>
          <w:szCs w:val="20"/>
        </w:rPr>
        <w:t>V svojem</w:t>
      </w:r>
      <w:r w:rsidR="00D228FA" w:rsidRPr="00445B9C">
        <w:rPr>
          <w:rFonts w:cs="Arial"/>
          <w:szCs w:val="20"/>
        </w:rPr>
        <w:t xml:space="preserve"> drugem odstavku </w:t>
      </w:r>
      <w:r w:rsidRPr="00445B9C">
        <w:rPr>
          <w:rFonts w:cs="Arial"/>
          <w:szCs w:val="20"/>
        </w:rPr>
        <w:t>375. člen</w:t>
      </w:r>
      <w:r w:rsidR="0023520D">
        <w:rPr>
          <w:rFonts w:cs="Arial"/>
          <w:szCs w:val="20"/>
        </w:rPr>
        <w:t xml:space="preserve"> ZTFI-1</w:t>
      </w:r>
      <w:r w:rsidRPr="00445B9C">
        <w:rPr>
          <w:rFonts w:cs="Arial"/>
          <w:szCs w:val="20"/>
        </w:rPr>
        <w:t xml:space="preserve"> </w:t>
      </w:r>
      <w:r w:rsidR="00D228FA" w:rsidRPr="00445B9C">
        <w:rPr>
          <w:rFonts w:cs="Arial"/>
          <w:szCs w:val="20"/>
        </w:rPr>
        <w:t xml:space="preserve">določa, da </w:t>
      </w:r>
      <w:r w:rsidR="00135F90" w:rsidRPr="00445B9C">
        <w:rPr>
          <w:rFonts w:cs="Arial"/>
          <w:szCs w:val="20"/>
        </w:rPr>
        <w:t>b</w:t>
      </w:r>
      <w:r w:rsidR="00D228FA" w:rsidRPr="00445B9C">
        <w:rPr>
          <w:rFonts w:cs="Arial"/>
          <w:szCs w:val="20"/>
        </w:rPr>
        <w:t>orza zagotovi možnost začasne ustavitve ali omejitve trgovanja na borznem trgu</w:t>
      </w:r>
      <w:r w:rsidR="00135F90" w:rsidRPr="00445B9C">
        <w:rPr>
          <w:rFonts w:cs="Arial"/>
          <w:szCs w:val="20"/>
        </w:rPr>
        <w:t>,</w:t>
      </w:r>
      <w:r w:rsidR="00D228FA" w:rsidRPr="00445B9C">
        <w:rPr>
          <w:rFonts w:cs="Arial"/>
          <w:szCs w:val="20"/>
        </w:rPr>
        <w:t xml:space="preserve"> če pride do precejšnjega nihanja cen finančnega instrumenta na tem ali podobnem trgu v kratkem časovnem obdobju. V izjemnih primerih lahko prekliče, spremeni ali popravi že sklenjeni posel.</w:t>
      </w:r>
      <w:r w:rsidR="00135F90" w:rsidRPr="00445B9C">
        <w:rPr>
          <w:rFonts w:cs="Arial"/>
          <w:szCs w:val="20"/>
        </w:rPr>
        <w:t xml:space="preserve"> S predlagano dopolnitvijo se sistem razširja tudi na primere izrednih razmer</w:t>
      </w:r>
      <w:r w:rsidR="00254BED">
        <w:rPr>
          <w:rFonts w:cs="Arial"/>
          <w:szCs w:val="20"/>
        </w:rPr>
        <w:t>,</w:t>
      </w:r>
      <w:r w:rsidR="00E9201F" w:rsidRPr="00445B9C">
        <w:rPr>
          <w:rFonts w:cs="Arial"/>
          <w:szCs w:val="20"/>
        </w:rPr>
        <w:t xml:space="preserve"> s čimer se prenaša podtočka (i) točke (a) sedmega odstavka prvega člena Direktive 2024/790/EU.</w:t>
      </w:r>
    </w:p>
    <w:p w14:paraId="658BE70C" w14:textId="77777777" w:rsidR="0023520D" w:rsidRDefault="0023520D" w:rsidP="00C31C4B">
      <w:pPr>
        <w:spacing w:line="276" w:lineRule="auto"/>
        <w:jc w:val="both"/>
        <w:rPr>
          <w:rFonts w:cs="Arial"/>
          <w:szCs w:val="20"/>
        </w:rPr>
      </w:pPr>
    </w:p>
    <w:p w14:paraId="1651F2E3" w14:textId="6838AE0A" w:rsidR="00E9201F" w:rsidRPr="00445B9C" w:rsidRDefault="00E9201F" w:rsidP="00C31C4B">
      <w:pPr>
        <w:spacing w:line="276" w:lineRule="auto"/>
        <w:jc w:val="both"/>
        <w:rPr>
          <w:rFonts w:cs="Arial"/>
          <w:szCs w:val="20"/>
        </w:rPr>
      </w:pPr>
      <w:r w:rsidRPr="00445B9C">
        <w:rPr>
          <w:rFonts w:cs="Arial"/>
          <w:szCs w:val="20"/>
        </w:rPr>
        <w:t xml:space="preserve">Zaradi zagotovitve </w:t>
      </w:r>
      <w:r w:rsidR="00254BED">
        <w:rPr>
          <w:rFonts w:cs="Arial"/>
          <w:szCs w:val="20"/>
        </w:rPr>
        <w:t>preglednosti</w:t>
      </w:r>
      <w:r w:rsidR="00254BED" w:rsidRPr="00445B9C">
        <w:rPr>
          <w:rFonts w:cs="Arial"/>
          <w:szCs w:val="20"/>
        </w:rPr>
        <w:t xml:space="preserve"> </w:t>
      </w:r>
      <w:r w:rsidRPr="00445B9C">
        <w:rPr>
          <w:rFonts w:cs="Arial"/>
          <w:szCs w:val="20"/>
        </w:rPr>
        <w:t xml:space="preserve">mora borza javno objaviti informacije o razlogih za ustavitev ali omejitev trgovanja ter načela za določitev tehničnih parametrov, ki se pri tem uporabljajo. Če </w:t>
      </w:r>
      <w:r w:rsidR="00C31C4B" w:rsidRPr="00445B9C">
        <w:rPr>
          <w:rFonts w:cs="Arial"/>
          <w:szCs w:val="20"/>
        </w:rPr>
        <w:t>borza</w:t>
      </w:r>
      <w:r w:rsidRPr="00445B9C">
        <w:rPr>
          <w:rFonts w:cs="Arial"/>
          <w:szCs w:val="20"/>
        </w:rPr>
        <w:t xml:space="preserve"> ne ukrepa kljub neurejenim tržnim razmeram zaradi velikih cenovnih nihanj, lahko </w:t>
      </w:r>
      <w:r w:rsidR="00C31C4B" w:rsidRPr="00445B9C">
        <w:rPr>
          <w:rFonts w:cs="Arial"/>
          <w:szCs w:val="20"/>
        </w:rPr>
        <w:t xml:space="preserve">ATVP </w:t>
      </w:r>
      <w:r w:rsidRPr="00445B9C">
        <w:rPr>
          <w:rFonts w:cs="Arial"/>
          <w:szCs w:val="20"/>
        </w:rPr>
        <w:t xml:space="preserve">sprejmejo ustrezne ukrepe za </w:t>
      </w:r>
      <w:r w:rsidR="00254BED">
        <w:rPr>
          <w:rFonts w:cs="Arial"/>
          <w:szCs w:val="20"/>
        </w:rPr>
        <w:t>vnovično</w:t>
      </w:r>
      <w:r w:rsidR="00254BED" w:rsidRPr="00445B9C">
        <w:rPr>
          <w:rFonts w:cs="Arial"/>
          <w:szCs w:val="20"/>
        </w:rPr>
        <w:t xml:space="preserve"> </w:t>
      </w:r>
      <w:r w:rsidRPr="00445B9C">
        <w:rPr>
          <w:rFonts w:cs="Arial"/>
          <w:szCs w:val="20"/>
        </w:rPr>
        <w:t>vzpostavitev normalnega delovanja trgov.</w:t>
      </w:r>
      <w:r w:rsidR="00C31C4B" w:rsidRPr="00445B9C">
        <w:rPr>
          <w:rFonts w:cs="Arial"/>
          <w:szCs w:val="20"/>
        </w:rPr>
        <w:t xml:space="preserve"> Z navedenim se prenaša podtočka (ii) točke (a) sedmega odstavka prvega člena Direktive 2024/790/EU.</w:t>
      </w:r>
    </w:p>
    <w:p w14:paraId="60DFB0B3" w14:textId="77777777" w:rsidR="00FE0F83" w:rsidRPr="00445B9C" w:rsidRDefault="00D81F5F" w:rsidP="00C64B3F">
      <w:pPr>
        <w:spacing w:line="240" w:lineRule="auto"/>
        <w:jc w:val="both"/>
        <w:rPr>
          <w:rFonts w:cs="Arial"/>
          <w:szCs w:val="20"/>
        </w:rPr>
      </w:pPr>
      <w:r w:rsidRPr="00445B9C">
        <w:rPr>
          <w:rFonts w:cs="Arial"/>
          <w:szCs w:val="20"/>
        </w:rPr>
        <w:t xml:space="preserve"> </w:t>
      </w:r>
    </w:p>
    <w:p w14:paraId="008AB2C0" w14:textId="516516D4"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_Ref196734784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39. </w:t>
      </w:r>
      <w:r w:rsidR="003732A5" w:rsidRPr="00445B9C">
        <w:rPr>
          <w:rFonts w:cs="Arial"/>
          <w:b/>
          <w:bCs/>
          <w:szCs w:val="20"/>
        </w:rPr>
        <w:fldChar w:fldCharType="end"/>
      </w:r>
      <w:r w:rsidRPr="00445B9C">
        <w:rPr>
          <w:rFonts w:cs="Arial"/>
          <w:b/>
          <w:bCs/>
          <w:szCs w:val="20"/>
        </w:rPr>
        <w:t>členu</w:t>
      </w:r>
    </w:p>
    <w:p w14:paraId="63F81C8E" w14:textId="7DB943AD" w:rsidR="00F034D8" w:rsidRPr="00445B9C" w:rsidRDefault="00F034D8" w:rsidP="0083422B">
      <w:pPr>
        <w:spacing w:line="276" w:lineRule="auto"/>
        <w:jc w:val="both"/>
        <w:rPr>
          <w:rFonts w:cs="Arial"/>
          <w:szCs w:val="20"/>
        </w:rPr>
      </w:pPr>
      <w:r w:rsidRPr="00445B9C">
        <w:rPr>
          <w:rFonts w:cs="Arial"/>
          <w:szCs w:val="20"/>
        </w:rPr>
        <w:lastRenderedPageBreak/>
        <w:t xml:space="preserve">Za mesta trgovanja, ki dovoljujejo ali omogočajo algoritemsko trgovanje, že </w:t>
      </w:r>
      <w:r w:rsidR="00254BED">
        <w:rPr>
          <w:rFonts w:cs="Arial"/>
          <w:szCs w:val="20"/>
        </w:rPr>
        <w:t>z</w:t>
      </w:r>
      <w:r w:rsidRPr="00445B9C">
        <w:rPr>
          <w:rFonts w:cs="Arial"/>
          <w:szCs w:val="20"/>
        </w:rPr>
        <w:t>daj veljajo pravila, ki urejajo odpornost in zmogljivost njihovih sistemov, zahtevajo ustrezno testiranje algoritmov, ureditev neprekinjenega poslovanja za obravnavanje motečih incidentov, ki določa minimalno vsebino za načrte neprekinjenega poslovanja in zahteva redni pregled takšnih načrtov</w:t>
      </w:r>
      <w:r w:rsidR="00254BED">
        <w:rPr>
          <w:rFonts w:cs="Arial"/>
          <w:szCs w:val="20"/>
        </w:rPr>
        <w:t xml:space="preserve"> –</w:t>
      </w:r>
      <w:r w:rsidRPr="00445B9C">
        <w:rPr>
          <w:rFonts w:cs="Arial"/>
          <w:szCs w:val="20"/>
        </w:rPr>
        <w:t xml:space="preserve"> poleg določb o varnosti in omejitvah dostopa ter nekaterih pravil, povezanih z upravljanjem. Te zahteve so podrobneje opredeljene v </w:t>
      </w:r>
      <w:r w:rsidRPr="00445B9C">
        <w:rPr>
          <w:rFonts w:cs="Arial"/>
          <w:i/>
          <w:iCs/>
          <w:szCs w:val="20"/>
        </w:rPr>
        <w:t>Delegirani uredbi Komisije (EU) 2017/584 z dne 14. julija 2016 o dopolnitvi Direktive 2014/65/EU Evropskega parlamenta in Sveta v zvezi z regulativnimi tehničnimi standardi, ki določajo organizacijske zahteve za mesta trgovanja</w:t>
      </w:r>
      <w:r w:rsidRPr="00445B9C">
        <w:rPr>
          <w:rFonts w:cs="Arial"/>
          <w:szCs w:val="20"/>
        </w:rPr>
        <w:t>. Zaradi povečevanj</w:t>
      </w:r>
      <w:r w:rsidR="00254BED">
        <w:rPr>
          <w:rFonts w:cs="Arial"/>
          <w:szCs w:val="20"/>
        </w:rPr>
        <w:t>a</w:t>
      </w:r>
      <w:r w:rsidRPr="00445B9C">
        <w:rPr>
          <w:rFonts w:cs="Arial"/>
          <w:szCs w:val="20"/>
        </w:rPr>
        <w:t xml:space="preserve"> groženj, povezanih z IKT</w:t>
      </w:r>
      <w:r w:rsidR="00254BED">
        <w:rPr>
          <w:rFonts w:cs="Arial"/>
          <w:szCs w:val="20"/>
        </w:rPr>
        <w:t>,</w:t>
      </w:r>
      <w:r w:rsidRPr="00445B9C">
        <w:rPr>
          <w:rFonts w:cs="Arial"/>
          <w:szCs w:val="20"/>
        </w:rPr>
        <w:t xml:space="preserve"> je treb</w:t>
      </w:r>
      <w:r w:rsidR="00254BED">
        <w:rPr>
          <w:rFonts w:cs="Arial"/>
          <w:szCs w:val="20"/>
        </w:rPr>
        <w:t>a</w:t>
      </w:r>
      <w:r w:rsidRPr="00445B9C">
        <w:rPr>
          <w:rFonts w:cs="Arial"/>
          <w:szCs w:val="20"/>
        </w:rPr>
        <w:t xml:space="preserve"> pravila posodobiti, zato </w:t>
      </w:r>
      <w:r w:rsidR="00254BED">
        <w:rPr>
          <w:rFonts w:cs="Arial"/>
          <w:szCs w:val="20"/>
        </w:rPr>
        <w:t>s</w:t>
      </w:r>
      <w:r w:rsidRPr="00445B9C">
        <w:rPr>
          <w:rFonts w:cs="Arial"/>
          <w:szCs w:val="20"/>
        </w:rPr>
        <w:t xml:space="preserve">e </w:t>
      </w:r>
      <w:r w:rsidR="00254BED">
        <w:rPr>
          <w:rFonts w:cs="Arial"/>
          <w:szCs w:val="20"/>
        </w:rPr>
        <w:t xml:space="preserve">mora </w:t>
      </w:r>
      <w:r w:rsidRPr="00445B9C">
        <w:rPr>
          <w:rFonts w:cs="Arial"/>
          <w:szCs w:val="20"/>
        </w:rPr>
        <w:t>ZTFI-1 uskladiti z Uredbo 2022/2554/EU.</w:t>
      </w:r>
    </w:p>
    <w:p w14:paraId="406C6541" w14:textId="77777777" w:rsidR="00F034D8" w:rsidRPr="00445B9C" w:rsidRDefault="00F034D8" w:rsidP="0083422B">
      <w:pPr>
        <w:spacing w:line="276" w:lineRule="auto"/>
        <w:jc w:val="both"/>
        <w:rPr>
          <w:rFonts w:cs="Arial"/>
          <w:szCs w:val="20"/>
        </w:rPr>
      </w:pPr>
    </w:p>
    <w:p w14:paraId="1975429C" w14:textId="77777777" w:rsidR="00FE0F83" w:rsidRPr="00445B9C" w:rsidRDefault="00F034D8" w:rsidP="0083422B">
      <w:pPr>
        <w:spacing w:line="276" w:lineRule="auto"/>
        <w:jc w:val="both"/>
        <w:rPr>
          <w:rFonts w:cs="Arial"/>
          <w:szCs w:val="20"/>
        </w:rPr>
      </w:pPr>
      <w:r w:rsidRPr="00445B9C">
        <w:rPr>
          <w:rFonts w:cs="Arial"/>
          <w:szCs w:val="20"/>
        </w:rPr>
        <w:t>Z dopolnitvijo drugega odstavka 376. člena se v ZTFI-1 prenaša točka (a) prvega odstavka 6. člena Direktive 2022/2556/EU.</w:t>
      </w:r>
    </w:p>
    <w:p w14:paraId="428925E6" w14:textId="77777777" w:rsidR="00FE0F83" w:rsidRPr="00445B9C" w:rsidRDefault="00FE0F83" w:rsidP="00C64B3F">
      <w:pPr>
        <w:spacing w:line="240" w:lineRule="auto"/>
        <w:jc w:val="both"/>
        <w:rPr>
          <w:rFonts w:cs="Arial"/>
          <w:szCs w:val="20"/>
        </w:rPr>
      </w:pPr>
    </w:p>
    <w:p w14:paraId="227FD07B" w14:textId="2E299FA1"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_Ref196734801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40. </w:t>
      </w:r>
      <w:r w:rsidR="003732A5" w:rsidRPr="00445B9C">
        <w:rPr>
          <w:rFonts w:cs="Arial"/>
          <w:b/>
          <w:bCs/>
          <w:szCs w:val="20"/>
        </w:rPr>
        <w:fldChar w:fldCharType="end"/>
      </w:r>
      <w:r w:rsidRPr="00445B9C">
        <w:rPr>
          <w:rFonts w:cs="Arial"/>
          <w:b/>
          <w:bCs/>
          <w:szCs w:val="20"/>
        </w:rPr>
        <w:t>členu</w:t>
      </w:r>
    </w:p>
    <w:p w14:paraId="1C6DD60D" w14:textId="3E1FA9E4" w:rsidR="00331898" w:rsidRPr="00445B9C" w:rsidRDefault="00331898" w:rsidP="00C64B3F">
      <w:pPr>
        <w:spacing w:line="240" w:lineRule="auto"/>
        <w:jc w:val="both"/>
        <w:rPr>
          <w:rFonts w:cs="Arial"/>
          <w:szCs w:val="20"/>
        </w:rPr>
      </w:pPr>
      <w:r w:rsidRPr="00445B9C">
        <w:rPr>
          <w:rFonts w:cs="Arial"/>
          <w:szCs w:val="20"/>
        </w:rPr>
        <w:t xml:space="preserve">ZTFI-1 </w:t>
      </w:r>
      <w:r w:rsidR="00254BED">
        <w:rPr>
          <w:rFonts w:cs="Arial"/>
          <w:szCs w:val="20"/>
        </w:rPr>
        <w:t xml:space="preserve">v </w:t>
      </w:r>
      <w:r w:rsidR="00254BED" w:rsidRPr="00445B9C">
        <w:rPr>
          <w:rFonts w:cs="Arial"/>
          <w:szCs w:val="20"/>
        </w:rPr>
        <w:t>377. člen</w:t>
      </w:r>
      <w:r w:rsidR="00254BED">
        <w:rPr>
          <w:rFonts w:cs="Arial"/>
          <w:szCs w:val="20"/>
        </w:rPr>
        <w:t>u</w:t>
      </w:r>
      <w:r w:rsidR="00254BED" w:rsidRPr="00445B9C">
        <w:rPr>
          <w:rFonts w:cs="Arial"/>
          <w:szCs w:val="20"/>
        </w:rPr>
        <w:t xml:space="preserve"> </w:t>
      </w:r>
      <w:r w:rsidRPr="00445B9C">
        <w:rPr>
          <w:rFonts w:cs="Arial"/>
          <w:szCs w:val="20"/>
        </w:rPr>
        <w:t>ureja korake kotacij (</w:t>
      </w:r>
      <w:r w:rsidRPr="00445B9C">
        <w:rPr>
          <w:rFonts w:cs="Arial"/>
          <w:i/>
          <w:iCs/>
          <w:szCs w:val="20"/>
        </w:rPr>
        <w:t xml:space="preserve">ang. </w:t>
      </w:r>
      <w:proofErr w:type="spellStart"/>
      <w:r w:rsidRPr="00445B9C">
        <w:rPr>
          <w:rFonts w:cs="Arial"/>
          <w:i/>
          <w:iCs/>
          <w:szCs w:val="20"/>
        </w:rPr>
        <w:t>tick</w:t>
      </w:r>
      <w:proofErr w:type="spellEnd"/>
      <w:r w:rsidRPr="00445B9C">
        <w:rPr>
          <w:rFonts w:cs="Arial"/>
          <w:i/>
          <w:iCs/>
          <w:szCs w:val="20"/>
        </w:rPr>
        <w:t xml:space="preserve"> </w:t>
      </w:r>
      <w:proofErr w:type="spellStart"/>
      <w:r w:rsidRPr="00445B9C">
        <w:rPr>
          <w:rFonts w:cs="Arial"/>
          <w:i/>
          <w:iCs/>
          <w:szCs w:val="20"/>
        </w:rPr>
        <w:t>size</w:t>
      </w:r>
      <w:proofErr w:type="spellEnd"/>
      <w:r w:rsidRPr="00445B9C">
        <w:rPr>
          <w:rFonts w:cs="Arial"/>
          <w:szCs w:val="20"/>
        </w:rPr>
        <w:t>), ki pomenijo najmanjšo dovoljeno spremembo cene finančnega instrumenta pri trgovanju</w:t>
      </w:r>
      <w:r w:rsidR="00BF0FCA" w:rsidRPr="00445B9C">
        <w:rPr>
          <w:rFonts w:cs="Arial"/>
          <w:szCs w:val="20"/>
        </w:rPr>
        <w:t xml:space="preserve"> (podrobneje </w:t>
      </w:r>
      <w:r w:rsidR="00254BED">
        <w:rPr>
          <w:rFonts w:cs="Arial"/>
          <w:szCs w:val="20"/>
        </w:rPr>
        <w:t xml:space="preserve">je to </w:t>
      </w:r>
      <w:r w:rsidR="00BF0FCA" w:rsidRPr="00445B9C">
        <w:rPr>
          <w:rFonts w:cs="Arial"/>
          <w:szCs w:val="20"/>
        </w:rPr>
        <w:t xml:space="preserve">urejeno v </w:t>
      </w:r>
      <w:r w:rsidR="00BF0FCA" w:rsidRPr="00445B9C">
        <w:rPr>
          <w:rFonts w:cs="Arial"/>
          <w:i/>
          <w:iCs/>
          <w:szCs w:val="20"/>
        </w:rPr>
        <w:t>Delegirani uredbi Komisije (EU) 2017/588 z dne 14. julija 2016 o dopolnitvi Direktive 2014/65/EU Evropskega parlamenta in Sveta v zvezi z regulativnimi tehničnimi standardi glede režima za korake kotacije za delnice, potrdila o lastništvu in investicijske sklade, s katerimi se trguje na borzi</w:t>
      </w:r>
      <w:r w:rsidR="00BF0FCA" w:rsidRPr="00445B9C">
        <w:rPr>
          <w:rFonts w:cs="Arial"/>
          <w:szCs w:val="20"/>
        </w:rPr>
        <w:t>)</w:t>
      </w:r>
      <w:r w:rsidRPr="00445B9C">
        <w:rPr>
          <w:rFonts w:cs="Arial"/>
          <w:szCs w:val="20"/>
        </w:rPr>
        <w:t xml:space="preserve">. Koraki kotacije so pomembni, ker vplivajo na globino trga, likvidnost in volatilnost cen. Pravilno določeni koraki kotacije lahko prispevajo k bolj stabilnim cenam in učinkovitemu delovanju trga. Predlaga se, da če </w:t>
      </w:r>
      <w:r w:rsidR="001A713F" w:rsidRPr="00445B9C">
        <w:rPr>
          <w:rFonts w:cs="Arial"/>
          <w:szCs w:val="20"/>
        </w:rPr>
        <w:t xml:space="preserve">je </w:t>
      </w:r>
      <w:r w:rsidRPr="00445B9C">
        <w:rPr>
          <w:rFonts w:cs="Arial"/>
          <w:szCs w:val="20"/>
        </w:rPr>
        <w:t>delnicam dodeljena številk</w:t>
      </w:r>
      <w:r w:rsidR="001A713F" w:rsidRPr="00445B9C">
        <w:rPr>
          <w:rFonts w:cs="Arial"/>
          <w:szCs w:val="20"/>
        </w:rPr>
        <w:t>a</w:t>
      </w:r>
      <w:r w:rsidRPr="00445B9C">
        <w:rPr>
          <w:rFonts w:cs="Arial"/>
          <w:szCs w:val="20"/>
        </w:rPr>
        <w:t xml:space="preserve"> ISIN zunaj EGP ali ima ISIN v EGP, vendar se z njo trguje v tretji državi v lokalni ali ne-EGP valuti, in je njen glavni trg</w:t>
      </w:r>
      <w:r w:rsidR="001A713F" w:rsidRPr="00445B9C">
        <w:rPr>
          <w:rFonts w:eastAsia="Arial" w:cs="Arial"/>
          <w:szCs w:val="20"/>
        </w:rPr>
        <w:t xml:space="preserve"> </w:t>
      </w:r>
      <w:r w:rsidR="00254BED">
        <w:rPr>
          <w:rFonts w:eastAsia="Arial" w:cs="Arial"/>
          <w:szCs w:val="20"/>
        </w:rPr>
        <w:t xml:space="preserve">z vidika </w:t>
      </w:r>
      <w:r w:rsidR="001A713F" w:rsidRPr="00445B9C">
        <w:rPr>
          <w:rFonts w:eastAsia="Arial" w:cs="Arial"/>
          <w:szCs w:val="20"/>
        </w:rPr>
        <w:t>likvidnost</w:t>
      </w:r>
      <w:r w:rsidR="00254BED">
        <w:rPr>
          <w:rFonts w:eastAsia="Arial" w:cs="Arial"/>
          <w:szCs w:val="20"/>
        </w:rPr>
        <w:t>i</w:t>
      </w:r>
      <w:r w:rsidRPr="00445B9C">
        <w:rPr>
          <w:rFonts w:cs="Arial"/>
          <w:szCs w:val="20"/>
        </w:rPr>
        <w:t xml:space="preserve"> v tretji državi, lahko borza uporabi enak korak kotacije kot tamkajšnje mesto trgovanja. S predlagano dopolnitvijo se želi</w:t>
      </w:r>
      <w:r w:rsidR="005B0306">
        <w:rPr>
          <w:rFonts w:cs="Arial"/>
          <w:szCs w:val="20"/>
        </w:rPr>
        <w:t>jo</w:t>
      </w:r>
      <w:r w:rsidRPr="00445B9C">
        <w:rPr>
          <w:rFonts w:cs="Arial"/>
          <w:szCs w:val="20"/>
        </w:rPr>
        <w:t xml:space="preserve"> zagotoviti enak</w:t>
      </w:r>
      <w:r w:rsidR="005B0306">
        <w:rPr>
          <w:rFonts w:cs="Arial"/>
          <w:szCs w:val="20"/>
        </w:rPr>
        <w:t>i</w:t>
      </w:r>
      <w:r w:rsidRPr="00445B9C">
        <w:rPr>
          <w:rFonts w:cs="Arial"/>
          <w:szCs w:val="20"/>
        </w:rPr>
        <w:t xml:space="preserve"> pogoj</w:t>
      </w:r>
      <w:r w:rsidR="005B0306">
        <w:rPr>
          <w:rFonts w:cs="Arial"/>
          <w:szCs w:val="20"/>
        </w:rPr>
        <w:t>i</w:t>
      </w:r>
      <w:r w:rsidRPr="00445B9C">
        <w:rPr>
          <w:rFonts w:cs="Arial"/>
          <w:szCs w:val="20"/>
        </w:rPr>
        <w:t xml:space="preserve"> za vse udeležence na trgu. </w:t>
      </w:r>
    </w:p>
    <w:p w14:paraId="3CB9829F" w14:textId="77777777" w:rsidR="00331898" w:rsidRPr="00445B9C" w:rsidRDefault="00331898" w:rsidP="00C64B3F">
      <w:pPr>
        <w:spacing w:line="240" w:lineRule="auto"/>
        <w:jc w:val="both"/>
        <w:rPr>
          <w:rFonts w:cs="Arial"/>
          <w:szCs w:val="20"/>
        </w:rPr>
      </w:pPr>
    </w:p>
    <w:p w14:paraId="33D4D5B2" w14:textId="77777777" w:rsidR="00331898" w:rsidRPr="00445B9C" w:rsidRDefault="00331898" w:rsidP="00331898">
      <w:pPr>
        <w:spacing w:line="276" w:lineRule="auto"/>
        <w:jc w:val="both"/>
        <w:rPr>
          <w:rFonts w:cs="Arial"/>
          <w:szCs w:val="20"/>
        </w:rPr>
      </w:pPr>
      <w:r w:rsidRPr="00445B9C">
        <w:rPr>
          <w:rFonts w:cs="Arial"/>
          <w:szCs w:val="20"/>
        </w:rPr>
        <w:t>Z dopolnitvijo 3. točke drugega odstavka 377. člena se v ZTFI-1 prenaša osmi odstavek 1. člena Direktive 2024/790/EU.</w:t>
      </w:r>
    </w:p>
    <w:p w14:paraId="0716CF88" w14:textId="77777777" w:rsidR="00331898" w:rsidRPr="00445B9C" w:rsidRDefault="00331898" w:rsidP="00C64B3F">
      <w:pPr>
        <w:spacing w:line="240" w:lineRule="auto"/>
        <w:jc w:val="both"/>
        <w:rPr>
          <w:rFonts w:cs="Arial"/>
          <w:szCs w:val="20"/>
        </w:rPr>
      </w:pPr>
    </w:p>
    <w:p w14:paraId="11243AEC" w14:textId="0DDDAA73"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_Ref196734811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41. </w:t>
      </w:r>
      <w:r w:rsidR="003732A5" w:rsidRPr="00445B9C">
        <w:rPr>
          <w:rFonts w:cs="Arial"/>
          <w:b/>
          <w:bCs/>
          <w:szCs w:val="20"/>
        </w:rPr>
        <w:fldChar w:fldCharType="end"/>
      </w:r>
      <w:r w:rsidRPr="00445B9C">
        <w:rPr>
          <w:rFonts w:cs="Arial"/>
          <w:b/>
          <w:bCs/>
          <w:szCs w:val="20"/>
        </w:rPr>
        <w:t>členu</w:t>
      </w:r>
    </w:p>
    <w:p w14:paraId="35F53126" w14:textId="62BFB5D7" w:rsidR="00FE0F83" w:rsidRPr="00445B9C" w:rsidRDefault="00F75D8E" w:rsidP="00C64B3F">
      <w:pPr>
        <w:spacing w:line="240" w:lineRule="auto"/>
        <w:jc w:val="both"/>
        <w:rPr>
          <w:rFonts w:cs="Arial"/>
          <w:szCs w:val="20"/>
        </w:rPr>
      </w:pPr>
      <w:r w:rsidRPr="00445B9C">
        <w:rPr>
          <w:rFonts w:cs="Arial"/>
          <w:szCs w:val="20"/>
        </w:rPr>
        <w:t>Zaradi boljšega spremljanje dogodkov, o katerih se poroča</w:t>
      </w:r>
      <w:r w:rsidR="00254BED">
        <w:rPr>
          <w:rFonts w:cs="Arial"/>
          <w:szCs w:val="20"/>
        </w:rPr>
        <w:t>,</w:t>
      </w:r>
      <w:r w:rsidRPr="00445B9C">
        <w:rPr>
          <w:rFonts w:cs="Arial"/>
          <w:szCs w:val="20"/>
        </w:rPr>
        <w:t xml:space="preserve"> ZTFI-1 v 378. členu določa uskladitev poslovnih ur za mesta trgovanja in njihove člane. Zaradi poenotenja in razširitve te zahteve na dodatne zavezance na ravni EU se uskladitev poslovnih ur po novem ureja z novim 22c členom Uredbe 600/2014/EU. Zato se predlaga črtanje 378. člena ZTFI-1.</w:t>
      </w:r>
    </w:p>
    <w:p w14:paraId="1A6B483D" w14:textId="77777777" w:rsidR="00F75D8E" w:rsidRPr="00445B9C" w:rsidRDefault="00F75D8E" w:rsidP="00C64B3F">
      <w:pPr>
        <w:spacing w:line="240" w:lineRule="auto"/>
        <w:jc w:val="both"/>
        <w:rPr>
          <w:rFonts w:cs="Arial"/>
          <w:szCs w:val="20"/>
        </w:rPr>
      </w:pPr>
    </w:p>
    <w:p w14:paraId="20BEFFF0" w14:textId="77777777" w:rsidR="00F75D8E" w:rsidRPr="00445B9C" w:rsidRDefault="00F75D8E" w:rsidP="00F75D8E">
      <w:pPr>
        <w:spacing w:line="276" w:lineRule="auto"/>
        <w:jc w:val="both"/>
        <w:rPr>
          <w:rFonts w:cs="Arial"/>
          <w:szCs w:val="20"/>
        </w:rPr>
      </w:pPr>
      <w:r w:rsidRPr="00445B9C">
        <w:rPr>
          <w:rFonts w:cs="Arial"/>
          <w:szCs w:val="20"/>
        </w:rPr>
        <w:t>S črtanjem 378. člena se v ZTFI-1 prenaša deveti odstavek 1. člena Direktive 2024/790/EU.</w:t>
      </w:r>
    </w:p>
    <w:p w14:paraId="5A6D615E" w14:textId="77777777" w:rsidR="00FE0F83" w:rsidRPr="00445B9C" w:rsidRDefault="00FE0F83" w:rsidP="00C64B3F">
      <w:pPr>
        <w:spacing w:line="240" w:lineRule="auto"/>
        <w:jc w:val="both"/>
        <w:rPr>
          <w:rFonts w:cs="Arial"/>
          <w:szCs w:val="20"/>
        </w:rPr>
      </w:pPr>
    </w:p>
    <w:p w14:paraId="313D426B" w14:textId="0BE0B1C8"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_Ref196734826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42. </w:t>
      </w:r>
      <w:r w:rsidR="003732A5" w:rsidRPr="00445B9C">
        <w:rPr>
          <w:rFonts w:cs="Arial"/>
          <w:b/>
          <w:bCs/>
          <w:szCs w:val="20"/>
        </w:rPr>
        <w:fldChar w:fldCharType="end"/>
      </w:r>
      <w:r w:rsidRPr="00445B9C">
        <w:rPr>
          <w:rFonts w:cs="Arial"/>
          <w:b/>
          <w:bCs/>
          <w:szCs w:val="20"/>
        </w:rPr>
        <w:t>členu</w:t>
      </w:r>
    </w:p>
    <w:p w14:paraId="1629D299" w14:textId="3E233626" w:rsidR="00FE0F83" w:rsidRPr="00445B9C" w:rsidRDefault="00FC1115" w:rsidP="00FC1115">
      <w:pPr>
        <w:spacing w:line="276" w:lineRule="auto"/>
        <w:jc w:val="both"/>
        <w:rPr>
          <w:rFonts w:cs="Arial"/>
          <w:szCs w:val="20"/>
        </w:rPr>
      </w:pPr>
      <w:r w:rsidRPr="00445B9C">
        <w:rPr>
          <w:rFonts w:cs="Arial"/>
          <w:szCs w:val="20"/>
        </w:rPr>
        <w:t xml:space="preserve">S spremembo </w:t>
      </w:r>
      <w:r w:rsidR="00A029D9" w:rsidRPr="00445B9C">
        <w:rPr>
          <w:rFonts w:cs="Arial"/>
          <w:szCs w:val="20"/>
        </w:rPr>
        <w:t>drugega</w:t>
      </w:r>
      <w:r w:rsidRPr="00445B9C">
        <w:rPr>
          <w:rFonts w:cs="Arial"/>
          <w:szCs w:val="20"/>
        </w:rPr>
        <w:t xml:space="preserve"> odstavka 3</w:t>
      </w:r>
      <w:r w:rsidR="00A029D9" w:rsidRPr="00445B9C">
        <w:rPr>
          <w:rFonts w:cs="Arial"/>
          <w:szCs w:val="20"/>
        </w:rPr>
        <w:t>82</w:t>
      </w:r>
      <w:r w:rsidRPr="00445B9C">
        <w:rPr>
          <w:rFonts w:cs="Arial"/>
          <w:szCs w:val="20"/>
        </w:rPr>
        <w:t>. člena ZTFI-1 se določa razširjena obveznost za borzo v zvezi z zagotovitvijo obvladovanj tveganj na področju IKT v skladu z II. poglavjem Uredbe 2022/2554.</w:t>
      </w:r>
      <w:r w:rsidR="006700C6" w:rsidRPr="00445B9C">
        <w:rPr>
          <w:rFonts w:cs="Arial"/>
          <w:szCs w:val="20"/>
        </w:rPr>
        <w:t xml:space="preserve"> </w:t>
      </w:r>
      <w:r w:rsidRPr="00445B9C">
        <w:rPr>
          <w:rFonts w:cs="Arial"/>
          <w:szCs w:val="20"/>
        </w:rPr>
        <w:t xml:space="preserve">ZTFI-1 </w:t>
      </w:r>
      <w:r w:rsidR="006700C6" w:rsidRPr="00445B9C">
        <w:rPr>
          <w:rFonts w:cs="Arial"/>
          <w:szCs w:val="20"/>
        </w:rPr>
        <w:t>je treb</w:t>
      </w:r>
      <w:r w:rsidR="00254BED">
        <w:rPr>
          <w:rFonts w:cs="Arial"/>
          <w:szCs w:val="20"/>
        </w:rPr>
        <w:t>a</w:t>
      </w:r>
      <w:r w:rsidR="006700C6" w:rsidRPr="00445B9C">
        <w:rPr>
          <w:rFonts w:cs="Arial"/>
          <w:szCs w:val="20"/>
        </w:rPr>
        <w:t xml:space="preserve"> </w:t>
      </w:r>
      <w:r w:rsidRPr="00445B9C">
        <w:rPr>
          <w:rFonts w:cs="Arial"/>
          <w:szCs w:val="20"/>
        </w:rPr>
        <w:t>uskladiti z Uredbo 2022/2554/EU glede kontinuitete in pravilnosti pri zagotavljanju investicijskih storitev in opravljanju investicijskih poslov, operativno odpornost, zmogljivost sistemov trgovanja ter učinkovitost ureditev neprekinjenega poslovanja in upravljanja tveganj.</w:t>
      </w:r>
    </w:p>
    <w:p w14:paraId="5D80F53F" w14:textId="77777777" w:rsidR="00FE0F83" w:rsidRPr="00445B9C" w:rsidRDefault="00FE0F83" w:rsidP="00C64B3F">
      <w:pPr>
        <w:spacing w:line="240" w:lineRule="auto"/>
        <w:jc w:val="both"/>
        <w:rPr>
          <w:rFonts w:cs="Arial"/>
          <w:szCs w:val="20"/>
        </w:rPr>
      </w:pPr>
    </w:p>
    <w:p w14:paraId="374D5E89" w14:textId="02CA8941" w:rsidR="00FE0F83" w:rsidRPr="00445B9C" w:rsidRDefault="006700C6" w:rsidP="00C64B3F">
      <w:pPr>
        <w:spacing w:line="240" w:lineRule="auto"/>
        <w:jc w:val="both"/>
        <w:rPr>
          <w:rFonts w:cs="Arial"/>
          <w:szCs w:val="20"/>
        </w:rPr>
      </w:pPr>
      <w:r w:rsidRPr="00445B9C">
        <w:rPr>
          <w:rFonts w:cs="Arial"/>
          <w:szCs w:val="20"/>
        </w:rPr>
        <w:t xml:space="preserve">Z dopolnitvijo drugega odstavka 382. člena se v ZTFI-1 prenaša točka (a) tretjega odstavka </w:t>
      </w:r>
      <w:r w:rsidR="00254BED">
        <w:rPr>
          <w:rFonts w:cs="Arial"/>
          <w:szCs w:val="20"/>
        </w:rPr>
        <w:t>3. člena</w:t>
      </w:r>
      <w:r w:rsidR="00254BED" w:rsidRPr="00445B9C">
        <w:rPr>
          <w:rFonts w:cs="Arial"/>
          <w:szCs w:val="20"/>
        </w:rPr>
        <w:t xml:space="preserve"> </w:t>
      </w:r>
      <w:r w:rsidRPr="00445B9C">
        <w:rPr>
          <w:rFonts w:cs="Arial"/>
          <w:szCs w:val="20"/>
        </w:rPr>
        <w:t>in točka (a) četrtega odstavka 6. člena Direktive 2022/2556/EU.</w:t>
      </w:r>
    </w:p>
    <w:p w14:paraId="2E306FC8" w14:textId="77777777" w:rsidR="006700C6" w:rsidRPr="00445B9C" w:rsidRDefault="006700C6" w:rsidP="00C64B3F">
      <w:pPr>
        <w:spacing w:line="240" w:lineRule="auto"/>
        <w:jc w:val="both"/>
        <w:rPr>
          <w:rFonts w:cs="Arial"/>
          <w:szCs w:val="20"/>
        </w:rPr>
      </w:pPr>
    </w:p>
    <w:p w14:paraId="133D2679" w14:textId="4610FB61" w:rsidR="00FE0F83" w:rsidRPr="00445B9C" w:rsidRDefault="00FE0F83" w:rsidP="00FE0F83">
      <w:pPr>
        <w:spacing w:line="276" w:lineRule="auto"/>
        <w:jc w:val="both"/>
        <w:rPr>
          <w:rFonts w:cs="Arial"/>
          <w:b/>
          <w:bCs/>
          <w:szCs w:val="20"/>
        </w:rPr>
      </w:pPr>
      <w:r w:rsidRPr="00445B9C">
        <w:rPr>
          <w:rFonts w:cs="Arial"/>
          <w:b/>
          <w:bCs/>
          <w:szCs w:val="20"/>
        </w:rPr>
        <w:t xml:space="preserve">K </w:t>
      </w:r>
      <w:r w:rsidR="003732A5" w:rsidRPr="00445B9C">
        <w:rPr>
          <w:rFonts w:cs="Arial"/>
          <w:b/>
          <w:bCs/>
          <w:szCs w:val="20"/>
        </w:rPr>
        <w:fldChar w:fldCharType="begin"/>
      </w:r>
      <w:r w:rsidR="003732A5" w:rsidRPr="00445B9C">
        <w:rPr>
          <w:rFonts w:cs="Arial"/>
          <w:b/>
          <w:bCs/>
          <w:szCs w:val="20"/>
        </w:rPr>
        <w:instrText xml:space="preserve"> REF _Ref196734840 \r \h </w:instrText>
      </w:r>
      <w:r w:rsidR="00445B9C" w:rsidRPr="00445B9C">
        <w:rPr>
          <w:rFonts w:cs="Arial"/>
          <w:b/>
          <w:bCs/>
          <w:szCs w:val="20"/>
        </w:rPr>
        <w:instrText xml:space="preserve"> \* MERGEFORMAT </w:instrText>
      </w:r>
      <w:r w:rsidR="003732A5" w:rsidRPr="00445B9C">
        <w:rPr>
          <w:rFonts w:cs="Arial"/>
          <w:b/>
          <w:bCs/>
          <w:szCs w:val="20"/>
        </w:rPr>
      </w:r>
      <w:r w:rsidR="003732A5" w:rsidRPr="00445B9C">
        <w:rPr>
          <w:rFonts w:cs="Arial"/>
          <w:b/>
          <w:bCs/>
          <w:szCs w:val="20"/>
        </w:rPr>
        <w:fldChar w:fldCharType="separate"/>
      </w:r>
      <w:r w:rsidR="001638A0" w:rsidRPr="00445B9C">
        <w:rPr>
          <w:rFonts w:cs="Arial"/>
          <w:b/>
          <w:bCs/>
          <w:szCs w:val="20"/>
        </w:rPr>
        <w:t xml:space="preserve">43. </w:t>
      </w:r>
      <w:r w:rsidR="003732A5" w:rsidRPr="00445B9C">
        <w:rPr>
          <w:rFonts w:cs="Arial"/>
          <w:b/>
          <w:bCs/>
          <w:szCs w:val="20"/>
        </w:rPr>
        <w:fldChar w:fldCharType="end"/>
      </w:r>
      <w:r w:rsidRPr="00445B9C">
        <w:rPr>
          <w:rFonts w:cs="Arial"/>
          <w:b/>
          <w:bCs/>
          <w:szCs w:val="20"/>
        </w:rPr>
        <w:t>členu</w:t>
      </w:r>
    </w:p>
    <w:p w14:paraId="2BF9A921" w14:textId="59CD382C" w:rsidR="004D30F5" w:rsidRPr="00445B9C" w:rsidRDefault="00EB1003" w:rsidP="00C64B3F">
      <w:pPr>
        <w:spacing w:line="240" w:lineRule="auto"/>
        <w:jc w:val="both"/>
        <w:rPr>
          <w:rFonts w:eastAsia="Arial" w:cs="Arial"/>
          <w:szCs w:val="20"/>
        </w:rPr>
      </w:pPr>
      <w:r w:rsidRPr="00445B9C">
        <w:rPr>
          <w:rFonts w:cs="Arial"/>
          <w:szCs w:val="20"/>
        </w:rPr>
        <w:t xml:space="preserve">Borza mora ATVP takoj obvestiti o vsaki začasni ustavitvi ali umiku iz trgovanja za vsak finančni instrument ter te informacije objaviti na svoji spletni strani v skladu z </w:t>
      </w:r>
      <w:r w:rsidRPr="00445B9C">
        <w:rPr>
          <w:rFonts w:cs="Arial"/>
          <w:i/>
          <w:iCs/>
          <w:szCs w:val="20"/>
        </w:rPr>
        <w:t>Delegirano uredbo Komisije (EU) 2017/569 z dne 24. maja 2016 o dopolnitvi Direktive 2014/65/EU Evropskega parlamenta in Sveta v zvezi z regulativnimi tehničnimi standardi za začasno ustavitev trgovanja s finančnimi instrumenti in njihov umik iz trgovanja</w:t>
      </w:r>
      <w:r w:rsidRPr="00445B9C">
        <w:rPr>
          <w:rFonts w:cs="Arial"/>
          <w:szCs w:val="20"/>
        </w:rPr>
        <w:t xml:space="preserve">. Z novim tretjim odstavkom 406. člena ZTFI-1 se določa </w:t>
      </w:r>
      <w:r w:rsidRPr="00445B9C">
        <w:rPr>
          <w:rFonts w:cs="Arial"/>
          <w:szCs w:val="20"/>
        </w:rPr>
        <w:lastRenderedPageBreak/>
        <w:t xml:space="preserve">obveznost borzi, da prej navedene informacije hkrati pošlje </w:t>
      </w:r>
      <w:r w:rsidR="004D30F5" w:rsidRPr="00445B9C">
        <w:rPr>
          <w:rFonts w:cs="Arial"/>
          <w:szCs w:val="20"/>
        </w:rPr>
        <w:t xml:space="preserve">ATVP za namen zbiranja informacij za </w:t>
      </w:r>
      <w:r w:rsidR="004D30F5" w:rsidRPr="00445B9C">
        <w:rPr>
          <w:rFonts w:eastAsia="Arial" w:cs="Arial"/>
          <w:szCs w:val="20"/>
        </w:rPr>
        <w:t>posredovanje v ESAP.</w:t>
      </w:r>
    </w:p>
    <w:p w14:paraId="23DA212B" w14:textId="77777777" w:rsidR="004D30F5" w:rsidRPr="00445B9C" w:rsidRDefault="004D30F5" w:rsidP="00C64B3F">
      <w:pPr>
        <w:spacing w:line="240" w:lineRule="auto"/>
        <w:jc w:val="both"/>
        <w:rPr>
          <w:rFonts w:eastAsia="Arial" w:cs="Arial"/>
          <w:szCs w:val="20"/>
        </w:rPr>
      </w:pPr>
    </w:p>
    <w:p w14:paraId="023741B8" w14:textId="481678F4" w:rsidR="004D30F5" w:rsidRPr="00445B9C" w:rsidRDefault="004D30F5" w:rsidP="004D30F5">
      <w:pPr>
        <w:spacing w:line="276" w:lineRule="auto"/>
        <w:jc w:val="both"/>
        <w:rPr>
          <w:rFonts w:cs="Arial"/>
          <w:szCs w:val="20"/>
        </w:rPr>
      </w:pPr>
      <w:r w:rsidRPr="00445B9C">
        <w:rPr>
          <w:rFonts w:cs="Arial"/>
          <w:szCs w:val="20"/>
        </w:rPr>
        <w:t xml:space="preserve">Z novim tretjim odstavkom 406. člena se v ZTFI-1 prenaša 12. člen Direktive 2023/2864/EU. Novi deseti odstavek 322. člena ZTFI-1 se začne uporabljati 10. januarja 2030, kar je urejeno v drugem odstavku </w:t>
      </w:r>
      <w:r w:rsidR="003732A5" w:rsidRPr="00445B9C">
        <w:rPr>
          <w:rFonts w:cs="Arial"/>
          <w:szCs w:val="20"/>
        </w:rPr>
        <w:fldChar w:fldCharType="begin"/>
      </w:r>
      <w:r w:rsidR="003732A5" w:rsidRPr="00445B9C">
        <w:rPr>
          <w:rFonts w:cs="Arial"/>
          <w:szCs w:val="20"/>
        </w:rPr>
        <w:instrText xml:space="preserve"> REF _Ref196734116 \r \h </w:instrText>
      </w:r>
      <w:r w:rsidR="00445B9C" w:rsidRPr="00445B9C">
        <w:rPr>
          <w:rFonts w:cs="Arial"/>
          <w:szCs w:val="20"/>
        </w:rPr>
        <w:instrText xml:space="preserve"> \* MERGEFORMAT </w:instrText>
      </w:r>
      <w:r w:rsidR="003732A5" w:rsidRPr="00445B9C">
        <w:rPr>
          <w:rFonts w:cs="Arial"/>
          <w:szCs w:val="20"/>
        </w:rPr>
      </w:r>
      <w:r w:rsidR="003732A5" w:rsidRPr="00445B9C">
        <w:rPr>
          <w:rFonts w:cs="Arial"/>
          <w:szCs w:val="20"/>
        </w:rPr>
        <w:fldChar w:fldCharType="separate"/>
      </w:r>
      <w:r w:rsidR="001638A0" w:rsidRPr="00445B9C">
        <w:rPr>
          <w:rFonts w:cs="Arial"/>
          <w:szCs w:val="20"/>
        </w:rPr>
        <w:t xml:space="preserve">57. </w:t>
      </w:r>
      <w:r w:rsidR="003732A5" w:rsidRPr="00445B9C">
        <w:rPr>
          <w:rFonts w:cs="Arial"/>
          <w:szCs w:val="20"/>
        </w:rPr>
        <w:fldChar w:fldCharType="end"/>
      </w:r>
      <w:r w:rsidRPr="00445B9C">
        <w:rPr>
          <w:rFonts w:cs="Arial"/>
          <w:szCs w:val="20"/>
        </w:rPr>
        <w:t>člen</w:t>
      </w:r>
      <w:r w:rsidR="003013E2">
        <w:rPr>
          <w:rFonts w:cs="Arial"/>
          <w:szCs w:val="20"/>
        </w:rPr>
        <w:t>a</w:t>
      </w:r>
      <w:r w:rsidRPr="00445B9C">
        <w:rPr>
          <w:rFonts w:cs="Arial"/>
          <w:szCs w:val="20"/>
        </w:rPr>
        <w:t xml:space="preserve"> predloga zakona.</w:t>
      </w:r>
    </w:p>
    <w:p w14:paraId="5B185852" w14:textId="77777777" w:rsidR="00814AD5" w:rsidRPr="00445B9C" w:rsidRDefault="00814AD5" w:rsidP="004D30F5">
      <w:pPr>
        <w:spacing w:line="276" w:lineRule="auto"/>
        <w:jc w:val="both"/>
        <w:rPr>
          <w:rFonts w:cs="Arial"/>
          <w:szCs w:val="20"/>
        </w:rPr>
      </w:pPr>
    </w:p>
    <w:p w14:paraId="16BFB578" w14:textId="57B4AB4A" w:rsidR="00814AD5" w:rsidRPr="00445B9C" w:rsidRDefault="00814AD5" w:rsidP="00814AD5">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_Ref196825855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44. </w:t>
      </w:r>
      <w:r w:rsidRPr="00445B9C">
        <w:rPr>
          <w:rFonts w:cs="Arial"/>
          <w:b/>
          <w:bCs/>
          <w:szCs w:val="20"/>
        </w:rPr>
        <w:fldChar w:fldCharType="end"/>
      </w:r>
      <w:r w:rsidRPr="00445B9C">
        <w:rPr>
          <w:rFonts w:cs="Arial"/>
          <w:b/>
          <w:bCs/>
          <w:szCs w:val="20"/>
        </w:rPr>
        <w:t>členu</w:t>
      </w:r>
    </w:p>
    <w:p w14:paraId="5DACE043" w14:textId="491C0F59" w:rsidR="00814AD5" w:rsidRPr="00445B9C" w:rsidRDefault="00814AD5" w:rsidP="004D30F5">
      <w:pPr>
        <w:spacing w:line="276" w:lineRule="auto"/>
        <w:jc w:val="both"/>
        <w:rPr>
          <w:rFonts w:cs="Arial"/>
          <w:szCs w:val="20"/>
        </w:rPr>
      </w:pPr>
      <w:r w:rsidRPr="00445B9C">
        <w:rPr>
          <w:rFonts w:cs="Arial"/>
          <w:szCs w:val="20"/>
        </w:rPr>
        <w:t xml:space="preserve">Besedilo 411.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členu predloga zakona.</w:t>
      </w:r>
    </w:p>
    <w:p w14:paraId="1CE0F42E" w14:textId="77777777" w:rsidR="00FE0F83" w:rsidRPr="00445B9C" w:rsidRDefault="00FE0F83" w:rsidP="00C64B3F">
      <w:pPr>
        <w:spacing w:line="240" w:lineRule="auto"/>
        <w:jc w:val="both"/>
        <w:rPr>
          <w:rFonts w:cs="Arial"/>
          <w:szCs w:val="20"/>
        </w:rPr>
      </w:pPr>
    </w:p>
    <w:p w14:paraId="7D04555D" w14:textId="43F72262"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000A07AB" w:rsidRPr="00445B9C">
        <w:rPr>
          <w:rFonts w:cs="Arial"/>
          <w:b/>
          <w:bCs/>
          <w:szCs w:val="20"/>
        </w:rPr>
        <w:instrText xml:space="preserve"> REF _Ref192070531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45. </w:t>
      </w:r>
      <w:r w:rsidR="00CF0FDA" w:rsidRPr="00445B9C">
        <w:rPr>
          <w:rFonts w:cs="Arial"/>
          <w:b/>
          <w:bCs/>
          <w:szCs w:val="20"/>
        </w:rPr>
        <w:fldChar w:fldCharType="end"/>
      </w:r>
      <w:r w:rsidRPr="00445B9C">
        <w:rPr>
          <w:rFonts w:cs="Arial"/>
          <w:b/>
          <w:bCs/>
          <w:szCs w:val="20"/>
        </w:rPr>
        <w:t>členu</w:t>
      </w:r>
    </w:p>
    <w:p w14:paraId="2A4BBAA9" w14:textId="5C34401B" w:rsidR="00263F60" w:rsidRPr="00445B9C" w:rsidRDefault="00263F60" w:rsidP="001D6C78">
      <w:pPr>
        <w:spacing w:line="276" w:lineRule="auto"/>
        <w:jc w:val="both"/>
        <w:rPr>
          <w:rFonts w:cs="Arial"/>
          <w:szCs w:val="20"/>
        </w:rPr>
      </w:pPr>
      <w:r w:rsidRPr="00445B9C">
        <w:rPr>
          <w:rFonts w:cs="Arial"/>
          <w:szCs w:val="20"/>
        </w:rPr>
        <w:t xml:space="preserve">V skladu s četrtim odstavkom 422. člena ZTFI-1 ATVP zahteva, da vsa mesta trgovanja in sistematični </w:t>
      </w:r>
      <w:proofErr w:type="spellStart"/>
      <w:r w:rsidRPr="00445B9C">
        <w:rPr>
          <w:rFonts w:cs="Arial"/>
          <w:szCs w:val="20"/>
        </w:rPr>
        <w:t>internalizatorji</w:t>
      </w:r>
      <w:proofErr w:type="spellEnd"/>
      <w:r w:rsidRPr="00445B9C">
        <w:rPr>
          <w:rFonts w:cs="Arial"/>
          <w:szCs w:val="20"/>
        </w:rPr>
        <w:t xml:space="preserve"> v Sloveniji začasno ustavijo trgovanje ali umaknejo iz trgovanja finančni instrument, če obstaja sum kršitve predpisov. Če je tak ukrep izveden, ga ATVP takoj sporoči ESMA ter nadzornim organom drugih držav članic. Zaradi zagotavljanja </w:t>
      </w:r>
      <w:r w:rsidR="003013E2">
        <w:rPr>
          <w:rFonts w:cs="Arial"/>
          <w:szCs w:val="20"/>
        </w:rPr>
        <w:t>preglednosti</w:t>
      </w:r>
      <w:r w:rsidR="003013E2" w:rsidRPr="00445B9C">
        <w:rPr>
          <w:rFonts w:cs="Arial"/>
          <w:szCs w:val="20"/>
        </w:rPr>
        <w:t xml:space="preserve"> </w:t>
      </w:r>
      <w:r w:rsidRPr="00445B9C">
        <w:rPr>
          <w:rFonts w:cs="Arial"/>
          <w:szCs w:val="20"/>
        </w:rPr>
        <w:t xml:space="preserve">in obveščenosti vlagateljev o </w:t>
      </w:r>
      <w:r w:rsidR="003013E2">
        <w:rPr>
          <w:rFonts w:cs="Arial"/>
          <w:szCs w:val="20"/>
        </w:rPr>
        <w:t>razmerah</w:t>
      </w:r>
      <w:r w:rsidR="003013E2" w:rsidRPr="00445B9C">
        <w:rPr>
          <w:rFonts w:cs="Arial"/>
          <w:szCs w:val="20"/>
        </w:rPr>
        <w:t xml:space="preserve"> </w:t>
      </w:r>
      <w:r w:rsidRPr="00445B9C">
        <w:rPr>
          <w:rFonts w:cs="Arial"/>
          <w:szCs w:val="20"/>
        </w:rPr>
        <w:t xml:space="preserve">na trgu se predlaga dopolnitev petega odstavka 422. člena ZTFI-1, saj je pomembno, da se ta informacija </w:t>
      </w:r>
      <w:r w:rsidR="003013E2" w:rsidRPr="00445B9C">
        <w:rPr>
          <w:rFonts w:cs="Arial"/>
          <w:szCs w:val="20"/>
        </w:rPr>
        <w:t xml:space="preserve">objavi </w:t>
      </w:r>
      <w:r w:rsidRPr="00445B9C">
        <w:rPr>
          <w:rFonts w:cs="Arial"/>
          <w:szCs w:val="20"/>
        </w:rPr>
        <w:t>javno.</w:t>
      </w:r>
    </w:p>
    <w:p w14:paraId="3644B232" w14:textId="77777777" w:rsidR="00FE0F83" w:rsidRPr="00445B9C" w:rsidRDefault="00FE0F83" w:rsidP="00C64B3F">
      <w:pPr>
        <w:spacing w:line="240" w:lineRule="auto"/>
        <w:jc w:val="both"/>
        <w:rPr>
          <w:rFonts w:cs="Arial"/>
          <w:szCs w:val="20"/>
        </w:rPr>
      </w:pPr>
    </w:p>
    <w:p w14:paraId="047508FA" w14:textId="251F68AD"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_Ref196733662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46. </w:t>
      </w:r>
      <w:r w:rsidR="00A3752D" w:rsidRPr="00445B9C">
        <w:rPr>
          <w:rFonts w:cs="Arial"/>
          <w:b/>
          <w:bCs/>
          <w:szCs w:val="20"/>
        </w:rPr>
        <w:fldChar w:fldCharType="end"/>
      </w:r>
      <w:r w:rsidRPr="00445B9C">
        <w:rPr>
          <w:rFonts w:cs="Arial"/>
          <w:b/>
          <w:bCs/>
          <w:szCs w:val="20"/>
        </w:rPr>
        <w:t>členu</w:t>
      </w:r>
    </w:p>
    <w:p w14:paraId="18E60603" w14:textId="11182B7F" w:rsidR="00D76D49" w:rsidRPr="00445B9C" w:rsidRDefault="00D76D49" w:rsidP="00C118A4">
      <w:pPr>
        <w:spacing w:line="276" w:lineRule="auto"/>
        <w:jc w:val="both"/>
        <w:rPr>
          <w:rFonts w:cs="Arial"/>
          <w:szCs w:val="20"/>
        </w:rPr>
      </w:pPr>
      <w:r w:rsidRPr="00445B9C">
        <w:rPr>
          <w:rFonts w:cs="Arial"/>
          <w:szCs w:val="20"/>
        </w:rPr>
        <w:t>Z novim 429.a členom ZTFI-1 se določajo nove pristojnosti ATVP kot organa za sprejemanje podatkov iz prvega in drugega odstavka 17. člena ter tretjega odstavka 19. člena Uredbe 596/2014/EU, ki obravnavajo razkritje notranjih informacij in poročanje o transakcijah. ATVP mora zagotavljati, da so te informacije dostopne v ESAP.</w:t>
      </w:r>
      <w:r w:rsidR="0008377A" w:rsidRPr="00445B9C">
        <w:rPr>
          <w:rFonts w:cs="Arial"/>
          <w:szCs w:val="20"/>
        </w:rPr>
        <w:t xml:space="preserve"> </w:t>
      </w:r>
      <w:r w:rsidR="003013E2">
        <w:rPr>
          <w:rFonts w:cs="Arial"/>
          <w:szCs w:val="20"/>
        </w:rPr>
        <w:t xml:space="preserve"> </w:t>
      </w:r>
    </w:p>
    <w:p w14:paraId="76E2401F" w14:textId="77777777" w:rsidR="00C6128B" w:rsidRPr="00445B9C" w:rsidRDefault="00C6128B" w:rsidP="00C118A4">
      <w:pPr>
        <w:spacing w:line="276" w:lineRule="auto"/>
        <w:jc w:val="both"/>
        <w:rPr>
          <w:rFonts w:cs="Arial"/>
          <w:szCs w:val="20"/>
        </w:rPr>
      </w:pPr>
    </w:p>
    <w:p w14:paraId="517E5F52" w14:textId="42D0801B" w:rsidR="00C6128B" w:rsidRPr="00445B9C" w:rsidRDefault="00C6128B" w:rsidP="00C118A4">
      <w:pPr>
        <w:spacing w:line="276" w:lineRule="auto"/>
        <w:jc w:val="both"/>
        <w:rPr>
          <w:rFonts w:cs="Arial"/>
          <w:szCs w:val="20"/>
        </w:rPr>
      </w:pPr>
      <w:r w:rsidRPr="00445B9C">
        <w:rPr>
          <w:rFonts w:cs="Arial"/>
          <w:szCs w:val="20"/>
        </w:rPr>
        <w:t>Informacije iz prvega in drugega odstavka 17. člena in tretjega odstavka 19. člena Uredbe 596/2014/EU za izdajatelje z vrednostnimi papirji</w:t>
      </w:r>
      <w:r w:rsidR="003013E2">
        <w:rPr>
          <w:rFonts w:cs="Arial"/>
          <w:szCs w:val="20"/>
        </w:rPr>
        <w:t>,</w:t>
      </w:r>
      <w:r w:rsidRPr="00445B9C">
        <w:rPr>
          <w:rFonts w:cs="Arial"/>
          <w:szCs w:val="20"/>
        </w:rPr>
        <w:t xml:space="preserve"> </w:t>
      </w:r>
      <w:r w:rsidR="003013E2">
        <w:rPr>
          <w:rFonts w:cs="Arial"/>
          <w:szCs w:val="20"/>
        </w:rPr>
        <w:t xml:space="preserve">s katerimi </w:t>
      </w:r>
      <w:r w:rsidRPr="00445B9C">
        <w:rPr>
          <w:rFonts w:cs="Arial"/>
          <w:szCs w:val="20"/>
        </w:rPr>
        <w:t>se trguje na organiziranih trgih</w:t>
      </w:r>
      <w:r w:rsidR="003013E2">
        <w:rPr>
          <w:rFonts w:cs="Arial"/>
          <w:szCs w:val="20"/>
        </w:rPr>
        <w:t>,</w:t>
      </w:r>
      <w:r w:rsidRPr="00445B9C">
        <w:rPr>
          <w:rFonts w:cs="Arial"/>
          <w:szCs w:val="20"/>
        </w:rPr>
        <w:t xml:space="preserve"> in za udeležence trgov z emisijskimi kuponi se mora</w:t>
      </w:r>
      <w:r w:rsidR="003013E2">
        <w:rPr>
          <w:rFonts w:cs="Arial"/>
          <w:szCs w:val="20"/>
        </w:rPr>
        <w:t>jo</w:t>
      </w:r>
      <w:r w:rsidRPr="00445B9C">
        <w:rPr>
          <w:rFonts w:cs="Arial"/>
          <w:szCs w:val="20"/>
        </w:rPr>
        <w:t xml:space="preserve"> objaviti v sistemu iz 159. člena ZTFI-1 (glej določbo 21.a člena Uredbe 2014/596). Zato je smiselno, da je ta sistem organ za sprejemanje podatkov za potrebe poročanja po ESAP. Pri </w:t>
      </w:r>
      <w:r w:rsidR="003013E2">
        <w:rPr>
          <w:rFonts w:cs="Arial"/>
          <w:szCs w:val="20"/>
        </w:rPr>
        <w:t>pre</w:t>
      </w:r>
      <w:r w:rsidRPr="00445B9C">
        <w:rPr>
          <w:rFonts w:cs="Arial"/>
          <w:szCs w:val="20"/>
        </w:rPr>
        <w:t>ostalih subjektih, ki morajo objavljati informacije (v primeru izdajateljev finančnih instrumentov, s katerimi se trguje samo v MTF ali OTF, za izdajatelje, ki so odobrili trgovanje s svojimi finančnimi instrumenti v MTF ali OTF ali zahtevali uvrstitev svojih finančnih instrumentov v trgovanje v MTF v državi članici)</w:t>
      </w:r>
      <w:r w:rsidR="003013E2">
        <w:rPr>
          <w:rFonts w:cs="Arial"/>
          <w:szCs w:val="20"/>
        </w:rPr>
        <w:t>,</w:t>
      </w:r>
      <w:r w:rsidRPr="00445B9C">
        <w:rPr>
          <w:rFonts w:cs="Arial"/>
          <w:szCs w:val="20"/>
        </w:rPr>
        <w:t xml:space="preserve"> pa naj bo organ za sprejemanje podatkov </w:t>
      </w:r>
      <w:r w:rsidR="003013E2">
        <w:rPr>
          <w:rFonts w:cs="Arial"/>
          <w:szCs w:val="20"/>
        </w:rPr>
        <w:t>a</w:t>
      </w:r>
      <w:r w:rsidRPr="00445B9C">
        <w:rPr>
          <w:rFonts w:cs="Arial"/>
          <w:szCs w:val="20"/>
        </w:rPr>
        <w:t>gencija, kot je določeno v drugem odstavku predlagane spremembe.</w:t>
      </w:r>
    </w:p>
    <w:p w14:paraId="4B81547E" w14:textId="77777777" w:rsidR="00FE0F83" w:rsidRPr="00445B9C" w:rsidRDefault="00FE0F83" w:rsidP="00C64B3F">
      <w:pPr>
        <w:spacing w:line="240" w:lineRule="auto"/>
        <w:jc w:val="both"/>
        <w:rPr>
          <w:rFonts w:cs="Arial"/>
          <w:szCs w:val="20"/>
        </w:rPr>
      </w:pPr>
    </w:p>
    <w:p w14:paraId="3B93307A" w14:textId="40FF8133"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_Ref196734890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47. </w:t>
      </w:r>
      <w:r w:rsidR="00A3752D" w:rsidRPr="00445B9C">
        <w:rPr>
          <w:rFonts w:cs="Arial"/>
          <w:b/>
          <w:bCs/>
          <w:szCs w:val="20"/>
        </w:rPr>
        <w:fldChar w:fldCharType="end"/>
      </w:r>
      <w:r w:rsidRPr="00445B9C">
        <w:rPr>
          <w:rFonts w:cs="Arial"/>
          <w:b/>
          <w:bCs/>
          <w:szCs w:val="20"/>
        </w:rPr>
        <w:t>členu</w:t>
      </w:r>
    </w:p>
    <w:p w14:paraId="18B795D5" w14:textId="06171DDF" w:rsidR="00FE0F83" w:rsidRPr="00445B9C" w:rsidRDefault="00753813" w:rsidP="00C118A4">
      <w:pPr>
        <w:spacing w:line="276" w:lineRule="auto"/>
        <w:jc w:val="both"/>
        <w:rPr>
          <w:rFonts w:cs="Arial"/>
          <w:szCs w:val="20"/>
        </w:rPr>
      </w:pPr>
      <w:r w:rsidRPr="00445B9C">
        <w:rPr>
          <w:rFonts w:cs="Arial"/>
          <w:szCs w:val="20"/>
        </w:rPr>
        <w:t xml:space="preserve">S predlagano spremembo se odpravlja očitno napačen sklic na uporabo ZBan-3. Namesto sklica </w:t>
      </w:r>
      <w:r w:rsidR="005B0306">
        <w:rPr>
          <w:rFonts w:cs="Arial"/>
          <w:szCs w:val="20"/>
        </w:rPr>
        <w:t>n</w:t>
      </w:r>
      <w:r w:rsidRPr="00445B9C">
        <w:rPr>
          <w:rFonts w:cs="Arial"/>
          <w:szCs w:val="20"/>
        </w:rPr>
        <w:t xml:space="preserve">a podpoglavje </w:t>
      </w:r>
      <w:r w:rsidRPr="00445B9C">
        <w:rPr>
          <w:rFonts w:cs="Arial"/>
          <w:i/>
          <w:iCs/>
          <w:szCs w:val="20"/>
        </w:rPr>
        <w:t>5.4 Ukrepi nadzora zoper kvalificirane imetnike</w:t>
      </w:r>
      <w:r w:rsidRPr="00445B9C">
        <w:rPr>
          <w:rFonts w:cs="Arial"/>
          <w:szCs w:val="20"/>
        </w:rPr>
        <w:t xml:space="preserve"> se določa sklic </w:t>
      </w:r>
      <w:r w:rsidR="005B0306">
        <w:rPr>
          <w:rFonts w:cs="Arial"/>
          <w:szCs w:val="20"/>
        </w:rPr>
        <w:t>n</w:t>
      </w:r>
      <w:r w:rsidRPr="00445B9C">
        <w:rPr>
          <w:rFonts w:cs="Arial"/>
          <w:szCs w:val="20"/>
        </w:rPr>
        <w:t xml:space="preserve">a podpoglavje </w:t>
      </w:r>
      <w:r w:rsidRPr="00445B9C">
        <w:rPr>
          <w:rFonts w:cs="Arial"/>
          <w:i/>
          <w:iCs/>
          <w:szCs w:val="20"/>
        </w:rPr>
        <w:t>5.5 Ukrepi nadzora zoper člana upravljalnega organa</w:t>
      </w:r>
      <w:r w:rsidRPr="00445B9C">
        <w:rPr>
          <w:rFonts w:cs="Arial"/>
          <w:szCs w:val="20"/>
        </w:rPr>
        <w:t>, saj 1. in 2. točka četrtega odstavka 443. člena ureja</w:t>
      </w:r>
      <w:r w:rsidR="003013E2">
        <w:rPr>
          <w:rFonts w:cs="Arial"/>
          <w:szCs w:val="20"/>
        </w:rPr>
        <w:t>ta</w:t>
      </w:r>
      <w:r w:rsidRPr="00445B9C">
        <w:rPr>
          <w:rFonts w:cs="Arial"/>
          <w:szCs w:val="20"/>
        </w:rPr>
        <w:t xml:space="preserve"> nadzor nad člani uprave in nadzornega sveta CDD in ne nad imetniki kvalificiranih deležev CDD, ki jih ureja 3. točka četrtega odstavka 443. člena ZTFI-1</w:t>
      </w:r>
      <w:r w:rsidR="003E11E4" w:rsidRPr="00445B9C">
        <w:rPr>
          <w:rFonts w:cs="Arial"/>
          <w:szCs w:val="20"/>
        </w:rPr>
        <w:t>.</w:t>
      </w:r>
    </w:p>
    <w:p w14:paraId="58FD067E" w14:textId="315266F2" w:rsidR="003E11E4" w:rsidRPr="00445B9C" w:rsidRDefault="003E11E4" w:rsidP="00C118A4">
      <w:pPr>
        <w:spacing w:line="276" w:lineRule="auto"/>
        <w:jc w:val="both"/>
        <w:rPr>
          <w:rFonts w:cs="Arial"/>
          <w:szCs w:val="20"/>
        </w:rPr>
      </w:pPr>
    </w:p>
    <w:p w14:paraId="2A904EF6" w14:textId="250C5EE4" w:rsidR="003E11E4" w:rsidRPr="00445B9C" w:rsidRDefault="003E11E4" w:rsidP="003E11E4">
      <w:pPr>
        <w:spacing w:line="276" w:lineRule="auto"/>
        <w:jc w:val="both"/>
        <w:rPr>
          <w:rFonts w:cs="Arial"/>
          <w:b/>
          <w:bCs/>
          <w:szCs w:val="20"/>
        </w:rPr>
      </w:pPr>
      <w:r w:rsidRPr="00445B9C">
        <w:rPr>
          <w:rFonts w:cs="Arial"/>
          <w:b/>
          <w:bCs/>
          <w:szCs w:val="20"/>
        </w:rPr>
        <w:t xml:space="preserve">K </w:t>
      </w:r>
      <w:r w:rsidRPr="00445B9C">
        <w:rPr>
          <w:rFonts w:cs="Arial"/>
          <w:b/>
          <w:bCs/>
          <w:szCs w:val="20"/>
        </w:rPr>
        <w:fldChar w:fldCharType="begin"/>
      </w:r>
      <w:r w:rsidRPr="00445B9C">
        <w:rPr>
          <w:rFonts w:cs="Arial"/>
          <w:b/>
          <w:bCs/>
          <w:szCs w:val="20"/>
        </w:rPr>
        <w:instrText xml:space="preserve"> REF _Ref196825906 \r \h </w:instrText>
      </w:r>
      <w:r w:rsidR="00445B9C" w:rsidRPr="00445B9C">
        <w:rPr>
          <w:rFonts w:cs="Arial"/>
          <w:b/>
          <w:bCs/>
          <w:szCs w:val="20"/>
        </w:rPr>
        <w:instrText xml:space="preserve"> \* MERGEFORMAT </w:instrText>
      </w:r>
      <w:r w:rsidRPr="00445B9C">
        <w:rPr>
          <w:rFonts w:cs="Arial"/>
          <w:b/>
          <w:bCs/>
          <w:szCs w:val="20"/>
        </w:rPr>
      </w:r>
      <w:r w:rsidRPr="00445B9C">
        <w:rPr>
          <w:rFonts w:cs="Arial"/>
          <w:b/>
          <w:bCs/>
          <w:szCs w:val="20"/>
        </w:rPr>
        <w:fldChar w:fldCharType="separate"/>
      </w:r>
      <w:r w:rsidR="001638A0" w:rsidRPr="00445B9C">
        <w:rPr>
          <w:rFonts w:cs="Arial"/>
          <w:b/>
          <w:bCs/>
          <w:szCs w:val="20"/>
        </w:rPr>
        <w:t xml:space="preserve">48. </w:t>
      </w:r>
      <w:r w:rsidRPr="00445B9C">
        <w:rPr>
          <w:rFonts w:cs="Arial"/>
          <w:b/>
          <w:bCs/>
          <w:szCs w:val="20"/>
        </w:rPr>
        <w:fldChar w:fldCharType="end"/>
      </w:r>
      <w:r w:rsidRPr="00445B9C">
        <w:rPr>
          <w:rFonts w:cs="Arial"/>
          <w:b/>
          <w:bCs/>
          <w:szCs w:val="20"/>
        </w:rPr>
        <w:t>členu</w:t>
      </w:r>
    </w:p>
    <w:p w14:paraId="138A46FB" w14:textId="66A110BD" w:rsidR="003E11E4" w:rsidRPr="00445B9C" w:rsidRDefault="003E11E4" w:rsidP="00C118A4">
      <w:pPr>
        <w:spacing w:line="276" w:lineRule="auto"/>
        <w:jc w:val="both"/>
        <w:rPr>
          <w:rFonts w:cs="Arial"/>
          <w:szCs w:val="20"/>
        </w:rPr>
      </w:pPr>
      <w:r w:rsidRPr="00445B9C">
        <w:rPr>
          <w:rFonts w:cs="Arial"/>
          <w:szCs w:val="20"/>
        </w:rPr>
        <w:t xml:space="preserve">Besedilo 448. člena ZTFI-1 se usklajuje z ZBan-3A in Uredbo 575/2013/EU. Glej obrazložitev k </w:t>
      </w:r>
      <w:r w:rsidRPr="00445B9C">
        <w:rPr>
          <w:rFonts w:cs="Arial"/>
          <w:szCs w:val="20"/>
        </w:rPr>
        <w:fldChar w:fldCharType="begin"/>
      </w:r>
      <w:r w:rsidRPr="00445B9C">
        <w:rPr>
          <w:rFonts w:cs="Arial"/>
          <w:szCs w:val="20"/>
        </w:rPr>
        <w:instrText xml:space="preserve"> REF _Ref192067056 \r \h </w:instrText>
      </w:r>
      <w:r w:rsidR="00445B9C" w:rsidRPr="00445B9C">
        <w:rPr>
          <w:rFonts w:cs="Arial"/>
          <w:szCs w:val="20"/>
        </w:rPr>
        <w:instrText xml:space="preserve"> \* MERGEFORMAT </w:instrText>
      </w:r>
      <w:r w:rsidRPr="00445B9C">
        <w:rPr>
          <w:rFonts w:cs="Arial"/>
          <w:szCs w:val="20"/>
        </w:rPr>
      </w:r>
      <w:r w:rsidRPr="00445B9C">
        <w:rPr>
          <w:rFonts w:cs="Arial"/>
          <w:szCs w:val="20"/>
        </w:rPr>
        <w:fldChar w:fldCharType="separate"/>
      </w:r>
      <w:r w:rsidR="001638A0" w:rsidRPr="00445B9C">
        <w:rPr>
          <w:rFonts w:cs="Arial"/>
          <w:szCs w:val="20"/>
        </w:rPr>
        <w:t xml:space="preserve">3. </w:t>
      </w:r>
      <w:r w:rsidRPr="00445B9C">
        <w:rPr>
          <w:rFonts w:cs="Arial"/>
          <w:szCs w:val="20"/>
        </w:rPr>
        <w:fldChar w:fldCharType="end"/>
      </w:r>
      <w:r w:rsidRPr="00445B9C">
        <w:rPr>
          <w:rFonts w:cs="Arial"/>
          <w:szCs w:val="20"/>
        </w:rPr>
        <w:t>členu predloga zakona.</w:t>
      </w:r>
    </w:p>
    <w:p w14:paraId="55FBDA3A" w14:textId="77777777" w:rsidR="00FE0F83" w:rsidRPr="00445B9C" w:rsidRDefault="00FE0F83" w:rsidP="00C64B3F">
      <w:pPr>
        <w:spacing w:line="240" w:lineRule="auto"/>
        <w:jc w:val="both"/>
        <w:rPr>
          <w:rFonts w:cs="Arial"/>
          <w:szCs w:val="20"/>
        </w:rPr>
      </w:pPr>
    </w:p>
    <w:p w14:paraId="39EFD8B5" w14:textId="4C0C208A"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000A07AB" w:rsidRPr="00445B9C">
        <w:rPr>
          <w:rFonts w:cs="Arial"/>
          <w:b/>
          <w:bCs/>
          <w:szCs w:val="20"/>
        </w:rPr>
        <w:instrText xml:space="preserve"> REF _Ref64902651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49. </w:t>
      </w:r>
      <w:r w:rsidR="00CF0FDA" w:rsidRPr="00445B9C">
        <w:rPr>
          <w:rFonts w:cs="Arial"/>
          <w:b/>
          <w:bCs/>
          <w:szCs w:val="20"/>
        </w:rPr>
        <w:fldChar w:fldCharType="end"/>
      </w:r>
      <w:r w:rsidRPr="00445B9C">
        <w:rPr>
          <w:rFonts w:cs="Arial"/>
          <w:b/>
          <w:bCs/>
          <w:szCs w:val="20"/>
        </w:rPr>
        <w:t>členu</w:t>
      </w:r>
    </w:p>
    <w:p w14:paraId="41597856" w14:textId="77777777" w:rsidR="00FE0F83" w:rsidRPr="00445B9C" w:rsidRDefault="00263D56" w:rsidP="00E534CF">
      <w:pPr>
        <w:spacing w:line="276" w:lineRule="auto"/>
        <w:jc w:val="both"/>
        <w:rPr>
          <w:rFonts w:cs="Arial"/>
          <w:szCs w:val="20"/>
        </w:rPr>
      </w:pPr>
      <w:r w:rsidRPr="00445B9C">
        <w:rPr>
          <w:rFonts w:cs="Arial"/>
          <w:szCs w:val="20"/>
        </w:rPr>
        <w:t>Predlaga se nomotehnični popravek</w:t>
      </w:r>
      <w:r w:rsidR="0098605C" w:rsidRPr="00445B9C">
        <w:rPr>
          <w:rFonts w:cs="Arial"/>
          <w:szCs w:val="20"/>
        </w:rPr>
        <w:t xml:space="preserve"> v napovednem stavku drugega odstavka 450. člena ZTFI-1</w:t>
      </w:r>
      <w:r w:rsidRPr="00445B9C">
        <w:rPr>
          <w:rFonts w:cs="Arial"/>
          <w:szCs w:val="20"/>
        </w:rPr>
        <w:t>, kjer se beseda »četrte« nadomesti s številko »4.«.</w:t>
      </w:r>
    </w:p>
    <w:p w14:paraId="206A5A41" w14:textId="77777777" w:rsidR="00FE0F83" w:rsidRPr="00445B9C" w:rsidRDefault="00FE0F83" w:rsidP="00C64B3F">
      <w:pPr>
        <w:spacing w:line="240" w:lineRule="auto"/>
        <w:jc w:val="both"/>
        <w:rPr>
          <w:rFonts w:cs="Arial"/>
          <w:szCs w:val="20"/>
        </w:rPr>
      </w:pPr>
    </w:p>
    <w:p w14:paraId="0A99EB01" w14:textId="77777777" w:rsidR="00FE0F83" w:rsidRPr="00445B9C" w:rsidRDefault="00FE0F83" w:rsidP="00C64B3F">
      <w:pPr>
        <w:spacing w:line="240" w:lineRule="auto"/>
        <w:jc w:val="both"/>
        <w:rPr>
          <w:rFonts w:cs="Arial"/>
          <w:szCs w:val="20"/>
        </w:rPr>
      </w:pPr>
    </w:p>
    <w:p w14:paraId="4DD9444D" w14:textId="08492DF8"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_Ref196734927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50. </w:t>
      </w:r>
      <w:r w:rsidR="00A3752D" w:rsidRPr="00445B9C">
        <w:rPr>
          <w:rFonts w:cs="Arial"/>
          <w:b/>
          <w:bCs/>
          <w:szCs w:val="20"/>
        </w:rPr>
        <w:fldChar w:fldCharType="end"/>
      </w:r>
      <w:r w:rsidRPr="00445B9C">
        <w:rPr>
          <w:rFonts w:cs="Arial"/>
          <w:b/>
          <w:bCs/>
          <w:szCs w:val="20"/>
        </w:rPr>
        <w:t>členu</w:t>
      </w:r>
    </w:p>
    <w:p w14:paraId="231E2DFE" w14:textId="7A7542C8" w:rsidR="0015286E" w:rsidRPr="00445B9C" w:rsidRDefault="0015286E" w:rsidP="00192D1A">
      <w:pPr>
        <w:spacing w:line="276" w:lineRule="auto"/>
        <w:jc w:val="both"/>
        <w:rPr>
          <w:rFonts w:cs="Arial"/>
          <w:szCs w:val="20"/>
        </w:rPr>
      </w:pPr>
      <w:r w:rsidRPr="00445B9C">
        <w:rPr>
          <w:rFonts w:cs="Arial"/>
          <w:szCs w:val="20"/>
        </w:rPr>
        <w:lastRenderedPageBreak/>
        <w:t>V členu 531. ZTFI-1 se napovedni stavek prvega odstavka in 6. točka prvega odstavka spremenijo tako</w:t>
      </w:r>
      <w:r w:rsidR="00D25B0B" w:rsidRPr="00445B9C">
        <w:rPr>
          <w:rFonts w:cs="Arial"/>
          <w:szCs w:val="20"/>
        </w:rPr>
        <w:t>,</w:t>
      </w:r>
      <w:r w:rsidRPr="00445B9C">
        <w:rPr>
          <w:rFonts w:cs="Arial"/>
          <w:szCs w:val="20"/>
        </w:rPr>
        <w:t xml:space="preserve"> da se uskladijo z ZBan-3A in uredbo 575/2013/EU. Glej obrazložitev k </w:t>
      </w:r>
      <w:r w:rsidR="00A3752D" w:rsidRPr="00445B9C">
        <w:rPr>
          <w:rFonts w:cs="Arial"/>
          <w:szCs w:val="20"/>
        </w:rPr>
        <w:fldChar w:fldCharType="begin"/>
      </w:r>
      <w:r w:rsidR="00A3752D" w:rsidRPr="00445B9C">
        <w:rPr>
          <w:rFonts w:cs="Arial"/>
          <w:szCs w:val="20"/>
        </w:rPr>
        <w:instrText xml:space="preserve"> REF _Ref192067056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 </w:t>
      </w:r>
      <w:r w:rsidR="00A3752D" w:rsidRPr="00445B9C">
        <w:rPr>
          <w:rFonts w:cs="Arial"/>
          <w:szCs w:val="20"/>
        </w:rPr>
        <w:fldChar w:fldCharType="end"/>
      </w:r>
      <w:r w:rsidRPr="00445B9C">
        <w:rPr>
          <w:rFonts w:cs="Arial"/>
          <w:szCs w:val="20"/>
        </w:rPr>
        <w:t>členu predloga zakona.</w:t>
      </w:r>
    </w:p>
    <w:p w14:paraId="57D731F4" w14:textId="0E4F8F48" w:rsidR="0015286E" w:rsidRPr="00445B9C" w:rsidRDefault="0015286E" w:rsidP="00192D1A">
      <w:pPr>
        <w:spacing w:line="276" w:lineRule="auto"/>
        <w:jc w:val="both"/>
        <w:rPr>
          <w:rFonts w:cs="Arial"/>
          <w:szCs w:val="20"/>
        </w:rPr>
      </w:pPr>
      <w:r w:rsidRPr="00445B9C">
        <w:rPr>
          <w:rFonts w:cs="Arial"/>
          <w:szCs w:val="20"/>
        </w:rPr>
        <w:t>Zaradi predlaganega črtanj</w:t>
      </w:r>
      <w:r w:rsidR="003E40A3">
        <w:rPr>
          <w:rFonts w:cs="Arial"/>
          <w:szCs w:val="20"/>
        </w:rPr>
        <w:t>a</w:t>
      </w:r>
      <w:r w:rsidRPr="00445B9C">
        <w:rPr>
          <w:rFonts w:cs="Arial"/>
          <w:szCs w:val="20"/>
        </w:rPr>
        <w:t xml:space="preserve"> sedmega odstavka 267. člena ZTFI-1 (glej obrazložitev k </w:t>
      </w:r>
      <w:r w:rsidR="00A3752D" w:rsidRPr="00445B9C">
        <w:rPr>
          <w:rFonts w:cs="Arial"/>
          <w:szCs w:val="20"/>
        </w:rPr>
        <w:fldChar w:fldCharType="begin"/>
      </w:r>
      <w:r w:rsidR="00A3752D" w:rsidRPr="00445B9C">
        <w:rPr>
          <w:rFonts w:cs="Arial"/>
          <w:szCs w:val="20"/>
        </w:rPr>
        <w:instrText xml:space="preserve"> REF _Ref196734410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23. </w:t>
      </w:r>
      <w:r w:rsidR="00A3752D" w:rsidRPr="00445B9C">
        <w:rPr>
          <w:rFonts w:cs="Arial"/>
          <w:szCs w:val="20"/>
        </w:rPr>
        <w:fldChar w:fldCharType="end"/>
      </w:r>
      <w:r w:rsidRPr="00445B9C">
        <w:rPr>
          <w:rFonts w:cs="Arial"/>
          <w:szCs w:val="20"/>
        </w:rPr>
        <w:t>členu predloga zakona) se črta drugi odstavek 531. člena ZTFI-1 ter se spremeni sklic v 19. točki prvega odstavka istega člena ZTFI-1. Na podlagi prej navedene spremembe 267. člena ZTFI-1 se spremenijo tudi tretji, četrti, peti in sedmi odstavek 531. člena ZTFI-1.</w:t>
      </w:r>
    </w:p>
    <w:p w14:paraId="75A43ED2" w14:textId="77777777" w:rsidR="00FE0F83" w:rsidRPr="00445B9C" w:rsidRDefault="00FE0F83" w:rsidP="00C64B3F">
      <w:pPr>
        <w:spacing w:line="240" w:lineRule="auto"/>
        <w:jc w:val="both"/>
        <w:rPr>
          <w:rFonts w:cs="Arial"/>
          <w:szCs w:val="20"/>
        </w:rPr>
      </w:pPr>
    </w:p>
    <w:p w14:paraId="390AEEAF" w14:textId="4CE99BC2" w:rsidR="00FE0F83" w:rsidRPr="00445B9C" w:rsidRDefault="00FE0F83" w:rsidP="00FE0F83">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000A07AB" w:rsidRPr="00445B9C">
        <w:rPr>
          <w:rFonts w:cs="Arial"/>
          <w:b/>
          <w:bCs/>
          <w:szCs w:val="20"/>
        </w:rPr>
        <w:instrText xml:space="preserve"> REF _Ref192070590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51. </w:t>
      </w:r>
      <w:r w:rsidR="00CF0FDA" w:rsidRPr="00445B9C">
        <w:rPr>
          <w:rFonts w:cs="Arial"/>
          <w:b/>
          <w:bCs/>
          <w:szCs w:val="20"/>
        </w:rPr>
        <w:fldChar w:fldCharType="end"/>
      </w:r>
      <w:r w:rsidRPr="00445B9C">
        <w:rPr>
          <w:rFonts w:cs="Arial"/>
          <w:b/>
          <w:bCs/>
          <w:szCs w:val="20"/>
        </w:rPr>
        <w:t>členu</w:t>
      </w:r>
    </w:p>
    <w:p w14:paraId="737374BB" w14:textId="1C5BB248" w:rsidR="00D25B0B" w:rsidRPr="00445B9C" w:rsidRDefault="00D25B0B" w:rsidP="00D25B0B">
      <w:pPr>
        <w:spacing w:line="276" w:lineRule="auto"/>
        <w:jc w:val="both"/>
        <w:rPr>
          <w:rFonts w:cs="Arial"/>
          <w:szCs w:val="20"/>
        </w:rPr>
      </w:pPr>
      <w:r w:rsidRPr="00445B9C">
        <w:rPr>
          <w:rFonts w:cs="Arial"/>
          <w:szCs w:val="20"/>
        </w:rPr>
        <w:t xml:space="preserve">V členu 532. ZTFI-1 se napovedni stavek prvega odstavka in 1., 4. 5. 6. in 7. točka prvega odstavka ter četrti, peti, šesti in sedmi odstavek spremenijo tako, da se uskladijo z ZBan-3A in uredbo 575/2013/EU. Glej obrazložitev k </w:t>
      </w:r>
      <w:r w:rsidR="00CF0FDA" w:rsidRPr="00445B9C">
        <w:rPr>
          <w:rFonts w:cs="Arial"/>
          <w:szCs w:val="20"/>
        </w:rPr>
        <w:fldChar w:fldCharType="begin"/>
      </w:r>
      <w:r w:rsidRPr="00445B9C">
        <w:rPr>
          <w:rFonts w:cs="Arial"/>
          <w:szCs w:val="20"/>
        </w:rPr>
        <w:instrText xml:space="preserve"> REF _Ref64902484 \r \h </w:instrText>
      </w:r>
      <w:r w:rsidR="00445B9C" w:rsidRPr="00445B9C">
        <w:rPr>
          <w:rFonts w:cs="Arial"/>
          <w:szCs w:val="20"/>
        </w:rPr>
        <w:instrText xml:space="preserve"> \* MERGEFORMAT </w:instrText>
      </w:r>
      <w:r w:rsidR="00CF0FDA" w:rsidRPr="00445B9C">
        <w:rPr>
          <w:rFonts w:cs="Arial"/>
          <w:szCs w:val="20"/>
        </w:rPr>
      </w:r>
      <w:r w:rsidR="00CF0FDA" w:rsidRPr="00445B9C">
        <w:rPr>
          <w:rFonts w:cs="Arial"/>
          <w:szCs w:val="20"/>
        </w:rPr>
        <w:fldChar w:fldCharType="separate"/>
      </w:r>
      <w:r w:rsidR="006066DF" w:rsidRPr="00445B9C">
        <w:rPr>
          <w:rFonts w:cs="Arial"/>
          <w:b/>
          <w:bCs/>
          <w:szCs w:val="20"/>
        </w:rPr>
        <w:fldChar w:fldCharType="begin"/>
      </w:r>
      <w:r w:rsidR="006066DF" w:rsidRPr="00445B9C">
        <w:rPr>
          <w:rFonts w:cs="Arial"/>
          <w:szCs w:val="20"/>
        </w:rPr>
        <w:instrText xml:space="preserve"> REF _Ref192067056 \r \h </w:instrText>
      </w:r>
      <w:r w:rsidR="00445B9C">
        <w:rPr>
          <w:rFonts w:cs="Arial"/>
          <w:b/>
          <w:bCs/>
          <w:szCs w:val="20"/>
        </w:rPr>
        <w:instrText xml:space="preserve"> \* MERGEFORMAT </w:instrText>
      </w:r>
      <w:r w:rsidR="006066DF" w:rsidRPr="00445B9C">
        <w:rPr>
          <w:rFonts w:cs="Arial"/>
          <w:b/>
          <w:bCs/>
          <w:szCs w:val="20"/>
        </w:rPr>
      </w:r>
      <w:r w:rsidR="006066DF" w:rsidRPr="00445B9C">
        <w:rPr>
          <w:rFonts w:cs="Arial"/>
          <w:b/>
          <w:bCs/>
          <w:szCs w:val="20"/>
        </w:rPr>
        <w:fldChar w:fldCharType="separate"/>
      </w:r>
      <w:r w:rsidR="006066DF" w:rsidRPr="00445B9C">
        <w:rPr>
          <w:rFonts w:cs="Arial"/>
          <w:szCs w:val="20"/>
        </w:rPr>
        <w:t xml:space="preserve">3. </w:t>
      </w:r>
      <w:r w:rsidR="006066DF" w:rsidRPr="00445B9C">
        <w:rPr>
          <w:rFonts w:cs="Arial"/>
          <w:b/>
          <w:bCs/>
          <w:szCs w:val="20"/>
        </w:rPr>
        <w:fldChar w:fldCharType="end"/>
      </w:r>
      <w:r w:rsidR="00CF0FDA" w:rsidRPr="00445B9C">
        <w:rPr>
          <w:rFonts w:cs="Arial"/>
          <w:szCs w:val="20"/>
        </w:rPr>
        <w:fldChar w:fldCharType="end"/>
      </w:r>
      <w:r w:rsidRPr="00445B9C">
        <w:rPr>
          <w:rFonts w:cs="Arial"/>
          <w:szCs w:val="20"/>
        </w:rPr>
        <w:t>členu predloga zakona.</w:t>
      </w:r>
    </w:p>
    <w:p w14:paraId="2F521CE0" w14:textId="77777777" w:rsidR="00D25B0B" w:rsidRPr="00445B9C" w:rsidRDefault="00D25B0B" w:rsidP="00192D1A">
      <w:pPr>
        <w:spacing w:line="276" w:lineRule="auto"/>
        <w:jc w:val="both"/>
        <w:rPr>
          <w:rFonts w:cs="Arial"/>
          <w:szCs w:val="20"/>
        </w:rPr>
      </w:pPr>
    </w:p>
    <w:p w14:paraId="7C2A896D" w14:textId="34ED04CD" w:rsidR="00D25B0B" w:rsidRPr="00445B9C" w:rsidRDefault="00D61B01" w:rsidP="00192D1A">
      <w:pPr>
        <w:spacing w:line="276" w:lineRule="auto"/>
        <w:jc w:val="both"/>
        <w:rPr>
          <w:rFonts w:cs="Arial"/>
          <w:szCs w:val="20"/>
        </w:rPr>
      </w:pPr>
      <w:r w:rsidRPr="00445B9C">
        <w:rPr>
          <w:rFonts w:cs="Arial"/>
          <w:szCs w:val="20"/>
        </w:rPr>
        <w:t xml:space="preserve">Zaradi predlagane spremembe 236. člena ZTFI-1 se spreminja 35. in 36. točka prvega odstavka 532. člena ZTFI-1 (glej obrazložitev k </w:t>
      </w:r>
      <w:r w:rsidR="00A3752D" w:rsidRPr="00445B9C">
        <w:rPr>
          <w:rFonts w:cs="Arial"/>
          <w:szCs w:val="20"/>
        </w:rPr>
        <w:fldChar w:fldCharType="begin"/>
      </w:r>
      <w:r w:rsidR="00A3752D" w:rsidRPr="00445B9C">
        <w:rPr>
          <w:rFonts w:cs="Arial"/>
          <w:szCs w:val="20"/>
        </w:rPr>
        <w:instrText xml:space="preserve"> REF _Ref196734335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21. </w:t>
      </w:r>
      <w:r w:rsidR="00A3752D" w:rsidRPr="00445B9C">
        <w:rPr>
          <w:rFonts w:cs="Arial"/>
          <w:szCs w:val="20"/>
        </w:rPr>
        <w:fldChar w:fldCharType="end"/>
      </w:r>
      <w:r w:rsidRPr="00445B9C">
        <w:rPr>
          <w:rFonts w:cs="Arial"/>
          <w:szCs w:val="20"/>
        </w:rPr>
        <w:t>členu predloga zakona)</w:t>
      </w:r>
    </w:p>
    <w:p w14:paraId="06E70274" w14:textId="77777777" w:rsidR="00D25B0B" w:rsidRPr="00445B9C" w:rsidRDefault="00D25B0B" w:rsidP="00192D1A">
      <w:pPr>
        <w:spacing w:line="276" w:lineRule="auto"/>
        <w:jc w:val="both"/>
        <w:rPr>
          <w:rFonts w:cs="Arial"/>
          <w:szCs w:val="20"/>
        </w:rPr>
      </w:pPr>
    </w:p>
    <w:p w14:paraId="6755C653" w14:textId="03DE0604" w:rsidR="00D61B01" w:rsidRPr="00445B9C" w:rsidRDefault="00D61B01" w:rsidP="00D61B01">
      <w:pPr>
        <w:spacing w:line="276" w:lineRule="auto"/>
        <w:jc w:val="both"/>
        <w:rPr>
          <w:rFonts w:cs="Arial"/>
          <w:szCs w:val="20"/>
        </w:rPr>
      </w:pPr>
      <w:r w:rsidRPr="00445B9C">
        <w:rPr>
          <w:rFonts w:cs="Arial"/>
          <w:szCs w:val="20"/>
        </w:rPr>
        <w:t xml:space="preserve">Zaradi predlagane spremembe 332. člena ZTFI-1 se spreminja tudi 49. točka prvega odstavka 532. člena ZTFI-1 (glej obrazložitev k </w:t>
      </w:r>
      <w:r w:rsidR="00A3752D" w:rsidRPr="00445B9C">
        <w:rPr>
          <w:rFonts w:cs="Arial"/>
          <w:szCs w:val="20"/>
        </w:rPr>
        <w:fldChar w:fldCharType="begin"/>
      </w:r>
      <w:r w:rsidR="00A3752D" w:rsidRPr="00445B9C">
        <w:rPr>
          <w:rFonts w:cs="Arial"/>
          <w:szCs w:val="20"/>
        </w:rPr>
        <w:instrText xml:space="preserve"> REF _Ref196734639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31. </w:t>
      </w:r>
      <w:r w:rsidR="00A3752D" w:rsidRPr="00445B9C">
        <w:rPr>
          <w:rFonts w:cs="Arial"/>
          <w:szCs w:val="20"/>
        </w:rPr>
        <w:fldChar w:fldCharType="end"/>
      </w:r>
      <w:r w:rsidRPr="00445B9C">
        <w:rPr>
          <w:rFonts w:cs="Arial"/>
          <w:szCs w:val="20"/>
        </w:rPr>
        <w:t>členu predloga zakona)</w:t>
      </w:r>
    </w:p>
    <w:p w14:paraId="60A6421B" w14:textId="77777777" w:rsidR="00FE0F83" w:rsidRPr="00445B9C" w:rsidRDefault="00FE0F83" w:rsidP="00C64B3F">
      <w:pPr>
        <w:spacing w:line="240" w:lineRule="auto"/>
        <w:jc w:val="both"/>
        <w:rPr>
          <w:rFonts w:cs="Arial"/>
          <w:szCs w:val="20"/>
        </w:rPr>
      </w:pPr>
    </w:p>
    <w:p w14:paraId="6542EB7C" w14:textId="77997D40"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_Ref196735090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52. </w:t>
      </w:r>
      <w:r w:rsidR="00A3752D" w:rsidRPr="00445B9C">
        <w:rPr>
          <w:rFonts w:cs="Arial"/>
          <w:b/>
          <w:bCs/>
          <w:szCs w:val="20"/>
        </w:rPr>
        <w:fldChar w:fldCharType="end"/>
      </w:r>
      <w:r w:rsidRPr="00445B9C">
        <w:rPr>
          <w:rFonts w:cs="Arial"/>
          <w:b/>
          <w:bCs/>
          <w:szCs w:val="20"/>
        </w:rPr>
        <w:t>členu</w:t>
      </w:r>
    </w:p>
    <w:p w14:paraId="5350E08B" w14:textId="5666EA1F" w:rsidR="008424E0" w:rsidRPr="00445B9C" w:rsidRDefault="008424E0" w:rsidP="008424E0">
      <w:pPr>
        <w:spacing w:line="276" w:lineRule="auto"/>
        <w:jc w:val="both"/>
        <w:rPr>
          <w:rFonts w:cs="Arial"/>
          <w:szCs w:val="20"/>
        </w:rPr>
      </w:pPr>
      <w:r w:rsidRPr="00445B9C">
        <w:rPr>
          <w:rFonts w:cs="Arial"/>
          <w:szCs w:val="20"/>
        </w:rPr>
        <w:t xml:space="preserve">V členu 533. ZTFI-1 se napovedni stavek prvega odstavka in 1., 2. in 3. točka prvega odstavka ter napovedni stavek drugega odstavka spremenijo tako, da se uskladijo z ZBan-3A in uredbo 575/2013/EU. Glej obrazložitev k </w:t>
      </w:r>
      <w:r w:rsidR="00A3752D" w:rsidRPr="00445B9C">
        <w:rPr>
          <w:rFonts w:cs="Arial"/>
          <w:szCs w:val="20"/>
        </w:rPr>
        <w:fldChar w:fldCharType="begin"/>
      </w:r>
      <w:r w:rsidR="00A3752D" w:rsidRPr="00445B9C">
        <w:rPr>
          <w:rFonts w:cs="Arial"/>
          <w:szCs w:val="20"/>
        </w:rPr>
        <w:instrText xml:space="preserve"> REF _Ref192067056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 </w:t>
      </w:r>
      <w:r w:rsidR="00A3752D" w:rsidRPr="00445B9C">
        <w:rPr>
          <w:rFonts w:cs="Arial"/>
          <w:szCs w:val="20"/>
        </w:rPr>
        <w:fldChar w:fldCharType="end"/>
      </w:r>
      <w:r w:rsidRPr="00445B9C">
        <w:rPr>
          <w:rFonts w:cs="Arial"/>
          <w:szCs w:val="20"/>
        </w:rPr>
        <w:t>členu predloga zakona.</w:t>
      </w:r>
    </w:p>
    <w:p w14:paraId="60C30EEF" w14:textId="77777777" w:rsidR="00FE0F83" w:rsidRPr="00445B9C" w:rsidRDefault="00FE0F83" w:rsidP="00C64B3F">
      <w:pPr>
        <w:spacing w:line="240" w:lineRule="auto"/>
        <w:jc w:val="both"/>
        <w:rPr>
          <w:rFonts w:cs="Arial"/>
          <w:szCs w:val="20"/>
        </w:rPr>
      </w:pPr>
    </w:p>
    <w:p w14:paraId="3620C9E1" w14:textId="45309A6D"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_Ref196735115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53. </w:t>
      </w:r>
      <w:r w:rsidR="00A3752D" w:rsidRPr="00445B9C">
        <w:rPr>
          <w:rFonts w:cs="Arial"/>
          <w:b/>
          <w:bCs/>
          <w:szCs w:val="20"/>
        </w:rPr>
        <w:fldChar w:fldCharType="end"/>
      </w:r>
      <w:r w:rsidRPr="00445B9C">
        <w:rPr>
          <w:rFonts w:cs="Arial"/>
          <w:b/>
          <w:bCs/>
          <w:szCs w:val="20"/>
        </w:rPr>
        <w:t>členu</w:t>
      </w:r>
    </w:p>
    <w:p w14:paraId="22ED9B86" w14:textId="62D82C40" w:rsidR="00826C9A" w:rsidRPr="00445B9C" w:rsidRDefault="00826C9A" w:rsidP="00826C9A">
      <w:pPr>
        <w:spacing w:line="276" w:lineRule="auto"/>
        <w:jc w:val="both"/>
        <w:rPr>
          <w:rFonts w:cs="Arial"/>
          <w:szCs w:val="20"/>
        </w:rPr>
      </w:pPr>
      <w:r w:rsidRPr="00445B9C">
        <w:rPr>
          <w:rFonts w:cs="Arial"/>
          <w:szCs w:val="20"/>
        </w:rPr>
        <w:t xml:space="preserve">Zaradi predlagane spremembe 236. člena ZTFI-1 se črta 2. točka prvega odstavka 534. člena ZTFI-1 (glej obrazložitev k </w:t>
      </w:r>
      <w:r w:rsidR="00A3752D" w:rsidRPr="00445B9C">
        <w:rPr>
          <w:rFonts w:cs="Arial"/>
          <w:szCs w:val="20"/>
        </w:rPr>
        <w:fldChar w:fldCharType="begin"/>
      </w:r>
      <w:r w:rsidR="00A3752D" w:rsidRPr="00445B9C">
        <w:rPr>
          <w:rFonts w:cs="Arial"/>
          <w:szCs w:val="20"/>
        </w:rPr>
        <w:instrText xml:space="preserve"> REF _Ref196734335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21. </w:t>
      </w:r>
      <w:r w:rsidR="00A3752D" w:rsidRPr="00445B9C">
        <w:rPr>
          <w:rFonts w:cs="Arial"/>
          <w:szCs w:val="20"/>
        </w:rPr>
        <w:fldChar w:fldCharType="end"/>
      </w:r>
      <w:r w:rsidRPr="00445B9C">
        <w:rPr>
          <w:rFonts w:cs="Arial"/>
          <w:szCs w:val="20"/>
        </w:rPr>
        <w:t>členu predloga zakona)</w:t>
      </w:r>
      <w:r w:rsidR="001334BB">
        <w:rPr>
          <w:rFonts w:cs="Arial"/>
          <w:szCs w:val="20"/>
        </w:rPr>
        <w:t>.</w:t>
      </w:r>
    </w:p>
    <w:p w14:paraId="107434E8" w14:textId="77777777" w:rsidR="00FE0F83" w:rsidRPr="00445B9C" w:rsidRDefault="00FE0F83" w:rsidP="00C64B3F">
      <w:pPr>
        <w:spacing w:line="240" w:lineRule="auto"/>
        <w:jc w:val="both"/>
        <w:rPr>
          <w:rFonts w:cs="Arial"/>
          <w:szCs w:val="20"/>
        </w:rPr>
      </w:pPr>
    </w:p>
    <w:p w14:paraId="551E57DC" w14:textId="79B65497" w:rsidR="00826C9A" w:rsidRPr="00445B9C" w:rsidRDefault="00826C9A" w:rsidP="00826C9A">
      <w:pPr>
        <w:spacing w:line="276" w:lineRule="auto"/>
        <w:jc w:val="both"/>
        <w:rPr>
          <w:rFonts w:cs="Arial"/>
          <w:szCs w:val="20"/>
        </w:rPr>
      </w:pPr>
      <w:r w:rsidRPr="00445B9C">
        <w:rPr>
          <w:rFonts w:cs="Arial"/>
          <w:szCs w:val="20"/>
        </w:rPr>
        <w:t xml:space="preserve">Zaradi predlagane spremembe 332. člena ZTFI-1 se spreminjata 19. in 20. točka prvega odstavka 534. člena ZTFI-1 (glej obrazložitev k </w:t>
      </w:r>
      <w:r w:rsidR="00A3752D" w:rsidRPr="00445B9C">
        <w:rPr>
          <w:rFonts w:cs="Arial"/>
          <w:szCs w:val="20"/>
        </w:rPr>
        <w:fldChar w:fldCharType="begin"/>
      </w:r>
      <w:r w:rsidR="00A3752D" w:rsidRPr="00445B9C">
        <w:rPr>
          <w:rFonts w:cs="Arial"/>
          <w:szCs w:val="20"/>
        </w:rPr>
        <w:instrText xml:space="preserve"> REF _Ref196734639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31. </w:t>
      </w:r>
      <w:r w:rsidR="00A3752D" w:rsidRPr="00445B9C">
        <w:rPr>
          <w:rFonts w:cs="Arial"/>
          <w:szCs w:val="20"/>
        </w:rPr>
        <w:fldChar w:fldCharType="end"/>
      </w:r>
      <w:r w:rsidRPr="00445B9C">
        <w:rPr>
          <w:rFonts w:cs="Arial"/>
          <w:szCs w:val="20"/>
        </w:rPr>
        <w:t>členu predloga zakona)</w:t>
      </w:r>
      <w:r w:rsidR="001334BB">
        <w:rPr>
          <w:rFonts w:cs="Arial"/>
          <w:szCs w:val="20"/>
        </w:rPr>
        <w:t>.</w:t>
      </w:r>
    </w:p>
    <w:p w14:paraId="081D79E1" w14:textId="77777777" w:rsidR="00FE0F83" w:rsidRPr="00445B9C" w:rsidRDefault="00FE0F83" w:rsidP="00C64B3F">
      <w:pPr>
        <w:spacing w:line="240" w:lineRule="auto"/>
        <w:jc w:val="both"/>
        <w:rPr>
          <w:rFonts w:cs="Arial"/>
          <w:szCs w:val="20"/>
        </w:rPr>
      </w:pPr>
    </w:p>
    <w:p w14:paraId="6DD94FE1" w14:textId="06620715" w:rsidR="00826C9A" w:rsidRPr="00445B9C" w:rsidRDefault="00826C9A" w:rsidP="00826C9A">
      <w:pPr>
        <w:spacing w:line="276" w:lineRule="auto"/>
        <w:jc w:val="both"/>
        <w:rPr>
          <w:rFonts w:cs="Arial"/>
          <w:szCs w:val="20"/>
        </w:rPr>
      </w:pPr>
      <w:r w:rsidRPr="00445B9C">
        <w:rPr>
          <w:rFonts w:cs="Arial"/>
          <w:szCs w:val="20"/>
        </w:rPr>
        <w:t xml:space="preserve">Zaradi predlagane spremembe 378. člena ZTFI-1 se črta 22. točka prvega odstavka 534. člena ZTFI-1 (glej obrazložitev k </w:t>
      </w:r>
      <w:r w:rsidR="00A3752D" w:rsidRPr="00445B9C">
        <w:rPr>
          <w:rFonts w:cs="Arial"/>
          <w:szCs w:val="20"/>
        </w:rPr>
        <w:fldChar w:fldCharType="begin"/>
      </w:r>
      <w:r w:rsidR="00A3752D" w:rsidRPr="00445B9C">
        <w:rPr>
          <w:rFonts w:cs="Arial"/>
          <w:szCs w:val="20"/>
        </w:rPr>
        <w:instrText xml:space="preserve"> REF _Ref196734811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41. </w:t>
      </w:r>
      <w:r w:rsidR="00A3752D" w:rsidRPr="00445B9C">
        <w:rPr>
          <w:rFonts w:cs="Arial"/>
          <w:szCs w:val="20"/>
        </w:rPr>
        <w:fldChar w:fldCharType="end"/>
      </w:r>
      <w:r w:rsidRPr="00445B9C">
        <w:rPr>
          <w:rFonts w:cs="Arial"/>
          <w:szCs w:val="20"/>
        </w:rPr>
        <w:t>členu predloga zakona)</w:t>
      </w:r>
      <w:r w:rsidR="001334BB">
        <w:rPr>
          <w:rFonts w:cs="Arial"/>
          <w:szCs w:val="20"/>
        </w:rPr>
        <w:t>.</w:t>
      </w:r>
    </w:p>
    <w:p w14:paraId="44DA4BD8" w14:textId="77777777" w:rsidR="00FE0F83" w:rsidRPr="00445B9C" w:rsidRDefault="00FE0F83" w:rsidP="00C64B3F">
      <w:pPr>
        <w:spacing w:line="240" w:lineRule="auto"/>
        <w:jc w:val="both"/>
        <w:rPr>
          <w:rFonts w:cs="Arial"/>
          <w:szCs w:val="20"/>
        </w:rPr>
      </w:pPr>
    </w:p>
    <w:p w14:paraId="059C86E6" w14:textId="017E6585"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_Ref196735248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54. </w:t>
      </w:r>
      <w:r w:rsidR="00A3752D" w:rsidRPr="00445B9C">
        <w:rPr>
          <w:rFonts w:cs="Arial"/>
          <w:b/>
          <w:bCs/>
          <w:szCs w:val="20"/>
        </w:rPr>
        <w:fldChar w:fldCharType="end"/>
      </w:r>
      <w:r w:rsidRPr="00445B9C">
        <w:rPr>
          <w:rFonts w:cs="Arial"/>
          <w:b/>
          <w:bCs/>
          <w:szCs w:val="20"/>
        </w:rPr>
        <w:t>členu</w:t>
      </w:r>
    </w:p>
    <w:p w14:paraId="60EFC878" w14:textId="5420B8E5" w:rsidR="00683F56" w:rsidRPr="00445B9C" w:rsidRDefault="00683F56" w:rsidP="00683F56">
      <w:pPr>
        <w:spacing w:line="276" w:lineRule="auto"/>
        <w:jc w:val="both"/>
        <w:rPr>
          <w:rFonts w:cs="Arial"/>
          <w:szCs w:val="20"/>
        </w:rPr>
      </w:pPr>
      <w:r w:rsidRPr="00445B9C">
        <w:rPr>
          <w:rFonts w:cs="Arial"/>
          <w:szCs w:val="20"/>
        </w:rPr>
        <w:t xml:space="preserve">Zaradi predlagane spremembe 236. člena ZTFI-1 se črta 1. točka prvega odstavka 539. člena ZTFI-1 (glej obrazložitev k </w:t>
      </w:r>
      <w:r w:rsidR="00A3752D" w:rsidRPr="00445B9C">
        <w:rPr>
          <w:rFonts w:cs="Arial"/>
          <w:szCs w:val="20"/>
        </w:rPr>
        <w:fldChar w:fldCharType="begin"/>
      </w:r>
      <w:r w:rsidR="00A3752D" w:rsidRPr="00445B9C">
        <w:rPr>
          <w:rFonts w:cs="Arial"/>
          <w:szCs w:val="20"/>
        </w:rPr>
        <w:instrText xml:space="preserve"> REF _Ref196734335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21. </w:t>
      </w:r>
      <w:r w:rsidR="00A3752D" w:rsidRPr="00445B9C">
        <w:rPr>
          <w:rFonts w:cs="Arial"/>
          <w:szCs w:val="20"/>
        </w:rPr>
        <w:fldChar w:fldCharType="end"/>
      </w:r>
      <w:r w:rsidRPr="00445B9C">
        <w:rPr>
          <w:rFonts w:cs="Arial"/>
          <w:szCs w:val="20"/>
        </w:rPr>
        <w:t>členu predloga zakona)</w:t>
      </w:r>
      <w:r w:rsidR="001334BB">
        <w:rPr>
          <w:rFonts w:cs="Arial"/>
          <w:szCs w:val="20"/>
        </w:rPr>
        <w:t>.</w:t>
      </w:r>
    </w:p>
    <w:p w14:paraId="69EA9628" w14:textId="77777777" w:rsidR="00FE0F83" w:rsidRPr="00445B9C" w:rsidRDefault="00FE0F83" w:rsidP="00C64B3F">
      <w:pPr>
        <w:spacing w:line="240" w:lineRule="auto"/>
        <w:jc w:val="both"/>
        <w:rPr>
          <w:rFonts w:cs="Arial"/>
          <w:szCs w:val="20"/>
        </w:rPr>
      </w:pPr>
    </w:p>
    <w:p w14:paraId="678F7251" w14:textId="4095F690" w:rsidR="00683F56" w:rsidRPr="00445B9C" w:rsidRDefault="00683F56" w:rsidP="00683F56">
      <w:pPr>
        <w:spacing w:line="276" w:lineRule="auto"/>
        <w:jc w:val="both"/>
        <w:rPr>
          <w:rFonts w:cs="Arial"/>
          <w:szCs w:val="20"/>
        </w:rPr>
      </w:pPr>
      <w:r w:rsidRPr="00445B9C">
        <w:rPr>
          <w:rFonts w:cs="Arial"/>
          <w:szCs w:val="20"/>
        </w:rPr>
        <w:t xml:space="preserve">Zaradi predlagane spremembe 332. člena ZTFI-1 se spreminjata 4. in 5. točka prvega odstavka 539. člena ZTFI-1 (glej obrazložitev k </w:t>
      </w:r>
      <w:r w:rsidR="00A3752D" w:rsidRPr="00445B9C">
        <w:rPr>
          <w:rFonts w:cs="Arial"/>
          <w:szCs w:val="20"/>
        </w:rPr>
        <w:fldChar w:fldCharType="begin"/>
      </w:r>
      <w:r w:rsidR="00A3752D" w:rsidRPr="00445B9C">
        <w:rPr>
          <w:rFonts w:cs="Arial"/>
          <w:szCs w:val="20"/>
        </w:rPr>
        <w:instrText xml:space="preserve"> REF _Ref196734639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31. </w:t>
      </w:r>
      <w:r w:rsidR="00A3752D" w:rsidRPr="00445B9C">
        <w:rPr>
          <w:rFonts w:cs="Arial"/>
          <w:szCs w:val="20"/>
        </w:rPr>
        <w:fldChar w:fldCharType="end"/>
      </w:r>
      <w:r w:rsidRPr="00445B9C">
        <w:rPr>
          <w:rFonts w:cs="Arial"/>
          <w:szCs w:val="20"/>
        </w:rPr>
        <w:t>členu predloga zakona)</w:t>
      </w:r>
      <w:r w:rsidR="001334BB">
        <w:rPr>
          <w:rFonts w:cs="Arial"/>
          <w:szCs w:val="20"/>
        </w:rPr>
        <w:t>.</w:t>
      </w:r>
    </w:p>
    <w:p w14:paraId="05217BF3" w14:textId="77777777" w:rsidR="00FE0F83" w:rsidRPr="00445B9C" w:rsidRDefault="00FE0F83" w:rsidP="00C64B3F">
      <w:pPr>
        <w:spacing w:line="240" w:lineRule="auto"/>
        <w:jc w:val="both"/>
        <w:rPr>
          <w:rFonts w:cs="Arial"/>
          <w:szCs w:val="20"/>
        </w:rPr>
      </w:pPr>
    </w:p>
    <w:p w14:paraId="709CC9AE" w14:textId="2F5DE7E5" w:rsidR="00683F56" w:rsidRPr="00445B9C" w:rsidRDefault="00683F56" w:rsidP="00683F56">
      <w:pPr>
        <w:spacing w:line="276" w:lineRule="auto"/>
        <w:jc w:val="both"/>
        <w:rPr>
          <w:rFonts w:cs="Arial"/>
          <w:szCs w:val="20"/>
        </w:rPr>
      </w:pPr>
      <w:r w:rsidRPr="00445B9C">
        <w:rPr>
          <w:rFonts w:cs="Arial"/>
          <w:szCs w:val="20"/>
        </w:rPr>
        <w:t xml:space="preserve">Zaradi predlagane spremembe 378. člena ZTFI-1 se črta 32. točka prvega odstavka 539. člena ZTFI-1 (glej obrazložitev k </w:t>
      </w:r>
      <w:r w:rsidR="00A3752D" w:rsidRPr="00445B9C">
        <w:rPr>
          <w:rFonts w:cs="Arial"/>
          <w:szCs w:val="20"/>
        </w:rPr>
        <w:fldChar w:fldCharType="begin"/>
      </w:r>
      <w:r w:rsidR="00A3752D" w:rsidRPr="00445B9C">
        <w:rPr>
          <w:rFonts w:cs="Arial"/>
          <w:szCs w:val="20"/>
        </w:rPr>
        <w:instrText xml:space="preserve"> REF _Ref196734811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41. </w:t>
      </w:r>
      <w:r w:rsidR="00A3752D" w:rsidRPr="00445B9C">
        <w:rPr>
          <w:rFonts w:cs="Arial"/>
          <w:szCs w:val="20"/>
        </w:rPr>
        <w:fldChar w:fldCharType="end"/>
      </w:r>
      <w:r w:rsidRPr="00445B9C">
        <w:rPr>
          <w:rFonts w:cs="Arial"/>
          <w:szCs w:val="20"/>
        </w:rPr>
        <w:t>členu predloga zakona)</w:t>
      </w:r>
      <w:r w:rsidR="001334BB">
        <w:rPr>
          <w:rFonts w:cs="Arial"/>
          <w:szCs w:val="20"/>
        </w:rPr>
        <w:t xml:space="preserve">. </w:t>
      </w:r>
    </w:p>
    <w:p w14:paraId="49F1FF16" w14:textId="77777777" w:rsidR="00FE0F83" w:rsidRPr="00445B9C" w:rsidRDefault="00FE0F83" w:rsidP="00C64B3F">
      <w:pPr>
        <w:spacing w:line="240" w:lineRule="auto"/>
        <w:jc w:val="both"/>
        <w:rPr>
          <w:rFonts w:cs="Arial"/>
          <w:szCs w:val="20"/>
        </w:rPr>
      </w:pPr>
    </w:p>
    <w:p w14:paraId="63D3D7F7" w14:textId="5B495C8F"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szCs w:val="20"/>
        </w:rPr>
        <w:fldChar w:fldCharType="begin"/>
      </w:r>
      <w:r w:rsidR="00A3752D" w:rsidRPr="00445B9C">
        <w:rPr>
          <w:rFonts w:cs="Arial"/>
          <w:b/>
          <w:bCs/>
          <w:szCs w:val="20"/>
        </w:rPr>
        <w:instrText xml:space="preserve"> REF _Ref196735266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b/>
          <w:bCs/>
          <w:szCs w:val="20"/>
        </w:rPr>
        <w:t xml:space="preserve">55. </w:t>
      </w:r>
      <w:r w:rsidR="00A3752D" w:rsidRPr="00445B9C">
        <w:rPr>
          <w:rFonts w:cs="Arial"/>
          <w:szCs w:val="20"/>
        </w:rPr>
        <w:fldChar w:fldCharType="end"/>
      </w:r>
      <w:r w:rsidRPr="00445B9C">
        <w:rPr>
          <w:rFonts w:cs="Arial"/>
          <w:b/>
          <w:bCs/>
          <w:szCs w:val="20"/>
        </w:rPr>
        <w:t>členu</w:t>
      </w:r>
    </w:p>
    <w:p w14:paraId="51110AED" w14:textId="284C4FED" w:rsidR="00650CCC" w:rsidRPr="00445B9C" w:rsidRDefault="00650CCC" w:rsidP="00650CCC">
      <w:pPr>
        <w:spacing w:line="276" w:lineRule="auto"/>
        <w:jc w:val="both"/>
        <w:rPr>
          <w:rFonts w:cs="Arial"/>
          <w:szCs w:val="20"/>
        </w:rPr>
      </w:pPr>
      <w:r w:rsidRPr="00445B9C">
        <w:rPr>
          <w:rFonts w:cs="Arial"/>
          <w:szCs w:val="20"/>
        </w:rPr>
        <w:t xml:space="preserve">V 541. </w:t>
      </w:r>
      <w:r w:rsidR="001334BB" w:rsidRPr="00445B9C">
        <w:rPr>
          <w:rFonts w:cs="Arial"/>
          <w:szCs w:val="20"/>
        </w:rPr>
        <w:t xml:space="preserve">členu </w:t>
      </w:r>
      <w:r w:rsidRPr="00445B9C">
        <w:rPr>
          <w:rFonts w:cs="Arial"/>
          <w:szCs w:val="20"/>
        </w:rPr>
        <w:t xml:space="preserve">ZTFI-1 se </w:t>
      </w:r>
      <w:r w:rsidR="003A048F" w:rsidRPr="00445B9C">
        <w:rPr>
          <w:rFonts w:cs="Arial"/>
          <w:szCs w:val="20"/>
        </w:rPr>
        <w:t xml:space="preserve">določajo prekrški v zvezi s kršitvami pravil, ki jih določa Uredba 600/2014/EU. </w:t>
      </w:r>
      <w:r w:rsidR="00B4191E" w:rsidRPr="00445B9C">
        <w:rPr>
          <w:rFonts w:cs="Arial"/>
          <w:szCs w:val="20"/>
        </w:rPr>
        <w:t>Zaradi obsežnosti sprememb se predlaga nov</w:t>
      </w:r>
      <w:r w:rsidR="001334BB">
        <w:rPr>
          <w:rFonts w:cs="Arial"/>
          <w:szCs w:val="20"/>
        </w:rPr>
        <w:t>i</w:t>
      </w:r>
      <w:r w:rsidR="00B4191E" w:rsidRPr="00445B9C">
        <w:rPr>
          <w:rFonts w:cs="Arial"/>
          <w:szCs w:val="20"/>
        </w:rPr>
        <w:t xml:space="preserve"> člen</w:t>
      </w:r>
      <w:r w:rsidR="001334BB">
        <w:rPr>
          <w:rFonts w:cs="Arial"/>
          <w:szCs w:val="20"/>
        </w:rPr>
        <w:t>,</w:t>
      </w:r>
      <w:r w:rsidR="00B4191E" w:rsidRPr="00445B9C">
        <w:rPr>
          <w:rFonts w:cs="Arial"/>
          <w:szCs w:val="20"/>
        </w:rPr>
        <w:t xml:space="preserve"> v katerem se, glede na </w:t>
      </w:r>
      <w:r w:rsidR="001334BB">
        <w:rPr>
          <w:rFonts w:cs="Arial"/>
          <w:szCs w:val="20"/>
        </w:rPr>
        <w:t>zdaj</w:t>
      </w:r>
      <w:r w:rsidR="001334BB" w:rsidRPr="00445B9C">
        <w:rPr>
          <w:rFonts w:cs="Arial"/>
          <w:szCs w:val="20"/>
        </w:rPr>
        <w:t xml:space="preserve"> </w:t>
      </w:r>
      <w:r w:rsidR="00B4191E" w:rsidRPr="00445B9C">
        <w:rPr>
          <w:rFonts w:cs="Arial"/>
          <w:szCs w:val="20"/>
        </w:rPr>
        <w:t xml:space="preserve">veljavni 541. člen ZTFI-1, </w:t>
      </w:r>
      <w:r w:rsidRPr="00445B9C">
        <w:rPr>
          <w:rFonts w:cs="Arial"/>
          <w:szCs w:val="20"/>
        </w:rPr>
        <w:t>napovedni stavek prvega in drugega odstavka spremeni</w:t>
      </w:r>
      <w:r w:rsidR="001334BB">
        <w:rPr>
          <w:rFonts w:cs="Arial"/>
          <w:szCs w:val="20"/>
        </w:rPr>
        <w:t>ta</w:t>
      </w:r>
      <w:r w:rsidRPr="00445B9C">
        <w:rPr>
          <w:rFonts w:cs="Arial"/>
          <w:szCs w:val="20"/>
        </w:rPr>
        <w:t xml:space="preserve"> tako, da se uskladi</w:t>
      </w:r>
      <w:r w:rsidR="001334BB">
        <w:rPr>
          <w:rFonts w:cs="Arial"/>
          <w:szCs w:val="20"/>
        </w:rPr>
        <w:t>ta</w:t>
      </w:r>
      <w:r w:rsidRPr="00445B9C">
        <w:rPr>
          <w:rFonts w:cs="Arial"/>
          <w:szCs w:val="20"/>
        </w:rPr>
        <w:t xml:space="preserve"> z ZBan-3A in uredbo 575/2013/EU. Glej obrazložitev k </w:t>
      </w:r>
      <w:r w:rsidR="00A3752D" w:rsidRPr="00445B9C">
        <w:rPr>
          <w:rFonts w:cs="Arial"/>
          <w:szCs w:val="20"/>
        </w:rPr>
        <w:fldChar w:fldCharType="begin"/>
      </w:r>
      <w:r w:rsidR="00A3752D" w:rsidRPr="00445B9C">
        <w:rPr>
          <w:rFonts w:cs="Arial"/>
          <w:szCs w:val="20"/>
        </w:rPr>
        <w:instrText xml:space="preserve"> REF _Ref192067056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 </w:t>
      </w:r>
      <w:r w:rsidR="00A3752D" w:rsidRPr="00445B9C">
        <w:rPr>
          <w:rFonts w:cs="Arial"/>
          <w:szCs w:val="20"/>
        </w:rPr>
        <w:fldChar w:fldCharType="end"/>
      </w:r>
      <w:r w:rsidRPr="00445B9C">
        <w:rPr>
          <w:rFonts w:cs="Arial"/>
          <w:szCs w:val="20"/>
        </w:rPr>
        <w:t>členu predloga zakona.</w:t>
      </w:r>
    </w:p>
    <w:p w14:paraId="15DD0B07" w14:textId="77777777" w:rsidR="00FE0F83" w:rsidRPr="00445B9C" w:rsidRDefault="00FE0F83" w:rsidP="00C64B3F">
      <w:pPr>
        <w:spacing w:line="240" w:lineRule="auto"/>
        <w:jc w:val="both"/>
        <w:rPr>
          <w:rFonts w:cs="Arial"/>
          <w:szCs w:val="20"/>
        </w:rPr>
      </w:pPr>
    </w:p>
    <w:p w14:paraId="5BFCD8B8" w14:textId="77777777" w:rsidR="00FE0F83" w:rsidRPr="00445B9C" w:rsidRDefault="00514D67" w:rsidP="003409C1">
      <w:pPr>
        <w:spacing w:line="276" w:lineRule="auto"/>
        <w:jc w:val="both"/>
        <w:rPr>
          <w:rFonts w:cs="Arial"/>
          <w:szCs w:val="20"/>
        </w:rPr>
      </w:pPr>
      <w:r w:rsidRPr="00445B9C">
        <w:rPr>
          <w:rFonts w:cs="Arial"/>
          <w:szCs w:val="20"/>
        </w:rPr>
        <w:t>S predlaganimi spremembami 541. člena ZTFI-1 se besedilo tega člena usklajuje z zahtevami iz Uredbe 600/2014/EU.</w:t>
      </w:r>
      <w:r w:rsidRPr="00445B9C">
        <w:rPr>
          <w:rFonts w:cs="Arial"/>
          <w:szCs w:val="20"/>
        </w:rPr>
        <w:cr/>
      </w:r>
    </w:p>
    <w:p w14:paraId="0E12E822" w14:textId="0AFB0C87" w:rsidR="00FE0F83" w:rsidRPr="00445B9C" w:rsidRDefault="00FE0F83" w:rsidP="00FE0F83">
      <w:pPr>
        <w:spacing w:line="276" w:lineRule="auto"/>
        <w:jc w:val="both"/>
        <w:rPr>
          <w:rFonts w:cs="Arial"/>
          <w:b/>
          <w:bCs/>
          <w:szCs w:val="20"/>
        </w:rPr>
      </w:pPr>
      <w:r w:rsidRPr="00445B9C">
        <w:rPr>
          <w:rFonts w:cs="Arial"/>
          <w:b/>
          <w:bCs/>
          <w:szCs w:val="20"/>
        </w:rPr>
        <w:lastRenderedPageBreak/>
        <w:t xml:space="preserve">K </w:t>
      </w:r>
      <w:r w:rsidR="00A3752D" w:rsidRPr="00445B9C">
        <w:rPr>
          <w:rFonts w:cs="Arial"/>
          <w:b/>
          <w:bCs/>
          <w:szCs w:val="20"/>
        </w:rPr>
        <w:fldChar w:fldCharType="begin"/>
      </w:r>
      <w:r w:rsidR="00A3752D" w:rsidRPr="00445B9C">
        <w:rPr>
          <w:rFonts w:cs="Arial"/>
          <w:b/>
          <w:bCs/>
          <w:szCs w:val="20"/>
        </w:rPr>
        <w:instrText xml:space="preserve"> REF _Ref196735286 \r \h </w:instrText>
      </w:r>
      <w:r w:rsidR="00445B9C" w:rsidRPr="00445B9C">
        <w:rPr>
          <w:rFonts w:cs="Arial"/>
          <w:b/>
          <w:bCs/>
          <w:szCs w:val="20"/>
        </w:rPr>
        <w:instrText xml:space="preserve">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56. </w:t>
      </w:r>
      <w:r w:rsidR="00A3752D" w:rsidRPr="00445B9C">
        <w:rPr>
          <w:rFonts w:cs="Arial"/>
          <w:b/>
          <w:bCs/>
          <w:szCs w:val="20"/>
        </w:rPr>
        <w:fldChar w:fldCharType="end"/>
      </w:r>
      <w:r w:rsidRPr="00445B9C">
        <w:rPr>
          <w:rFonts w:cs="Arial"/>
          <w:b/>
          <w:bCs/>
          <w:szCs w:val="20"/>
        </w:rPr>
        <w:t>členu</w:t>
      </w:r>
    </w:p>
    <w:p w14:paraId="0660194D" w14:textId="5C1C4499" w:rsidR="000122B2" w:rsidRPr="00445B9C" w:rsidRDefault="000122B2" w:rsidP="000122B2">
      <w:pPr>
        <w:spacing w:line="276" w:lineRule="auto"/>
        <w:jc w:val="both"/>
        <w:rPr>
          <w:rFonts w:cs="Arial"/>
          <w:szCs w:val="20"/>
        </w:rPr>
      </w:pPr>
      <w:r w:rsidRPr="00445B9C">
        <w:rPr>
          <w:rFonts w:cs="Arial"/>
          <w:szCs w:val="20"/>
        </w:rPr>
        <w:t xml:space="preserve">V členu 546. ZTFI-1 se tretji odstavek spremeni tako, da se uskladi z ZBan-3A in uredbo 575/2013/EU. Glej obrazložitev k </w:t>
      </w:r>
      <w:r w:rsidR="00A3752D" w:rsidRPr="00445B9C">
        <w:rPr>
          <w:rFonts w:cs="Arial"/>
          <w:szCs w:val="20"/>
        </w:rPr>
        <w:fldChar w:fldCharType="begin"/>
      </w:r>
      <w:r w:rsidR="00A3752D" w:rsidRPr="00445B9C">
        <w:rPr>
          <w:rFonts w:cs="Arial"/>
          <w:szCs w:val="20"/>
        </w:rPr>
        <w:instrText xml:space="preserve"> REF _Ref192067056 \r \h </w:instrText>
      </w:r>
      <w:r w:rsidR="00445B9C" w:rsidRPr="00445B9C">
        <w:rPr>
          <w:rFonts w:cs="Arial"/>
          <w:szCs w:val="20"/>
        </w:rPr>
        <w:instrText xml:space="preserve"> \* MERGEFORMAT </w:instrText>
      </w:r>
      <w:r w:rsidR="00A3752D" w:rsidRPr="00445B9C">
        <w:rPr>
          <w:rFonts w:cs="Arial"/>
          <w:szCs w:val="20"/>
        </w:rPr>
      </w:r>
      <w:r w:rsidR="00A3752D" w:rsidRPr="00445B9C">
        <w:rPr>
          <w:rFonts w:cs="Arial"/>
          <w:szCs w:val="20"/>
        </w:rPr>
        <w:fldChar w:fldCharType="separate"/>
      </w:r>
      <w:r w:rsidR="001638A0" w:rsidRPr="00445B9C">
        <w:rPr>
          <w:rFonts w:cs="Arial"/>
          <w:szCs w:val="20"/>
        </w:rPr>
        <w:t xml:space="preserve">3. </w:t>
      </w:r>
      <w:r w:rsidR="00A3752D" w:rsidRPr="00445B9C">
        <w:rPr>
          <w:rFonts w:cs="Arial"/>
          <w:szCs w:val="20"/>
        </w:rPr>
        <w:fldChar w:fldCharType="end"/>
      </w:r>
      <w:r w:rsidRPr="00445B9C">
        <w:rPr>
          <w:rFonts w:cs="Arial"/>
          <w:szCs w:val="20"/>
        </w:rPr>
        <w:t>členu predloga zakona.</w:t>
      </w:r>
    </w:p>
    <w:p w14:paraId="2FB7543F" w14:textId="77777777" w:rsidR="0023649D" w:rsidRPr="00445B9C" w:rsidRDefault="0023649D" w:rsidP="00FE0F83">
      <w:pPr>
        <w:spacing w:line="276" w:lineRule="auto"/>
        <w:jc w:val="both"/>
        <w:rPr>
          <w:rFonts w:cs="Arial"/>
          <w:b/>
          <w:bCs/>
          <w:szCs w:val="20"/>
        </w:rPr>
      </w:pPr>
    </w:p>
    <w:p w14:paraId="2727D459" w14:textId="24ADF8F7" w:rsidR="00FE0F83" w:rsidRPr="00445B9C" w:rsidRDefault="00FE0F83" w:rsidP="00FE0F83">
      <w:pPr>
        <w:spacing w:line="276" w:lineRule="auto"/>
        <w:jc w:val="both"/>
        <w:rPr>
          <w:rFonts w:cs="Arial"/>
          <w:b/>
          <w:bCs/>
          <w:szCs w:val="20"/>
        </w:rPr>
      </w:pPr>
      <w:r w:rsidRPr="00445B9C">
        <w:rPr>
          <w:rFonts w:cs="Arial"/>
          <w:b/>
          <w:bCs/>
          <w:szCs w:val="20"/>
        </w:rPr>
        <w:t xml:space="preserve">K </w:t>
      </w:r>
      <w:r w:rsidR="00A3752D" w:rsidRPr="00445B9C">
        <w:rPr>
          <w:rFonts w:cs="Arial"/>
          <w:b/>
          <w:bCs/>
          <w:szCs w:val="20"/>
        </w:rPr>
        <w:fldChar w:fldCharType="begin"/>
      </w:r>
      <w:r w:rsidR="00A3752D" w:rsidRPr="00445B9C">
        <w:rPr>
          <w:rFonts w:cs="Arial"/>
          <w:b/>
          <w:bCs/>
          <w:szCs w:val="20"/>
        </w:rPr>
        <w:instrText xml:space="preserve"> REF _Ref196734116 \r \h  \* MERGEFORMAT </w:instrText>
      </w:r>
      <w:r w:rsidR="00A3752D" w:rsidRPr="00445B9C">
        <w:rPr>
          <w:rFonts w:cs="Arial"/>
          <w:b/>
          <w:bCs/>
          <w:szCs w:val="20"/>
        </w:rPr>
      </w:r>
      <w:r w:rsidR="00A3752D" w:rsidRPr="00445B9C">
        <w:rPr>
          <w:rFonts w:cs="Arial"/>
          <w:b/>
          <w:bCs/>
          <w:szCs w:val="20"/>
        </w:rPr>
        <w:fldChar w:fldCharType="separate"/>
      </w:r>
      <w:r w:rsidR="001638A0" w:rsidRPr="00445B9C">
        <w:rPr>
          <w:rFonts w:cs="Arial"/>
          <w:b/>
          <w:bCs/>
          <w:szCs w:val="20"/>
        </w:rPr>
        <w:t xml:space="preserve">57. </w:t>
      </w:r>
      <w:r w:rsidR="00A3752D" w:rsidRPr="00445B9C">
        <w:rPr>
          <w:rFonts w:cs="Arial"/>
          <w:b/>
          <w:bCs/>
          <w:szCs w:val="20"/>
        </w:rPr>
        <w:fldChar w:fldCharType="end"/>
      </w:r>
      <w:r w:rsidRPr="00445B9C">
        <w:rPr>
          <w:rFonts w:cs="Arial"/>
          <w:b/>
          <w:bCs/>
          <w:szCs w:val="20"/>
        </w:rPr>
        <w:t>členu</w:t>
      </w:r>
    </w:p>
    <w:p w14:paraId="3EC0152F" w14:textId="77777777" w:rsidR="00C838DE" w:rsidRDefault="0023649D" w:rsidP="00C64B3F">
      <w:pPr>
        <w:spacing w:line="240" w:lineRule="auto"/>
        <w:jc w:val="both"/>
        <w:rPr>
          <w:rFonts w:cs="Arial"/>
          <w:szCs w:val="20"/>
        </w:rPr>
      </w:pPr>
      <w:r w:rsidRPr="00445B9C">
        <w:rPr>
          <w:rFonts w:cs="Arial"/>
          <w:szCs w:val="20"/>
        </w:rPr>
        <w:t xml:space="preserve">Zaradi zamika začetka uporabe določenih določb se predlaga zamik začetka uporabe </w:t>
      </w:r>
      <w:r w:rsidR="001334BB">
        <w:rPr>
          <w:rFonts w:cs="Arial"/>
          <w:szCs w:val="20"/>
        </w:rPr>
        <w:t>zadevnih</w:t>
      </w:r>
      <w:r w:rsidR="001334BB" w:rsidRPr="00445B9C">
        <w:rPr>
          <w:rFonts w:cs="Arial"/>
          <w:szCs w:val="20"/>
        </w:rPr>
        <w:t xml:space="preserve"> </w:t>
      </w:r>
      <w:r w:rsidRPr="00445B9C">
        <w:rPr>
          <w:rFonts w:cs="Arial"/>
          <w:szCs w:val="20"/>
        </w:rPr>
        <w:t>členov</w:t>
      </w:r>
      <w:r w:rsidR="00C838DE">
        <w:rPr>
          <w:rFonts w:cs="Arial"/>
          <w:szCs w:val="20"/>
        </w:rPr>
        <w:t>.</w:t>
      </w:r>
    </w:p>
    <w:p w14:paraId="482F9055" w14:textId="77777777" w:rsidR="00C838DE" w:rsidRDefault="00C838DE" w:rsidP="00C64B3F">
      <w:pPr>
        <w:spacing w:line="240" w:lineRule="auto"/>
        <w:jc w:val="both"/>
        <w:rPr>
          <w:rFonts w:cs="Arial"/>
          <w:szCs w:val="20"/>
        </w:rPr>
      </w:pPr>
    </w:p>
    <w:p w14:paraId="3555661E" w14:textId="28101126" w:rsidR="00CB076E" w:rsidRPr="00CB076E" w:rsidRDefault="00C838DE" w:rsidP="00CB076E">
      <w:pPr>
        <w:spacing w:line="276" w:lineRule="auto"/>
        <w:jc w:val="both"/>
        <w:rPr>
          <w:rFonts w:cs="Arial"/>
          <w:szCs w:val="20"/>
        </w:rPr>
      </w:pPr>
      <w:r w:rsidRPr="00C838DE">
        <w:rPr>
          <w:rFonts w:cs="Arial"/>
          <w:szCs w:val="20"/>
        </w:rPr>
        <w:t>Direktiva 2023/2864</w:t>
      </w:r>
      <w:r>
        <w:rPr>
          <w:rFonts w:cs="Arial"/>
          <w:szCs w:val="20"/>
        </w:rPr>
        <w:t>/EU</w:t>
      </w:r>
      <w:r w:rsidRPr="00C838DE">
        <w:rPr>
          <w:rFonts w:cs="Arial"/>
          <w:szCs w:val="20"/>
        </w:rPr>
        <w:t xml:space="preserve"> določa različne roke za začetek uporabe njenih posameznih določb, kar odraža potrebo po postopnem uvajanju pravnih pravil. V tem kontekstu </w:t>
      </w:r>
      <w:r>
        <w:rPr>
          <w:rFonts w:cs="Arial"/>
          <w:szCs w:val="20"/>
        </w:rPr>
        <w:t>potrebna določitev začetka</w:t>
      </w:r>
      <w:r w:rsidRPr="00C838DE">
        <w:rPr>
          <w:rFonts w:cs="Arial"/>
          <w:szCs w:val="20"/>
        </w:rPr>
        <w:t xml:space="preserve"> uporabe </w:t>
      </w:r>
      <w:r>
        <w:rPr>
          <w:rFonts w:cs="Arial"/>
          <w:szCs w:val="20"/>
        </w:rPr>
        <w:t>novega</w:t>
      </w:r>
      <w:r w:rsidRPr="00C838DE">
        <w:rPr>
          <w:rFonts w:cs="Arial"/>
          <w:szCs w:val="20"/>
        </w:rPr>
        <w:t xml:space="preserve"> četrt</w:t>
      </w:r>
      <w:r>
        <w:rPr>
          <w:rFonts w:cs="Arial"/>
          <w:szCs w:val="20"/>
        </w:rPr>
        <w:t>ega</w:t>
      </w:r>
      <w:r w:rsidRPr="00C838DE">
        <w:rPr>
          <w:rFonts w:cs="Arial"/>
          <w:szCs w:val="20"/>
        </w:rPr>
        <w:t xml:space="preserve"> in pet</w:t>
      </w:r>
      <w:r>
        <w:rPr>
          <w:rFonts w:cs="Arial"/>
          <w:szCs w:val="20"/>
        </w:rPr>
        <w:t>ega</w:t>
      </w:r>
      <w:r w:rsidRPr="00C838DE">
        <w:rPr>
          <w:rFonts w:cs="Arial"/>
          <w:szCs w:val="20"/>
        </w:rPr>
        <w:t xml:space="preserve"> odstavek 158. člena, dopolnjen</w:t>
      </w:r>
      <w:r>
        <w:rPr>
          <w:rFonts w:cs="Arial"/>
          <w:szCs w:val="20"/>
        </w:rPr>
        <w:t>ega</w:t>
      </w:r>
      <w:r w:rsidRPr="00C838DE">
        <w:rPr>
          <w:rFonts w:cs="Arial"/>
          <w:szCs w:val="20"/>
        </w:rPr>
        <w:t xml:space="preserve"> prv</w:t>
      </w:r>
      <w:r>
        <w:rPr>
          <w:rFonts w:cs="Arial"/>
          <w:szCs w:val="20"/>
        </w:rPr>
        <w:t>ega</w:t>
      </w:r>
      <w:r w:rsidRPr="00C838DE">
        <w:rPr>
          <w:rFonts w:cs="Arial"/>
          <w:szCs w:val="20"/>
        </w:rPr>
        <w:t xml:space="preserve"> in pet</w:t>
      </w:r>
      <w:r>
        <w:rPr>
          <w:rFonts w:cs="Arial"/>
          <w:szCs w:val="20"/>
        </w:rPr>
        <w:t>ega</w:t>
      </w:r>
      <w:r w:rsidRPr="00C838DE">
        <w:rPr>
          <w:rFonts w:cs="Arial"/>
          <w:szCs w:val="20"/>
        </w:rPr>
        <w:t xml:space="preserve"> odstavk</w:t>
      </w:r>
      <w:r>
        <w:rPr>
          <w:rFonts w:cs="Arial"/>
          <w:szCs w:val="20"/>
        </w:rPr>
        <w:t>a</w:t>
      </w:r>
      <w:r w:rsidRPr="00C838DE">
        <w:rPr>
          <w:rFonts w:cs="Arial"/>
          <w:szCs w:val="20"/>
        </w:rPr>
        <w:t xml:space="preserve"> 159. člena ter nov</w:t>
      </w:r>
      <w:r>
        <w:rPr>
          <w:rFonts w:cs="Arial"/>
          <w:szCs w:val="20"/>
        </w:rPr>
        <w:t>ega</w:t>
      </w:r>
      <w:r w:rsidRPr="00C838DE">
        <w:rPr>
          <w:rFonts w:cs="Arial"/>
          <w:szCs w:val="20"/>
        </w:rPr>
        <w:t xml:space="preserve"> pet</w:t>
      </w:r>
      <w:r>
        <w:rPr>
          <w:rFonts w:cs="Arial"/>
          <w:szCs w:val="20"/>
        </w:rPr>
        <w:t>ega</w:t>
      </w:r>
      <w:r w:rsidRPr="00C838DE">
        <w:rPr>
          <w:rFonts w:cs="Arial"/>
          <w:szCs w:val="20"/>
        </w:rPr>
        <w:t xml:space="preserve"> odstavk</w:t>
      </w:r>
      <w:r>
        <w:rPr>
          <w:rFonts w:cs="Arial"/>
          <w:szCs w:val="20"/>
        </w:rPr>
        <w:t>a</w:t>
      </w:r>
      <w:r w:rsidRPr="00C838DE">
        <w:rPr>
          <w:rFonts w:cs="Arial"/>
          <w:szCs w:val="20"/>
        </w:rPr>
        <w:t xml:space="preserve"> 169. člena zakona</w:t>
      </w:r>
      <w:r>
        <w:rPr>
          <w:rFonts w:cs="Arial"/>
          <w:szCs w:val="20"/>
        </w:rPr>
        <w:t xml:space="preserve"> ZTFI-1, </w:t>
      </w:r>
      <w:r w:rsidRPr="00C838DE">
        <w:rPr>
          <w:rFonts w:cs="Arial"/>
          <w:szCs w:val="20"/>
        </w:rPr>
        <w:t xml:space="preserve">saj je usklajenost z </w:t>
      </w:r>
      <w:r>
        <w:rPr>
          <w:rFonts w:cs="Arial"/>
          <w:szCs w:val="20"/>
        </w:rPr>
        <w:t xml:space="preserve">3. členom </w:t>
      </w:r>
      <w:r w:rsidRPr="00C838DE">
        <w:rPr>
          <w:rFonts w:cs="Arial"/>
          <w:szCs w:val="20"/>
        </w:rPr>
        <w:t>Direktiv</w:t>
      </w:r>
      <w:r>
        <w:rPr>
          <w:rFonts w:cs="Arial"/>
          <w:szCs w:val="20"/>
        </w:rPr>
        <w:t>e</w:t>
      </w:r>
      <w:r w:rsidRPr="00C838DE">
        <w:rPr>
          <w:rFonts w:cs="Arial"/>
          <w:szCs w:val="20"/>
        </w:rPr>
        <w:t xml:space="preserve"> 2023/2864, ki se začne uporabljati 10. julija 2026, ključna za zagotavljanje pravne varnosti, enotne uporabe prava EU in doseganja ciljev direktive.</w:t>
      </w:r>
      <w:r w:rsidR="00CB076E">
        <w:rPr>
          <w:rFonts w:cs="Arial"/>
          <w:szCs w:val="20"/>
        </w:rPr>
        <w:t xml:space="preserve"> Zaradi zagotovitve </w:t>
      </w:r>
      <w:r w:rsidR="00CB076E" w:rsidRPr="00CB076E">
        <w:rPr>
          <w:rFonts w:cs="Arial"/>
          <w:szCs w:val="20"/>
        </w:rPr>
        <w:t>pravne kontinuitete in pravne varnosti ostaja</w:t>
      </w:r>
      <w:r w:rsidR="00CB076E">
        <w:rPr>
          <w:rFonts w:cs="Arial"/>
          <w:szCs w:val="20"/>
        </w:rPr>
        <w:t>ta prvi in peti odstavek</w:t>
      </w:r>
      <w:r w:rsidR="00CB076E" w:rsidRPr="00CB076E">
        <w:rPr>
          <w:rFonts w:cs="Arial"/>
          <w:szCs w:val="20"/>
        </w:rPr>
        <w:t xml:space="preserve"> 159. člen</w:t>
      </w:r>
      <w:r w:rsidR="00CB076E">
        <w:rPr>
          <w:rFonts w:cs="Arial"/>
          <w:szCs w:val="20"/>
        </w:rPr>
        <w:t>a ZTFI-1</w:t>
      </w:r>
      <w:r w:rsidR="00CB076E" w:rsidRPr="00CB076E">
        <w:rPr>
          <w:rFonts w:cs="Arial"/>
          <w:szCs w:val="20"/>
        </w:rPr>
        <w:t xml:space="preserve"> v veljavi in se uporablja</w:t>
      </w:r>
      <w:r w:rsidR="00CB076E">
        <w:rPr>
          <w:rFonts w:cs="Arial"/>
          <w:szCs w:val="20"/>
        </w:rPr>
        <w:t>ta</w:t>
      </w:r>
      <w:r w:rsidR="00CB076E" w:rsidRPr="00CB076E">
        <w:rPr>
          <w:rFonts w:cs="Arial"/>
          <w:szCs w:val="20"/>
        </w:rPr>
        <w:t xml:space="preserve"> do začetka </w:t>
      </w:r>
      <w:r w:rsidR="00CB076E">
        <w:rPr>
          <w:rFonts w:cs="Arial"/>
          <w:szCs w:val="20"/>
        </w:rPr>
        <w:t>uporabe</w:t>
      </w:r>
      <w:r w:rsidR="00CB076E" w:rsidRPr="00CB076E">
        <w:rPr>
          <w:rFonts w:cs="Arial"/>
          <w:szCs w:val="20"/>
        </w:rPr>
        <w:t xml:space="preserve"> novih </w:t>
      </w:r>
      <w:r w:rsidR="00CB076E">
        <w:rPr>
          <w:rFonts w:cs="Arial"/>
          <w:szCs w:val="20"/>
        </w:rPr>
        <w:t>dopolnitev</w:t>
      </w:r>
      <w:r w:rsidR="00CB076E" w:rsidRPr="00CB076E">
        <w:rPr>
          <w:rFonts w:cs="Arial"/>
          <w:szCs w:val="20"/>
        </w:rPr>
        <w:t xml:space="preserve">. </w:t>
      </w:r>
    </w:p>
    <w:p w14:paraId="6259E53C" w14:textId="77777777" w:rsidR="00CB076E" w:rsidRPr="00C838DE" w:rsidRDefault="00CB076E" w:rsidP="00C838DE">
      <w:pPr>
        <w:spacing w:line="276" w:lineRule="auto"/>
        <w:jc w:val="both"/>
        <w:rPr>
          <w:rFonts w:cs="Arial"/>
          <w:szCs w:val="20"/>
        </w:rPr>
      </w:pPr>
    </w:p>
    <w:p w14:paraId="5C31C892" w14:textId="0E85B97C" w:rsidR="007B3019" w:rsidRPr="007B3019" w:rsidRDefault="007B3019" w:rsidP="007B3019">
      <w:pPr>
        <w:spacing w:line="276" w:lineRule="auto"/>
        <w:jc w:val="both"/>
        <w:rPr>
          <w:rFonts w:cs="Arial"/>
          <w:szCs w:val="20"/>
        </w:rPr>
      </w:pPr>
      <w:r w:rsidRPr="007B3019">
        <w:rPr>
          <w:rFonts w:cs="Arial"/>
          <w:szCs w:val="20"/>
        </w:rPr>
        <w:t>Novi deveti odstavek 278. člena, novi deseti odstavek 322. člena, novi osmi odstavek 326. člena, novi deveti odstavek 331. člena, novi peti odstavek 368. člena in novi tretji odstavek 406. člena zakona se začnejo uporabljati 10. januarja 2030.</w:t>
      </w:r>
      <w:r>
        <w:rPr>
          <w:rFonts w:cs="Arial"/>
          <w:szCs w:val="20"/>
        </w:rPr>
        <w:t xml:space="preserve"> </w:t>
      </w:r>
      <w:r w:rsidRPr="007B3019">
        <w:rPr>
          <w:rFonts w:cs="Arial"/>
          <w:szCs w:val="20"/>
        </w:rPr>
        <w:t>Te določbe</w:t>
      </w:r>
      <w:r>
        <w:rPr>
          <w:rFonts w:cs="Arial"/>
          <w:szCs w:val="20"/>
        </w:rPr>
        <w:t xml:space="preserve"> prenašajo 12. člen </w:t>
      </w:r>
      <w:r w:rsidRPr="00C838DE">
        <w:rPr>
          <w:rFonts w:cs="Arial"/>
          <w:szCs w:val="20"/>
        </w:rPr>
        <w:t>Direktiv</w:t>
      </w:r>
      <w:r>
        <w:rPr>
          <w:rFonts w:cs="Arial"/>
          <w:szCs w:val="20"/>
        </w:rPr>
        <w:t>e</w:t>
      </w:r>
      <w:r w:rsidRPr="00C838DE">
        <w:rPr>
          <w:rFonts w:cs="Arial"/>
          <w:szCs w:val="20"/>
        </w:rPr>
        <w:t xml:space="preserve"> 2023/2864</w:t>
      </w:r>
      <w:r>
        <w:rPr>
          <w:rFonts w:cs="Arial"/>
          <w:szCs w:val="20"/>
        </w:rPr>
        <w:t xml:space="preserve"> (</w:t>
      </w:r>
      <w:r w:rsidRPr="007B3019">
        <w:rPr>
          <w:rFonts w:cs="Arial"/>
          <w:szCs w:val="20"/>
        </w:rPr>
        <w:t>novi člen 87a Direktive 2014/65/EU</w:t>
      </w:r>
      <w:r>
        <w:rPr>
          <w:rFonts w:cs="Arial"/>
          <w:szCs w:val="20"/>
        </w:rPr>
        <w:t>)</w:t>
      </w:r>
      <w:r w:rsidRPr="007B3019">
        <w:rPr>
          <w:rFonts w:cs="Arial"/>
          <w:szCs w:val="20"/>
        </w:rPr>
        <w:t xml:space="preserve">, </w:t>
      </w:r>
      <w:r w:rsidR="006B09DA">
        <w:rPr>
          <w:rFonts w:cs="Arial"/>
          <w:szCs w:val="20"/>
        </w:rPr>
        <w:t xml:space="preserve">ki določa, da </w:t>
      </w:r>
      <w:r w:rsidRPr="007B3019">
        <w:rPr>
          <w:rFonts w:cs="Arial"/>
          <w:szCs w:val="20"/>
        </w:rPr>
        <w:t>se začnejo uporabljati 10. januarja 2030. Ta daljši rok odraža kompleksnost sprememb, ki zahtevajo prilagoditve v nacionalnih pravnih redih, tehnoloških sistemih in operativnih procesih.</w:t>
      </w:r>
      <w:r w:rsidR="006B09DA">
        <w:rPr>
          <w:rFonts w:cs="Arial"/>
          <w:szCs w:val="20"/>
        </w:rPr>
        <w:t xml:space="preserve"> ZTFI-1</w:t>
      </w:r>
      <w:r w:rsidRPr="007B3019">
        <w:rPr>
          <w:rFonts w:cs="Arial"/>
          <w:szCs w:val="20"/>
        </w:rPr>
        <w:t xml:space="preserve"> mora zagotoviti uskladit</w:t>
      </w:r>
      <w:r w:rsidR="006B09DA">
        <w:rPr>
          <w:rFonts w:cs="Arial"/>
          <w:szCs w:val="20"/>
        </w:rPr>
        <w:t>e</w:t>
      </w:r>
      <w:r w:rsidRPr="007B3019">
        <w:rPr>
          <w:rFonts w:cs="Arial"/>
          <w:szCs w:val="20"/>
        </w:rPr>
        <w:t>v z novim členom 87a</w:t>
      </w:r>
      <w:r w:rsidR="006B09DA">
        <w:rPr>
          <w:rFonts w:cs="Arial"/>
          <w:szCs w:val="20"/>
        </w:rPr>
        <w:t xml:space="preserve"> Direktive 2014/65/EU</w:t>
      </w:r>
      <w:r w:rsidRPr="007B3019">
        <w:rPr>
          <w:rFonts w:cs="Arial"/>
          <w:szCs w:val="20"/>
        </w:rPr>
        <w:t xml:space="preserve"> do roka, določenega v direktivi. </w:t>
      </w:r>
    </w:p>
    <w:p w14:paraId="0A42DC55" w14:textId="1A2C9AA6" w:rsidR="00C838DE" w:rsidRDefault="007B3019" w:rsidP="00616D0F">
      <w:pPr>
        <w:spacing w:line="276" w:lineRule="auto"/>
        <w:jc w:val="both"/>
        <w:rPr>
          <w:rFonts w:cs="Arial"/>
          <w:szCs w:val="20"/>
        </w:rPr>
      </w:pPr>
      <w:r w:rsidRPr="007B3019">
        <w:rPr>
          <w:rFonts w:cs="Arial"/>
          <w:szCs w:val="20"/>
        </w:rPr>
        <w:cr/>
      </w:r>
      <w:r w:rsidR="00C16260">
        <w:rPr>
          <w:rFonts w:cs="Arial"/>
          <w:szCs w:val="20"/>
        </w:rPr>
        <w:t xml:space="preserve">Določa se, da se novi </w:t>
      </w:r>
      <w:r w:rsidR="00C16260" w:rsidRPr="00616D0F">
        <w:rPr>
          <w:rFonts w:cs="Arial"/>
          <w:szCs w:val="20"/>
        </w:rPr>
        <w:t>429.a člen ZTFI-1 začne uporabljati 10. januarja 2028, s čimer se ureja izvajanje 7. člena Uredbe (EU) 2023/2869 Evropskega parlamenta in Sveta z dne 13. decembra 2023 o spremembi nekaterih uredb glede vzpostavitve in delovanja evropske enotne točke dostopa</w:t>
      </w:r>
      <w:r w:rsidR="0056100D" w:rsidRPr="00616D0F">
        <w:rPr>
          <w:rFonts w:cs="Arial"/>
          <w:szCs w:val="20"/>
        </w:rPr>
        <w:t xml:space="preserve"> (UL L št. 2023/2869 z dne 20. 12. 2023).</w:t>
      </w:r>
    </w:p>
    <w:p w14:paraId="251C34B7" w14:textId="77777777" w:rsidR="0023649D" w:rsidRPr="00445B9C" w:rsidRDefault="0023649D" w:rsidP="00C64B3F">
      <w:pPr>
        <w:spacing w:line="240" w:lineRule="auto"/>
        <w:jc w:val="both"/>
        <w:rPr>
          <w:rFonts w:cs="Arial"/>
          <w:szCs w:val="20"/>
        </w:rPr>
      </w:pPr>
    </w:p>
    <w:p w14:paraId="461F1471" w14:textId="43808C35" w:rsidR="0023649D" w:rsidRPr="00445B9C" w:rsidRDefault="0023649D" w:rsidP="0023649D">
      <w:pPr>
        <w:spacing w:line="276" w:lineRule="auto"/>
        <w:jc w:val="both"/>
        <w:rPr>
          <w:rFonts w:cs="Arial"/>
          <w:b/>
          <w:bCs/>
          <w:szCs w:val="20"/>
        </w:rPr>
      </w:pPr>
      <w:r w:rsidRPr="00445B9C">
        <w:rPr>
          <w:rFonts w:cs="Arial"/>
          <w:b/>
          <w:bCs/>
          <w:szCs w:val="20"/>
        </w:rPr>
        <w:t xml:space="preserve">K </w:t>
      </w:r>
      <w:r w:rsidR="00CF0FDA" w:rsidRPr="00445B9C">
        <w:rPr>
          <w:rFonts w:cs="Arial"/>
          <w:b/>
          <w:bCs/>
          <w:szCs w:val="20"/>
        </w:rPr>
        <w:fldChar w:fldCharType="begin"/>
      </w:r>
      <w:r w:rsidR="003F38D9" w:rsidRPr="00445B9C">
        <w:rPr>
          <w:rFonts w:cs="Arial"/>
          <w:b/>
          <w:bCs/>
          <w:szCs w:val="20"/>
        </w:rPr>
        <w:instrText xml:space="preserve"> REF _Ref192597677 \r \h </w:instrText>
      </w:r>
      <w:r w:rsidR="00445B9C" w:rsidRPr="00445B9C">
        <w:rPr>
          <w:rFonts w:cs="Arial"/>
          <w:b/>
          <w:bCs/>
          <w:szCs w:val="20"/>
        </w:rPr>
        <w:instrText xml:space="preserve"> \* MERGEFORMAT </w:instrText>
      </w:r>
      <w:r w:rsidR="00CF0FDA" w:rsidRPr="00445B9C">
        <w:rPr>
          <w:rFonts w:cs="Arial"/>
          <w:b/>
          <w:bCs/>
          <w:szCs w:val="20"/>
        </w:rPr>
      </w:r>
      <w:r w:rsidR="00CF0FDA" w:rsidRPr="00445B9C">
        <w:rPr>
          <w:rFonts w:cs="Arial"/>
          <w:b/>
          <w:bCs/>
          <w:szCs w:val="20"/>
        </w:rPr>
        <w:fldChar w:fldCharType="separate"/>
      </w:r>
      <w:r w:rsidR="001638A0" w:rsidRPr="00445B9C">
        <w:rPr>
          <w:rFonts w:cs="Arial"/>
          <w:b/>
          <w:bCs/>
          <w:szCs w:val="20"/>
        </w:rPr>
        <w:t xml:space="preserve">58. </w:t>
      </w:r>
      <w:r w:rsidR="00CF0FDA" w:rsidRPr="00445B9C">
        <w:rPr>
          <w:rFonts w:cs="Arial"/>
          <w:b/>
          <w:bCs/>
          <w:szCs w:val="20"/>
        </w:rPr>
        <w:fldChar w:fldCharType="end"/>
      </w:r>
      <w:r w:rsidRPr="00445B9C">
        <w:rPr>
          <w:rFonts w:cs="Arial"/>
          <w:b/>
          <w:bCs/>
          <w:szCs w:val="20"/>
        </w:rPr>
        <w:t>členu</w:t>
      </w:r>
    </w:p>
    <w:p w14:paraId="3160033A" w14:textId="77777777" w:rsidR="0023649D" w:rsidRPr="00445B9C" w:rsidRDefault="0023649D" w:rsidP="00C64B3F">
      <w:pPr>
        <w:spacing w:line="240" w:lineRule="auto"/>
        <w:jc w:val="both"/>
        <w:rPr>
          <w:rFonts w:cs="Arial"/>
          <w:szCs w:val="20"/>
        </w:rPr>
      </w:pPr>
      <w:r w:rsidRPr="00445B9C">
        <w:rPr>
          <w:rFonts w:cs="Arial"/>
          <w:szCs w:val="20"/>
        </w:rPr>
        <w:t xml:space="preserve">Določa se začetek veljavnosti zakona, kar je </w:t>
      </w:r>
      <w:r w:rsidRPr="00445B9C">
        <w:rPr>
          <w:rFonts w:eastAsiaTheme="majorEastAsia" w:cs="Arial"/>
          <w:bCs/>
          <w:szCs w:val="20"/>
        </w:rPr>
        <w:t>petnajsti dan po objavi v Uradnem listu Republike Slovenije.</w:t>
      </w:r>
      <w:r w:rsidR="003421AC" w:rsidRPr="00445B9C">
        <w:rPr>
          <w:rFonts w:eastAsiaTheme="majorEastAsia" w:cs="Arial"/>
          <w:bCs/>
          <w:szCs w:val="20"/>
        </w:rPr>
        <w:t xml:space="preserve"> </w:t>
      </w:r>
    </w:p>
    <w:p w14:paraId="4B68892F" w14:textId="77777777" w:rsidR="00FE0F83" w:rsidRDefault="00FE0F83" w:rsidP="00C64B3F">
      <w:pPr>
        <w:spacing w:line="240" w:lineRule="auto"/>
        <w:jc w:val="both"/>
        <w:rPr>
          <w:rFonts w:cs="Arial"/>
          <w:szCs w:val="20"/>
        </w:rPr>
      </w:pPr>
    </w:p>
    <w:p w14:paraId="0463A3FF" w14:textId="77777777" w:rsidR="00FE0F83" w:rsidRDefault="00FE0F83" w:rsidP="00C64B3F">
      <w:pPr>
        <w:spacing w:line="240" w:lineRule="auto"/>
        <w:jc w:val="both"/>
        <w:rPr>
          <w:rFonts w:cs="Arial"/>
          <w:szCs w:val="20"/>
        </w:rPr>
      </w:pPr>
    </w:p>
    <w:p w14:paraId="7D9731E5" w14:textId="77777777" w:rsidR="00FE0F83" w:rsidRDefault="00FE0F83" w:rsidP="00C64B3F">
      <w:pPr>
        <w:spacing w:line="240" w:lineRule="auto"/>
        <w:jc w:val="both"/>
        <w:rPr>
          <w:rFonts w:cs="Arial"/>
          <w:szCs w:val="20"/>
        </w:rPr>
      </w:pPr>
    </w:p>
    <w:p w14:paraId="2C620A3D" w14:textId="77777777" w:rsidR="00FE0F83" w:rsidRDefault="00FE0F83" w:rsidP="00C64B3F">
      <w:pPr>
        <w:spacing w:line="240" w:lineRule="auto"/>
        <w:jc w:val="both"/>
        <w:rPr>
          <w:rFonts w:cs="Arial"/>
          <w:szCs w:val="20"/>
        </w:rPr>
      </w:pPr>
    </w:p>
    <w:p w14:paraId="482F9D4D" w14:textId="77777777" w:rsidR="00FE0F83" w:rsidRDefault="00FE0F83" w:rsidP="00C64B3F">
      <w:pPr>
        <w:spacing w:line="240" w:lineRule="auto"/>
        <w:jc w:val="both"/>
        <w:rPr>
          <w:rFonts w:cs="Arial"/>
          <w:szCs w:val="20"/>
        </w:rPr>
      </w:pPr>
    </w:p>
    <w:p w14:paraId="65B27653" w14:textId="77777777" w:rsidR="00B32776" w:rsidRDefault="00B32776" w:rsidP="00C64B3F">
      <w:pPr>
        <w:spacing w:line="240" w:lineRule="auto"/>
        <w:jc w:val="both"/>
        <w:rPr>
          <w:rFonts w:cs="Arial"/>
          <w:szCs w:val="20"/>
        </w:rPr>
      </w:pPr>
    </w:p>
    <w:p w14:paraId="0A7248D0" w14:textId="77777777" w:rsidR="00325031" w:rsidRDefault="00325031" w:rsidP="00C64B3F">
      <w:pPr>
        <w:spacing w:line="240" w:lineRule="auto"/>
        <w:jc w:val="both"/>
        <w:rPr>
          <w:rFonts w:cs="Arial"/>
          <w:szCs w:val="20"/>
        </w:rPr>
      </w:pPr>
    </w:p>
    <w:p w14:paraId="5D60144D" w14:textId="77777777" w:rsidR="0053256E" w:rsidRPr="00732B0A" w:rsidRDefault="0053256E" w:rsidP="00C64B3F">
      <w:pPr>
        <w:spacing w:line="240" w:lineRule="auto"/>
        <w:jc w:val="both"/>
        <w:rPr>
          <w:rFonts w:cs="Arial"/>
          <w:szCs w:val="20"/>
        </w:rPr>
      </w:pPr>
    </w:p>
    <w:p w14:paraId="49F7A56A" w14:textId="77777777" w:rsidR="001E1871" w:rsidRDefault="001E1871">
      <w:pPr>
        <w:spacing w:line="240" w:lineRule="auto"/>
        <w:rPr>
          <w:rFonts w:eastAsia="Calibri" w:cs="Arial"/>
          <w:b/>
          <w:szCs w:val="20"/>
        </w:rPr>
      </w:pPr>
      <w:r>
        <w:rPr>
          <w:rFonts w:cs="Arial"/>
          <w:b/>
          <w:szCs w:val="20"/>
        </w:rPr>
        <w:br w:type="page"/>
      </w:r>
    </w:p>
    <w:p w14:paraId="3C91AC60" w14:textId="77777777" w:rsidR="00E16CD0" w:rsidRPr="00732B0A" w:rsidRDefault="00E16CD0" w:rsidP="00C64B3F">
      <w:pPr>
        <w:pStyle w:val="Brezrazmikov2"/>
        <w:jc w:val="both"/>
        <w:rPr>
          <w:rFonts w:ascii="Arial" w:hAnsi="Arial" w:cs="Arial"/>
          <w:b/>
          <w:szCs w:val="20"/>
        </w:rPr>
      </w:pPr>
      <w:r w:rsidRPr="00732B0A">
        <w:rPr>
          <w:rFonts w:ascii="Arial" w:hAnsi="Arial" w:cs="Arial"/>
          <w:b/>
          <w:szCs w:val="20"/>
        </w:rPr>
        <w:lastRenderedPageBreak/>
        <w:t>IV. BESEDILO ČLENOV, KI SE SPREMINJAJO</w:t>
      </w:r>
      <w:r w:rsidR="001D4C69">
        <w:rPr>
          <w:rFonts w:ascii="Arial" w:hAnsi="Arial" w:cs="Arial"/>
          <w:b/>
          <w:szCs w:val="20"/>
        </w:rPr>
        <w:t>:</w:t>
      </w:r>
      <w:r w:rsidR="00094811">
        <w:rPr>
          <w:rFonts w:ascii="Arial" w:hAnsi="Arial" w:cs="Arial"/>
          <w:b/>
          <w:szCs w:val="20"/>
        </w:rPr>
        <w:t xml:space="preserve"> </w:t>
      </w:r>
    </w:p>
    <w:p w14:paraId="3B8EA2B0"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 člen</w:t>
      </w:r>
    </w:p>
    <w:p w14:paraId="6A03FC2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(prenos in izvajanje predpisov Evropske unije)</w:t>
      </w:r>
    </w:p>
    <w:p w14:paraId="35EE13B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S tem zakonom se v pravni red Republike Slovenije prenašajo naslednje direktive Evropske unije (v nadaljnjem besedilu: EU):</w:t>
      </w:r>
    </w:p>
    <w:p w14:paraId="0976B39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w:t>
      </w:r>
      <w:r w:rsidR="00F259F3" w:rsidRPr="004319E8">
        <w:rPr>
          <w:rFonts w:ascii="Arial" w:eastAsia="Arial" w:hAnsi="Arial" w:cs="Arial"/>
          <w:sz w:val="20"/>
          <w:szCs w:val="20"/>
        </w:rPr>
        <w:t xml:space="preserve">Direktiva Sveta 89/117/EGS </w:t>
      </w:r>
      <w:r w:rsidRPr="004319E8">
        <w:rPr>
          <w:rFonts w:ascii="Arial" w:eastAsia="Arial" w:hAnsi="Arial" w:cs="Arial"/>
          <w:sz w:val="20"/>
          <w:szCs w:val="20"/>
        </w:rPr>
        <w:t xml:space="preserve">z dne 13. februarja 1989 o obveznostih podružnic, ustanovljenih v državi članici, ki pripadajo kreditnim in finančnim institucijam s sedežem zunaj te države članice, glede objave letnih računovodskih izkazov (UL L št. 44 z dne 16. 2. 1989, str. 40; v nadaljnjem besedilu: </w:t>
      </w:r>
      <w:r w:rsidR="005A782A" w:rsidRPr="004319E8">
        <w:rPr>
          <w:rFonts w:ascii="Arial" w:eastAsia="Arial" w:hAnsi="Arial" w:cs="Arial"/>
          <w:color w:val="0000EE"/>
          <w:sz w:val="20"/>
          <w:szCs w:val="20"/>
          <w:u w:val="single" w:color="0000EE"/>
        </w:rPr>
        <w:t>Direktiva 89/117/EGS</w:t>
      </w:r>
      <w:r w:rsidRPr="004319E8">
        <w:rPr>
          <w:rFonts w:ascii="Arial" w:eastAsia="Arial" w:hAnsi="Arial" w:cs="Arial"/>
          <w:sz w:val="20"/>
          <w:szCs w:val="20"/>
        </w:rPr>
        <w:t>),</w:t>
      </w:r>
    </w:p>
    <w:p w14:paraId="29D3669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w:t>
      </w:r>
      <w:r w:rsidR="005A782A" w:rsidRPr="004319E8">
        <w:rPr>
          <w:rFonts w:ascii="Arial" w:eastAsia="Arial" w:hAnsi="Arial" w:cs="Arial"/>
          <w:color w:val="0000EE"/>
          <w:sz w:val="20"/>
          <w:szCs w:val="20"/>
          <w:u w:val="single" w:color="0000EE"/>
        </w:rPr>
        <w:t>Direktiva 97/9/ES</w:t>
      </w:r>
      <w:r w:rsidRPr="004319E8">
        <w:rPr>
          <w:rFonts w:ascii="Arial" w:eastAsia="Arial" w:hAnsi="Arial" w:cs="Arial"/>
          <w:sz w:val="20"/>
          <w:szCs w:val="20"/>
        </w:rPr>
        <w:t xml:space="preserve"> Evropskega parlamenta in Sveta z dne 3. marca 1997 o odškodninskih shemah za vlagatelje (UL L št. 84 z dne 26. 3. 1997, str. 22; v nadaljnjem besedilu: </w:t>
      </w:r>
      <w:r w:rsidR="005A782A" w:rsidRPr="004319E8">
        <w:rPr>
          <w:rFonts w:ascii="Arial" w:eastAsia="Arial" w:hAnsi="Arial" w:cs="Arial"/>
          <w:color w:val="0000EE"/>
          <w:sz w:val="20"/>
          <w:szCs w:val="20"/>
          <w:u w:val="single" w:color="0000EE"/>
        </w:rPr>
        <w:t>Direktiva 97/9/ES</w:t>
      </w:r>
      <w:r w:rsidRPr="004319E8">
        <w:rPr>
          <w:rFonts w:ascii="Arial" w:eastAsia="Arial" w:hAnsi="Arial" w:cs="Arial"/>
          <w:sz w:val="20"/>
          <w:szCs w:val="20"/>
        </w:rPr>
        <w:t>),</w:t>
      </w:r>
    </w:p>
    <w:p w14:paraId="2E1483E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w:t>
      </w:r>
      <w:r w:rsidR="005A782A" w:rsidRPr="004319E8">
        <w:rPr>
          <w:rFonts w:ascii="Arial" w:eastAsia="Arial" w:hAnsi="Arial" w:cs="Arial"/>
          <w:color w:val="0000EE"/>
          <w:sz w:val="20"/>
          <w:szCs w:val="20"/>
          <w:u w:val="single" w:color="0000EE"/>
        </w:rPr>
        <w:t>Direktiva 98/26/ES</w:t>
      </w:r>
      <w:r w:rsidRPr="004319E8">
        <w:rPr>
          <w:rFonts w:ascii="Arial" w:eastAsia="Arial" w:hAnsi="Arial" w:cs="Arial"/>
          <w:sz w:val="20"/>
          <w:szCs w:val="20"/>
        </w:rPr>
        <w:t xml:space="preserve"> Evropskega parlamenta in Sveta z dne 19. maja 1998 o dokončnosti poravnave pri plačilih in sistemih poravnave vrednostnih papirjev (UL L št. 166 z dne 11. 6. 1998, str. 45), zadnjič spremenjena z </w:t>
      </w:r>
      <w:r w:rsidR="005A782A" w:rsidRPr="004319E8">
        <w:rPr>
          <w:rFonts w:ascii="Arial" w:eastAsia="Arial" w:hAnsi="Arial" w:cs="Arial"/>
          <w:color w:val="0000EE"/>
          <w:sz w:val="20"/>
          <w:szCs w:val="20"/>
          <w:u w:val="single" w:color="0000EE"/>
        </w:rPr>
        <w:t>Uredbo (EU) št. 909/2014</w:t>
      </w:r>
      <w:r w:rsidRPr="004319E8">
        <w:rPr>
          <w:rFonts w:ascii="Arial" w:eastAsia="Arial" w:hAnsi="Arial" w:cs="Arial"/>
          <w:sz w:val="20"/>
          <w:szCs w:val="20"/>
        </w:rPr>
        <w:t xml:space="preserve"> Evropskega parlamenta in Sveta z dne 23. julija 2014 o izboljšanju ureditve poravnav vrednostnih papirjev v Evropski uniji in o centralnih depotnih družbah ter o spremembi </w:t>
      </w:r>
      <w:r w:rsidR="005A782A" w:rsidRPr="004319E8">
        <w:rPr>
          <w:rFonts w:ascii="Arial" w:eastAsia="Arial" w:hAnsi="Arial" w:cs="Arial"/>
          <w:color w:val="0000EE"/>
          <w:sz w:val="20"/>
          <w:szCs w:val="20"/>
          <w:u w:val="single" w:color="0000EE"/>
        </w:rPr>
        <w:t>direktiv 98/26/ES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2014/65/EU</w:t>
      </w:r>
      <w:r w:rsidRPr="004319E8">
        <w:rPr>
          <w:rFonts w:ascii="Arial" w:eastAsia="Arial" w:hAnsi="Arial" w:cs="Arial"/>
          <w:sz w:val="20"/>
          <w:szCs w:val="20"/>
        </w:rPr>
        <w:t xml:space="preserve"> ter </w:t>
      </w:r>
      <w:r w:rsidR="005A782A" w:rsidRPr="004319E8">
        <w:rPr>
          <w:rFonts w:ascii="Arial" w:eastAsia="Arial" w:hAnsi="Arial" w:cs="Arial"/>
          <w:color w:val="0000EE"/>
          <w:sz w:val="20"/>
          <w:szCs w:val="20"/>
          <w:u w:val="single" w:color="0000EE"/>
        </w:rPr>
        <w:t>Uredbe (EU) št. 236/2012</w:t>
      </w:r>
      <w:r w:rsidRPr="004319E8">
        <w:rPr>
          <w:rFonts w:ascii="Arial" w:eastAsia="Arial" w:hAnsi="Arial" w:cs="Arial"/>
          <w:sz w:val="20"/>
          <w:szCs w:val="20"/>
        </w:rPr>
        <w:t xml:space="preserve"> (UL L št. 257 z dne 28. 8. 2014, str. 1), (v nadaljnjem besedilu: </w:t>
      </w:r>
      <w:r w:rsidR="005A782A" w:rsidRPr="004319E8">
        <w:rPr>
          <w:rFonts w:ascii="Arial" w:eastAsia="Arial" w:hAnsi="Arial" w:cs="Arial"/>
          <w:color w:val="0000EE"/>
          <w:sz w:val="20"/>
          <w:szCs w:val="20"/>
          <w:u w:val="single" w:color="0000EE"/>
        </w:rPr>
        <w:t>Direktiva 98/26/ES</w:t>
      </w:r>
      <w:r w:rsidRPr="004319E8">
        <w:rPr>
          <w:rFonts w:ascii="Arial" w:eastAsia="Arial" w:hAnsi="Arial" w:cs="Arial"/>
          <w:sz w:val="20"/>
          <w:szCs w:val="20"/>
        </w:rPr>
        <w:t>),</w:t>
      </w:r>
    </w:p>
    <w:p w14:paraId="641614B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w:t>
      </w:r>
      <w:r w:rsidR="005A782A" w:rsidRPr="004319E8">
        <w:rPr>
          <w:rFonts w:ascii="Arial" w:eastAsia="Arial" w:hAnsi="Arial" w:cs="Arial"/>
          <w:color w:val="0000EE"/>
          <w:sz w:val="20"/>
          <w:szCs w:val="20"/>
          <w:u w:val="single" w:color="0000EE"/>
        </w:rPr>
        <w:t>Direktiva 2001/34/ES</w:t>
      </w:r>
      <w:r w:rsidRPr="004319E8">
        <w:rPr>
          <w:rFonts w:ascii="Arial" w:eastAsia="Arial" w:hAnsi="Arial" w:cs="Arial"/>
          <w:sz w:val="20"/>
          <w:szCs w:val="20"/>
        </w:rPr>
        <w:t xml:space="preserve"> Evropskega parlamenta in Sveta z dne 28. maja 2001 o sprejemu vrednostnih papirjev v uradno kotacijo na borzi in o informacijah, ki jih je treba objaviti v zvezi s temi vrednostnimi papirji (UL L št. 184 z dne 6. 7. 2001, str. 1), zadnjič spremenjena z </w:t>
      </w:r>
      <w:r w:rsidR="005A782A" w:rsidRPr="004319E8">
        <w:rPr>
          <w:rFonts w:ascii="Arial" w:eastAsia="Arial" w:hAnsi="Arial" w:cs="Arial"/>
          <w:color w:val="0000EE"/>
          <w:sz w:val="20"/>
          <w:szCs w:val="20"/>
          <w:u w:val="single" w:color="0000EE"/>
        </w:rPr>
        <w:t>Direktivo Evropskega parlamenta in Sveta 2005/1/ES</w:t>
      </w:r>
      <w:r w:rsidRPr="004319E8">
        <w:rPr>
          <w:rFonts w:ascii="Arial" w:eastAsia="Arial" w:hAnsi="Arial" w:cs="Arial"/>
          <w:sz w:val="20"/>
          <w:szCs w:val="20"/>
        </w:rPr>
        <w:t xml:space="preserve"> z dne 9. marca 2005 o spremembi </w:t>
      </w:r>
      <w:r w:rsidR="005A782A" w:rsidRPr="004319E8">
        <w:rPr>
          <w:rFonts w:ascii="Arial" w:eastAsia="Arial" w:hAnsi="Arial" w:cs="Arial"/>
          <w:color w:val="0000EE"/>
          <w:sz w:val="20"/>
          <w:szCs w:val="20"/>
          <w:u w:val="single" w:color="0000EE"/>
        </w:rPr>
        <w:t>direktiv Sveta 73/239/EGS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85/611/EGS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91/675/EGS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92/49/EGS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93/6/EGS</w:t>
      </w:r>
      <w:r w:rsidRPr="004319E8">
        <w:rPr>
          <w:rFonts w:ascii="Arial" w:eastAsia="Arial" w:hAnsi="Arial" w:cs="Arial"/>
          <w:sz w:val="20"/>
          <w:szCs w:val="20"/>
        </w:rPr>
        <w:t xml:space="preserve"> ter </w:t>
      </w:r>
      <w:r w:rsidR="005A782A" w:rsidRPr="004319E8">
        <w:rPr>
          <w:rFonts w:ascii="Arial" w:eastAsia="Arial" w:hAnsi="Arial" w:cs="Arial"/>
          <w:color w:val="0000EE"/>
          <w:sz w:val="20"/>
          <w:szCs w:val="20"/>
          <w:u w:val="single" w:color="0000EE"/>
        </w:rPr>
        <w:t>direktiv 94/19/ES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98/78/ES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2000/12/ES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2001/34/ES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2002/83/ES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2002/87/ES</w:t>
      </w:r>
      <w:r w:rsidRPr="004319E8">
        <w:rPr>
          <w:rFonts w:ascii="Arial" w:eastAsia="Arial" w:hAnsi="Arial" w:cs="Arial"/>
          <w:sz w:val="20"/>
          <w:szCs w:val="20"/>
        </w:rPr>
        <w:t xml:space="preserve"> za vzpostavitev nove organizacijske strukture odborov za finančne storitve (UL L št. 79 z dne 24. 3. 2005, str. 9), (v nadaljnjem besedilu: </w:t>
      </w:r>
      <w:r w:rsidR="005A782A" w:rsidRPr="004319E8">
        <w:rPr>
          <w:rFonts w:ascii="Arial" w:eastAsia="Arial" w:hAnsi="Arial" w:cs="Arial"/>
          <w:color w:val="0000EE"/>
          <w:sz w:val="20"/>
          <w:szCs w:val="20"/>
          <w:u w:val="single" w:color="0000EE"/>
        </w:rPr>
        <w:t>Direktiva 2001/34/ES</w:t>
      </w:r>
      <w:r w:rsidRPr="004319E8">
        <w:rPr>
          <w:rFonts w:ascii="Arial" w:eastAsia="Arial" w:hAnsi="Arial" w:cs="Arial"/>
          <w:sz w:val="20"/>
          <w:szCs w:val="20"/>
        </w:rPr>
        <w:t>),</w:t>
      </w:r>
    </w:p>
    <w:p w14:paraId="3E25360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w:t>
      </w:r>
      <w:r w:rsidRPr="004319E8">
        <w:rPr>
          <w:rFonts w:ascii="Arial" w:eastAsia="Arial" w:hAnsi="Arial" w:cs="Arial"/>
          <w:b/>
          <w:bCs/>
          <w:sz w:val="20"/>
          <w:szCs w:val="20"/>
        </w:rPr>
        <w:t>(črtana)</w:t>
      </w:r>
      <w:r w:rsidRPr="004319E8">
        <w:rPr>
          <w:rFonts w:ascii="Arial" w:eastAsia="Arial" w:hAnsi="Arial" w:cs="Arial"/>
          <w:sz w:val="20"/>
          <w:szCs w:val="20"/>
        </w:rPr>
        <w:t>,</w:t>
      </w:r>
    </w:p>
    <w:p w14:paraId="34966EF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w:t>
      </w:r>
      <w:r w:rsidR="005A782A" w:rsidRPr="004319E8">
        <w:rPr>
          <w:rFonts w:ascii="Arial" w:eastAsia="Arial" w:hAnsi="Arial" w:cs="Arial"/>
          <w:color w:val="0000EE"/>
          <w:sz w:val="20"/>
          <w:szCs w:val="20"/>
          <w:u w:val="single" w:color="0000EE"/>
        </w:rPr>
        <w:t>Direktiva 2004/109/ES</w:t>
      </w:r>
      <w:r w:rsidRPr="004319E8">
        <w:rPr>
          <w:rFonts w:ascii="Arial" w:eastAsia="Arial" w:hAnsi="Arial" w:cs="Arial"/>
          <w:sz w:val="20"/>
          <w:szCs w:val="20"/>
        </w:rPr>
        <w:t xml:space="preserve"> Evropskega parlamenta in Sveta z dne 15. decembra 2004 o uskladitvi zahtev v zvezi s preglednostjo informacij o izdajateljih, katerih vrednostni papirji so sprejeti v trgovanje na reguliranem trgu, in o spremembi </w:t>
      </w:r>
      <w:r w:rsidR="005A782A" w:rsidRPr="004319E8">
        <w:rPr>
          <w:rFonts w:ascii="Arial" w:eastAsia="Arial" w:hAnsi="Arial" w:cs="Arial"/>
          <w:color w:val="0000EE"/>
          <w:sz w:val="20"/>
          <w:szCs w:val="20"/>
          <w:u w:val="single" w:color="0000EE"/>
        </w:rPr>
        <w:t>Direktive 2001/34/ES</w:t>
      </w:r>
      <w:r w:rsidRPr="004319E8">
        <w:rPr>
          <w:rFonts w:ascii="Arial" w:eastAsia="Arial" w:hAnsi="Arial" w:cs="Arial"/>
          <w:sz w:val="20"/>
          <w:szCs w:val="20"/>
        </w:rPr>
        <w:t xml:space="preserve"> (UL L št. 390 z dne 31. 12. 2004, str. 38), zadnjič spremenjena z </w:t>
      </w:r>
      <w:r w:rsidR="005A782A" w:rsidRPr="004319E8">
        <w:rPr>
          <w:rFonts w:ascii="Arial" w:eastAsia="Arial" w:hAnsi="Arial" w:cs="Arial"/>
          <w:color w:val="0000EE"/>
          <w:sz w:val="20"/>
          <w:szCs w:val="20"/>
          <w:u w:val="single" w:color="0000EE"/>
        </w:rPr>
        <w:t>Delegirano uredbo Komisije (EU) 2016/1437</w:t>
      </w:r>
      <w:r w:rsidRPr="004319E8">
        <w:rPr>
          <w:rFonts w:ascii="Arial" w:eastAsia="Arial" w:hAnsi="Arial" w:cs="Arial"/>
          <w:sz w:val="20"/>
          <w:szCs w:val="20"/>
        </w:rPr>
        <w:t xml:space="preserve"> z dne 19. maja 2016 o dopolnitvi </w:t>
      </w:r>
      <w:r w:rsidR="005A782A" w:rsidRPr="004319E8">
        <w:rPr>
          <w:rFonts w:ascii="Arial" w:eastAsia="Arial" w:hAnsi="Arial" w:cs="Arial"/>
          <w:color w:val="0000EE"/>
          <w:sz w:val="20"/>
          <w:szCs w:val="20"/>
          <w:u w:val="single" w:color="0000EE"/>
        </w:rPr>
        <w:t>Direktive 2004/109/ES</w:t>
      </w:r>
      <w:r w:rsidRPr="004319E8">
        <w:rPr>
          <w:rFonts w:ascii="Arial" w:eastAsia="Arial" w:hAnsi="Arial" w:cs="Arial"/>
          <w:sz w:val="20"/>
          <w:szCs w:val="20"/>
        </w:rPr>
        <w:t xml:space="preserve"> Evropskega parlamenta in Sveta v zvezi z regulativnimi tehničnimi standardi za dostop do predpisanih informacij na ravni Unije (UL L št. 234 z dne 31. 8. 2016, str. 1), (v nadaljnjem besedilu: </w:t>
      </w:r>
      <w:r w:rsidR="005A782A" w:rsidRPr="004319E8">
        <w:rPr>
          <w:rFonts w:ascii="Arial" w:eastAsia="Arial" w:hAnsi="Arial" w:cs="Arial"/>
          <w:color w:val="0000EE"/>
          <w:sz w:val="20"/>
          <w:szCs w:val="20"/>
          <w:u w:val="single" w:color="0000EE"/>
        </w:rPr>
        <w:t>Direktiva 2004/109/ES</w:t>
      </w:r>
      <w:r w:rsidRPr="004319E8">
        <w:rPr>
          <w:rFonts w:ascii="Arial" w:eastAsia="Arial" w:hAnsi="Arial" w:cs="Arial"/>
          <w:sz w:val="20"/>
          <w:szCs w:val="20"/>
        </w:rPr>
        <w:t>),</w:t>
      </w:r>
    </w:p>
    <w:p w14:paraId="0A2B5A4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w:t>
      </w:r>
      <w:r w:rsidRPr="004319E8">
        <w:rPr>
          <w:rFonts w:ascii="Arial" w:eastAsia="Arial" w:hAnsi="Arial" w:cs="Arial"/>
          <w:b/>
          <w:bCs/>
          <w:sz w:val="20"/>
          <w:szCs w:val="20"/>
        </w:rPr>
        <w:t>(črtana)</w:t>
      </w:r>
      <w:r w:rsidRPr="004319E8">
        <w:rPr>
          <w:rFonts w:ascii="Arial" w:eastAsia="Arial" w:hAnsi="Arial" w:cs="Arial"/>
          <w:sz w:val="20"/>
          <w:szCs w:val="20"/>
        </w:rPr>
        <w:t>,</w:t>
      </w:r>
    </w:p>
    <w:p w14:paraId="3C328B1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w:t>
      </w:r>
      <w:r w:rsidR="005A782A" w:rsidRPr="004319E8">
        <w:rPr>
          <w:rFonts w:ascii="Arial" w:eastAsia="Arial" w:hAnsi="Arial" w:cs="Arial"/>
          <w:color w:val="0000EE"/>
          <w:sz w:val="20"/>
          <w:szCs w:val="20"/>
          <w:u w:val="single" w:color="0000EE"/>
        </w:rPr>
        <w:t>Direktiva 2014/65/EU</w:t>
      </w:r>
      <w:r w:rsidRPr="004319E8">
        <w:rPr>
          <w:rFonts w:ascii="Arial" w:eastAsia="Arial" w:hAnsi="Arial" w:cs="Arial"/>
          <w:sz w:val="20"/>
          <w:szCs w:val="20"/>
        </w:rPr>
        <w:t xml:space="preserve"> Evropskega parlamenta in Sveta z dne 15. maja 2014 o trgih finančnih instrumentov ter spremembi </w:t>
      </w:r>
      <w:r w:rsidR="005A782A" w:rsidRPr="004319E8">
        <w:rPr>
          <w:rFonts w:ascii="Arial" w:eastAsia="Arial" w:hAnsi="Arial" w:cs="Arial"/>
          <w:color w:val="0000EE"/>
          <w:sz w:val="20"/>
          <w:szCs w:val="20"/>
          <w:u w:val="single" w:color="0000EE"/>
        </w:rPr>
        <w:t>Direktive 2002/92/ES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Direktive 2011/61/EU</w:t>
      </w:r>
      <w:r w:rsidRPr="004319E8">
        <w:rPr>
          <w:rFonts w:ascii="Arial" w:eastAsia="Arial" w:hAnsi="Arial" w:cs="Arial"/>
          <w:sz w:val="20"/>
          <w:szCs w:val="20"/>
        </w:rPr>
        <w:t xml:space="preserve"> (UL L št. 173 z dne 12. 6. 2014, str. 349), zadnjič spremenjena z </w:t>
      </w:r>
      <w:r w:rsidR="005A782A" w:rsidRPr="004319E8">
        <w:rPr>
          <w:rFonts w:ascii="Arial" w:eastAsia="Arial" w:hAnsi="Arial" w:cs="Arial"/>
          <w:color w:val="0000EE"/>
          <w:sz w:val="20"/>
          <w:szCs w:val="20"/>
          <w:u w:val="single" w:color="0000EE"/>
        </w:rPr>
        <w:t>Delegirano uredbo Komisije (EU) 2017/1946</w:t>
      </w:r>
      <w:r w:rsidRPr="004319E8">
        <w:rPr>
          <w:rFonts w:ascii="Arial" w:eastAsia="Arial" w:hAnsi="Arial" w:cs="Arial"/>
          <w:sz w:val="20"/>
          <w:szCs w:val="20"/>
        </w:rPr>
        <w:t xml:space="preserve"> z dne 11. julija 2017 o dopolnitvi </w:t>
      </w:r>
      <w:r w:rsidR="005A782A" w:rsidRPr="004319E8">
        <w:rPr>
          <w:rFonts w:ascii="Arial" w:eastAsia="Arial" w:hAnsi="Arial" w:cs="Arial"/>
          <w:color w:val="0000EE"/>
          <w:sz w:val="20"/>
          <w:szCs w:val="20"/>
          <w:u w:val="single" w:color="0000EE"/>
        </w:rPr>
        <w:t>direktiv 2004/39/ES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2014/65/EU</w:t>
      </w:r>
      <w:r w:rsidRPr="004319E8">
        <w:rPr>
          <w:rFonts w:ascii="Arial" w:eastAsia="Arial" w:hAnsi="Arial" w:cs="Arial"/>
          <w:sz w:val="20"/>
          <w:szCs w:val="20"/>
        </w:rPr>
        <w:t xml:space="preserve"> Evropskega parlamenta in Sveta v zvezi z regulativnimi tehničnimi standardi za izčrpen seznam informacij, ki jih morajo bodoči pridobitelji vključiti v obvestilo o predlagani pridobitvi kvalificiranega deleža v investicijskem podjetju (UL L št. 276 z dne 26. 10. 2017, str. 32), (v nadaljnjem besedilu: </w:t>
      </w:r>
      <w:r w:rsidR="005A782A" w:rsidRPr="004319E8">
        <w:rPr>
          <w:rFonts w:ascii="Arial" w:eastAsia="Arial" w:hAnsi="Arial" w:cs="Arial"/>
          <w:color w:val="0000EE"/>
          <w:sz w:val="20"/>
          <w:szCs w:val="20"/>
          <w:u w:val="single" w:color="0000EE"/>
        </w:rPr>
        <w:t>Direktiva 2014/65/EU</w:t>
      </w:r>
      <w:r w:rsidRPr="004319E8">
        <w:rPr>
          <w:rFonts w:ascii="Arial" w:eastAsia="Arial" w:hAnsi="Arial" w:cs="Arial"/>
          <w:sz w:val="20"/>
          <w:szCs w:val="20"/>
        </w:rPr>
        <w:t>),</w:t>
      </w:r>
    </w:p>
    <w:p w14:paraId="7A0EC78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9.      </w:t>
      </w:r>
      <w:r w:rsidR="005A782A" w:rsidRPr="004319E8">
        <w:rPr>
          <w:rFonts w:ascii="Arial" w:eastAsia="Arial" w:hAnsi="Arial" w:cs="Arial"/>
          <w:color w:val="0000EE"/>
          <w:sz w:val="20"/>
          <w:szCs w:val="20"/>
          <w:u w:val="single" w:color="0000EE"/>
        </w:rPr>
        <w:t>Izvedbena direktiva Komisije (EU) 2015/2392</w:t>
      </w:r>
      <w:r w:rsidRPr="004319E8">
        <w:rPr>
          <w:rFonts w:ascii="Arial" w:eastAsia="Arial" w:hAnsi="Arial" w:cs="Arial"/>
          <w:sz w:val="20"/>
          <w:szCs w:val="20"/>
        </w:rPr>
        <w:t xml:space="preserve"> z dne 17. decembra 2015 o </w:t>
      </w:r>
      <w:r w:rsidR="005A782A" w:rsidRPr="004319E8">
        <w:rPr>
          <w:rFonts w:ascii="Arial" w:eastAsia="Arial" w:hAnsi="Arial" w:cs="Arial"/>
          <w:color w:val="0000EE"/>
          <w:sz w:val="20"/>
          <w:szCs w:val="20"/>
          <w:u w:val="single" w:color="0000EE"/>
        </w:rPr>
        <w:t>Uredbi (EU) št. 596/2014</w:t>
      </w:r>
      <w:r w:rsidRPr="004319E8">
        <w:rPr>
          <w:rFonts w:ascii="Arial" w:eastAsia="Arial" w:hAnsi="Arial" w:cs="Arial"/>
          <w:sz w:val="20"/>
          <w:szCs w:val="20"/>
        </w:rPr>
        <w:t xml:space="preserve"> Evropskega parlamenta in Sveta glede poročanja pristojnim organom o dejanskih ali morebitnih kršitvah navedene uredbe (UL L št. 332 z dne 18. 12. 2015, str. 126), (v nadaljnjem besedilu: </w:t>
      </w:r>
      <w:r w:rsidR="005A782A" w:rsidRPr="004319E8">
        <w:rPr>
          <w:rFonts w:ascii="Arial" w:eastAsia="Arial" w:hAnsi="Arial" w:cs="Arial"/>
          <w:color w:val="0000EE"/>
          <w:sz w:val="20"/>
          <w:szCs w:val="20"/>
          <w:u w:val="single" w:color="0000EE"/>
        </w:rPr>
        <w:t>Direktiva 2015/2392/EU</w:t>
      </w:r>
      <w:r w:rsidRPr="004319E8">
        <w:rPr>
          <w:rFonts w:ascii="Arial" w:eastAsia="Arial" w:hAnsi="Arial" w:cs="Arial"/>
          <w:sz w:val="20"/>
          <w:szCs w:val="20"/>
        </w:rPr>
        <w:t>),</w:t>
      </w:r>
    </w:p>
    <w:p w14:paraId="2409352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10.   </w:t>
      </w:r>
      <w:r w:rsidR="005A782A" w:rsidRPr="004319E8">
        <w:rPr>
          <w:rFonts w:ascii="Arial" w:eastAsia="Arial" w:hAnsi="Arial" w:cs="Arial"/>
          <w:color w:val="0000EE"/>
          <w:sz w:val="20"/>
          <w:szCs w:val="20"/>
          <w:u w:val="single" w:color="0000EE"/>
        </w:rPr>
        <w:t>Direktiva (EU) 2016/1034</w:t>
      </w:r>
      <w:r w:rsidRPr="004319E8">
        <w:rPr>
          <w:rFonts w:ascii="Arial" w:eastAsia="Arial" w:hAnsi="Arial" w:cs="Arial"/>
          <w:sz w:val="20"/>
          <w:szCs w:val="20"/>
        </w:rPr>
        <w:t xml:space="preserve"> Evropskega parlamenta in Sveta z dne 23. junija 2016 o spremembi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o trgih finančnih instrumentov (UL L št. 175 z dne 30. 6. 2016, str. 8),</w:t>
      </w:r>
    </w:p>
    <w:p w14:paraId="1049BC9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w:t>
      </w:r>
      <w:r w:rsidR="005A782A" w:rsidRPr="004319E8">
        <w:rPr>
          <w:rFonts w:ascii="Arial" w:eastAsia="Arial" w:hAnsi="Arial" w:cs="Arial"/>
          <w:color w:val="0000EE"/>
          <w:sz w:val="20"/>
          <w:szCs w:val="20"/>
          <w:u w:val="single" w:color="0000EE"/>
        </w:rPr>
        <w:t>Delegirana direktiva Komisije (EU) 2017/593</w:t>
      </w:r>
      <w:r w:rsidRPr="004319E8">
        <w:rPr>
          <w:rFonts w:ascii="Arial" w:eastAsia="Arial" w:hAnsi="Arial" w:cs="Arial"/>
          <w:sz w:val="20"/>
          <w:szCs w:val="20"/>
        </w:rPr>
        <w:t xml:space="preserve"> z dne 7. aprila 2016 o dopolnitvi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Evropskega parlamenta in Sveta v zvezi z zaščito finančnih instrumentov in sredstev, ki pripadajo strankam, obveznostmi glede upravljanja produktov in pravili, ki se uporabljajo za zagotavljanje ali prejemanje pristojbin, provizij ali kakršnih koli denarnih ali nedenarnih koristi (UL L št. 87 z dne 31. 3. 2017, str. 500; v nadaljnjem besedilu: </w:t>
      </w:r>
      <w:r w:rsidR="005A782A" w:rsidRPr="004319E8">
        <w:rPr>
          <w:rFonts w:ascii="Arial" w:eastAsia="Arial" w:hAnsi="Arial" w:cs="Arial"/>
          <w:color w:val="0000EE"/>
          <w:sz w:val="20"/>
          <w:szCs w:val="20"/>
          <w:u w:val="single" w:color="0000EE"/>
        </w:rPr>
        <w:t>Direktiva 2017/593/EU</w:t>
      </w:r>
      <w:r w:rsidRPr="004319E8">
        <w:rPr>
          <w:rFonts w:ascii="Arial" w:eastAsia="Arial" w:hAnsi="Arial" w:cs="Arial"/>
          <w:sz w:val="20"/>
          <w:szCs w:val="20"/>
        </w:rPr>
        <w:t>),</w:t>
      </w:r>
    </w:p>
    <w:p w14:paraId="77D3C98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12.   </w:t>
      </w:r>
      <w:r w:rsidR="005A782A" w:rsidRPr="004319E8">
        <w:rPr>
          <w:rFonts w:ascii="Arial" w:eastAsia="Arial" w:hAnsi="Arial" w:cs="Arial"/>
          <w:color w:val="0000EE"/>
          <w:sz w:val="20"/>
          <w:szCs w:val="20"/>
          <w:u w:val="single" w:color="0000EE"/>
        </w:rPr>
        <w:t>Direktiva (EU) 2019/2034</w:t>
      </w:r>
      <w:r w:rsidRPr="004319E8">
        <w:rPr>
          <w:rFonts w:ascii="Arial" w:eastAsia="Arial" w:hAnsi="Arial" w:cs="Arial"/>
          <w:sz w:val="20"/>
          <w:szCs w:val="20"/>
        </w:rPr>
        <w:t xml:space="preserve"> Evropskega parlamenta in Sveta z dne 27. novembra 2019 o bonitetnem nadzoru investicijskih podjetij ter o spremembi </w:t>
      </w:r>
      <w:r w:rsidR="005A782A" w:rsidRPr="004319E8">
        <w:rPr>
          <w:rFonts w:ascii="Arial" w:eastAsia="Arial" w:hAnsi="Arial" w:cs="Arial"/>
          <w:color w:val="0000EE"/>
          <w:sz w:val="20"/>
          <w:szCs w:val="20"/>
          <w:u w:val="single" w:color="0000EE"/>
        </w:rPr>
        <w:t>direktiv 2002/87/ES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2009/65/ES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2011/61/EU</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2013/36/EU</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2014/59/EU</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2014/65/EU</w:t>
      </w:r>
      <w:r w:rsidRPr="004319E8">
        <w:rPr>
          <w:rFonts w:ascii="Arial" w:eastAsia="Arial" w:hAnsi="Arial" w:cs="Arial"/>
          <w:sz w:val="20"/>
          <w:szCs w:val="20"/>
        </w:rPr>
        <w:t xml:space="preserve"> (UL L št. 314 z dne 5. decembra 2019, str. 64), zadnjič popravljena s Popravkom (UL L št. 405 z dne 2. 12. 2020, str. 84), v delu, ki se nanaša na spremembo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w:t>
      </w:r>
    </w:p>
    <w:p w14:paraId="12E6815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13.   </w:t>
      </w:r>
      <w:r w:rsidR="005A782A" w:rsidRPr="004319E8">
        <w:rPr>
          <w:rFonts w:ascii="Arial" w:eastAsia="Arial" w:hAnsi="Arial" w:cs="Arial"/>
          <w:color w:val="0000EE"/>
          <w:sz w:val="20"/>
          <w:szCs w:val="20"/>
          <w:u w:val="single" w:color="0000EE"/>
        </w:rPr>
        <w:t>Direktiva 2019/2177</w:t>
      </w:r>
      <w:r w:rsidRPr="004319E8">
        <w:rPr>
          <w:rFonts w:ascii="Arial" w:eastAsia="Arial" w:hAnsi="Arial" w:cs="Arial"/>
          <w:sz w:val="20"/>
          <w:szCs w:val="20"/>
        </w:rPr>
        <w:t xml:space="preserve"> Evropskega parlamenta in Sveta z dne 18. decembra 2019 o spremembi </w:t>
      </w:r>
      <w:r w:rsidR="005A782A" w:rsidRPr="004319E8">
        <w:rPr>
          <w:rFonts w:ascii="Arial" w:eastAsia="Arial" w:hAnsi="Arial" w:cs="Arial"/>
          <w:color w:val="0000EE"/>
          <w:sz w:val="20"/>
          <w:szCs w:val="20"/>
          <w:u w:val="single" w:color="0000EE"/>
        </w:rPr>
        <w:t>Direktive 2009/138/ES</w:t>
      </w:r>
      <w:r w:rsidRPr="004319E8">
        <w:rPr>
          <w:rFonts w:ascii="Arial" w:eastAsia="Arial" w:hAnsi="Arial" w:cs="Arial"/>
          <w:sz w:val="20"/>
          <w:szCs w:val="20"/>
        </w:rPr>
        <w:t xml:space="preserve"> o začetku opravljanja in opravljanju dejavnosti zavarovanja in pozavarovanja (Solventnost II),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o trgih finančnih instrumentov in </w:t>
      </w:r>
      <w:r w:rsidR="005A782A" w:rsidRPr="004319E8">
        <w:rPr>
          <w:rFonts w:ascii="Arial" w:eastAsia="Arial" w:hAnsi="Arial" w:cs="Arial"/>
          <w:color w:val="0000EE"/>
          <w:sz w:val="20"/>
          <w:szCs w:val="20"/>
          <w:u w:val="single" w:color="0000EE"/>
        </w:rPr>
        <w:t>Direktive (EU) 2015/849</w:t>
      </w:r>
      <w:r w:rsidRPr="004319E8">
        <w:rPr>
          <w:rFonts w:ascii="Arial" w:eastAsia="Arial" w:hAnsi="Arial" w:cs="Arial"/>
          <w:sz w:val="20"/>
          <w:szCs w:val="20"/>
        </w:rPr>
        <w:t xml:space="preserve"> o preprečevanju uporabe finančnega sistema za pranje denarja ali financiranje terorizma (UL L št. 334 z dne 27. 12. 2019, str. 155; v nadaljnjem besedilu: </w:t>
      </w:r>
      <w:r w:rsidR="005A782A" w:rsidRPr="004319E8">
        <w:rPr>
          <w:rFonts w:ascii="Arial" w:eastAsia="Arial" w:hAnsi="Arial" w:cs="Arial"/>
          <w:color w:val="0000EE"/>
          <w:sz w:val="20"/>
          <w:szCs w:val="20"/>
          <w:u w:val="single" w:color="0000EE"/>
        </w:rPr>
        <w:t>Direktiva 2019/2177/EU</w:t>
      </w:r>
      <w:r w:rsidRPr="004319E8">
        <w:rPr>
          <w:rFonts w:ascii="Arial" w:eastAsia="Arial" w:hAnsi="Arial" w:cs="Arial"/>
          <w:sz w:val="20"/>
          <w:szCs w:val="20"/>
        </w:rPr>
        <w:t xml:space="preserve">), v delu, ki se nanaša na spremembo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w:t>
      </w:r>
    </w:p>
    <w:p w14:paraId="2FFC4C2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14.   </w:t>
      </w:r>
      <w:r w:rsidR="005A782A" w:rsidRPr="004319E8">
        <w:rPr>
          <w:rFonts w:ascii="Arial" w:eastAsia="Arial" w:hAnsi="Arial" w:cs="Arial"/>
          <w:color w:val="0000EE"/>
          <w:sz w:val="20"/>
          <w:szCs w:val="20"/>
          <w:u w:val="single" w:color="0000EE"/>
        </w:rPr>
        <w:t>Direktiva 2020/1504</w:t>
      </w:r>
      <w:r w:rsidRPr="004319E8">
        <w:rPr>
          <w:rFonts w:ascii="Arial" w:eastAsia="Arial" w:hAnsi="Arial" w:cs="Arial"/>
          <w:sz w:val="20"/>
          <w:szCs w:val="20"/>
        </w:rPr>
        <w:t xml:space="preserve"> Evropskega parlamenta in Sveta z dne 7. oktobra 2020 o spremembi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o trgih finančnih instrumentov (UL L št. 347 z dne 20. 10. 2020, str. 50);</w:t>
      </w:r>
    </w:p>
    <w:p w14:paraId="7D026FC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15.   </w:t>
      </w:r>
      <w:r w:rsidR="005A782A" w:rsidRPr="004319E8">
        <w:rPr>
          <w:rFonts w:ascii="Arial" w:eastAsia="Arial" w:hAnsi="Arial" w:cs="Arial"/>
          <w:color w:val="0000EE"/>
          <w:sz w:val="20"/>
          <w:szCs w:val="20"/>
          <w:u w:val="single" w:color="0000EE"/>
        </w:rPr>
        <w:t>Direktiva 2021/338</w:t>
      </w:r>
      <w:r w:rsidRPr="004319E8">
        <w:rPr>
          <w:rFonts w:ascii="Arial" w:eastAsia="Arial" w:hAnsi="Arial" w:cs="Arial"/>
          <w:sz w:val="20"/>
          <w:szCs w:val="20"/>
        </w:rPr>
        <w:t xml:space="preserve"> Evropskega parlamenta in Sveta z dne 16. februarja 2021 o spremembi </w:t>
      </w:r>
      <w:r w:rsidR="005A782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glede zahtev po informacijah, upravljanja produktov in omejitev pozicij ter </w:t>
      </w:r>
      <w:r w:rsidR="005A782A" w:rsidRPr="004319E8">
        <w:rPr>
          <w:rFonts w:ascii="Arial" w:eastAsia="Arial" w:hAnsi="Arial" w:cs="Arial"/>
          <w:color w:val="0000EE"/>
          <w:sz w:val="20"/>
          <w:szCs w:val="20"/>
          <w:u w:val="single" w:color="0000EE"/>
        </w:rPr>
        <w:t>direktiv 2013/36/EU</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(EU) 2019/878</w:t>
      </w:r>
      <w:r w:rsidRPr="004319E8">
        <w:rPr>
          <w:rFonts w:ascii="Arial" w:eastAsia="Arial" w:hAnsi="Arial" w:cs="Arial"/>
          <w:sz w:val="20"/>
          <w:szCs w:val="20"/>
        </w:rPr>
        <w:t xml:space="preserve"> glede njihove uporabe v zvezi z investicijskimi podjetji, za podporo okrevanju po pandemiji COVID-19 (UL L št. 68 z dne 26. 2. 2021, str. 14);</w:t>
      </w:r>
    </w:p>
    <w:p w14:paraId="6187DA1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16. </w:t>
      </w:r>
      <w:r w:rsidR="005A782A" w:rsidRPr="004319E8">
        <w:rPr>
          <w:rFonts w:ascii="Arial" w:eastAsia="Arial" w:hAnsi="Arial" w:cs="Arial"/>
          <w:color w:val="0000EE"/>
          <w:sz w:val="20"/>
          <w:szCs w:val="20"/>
          <w:u w:val="single" w:color="0000EE"/>
        </w:rPr>
        <w:t>Direktiva (EU) 2022/2464/EU</w:t>
      </w:r>
      <w:r w:rsidRPr="004319E8">
        <w:rPr>
          <w:rFonts w:ascii="Arial" w:eastAsia="Arial" w:hAnsi="Arial" w:cs="Arial"/>
          <w:sz w:val="20"/>
          <w:szCs w:val="20"/>
        </w:rPr>
        <w:t xml:space="preserve"> Evropskega parlamenta in Sveta z dne 14. decembra 2022 o spremembi </w:t>
      </w:r>
      <w:r w:rsidR="005A782A" w:rsidRPr="004319E8">
        <w:rPr>
          <w:rFonts w:ascii="Arial" w:eastAsia="Arial" w:hAnsi="Arial" w:cs="Arial"/>
          <w:color w:val="0000EE"/>
          <w:sz w:val="20"/>
          <w:szCs w:val="20"/>
          <w:u w:val="single" w:color="0000EE"/>
        </w:rPr>
        <w:t>Uredbe (EU) št. 537/2014</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Direktive 2004/109/ES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Direktive 2006/43/ES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 xml:space="preserve"> glede poročanja podjetij o trajnostnosti (UL L št. 322 z dne 16. 12. 2022, str. 15).</w:t>
      </w:r>
    </w:p>
    <w:p w14:paraId="33C5D33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S tem zakonom se podrobneje ureja izvajanje naslednjih uredb EU:</w:t>
      </w:r>
    </w:p>
    <w:p w14:paraId="47447CF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w:t>
      </w:r>
      <w:r w:rsidRPr="004319E8">
        <w:rPr>
          <w:rFonts w:ascii="Arial" w:eastAsia="Arial" w:hAnsi="Arial" w:cs="Arial"/>
          <w:b/>
          <w:bCs/>
          <w:sz w:val="20"/>
          <w:szCs w:val="20"/>
        </w:rPr>
        <w:t>(črtana)</w:t>
      </w:r>
      <w:r w:rsidRPr="004319E8">
        <w:rPr>
          <w:rFonts w:ascii="Arial" w:eastAsia="Arial" w:hAnsi="Arial" w:cs="Arial"/>
          <w:sz w:val="20"/>
          <w:szCs w:val="20"/>
        </w:rPr>
        <w:t>,</w:t>
      </w:r>
    </w:p>
    <w:p w14:paraId="297AA1A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w:t>
      </w:r>
      <w:r w:rsidR="005A782A" w:rsidRPr="004319E8">
        <w:rPr>
          <w:rFonts w:ascii="Arial" w:eastAsia="Arial" w:hAnsi="Arial" w:cs="Arial"/>
          <w:color w:val="0000EE"/>
          <w:sz w:val="20"/>
          <w:szCs w:val="20"/>
          <w:u w:val="single" w:color="0000EE"/>
        </w:rPr>
        <w:t>Uredbe (EU) št. 575/2013</w:t>
      </w:r>
      <w:r w:rsidRPr="004319E8">
        <w:rPr>
          <w:rFonts w:ascii="Arial" w:eastAsia="Arial" w:hAnsi="Arial" w:cs="Arial"/>
          <w:sz w:val="20"/>
          <w:szCs w:val="20"/>
        </w:rPr>
        <w:t xml:space="preserve"> Evropskega parlamenta in Sveta z dne 26. junija 2013 o bonitetnih zahtevah za kreditne institucije in investicijska podjetja ter o spremembi </w:t>
      </w:r>
      <w:r w:rsidR="005A782A" w:rsidRPr="004319E8">
        <w:rPr>
          <w:rFonts w:ascii="Arial" w:eastAsia="Arial" w:hAnsi="Arial" w:cs="Arial"/>
          <w:color w:val="0000EE"/>
          <w:sz w:val="20"/>
          <w:szCs w:val="20"/>
          <w:u w:val="single" w:color="0000EE"/>
        </w:rPr>
        <w:t>Uredbe (EU) št. 648/2012</w:t>
      </w:r>
      <w:r w:rsidRPr="004319E8">
        <w:rPr>
          <w:rFonts w:ascii="Arial" w:eastAsia="Arial" w:hAnsi="Arial" w:cs="Arial"/>
          <w:sz w:val="20"/>
          <w:szCs w:val="20"/>
        </w:rPr>
        <w:t xml:space="preserve"> (UL L št. 176 z dne 27. 6. 2013, str. 1), zadnjič spremenjena z </w:t>
      </w:r>
      <w:r w:rsidR="005A782A" w:rsidRPr="004319E8">
        <w:rPr>
          <w:rFonts w:ascii="Arial" w:eastAsia="Arial" w:hAnsi="Arial" w:cs="Arial"/>
          <w:color w:val="0000EE"/>
          <w:sz w:val="20"/>
          <w:szCs w:val="20"/>
          <w:u w:val="single" w:color="0000EE"/>
        </w:rPr>
        <w:t>Uredbo (EU) 2019/630</w:t>
      </w:r>
      <w:r w:rsidRPr="004319E8">
        <w:rPr>
          <w:rFonts w:ascii="Arial" w:eastAsia="Arial" w:hAnsi="Arial" w:cs="Arial"/>
          <w:sz w:val="20"/>
          <w:szCs w:val="20"/>
        </w:rPr>
        <w:t xml:space="preserve"> Evropskega parlamenta in Sveta z dne 17. aprila 2019 o spremembi </w:t>
      </w:r>
      <w:r w:rsidR="005A782A" w:rsidRPr="004319E8">
        <w:rPr>
          <w:rFonts w:ascii="Arial" w:eastAsia="Arial" w:hAnsi="Arial" w:cs="Arial"/>
          <w:color w:val="0000EE"/>
          <w:sz w:val="20"/>
          <w:szCs w:val="20"/>
          <w:u w:val="single" w:color="0000EE"/>
        </w:rPr>
        <w:t>Uredbe (EU) št. 575/2013</w:t>
      </w:r>
      <w:r w:rsidRPr="004319E8">
        <w:rPr>
          <w:rFonts w:ascii="Arial" w:eastAsia="Arial" w:hAnsi="Arial" w:cs="Arial"/>
          <w:sz w:val="20"/>
          <w:szCs w:val="20"/>
        </w:rPr>
        <w:t xml:space="preserve"> glede minimalnega kritja izgub za nedonosne izpostavljenosti (UL L št. 111 z dne 25. 4. 2019, str. 4), (v nadaljnjem besedilu: </w:t>
      </w:r>
      <w:r w:rsidR="005A782A" w:rsidRPr="004319E8">
        <w:rPr>
          <w:rFonts w:ascii="Arial" w:eastAsia="Arial" w:hAnsi="Arial" w:cs="Arial"/>
          <w:color w:val="0000EE"/>
          <w:sz w:val="20"/>
          <w:szCs w:val="20"/>
          <w:u w:val="single" w:color="0000EE"/>
        </w:rPr>
        <w:t>Uredba 575/2013/EU</w:t>
      </w:r>
      <w:r w:rsidRPr="004319E8">
        <w:rPr>
          <w:rFonts w:ascii="Arial" w:eastAsia="Arial" w:hAnsi="Arial" w:cs="Arial"/>
          <w:sz w:val="20"/>
          <w:szCs w:val="20"/>
        </w:rPr>
        <w:t>),</w:t>
      </w:r>
    </w:p>
    <w:p w14:paraId="6097D3D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w:t>
      </w:r>
      <w:r w:rsidR="005A782A" w:rsidRPr="004319E8">
        <w:rPr>
          <w:rFonts w:ascii="Arial" w:eastAsia="Arial" w:hAnsi="Arial" w:cs="Arial"/>
          <w:color w:val="0000EE"/>
          <w:sz w:val="20"/>
          <w:szCs w:val="20"/>
          <w:u w:val="single" w:color="0000EE"/>
        </w:rPr>
        <w:t>Uredbe (EU) št. 596/2014</w:t>
      </w:r>
      <w:r w:rsidRPr="004319E8">
        <w:rPr>
          <w:rFonts w:ascii="Arial" w:eastAsia="Arial" w:hAnsi="Arial" w:cs="Arial"/>
          <w:sz w:val="20"/>
          <w:szCs w:val="20"/>
        </w:rPr>
        <w:t xml:space="preserve"> Evropskega parlamenta in Sveta z dne 16. aprila 2014 o zlorabi trga (uredba o zlorabi trga) ter razveljavitvi </w:t>
      </w:r>
      <w:r w:rsidR="005A782A" w:rsidRPr="004319E8">
        <w:rPr>
          <w:rFonts w:ascii="Arial" w:eastAsia="Arial" w:hAnsi="Arial" w:cs="Arial"/>
          <w:color w:val="0000EE"/>
          <w:sz w:val="20"/>
          <w:szCs w:val="20"/>
          <w:u w:val="single" w:color="0000EE"/>
        </w:rPr>
        <w:t>Direktive 2003/6/ES</w:t>
      </w:r>
      <w:r w:rsidRPr="004319E8">
        <w:rPr>
          <w:rFonts w:ascii="Arial" w:eastAsia="Arial" w:hAnsi="Arial" w:cs="Arial"/>
          <w:sz w:val="20"/>
          <w:szCs w:val="20"/>
        </w:rPr>
        <w:t xml:space="preserve"> Evropskega parlamenta in Sveta ter </w:t>
      </w:r>
      <w:r w:rsidR="005A782A" w:rsidRPr="004319E8">
        <w:rPr>
          <w:rFonts w:ascii="Arial" w:eastAsia="Arial" w:hAnsi="Arial" w:cs="Arial"/>
          <w:color w:val="0000EE"/>
          <w:sz w:val="20"/>
          <w:szCs w:val="20"/>
          <w:u w:val="single" w:color="0000EE"/>
        </w:rPr>
        <w:t>direktiv Komisije 2003/124/ES</w:t>
      </w:r>
      <w:r w:rsidRPr="004319E8">
        <w:rPr>
          <w:rFonts w:ascii="Arial" w:eastAsia="Arial" w:hAnsi="Arial" w:cs="Arial"/>
          <w:sz w:val="20"/>
          <w:szCs w:val="20"/>
        </w:rPr>
        <w:t xml:space="preserve">, </w:t>
      </w:r>
      <w:r w:rsidR="005A782A" w:rsidRPr="004319E8">
        <w:rPr>
          <w:rFonts w:ascii="Arial" w:eastAsia="Arial" w:hAnsi="Arial" w:cs="Arial"/>
          <w:color w:val="0000EE"/>
          <w:sz w:val="20"/>
          <w:szCs w:val="20"/>
          <w:u w:val="single" w:color="0000EE"/>
        </w:rPr>
        <w:t>2003/125/ES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2004/72/ES</w:t>
      </w:r>
      <w:r w:rsidRPr="004319E8">
        <w:rPr>
          <w:rFonts w:ascii="Arial" w:eastAsia="Arial" w:hAnsi="Arial" w:cs="Arial"/>
          <w:sz w:val="20"/>
          <w:szCs w:val="20"/>
        </w:rPr>
        <w:t xml:space="preserve"> (UL L št. 173 z dne </w:t>
      </w:r>
      <w:r w:rsidRPr="004319E8">
        <w:rPr>
          <w:rFonts w:ascii="Arial" w:eastAsia="Arial" w:hAnsi="Arial" w:cs="Arial"/>
          <w:sz w:val="20"/>
          <w:szCs w:val="20"/>
        </w:rPr>
        <w:lastRenderedPageBreak/>
        <w:t xml:space="preserve">16. 4. 2014, str. 1), zadnjič spremenjena z </w:t>
      </w:r>
      <w:r w:rsidR="005A782A" w:rsidRPr="004319E8">
        <w:rPr>
          <w:rFonts w:ascii="Arial" w:eastAsia="Arial" w:hAnsi="Arial" w:cs="Arial"/>
          <w:color w:val="0000EE"/>
          <w:sz w:val="20"/>
          <w:szCs w:val="20"/>
          <w:u w:val="single" w:color="0000EE"/>
        </w:rPr>
        <w:t>Uredbo (EU) 2016/1033</w:t>
      </w:r>
      <w:r w:rsidRPr="004319E8">
        <w:rPr>
          <w:rFonts w:ascii="Arial" w:eastAsia="Arial" w:hAnsi="Arial" w:cs="Arial"/>
          <w:sz w:val="20"/>
          <w:szCs w:val="20"/>
        </w:rPr>
        <w:t xml:space="preserve"> Evropskega parlamenta in Sveta z dne 23. junija 2016 o spremembi </w:t>
      </w:r>
      <w:r w:rsidR="005A782A" w:rsidRPr="004319E8">
        <w:rPr>
          <w:rFonts w:ascii="Arial" w:eastAsia="Arial" w:hAnsi="Arial" w:cs="Arial"/>
          <w:color w:val="0000EE"/>
          <w:sz w:val="20"/>
          <w:szCs w:val="20"/>
          <w:u w:val="single" w:color="0000EE"/>
        </w:rPr>
        <w:t>Uredbe (EU) št. 600/2014</w:t>
      </w:r>
      <w:r w:rsidRPr="004319E8">
        <w:rPr>
          <w:rFonts w:ascii="Arial" w:eastAsia="Arial" w:hAnsi="Arial" w:cs="Arial"/>
          <w:sz w:val="20"/>
          <w:szCs w:val="20"/>
        </w:rPr>
        <w:t xml:space="preserve"> o trgih finančnih instrumentov, </w:t>
      </w:r>
      <w:r w:rsidR="005A782A" w:rsidRPr="004319E8">
        <w:rPr>
          <w:rFonts w:ascii="Arial" w:eastAsia="Arial" w:hAnsi="Arial" w:cs="Arial"/>
          <w:color w:val="0000EE"/>
          <w:sz w:val="20"/>
          <w:szCs w:val="20"/>
          <w:u w:val="single" w:color="0000EE"/>
        </w:rPr>
        <w:t>Uredbe (EU) št. 596/2014</w:t>
      </w:r>
      <w:r w:rsidRPr="004319E8">
        <w:rPr>
          <w:rFonts w:ascii="Arial" w:eastAsia="Arial" w:hAnsi="Arial" w:cs="Arial"/>
          <w:sz w:val="20"/>
          <w:szCs w:val="20"/>
        </w:rPr>
        <w:t xml:space="preserve"> o zlorabi trga in </w:t>
      </w:r>
      <w:r w:rsidR="005A782A" w:rsidRPr="004319E8">
        <w:rPr>
          <w:rFonts w:ascii="Arial" w:eastAsia="Arial" w:hAnsi="Arial" w:cs="Arial"/>
          <w:color w:val="0000EE"/>
          <w:sz w:val="20"/>
          <w:szCs w:val="20"/>
          <w:u w:val="single" w:color="0000EE"/>
        </w:rPr>
        <w:t>Uredbe (EU) št. 909/2014</w:t>
      </w:r>
      <w:r w:rsidRPr="004319E8">
        <w:rPr>
          <w:rFonts w:ascii="Arial" w:eastAsia="Arial" w:hAnsi="Arial" w:cs="Arial"/>
          <w:sz w:val="20"/>
          <w:szCs w:val="20"/>
        </w:rPr>
        <w:t xml:space="preserve"> o izboljšanju ureditve poravnav vrednostnih papirjev v Evropski uniji in o centralnih depotnih družbah (UL L št. 175 z dne 30. 6. 2016, str. 1), (v nadaljnjem besedilu: </w:t>
      </w:r>
      <w:r w:rsidR="005A782A" w:rsidRPr="004319E8">
        <w:rPr>
          <w:rFonts w:ascii="Arial" w:eastAsia="Arial" w:hAnsi="Arial" w:cs="Arial"/>
          <w:color w:val="0000EE"/>
          <w:sz w:val="20"/>
          <w:szCs w:val="20"/>
          <w:u w:val="single" w:color="0000EE"/>
        </w:rPr>
        <w:t>Uredba 596/2014/EU</w:t>
      </w:r>
      <w:r w:rsidRPr="004319E8">
        <w:rPr>
          <w:rFonts w:ascii="Arial" w:eastAsia="Arial" w:hAnsi="Arial" w:cs="Arial"/>
          <w:sz w:val="20"/>
          <w:szCs w:val="20"/>
        </w:rPr>
        <w:t>),</w:t>
      </w:r>
    </w:p>
    <w:p w14:paraId="3BA7A37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w:t>
      </w:r>
      <w:r w:rsidR="005A782A" w:rsidRPr="004319E8">
        <w:rPr>
          <w:rFonts w:ascii="Arial" w:eastAsia="Arial" w:hAnsi="Arial" w:cs="Arial"/>
          <w:color w:val="0000EE"/>
          <w:sz w:val="20"/>
          <w:szCs w:val="20"/>
          <w:u w:val="single" w:color="0000EE"/>
        </w:rPr>
        <w:t>Uredbe (EU) št. 600/2014</w:t>
      </w:r>
      <w:r w:rsidRPr="004319E8">
        <w:rPr>
          <w:rFonts w:ascii="Arial" w:eastAsia="Arial" w:hAnsi="Arial" w:cs="Arial"/>
          <w:sz w:val="20"/>
          <w:szCs w:val="20"/>
        </w:rPr>
        <w:t xml:space="preserve"> Evropskega parlamenta in Sveta z dne 15. maja 2014 o trgih finančnih instrumentov ter spremembi </w:t>
      </w:r>
      <w:r w:rsidR="005A782A" w:rsidRPr="004319E8">
        <w:rPr>
          <w:rFonts w:ascii="Arial" w:eastAsia="Arial" w:hAnsi="Arial" w:cs="Arial"/>
          <w:color w:val="0000EE"/>
          <w:sz w:val="20"/>
          <w:szCs w:val="20"/>
          <w:u w:val="single" w:color="0000EE"/>
        </w:rPr>
        <w:t>Uredbe (EU) št. 648/2012</w:t>
      </w:r>
      <w:r w:rsidRPr="004319E8">
        <w:rPr>
          <w:rFonts w:ascii="Arial" w:eastAsia="Arial" w:hAnsi="Arial" w:cs="Arial"/>
          <w:sz w:val="20"/>
          <w:szCs w:val="20"/>
        </w:rPr>
        <w:t xml:space="preserve"> (UL L št. 173 z dne 12. 6. 2014, str. 84), zadnjič spremenjena z </w:t>
      </w:r>
      <w:r w:rsidR="005A782A" w:rsidRPr="004319E8">
        <w:rPr>
          <w:rFonts w:ascii="Arial" w:eastAsia="Arial" w:hAnsi="Arial" w:cs="Arial"/>
          <w:color w:val="0000EE"/>
          <w:sz w:val="20"/>
          <w:szCs w:val="20"/>
          <w:u w:val="single" w:color="0000EE"/>
        </w:rPr>
        <w:t>Delegirano uredbo Komisije (EU) 2017/2417</w:t>
      </w:r>
      <w:r w:rsidRPr="004319E8">
        <w:rPr>
          <w:rFonts w:ascii="Arial" w:eastAsia="Arial" w:hAnsi="Arial" w:cs="Arial"/>
          <w:sz w:val="20"/>
          <w:szCs w:val="20"/>
        </w:rPr>
        <w:t xml:space="preserve"> z dne 17. novembra 2017 o dopolnitvi </w:t>
      </w:r>
      <w:r w:rsidR="005A782A" w:rsidRPr="004319E8">
        <w:rPr>
          <w:rFonts w:ascii="Arial" w:eastAsia="Arial" w:hAnsi="Arial" w:cs="Arial"/>
          <w:color w:val="0000EE"/>
          <w:sz w:val="20"/>
          <w:szCs w:val="20"/>
          <w:u w:val="single" w:color="0000EE"/>
        </w:rPr>
        <w:t>Uredbe (EU) št. 600/2014</w:t>
      </w:r>
      <w:r w:rsidRPr="004319E8">
        <w:rPr>
          <w:rFonts w:ascii="Arial" w:eastAsia="Arial" w:hAnsi="Arial" w:cs="Arial"/>
          <w:sz w:val="20"/>
          <w:szCs w:val="20"/>
        </w:rPr>
        <w:t xml:space="preserve"> Evropskega parlamenta in Sveta o trgih finančnih instrumentov v zvezi z regulativnimi tehničnimi standardi o obveznosti trgovanja za določene izvedene finančne instrumente (UL L št. 343 z dne 22. 12. 2017, str. 48), (v nadaljnjem besedilu: </w:t>
      </w:r>
      <w:r w:rsidR="005A782A" w:rsidRPr="004319E8">
        <w:rPr>
          <w:rFonts w:ascii="Arial" w:eastAsia="Arial" w:hAnsi="Arial" w:cs="Arial"/>
          <w:color w:val="0000EE"/>
          <w:sz w:val="20"/>
          <w:szCs w:val="20"/>
          <w:u w:val="single" w:color="0000EE"/>
        </w:rPr>
        <w:t>Uredba 600/2014/EU</w:t>
      </w:r>
      <w:r w:rsidRPr="004319E8">
        <w:rPr>
          <w:rFonts w:ascii="Arial" w:eastAsia="Arial" w:hAnsi="Arial" w:cs="Arial"/>
          <w:sz w:val="20"/>
          <w:szCs w:val="20"/>
        </w:rPr>
        <w:t>),</w:t>
      </w:r>
    </w:p>
    <w:p w14:paraId="293718C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w:t>
      </w:r>
      <w:r w:rsidR="005A782A" w:rsidRPr="004319E8">
        <w:rPr>
          <w:rFonts w:ascii="Arial" w:eastAsia="Arial" w:hAnsi="Arial" w:cs="Arial"/>
          <w:color w:val="0000EE"/>
          <w:sz w:val="20"/>
          <w:szCs w:val="20"/>
          <w:u w:val="single" w:color="0000EE"/>
        </w:rPr>
        <w:t>Uredbe (EU) št. 909/2014</w:t>
      </w:r>
      <w:r w:rsidRPr="004319E8">
        <w:rPr>
          <w:rFonts w:ascii="Arial" w:eastAsia="Arial" w:hAnsi="Arial" w:cs="Arial"/>
          <w:sz w:val="20"/>
          <w:szCs w:val="20"/>
        </w:rPr>
        <w:t xml:space="preserve"> Evropskega parlamenta in Sveta z dne 23. julija 2014 o izboljšanju ureditve poravnav vrednostnih papirjev v Evropski uniji in o centralnih depotnih družbah ter o spremembi </w:t>
      </w:r>
      <w:r w:rsidR="005A782A" w:rsidRPr="004319E8">
        <w:rPr>
          <w:rFonts w:ascii="Arial" w:eastAsia="Arial" w:hAnsi="Arial" w:cs="Arial"/>
          <w:color w:val="0000EE"/>
          <w:sz w:val="20"/>
          <w:szCs w:val="20"/>
          <w:u w:val="single" w:color="0000EE"/>
        </w:rPr>
        <w:t>direktiv 98/26/ES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2014/65/EU</w:t>
      </w:r>
      <w:r w:rsidRPr="004319E8">
        <w:rPr>
          <w:rFonts w:ascii="Arial" w:eastAsia="Arial" w:hAnsi="Arial" w:cs="Arial"/>
          <w:sz w:val="20"/>
          <w:szCs w:val="20"/>
        </w:rPr>
        <w:t xml:space="preserve"> ter </w:t>
      </w:r>
      <w:r w:rsidR="005A782A" w:rsidRPr="004319E8">
        <w:rPr>
          <w:rFonts w:ascii="Arial" w:eastAsia="Arial" w:hAnsi="Arial" w:cs="Arial"/>
          <w:color w:val="0000EE"/>
          <w:sz w:val="20"/>
          <w:szCs w:val="20"/>
          <w:u w:val="single" w:color="0000EE"/>
        </w:rPr>
        <w:t>Uredbe (EU) št. 236/2012</w:t>
      </w:r>
      <w:r w:rsidRPr="004319E8">
        <w:rPr>
          <w:rFonts w:ascii="Arial" w:eastAsia="Arial" w:hAnsi="Arial" w:cs="Arial"/>
          <w:sz w:val="20"/>
          <w:szCs w:val="20"/>
        </w:rPr>
        <w:t xml:space="preserve"> (UL L št. 257 z dne 28. 8. 2014, str. 1), zadnjič spremenjene z Uredbo EU) 2023/2845 Evropskega parlamenta in Sveta z dne 13. decembra 2023 o spremembi </w:t>
      </w:r>
      <w:r w:rsidR="005A782A" w:rsidRPr="004319E8">
        <w:rPr>
          <w:rFonts w:ascii="Arial" w:eastAsia="Arial" w:hAnsi="Arial" w:cs="Arial"/>
          <w:color w:val="0000EE"/>
          <w:sz w:val="20"/>
          <w:szCs w:val="20"/>
          <w:u w:val="single" w:color="0000EE"/>
        </w:rPr>
        <w:t>Uredbe (EU) št. 909/2014</w:t>
      </w:r>
      <w:r w:rsidRPr="004319E8">
        <w:rPr>
          <w:rFonts w:ascii="Arial" w:eastAsia="Arial" w:hAnsi="Arial" w:cs="Arial"/>
          <w:sz w:val="20"/>
          <w:szCs w:val="20"/>
        </w:rPr>
        <w:t xml:space="preserve"> glede discipline pri poravnavi, čezmejnega opravljanja storitev, sodelovanja pri nadzoru, zagotavljanja pomožnih bančnih storitev in zahtev za centralne depotne družbe tretjih držav ter spremembi </w:t>
      </w:r>
      <w:r w:rsidR="005A782A" w:rsidRPr="004319E8">
        <w:rPr>
          <w:rFonts w:ascii="Arial" w:eastAsia="Arial" w:hAnsi="Arial" w:cs="Arial"/>
          <w:color w:val="0000EE"/>
          <w:sz w:val="20"/>
          <w:szCs w:val="20"/>
          <w:u w:val="single" w:color="0000EE"/>
        </w:rPr>
        <w:t>Uredbe (EU) št. 236/2012</w:t>
      </w:r>
      <w:r w:rsidRPr="004319E8">
        <w:rPr>
          <w:rFonts w:ascii="Arial" w:eastAsia="Arial" w:hAnsi="Arial" w:cs="Arial"/>
          <w:sz w:val="20"/>
          <w:szCs w:val="20"/>
        </w:rPr>
        <w:t xml:space="preserve"> (UL L št. 2023/2845 z dne 27. 12. 2023), (v nadaljnjem besedilu: </w:t>
      </w:r>
      <w:r w:rsidR="005A782A" w:rsidRPr="004319E8">
        <w:rPr>
          <w:rFonts w:ascii="Arial" w:eastAsia="Arial" w:hAnsi="Arial" w:cs="Arial"/>
          <w:color w:val="0000EE"/>
          <w:sz w:val="20"/>
          <w:szCs w:val="20"/>
          <w:u w:val="single" w:color="0000EE"/>
        </w:rPr>
        <w:t>Uredba 909/2014/EU</w:t>
      </w:r>
      <w:r w:rsidRPr="004319E8">
        <w:rPr>
          <w:rFonts w:ascii="Arial" w:eastAsia="Arial" w:hAnsi="Arial" w:cs="Arial"/>
          <w:sz w:val="20"/>
          <w:szCs w:val="20"/>
        </w:rPr>
        <w:t>),</w:t>
      </w:r>
    </w:p>
    <w:p w14:paraId="41BF1AA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w:t>
      </w:r>
      <w:r w:rsidR="005A782A" w:rsidRPr="004319E8">
        <w:rPr>
          <w:rFonts w:ascii="Arial" w:eastAsia="Arial" w:hAnsi="Arial" w:cs="Arial"/>
          <w:color w:val="0000EE"/>
          <w:sz w:val="20"/>
          <w:szCs w:val="20"/>
          <w:u w:val="single" w:color="0000EE"/>
        </w:rPr>
        <w:t>Uredbe (EU) 2016/1011</w:t>
      </w:r>
      <w:r w:rsidRPr="004319E8">
        <w:rPr>
          <w:rFonts w:ascii="Arial" w:eastAsia="Arial" w:hAnsi="Arial" w:cs="Arial"/>
          <w:sz w:val="20"/>
          <w:szCs w:val="20"/>
        </w:rPr>
        <w:t xml:space="preserve"> Evropskega parlamenta in Sveta z dne 8. junija 2016 o indeksih, ki se uporabljajo kot referenčne vrednosti v finančnih instrumentih in finančnih pogodbah ali za merjenje uspešnosti investicijskih skladov, in spremembi </w:t>
      </w:r>
      <w:r w:rsidR="005A782A" w:rsidRPr="004319E8">
        <w:rPr>
          <w:rFonts w:ascii="Arial" w:eastAsia="Arial" w:hAnsi="Arial" w:cs="Arial"/>
          <w:color w:val="0000EE"/>
          <w:sz w:val="20"/>
          <w:szCs w:val="20"/>
          <w:u w:val="single" w:color="0000EE"/>
        </w:rPr>
        <w:t>direktiv 2008/48/ES</w:t>
      </w:r>
      <w:r w:rsidRPr="004319E8">
        <w:rPr>
          <w:rFonts w:ascii="Arial" w:eastAsia="Arial" w:hAnsi="Arial" w:cs="Arial"/>
          <w:sz w:val="20"/>
          <w:szCs w:val="20"/>
        </w:rPr>
        <w:t xml:space="preserve"> in </w:t>
      </w:r>
      <w:r w:rsidR="005A782A" w:rsidRPr="004319E8">
        <w:rPr>
          <w:rFonts w:ascii="Arial" w:eastAsia="Arial" w:hAnsi="Arial" w:cs="Arial"/>
          <w:color w:val="0000EE"/>
          <w:sz w:val="20"/>
          <w:szCs w:val="20"/>
          <w:u w:val="single" w:color="0000EE"/>
        </w:rPr>
        <w:t>2014/17/EU</w:t>
      </w:r>
      <w:r w:rsidRPr="004319E8">
        <w:rPr>
          <w:rFonts w:ascii="Arial" w:eastAsia="Arial" w:hAnsi="Arial" w:cs="Arial"/>
          <w:sz w:val="20"/>
          <w:szCs w:val="20"/>
        </w:rPr>
        <w:t xml:space="preserve"> ter </w:t>
      </w:r>
      <w:r w:rsidR="005A782A" w:rsidRPr="004319E8">
        <w:rPr>
          <w:rFonts w:ascii="Arial" w:eastAsia="Arial" w:hAnsi="Arial" w:cs="Arial"/>
          <w:color w:val="0000EE"/>
          <w:sz w:val="20"/>
          <w:szCs w:val="20"/>
          <w:u w:val="single" w:color="0000EE"/>
        </w:rPr>
        <w:t>Uredbe (EU) št. 596/2014</w:t>
      </w:r>
      <w:r w:rsidRPr="004319E8">
        <w:rPr>
          <w:rFonts w:ascii="Arial" w:eastAsia="Arial" w:hAnsi="Arial" w:cs="Arial"/>
          <w:sz w:val="20"/>
          <w:szCs w:val="20"/>
        </w:rPr>
        <w:t xml:space="preserve"> (UL L št. 171 z dne 29. 6. 2016, str. 1), zadnjič spremenjena z </w:t>
      </w:r>
      <w:r w:rsidR="005A782A" w:rsidRPr="004319E8">
        <w:rPr>
          <w:rFonts w:ascii="Arial" w:eastAsia="Arial" w:hAnsi="Arial" w:cs="Arial"/>
          <w:color w:val="0000EE"/>
          <w:sz w:val="20"/>
          <w:szCs w:val="20"/>
          <w:u w:val="single" w:color="0000EE"/>
        </w:rPr>
        <w:t>Delegirano uredbo Komisije (EU) 2018/1646</w:t>
      </w:r>
      <w:r w:rsidRPr="004319E8">
        <w:rPr>
          <w:rFonts w:ascii="Arial" w:eastAsia="Arial" w:hAnsi="Arial" w:cs="Arial"/>
          <w:sz w:val="20"/>
          <w:szCs w:val="20"/>
        </w:rPr>
        <w:t xml:space="preserve"> z dne 13. julija 2018 o dopolnitvi </w:t>
      </w:r>
      <w:r w:rsidR="005A782A" w:rsidRPr="004319E8">
        <w:rPr>
          <w:rFonts w:ascii="Arial" w:eastAsia="Arial" w:hAnsi="Arial" w:cs="Arial"/>
          <w:color w:val="0000EE"/>
          <w:sz w:val="20"/>
          <w:szCs w:val="20"/>
          <w:u w:val="single" w:color="0000EE"/>
        </w:rPr>
        <w:t>Uredbe (EU) 2016/1011</w:t>
      </w:r>
      <w:r w:rsidRPr="004319E8">
        <w:rPr>
          <w:rFonts w:ascii="Arial" w:eastAsia="Arial" w:hAnsi="Arial" w:cs="Arial"/>
          <w:sz w:val="20"/>
          <w:szCs w:val="20"/>
        </w:rPr>
        <w:t xml:space="preserve"> Evropskega parlamenta in Sveta v zvezi z regulativnimi tehničnimi standardi za informacije, ki se navedejo v vlogi za dovoljenje in v vlogi za registracijo (UL L št. 274 z dne 5. 11. 2018, str. 4), (v nadaljnjem besedilu: </w:t>
      </w:r>
      <w:r w:rsidR="005A782A" w:rsidRPr="004319E8">
        <w:rPr>
          <w:rFonts w:ascii="Arial" w:eastAsia="Arial" w:hAnsi="Arial" w:cs="Arial"/>
          <w:color w:val="0000EE"/>
          <w:sz w:val="20"/>
          <w:szCs w:val="20"/>
          <w:u w:val="single" w:color="0000EE"/>
        </w:rPr>
        <w:t>Uredba 2016/1011/EU</w:t>
      </w:r>
      <w:r w:rsidRPr="004319E8">
        <w:rPr>
          <w:rFonts w:ascii="Arial" w:eastAsia="Arial" w:hAnsi="Arial" w:cs="Arial"/>
          <w:sz w:val="20"/>
          <w:szCs w:val="20"/>
        </w:rPr>
        <w:t>),</w:t>
      </w:r>
    </w:p>
    <w:p w14:paraId="5B6E82F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w:t>
      </w:r>
      <w:r w:rsidR="005A782A" w:rsidRPr="004319E8">
        <w:rPr>
          <w:rFonts w:ascii="Arial" w:eastAsia="Arial" w:hAnsi="Arial" w:cs="Arial"/>
          <w:color w:val="0000EE"/>
          <w:sz w:val="20"/>
          <w:szCs w:val="20"/>
          <w:u w:val="single" w:color="0000EE"/>
        </w:rPr>
        <w:t>Uredbe (EU) 2017/1129</w:t>
      </w:r>
      <w:r w:rsidRPr="004319E8">
        <w:rPr>
          <w:rFonts w:ascii="Arial" w:eastAsia="Arial" w:hAnsi="Arial" w:cs="Arial"/>
          <w:sz w:val="20"/>
          <w:szCs w:val="20"/>
        </w:rPr>
        <w:t xml:space="preserve"> Evropskega parlamenta in Sveta z dne 14. junija 2017 o prospektu, ki se objavi ob ponudbi vrednostnih papirjev javnosti ali njihovi uvrstitvi v trgovanje na reguliranem trgu, in razveljavitvi </w:t>
      </w:r>
      <w:r w:rsidR="005A782A" w:rsidRPr="004319E8">
        <w:rPr>
          <w:rFonts w:ascii="Arial" w:eastAsia="Arial" w:hAnsi="Arial" w:cs="Arial"/>
          <w:color w:val="0000EE"/>
          <w:sz w:val="20"/>
          <w:szCs w:val="20"/>
          <w:u w:val="single" w:color="0000EE"/>
        </w:rPr>
        <w:t>Direktive 2003/71/ES</w:t>
      </w:r>
      <w:r w:rsidRPr="004319E8">
        <w:rPr>
          <w:rFonts w:ascii="Arial" w:eastAsia="Arial" w:hAnsi="Arial" w:cs="Arial"/>
          <w:sz w:val="20"/>
          <w:szCs w:val="20"/>
        </w:rPr>
        <w:t xml:space="preserve"> (UL L št. 168 z dne 30. 6. 2017, str. 12; v nadaljnjem besedilu: </w:t>
      </w:r>
      <w:r w:rsidR="005A782A" w:rsidRPr="004319E8">
        <w:rPr>
          <w:rFonts w:ascii="Arial" w:eastAsia="Arial" w:hAnsi="Arial" w:cs="Arial"/>
          <w:color w:val="0000EE"/>
          <w:sz w:val="20"/>
          <w:szCs w:val="20"/>
          <w:u w:val="single" w:color="0000EE"/>
        </w:rPr>
        <w:t>Uredba 2017/1129/EU</w:t>
      </w:r>
      <w:r w:rsidRPr="004319E8">
        <w:rPr>
          <w:rFonts w:ascii="Arial" w:eastAsia="Arial" w:hAnsi="Arial" w:cs="Arial"/>
          <w:sz w:val="20"/>
          <w:szCs w:val="20"/>
        </w:rPr>
        <w:t>),</w:t>
      </w:r>
    </w:p>
    <w:p w14:paraId="39A3E33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w:t>
      </w:r>
      <w:r w:rsidR="005A782A" w:rsidRPr="004319E8">
        <w:rPr>
          <w:rFonts w:ascii="Arial" w:eastAsia="Arial" w:hAnsi="Arial" w:cs="Arial"/>
          <w:color w:val="0000EE"/>
          <w:sz w:val="20"/>
          <w:szCs w:val="20"/>
          <w:u w:val="single" w:color="0000EE"/>
        </w:rPr>
        <w:t>Uredbe (EU) št. 2020/852</w:t>
      </w:r>
      <w:r w:rsidRPr="004319E8">
        <w:rPr>
          <w:rFonts w:ascii="Arial" w:eastAsia="Arial" w:hAnsi="Arial" w:cs="Arial"/>
          <w:sz w:val="20"/>
          <w:szCs w:val="20"/>
        </w:rPr>
        <w:t xml:space="preserve"> Evropskega parlamenta in Sveta z dne 18. junija 2020 o vzpostavitvi okvira za spodbujanje trajnostnih naložb ter spremembi </w:t>
      </w:r>
      <w:r w:rsidR="005A782A" w:rsidRPr="004319E8">
        <w:rPr>
          <w:rFonts w:ascii="Arial" w:eastAsia="Arial" w:hAnsi="Arial" w:cs="Arial"/>
          <w:color w:val="0000EE"/>
          <w:sz w:val="20"/>
          <w:szCs w:val="20"/>
          <w:u w:val="single" w:color="0000EE"/>
        </w:rPr>
        <w:t>Uredbe (EU) 2019/2088</w:t>
      </w:r>
      <w:r w:rsidRPr="004319E8">
        <w:rPr>
          <w:rFonts w:ascii="Arial" w:eastAsia="Arial" w:hAnsi="Arial" w:cs="Arial"/>
          <w:sz w:val="20"/>
          <w:szCs w:val="20"/>
        </w:rPr>
        <w:t xml:space="preserve"> (UL L št. 198 z dne 22. 6. 2020, str. 13), zadnjič spremenjene z </w:t>
      </w:r>
      <w:r w:rsidR="005A782A" w:rsidRPr="004319E8">
        <w:rPr>
          <w:rFonts w:ascii="Arial" w:eastAsia="Arial" w:hAnsi="Arial" w:cs="Arial"/>
          <w:color w:val="0000EE"/>
          <w:sz w:val="20"/>
          <w:szCs w:val="20"/>
          <w:u w:val="single" w:color="0000EE"/>
        </w:rPr>
        <w:t>Delegirano uredbo Komisije (EU) 2023/2486</w:t>
      </w:r>
      <w:r w:rsidRPr="004319E8">
        <w:rPr>
          <w:rFonts w:ascii="Arial" w:eastAsia="Arial" w:hAnsi="Arial" w:cs="Arial"/>
          <w:sz w:val="20"/>
          <w:szCs w:val="20"/>
        </w:rPr>
        <w:t xml:space="preserve"> z dne 27. junija 2023 o dopolnitvi </w:t>
      </w:r>
      <w:r w:rsidR="005A782A" w:rsidRPr="004319E8">
        <w:rPr>
          <w:rFonts w:ascii="Arial" w:eastAsia="Arial" w:hAnsi="Arial" w:cs="Arial"/>
          <w:color w:val="0000EE"/>
          <w:sz w:val="20"/>
          <w:szCs w:val="20"/>
          <w:u w:val="single" w:color="0000EE"/>
        </w:rPr>
        <w:t>Uredbe (EU) 2020/852</w:t>
      </w:r>
      <w:r w:rsidRPr="004319E8">
        <w:rPr>
          <w:rFonts w:ascii="Arial" w:eastAsia="Arial" w:hAnsi="Arial" w:cs="Arial"/>
          <w:sz w:val="20"/>
          <w:szCs w:val="20"/>
        </w:rPr>
        <w:t xml:space="preserve">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w:t>
      </w:r>
      <w:r w:rsidR="005A782A" w:rsidRPr="004319E8">
        <w:rPr>
          <w:rFonts w:ascii="Arial" w:eastAsia="Arial" w:hAnsi="Arial" w:cs="Arial"/>
          <w:color w:val="0000EE"/>
          <w:sz w:val="20"/>
          <w:szCs w:val="20"/>
          <w:u w:val="single" w:color="0000EE"/>
        </w:rPr>
        <w:t>Delegirane uredbe Komisije (EU) 2021/2178</w:t>
      </w:r>
      <w:r w:rsidRPr="004319E8">
        <w:rPr>
          <w:rFonts w:ascii="Arial" w:eastAsia="Arial" w:hAnsi="Arial" w:cs="Arial"/>
          <w:sz w:val="20"/>
          <w:szCs w:val="20"/>
        </w:rPr>
        <w:t xml:space="preserve"> glede posebnih javnih razkritij za te gospodarske dejavnosti (UL L št. 2023/2486 z dne 21. 11. 2023), (v nadaljnjem besedilu: </w:t>
      </w:r>
      <w:r w:rsidR="005A782A" w:rsidRPr="004319E8">
        <w:rPr>
          <w:rFonts w:ascii="Arial" w:eastAsia="Arial" w:hAnsi="Arial" w:cs="Arial"/>
          <w:color w:val="0000EE"/>
          <w:sz w:val="20"/>
          <w:szCs w:val="20"/>
          <w:u w:val="single" w:color="0000EE"/>
        </w:rPr>
        <w:t>Uredba 2020/852/EU</w:t>
      </w:r>
      <w:r w:rsidRPr="004319E8">
        <w:rPr>
          <w:rFonts w:ascii="Arial" w:eastAsia="Arial" w:hAnsi="Arial" w:cs="Arial"/>
          <w:sz w:val="20"/>
          <w:szCs w:val="20"/>
        </w:rPr>
        <w:t>).</w:t>
      </w:r>
    </w:p>
    <w:p w14:paraId="5F50EE34"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4. člen</w:t>
      </w:r>
    </w:p>
    <w:p w14:paraId="3ECF1B54"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(kratice drugih zakonov in predpisov EU)</w:t>
      </w:r>
    </w:p>
    <w:p w14:paraId="2A58489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(1) V tem zakonu so uporabljene naslednje kratice drugih zakonov:</w:t>
      </w:r>
    </w:p>
    <w:p w14:paraId="17E4E7D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ZBan-3 je zakon, ki ureja bančništvo,</w:t>
      </w:r>
    </w:p>
    <w:p w14:paraId="439E5AE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ZFK je zakon, ki ureja finančne konglomerate,</w:t>
      </w:r>
    </w:p>
    <w:p w14:paraId="2D11195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ZGD-1 je zakon, ki ureja gospodarske družbe,</w:t>
      </w:r>
    </w:p>
    <w:p w14:paraId="04051F6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ZISDU-3 je zakon, ki ureja investicijske sklade in družbe za upravljanje,</w:t>
      </w:r>
    </w:p>
    <w:p w14:paraId="539195B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ZIN je zakon, ki ureja inšpekcijski nadzor,</w:t>
      </w:r>
    </w:p>
    <w:p w14:paraId="132A7B2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ZPre-1 je zakon, ki ureja prevzeme,</w:t>
      </w:r>
    </w:p>
    <w:p w14:paraId="5FC28A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ZUP je zakon, ki ureja splošni upravni postopek,</w:t>
      </w:r>
    </w:p>
    <w:p w14:paraId="4544CDC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8.      ZUS-1 je zakon, ki ureja upravni spor,</w:t>
      </w:r>
    </w:p>
    <w:p w14:paraId="7B978A9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ZUAIS je zakon, ki ureja upravljavce alternativnih investicijskih skladov,</w:t>
      </w:r>
    </w:p>
    <w:p w14:paraId="7FAC6BE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ZSJV je zakon, ki ureja sistem jamstva za vloge,</w:t>
      </w:r>
    </w:p>
    <w:p w14:paraId="14B4DE8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11.   ZFPPIPP je zakon, ki ureja finančno poslovanje, postopke zaradi insolventnosti in prisilno prenehanje,</w:t>
      </w:r>
    </w:p>
    <w:p w14:paraId="79C9B7E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12.   ZVO-1 je zakon, ki ureja varstvo okolja,</w:t>
      </w:r>
    </w:p>
    <w:p w14:paraId="4AA046F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13.   EZ-1 je zakon, ki ureja energetiko,</w:t>
      </w:r>
    </w:p>
    <w:p w14:paraId="01CE96D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14.   ZPPDFT-1 je zakon, ki ureja preprečevanje pranja denarja in financiranje terorizma,</w:t>
      </w:r>
    </w:p>
    <w:p w14:paraId="6D7DA9A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15.   ZBNIP je zakon, ki ureja bonitetni nadzor investicijskih podjetij.</w:t>
      </w:r>
    </w:p>
    <w:p w14:paraId="08E1FC3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V tem zakonu so za predpise EU, poleg skrajšanih naslovov, navedenih v 2. členu tega zakona, uporabljeni še naslednji naslovi:</w:t>
      </w:r>
    </w:p>
    <w:p w14:paraId="6096336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w:t>
      </w:r>
      <w:r w:rsidR="00E76D53" w:rsidRPr="004319E8">
        <w:rPr>
          <w:rFonts w:ascii="Arial" w:eastAsia="Arial" w:hAnsi="Arial" w:cs="Arial"/>
          <w:color w:val="0000EE"/>
          <w:sz w:val="20"/>
          <w:szCs w:val="20"/>
          <w:u w:val="single" w:color="0000EE"/>
        </w:rPr>
        <w:t>Direktiva 94/19/ES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Direktiva 94/19/ES</w:t>
      </w:r>
      <w:r w:rsidRPr="004319E8">
        <w:rPr>
          <w:rFonts w:ascii="Arial" w:eastAsia="Arial" w:hAnsi="Arial" w:cs="Arial"/>
          <w:sz w:val="20"/>
          <w:szCs w:val="20"/>
        </w:rPr>
        <w:t xml:space="preserve"> Evropskega parlamenta in Sveta z dne 30. maja 1994 o sistemih zajamčenih vlog (UL L št. 135 z dne 31. 5. 1994, str. 5), zadnjič spremenjena z </w:t>
      </w:r>
      <w:r w:rsidR="00E76D53" w:rsidRPr="004319E8">
        <w:rPr>
          <w:rFonts w:ascii="Arial" w:eastAsia="Arial" w:hAnsi="Arial" w:cs="Arial"/>
          <w:color w:val="0000EE"/>
          <w:sz w:val="20"/>
          <w:szCs w:val="20"/>
          <w:u w:val="single" w:color="0000EE"/>
        </w:rPr>
        <w:t>Direktivo 2014/49/EU</w:t>
      </w:r>
      <w:r w:rsidRPr="004319E8">
        <w:rPr>
          <w:rFonts w:ascii="Arial" w:eastAsia="Arial" w:hAnsi="Arial" w:cs="Arial"/>
          <w:sz w:val="20"/>
          <w:szCs w:val="20"/>
        </w:rPr>
        <w:t xml:space="preserve"> Evropskega parlamenta in Sveta z dne 16. aprila 2014 o sistemih jamstva za vloge (UL L št. 173 z dne 12. 6. 2014, str. 149),</w:t>
      </w:r>
    </w:p>
    <w:p w14:paraId="7D3E092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w:t>
      </w:r>
      <w:r w:rsidR="00E76D53" w:rsidRPr="004319E8">
        <w:rPr>
          <w:rFonts w:ascii="Arial" w:eastAsia="Arial" w:hAnsi="Arial" w:cs="Arial"/>
          <w:color w:val="0000EE"/>
          <w:sz w:val="20"/>
          <w:szCs w:val="20"/>
          <w:u w:val="single" w:color="0000EE"/>
        </w:rPr>
        <w:t>Uredba 1606/2002/ES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(ES) št. 1606/2002/ES</w:t>
      </w:r>
      <w:r w:rsidRPr="004319E8">
        <w:rPr>
          <w:rFonts w:ascii="Arial" w:eastAsia="Arial" w:hAnsi="Arial" w:cs="Arial"/>
          <w:sz w:val="20"/>
          <w:szCs w:val="20"/>
        </w:rPr>
        <w:t xml:space="preserve"> Evropskega parlamenta in Sveta z dne 19. julija 2002 o uporabi mednarodnih računovodskih standardov (UL L št. 243 z dne 11. 9. 2002, str. 1), zadnjič spremenjena z </w:t>
      </w:r>
      <w:r w:rsidR="00E76D53" w:rsidRPr="004319E8">
        <w:rPr>
          <w:rFonts w:ascii="Arial" w:eastAsia="Arial" w:hAnsi="Arial" w:cs="Arial"/>
          <w:color w:val="0000EE"/>
          <w:sz w:val="20"/>
          <w:szCs w:val="20"/>
          <w:u w:val="single" w:color="0000EE"/>
        </w:rPr>
        <w:t>Uredbo (ES) št. 297/2008</w:t>
      </w:r>
      <w:r w:rsidRPr="004319E8">
        <w:rPr>
          <w:rFonts w:ascii="Arial" w:eastAsia="Arial" w:hAnsi="Arial" w:cs="Arial"/>
          <w:sz w:val="20"/>
          <w:szCs w:val="20"/>
        </w:rPr>
        <w:t xml:space="preserve"> Evropskega parlamenta in Sveta z dne 11. marca 2008 o spremembah </w:t>
      </w:r>
      <w:r w:rsidR="00E76D53" w:rsidRPr="004319E8">
        <w:rPr>
          <w:rFonts w:ascii="Arial" w:eastAsia="Arial" w:hAnsi="Arial" w:cs="Arial"/>
          <w:color w:val="0000EE"/>
          <w:sz w:val="20"/>
          <w:szCs w:val="20"/>
          <w:u w:val="single" w:color="0000EE"/>
        </w:rPr>
        <w:t>Uredbe (ES) št. 1606/2002</w:t>
      </w:r>
      <w:r w:rsidRPr="004319E8">
        <w:rPr>
          <w:rFonts w:ascii="Arial" w:eastAsia="Arial" w:hAnsi="Arial" w:cs="Arial"/>
          <w:sz w:val="20"/>
          <w:szCs w:val="20"/>
        </w:rPr>
        <w:t xml:space="preserve"> o uporabi mednarodnih računovodskih standardov, glede Komisiji podeljenih izvedbenih pooblastil (UL L št. 97 z dne 9. 4. 2008, str. 62),</w:t>
      </w:r>
    </w:p>
    <w:p w14:paraId="4FF2BD4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w:t>
      </w:r>
      <w:r w:rsidR="00E76D53" w:rsidRPr="004319E8">
        <w:rPr>
          <w:rFonts w:ascii="Arial" w:eastAsia="Arial" w:hAnsi="Arial" w:cs="Arial"/>
          <w:color w:val="0000EE"/>
          <w:sz w:val="20"/>
          <w:szCs w:val="20"/>
          <w:u w:val="single" w:color="0000EE"/>
        </w:rPr>
        <w:t>Direktiva 2001/24/ES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Direktiva 2001/24/ES</w:t>
      </w:r>
      <w:r w:rsidRPr="004319E8">
        <w:rPr>
          <w:rFonts w:ascii="Arial" w:eastAsia="Arial" w:hAnsi="Arial" w:cs="Arial"/>
          <w:sz w:val="20"/>
          <w:szCs w:val="20"/>
        </w:rPr>
        <w:t xml:space="preserve"> Evropskega parlamenta in Sveta z dne 4. aprila 2001 o reorganizaciji in prenehanju kreditnih institucij (UL L št. 125 z dne 5. 5. 2001, str. 15), zadnjič spremenjena z </w:t>
      </w:r>
      <w:r w:rsidR="00E76D53" w:rsidRPr="004319E8">
        <w:rPr>
          <w:rFonts w:ascii="Arial" w:eastAsia="Arial" w:hAnsi="Arial" w:cs="Arial"/>
          <w:color w:val="0000EE"/>
          <w:sz w:val="20"/>
          <w:szCs w:val="20"/>
          <w:u w:val="single" w:color="0000EE"/>
        </w:rPr>
        <w:t>Direktivo 2014/59/EU</w:t>
      </w:r>
      <w:r w:rsidRPr="004319E8">
        <w:rPr>
          <w:rFonts w:ascii="Arial" w:eastAsia="Arial" w:hAnsi="Arial" w:cs="Arial"/>
          <w:sz w:val="20"/>
          <w:szCs w:val="20"/>
        </w:rPr>
        <w:t xml:space="preserve"> Evropskega parlamenta in Sveta z dne 15. maja 2014 o vzpostavitvi okvira za sanacijo ter reševanje kreditnih institucij in investicijskih podjetij ter o spremembi Šeste </w:t>
      </w:r>
      <w:r w:rsidR="00E76D53" w:rsidRPr="004319E8">
        <w:rPr>
          <w:rFonts w:ascii="Arial" w:eastAsia="Arial" w:hAnsi="Arial" w:cs="Arial"/>
          <w:color w:val="0000EE"/>
          <w:sz w:val="20"/>
          <w:szCs w:val="20"/>
          <w:u w:val="single" w:color="0000EE"/>
        </w:rPr>
        <w:t>direktive Sveta 82/891/EGS</w:t>
      </w:r>
      <w:r w:rsidRPr="004319E8">
        <w:rPr>
          <w:rFonts w:ascii="Arial" w:eastAsia="Arial" w:hAnsi="Arial" w:cs="Arial"/>
          <w:sz w:val="20"/>
          <w:szCs w:val="20"/>
        </w:rPr>
        <w:t xml:space="preserve"> ter </w:t>
      </w:r>
      <w:r w:rsidR="00E76D53" w:rsidRPr="004319E8">
        <w:rPr>
          <w:rFonts w:ascii="Arial" w:eastAsia="Arial" w:hAnsi="Arial" w:cs="Arial"/>
          <w:color w:val="0000EE"/>
          <w:sz w:val="20"/>
          <w:szCs w:val="20"/>
          <w:u w:val="single" w:color="0000EE"/>
        </w:rPr>
        <w:t>direktiv 2001/24/ES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2002/47/ES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2004/25/ES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2005/56/ES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2007/36/ES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2011/35/EU</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2012/30/EU</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2013/36/EU</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uredb (EU) št. 1093/2010</w:t>
      </w:r>
      <w:r w:rsidRPr="004319E8">
        <w:rPr>
          <w:rFonts w:ascii="Arial" w:eastAsia="Arial" w:hAnsi="Arial" w:cs="Arial"/>
          <w:sz w:val="20"/>
          <w:szCs w:val="20"/>
        </w:rPr>
        <w:t xml:space="preserve"> ter </w:t>
      </w:r>
      <w:r w:rsidR="00E76D53" w:rsidRPr="004319E8">
        <w:rPr>
          <w:rFonts w:ascii="Arial" w:eastAsia="Arial" w:hAnsi="Arial" w:cs="Arial"/>
          <w:color w:val="0000EE"/>
          <w:sz w:val="20"/>
          <w:szCs w:val="20"/>
          <w:u w:val="single" w:color="0000EE"/>
        </w:rPr>
        <w:t>(EU) št. 648/2012</w:t>
      </w:r>
      <w:r w:rsidRPr="004319E8">
        <w:rPr>
          <w:rFonts w:ascii="Arial" w:eastAsia="Arial" w:hAnsi="Arial" w:cs="Arial"/>
          <w:sz w:val="20"/>
          <w:szCs w:val="20"/>
        </w:rPr>
        <w:t xml:space="preserve"> Evropskega parlamenta in Sveta (UL L št. 173 z dne 12. 6. 2014, str. 190),</w:t>
      </w:r>
    </w:p>
    <w:p w14:paraId="2E53C34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w:t>
      </w:r>
      <w:r w:rsidR="00E76D53" w:rsidRPr="004319E8">
        <w:rPr>
          <w:rFonts w:ascii="Arial" w:eastAsia="Arial" w:hAnsi="Arial" w:cs="Arial"/>
          <w:color w:val="0000EE"/>
          <w:sz w:val="20"/>
          <w:szCs w:val="20"/>
          <w:u w:val="single" w:color="0000EE"/>
        </w:rPr>
        <w:t>Direktiva 2003/87/ES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Direktiva 2003/87/ES</w:t>
      </w:r>
      <w:r w:rsidRPr="004319E8">
        <w:rPr>
          <w:rFonts w:ascii="Arial" w:eastAsia="Arial" w:hAnsi="Arial" w:cs="Arial"/>
          <w:sz w:val="20"/>
          <w:szCs w:val="20"/>
        </w:rPr>
        <w:t xml:space="preserve"> Evropskega parlamenta in Sveta z dne 13. oktobra 2003 o vzpostavitvi sistema za trgovanje s pravicami do emisije toplogrednih </w:t>
      </w:r>
      <w:r w:rsidRPr="004319E8">
        <w:rPr>
          <w:rFonts w:ascii="Arial" w:eastAsia="Arial" w:hAnsi="Arial" w:cs="Arial"/>
          <w:sz w:val="20"/>
          <w:szCs w:val="20"/>
        </w:rPr>
        <w:lastRenderedPageBreak/>
        <w:t xml:space="preserve">plinov v Skupnosti in o spremembi </w:t>
      </w:r>
      <w:r w:rsidR="00E76D53" w:rsidRPr="004319E8">
        <w:rPr>
          <w:rFonts w:ascii="Arial" w:eastAsia="Arial" w:hAnsi="Arial" w:cs="Arial"/>
          <w:color w:val="0000EE"/>
          <w:sz w:val="20"/>
          <w:szCs w:val="20"/>
          <w:u w:val="single" w:color="0000EE"/>
        </w:rPr>
        <w:t>Direktive Sveta 96/61/ES</w:t>
      </w:r>
      <w:r w:rsidRPr="004319E8">
        <w:rPr>
          <w:rFonts w:ascii="Arial" w:eastAsia="Arial" w:hAnsi="Arial" w:cs="Arial"/>
          <w:sz w:val="20"/>
          <w:szCs w:val="20"/>
        </w:rPr>
        <w:t xml:space="preserve"> (UL L št. 275, z dne 25. 10. 2003, str. 32), zadnjič spremenjena z </w:t>
      </w:r>
      <w:r w:rsidR="00E76D53" w:rsidRPr="004319E8">
        <w:rPr>
          <w:rFonts w:ascii="Arial" w:eastAsia="Arial" w:hAnsi="Arial" w:cs="Arial"/>
          <w:color w:val="0000EE"/>
          <w:sz w:val="20"/>
          <w:szCs w:val="20"/>
          <w:u w:val="single" w:color="0000EE"/>
        </w:rPr>
        <w:t>Delegiranim sklepom Komisije (EU) 2019/708</w:t>
      </w:r>
      <w:r w:rsidRPr="004319E8">
        <w:rPr>
          <w:rFonts w:ascii="Arial" w:eastAsia="Arial" w:hAnsi="Arial" w:cs="Arial"/>
          <w:sz w:val="20"/>
          <w:szCs w:val="20"/>
        </w:rPr>
        <w:t xml:space="preserve"> z dne 15. februarja 2019 o dopolnitvi </w:t>
      </w:r>
      <w:r w:rsidR="00E76D53" w:rsidRPr="004319E8">
        <w:rPr>
          <w:rFonts w:ascii="Arial" w:eastAsia="Arial" w:hAnsi="Arial" w:cs="Arial"/>
          <w:color w:val="0000EE"/>
          <w:sz w:val="20"/>
          <w:szCs w:val="20"/>
          <w:u w:val="single" w:color="0000EE"/>
        </w:rPr>
        <w:t>Direktive 2003/87/ES</w:t>
      </w:r>
      <w:r w:rsidRPr="004319E8">
        <w:rPr>
          <w:rFonts w:ascii="Arial" w:eastAsia="Arial" w:hAnsi="Arial" w:cs="Arial"/>
          <w:sz w:val="20"/>
          <w:szCs w:val="20"/>
        </w:rPr>
        <w:t xml:space="preserve"> Evropskega parlamenta in Sveta v zvezi z določitvijo sektorjev in delov sektorjev, ki veljajo za izpostavljene tveganju premestitve emisij CO2, za obdobje med letoma 2021 in 2030 (UL L št. 120 z dne 8. 5. 2019, str. 20),</w:t>
      </w:r>
    </w:p>
    <w:p w14:paraId="5E77520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w:t>
      </w:r>
      <w:r w:rsidR="00E76D53" w:rsidRPr="004319E8">
        <w:rPr>
          <w:rFonts w:ascii="Arial" w:eastAsia="Arial" w:hAnsi="Arial" w:cs="Arial"/>
          <w:color w:val="0000EE"/>
          <w:sz w:val="20"/>
          <w:szCs w:val="20"/>
          <w:u w:val="single" w:color="0000EE"/>
        </w:rPr>
        <w:t>Uredba 714/2009/ES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(ES) št. 714/2009</w:t>
      </w:r>
      <w:r w:rsidRPr="004319E8">
        <w:rPr>
          <w:rFonts w:ascii="Arial" w:eastAsia="Arial" w:hAnsi="Arial" w:cs="Arial"/>
          <w:sz w:val="20"/>
          <w:szCs w:val="20"/>
        </w:rPr>
        <w:t xml:space="preserve"> Evropskega parlamenta in Sveta z dne 13. julija 2009 o pogojih za dostop do omrežja za čezmejne izmenjave električne energije in razveljavitvi </w:t>
      </w:r>
      <w:r w:rsidR="00E76D53" w:rsidRPr="004319E8">
        <w:rPr>
          <w:rFonts w:ascii="Arial" w:eastAsia="Arial" w:hAnsi="Arial" w:cs="Arial"/>
          <w:color w:val="0000EE"/>
          <w:sz w:val="20"/>
          <w:szCs w:val="20"/>
          <w:u w:val="single" w:color="0000EE"/>
        </w:rPr>
        <w:t>Uredbe (ES) št. 1228/2003</w:t>
      </w:r>
      <w:r w:rsidRPr="004319E8">
        <w:rPr>
          <w:rFonts w:ascii="Arial" w:eastAsia="Arial" w:hAnsi="Arial" w:cs="Arial"/>
          <w:sz w:val="20"/>
          <w:szCs w:val="20"/>
        </w:rPr>
        <w:t xml:space="preserve"> (UL L št. 211 z dne 14. 8. 2009, str. 15), zadnjič spremenjena z </w:t>
      </w:r>
      <w:r w:rsidR="00E76D53" w:rsidRPr="004319E8">
        <w:rPr>
          <w:rFonts w:ascii="Arial" w:eastAsia="Arial" w:hAnsi="Arial" w:cs="Arial"/>
          <w:color w:val="0000EE"/>
          <w:sz w:val="20"/>
          <w:szCs w:val="20"/>
          <w:u w:val="single" w:color="0000EE"/>
        </w:rPr>
        <w:t>Uredbo Komisije (EU) št. 543/2013</w:t>
      </w:r>
      <w:r w:rsidRPr="004319E8">
        <w:rPr>
          <w:rFonts w:ascii="Arial" w:eastAsia="Arial" w:hAnsi="Arial" w:cs="Arial"/>
          <w:sz w:val="20"/>
          <w:szCs w:val="20"/>
        </w:rPr>
        <w:t xml:space="preserve"> z dne 14. junija 2013 (UL L št. 163 z dne 15. 6. 2013, str. 1),</w:t>
      </w:r>
    </w:p>
    <w:p w14:paraId="2292010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w:t>
      </w:r>
      <w:r w:rsidR="00E76D53" w:rsidRPr="004319E8">
        <w:rPr>
          <w:rFonts w:ascii="Arial" w:eastAsia="Arial" w:hAnsi="Arial" w:cs="Arial"/>
          <w:color w:val="0000EE"/>
          <w:sz w:val="20"/>
          <w:szCs w:val="20"/>
          <w:u w:val="single" w:color="0000EE"/>
        </w:rPr>
        <w:t>Uredba 715/2009/ES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(ES) št. 715/2009</w:t>
      </w:r>
      <w:r w:rsidRPr="004319E8">
        <w:rPr>
          <w:rFonts w:ascii="Arial" w:eastAsia="Arial" w:hAnsi="Arial" w:cs="Arial"/>
          <w:sz w:val="20"/>
          <w:szCs w:val="20"/>
        </w:rPr>
        <w:t xml:space="preserve"> Evropskega parlamenta in Sveta z dne 13. julija 2009 o pogojih za dostop do prenosnih omrežij zemeljskega plina in razveljavitvi </w:t>
      </w:r>
      <w:r w:rsidR="00E76D53" w:rsidRPr="004319E8">
        <w:rPr>
          <w:rFonts w:ascii="Arial" w:eastAsia="Arial" w:hAnsi="Arial" w:cs="Arial"/>
          <w:color w:val="0000EE"/>
          <w:sz w:val="20"/>
          <w:szCs w:val="20"/>
          <w:u w:val="single" w:color="0000EE"/>
        </w:rPr>
        <w:t>Uredbe (ES) št. 1775/2005</w:t>
      </w:r>
      <w:r w:rsidRPr="004319E8">
        <w:rPr>
          <w:rFonts w:ascii="Arial" w:eastAsia="Arial" w:hAnsi="Arial" w:cs="Arial"/>
          <w:sz w:val="20"/>
          <w:szCs w:val="20"/>
        </w:rPr>
        <w:t xml:space="preserve"> (UL L št. 211 z dne 14. 8. 2009, str. 36), zadnjič spremenjena z </w:t>
      </w:r>
      <w:r w:rsidR="00E76D53" w:rsidRPr="004319E8">
        <w:rPr>
          <w:rFonts w:ascii="Arial" w:eastAsia="Arial" w:hAnsi="Arial" w:cs="Arial"/>
          <w:color w:val="0000EE"/>
          <w:sz w:val="20"/>
          <w:szCs w:val="20"/>
          <w:u w:val="single" w:color="0000EE"/>
        </w:rPr>
        <w:t>Uredbo (EU) 2018/1999</w:t>
      </w:r>
      <w:r w:rsidRPr="004319E8">
        <w:rPr>
          <w:rFonts w:ascii="Arial" w:eastAsia="Arial" w:hAnsi="Arial" w:cs="Arial"/>
          <w:sz w:val="20"/>
          <w:szCs w:val="20"/>
        </w:rPr>
        <w:t xml:space="preserve"> Evropskega parlamenta in Sveta z dne 11. decembra 2018 o upravljanju energetske unije in podnebnih ukrepov, spremembi </w:t>
      </w:r>
      <w:r w:rsidR="00E76D53" w:rsidRPr="004319E8">
        <w:rPr>
          <w:rFonts w:ascii="Arial" w:eastAsia="Arial" w:hAnsi="Arial" w:cs="Arial"/>
          <w:color w:val="0000EE"/>
          <w:sz w:val="20"/>
          <w:szCs w:val="20"/>
          <w:u w:val="single" w:color="0000EE"/>
        </w:rPr>
        <w:t>uredb (ES) št. 663/2009</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(ES) št. 715/2009</w:t>
      </w:r>
      <w:r w:rsidRPr="004319E8">
        <w:rPr>
          <w:rFonts w:ascii="Arial" w:eastAsia="Arial" w:hAnsi="Arial" w:cs="Arial"/>
          <w:sz w:val="20"/>
          <w:szCs w:val="20"/>
        </w:rPr>
        <w:t xml:space="preserve"> Evropskega parlamenta in Sveta, </w:t>
      </w:r>
      <w:r w:rsidR="00E76D53" w:rsidRPr="004319E8">
        <w:rPr>
          <w:rFonts w:ascii="Arial" w:eastAsia="Arial" w:hAnsi="Arial" w:cs="Arial"/>
          <w:color w:val="0000EE"/>
          <w:sz w:val="20"/>
          <w:szCs w:val="20"/>
          <w:u w:val="single" w:color="0000EE"/>
        </w:rPr>
        <w:t>direktiv 94/22/ES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98/70/ES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2009/31/ES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2009/73/ES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2010/31/EU</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2012/27/EU</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2013/30/EU</w:t>
      </w:r>
      <w:r w:rsidRPr="004319E8">
        <w:rPr>
          <w:rFonts w:ascii="Arial" w:eastAsia="Arial" w:hAnsi="Arial" w:cs="Arial"/>
          <w:sz w:val="20"/>
          <w:szCs w:val="20"/>
        </w:rPr>
        <w:t xml:space="preserve"> Evropskega parlamenta in Sveta, </w:t>
      </w:r>
      <w:r w:rsidR="00E76D53" w:rsidRPr="004319E8">
        <w:rPr>
          <w:rFonts w:ascii="Arial" w:eastAsia="Arial" w:hAnsi="Arial" w:cs="Arial"/>
          <w:color w:val="0000EE"/>
          <w:sz w:val="20"/>
          <w:szCs w:val="20"/>
          <w:u w:val="single" w:color="0000EE"/>
        </w:rPr>
        <w:t>direktiv Sveta 2009/119/ES</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(EU) 2015/652</w:t>
      </w:r>
      <w:r w:rsidRPr="004319E8">
        <w:rPr>
          <w:rFonts w:ascii="Arial" w:eastAsia="Arial" w:hAnsi="Arial" w:cs="Arial"/>
          <w:sz w:val="20"/>
          <w:szCs w:val="20"/>
        </w:rPr>
        <w:t xml:space="preserve"> ter razveljavitvi </w:t>
      </w:r>
      <w:r w:rsidR="00E76D53" w:rsidRPr="004319E8">
        <w:rPr>
          <w:rFonts w:ascii="Arial" w:eastAsia="Arial" w:hAnsi="Arial" w:cs="Arial"/>
          <w:color w:val="0000EE"/>
          <w:sz w:val="20"/>
          <w:szCs w:val="20"/>
          <w:u w:val="single" w:color="0000EE"/>
        </w:rPr>
        <w:t>Uredbe (EU) št. 525/2013</w:t>
      </w:r>
      <w:r w:rsidRPr="004319E8">
        <w:rPr>
          <w:rFonts w:ascii="Arial" w:eastAsia="Arial" w:hAnsi="Arial" w:cs="Arial"/>
          <w:sz w:val="20"/>
          <w:szCs w:val="20"/>
        </w:rPr>
        <w:t xml:space="preserve"> Evropskega parlamenta in Sveta (UL L št. 328, z dne 21. 12. 2018, str. 1),</w:t>
      </w:r>
    </w:p>
    <w:p w14:paraId="563F1FE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w:t>
      </w:r>
      <w:r w:rsidR="00E76D53" w:rsidRPr="004319E8">
        <w:rPr>
          <w:rFonts w:ascii="Arial" w:eastAsia="Arial" w:hAnsi="Arial" w:cs="Arial"/>
          <w:color w:val="0000EE"/>
          <w:sz w:val="20"/>
          <w:szCs w:val="20"/>
          <w:u w:val="single" w:color="0000EE"/>
        </w:rPr>
        <w:t>Direktiva 2009/65/ES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Direktiva 2009/65/ES</w:t>
      </w:r>
      <w:r w:rsidRPr="004319E8">
        <w:rPr>
          <w:rFonts w:ascii="Arial" w:eastAsia="Arial" w:hAnsi="Arial" w:cs="Arial"/>
          <w:sz w:val="20"/>
          <w:szCs w:val="20"/>
        </w:rPr>
        <w:t xml:space="preserve"> Evropskega parlamenta in Sveta z dne 13. julija 2009 o usklajevanju zakonov in drugih predpisov o kolektivnih naložbenih podjemih za vlaganja v prenosljive vrednostne papirje (KNPVP) (UL L št. 302 z dne 17. 11. 2009, str. 32), zadnjič spremenjena z </w:t>
      </w:r>
      <w:r w:rsidR="00E76D53" w:rsidRPr="004319E8">
        <w:rPr>
          <w:rFonts w:ascii="Arial" w:eastAsia="Arial" w:hAnsi="Arial" w:cs="Arial"/>
          <w:color w:val="0000EE"/>
          <w:sz w:val="20"/>
          <w:szCs w:val="20"/>
          <w:u w:val="single" w:color="0000EE"/>
        </w:rPr>
        <w:t>Uredbo (EU) 2017/2402</w:t>
      </w:r>
      <w:r w:rsidRPr="004319E8">
        <w:rPr>
          <w:rFonts w:ascii="Arial" w:eastAsia="Arial" w:hAnsi="Arial" w:cs="Arial"/>
          <w:sz w:val="20"/>
          <w:szCs w:val="20"/>
        </w:rPr>
        <w:t xml:space="preserve"> Evropskega parlamenta in Sveta z dne 12. decembra 2017 o določitvi splošnega okvira za listinjenje in o vzpostavitvi posebnega okvira za enostavno, pregledno in standardizirano listinjenje ter o spremembah </w:t>
      </w:r>
      <w:r w:rsidR="00E76D53" w:rsidRPr="004319E8">
        <w:rPr>
          <w:rFonts w:ascii="Arial" w:eastAsia="Arial" w:hAnsi="Arial" w:cs="Arial"/>
          <w:color w:val="0000EE"/>
          <w:sz w:val="20"/>
          <w:szCs w:val="20"/>
          <w:u w:val="single" w:color="0000EE"/>
        </w:rPr>
        <w:t>direktiv 2009/65/ES</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2009/138/ES</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2011/61/EU</w:t>
      </w:r>
      <w:r w:rsidRPr="004319E8">
        <w:rPr>
          <w:rFonts w:ascii="Arial" w:eastAsia="Arial" w:hAnsi="Arial" w:cs="Arial"/>
          <w:sz w:val="20"/>
          <w:szCs w:val="20"/>
        </w:rPr>
        <w:t xml:space="preserve"> ter </w:t>
      </w:r>
      <w:r w:rsidR="00E76D53" w:rsidRPr="004319E8">
        <w:rPr>
          <w:rFonts w:ascii="Arial" w:eastAsia="Arial" w:hAnsi="Arial" w:cs="Arial"/>
          <w:color w:val="0000EE"/>
          <w:sz w:val="20"/>
          <w:szCs w:val="20"/>
          <w:u w:val="single" w:color="0000EE"/>
        </w:rPr>
        <w:t>uredb (ES) št. 1060/2009</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(EU) št. 648/2012</w:t>
      </w:r>
      <w:r w:rsidRPr="004319E8">
        <w:rPr>
          <w:rFonts w:ascii="Arial" w:eastAsia="Arial" w:hAnsi="Arial" w:cs="Arial"/>
          <w:sz w:val="20"/>
          <w:szCs w:val="20"/>
        </w:rPr>
        <w:t xml:space="preserve"> (UL L št. 347 z dne 28. 12. 2017, str. 35),</w:t>
      </w:r>
    </w:p>
    <w:p w14:paraId="4EB77BA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w:t>
      </w:r>
      <w:r w:rsidR="00E76D53" w:rsidRPr="004319E8">
        <w:rPr>
          <w:rFonts w:ascii="Arial" w:eastAsia="Arial" w:hAnsi="Arial" w:cs="Arial"/>
          <w:color w:val="0000EE"/>
          <w:sz w:val="20"/>
          <w:szCs w:val="20"/>
          <w:u w:val="single" w:color="0000EE"/>
        </w:rPr>
        <w:t>Uredba 1031/2010/EU</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Komisije (EU) št. 1031/2010</w:t>
      </w:r>
      <w:r w:rsidRPr="004319E8">
        <w:rPr>
          <w:rFonts w:ascii="Arial" w:eastAsia="Arial" w:hAnsi="Arial" w:cs="Arial"/>
          <w:sz w:val="20"/>
          <w:szCs w:val="20"/>
        </w:rPr>
        <w:t xml:space="preserve"> z dne 12. novembra 2010 o časovnem načrtu, upravljanju in drugih vidikih dražbe pravic do emisije toplogrednih plinov na podlagi </w:t>
      </w:r>
      <w:r w:rsidR="00E76D53" w:rsidRPr="004319E8">
        <w:rPr>
          <w:rFonts w:ascii="Arial" w:eastAsia="Arial" w:hAnsi="Arial" w:cs="Arial"/>
          <w:color w:val="0000EE"/>
          <w:sz w:val="20"/>
          <w:szCs w:val="20"/>
          <w:u w:val="single" w:color="0000EE"/>
        </w:rPr>
        <w:t>Direktive 2003/87/ES</w:t>
      </w:r>
      <w:r w:rsidRPr="004319E8">
        <w:rPr>
          <w:rFonts w:ascii="Arial" w:eastAsia="Arial" w:hAnsi="Arial" w:cs="Arial"/>
          <w:sz w:val="20"/>
          <w:szCs w:val="20"/>
        </w:rPr>
        <w:t xml:space="preserve"> Evropskega parlamenta in Sveta o vzpostavitvi sistema za trgovanje s pravicami do emisije toplogrednih plinov v Skupnosti (UL L št. 302 z dne 18. 11. 2010, str. 1), zadnjič spremenjena z </w:t>
      </w:r>
      <w:r w:rsidR="00E76D53" w:rsidRPr="004319E8">
        <w:rPr>
          <w:rFonts w:ascii="Arial" w:eastAsia="Arial" w:hAnsi="Arial" w:cs="Arial"/>
          <w:color w:val="0000EE"/>
          <w:sz w:val="20"/>
          <w:szCs w:val="20"/>
          <w:u w:val="single" w:color="0000EE"/>
        </w:rPr>
        <w:t>Delegirano uredbo Komisije (EU) 2019/7</w:t>
      </w:r>
      <w:r w:rsidRPr="004319E8">
        <w:rPr>
          <w:rFonts w:ascii="Arial" w:eastAsia="Arial" w:hAnsi="Arial" w:cs="Arial"/>
          <w:sz w:val="20"/>
          <w:szCs w:val="20"/>
        </w:rPr>
        <w:t xml:space="preserve"> z dne 30. oktobra 2018 o spremembi </w:t>
      </w:r>
      <w:r w:rsidR="00E76D53" w:rsidRPr="004319E8">
        <w:rPr>
          <w:rFonts w:ascii="Arial" w:eastAsia="Arial" w:hAnsi="Arial" w:cs="Arial"/>
          <w:color w:val="0000EE"/>
          <w:sz w:val="20"/>
          <w:szCs w:val="20"/>
          <w:u w:val="single" w:color="0000EE"/>
        </w:rPr>
        <w:t>Uredbe (EU) št. 1031/2010</w:t>
      </w:r>
      <w:r w:rsidRPr="004319E8">
        <w:rPr>
          <w:rFonts w:ascii="Arial" w:eastAsia="Arial" w:hAnsi="Arial" w:cs="Arial"/>
          <w:sz w:val="20"/>
          <w:szCs w:val="20"/>
        </w:rPr>
        <w:t xml:space="preserve"> glede dražbe 50 milijonov nedodeljenih pravic iz rezerve za stabilnost trga za sklad za inovacije in o vključitvi dražbenega sistema, ki ga imenuje Nemčija, v seznam dražbenih sistemov (UL L št. 2 z dne 4. 1. 2019, str. 1),</w:t>
      </w:r>
    </w:p>
    <w:p w14:paraId="7010230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9.      </w:t>
      </w:r>
      <w:r w:rsidR="00E76D53" w:rsidRPr="004319E8">
        <w:rPr>
          <w:rFonts w:ascii="Arial" w:eastAsia="Arial" w:hAnsi="Arial" w:cs="Arial"/>
          <w:color w:val="0000EE"/>
          <w:sz w:val="20"/>
          <w:szCs w:val="20"/>
          <w:u w:val="single" w:color="0000EE"/>
        </w:rPr>
        <w:t>Uredba 1092/2010/ES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(EU) št. 1092/2010</w:t>
      </w:r>
      <w:r w:rsidRPr="004319E8">
        <w:rPr>
          <w:rFonts w:ascii="Arial" w:eastAsia="Arial" w:hAnsi="Arial" w:cs="Arial"/>
          <w:sz w:val="20"/>
          <w:szCs w:val="20"/>
        </w:rPr>
        <w:t xml:space="preserve"> Evropskega parlamenta in Sveta z dne 24. novembra 2010 o makrobonitetnem nadzoru nad finančnim sistemom Evropske unije in ustanovitvi Evropskega odbora za sistemska tveganja (UL L št. 331 z dne 15. 12. 2010, str. 1),</w:t>
      </w:r>
    </w:p>
    <w:p w14:paraId="361D214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10.   </w:t>
      </w:r>
      <w:r w:rsidR="00E76D53" w:rsidRPr="004319E8">
        <w:rPr>
          <w:rFonts w:ascii="Arial" w:eastAsia="Arial" w:hAnsi="Arial" w:cs="Arial"/>
          <w:color w:val="0000EE"/>
          <w:sz w:val="20"/>
          <w:szCs w:val="20"/>
          <w:u w:val="single" w:color="0000EE"/>
        </w:rPr>
        <w:t>Uredba 1095/2010/ES</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(EU) št. 1095/2010</w:t>
      </w:r>
      <w:r w:rsidRPr="004319E8">
        <w:rPr>
          <w:rFonts w:ascii="Arial" w:eastAsia="Arial" w:hAnsi="Arial" w:cs="Arial"/>
          <w:sz w:val="20"/>
          <w:szCs w:val="20"/>
        </w:rPr>
        <w:t xml:space="preserve"> Evropskega parlamenta in Sveta z dne 24. novembra 2010 o ustanovitvi Evropskega nadzornega organa (Evropski organ za vrednostne papirje in trge) in o spremembi </w:t>
      </w:r>
      <w:r w:rsidR="00E76D53" w:rsidRPr="004319E8">
        <w:rPr>
          <w:rFonts w:ascii="Arial" w:eastAsia="Arial" w:hAnsi="Arial" w:cs="Arial"/>
          <w:color w:val="0000EE"/>
          <w:sz w:val="20"/>
          <w:szCs w:val="20"/>
          <w:u w:val="single" w:color="0000EE"/>
        </w:rPr>
        <w:t>Sklepa št. 716/2009/ES</w:t>
      </w:r>
      <w:r w:rsidRPr="004319E8">
        <w:rPr>
          <w:rFonts w:ascii="Arial" w:eastAsia="Arial" w:hAnsi="Arial" w:cs="Arial"/>
          <w:sz w:val="20"/>
          <w:szCs w:val="20"/>
        </w:rPr>
        <w:t xml:space="preserve"> ter razveljavitvi </w:t>
      </w:r>
      <w:r w:rsidR="00E76D53" w:rsidRPr="004319E8">
        <w:rPr>
          <w:rFonts w:ascii="Arial" w:eastAsia="Arial" w:hAnsi="Arial" w:cs="Arial"/>
          <w:color w:val="0000EE"/>
          <w:sz w:val="20"/>
          <w:szCs w:val="20"/>
          <w:u w:val="single" w:color="0000EE"/>
        </w:rPr>
        <w:t>Sklepa Komisije 2009/77/ES</w:t>
      </w:r>
      <w:r w:rsidRPr="004319E8">
        <w:rPr>
          <w:rFonts w:ascii="Arial" w:eastAsia="Arial" w:hAnsi="Arial" w:cs="Arial"/>
          <w:sz w:val="20"/>
          <w:szCs w:val="20"/>
        </w:rPr>
        <w:t xml:space="preserve"> (UL L št. 331 z dne 15. 12. 2010, str. 84), zadnjič spremenjena za </w:t>
      </w:r>
      <w:r w:rsidR="00E76D53" w:rsidRPr="004319E8">
        <w:rPr>
          <w:rFonts w:ascii="Arial" w:eastAsia="Arial" w:hAnsi="Arial" w:cs="Arial"/>
          <w:color w:val="0000EE"/>
          <w:sz w:val="20"/>
          <w:szCs w:val="20"/>
          <w:u w:val="single" w:color="0000EE"/>
        </w:rPr>
        <w:t>Uredbo (EU) št. 258/2014</w:t>
      </w:r>
      <w:r w:rsidRPr="004319E8">
        <w:rPr>
          <w:rFonts w:ascii="Arial" w:eastAsia="Arial" w:hAnsi="Arial" w:cs="Arial"/>
          <w:sz w:val="20"/>
          <w:szCs w:val="20"/>
        </w:rPr>
        <w:t xml:space="preserve"> Evropskega parlamenta in Sveta z dne 3. aprila 2014 o vzpostavitvi programa Unije za podpiranje posebnih dejavnosti na področju računovodskega poročanja in revizije za obdobje 2014–2020 in o razveljavitvi </w:t>
      </w:r>
      <w:r w:rsidR="00E76D53" w:rsidRPr="004319E8">
        <w:rPr>
          <w:rFonts w:ascii="Arial" w:eastAsia="Arial" w:hAnsi="Arial" w:cs="Arial"/>
          <w:color w:val="0000EE"/>
          <w:sz w:val="20"/>
          <w:szCs w:val="20"/>
          <w:u w:val="single" w:color="0000EE"/>
        </w:rPr>
        <w:t>Sklepa št. 716/2009/ES</w:t>
      </w:r>
      <w:r w:rsidRPr="004319E8">
        <w:rPr>
          <w:rFonts w:ascii="Arial" w:eastAsia="Arial" w:hAnsi="Arial" w:cs="Arial"/>
          <w:sz w:val="20"/>
          <w:szCs w:val="20"/>
        </w:rPr>
        <w:t xml:space="preserve"> (UL L št. 105 z dne 8. 4. 2014, str. 1),</w:t>
      </w:r>
    </w:p>
    <w:p w14:paraId="1691A6B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w:t>
      </w:r>
      <w:r w:rsidR="00E76D53" w:rsidRPr="004319E8">
        <w:rPr>
          <w:rFonts w:ascii="Arial" w:eastAsia="Arial" w:hAnsi="Arial" w:cs="Arial"/>
          <w:color w:val="0000EE"/>
          <w:sz w:val="20"/>
          <w:szCs w:val="20"/>
          <w:u w:val="single" w:color="0000EE"/>
        </w:rPr>
        <w:t>Uredba 1227/2011/EU</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(EU) št. 1227/2011</w:t>
      </w:r>
      <w:r w:rsidRPr="004319E8">
        <w:rPr>
          <w:rFonts w:ascii="Arial" w:eastAsia="Arial" w:hAnsi="Arial" w:cs="Arial"/>
          <w:sz w:val="20"/>
          <w:szCs w:val="20"/>
        </w:rPr>
        <w:t xml:space="preserve"> Evropskega parlamenta in Sveta z dne 25. oktobra 2011 o celovitosti in preglednosti veleprodajnega energetskega trga (UL L št. 326 z dne 8. 12. 2011, str. 1),</w:t>
      </w:r>
    </w:p>
    <w:p w14:paraId="6CB6584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12.   </w:t>
      </w:r>
      <w:r w:rsidR="00E76D53" w:rsidRPr="004319E8">
        <w:rPr>
          <w:rFonts w:ascii="Arial" w:eastAsia="Arial" w:hAnsi="Arial" w:cs="Arial"/>
          <w:color w:val="0000EE"/>
          <w:sz w:val="20"/>
          <w:szCs w:val="20"/>
          <w:u w:val="single" w:color="0000EE"/>
        </w:rPr>
        <w:t>Uredba 648/2012/EU</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(EU) št. 648/2012</w:t>
      </w:r>
      <w:r w:rsidRPr="004319E8">
        <w:rPr>
          <w:rFonts w:ascii="Arial" w:eastAsia="Arial" w:hAnsi="Arial" w:cs="Arial"/>
          <w:sz w:val="20"/>
          <w:szCs w:val="20"/>
        </w:rPr>
        <w:t xml:space="preserve"> Evropskega parlamenta in Sveta z dne 4. julija 2012 o izvedenih finančnih instrumentih OTC, centralnih nasprotnih strankah in repozitorijih sklenjenih poslov (UL L št. 201 z dne 27. 7. 2012, str. 1), zadnjič spremenjena z </w:t>
      </w:r>
      <w:r w:rsidR="00E76D53" w:rsidRPr="004319E8">
        <w:rPr>
          <w:rFonts w:ascii="Arial" w:eastAsia="Arial" w:hAnsi="Arial" w:cs="Arial"/>
          <w:color w:val="0000EE"/>
          <w:sz w:val="20"/>
          <w:szCs w:val="20"/>
          <w:u w:val="single" w:color="0000EE"/>
        </w:rPr>
        <w:t>Delegirano uredbo Komisije (EU) 2019/460</w:t>
      </w:r>
      <w:r w:rsidRPr="004319E8">
        <w:rPr>
          <w:rFonts w:ascii="Arial" w:eastAsia="Arial" w:hAnsi="Arial" w:cs="Arial"/>
          <w:sz w:val="20"/>
          <w:szCs w:val="20"/>
        </w:rPr>
        <w:t xml:space="preserve"> z dne 30. januarja 2019 o spremembi </w:t>
      </w:r>
      <w:r w:rsidR="00E76D53" w:rsidRPr="004319E8">
        <w:rPr>
          <w:rFonts w:ascii="Arial" w:eastAsia="Arial" w:hAnsi="Arial" w:cs="Arial"/>
          <w:color w:val="0000EE"/>
          <w:sz w:val="20"/>
          <w:szCs w:val="20"/>
          <w:u w:val="single" w:color="0000EE"/>
        </w:rPr>
        <w:t>Uredbe (EU) št. 648/2012</w:t>
      </w:r>
      <w:r w:rsidRPr="004319E8">
        <w:rPr>
          <w:rFonts w:ascii="Arial" w:eastAsia="Arial" w:hAnsi="Arial" w:cs="Arial"/>
          <w:sz w:val="20"/>
          <w:szCs w:val="20"/>
        </w:rPr>
        <w:t xml:space="preserve"> Evropskega parlamenta in Sveta glede seznama izvzetih subjektov (UL L št. 80 z dne 22. 3. 2019, str. 8),</w:t>
      </w:r>
    </w:p>
    <w:p w14:paraId="2A64AD4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13.   </w:t>
      </w:r>
      <w:r w:rsidR="00E76D53" w:rsidRPr="004319E8">
        <w:rPr>
          <w:rFonts w:ascii="Arial" w:eastAsia="Arial" w:hAnsi="Arial" w:cs="Arial"/>
          <w:color w:val="0000EE"/>
          <w:sz w:val="20"/>
          <w:szCs w:val="20"/>
          <w:u w:val="single" w:color="0000EE"/>
        </w:rPr>
        <w:t>Direktiva 2013/34/EU</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Direktiva 2013/34/EU</w:t>
      </w:r>
      <w:r w:rsidRPr="004319E8">
        <w:rPr>
          <w:rFonts w:ascii="Arial" w:eastAsia="Arial" w:hAnsi="Arial" w:cs="Arial"/>
          <w:sz w:val="20"/>
          <w:szCs w:val="20"/>
        </w:rPr>
        <w:t xml:space="preserve"> Evropskega parlamenta in Sveta z dne 26. junija 2013 o letnih računovodskih izkazih, konsolidiranih računovodskih izkazih in povezanih poročilih nekaterih vrst podjetij, spremembi </w:t>
      </w:r>
      <w:r w:rsidR="00E76D53" w:rsidRPr="004319E8">
        <w:rPr>
          <w:rFonts w:ascii="Arial" w:eastAsia="Arial" w:hAnsi="Arial" w:cs="Arial"/>
          <w:color w:val="0000EE"/>
          <w:sz w:val="20"/>
          <w:szCs w:val="20"/>
          <w:u w:val="single" w:color="0000EE"/>
        </w:rPr>
        <w:t>Direktive 2006/43/ES</w:t>
      </w:r>
      <w:r w:rsidRPr="004319E8">
        <w:rPr>
          <w:rFonts w:ascii="Arial" w:eastAsia="Arial" w:hAnsi="Arial" w:cs="Arial"/>
          <w:sz w:val="20"/>
          <w:szCs w:val="20"/>
        </w:rPr>
        <w:t xml:space="preserve"> Evropskega parlamenta in Sveta ter razveljavitvi </w:t>
      </w:r>
      <w:r w:rsidR="00E76D53" w:rsidRPr="004319E8">
        <w:rPr>
          <w:rFonts w:ascii="Arial" w:eastAsia="Arial" w:hAnsi="Arial" w:cs="Arial"/>
          <w:color w:val="0000EE"/>
          <w:sz w:val="20"/>
          <w:szCs w:val="20"/>
          <w:u w:val="single" w:color="0000EE"/>
        </w:rPr>
        <w:t>direktiv Sveta 78/660/EGS</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83/349/EGS</w:t>
      </w:r>
      <w:r w:rsidRPr="004319E8">
        <w:rPr>
          <w:rFonts w:ascii="Arial" w:eastAsia="Arial" w:hAnsi="Arial" w:cs="Arial"/>
          <w:sz w:val="20"/>
          <w:szCs w:val="20"/>
        </w:rPr>
        <w:t xml:space="preserve"> (UL L št. 182 z dne 29. 6. 2013, str. 19) zadnjič spremenjena z </w:t>
      </w:r>
      <w:r w:rsidR="00E76D53" w:rsidRPr="004319E8">
        <w:rPr>
          <w:rFonts w:ascii="Arial" w:eastAsia="Arial" w:hAnsi="Arial" w:cs="Arial"/>
          <w:color w:val="0000EE"/>
          <w:sz w:val="20"/>
          <w:szCs w:val="20"/>
          <w:u w:val="single" w:color="0000EE"/>
        </w:rPr>
        <w:t>Direktivo Sveta 2014/102/EU</w:t>
      </w:r>
      <w:r w:rsidRPr="004319E8">
        <w:rPr>
          <w:rFonts w:ascii="Arial" w:eastAsia="Arial" w:hAnsi="Arial" w:cs="Arial"/>
          <w:sz w:val="20"/>
          <w:szCs w:val="20"/>
        </w:rPr>
        <w:t xml:space="preserve"> z dne 7. novembra 2014 o prilagoditvi </w:t>
      </w:r>
      <w:r w:rsidR="00E76D53"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 xml:space="preserve"> Evropskega parlamenta in Sveta o letnih računovodskih izkazih, konsolidiranih računovodskih izkazih in povezanih poročilih nekaterih vrst podjetij zaradi pristopa Republike Hrvaške (UL L št. 334 z dne 21. 11. 2014, str. 86),</w:t>
      </w:r>
    </w:p>
    <w:p w14:paraId="7358336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14.   </w:t>
      </w:r>
      <w:r w:rsidR="00E76D53" w:rsidRPr="004319E8">
        <w:rPr>
          <w:rFonts w:ascii="Arial" w:eastAsia="Arial" w:hAnsi="Arial" w:cs="Arial"/>
          <w:color w:val="0000EE"/>
          <w:sz w:val="20"/>
          <w:szCs w:val="20"/>
          <w:u w:val="single" w:color="0000EE"/>
        </w:rPr>
        <w:t>Uredba 1308/2013/EU</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(EU) št. 1308/2013</w:t>
      </w:r>
      <w:r w:rsidRPr="004319E8">
        <w:rPr>
          <w:rFonts w:ascii="Arial" w:eastAsia="Arial" w:hAnsi="Arial" w:cs="Arial"/>
          <w:sz w:val="20"/>
          <w:szCs w:val="20"/>
        </w:rPr>
        <w:t xml:space="preserve"> Evropskega parlamenta in Sveta z dne 17. decembra 2013 o vzpostavitvi skupne ureditve trgov kmetijskih proizvodov in razveljavitvi </w:t>
      </w:r>
      <w:r w:rsidR="00E76D53" w:rsidRPr="004319E8">
        <w:rPr>
          <w:rFonts w:ascii="Arial" w:eastAsia="Arial" w:hAnsi="Arial" w:cs="Arial"/>
          <w:color w:val="0000EE"/>
          <w:sz w:val="20"/>
          <w:szCs w:val="20"/>
          <w:u w:val="single" w:color="0000EE"/>
        </w:rPr>
        <w:t>uredb Sveta (EGS) št. 922/72</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(EGS) št. 234/79</w:t>
      </w:r>
      <w:r w:rsidRPr="004319E8">
        <w:rPr>
          <w:rFonts w:ascii="Arial" w:eastAsia="Arial" w:hAnsi="Arial" w:cs="Arial"/>
          <w:sz w:val="20"/>
          <w:szCs w:val="20"/>
        </w:rPr>
        <w:t xml:space="preserve">, </w:t>
      </w:r>
      <w:r w:rsidR="00E76D53" w:rsidRPr="004319E8">
        <w:rPr>
          <w:rFonts w:ascii="Arial" w:eastAsia="Arial" w:hAnsi="Arial" w:cs="Arial"/>
          <w:color w:val="0000EE"/>
          <w:sz w:val="20"/>
          <w:szCs w:val="20"/>
          <w:u w:val="single" w:color="0000EE"/>
        </w:rPr>
        <w:t>(ES) št. 1037/2001</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(ES) št. 1234/2007</w:t>
      </w:r>
      <w:r w:rsidRPr="004319E8">
        <w:rPr>
          <w:rFonts w:ascii="Arial" w:eastAsia="Arial" w:hAnsi="Arial" w:cs="Arial"/>
          <w:sz w:val="20"/>
          <w:szCs w:val="20"/>
        </w:rPr>
        <w:t xml:space="preserve"> (UL L št. 347 z dne 20. 12. 2013, str. 671), zadnjič spremenjena z </w:t>
      </w:r>
      <w:r w:rsidR="00E76D53" w:rsidRPr="004319E8">
        <w:rPr>
          <w:rFonts w:ascii="Arial" w:eastAsia="Arial" w:hAnsi="Arial" w:cs="Arial"/>
          <w:color w:val="0000EE"/>
          <w:sz w:val="20"/>
          <w:szCs w:val="20"/>
          <w:u w:val="single" w:color="0000EE"/>
        </w:rPr>
        <w:t>Delegirano uredbo Komisije (EU) 2019/33</w:t>
      </w:r>
      <w:r w:rsidRPr="004319E8">
        <w:rPr>
          <w:rFonts w:ascii="Arial" w:eastAsia="Arial" w:hAnsi="Arial" w:cs="Arial"/>
          <w:sz w:val="20"/>
          <w:szCs w:val="20"/>
        </w:rPr>
        <w:t xml:space="preserve"> z dne 17. oktobra 2018 o dopolnitvi </w:t>
      </w:r>
      <w:r w:rsidR="00E76D53" w:rsidRPr="004319E8">
        <w:rPr>
          <w:rFonts w:ascii="Arial" w:eastAsia="Arial" w:hAnsi="Arial" w:cs="Arial"/>
          <w:color w:val="0000EE"/>
          <w:sz w:val="20"/>
          <w:szCs w:val="20"/>
          <w:u w:val="single" w:color="0000EE"/>
        </w:rPr>
        <w:t>Uredbe (EU) št. 1308/2013</w:t>
      </w:r>
      <w:r w:rsidRPr="004319E8">
        <w:rPr>
          <w:rFonts w:ascii="Arial" w:eastAsia="Arial" w:hAnsi="Arial" w:cs="Arial"/>
          <w:sz w:val="20"/>
          <w:szCs w:val="20"/>
        </w:rPr>
        <w:t xml:space="preserve"> Evropskega parlamenta in Sveta v zvezi z vlogami za zaščito označb porekla, geografskih označb in tradicionalnih izrazov v vinskem sektorju, postopkom ugovora, omejitvami uporabe, spremembami specifikacij proizvoda, preklicem zaščite ter označevanjem in predstavitvijo (UL L št. 9 z dne 11. 1. 2019, str. 2),</w:t>
      </w:r>
    </w:p>
    <w:p w14:paraId="19B9534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15. </w:t>
      </w:r>
      <w:r w:rsidR="00E76D53" w:rsidRPr="004319E8">
        <w:rPr>
          <w:rFonts w:ascii="Arial" w:eastAsia="Arial" w:hAnsi="Arial" w:cs="Arial"/>
          <w:color w:val="0000EE"/>
          <w:sz w:val="20"/>
          <w:szCs w:val="20"/>
          <w:u w:val="single" w:color="0000EE"/>
        </w:rPr>
        <w:t>Uredba 2022/858/EU</w:t>
      </w:r>
      <w:r w:rsidRPr="004319E8">
        <w:rPr>
          <w:rFonts w:ascii="Arial" w:eastAsia="Arial" w:hAnsi="Arial" w:cs="Arial"/>
          <w:sz w:val="20"/>
          <w:szCs w:val="20"/>
        </w:rPr>
        <w:t xml:space="preserve"> je </w:t>
      </w:r>
      <w:r w:rsidR="00E76D53" w:rsidRPr="004319E8">
        <w:rPr>
          <w:rFonts w:ascii="Arial" w:eastAsia="Arial" w:hAnsi="Arial" w:cs="Arial"/>
          <w:color w:val="0000EE"/>
          <w:sz w:val="20"/>
          <w:szCs w:val="20"/>
          <w:u w:val="single" w:color="0000EE"/>
        </w:rPr>
        <w:t>Uredba (EU) 2022/858</w:t>
      </w:r>
      <w:r w:rsidRPr="004319E8">
        <w:rPr>
          <w:rFonts w:ascii="Arial" w:eastAsia="Arial" w:hAnsi="Arial" w:cs="Arial"/>
          <w:sz w:val="20"/>
          <w:szCs w:val="20"/>
        </w:rPr>
        <w:t xml:space="preserve"> Evropskega parlamenta in Sveta z dne 30. maja 2022 o pilotni ureditvi za tržne infrastrukture na podlagi tehnologije razpršene evidence ter spremembi </w:t>
      </w:r>
      <w:r w:rsidR="00E76D53" w:rsidRPr="004319E8">
        <w:rPr>
          <w:rFonts w:ascii="Arial" w:eastAsia="Arial" w:hAnsi="Arial" w:cs="Arial"/>
          <w:color w:val="0000EE"/>
          <w:sz w:val="20"/>
          <w:szCs w:val="20"/>
          <w:u w:val="single" w:color="0000EE"/>
        </w:rPr>
        <w:t>uredb (EU) št. 600/2014</w:t>
      </w:r>
      <w:r w:rsidRPr="004319E8">
        <w:rPr>
          <w:rFonts w:ascii="Arial" w:eastAsia="Arial" w:hAnsi="Arial" w:cs="Arial"/>
          <w:sz w:val="20"/>
          <w:szCs w:val="20"/>
        </w:rPr>
        <w:t xml:space="preserve"> in </w:t>
      </w:r>
      <w:r w:rsidR="00E76D53" w:rsidRPr="004319E8">
        <w:rPr>
          <w:rFonts w:ascii="Arial" w:eastAsia="Arial" w:hAnsi="Arial" w:cs="Arial"/>
          <w:color w:val="0000EE"/>
          <w:sz w:val="20"/>
          <w:szCs w:val="20"/>
          <w:u w:val="single" w:color="0000EE"/>
        </w:rPr>
        <w:t>(EU) št. 909/2014</w:t>
      </w:r>
      <w:r w:rsidRPr="004319E8">
        <w:rPr>
          <w:rFonts w:ascii="Arial" w:eastAsia="Arial" w:hAnsi="Arial" w:cs="Arial"/>
          <w:sz w:val="20"/>
          <w:szCs w:val="20"/>
        </w:rPr>
        <w:t xml:space="preserve"> ter </w:t>
      </w:r>
      <w:r w:rsidR="00E76D53"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(UL L št. 151 z dne 2. 6. 2022, str. 1).</w:t>
      </w:r>
    </w:p>
    <w:p w14:paraId="75BDC374"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 člen</w:t>
      </w:r>
    </w:p>
    <w:p w14:paraId="0C003D78"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(opredelitve pojmov)</w:t>
      </w:r>
    </w:p>
    <w:p w14:paraId="0042CFA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Pojmi »pokojninska družba«, »družba za upravljanje« in »skupina« se uporabljajo, kot so določeni v ZFK.</w:t>
      </w:r>
    </w:p>
    <w:p w14:paraId="1E260AB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Pojem »upravljavec alternativnih investicijskih skladov « (v nadaljnjem besedilu: upravljavec AIS) se uporablja, kot je določen v 19. točki prvega odstavka 4. člena </w:t>
      </w:r>
      <w:r w:rsidR="00801FB2" w:rsidRPr="004319E8">
        <w:rPr>
          <w:rFonts w:ascii="Arial" w:eastAsia="Arial" w:hAnsi="Arial" w:cs="Arial"/>
          <w:color w:val="0000EE"/>
          <w:sz w:val="20"/>
          <w:szCs w:val="20"/>
          <w:u w:val="single" w:color="0000EE"/>
        </w:rPr>
        <w:t>Uredbe 575/2013/EU</w:t>
      </w:r>
      <w:r w:rsidRPr="004319E8">
        <w:rPr>
          <w:rFonts w:ascii="Arial" w:eastAsia="Arial" w:hAnsi="Arial" w:cs="Arial"/>
          <w:sz w:val="20"/>
          <w:szCs w:val="20"/>
        </w:rPr>
        <w:t xml:space="preserve"> in pomeni upravljavca AIS iz 9. člena ZUAIS.</w:t>
      </w:r>
    </w:p>
    <w:p w14:paraId="3475294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Če ta zakon ne določa drugače, se pojmi »finančne storitve«, »bančne storitve«, »pomožne storitve«, »vzajemno priznane finančne storitve«, »dodatne finančne storitve«, »druge finančne storitve«, »banka«, »banka države članice«, »banka tretje države«, »finančna družba«, »država članica«, »tretja država«, »Komisija«, »ožji družinski član«, »bančna skupina«, »subjekt finančnega sektorja«, »sistemsko tveganje« in »modelsko tveganje« uporabljajo, kot so določeni v ZBan-3.</w:t>
      </w:r>
    </w:p>
    <w:p w14:paraId="0DBC7BA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Pojmi iz 6. poglavja tega zakona imajo pomen, kot je določen v 4. členu </w:t>
      </w:r>
      <w:r w:rsidR="00801FB2" w:rsidRPr="004319E8">
        <w:rPr>
          <w:rFonts w:ascii="Arial" w:eastAsia="Arial" w:hAnsi="Arial" w:cs="Arial"/>
          <w:color w:val="0000EE"/>
          <w:sz w:val="20"/>
          <w:szCs w:val="20"/>
          <w:u w:val="single" w:color="0000EE"/>
        </w:rPr>
        <w:t>Uredbe 575/2013/EU</w:t>
      </w:r>
      <w:r w:rsidRPr="004319E8">
        <w:rPr>
          <w:rFonts w:ascii="Arial" w:eastAsia="Arial" w:hAnsi="Arial" w:cs="Arial"/>
          <w:sz w:val="20"/>
          <w:szCs w:val="20"/>
        </w:rPr>
        <w:t>.</w:t>
      </w:r>
    </w:p>
    <w:p w14:paraId="12DFA13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Za pojme »finančni holding«, »mešani poslovni holding«, »nadrejeni finančni holding države članice« in »EU nadrejeni finančni holding« se smiselno uporabljata tretja in četrta alineja 11. točke prvega odstavka 7. člena ZBan-3.</w:t>
      </w:r>
    </w:p>
    <w:p w14:paraId="28395B2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(6) Pojem »zavarovalni holding« se uporablja, kot je določen v zakonu, ki ureja zavarovalništvo.</w:t>
      </w:r>
    </w:p>
    <w:p w14:paraId="3B6AD7A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Pojma »nematerializiran vrednostni papir« in »račun nematerializiranih vrednostnih papirjev« se uporabljata, kot sta določena v zakonu, ki ureja nematerializirane vrednostne papirje.</w:t>
      </w:r>
    </w:p>
    <w:p w14:paraId="0CDF545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Država sedeža finančne družbe je država, v kateri je finančna družba pridobila ustrezno dovoljenje za opravljanje finančnih storitev, država gostiteljica pa je država, ki ni država sedeža družbe in v kateri je družba ustanovila podružnico ali v kateri neposredno opravlja finančne storitve.</w:t>
      </w:r>
    </w:p>
    <w:p w14:paraId="6EB37C6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(9) Nadzorovana finančna družba je finančna družba, nad katero opravlja nadzor nadzorni organ države sedeža finančne družbe.</w:t>
      </w:r>
    </w:p>
    <w:p w14:paraId="76B92DD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(10) Oseba države članice je oseba države članice, ki je fizična oseba in ima v tej državi članici stalno ali začasno prebivališče, ali pravna oseba, ki ima sedež na območju te države članice.</w:t>
      </w:r>
    </w:p>
    <w:p w14:paraId="3921C0E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(11) Oseba tretje države je oseba tretje države, ki je fizična oseba in ima v tej tretji državi stalno ali začasno prebivališče, ali pravna oseba, ki ima sedež na območju te tretje države.</w:t>
      </w:r>
    </w:p>
    <w:p w14:paraId="5EF2C96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(12) Pojem »kreditna institucija« se uporablja, kot je določen v 1. točki prvega odstavka 4. člena </w:t>
      </w:r>
      <w:r w:rsidR="00801FB2" w:rsidRPr="004319E8">
        <w:rPr>
          <w:rFonts w:ascii="Arial" w:eastAsia="Arial" w:hAnsi="Arial" w:cs="Arial"/>
          <w:color w:val="0000EE"/>
          <w:sz w:val="20"/>
          <w:szCs w:val="20"/>
          <w:u w:val="single" w:color="0000EE"/>
        </w:rPr>
        <w:t>Uredbe 575/2013/EU</w:t>
      </w:r>
      <w:r w:rsidRPr="004319E8">
        <w:rPr>
          <w:rFonts w:ascii="Arial" w:eastAsia="Arial" w:hAnsi="Arial" w:cs="Arial"/>
          <w:sz w:val="20"/>
          <w:szCs w:val="20"/>
        </w:rPr>
        <w:t>.</w:t>
      </w:r>
    </w:p>
    <w:p w14:paraId="2325E3B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(13) Pojem »institucija« se uporablja, kot je določen v 3. točki prvega odstavka 4. člena </w:t>
      </w:r>
      <w:r w:rsidR="00801FB2" w:rsidRPr="004319E8">
        <w:rPr>
          <w:rFonts w:ascii="Arial" w:eastAsia="Arial" w:hAnsi="Arial" w:cs="Arial"/>
          <w:color w:val="0000EE"/>
          <w:sz w:val="20"/>
          <w:szCs w:val="20"/>
          <w:u w:val="single" w:color="0000EE"/>
        </w:rPr>
        <w:t>Uredbe 575/2013/EU</w:t>
      </w:r>
      <w:r w:rsidRPr="004319E8">
        <w:rPr>
          <w:rFonts w:ascii="Arial" w:eastAsia="Arial" w:hAnsi="Arial" w:cs="Arial"/>
          <w:sz w:val="20"/>
          <w:szCs w:val="20"/>
        </w:rPr>
        <w:t>.</w:t>
      </w:r>
    </w:p>
    <w:p w14:paraId="7F9EA9A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(14) Pojem »veleprodajni energetski proizvod« se uporablja, kot je določen v 4. točki 2. člena </w:t>
      </w:r>
      <w:r w:rsidR="00801FB2" w:rsidRPr="004319E8">
        <w:rPr>
          <w:rFonts w:ascii="Arial" w:eastAsia="Arial" w:hAnsi="Arial" w:cs="Arial"/>
          <w:color w:val="0000EE"/>
          <w:sz w:val="20"/>
          <w:szCs w:val="20"/>
          <w:u w:val="single" w:color="0000EE"/>
        </w:rPr>
        <w:t>Uredbe 1227/2011/EU</w:t>
      </w:r>
      <w:r w:rsidRPr="004319E8">
        <w:rPr>
          <w:rFonts w:ascii="Arial" w:eastAsia="Arial" w:hAnsi="Arial" w:cs="Arial"/>
          <w:sz w:val="20"/>
          <w:szCs w:val="20"/>
        </w:rPr>
        <w:t>.</w:t>
      </w:r>
    </w:p>
    <w:p w14:paraId="04DEEC9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(15) Pojem »investicijski sklad« se uporablja, kot je določen v ZISDU-3 in pomeni investicijski sklad iz 5. člena ZISDU-3.</w:t>
      </w:r>
    </w:p>
    <w:p w14:paraId="7726576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(16) Pojem »obvladujoča družba« se uporablja, kot je določen v ZGD-1 in pomeni družbo, ki obvladuje eno ali več odvisnih družb pod pogoji iz 56. člena ZGD-1.</w:t>
      </w:r>
    </w:p>
    <w:p w14:paraId="14F41DB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(17) Pojem »odvisna družba« se uporablja, kot je določen v ZGD-1 in pomeni družbo, ki jo obvladuje obvladujoča družba, vključno s katerokoli odvisno družbo končne obvladujoče družbe pod pogoji iz 56. člena ZGD-1.</w:t>
      </w:r>
    </w:p>
    <w:p w14:paraId="7425469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(18) Pojem »centralna nasprotna stranka« (v nadaljnjem besedilu: CNS) se uporablja, kot je določen v 1. točki 2. člena </w:t>
      </w:r>
      <w:r w:rsidR="00801FB2" w:rsidRPr="004319E8">
        <w:rPr>
          <w:rFonts w:ascii="Arial" w:eastAsia="Arial" w:hAnsi="Arial" w:cs="Arial"/>
          <w:color w:val="0000EE"/>
          <w:sz w:val="20"/>
          <w:szCs w:val="20"/>
          <w:u w:val="single" w:color="0000EE"/>
        </w:rPr>
        <w:t>Uredbe 648/2012/EU</w:t>
      </w:r>
      <w:r w:rsidRPr="004319E8">
        <w:rPr>
          <w:rFonts w:ascii="Arial" w:eastAsia="Arial" w:hAnsi="Arial" w:cs="Arial"/>
          <w:sz w:val="20"/>
          <w:szCs w:val="20"/>
        </w:rPr>
        <w:t>.</w:t>
      </w:r>
    </w:p>
    <w:p w14:paraId="5512809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(19) Pojmi »indeks«, »izdajatelj indeksa«, »referenčna vrednost«, »zagotavljanje referenčne vrednosti«, »upravljavec referenčne vrednosti«, »prispevajoča oseba«, »nadzorovana prispevajoča oseba«, »predlagatelj«, »ocenjevalec« se uporabljajo, kot so določeni v 3. členu </w:t>
      </w:r>
      <w:r w:rsidR="00801FB2" w:rsidRPr="004319E8">
        <w:rPr>
          <w:rFonts w:ascii="Arial" w:eastAsia="Arial" w:hAnsi="Arial" w:cs="Arial"/>
          <w:color w:val="0000EE"/>
          <w:sz w:val="20"/>
          <w:szCs w:val="20"/>
          <w:u w:val="single" w:color="0000EE"/>
        </w:rPr>
        <w:t>Uredbe 2016/1011/EU</w:t>
      </w:r>
      <w:r w:rsidRPr="004319E8">
        <w:rPr>
          <w:rFonts w:ascii="Arial" w:eastAsia="Arial" w:hAnsi="Arial" w:cs="Arial"/>
          <w:sz w:val="20"/>
          <w:szCs w:val="20"/>
        </w:rPr>
        <w:t>.</w:t>
      </w:r>
    </w:p>
    <w:p w14:paraId="41DB605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(20) Organ vodenja oziroma poslovodstvo:</w:t>
      </w:r>
    </w:p>
    <w:p w14:paraId="180BDAC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ima pri pravnih osebah s sedežem v Republiki Sloveniji pomen, opredeljen v 10. členu ZGD-1,</w:t>
      </w:r>
    </w:p>
    <w:p w14:paraId="19D3B5D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je pri pravnih osebah, ki nimajo sedeža v Republiki Sloveniji, organ pravne osebe, ki je po zakonu oziroma pravilih te pravne osebe pristojen in odgovoren za vodenje njenih poslov.</w:t>
      </w:r>
    </w:p>
    <w:p w14:paraId="69F4CF6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(21) Organ nadzora pravne osebe je organ, ki je po zakonu oziroma pravilih te pravne osebe pristojen in odgovoren za nadzor nad vodenjem njenih poslov.</w:t>
      </w:r>
    </w:p>
    <w:p w14:paraId="6FC48BE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(22) Upravljalni organ je organ vodenja oziroma poslovodstva in nadzora pravne osebe, ki je pristojen za določanje strategije, ciljev in splošnih usmeritev pravne osebe ter za nadziranje in spremljanje vodstvenih odločitev in poslovanja, ter praviloma vključuje tudi osebe, ki dejansko vodijo posle.</w:t>
      </w:r>
    </w:p>
    <w:p w14:paraId="6237608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(23) Višje vodstvo so fizične osebe, ki opravljajo izvršne funkcije oziroma vodijo posle ter so odgovorne za izvajanje strategije in splošnih usmeritev ter doseganje ciljev pravne osebe.</w:t>
      </w:r>
    </w:p>
    <w:p w14:paraId="017EE59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(24) Če ta zakon ne določa drugače, se pri uporabi tega zakona šteje, da ima pravna oseba registriran sedež (v nadaljnjem besedilu: sedež) v določeni državi, če je vpisana v javni register pravnih oseb, ki ga vodi ta država.</w:t>
      </w:r>
    </w:p>
    <w:p w14:paraId="7C3AEE2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(25) Poslovni naslov je kraj, v katerem poslovodstvo pravne osebe ali podjema, ki nima lastnosti pravne osebe, opravlja svoje naloge in pristojnosti, če to ni hkrati sedež.</w:t>
      </w:r>
    </w:p>
    <w:p w14:paraId="7BCF4A9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(26) Pojem »regionalna oblast« oziroma »lokalna oblast« pomeni lokalno skupnost ali drugo organizacijsko obliko lokalne samouprave.</w:t>
      </w:r>
    </w:p>
    <w:p w14:paraId="5A6EB64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(27) Pojmi iz 2. poglavja in drugih določb tega zakona, ki se sklicujejo na določbe 2. poglavja, pomenijo, kot je določeno v 2. členu </w:t>
      </w:r>
      <w:r w:rsidR="00801FB2" w:rsidRPr="004319E8">
        <w:rPr>
          <w:rFonts w:ascii="Arial" w:eastAsia="Arial" w:hAnsi="Arial" w:cs="Arial"/>
          <w:color w:val="0000EE"/>
          <w:sz w:val="20"/>
          <w:szCs w:val="20"/>
          <w:u w:val="single" w:color="0000EE"/>
        </w:rPr>
        <w:t>Uredbe 2017/1129/EU</w:t>
      </w:r>
      <w:r w:rsidRPr="004319E8">
        <w:rPr>
          <w:rFonts w:ascii="Arial" w:eastAsia="Arial" w:hAnsi="Arial" w:cs="Arial"/>
          <w:sz w:val="20"/>
          <w:szCs w:val="20"/>
        </w:rPr>
        <w:t>.</w:t>
      </w:r>
    </w:p>
    <w:p w14:paraId="53565B6B" w14:textId="77777777" w:rsidR="0001341E" w:rsidRPr="004319E8" w:rsidRDefault="0001341E" w:rsidP="0001341E">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20. člen</w:t>
      </w:r>
    </w:p>
    <w:p w14:paraId="32FDF3F6" w14:textId="77777777" w:rsidR="0001341E" w:rsidRPr="004319E8" w:rsidRDefault="0001341E" w:rsidP="0001341E">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(investicijsko podjetje, borznoposredniška družba, mala borznoposredniška družba, borzni posrednik)</w:t>
      </w:r>
    </w:p>
    <w:p w14:paraId="5384E0E9"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Investicijsko podjetje je pravna oseba, ki profesionalno kot svojo redno dejavnost opravlja investicijske storitve za druge osebe ali investicijske posle.</w:t>
      </w:r>
    </w:p>
    <w:p w14:paraId="2BB51B7E"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Borznoposredniška družba je investicijsko podjetje s sedežem v Republiki Sloveniji, ki ni banka in je pridobilo dovoljenje agencije za opravljanje investicijskih storitev in poslov. Borznoposredniška družba je lahko le pravna oseba.</w:t>
      </w:r>
    </w:p>
    <w:p w14:paraId="5DEC8A3C"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Ne glede na prvi odstavek tega člena pri uporabi 6. in 10. poglavja tega zakona pojem investicijsko podjetje pomeni investicijsko podjetje iz prvega odstavka tega člena, razen:</w:t>
      </w:r>
    </w:p>
    <w:p w14:paraId="56801B5A"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kreditnih institucij,</w:t>
      </w:r>
    </w:p>
    <w:p w14:paraId="0BA639B2"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lokalnih podjetij,</w:t>
      </w:r>
    </w:p>
    <w:p w14:paraId="030007A8"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podjetij, ki v skladu s tem zakonom niso pooblaščena za opravljanje pomožnih investicijskih storitev iz 1. točke prvega odstavka 19. člena tega zakona in so upravičena opravljati le eno ali več investicijskih storitev in poslov iz 1., 2., 4. in 5. točke prvega odstavka 11. člena tega zakona ter ne smejo gospodariti z denarjem ali vrednostnimi papirji svojih strank in zato ne morejo nikoli stopiti v dolžniško razmerje z njimi.</w:t>
      </w:r>
    </w:p>
    <w:p w14:paraId="33326F08"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Borzni posrednik je fizična oseba, ki ima dovoljenje agencije za opravljanje poslov borznega posrednika in za borznoposredniško družbo ali banko na podlagi zaposlitve ali na drugi pravni podlagi opravlja posle, zajete v investicijskih storitvah in poslih, ki jih za svoje stranke opravlja borznoposredniška družba.</w:t>
      </w:r>
    </w:p>
    <w:p w14:paraId="30DA45D3"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Mala borznoposredniška družba je borznoposredniška družba:</w:t>
      </w:r>
    </w:p>
    <w:p w14:paraId="40B577CF"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ki opravlja samo naslednje investicijske storitve in posle:</w:t>
      </w:r>
    </w:p>
    <w:p w14:paraId="0CC216F8"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posredovanje naročil v zvezi s prenosljivimi vrednostnimi papirji ali enotami kolektivnih naložbenih podjemov osebam iz 59. člena tega zakona ali družbam za upravljanje ali</w:t>
      </w:r>
    </w:p>
    <w:p w14:paraId="0CF7E89C"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  investicijsko svetovanje in</w:t>
      </w:r>
    </w:p>
    <w:p w14:paraId="1DA36B36" w14:textId="77777777" w:rsidR="0001341E" w:rsidRPr="004319E8" w:rsidRDefault="0001341E"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katere letni prihodki ne presegajo 750.000 eurov.</w:t>
      </w:r>
    </w:p>
    <w:p w14:paraId="645315F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28. člen</w:t>
      </w:r>
    </w:p>
    <w:p w14:paraId="627E4E3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(večstranski sistem)</w:t>
      </w:r>
    </w:p>
    <w:p w14:paraId="228C6C2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Večstranski sistem pomeni sistem ali infrastrukturo, v kateri lahko vzajemno delujejo nakupni in prodajni interesi več tretjih oseb v zvezi s finančnimi instrumenti.</w:t>
      </w:r>
    </w:p>
    <w:p w14:paraId="001CEC0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Večstranski sistemi iz prejšnjega odstavka delujejo v skladu z določbami 4. in 7. poglavja tega zakona glede MTF ali OTF oziroma določbami 11. poglavja tega zakona glede organiziranega trga.</w:t>
      </w:r>
    </w:p>
    <w:p w14:paraId="7097B1A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Ne glede na 23. in 28. člen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morajo biti vsi posli s finančnimi instrumenti, s katerimi se trguje na mestu trgovanja ali prek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ki niso sklenjeni na večstranskih sistemih ali prek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skladni z določbami iz III. naslova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687C0E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34. člen</w:t>
      </w:r>
    </w:p>
    <w:p w14:paraId="20FFD5E7"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 xml:space="preserve">(vzdrževalec trga in sistematični </w:t>
      </w:r>
      <w:proofErr w:type="spellStart"/>
      <w:r w:rsidRPr="004319E8">
        <w:rPr>
          <w:rFonts w:ascii="Arial" w:eastAsia="Arial" w:hAnsi="Arial" w:cs="Arial"/>
          <w:b/>
          <w:bCs/>
          <w:sz w:val="20"/>
          <w:szCs w:val="20"/>
          <w:lang w:val="sl-SI"/>
        </w:rPr>
        <w:t>internalizator</w:t>
      </w:r>
      <w:proofErr w:type="spellEnd"/>
      <w:r w:rsidRPr="004319E8">
        <w:rPr>
          <w:rFonts w:ascii="Arial" w:eastAsia="Arial" w:hAnsi="Arial" w:cs="Arial"/>
          <w:b/>
          <w:bCs/>
          <w:sz w:val="20"/>
          <w:szCs w:val="20"/>
          <w:lang w:val="sl-SI"/>
        </w:rPr>
        <w:t>)</w:t>
      </w:r>
    </w:p>
    <w:p w14:paraId="11BDC80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Vzdrževalec trga je oseba, ki neprekinjeno nastopa na trgu finančnih instrumentov ter je pripravljena poslovati za svoj račun s kupovanjem in prodajanjem finančnih instrumentov v breme lastnega kapitala po cenah, ki jih določi sama.</w:t>
      </w:r>
    </w:p>
    <w:p w14:paraId="38B058F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xml:space="preserve"> je investicijsko podjetje, ki na organizirani, pogosti in sistematični podlagi ter v precejšnjem obsegu posluje za lasten račun z izvrševanjem naročil strank zunaj organiziranega trga, MTF ali OTF, ne da bi upravljal večstranski sistem.</w:t>
      </w:r>
    </w:p>
    <w:p w14:paraId="6052B99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Pogosta in sistematična podlaga se meri s številom poslov s finančnim instrumentom, ki jih investicijsko podjetje izvede na OTC za lasten račun z izvrševanjem naročil strank. Precejšnji obseg trgovanja se meri z obsegom trgovanja investicijskega podjetja na OTC v primerjavi s celotnim trgovanjem investicijskega podjetja z določenim finančnim instrumentom ali z obsegom trgovanja investicijskega podjetja na OTC v primerjavi s celotnim trgovanjem z določenim finančnim instrumentom v EU. Opredelitev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se uporablja le, kadar sta vnaprej določeni omejitvi pogoste in sistematične podlage ter precejšnjega obsega prekoračeni ali kadar se investicijsko podjetje odloči za delovanje v sistemu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w:t>
      </w:r>
    </w:p>
    <w:p w14:paraId="3892B7D5" w14:textId="20906221" w:rsidR="0001341E" w:rsidRPr="004319E8" w:rsidRDefault="00512760" w:rsidP="0001341E">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Podjetja, ki ustrezajo opredelitvi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iz tega člena, o tem obvestijo agencijo. Agencija to obvestilo pošlje ESMA.</w:t>
      </w:r>
    </w:p>
    <w:p w14:paraId="2A4A7865" w14:textId="77777777" w:rsidR="0001341E" w:rsidRPr="004319E8" w:rsidRDefault="0001341E" w:rsidP="0001341E">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36. člen</w:t>
      </w:r>
    </w:p>
    <w:p w14:paraId="05F9797C" w14:textId="77777777" w:rsidR="0001341E" w:rsidRPr="004319E8" w:rsidRDefault="0001341E" w:rsidP="0001341E">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 xml:space="preserve">(centralni depo in </w:t>
      </w:r>
      <w:proofErr w:type="spellStart"/>
      <w:r w:rsidRPr="004319E8">
        <w:rPr>
          <w:rFonts w:ascii="Arial" w:eastAsia="Arial" w:hAnsi="Arial" w:cs="Arial"/>
          <w:b/>
          <w:bCs/>
          <w:sz w:val="20"/>
          <w:szCs w:val="20"/>
          <w:lang w:val="sl-SI"/>
        </w:rPr>
        <w:t>poddepo</w:t>
      </w:r>
      <w:proofErr w:type="spellEnd"/>
      <w:r w:rsidRPr="004319E8">
        <w:rPr>
          <w:rFonts w:ascii="Arial" w:eastAsia="Arial" w:hAnsi="Arial" w:cs="Arial"/>
          <w:b/>
          <w:bCs/>
          <w:sz w:val="20"/>
          <w:szCs w:val="20"/>
          <w:lang w:val="sl-SI"/>
        </w:rPr>
        <w:t>)</w:t>
      </w:r>
    </w:p>
    <w:p w14:paraId="4EB645C4" w14:textId="77777777" w:rsidR="0001341E" w:rsidRPr="004319E8" w:rsidRDefault="0001341E" w:rsidP="0001341E">
      <w:pPr>
        <w:pStyle w:val="zamik"/>
        <w:spacing w:before="210" w:after="210"/>
        <w:jc w:val="both"/>
        <w:rPr>
          <w:rFonts w:ascii="Arial" w:eastAsia="Arial" w:hAnsi="Arial" w:cs="Arial"/>
          <w:sz w:val="20"/>
          <w:szCs w:val="20"/>
        </w:rPr>
      </w:pPr>
      <w:r w:rsidRPr="004319E8">
        <w:rPr>
          <w:rFonts w:ascii="Arial" w:eastAsia="Arial" w:hAnsi="Arial" w:cs="Arial"/>
          <w:sz w:val="20"/>
          <w:szCs w:val="20"/>
        </w:rPr>
        <w:t>(1) Centralni depo je centralni register ali druga evidenca imetnikov nematerializiranih finančnih instrumentov:</w:t>
      </w:r>
    </w:p>
    <w:p w14:paraId="419F4120" w14:textId="77777777" w:rsidR="0001341E" w:rsidRPr="004319E8" w:rsidRDefault="0001341E" w:rsidP="0001341E">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      ki jo vodi posamezna oseba (v nadaljnjem besedilu: centralni depozitar) v skladu s predpisi države, na območju katere je ustanovljen ta depo, in</w:t>
      </w:r>
    </w:p>
    <w:p w14:paraId="15924910" w14:textId="77777777" w:rsidR="0001341E" w:rsidRPr="004319E8" w:rsidRDefault="0001341E" w:rsidP="0001341E">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vpisi v katero imajo pravne učinke neposredno v razmerju do izdajatelja teh finančnih instrumentov in do tretjih oseb, tako da se imetnik računa, pri katerem so vpisani ti finančni instrumenti, šteje za zakonitega imetnika teh finančnih instrumentov.</w:t>
      </w:r>
    </w:p>
    <w:p w14:paraId="28099586" w14:textId="77777777" w:rsidR="0001341E" w:rsidRPr="004319E8" w:rsidRDefault="0001341E" w:rsidP="0001341E">
      <w:pPr>
        <w:pStyle w:val="zamik"/>
        <w:spacing w:before="210" w:after="210"/>
        <w:jc w:val="both"/>
        <w:rPr>
          <w:rFonts w:ascii="Arial" w:eastAsia="Arial" w:hAnsi="Arial" w:cs="Arial"/>
          <w:sz w:val="20"/>
          <w:szCs w:val="20"/>
        </w:rPr>
      </w:pPr>
      <w:r w:rsidRPr="004319E8">
        <w:rPr>
          <w:rFonts w:ascii="Arial" w:eastAsia="Arial" w:hAnsi="Arial" w:cs="Arial"/>
          <w:sz w:val="20"/>
          <w:szCs w:val="20"/>
        </w:rPr>
        <w:t>(2) </w:t>
      </w:r>
      <w:proofErr w:type="spellStart"/>
      <w:r w:rsidRPr="004319E8">
        <w:rPr>
          <w:rFonts w:ascii="Arial" w:eastAsia="Arial" w:hAnsi="Arial" w:cs="Arial"/>
          <w:sz w:val="20"/>
          <w:szCs w:val="20"/>
        </w:rPr>
        <w:t>Poddepo</w:t>
      </w:r>
      <w:proofErr w:type="spellEnd"/>
      <w:r w:rsidRPr="004319E8">
        <w:rPr>
          <w:rFonts w:ascii="Arial" w:eastAsia="Arial" w:hAnsi="Arial" w:cs="Arial"/>
          <w:sz w:val="20"/>
          <w:szCs w:val="20"/>
        </w:rPr>
        <w:t xml:space="preserve"> je evidenca imetnikov nematerializiranih finančnih instrumentov:</w:t>
      </w:r>
    </w:p>
    <w:p w14:paraId="12B9FDB0" w14:textId="77777777" w:rsidR="0001341E" w:rsidRPr="004319E8" w:rsidRDefault="0001341E" w:rsidP="0001341E">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ki ni centralni depo,</w:t>
      </w:r>
    </w:p>
    <w:p w14:paraId="044611C6" w14:textId="77777777" w:rsidR="0001341E" w:rsidRPr="004319E8" w:rsidRDefault="0001341E" w:rsidP="0001341E">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ki jo vodi borznoposredniška družba, banka, investicijsko podjetje ali druga oseba (v nadaljnjem besedilu: </w:t>
      </w:r>
      <w:proofErr w:type="spellStart"/>
      <w:r w:rsidRPr="004319E8">
        <w:rPr>
          <w:rFonts w:ascii="Arial" w:eastAsia="Arial" w:hAnsi="Arial" w:cs="Arial"/>
          <w:sz w:val="20"/>
          <w:szCs w:val="20"/>
        </w:rPr>
        <w:t>poddepozitar</w:t>
      </w:r>
      <w:proofErr w:type="spellEnd"/>
      <w:r w:rsidRPr="004319E8">
        <w:rPr>
          <w:rFonts w:ascii="Arial" w:eastAsia="Arial" w:hAnsi="Arial" w:cs="Arial"/>
          <w:sz w:val="20"/>
          <w:szCs w:val="20"/>
        </w:rPr>
        <w:t xml:space="preserve">)  v skladu s predpisi države, na območju katere je ustanovljen ta </w:t>
      </w:r>
      <w:proofErr w:type="spellStart"/>
      <w:r w:rsidRPr="004319E8">
        <w:rPr>
          <w:rFonts w:ascii="Arial" w:eastAsia="Arial" w:hAnsi="Arial" w:cs="Arial"/>
          <w:sz w:val="20"/>
          <w:szCs w:val="20"/>
        </w:rPr>
        <w:t>poddepo</w:t>
      </w:r>
      <w:proofErr w:type="spellEnd"/>
      <w:r w:rsidRPr="004319E8">
        <w:rPr>
          <w:rFonts w:ascii="Arial" w:eastAsia="Arial" w:hAnsi="Arial" w:cs="Arial"/>
          <w:sz w:val="20"/>
          <w:szCs w:val="20"/>
        </w:rPr>
        <w:t>,</w:t>
      </w:r>
    </w:p>
    <w:p w14:paraId="0F247B53" w14:textId="77777777" w:rsidR="0001341E" w:rsidRPr="004319E8" w:rsidRDefault="0001341E" w:rsidP="0001341E">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vpisi v katero nimajo pravnih učinkov neposredno v razmerju do izdajatelja teh finančnih instrumentov in centralnega depozitarja in</w:t>
      </w:r>
    </w:p>
    <w:p w14:paraId="059BE0F1" w14:textId="77777777" w:rsidR="0001341E" w:rsidRPr="004319E8" w:rsidRDefault="0001341E" w:rsidP="0001341E">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vpisi v katero imajo pravne učinke v razmerju do </w:t>
      </w:r>
      <w:proofErr w:type="spellStart"/>
      <w:r w:rsidRPr="004319E8">
        <w:rPr>
          <w:rFonts w:ascii="Arial" w:eastAsia="Arial" w:hAnsi="Arial" w:cs="Arial"/>
          <w:sz w:val="20"/>
          <w:szCs w:val="20"/>
        </w:rPr>
        <w:t>poddepozitarja</w:t>
      </w:r>
      <w:proofErr w:type="spellEnd"/>
      <w:r w:rsidRPr="004319E8">
        <w:rPr>
          <w:rFonts w:ascii="Arial" w:eastAsia="Arial" w:hAnsi="Arial" w:cs="Arial"/>
          <w:sz w:val="20"/>
          <w:szCs w:val="20"/>
        </w:rPr>
        <w:t xml:space="preserve"> tako, da v tem razmerju z vpisom v </w:t>
      </w:r>
      <w:proofErr w:type="spellStart"/>
      <w:r w:rsidRPr="004319E8">
        <w:rPr>
          <w:rFonts w:ascii="Arial" w:eastAsia="Arial" w:hAnsi="Arial" w:cs="Arial"/>
          <w:sz w:val="20"/>
          <w:szCs w:val="20"/>
        </w:rPr>
        <w:t>poddepo</w:t>
      </w:r>
      <w:proofErr w:type="spellEnd"/>
      <w:r w:rsidRPr="004319E8">
        <w:rPr>
          <w:rFonts w:ascii="Arial" w:eastAsia="Arial" w:hAnsi="Arial" w:cs="Arial"/>
          <w:sz w:val="20"/>
          <w:szCs w:val="20"/>
        </w:rPr>
        <w:t xml:space="preserve"> nastane pravica stranke zahtevati od </w:t>
      </w:r>
      <w:proofErr w:type="spellStart"/>
      <w:r w:rsidRPr="004319E8">
        <w:rPr>
          <w:rFonts w:ascii="Arial" w:eastAsia="Arial" w:hAnsi="Arial" w:cs="Arial"/>
          <w:sz w:val="20"/>
          <w:szCs w:val="20"/>
        </w:rPr>
        <w:t>poddepozitarja</w:t>
      </w:r>
      <w:proofErr w:type="spellEnd"/>
      <w:r w:rsidRPr="004319E8">
        <w:rPr>
          <w:rFonts w:ascii="Arial" w:eastAsia="Arial" w:hAnsi="Arial" w:cs="Arial"/>
          <w:sz w:val="20"/>
          <w:szCs w:val="20"/>
        </w:rPr>
        <w:t>, da za njen račun uresničuje pravice iz teh finančnih instrumentov in da po njenem nalogu za njen račun razpolaga s temi finančnimi instrumenti.</w:t>
      </w:r>
    </w:p>
    <w:p w14:paraId="2629107E" w14:textId="03EE7A27" w:rsidR="0001341E" w:rsidRPr="004319E8" w:rsidRDefault="0001341E" w:rsidP="0001341E">
      <w:pPr>
        <w:pStyle w:val="zamik"/>
        <w:spacing w:before="210" w:after="210"/>
        <w:jc w:val="both"/>
        <w:rPr>
          <w:rFonts w:ascii="Arial" w:eastAsia="Arial" w:hAnsi="Arial" w:cs="Arial"/>
          <w:sz w:val="20"/>
          <w:szCs w:val="20"/>
        </w:rPr>
      </w:pPr>
      <w:r w:rsidRPr="004319E8">
        <w:rPr>
          <w:rFonts w:ascii="Arial" w:eastAsia="Arial" w:hAnsi="Arial" w:cs="Arial"/>
          <w:sz w:val="20"/>
          <w:szCs w:val="20"/>
        </w:rPr>
        <w:t xml:space="preserve">(3) Prvi in drugi odstavek tega člena se smiselno uporabljata tudi za finančne instrumente, izdane kot pisne listine, ki so v zbirni hrambi v centralnem depoju oziroma </w:t>
      </w:r>
      <w:proofErr w:type="spellStart"/>
      <w:r w:rsidRPr="004319E8">
        <w:rPr>
          <w:rFonts w:ascii="Arial" w:eastAsia="Arial" w:hAnsi="Arial" w:cs="Arial"/>
          <w:sz w:val="20"/>
          <w:szCs w:val="20"/>
        </w:rPr>
        <w:t>poddepoju</w:t>
      </w:r>
      <w:proofErr w:type="spellEnd"/>
      <w:r w:rsidRPr="004319E8">
        <w:rPr>
          <w:rFonts w:ascii="Arial" w:eastAsia="Arial" w:hAnsi="Arial" w:cs="Arial"/>
          <w:sz w:val="20"/>
          <w:szCs w:val="20"/>
        </w:rPr>
        <w:t>.</w:t>
      </w:r>
    </w:p>
    <w:p w14:paraId="61ACB7C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59. člen</w:t>
      </w:r>
    </w:p>
    <w:p w14:paraId="3A13D078"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(opravljanje investicijskih storitev in poslov ter pomožnih investicijskih storitev iz 1. točke prvega odstavka 19. člena tega zakona)</w:t>
      </w:r>
    </w:p>
    <w:p w14:paraId="253170C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V Republiki Sloveniji lahko investicijske storitve in posle opravlja:</w:t>
      </w:r>
    </w:p>
    <w:p w14:paraId="74BF317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borznoposredniška družba, ki za to pridobi dovoljenje agencije,</w:t>
      </w:r>
    </w:p>
    <w:p w14:paraId="65D9998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investicijsko podjetje države članice, ki ni banka ali posebna finančna institucija in v skladu s tem zakonom ustanovi podružnico v Republiki Sloveniji oziroma je v skladu s tem zakonom upravičena neposredno opravljati investicijske storitve in posle v Republiki Sloveniji,</w:t>
      </w:r>
    </w:p>
    <w:p w14:paraId="67E33D6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investicijsko podjetje tretje države, ki ni banka in pridobi dovoljenje agencije za ustanovitev podružnice v Republiki Sloveniji.</w:t>
      </w:r>
    </w:p>
    <w:p w14:paraId="13B6D00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V Republiki Sloveniji lahko investicijske storitve in posle opravlja tudi:</w:t>
      </w:r>
    </w:p>
    <w:p w14:paraId="6757D7A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banka, ki za to pridobi dovoljenje Banke Slovenije,</w:t>
      </w:r>
    </w:p>
    <w:p w14:paraId="2FF877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banka ali posebna finančna institucija države članice, ki v skladu z ZBan-3 ustanovi podružnico v Republiki Sloveniji oziroma je v skladu z ZBan-3 upravičena neposredno opravljati investicijske storitve in posle v Republiki Sloveniji,</w:t>
      </w:r>
    </w:p>
    <w:p w14:paraId="6A09BFE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banka tretje države, ki v skladu z ZBan-3 pridobi dovoljenje za ustanovitev podružnice v Republiki Sloveniji ter je v skladu z ZBan-3 upravičena opravljati investicijske storitve in posle.</w:t>
      </w:r>
    </w:p>
    <w:p w14:paraId="1313C2B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(3) V Republiki Sloveniji lahko investicijske storitve in posle v zvezi z upravljanjem MTF ali OTF opravlja tudi upravljavec organiziranega trga, ki izpolnjuje pogoje iz prvega odstavka tega člena.</w:t>
      </w:r>
    </w:p>
    <w:p w14:paraId="78215FA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V Republiki Sloveniji lahko:</w:t>
      </w:r>
    </w:p>
    <w:p w14:paraId="335FC24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družba za upravljanje oziroma družba za upravljanje države članice opravlja investicijsko storitev gospodarjenja s finančnimi instrumenti in pomožne storitve investicijskega svetovanja v zvezi s finančnimi instrumenti ter hrambo in administrativne storitve v zvezi z enotami investicijskih skladov, če je za opravljanje teh storitev pridobila dovoljenje agencije v skladu z zakonom, ki ureja družbe za upravljanje, in</w:t>
      </w:r>
    </w:p>
    <w:p w14:paraId="7BAD804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upravljavec AIS oziroma upravljavec AIS države članice opravlja investicijsko storitev gospodarjenja s finančnimi instrumenti in pomožne storitve investicijskega svetovanja, hrambo in administrativne storitve v zvezi z enotami investicijskih skladov ter sprejemanje in posredovanje naročil v zvezi z enim ali več finančnimi instrumenti, če je za opravljanje teh storitev pridobil dovoljenje agencije v skladu z zakonom, ki ureja upravljavce alternativnih investicijskih skladov.</w:t>
      </w:r>
    </w:p>
    <w:p w14:paraId="4A1FE7A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Investicijske storitve in posle lahko opravljajo tudi osebe iz prvega odstavka 62. člena tega zakona, in sicer v obsegu, ki ga določa prvi odstavek 62. člena tega zakona.</w:t>
      </w:r>
    </w:p>
    <w:p w14:paraId="45060DC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V Republiki Sloveniji lahko pomožne investicijske storitve iz 1. točke prvega odstavka 19. člena tega zakona kot samostojno storitev opravljajo le osebe iz prvega ali drugega odstavka tega člena.</w:t>
      </w:r>
    </w:p>
    <w:p w14:paraId="144BD35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(7) Osebe iz prvega in drugega odstavka tega člena, ki organizirano, pogosto, sistematično in v znatni meri poslujejo za svoj račun pri izvrševanju naročil strank zunaj organiziranega trga, MTF ali OTF, ravnajo skladno z določbami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glede preglednosti za sistematične </w:t>
      </w:r>
      <w:proofErr w:type="spellStart"/>
      <w:r w:rsidRPr="004319E8">
        <w:rPr>
          <w:rFonts w:ascii="Arial" w:eastAsia="Arial" w:hAnsi="Arial" w:cs="Arial"/>
          <w:sz w:val="20"/>
          <w:szCs w:val="20"/>
        </w:rPr>
        <w:t>internalizatorje</w:t>
      </w:r>
      <w:proofErr w:type="spellEnd"/>
      <w:r w:rsidRPr="004319E8">
        <w:rPr>
          <w:rFonts w:ascii="Arial" w:eastAsia="Arial" w:hAnsi="Arial" w:cs="Arial"/>
          <w:sz w:val="20"/>
          <w:szCs w:val="20"/>
        </w:rPr>
        <w:t xml:space="preserve"> in investicijska podjetja, ki trgujejo na OTC.</w:t>
      </w:r>
    </w:p>
    <w:p w14:paraId="3BF7FCC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60. člen</w:t>
      </w:r>
    </w:p>
    <w:p w14:paraId="33A983B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(uporaba zakona za banke)</w:t>
      </w:r>
    </w:p>
    <w:p w14:paraId="092F9F8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Za banke, ki v skladu s 1. točko drugega odstavka 59. člena tega zakona opravljajo investicijske storitve in posle v Republiki Sloveniji, se smiselno uporabljajo:</w:t>
      </w:r>
    </w:p>
    <w:p w14:paraId="0308154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določba o sistematičnem </w:t>
      </w:r>
      <w:proofErr w:type="spellStart"/>
      <w:r w:rsidRPr="004319E8">
        <w:rPr>
          <w:rFonts w:ascii="Arial" w:eastAsia="Arial" w:hAnsi="Arial" w:cs="Arial"/>
          <w:sz w:val="20"/>
          <w:szCs w:val="20"/>
        </w:rPr>
        <w:t>internalizatorju</w:t>
      </w:r>
      <w:proofErr w:type="spellEnd"/>
      <w:r w:rsidRPr="004319E8">
        <w:rPr>
          <w:rFonts w:ascii="Arial" w:eastAsia="Arial" w:hAnsi="Arial" w:cs="Arial"/>
          <w:sz w:val="20"/>
          <w:szCs w:val="20"/>
        </w:rPr>
        <w:t xml:space="preserve"> iz četrtega odstavka 34. člena tega zakona,</w:t>
      </w:r>
    </w:p>
    <w:p w14:paraId="682400D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za prenehanje opravljanja investicijskih storitev in poslov: tretji in četrti odstavek 187. člena tega zakona,</w:t>
      </w:r>
    </w:p>
    <w:p w14:paraId="4841ABC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za izdajo dovoljenja za opravljanje investicijskih storitev in poslov: 198. člen in 5. točka prvega odstavka ter tretji, četrti in peti odstavek 200. člena tega zakona,</w:t>
      </w:r>
    </w:p>
    <w:p w14:paraId="1A67B01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določbe o odvisnih borznoposredniških zastopnikih iz 203. do 207. člena tega zakona,</w:t>
      </w:r>
    </w:p>
    <w:p w14:paraId="16DAF7B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določbe o posebnih pravilih za MTF in OTF iz 208. člena tega zakona,</w:t>
      </w:r>
    </w:p>
    <w:p w14:paraId="695DD20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določbe 7. poglavja razen 240. člena, četrtega odstavka 279. člena, tretjega odstavka 286. člena in drugega odstavka 307. člena tega zakona,</w:t>
      </w:r>
    </w:p>
    <w:p w14:paraId="4F4FAA1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določbe 8. poglavja tega zakona,</w:t>
      </w:r>
    </w:p>
    <w:p w14:paraId="3E3C1F4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8.      peti odstavek 347. člena, 348. in 350. člen tega zakona,</w:t>
      </w:r>
    </w:p>
    <w:p w14:paraId="2387A24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določbe 11. poglavja tega zakona, ki se nanašajo na člane borze,</w:t>
      </w:r>
    </w:p>
    <w:p w14:paraId="256886C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določbe 13. poglavja tega zakona, ki se nanašajo na člane CDD.</w:t>
      </w:r>
    </w:p>
    <w:p w14:paraId="36087BF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Za banke in posebne finančne institucije držav članic, ki v skladu z 2. točko drugega odstavka 59. člena tega zakona opravljajo investicijske storitve in posle v Republiki Sloveniji, se smiselno uporabljata 211. člen in 341. člen tega zakona.</w:t>
      </w:r>
    </w:p>
    <w:p w14:paraId="7E8827C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Za banke tretjih držav, ki v skladu s 3. točko drugega odstavka 59. člena tega zakona opravljajo investicijske storitve in posle v Republiki Sloveniji, se smiselno uporabljajo 215. do 218. člen tega zakona.</w:t>
      </w:r>
    </w:p>
    <w:p w14:paraId="486B5CA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Pri smiselni uporabi prvega, drugega in tretjega odstavka tega člena se:</w:t>
      </w:r>
    </w:p>
    <w:p w14:paraId="59CE5EA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namesto pojma »borznoposredniška družba« in pojma »investicijsko podjetje« uporablja pojem »banka« oziroma »posebna finančna institucija«,</w:t>
      </w:r>
    </w:p>
    <w:p w14:paraId="5D11899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namesto pojma »agencija« uporablja pojem »Banka Slovenije« razen pri uporabi:</w:t>
      </w:r>
    </w:p>
    <w:p w14:paraId="04D8B27D"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določb, ki pooblaščajo agencijo za izdajo podzakonskih aktov,</w:t>
      </w:r>
    </w:p>
    <w:p w14:paraId="08441B36"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7. in 8. poglavja tega zakona in</w:t>
      </w:r>
    </w:p>
    <w:p w14:paraId="37D4AA21"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petega odstavka 347. člena, 348. in 350. člena tega zakona.</w:t>
      </w:r>
    </w:p>
    <w:p w14:paraId="748F80B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Za banke, ki v skladu z drugim odstavkom 59. člena tega zakona opravljajo investicijske storitve in posle v Republiki Sloveniji, se 14. poglavje tega zakona uporablja neposredno.</w:t>
      </w:r>
    </w:p>
    <w:p w14:paraId="4049C65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Za izdajo dovoljenj za opravljanje investicijskih storitev in poslov ter za nadzor nad opravljanjem investicijskih storitev in poslov, ki jih opravlja banka ali posebna finančna institucija iz drugega odstavka 59. člena tega zakona, se uporablja ZBan-3, če ni v drugem, tretjem in sedmem do devetem odstavku tega člena določeno drugače.</w:t>
      </w:r>
    </w:p>
    <w:p w14:paraId="694A098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Nadzor nad poslovanjem banke, banke in posebne finančne institucije držav članic in banke tretje države glede investicijskih storitev in poslov opravlja agencija v sodelovanju z Banko Slovenije.</w:t>
      </w:r>
    </w:p>
    <w:p w14:paraId="585CAD2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Pri opravljanju nadzora po prejšnjem odstavku lahko agencija izreče naslednje nadzorne ukrepe:</w:t>
      </w:r>
    </w:p>
    <w:p w14:paraId="766A951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odredi odpravo kršitev in</w:t>
      </w:r>
    </w:p>
    <w:p w14:paraId="71E685D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izreče dodatne nadzorne ukrepe iz 348. člena tega zakona.</w:t>
      </w:r>
    </w:p>
    <w:p w14:paraId="33A99E4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(9) Če agencija pri opravljanju nadzora po sedmem odstavku tega člena ugotovi, da obstaja razlog za odvzem dovoljenja za opravljanje investicijskih storitev in poslov, mora o tem obvestiti Banko Slovenije.</w:t>
      </w:r>
    </w:p>
    <w:p w14:paraId="0D2A493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(10) Prvi do deveti odstavek tega člena se ne uporablja za banko, banko in posebno finančno institucijo države članice in banko tretje države, ki ima položaj osebe iz 62. člena tega zakona.</w:t>
      </w:r>
    </w:p>
    <w:p w14:paraId="09DBF77A" w14:textId="77777777" w:rsidR="00345774" w:rsidRPr="004319E8" w:rsidRDefault="00345774" w:rsidP="00345774">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61. člen</w:t>
      </w:r>
    </w:p>
    <w:p w14:paraId="56B1A9FB" w14:textId="77777777" w:rsidR="00345774" w:rsidRPr="004319E8" w:rsidRDefault="00345774" w:rsidP="00345774">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(uporaba zakona za opravljanje storitev v zvezi s strukturiranimi vlogami)</w:t>
      </w:r>
    </w:p>
    <w:p w14:paraId="78D2F7E5" w14:textId="77777777"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(1) Za borznoposredniške družbe in banke se smiselno uporabljajo naslednje določbe tega zakona, kadar strankam prodajajo strukturirane vloge ali jim svetujejo v zvezi z njimi:</w:t>
      </w:r>
    </w:p>
    <w:p w14:paraId="507CF3BE" w14:textId="77777777" w:rsidR="00345774" w:rsidRPr="004319E8" w:rsidRDefault="00345774" w:rsidP="00345774">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šesti in sedmi odstavek 185. člena, 232., 233., 237. in 313. člen ter prvi odstavek 450. člena tega zakona;</w:t>
      </w:r>
    </w:p>
    <w:p w14:paraId="649F9B0F" w14:textId="77777777" w:rsidR="00345774" w:rsidRPr="004319E8" w:rsidRDefault="00345774" w:rsidP="00345774">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250. do 260. člen, 5. točka prvega odstavka 261. člena, drugi odstavek 344. člena, 272., 273., 276., 278, 279., razen četrtega odstavka 279. člena in 280. člen tega zakona, in</w:t>
      </w:r>
    </w:p>
    <w:p w14:paraId="5A0C82E3" w14:textId="77777777" w:rsidR="00345774" w:rsidRPr="004319E8" w:rsidRDefault="00345774" w:rsidP="00345774">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48. člen, sedmi do deveti odstavek 60. člena, prvi odstavek 322. člena, tretji odstavek 422. člena, 328., 340. do 342., 346., 347, 350., 348., 357., 358, 489. člen tega zakona ter 15. in 16. poglavje tega zakona.</w:t>
      </w:r>
    </w:p>
    <w:p w14:paraId="0A395F04" w14:textId="0B3109DF"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(2) Nadzor nad določbami iz prejšnjega odstavka opravlja Banka Slovenije v sodelovanju z agencijo. Za nadzor, ki ga opravlja Banka Slovenije, se smiselno uporabljajo določbe 10. poglavja tega zakona.</w:t>
      </w:r>
    </w:p>
    <w:p w14:paraId="2A48602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62. člen</w:t>
      </w:r>
    </w:p>
    <w:p w14:paraId="359DC4CF"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(izjeme)</w:t>
      </w:r>
    </w:p>
    <w:p w14:paraId="009410B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Določbe tega zakona o opravljanju investicijskih storitev in poslov, razen 330., 331. in 332. člena tega zakona, se ne uporabljajo za:</w:t>
      </w:r>
    </w:p>
    <w:p w14:paraId="4B521C5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zavarovalnice in pozavarovalnice,</w:t>
      </w:r>
    </w:p>
    <w:p w14:paraId="28150F1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osebe, ki opravljajo investicijske storitve in posle izključno za svoje nadrejene družbe, za svoje podrejene družbe ali za druge podrejene družbe svojih nadrejenih družb,</w:t>
      </w:r>
    </w:p>
    <w:p w14:paraId="4AF1BFF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osebe, ki opravljajo investicijske storitve in posle občasno pri opravljanju svoje redne dejavnosti ali poklica, če so izpolnjeni naslednji pogoji:</w:t>
      </w:r>
    </w:p>
    <w:p w14:paraId="375E97A3"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opravljanje te dejavnosti ali poklica je urejeno s pravili, določenimi z zakonom, drugim predpisom ali kodeksom etike, in</w:t>
      </w:r>
    </w:p>
    <w:p w14:paraId="42EC1C6F"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pravila iz prejšnje alineje ne prepovedujejo opravljanja investicijskih storitev in poslov,</w:t>
      </w:r>
    </w:p>
    <w:p w14:paraId="770BAE7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osebe, ki poslujejo samo za svoj račun, s finančnimi instrumenti, ki niso izvedeni finančni instrumenti na blago, emisijski kuponi ali izvedeni finančni instrumenti na emisijske kupone, razen če:</w:t>
      </w:r>
    </w:p>
    <w:p w14:paraId="16309A12"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nastopajo kot vzdrževalci trga,</w:t>
      </w:r>
    </w:p>
    <w:p w14:paraId="619356D0"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so člani ali udeleženci organiziranega trga oziroma MTF ali imajo neposredni elektronski dostop do mesta trgovanja, razen če gre za nefinančne subjekte, ki izvršujejo posle na mestu trgovanja, ki po objektivnih merilih zmanjšujejo tveganja, neposredno povezana s poslovno dejavnostjo ali dejavnostjo financiranja zakladnice teh nefinančnih subjektov ali njihovih skupin,</w:t>
      </w:r>
    </w:p>
    <w:p w14:paraId="6C766531"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uporabljajo tehniko visokofrekvenčnega algoritemskega trgovanja ali</w:t>
      </w:r>
    </w:p>
    <w:p w14:paraId="1514FDC4"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lastRenderedPageBreak/>
        <w:t>-  poslujejo za svoj račun pri izvrševanju naročil strank, pri čemer velja izjema po tem členu za osebe iz 1., 9. in 10. točke prvega odstavka tega člena ne glede na pogoje iz te točke,</w:t>
      </w:r>
    </w:p>
    <w:p w14:paraId="6158108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upravljavce, ki izpolnjujejo zahteve iz 6. poglavja ZVO-1, in pri trgovanju z emisijskimi kuponi ne izvršujejo naročil strank in ne opravljajo drugih investicijskih storitev in poslov, razen trgovanja za svoj račun, pri čemer ne uporabljajo tehnike visokofrekvenčnega algoritemskega trgovanja,</w:t>
      </w:r>
    </w:p>
    <w:p w14:paraId="0A7E2FE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osebe, ki opravljajo investicijske storitve in posle, ki zajemajo samo upravljanje programov udeležbe zaposlenih,</w:t>
      </w:r>
    </w:p>
    <w:p w14:paraId="26019C1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osebe, ki opravljajo investicijske storitve in posle, ki zajemajo samo upravljanje programov udeležbe zaposlenih in zagotavljanje investicijskih storitev in poslov izključno za lastne nadrejene družbe, za lastne podrejene družbe ali za druge podrejene družbe lastnih nadrejenih družb,</w:t>
      </w:r>
    </w:p>
    <w:p w14:paraId="26CE2E5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8.      člane evropskega sistema centralnih bank (v nadaljnjem besedilu: ESCB) in druge nacionalne subjekte, ki opravljajo podobne naloge, druge osebe javnega prava, ki so odgovorne za upravljanje javnega dolga ali posredujejo pri tem upravljanju, ter mednarodne finančne institucije, ki jih ustanovita dve ali več držav članic in katerih namen je zagotoviti financiranje oziroma finančno pomoč za svoje članice, ki imajo ali jim grozijo resne finančne težave,</w:t>
      </w:r>
    </w:p>
    <w:p w14:paraId="4ED5AA5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investicijske sklade po zakonu, ki ureja investicijske sklade in družbe za upravljanje, ter pokojninske sklade po zakonu, ki ureja pokojninsko in invalidsko zavarovanje, ali druge kolektivne naložbene podjeme in pokojninske sklade, ne glede na to, ali so usklajeni na ravni EU ali ne, ter skrbnike oziroma skrbnice in upravljavce takih podjemov,</w:t>
      </w:r>
    </w:p>
    <w:p w14:paraId="75F4651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vzdrževalce trga in druge osebe, ki poslujejo za svoj račun z izvedenimi finančnimi instrumenti na blago, emisijskimi kuponi ali izvedenimi finančnimi instrumenti na emisijske kupone, razen če poslujejo za svoj račun pri izvrševanju naročil strank, ali osebe, ki opravljajo investicijske storitve in posle, razen poslovanja za svoj račun, v zvezi z izvedenimi finančnimi instrumenti na blago, emisijskimi kuponi ali izvedenimi finančnimi instrumenti na emisijske kupone za stranke iz svoje redne dejavnosti, če:</w:t>
      </w:r>
    </w:p>
    <w:p w14:paraId="3BD6A72D"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opravljanje teh investicijskih storitev in poslov v vsakem od teh primerov posamezno ali po presoji glede na celotno skupino pomeni pomožno dejavnost njihovi redni dejavnosti,</w:t>
      </w:r>
    </w:p>
    <w:p w14:paraId="34D84D61"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te osebe niso del skupine, katere redna dejavnost je opravljanje investicijskih storitev in poslov po tem zakonu, bančnih storitev po ZBan-3 oziroma izvajanje dejavnosti vzdrževalca trga v zvezi z izvedenimi finančnimi instrumenti na blago,</w:t>
      </w:r>
    </w:p>
    <w:p w14:paraId="691D4885"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ne uporabljajo tehnike visokofrekvenčnega algoritemskega trgovanja ter</w:t>
      </w:r>
    </w:p>
    <w:p w14:paraId="2373FEB2"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 uporabi izjeme letno obveščajo pristojni nadzorni organ in na zahtevo poročajo pristojnemu nadzornemu organu, zakaj je njihova dejavnost, ob upoštevanju pogojev iz te točke, pomožna dejavnost k redni dejavnosti,</w:t>
      </w:r>
    </w:p>
    <w:p w14:paraId="33FEA71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11.   osebe, ki opravljajo investicijsko svetovanje v zvezi z opravljanjem drugih storitev v okviru svoje redne dejavnosti ali poklica, če:</w:t>
      </w:r>
    </w:p>
    <w:p w14:paraId="4B5DE312"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se za te druge storitve ne uporabljajo določbe tega zakona o opravljanju investicijskih storitev in poslov ter</w:t>
      </w:r>
    </w:p>
    <w:p w14:paraId="6BDCF3B7"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za tako investicijsko svetovanje ne zaračunavajo posebnega plačila,</w:t>
      </w:r>
    </w:p>
    <w:p w14:paraId="167EACF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12.   operaterje prenosnega sistema iz 26. točke 4. člena EZ-1 oziroma osebe, ki delujejo kot izvajalci storitev v imenu operaterja prenosnega sistema, pri opravljanju dejavnosti v skladu z določbami EZ-1, </w:t>
      </w:r>
      <w:r w:rsidR="00801FB2" w:rsidRPr="004319E8">
        <w:rPr>
          <w:rFonts w:ascii="Arial" w:eastAsia="Arial" w:hAnsi="Arial" w:cs="Arial"/>
          <w:color w:val="0000EE"/>
          <w:sz w:val="20"/>
          <w:szCs w:val="20"/>
          <w:u w:val="single" w:color="0000EE"/>
        </w:rPr>
        <w:t>Uredbe 714/2009/ES</w:t>
      </w:r>
      <w:r w:rsidRPr="004319E8">
        <w:rPr>
          <w:rFonts w:ascii="Arial" w:eastAsia="Arial" w:hAnsi="Arial" w:cs="Arial"/>
          <w:sz w:val="20"/>
          <w:szCs w:val="20"/>
        </w:rPr>
        <w:t xml:space="preserve"> in </w:t>
      </w:r>
      <w:r w:rsidR="00801FB2" w:rsidRPr="004319E8">
        <w:rPr>
          <w:rFonts w:ascii="Arial" w:eastAsia="Arial" w:hAnsi="Arial" w:cs="Arial"/>
          <w:color w:val="0000EE"/>
          <w:sz w:val="20"/>
          <w:szCs w:val="20"/>
          <w:u w:val="single" w:color="0000EE"/>
        </w:rPr>
        <w:t>Uredbe 715/2009/ES</w:t>
      </w:r>
      <w:r w:rsidRPr="004319E8">
        <w:rPr>
          <w:rFonts w:ascii="Arial" w:eastAsia="Arial" w:hAnsi="Arial" w:cs="Arial"/>
          <w:sz w:val="20"/>
          <w:szCs w:val="20"/>
        </w:rPr>
        <w:t xml:space="preserve"> ter kodeksov omrežij ali smernic, sprejetih na podlagi navedenih uredb, in operaterje ali upravitelje mehanizma za </w:t>
      </w:r>
      <w:r w:rsidRPr="004319E8">
        <w:rPr>
          <w:rFonts w:ascii="Arial" w:eastAsia="Arial" w:hAnsi="Arial" w:cs="Arial"/>
          <w:sz w:val="20"/>
          <w:szCs w:val="20"/>
        </w:rPr>
        <w:lastRenderedPageBreak/>
        <w:t>energetsko ravnovesje, plinovodnega omrežja ali sistema, ki ohranja ravnovesje dobave in porabe energije pri opravljanju takih nalog, če opravljajo investicijske storitve in posle v zvezi z izvedenimi finančnimi instrumenti na blago za namen opravljanja svoje dejavnosti, pri čemer ta izjema ne velja za sekundarni trg, vključno s platformo za sekundarno trgovanje s finančno vrednotenimi pravicami prenosa električne energije (v nadaljnjem besedilu: FTR),</w:t>
      </w:r>
    </w:p>
    <w:p w14:paraId="14BD5DF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13.   CDD, razen če 73. člen </w:t>
      </w:r>
      <w:r w:rsidR="00801FB2"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 xml:space="preserve"> določa drugače,</w:t>
      </w:r>
    </w:p>
    <w:p w14:paraId="3FCA79F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14.   ponudnike storitev množičnega financiranja, kot so opredeljeni v točki (e) prvega odstavka 2. člena </w:t>
      </w:r>
      <w:r w:rsidR="00801FB2" w:rsidRPr="004319E8">
        <w:rPr>
          <w:rFonts w:ascii="Arial" w:eastAsia="Arial" w:hAnsi="Arial" w:cs="Arial"/>
          <w:color w:val="0000EE"/>
          <w:sz w:val="20"/>
          <w:szCs w:val="20"/>
          <w:u w:val="single" w:color="0000EE"/>
        </w:rPr>
        <w:t>Uredbe 2020/1503</w:t>
      </w:r>
      <w:r w:rsidRPr="004319E8">
        <w:rPr>
          <w:rFonts w:ascii="Arial" w:eastAsia="Arial" w:hAnsi="Arial" w:cs="Arial"/>
          <w:sz w:val="20"/>
          <w:szCs w:val="20"/>
        </w:rPr>
        <w:t xml:space="preserve"> Evropskega parlamenta in Sveta z dne 7. oktobra 2020 o evropskih ponudnikih storitev množičnega financiranja za podjetnike ter spremembi </w:t>
      </w:r>
      <w:r w:rsidR="00801FB2" w:rsidRPr="004319E8">
        <w:rPr>
          <w:rFonts w:ascii="Arial" w:eastAsia="Arial" w:hAnsi="Arial" w:cs="Arial"/>
          <w:color w:val="0000EE"/>
          <w:sz w:val="20"/>
          <w:szCs w:val="20"/>
          <w:u w:val="single" w:color="0000EE"/>
        </w:rPr>
        <w:t>Uredbe (EU) 2017/1129</w:t>
      </w:r>
      <w:r w:rsidRPr="004319E8">
        <w:rPr>
          <w:rFonts w:ascii="Arial" w:eastAsia="Arial" w:hAnsi="Arial" w:cs="Arial"/>
          <w:sz w:val="20"/>
          <w:szCs w:val="20"/>
        </w:rPr>
        <w:t xml:space="preserve"> in </w:t>
      </w:r>
      <w:r w:rsidR="00801FB2" w:rsidRPr="004319E8">
        <w:rPr>
          <w:rFonts w:ascii="Arial" w:eastAsia="Arial" w:hAnsi="Arial" w:cs="Arial"/>
          <w:color w:val="0000EE"/>
          <w:sz w:val="20"/>
          <w:szCs w:val="20"/>
          <w:u w:val="single" w:color="0000EE"/>
        </w:rPr>
        <w:t>Direktive (EU) 2019/1937</w:t>
      </w:r>
      <w:r w:rsidRPr="004319E8">
        <w:rPr>
          <w:rFonts w:ascii="Arial" w:eastAsia="Arial" w:hAnsi="Arial" w:cs="Arial"/>
          <w:sz w:val="20"/>
          <w:szCs w:val="20"/>
        </w:rPr>
        <w:t xml:space="preserve"> (UL L št. 347 z dne 20. 10. 2020, str. 1).</w:t>
      </w:r>
    </w:p>
    <w:p w14:paraId="55B6ADA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Pravila o opravljanju investicijskih storitev in poslov, določena s tem zakonom, se ne uporabljajo za opravljanje storitev s položajem nasprotne stranke pri poslih, ki jih izvajajo državni organi ali osebe javnega prava v zvezi z upravljanjem javnega dolga ali člani ESCB, ki opravljajo svoje naloge v skladu s Pogodbo o ustanovitvi Evropske skupnosti (Uradni list RS – Mednarodne pogodbe, št. 7/04) in statutom ESCB in Evropske centralne banke (Uradni list RS – Mednarodne pogodbe, št. 7/04) ali opravljajo enakovredne naloge v skladu s predpisi drugih držav članic.</w:t>
      </w:r>
    </w:p>
    <w:p w14:paraId="5C31029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Ne glede na 1., 5., 9. in 10. točko prvega odstavka tega člena se za člane ali udeležence organiziranih trgov ali MTF, ki so osebe iz navedenih točk, uporabljajo 242., 243. in 244. člen tega zakona.</w:t>
      </w:r>
    </w:p>
    <w:p w14:paraId="5F3C23CE"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133. člen</w:t>
      </w:r>
    </w:p>
    <w:p w14:paraId="21367958"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(uporaba ZGD-1 in direktiv EU za letno poročilo in revizorjevo poročilo)</w:t>
      </w:r>
    </w:p>
    <w:p w14:paraId="41D9E0D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 Če ima javna družba sedež v Republiki Sloveniji, se za njeno letno in konsolidirano letno poročilo ter revizorjevo poročilo, ki jih objavi v skladu z oddelkom 3.2 tega zakona, uporablja osmo poglavje I. dela ZGD-1. Pri uporabi dvanajstega odstavka 56. člena ali 70.c člena ZGD-1 se za izjavo o nefinančnem poslovanju javne družbe, tudi v primeru, ko je ta pripravljena in objavljena kot ločeno poročilo, uporablja tudi 8. člen </w:t>
      </w:r>
      <w:r w:rsidR="00801FB2" w:rsidRPr="004319E8">
        <w:rPr>
          <w:rFonts w:ascii="Arial" w:eastAsia="Arial" w:hAnsi="Arial" w:cs="Arial"/>
          <w:color w:val="0000EE"/>
          <w:sz w:val="20"/>
          <w:szCs w:val="20"/>
          <w:u w:val="single" w:color="0000EE"/>
        </w:rPr>
        <w:t>Uredbe 2020/852/EU</w:t>
      </w:r>
      <w:r w:rsidRPr="004319E8">
        <w:rPr>
          <w:rFonts w:ascii="Arial" w:eastAsia="Arial" w:hAnsi="Arial" w:cs="Arial"/>
          <w:sz w:val="20"/>
          <w:szCs w:val="20"/>
        </w:rPr>
        <w:t>, del izjave pa je tudi poročanje o trajnostnosti.</w:t>
      </w:r>
    </w:p>
    <w:p w14:paraId="5E93509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Če ima javna družba sedež v drugi državi članici ali v tretji državi, njeno letno in konsolidirano letno poročilo ter revizorjevo poročilo, ki jih objavi v skladu z oddelkom 3.2 tega zakona, ustreza naslednjim zahtevam:</w:t>
      </w:r>
    </w:p>
    <w:p w14:paraId="5487FC2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če družba sestavi konsolidirano računovodsko poročilo po predpisu države članice, sprejetim za prenos </w:t>
      </w:r>
      <w:r w:rsidR="00801FB2"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 xml:space="preserve">, njeno računovodsko poročilo vsebuje konsolidirane računovodske izkaze, sestavljene v skladu z </w:t>
      </w:r>
      <w:r w:rsidR="00801FB2" w:rsidRPr="004319E8">
        <w:rPr>
          <w:rFonts w:ascii="Arial" w:eastAsia="Arial" w:hAnsi="Arial" w:cs="Arial"/>
          <w:color w:val="0000EE"/>
          <w:sz w:val="20"/>
          <w:szCs w:val="20"/>
          <w:u w:val="single" w:color="0000EE"/>
        </w:rPr>
        <w:t>Uredbo 1606/2002/ES</w:t>
      </w:r>
      <w:r w:rsidRPr="004319E8">
        <w:rPr>
          <w:rFonts w:ascii="Arial" w:eastAsia="Arial" w:hAnsi="Arial" w:cs="Arial"/>
          <w:sz w:val="20"/>
          <w:szCs w:val="20"/>
        </w:rPr>
        <w:t>, letno poročilo nadrejene družbe v skupini pa je sestavljeno v skladu s pravom države sedeža nadrejene družbe,</w:t>
      </w:r>
    </w:p>
    <w:p w14:paraId="7FE09C8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če družba ni zavezana h konsolidaciji, njeno revidirano računovodsko poročilo vsebuje računovodske izkaze in pojasnila k tem izkazom, sestavljene v skladu s pravom države njenega sedeža,</w:t>
      </w:r>
    </w:p>
    <w:p w14:paraId="66E21B1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računovodsko poročilo je revidirano v skladu s predpisom države članice, sprejetim za prenos prvega odstavka 34. člena in 35. člena </w:t>
      </w:r>
      <w:r w:rsidR="00801FB2"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 xml:space="preserve">, in če je družba zavezana h konsolidaciji, tudi v skladu s predpisom države članice, sprejetim za prenos drugega odstavka 34. člena </w:t>
      </w:r>
      <w:r w:rsidR="00801FB2"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w:t>
      </w:r>
    </w:p>
    <w:p w14:paraId="0B36542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4.      poslovno poročilo je sestavljeno v skladu s predpisom države članice, sprejetim za prenos 19. člena </w:t>
      </w:r>
      <w:r w:rsidR="00801FB2"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 xml:space="preserve"> in če je družba zavezana h konsolidaciji tudi v skladu s predpisom države članice, sprejetim za prenos 29. člena </w:t>
      </w:r>
      <w:r w:rsidR="00801FB2" w:rsidRPr="004319E8">
        <w:rPr>
          <w:rFonts w:ascii="Arial" w:eastAsia="Arial" w:hAnsi="Arial" w:cs="Arial"/>
          <w:color w:val="0000EE"/>
          <w:sz w:val="20"/>
          <w:szCs w:val="20"/>
          <w:u w:val="single" w:color="0000EE"/>
        </w:rPr>
        <w:t>Direktive 2013/34/EU</w:t>
      </w:r>
      <w:r w:rsidRPr="004319E8">
        <w:rPr>
          <w:rFonts w:ascii="Arial" w:eastAsia="Arial" w:hAnsi="Arial" w:cs="Arial"/>
          <w:sz w:val="20"/>
          <w:szCs w:val="20"/>
        </w:rPr>
        <w:t>.</w:t>
      </w:r>
    </w:p>
    <w:p w14:paraId="3E46BC8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Če je javna družba po 56. členu ZGD-1 oziroma po 1. točki drugega odstavka tega člena zavezana h konsolidaciji, se pravila o obveznostih v zvezi z letnim in polletnim poročilom, določenih v oddelku 3.2 tega zakona, uporabljajo tudi za obveznosti v zvezi s konsolidiranim letnim oziroma polletnim poročilom.</w:t>
      </w:r>
    </w:p>
    <w:p w14:paraId="3ABC2E0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134. člen</w:t>
      </w:r>
    </w:p>
    <w:p w14:paraId="603EEDA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(obveznost objave letnega poročila in revizorjevega poročila)</w:t>
      </w:r>
    </w:p>
    <w:p w14:paraId="693100F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Javna družba objavi svoje letno poročilo najpozneje v štirih mesecih po koncu poslovnega leta in zagotovi, da ostane javno dostopno najmanj deset let po njegovi objavi.</w:t>
      </w:r>
    </w:p>
    <w:p w14:paraId="17FE7B3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Letno poročilo vsebuje:</w:t>
      </w:r>
    </w:p>
    <w:p w14:paraId="18C8C58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revidirano računovodsko poročilo,</w:t>
      </w:r>
    </w:p>
    <w:p w14:paraId="694E341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poslovno poročilo, in</w:t>
      </w:r>
    </w:p>
    <w:p w14:paraId="7830453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izjavo članov poslovodstva in drugih oseb javne družbe, ki so odgovorni za sestavo letnega poročila in katerih imena in položaj v javni družbi je jasno razkrit, da je po njihovem najboljšem vedenju:</w:t>
      </w:r>
    </w:p>
    <w:p w14:paraId="6EDC5566"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računovodsko poročilo sestavljeno v skladu z ustreznim okvirom računovodskega poročanja ter daje resničen in pošten prikaz sredstev in obveznosti, finančnega položaja in poslovnega izida družbe in morebitnih drugih družb, vključenih v konsolidacijo kot celote, in</w:t>
      </w:r>
    </w:p>
    <w:p w14:paraId="15C5252A"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v poslovno poročilo vključen pošten prikaz razvoja in izidov poslovanja družbe ter njenega finančnega položaja, vključno z opisom bistvenih vrst tveganja, ki so jim družba in morebitne druge družbe, vključene v konsolidacijo, kot celota izpostavljene.</w:t>
      </w:r>
    </w:p>
    <w:p w14:paraId="472F808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Hkrati z objavo letnega poročila javna družba na način iz prvega odstavka tega člena objavi tudi revizorjevo poročilo, ki ga je podpisal revizor, odgovoren za revidiranje letnega poročila družbe.</w:t>
      </w:r>
    </w:p>
    <w:p w14:paraId="0462340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Javna družba svoje letno poročilo pripravi, predloži agenciji, predloži v sistem za centralno shranjevanje nadzorovanih informacij in objavi v enotni elektronski obliki, ki jo določa </w:t>
      </w:r>
      <w:r w:rsidR="00801FB2" w:rsidRPr="004319E8">
        <w:rPr>
          <w:rFonts w:ascii="Arial" w:eastAsia="Arial" w:hAnsi="Arial" w:cs="Arial"/>
          <w:color w:val="0000EE"/>
          <w:sz w:val="20"/>
          <w:szCs w:val="20"/>
          <w:u w:val="single" w:color="0000EE"/>
        </w:rPr>
        <w:t>Delegirana uredba Komisije (EU) 2019/815</w:t>
      </w:r>
      <w:r w:rsidRPr="004319E8">
        <w:rPr>
          <w:rFonts w:ascii="Arial" w:eastAsia="Arial" w:hAnsi="Arial" w:cs="Arial"/>
          <w:sz w:val="20"/>
          <w:szCs w:val="20"/>
        </w:rPr>
        <w:t xml:space="preserve"> z dne 17. decembra 2018 o dopolnitvi </w:t>
      </w:r>
      <w:r w:rsidR="00801FB2" w:rsidRPr="004319E8">
        <w:rPr>
          <w:rFonts w:ascii="Arial" w:eastAsia="Arial" w:hAnsi="Arial" w:cs="Arial"/>
          <w:color w:val="0000EE"/>
          <w:sz w:val="20"/>
          <w:szCs w:val="20"/>
          <w:u w:val="single" w:color="0000EE"/>
        </w:rPr>
        <w:t>Direktive 2004/109/ES</w:t>
      </w:r>
      <w:r w:rsidRPr="004319E8">
        <w:rPr>
          <w:rFonts w:ascii="Arial" w:eastAsia="Arial" w:hAnsi="Arial" w:cs="Arial"/>
          <w:sz w:val="20"/>
          <w:szCs w:val="20"/>
        </w:rPr>
        <w:t xml:space="preserve"> Evropskega parlamenta in Sveta v zvezi z regulativnimi tehničnimi standardi za določitev enotne elektronske oblike poročanja (UL L št. 143 z dne 29. 5. 2019, str. 1). Navedeno morajo skupaj zagotavljati člani organov vodenja in nadzora javne družbe.</w:t>
      </w:r>
    </w:p>
    <w:p w14:paraId="4671BAF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Javna družba zagotovi revizorjev pregled in revizorjevo poročilo o tem, ali je njeno letno poročilo pripravljeno tako, kot določa prejšnji odstavek. Revizorjev pregled in revizorjevo poročilo se opravita v skladu z zakonom, ki ureja revidiranje. Agencija za javni nadzor nad revidiranjem predpiše podrobnejšo obliko in vsebino revizorjevega pregleda in revizorjevega poročila o opravljenem pregledu.</w:t>
      </w:r>
    </w:p>
    <w:p w14:paraId="141F77B2"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141. člen</w:t>
      </w:r>
    </w:p>
    <w:p w14:paraId="163F9DD7"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(obveznost delničarjev obveščati javno družbo o spremembi pomembnih deležev)</w:t>
      </w:r>
    </w:p>
    <w:p w14:paraId="2197011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Delničar obvesti javno družbo, če doseže ali preseže posamezen prag pomembnega deleža ali se njegov delež zmanjša pod posamezen prag pomembnega deleža, na podlagi enega od naslednjih dejstev:</w:t>
      </w:r>
    </w:p>
    <w:p w14:paraId="3911D43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pravnih poslov razpolaganja z delnicami ali drugih pravnih poslov, katerih posledica je sprememba deleža glasovalnih pravic, ali</w:t>
      </w:r>
    </w:p>
    <w:p w14:paraId="7C06AA9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korporacijskih dejanj javne družbe ali drugih pravnih dejstev iz 149. člena tega zakona.</w:t>
      </w:r>
    </w:p>
    <w:p w14:paraId="26CBBC6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Prejšnji odstavek se ne uporablja za:</w:t>
      </w:r>
    </w:p>
    <w:p w14:paraId="71066E0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delnice, ki so bile pridobljene izključno za poravnavo znotraj običajno kratkega poravnalnega obdobja, in</w:t>
      </w:r>
    </w:p>
    <w:p w14:paraId="1EB8543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delnice, katerih imetnik je depozitar v zvezi z opravljanjem storitev hrambe, če lahko iz teh delnic uresničuje glasovalne pravice samo na podlagi navodil, ki mu jih da oseba, za račun katere jih hrani, v pisni obliki ali z uporabo elektronskega načina.</w:t>
      </w:r>
    </w:p>
    <w:p w14:paraId="2082BEA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Prvi odstavek tega člena se ne uporablja za pridobitve in odsvojitve delnic, s katerimi vzdrževalec trga pri opravljanju poslov vzdrževanja trga preseže 5 % prag pomembnega deleža ali se njegov delež zmanjša pod 5 % prag pomembnega deleža, če vzdrževalec trga izpolnjuje naslednja pogoja:</w:t>
      </w:r>
    </w:p>
    <w:p w14:paraId="52D816B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ima dovoljenje za opravljanje investicijskih storitev in poslov agencije oziroma drugega pristojnega nadzornega organa države članice in</w:t>
      </w:r>
    </w:p>
    <w:p w14:paraId="46ECE18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ne posega v poslovodenje javne družbe niti ne izvaja vpliva na javno družbo za nakup teh delnic ali kritje njihove nakupne cene.</w:t>
      </w:r>
    </w:p>
    <w:p w14:paraId="0894802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Prvi odstavek tega člena se ne uporablja za glasovalne pravice iz trgovalne knjige banke, banke države članice, banke tretje države ali investicijskega podjetja na podlagi trgovalne knjige, kot jo ureja </w:t>
      </w:r>
      <w:r w:rsidR="00801FB2" w:rsidRPr="004319E8">
        <w:rPr>
          <w:rFonts w:ascii="Arial" w:eastAsia="Arial" w:hAnsi="Arial" w:cs="Arial"/>
          <w:color w:val="0000EE"/>
          <w:sz w:val="20"/>
          <w:szCs w:val="20"/>
          <w:u w:val="single" w:color="0000EE"/>
        </w:rPr>
        <w:t>Uredba 575/2013/EU</w:t>
      </w:r>
      <w:r w:rsidRPr="004319E8">
        <w:rPr>
          <w:rFonts w:ascii="Arial" w:eastAsia="Arial" w:hAnsi="Arial" w:cs="Arial"/>
          <w:sz w:val="20"/>
          <w:szCs w:val="20"/>
        </w:rPr>
        <w:t>, če:</w:t>
      </w:r>
    </w:p>
    <w:p w14:paraId="440489D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delež glasovalnih pravic iz trgovalne knjige ne presega 5 % in</w:t>
      </w:r>
    </w:p>
    <w:p w14:paraId="7D29EA9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se glasovalne pravice iz delnic iz trgovalne knjige ne uveljavijo ali kako drugače uporabijo za poseganje v poslovodenje javne družbe.</w:t>
      </w:r>
    </w:p>
    <w:p w14:paraId="4C1A17C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(5) Prvi odstavek tega člena se ne uporablja za glasovalne pravice iz delnic, pridobljenih za stabilizacijo finančnih instrumentov v skladu s 5. členom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če se glasovalne pravice iz teh delnic ne uveljavijo ali kako drugače uporabijo za poseganje v poslovodenje javne družbe.</w:t>
      </w:r>
    </w:p>
    <w:p w14:paraId="200FBEB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158. člen</w:t>
      </w:r>
    </w:p>
    <w:p w14:paraId="1713F82E"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(dostop do nadzorovanih informacij)</w:t>
      </w:r>
    </w:p>
    <w:p w14:paraId="7424A8B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Javna družba oziroma oseba, ki je zahtevala uvrstitev vrednostnih papirjev v trgovanje na organiziranem trgu brez soglasja javne družbe, nadzorovane informacije:</w:t>
      </w:r>
    </w:p>
    <w:p w14:paraId="3D68800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      objavi na način, ki omogoča hiter dostop do teh informacij na nediskriminatorni podlagi, in</w:t>
      </w:r>
    </w:p>
    <w:p w14:paraId="6D04F5A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jih predloži sistemu za centralno shranjevanje nadzorovanih informacij iz 159. člena tega zakona.</w:t>
      </w:r>
    </w:p>
    <w:p w14:paraId="7250980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Javna družba oziroma oseba, ki je zahtevala uvrstitev vrednostnih papirjev v trgovanje na organiziranem trgu brez soglasja javne družbe, za objavo in predložitev nadzorovanih informacij po prejšnjem odstavku vlagateljem ne sme zaračunavati nobenih stroškov.</w:t>
      </w:r>
    </w:p>
    <w:p w14:paraId="18E428E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Javna družba oziroma oseba, ki je zahtevala uvrstitev vrednostnih papirjev v trgovanje na organiziranem trgu brez soglasja javne družbe, za objavo iz 1. točke prvega odstavka tega člena uporabi medij, ki razumno zanesljivo omogoča razširitev informacij javnosti na celotnem območju EU.</w:t>
      </w:r>
    </w:p>
    <w:p w14:paraId="04028F06"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159. člen</w:t>
      </w:r>
    </w:p>
    <w:p w14:paraId="71358FE0"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(sistem za centralno shranjevanje nadzorovanih informacij)</w:t>
      </w:r>
    </w:p>
    <w:p w14:paraId="2EDD752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Agencija sama upravlja sistem za centralno shranjevanje nadzorovanih informacij ali imenuje vsaj enega upravljavca, ki bo sistem upravljal v njenem imenu in za njen račun.</w:t>
      </w:r>
    </w:p>
    <w:p w14:paraId="00E3CE2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Sistem za centralno shranjevanje nadzorovanih informacij izpolnjuje naslednje zahteve:</w:t>
      </w:r>
    </w:p>
    <w:p w14:paraId="3E68937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ustreza minimalnim kakovostnim standardom glede varnosti, zanesljivosti informacijskega vira, zapisa časa in enostavnega dostopa končnim uporabnikom in</w:t>
      </w:r>
    </w:p>
    <w:p w14:paraId="4CEE529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je usklajen s postopkom predložitve nadzorovanih informacij agenciji po 155. in 156. členu tega zakona.</w:t>
      </w:r>
    </w:p>
    <w:p w14:paraId="6DE4252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Oseba, ki jo je imenovala agencija za upravljanje sistema iz prvega odstavka tega člena, s tarifo določi nadomestila za storitve v zvezi z upravljanjem sistema za centralno shranjevanje nadzorovanih informacij.</w:t>
      </w:r>
    </w:p>
    <w:p w14:paraId="64732EE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Če agencija v skladu s prvim odstavkom tega člena imenuje upravljavca, mora upravljavec k tarifi iz prejšnjega odstavka in njenim spremembam dobiti soglasje agencije.</w:t>
      </w:r>
    </w:p>
    <w:p w14:paraId="31DA273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Upravljavec sistema iz prvega odstavka tega člena zagotovi, da je sistem za centralno shranjevanje nadzorovanih informacij, ki ga upravlja, dostopen tudi prek evropske točke za elektronski dostop, ki jo vzpostavi ESMA.</w:t>
      </w:r>
    </w:p>
    <w:p w14:paraId="191F024F"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169. člen</w:t>
      </w:r>
    </w:p>
    <w:p w14:paraId="55A8534F"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(razkritje informacij o izrečenih ukrepih)</w:t>
      </w:r>
    </w:p>
    <w:p w14:paraId="3590E9E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Agencija zaradi preprečevanja in odvračanja ravnanj, ki pomenijo kršitev 3. poglavja tega zakona, javno objavi informacije o nadzornih ukrepih in sankcijah za prekršek, ki jih je izrekla zaradi kršitev 3. poglavja tega zakona.</w:t>
      </w:r>
    </w:p>
    <w:p w14:paraId="1369DB1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(2) Agencija v skladu s prejšnjim odstavkom javno objavi informacije na svoji spletni strani takoj, ko je oseba, na katero se nadzorni ukrep ali sankcija za prekršek nanaša, z odločbo obveščena o kršitvi.</w:t>
      </w:r>
    </w:p>
    <w:p w14:paraId="5F08017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Informacije iz prvega odstavka tega člena obsegajo naslednje podatke:</w:t>
      </w:r>
    </w:p>
    <w:p w14:paraId="512C02F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 kršitelju:</w:t>
      </w:r>
    </w:p>
    <w:p w14:paraId="207AE9C5"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naziv in sedež pravne osebe ali</w:t>
      </w:r>
    </w:p>
    <w:p w14:paraId="2666DFD8"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osebno ime in leto rojstva fizične osebe;</w:t>
      </w:r>
    </w:p>
    <w:p w14:paraId="53A61A9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o kršitvi:</w:t>
      </w:r>
    </w:p>
    <w:p w14:paraId="2655EFE3"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opis okoliščin in ravnanj, ki pomenijo kršitev 3. poglavja tega zakona,</w:t>
      </w:r>
    </w:p>
    <w:p w14:paraId="49E0AEAE"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naravo ugotovljenih kršitev;</w:t>
      </w:r>
    </w:p>
    <w:p w14:paraId="4B9A338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informacijo o tem, ali je zoper odločbo začet postopek sodnega ali upravnega varstva in odločitev o tem pravnem sredstvu.</w:t>
      </w:r>
    </w:p>
    <w:p w14:paraId="75B7DEF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Podatki, ki so v skladu s tem členom javno objavljeni na spletni strani agencije, ostanejo objavljeni pet let od objave. Podatki, ki v skladu z zakonom, ki ureja varstvo osebnih podatkov, veljajo za osebne, se obravnavajo v skladu z zakonom, ki ureja varstvo osebnih podatkov.</w:t>
      </w:r>
    </w:p>
    <w:p w14:paraId="327E401B" w14:textId="77777777" w:rsidR="00345774" w:rsidRPr="004319E8" w:rsidRDefault="00345774" w:rsidP="00345774">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195. člen</w:t>
      </w:r>
    </w:p>
    <w:p w14:paraId="306E1CE2" w14:textId="77777777" w:rsidR="00345774" w:rsidRPr="004319E8" w:rsidRDefault="00345774" w:rsidP="00345774">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(register dovoljenj za opravljanje investicijskih storitev in poslov)</w:t>
      </w:r>
    </w:p>
    <w:p w14:paraId="0B56D21C" w14:textId="77777777"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(1) Agencija vzpostavi in redno dopolnjuje register dovoljenj za opravljanje investicijskih storitev in poslov, v katerega se vpisujejo vse:</w:t>
      </w:r>
    </w:p>
    <w:p w14:paraId="1CC74501" w14:textId="77777777" w:rsidR="00345774" w:rsidRPr="004319E8" w:rsidRDefault="00345774" w:rsidP="00345774">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borznoposredniške družbe, ki jim je agencija izdala dovoljenje za opravljanje investicijskih storitev in poslov, in</w:t>
      </w:r>
    </w:p>
    <w:p w14:paraId="23AF001F" w14:textId="77777777" w:rsidR="00345774" w:rsidRPr="004319E8" w:rsidRDefault="00345774" w:rsidP="00345774">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banke, ki jim je Banka Slovenije izdala dovoljenje za opravljanje investicijskih storitev in poslov.</w:t>
      </w:r>
    </w:p>
    <w:p w14:paraId="0BA4670D" w14:textId="77777777"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(2) Register iz prejšnjega odstavka za vsako borznoposredniško družbo oziroma banko iz prejšnjega odstavka vsebuje informacije o firmi in sedežu borznoposredniške družbe oziroma banke ter o investicijskih storitvah in poslih ter pomožnih investicijskih storitvah, ki jih je ta oseba upravičena opravljati.</w:t>
      </w:r>
    </w:p>
    <w:p w14:paraId="3D1223A2" w14:textId="77777777"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(3) Banka Slovenije agencijo obvešča o izdaji ali odvzemu dovoljenj iz 2. točke prvega odstavka tega člena.</w:t>
      </w:r>
    </w:p>
    <w:p w14:paraId="7BEDC362" w14:textId="77777777"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(4) Agencija zagotovi javno dostopnost registra iz prvega odstavka tega člena.</w:t>
      </w:r>
    </w:p>
    <w:p w14:paraId="7457947E" w14:textId="1B454674" w:rsidR="00345774" w:rsidRPr="004319E8" w:rsidRDefault="00345774" w:rsidP="00345774">
      <w:pPr>
        <w:pStyle w:val="zamik"/>
        <w:spacing w:before="210" w:after="210"/>
        <w:jc w:val="both"/>
        <w:rPr>
          <w:rFonts w:ascii="Arial" w:eastAsia="Arial" w:hAnsi="Arial" w:cs="Arial"/>
          <w:sz w:val="20"/>
          <w:szCs w:val="20"/>
        </w:rPr>
      </w:pPr>
      <w:r w:rsidRPr="004319E8">
        <w:rPr>
          <w:rFonts w:ascii="Arial" w:eastAsia="Arial" w:hAnsi="Arial" w:cs="Arial"/>
          <w:sz w:val="20"/>
          <w:szCs w:val="20"/>
        </w:rPr>
        <w:t>(5) Agencija v register iz prvega odstavka tega člena vpiše informacijo, da je bilo dovoljenje odvzeto, kdaj je bilo odvzeto in razlog odvzema. Ta informacija je javnosti na voljo pet let po odvzemu dovoljenja. Agencija lahko javno objavi odločbo oziroma povzetek odločbe o odvzemu dovoljenja za opravljanje investicijskih storitev in poslov v skladu s 357. členom tega zakon in drugim odstavkom 488. člena ZTFI.</w:t>
      </w:r>
    </w:p>
    <w:p w14:paraId="29F0AB07"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229. člen</w:t>
      </w:r>
    </w:p>
    <w:p w14:paraId="10DDFF8A"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(zamenjava revizijske družbe)</w:t>
      </w:r>
    </w:p>
    <w:p w14:paraId="2FA11C5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Borznoposredniška družba najmanj enkrat v petih zaporednih letih zamenja revizijsko družbo, ki je revidirala njeno letno poročilo.</w:t>
      </w:r>
    </w:p>
    <w:p w14:paraId="52C9DD5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234. člen</w:t>
      </w:r>
    </w:p>
    <w:p w14:paraId="253D76B3"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(ukrepi za neprekinjeno poslovanje)</w:t>
      </w:r>
    </w:p>
    <w:p w14:paraId="41FF82E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Borznoposredniška družba opravi vse razumne ukrepe za zagotovitev neprekinjenega in rednega opravljanja investicijskih storitev in poslov.</w:t>
      </w:r>
    </w:p>
    <w:p w14:paraId="024E860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Za dosego namena iz prejšnjega odstavka borznoposredniška družba uporabi ustrezne sisteme, vire in postopke, ki so sorazmerni vrsti in obsegu investicijskih storitev in poslov, ki jih opravlja.</w:t>
      </w:r>
    </w:p>
    <w:p w14:paraId="1978A2C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236. člen</w:t>
      </w:r>
    </w:p>
    <w:p w14:paraId="44092C72"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(sistemi upravljanja glede investicijskih storitev in poslov)</w:t>
      </w:r>
    </w:p>
    <w:p w14:paraId="2EFAE9D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Borznoposredniška družba vzpostavi in vzdržuje:</w:t>
      </w:r>
    </w:p>
    <w:p w14:paraId="6AE950B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ustrezen sistem notranjih kontrol, ki vključuje ustrezne administrativne in računovodske postopke,</w:t>
      </w:r>
    </w:p>
    <w:p w14:paraId="13CB63F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učinkovite postopke ugotavljanja, merjenja ali ocenjevanja, obvladovanja in spremljanja tveganj, ki jim je ali bi jim lahko bila izpostavljena pri opravljanju investicijskih storitev in poslov, in</w:t>
      </w:r>
    </w:p>
    <w:p w14:paraId="7CC7A82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učinkovite ukrepe za nadzor in varovanje informacijskih sistemov za obdelavo podatkov, vključno z osebnimi podatki, ki jih potrebuje za opravljanje investicijskih storitev in poslov.</w:t>
      </w:r>
    </w:p>
    <w:p w14:paraId="128B497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Borznoposredniška družba vzpostavi in vzdržuje zanesljive varnostne mehanizme, ki zagotavljajo varnost in preverjanje prenosa informacij, zmanjšujejo tveganje spreminjanja in izgube informacij, nepooblaščenega dostopa do informacij in preprečijo odtekanje informacij. Ti mehanizmi ves čas zagotavljajo tudi zaupnost informacij.</w:t>
      </w:r>
    </w:p>
    <w:p w14:paraId="048F58E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242. člen</w:t>
      </w:r>
    </w:p>
    <w:p w14:paraId="0A51EECF"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(algoritemsko trgovanje)</w:t>
      </w:r>
    </w:p>
    <w:p w14:paraId="044335B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 Borznoposredniška družba, ki uporablja algoritemsko trgovanje, ima učinkovite sisteme in nadzor tveganj, ki so primerni njenim dejavnostim in zagotavljajo, da so njeni trgovalni sistemi odporni in dovolj zmogljivi, imajo ustrezne trgovalne pragove in omejitve ter preprečujejo pošiljanje napačnih naročil in onemogočajo delovanje, ki bi lahko škodilo ali škodi trgom. Z njimi </w:t>
      </w:r>
      <w:r w:rsidRPr="004319E8">
        <w:rPr>
          <w:rFonts w:ascii="Arial" w:eastAsia="Arial" w:hAnsi="Arial" w:cs="Arial"/>
          <w:sz w:val="20"/>
          <w:szCs w:val="20"/>
        </w:rPr>
        <w:lastRenderedPageBreak/>
        <w:t xml:space="preserve">se zagotavlja, da se trgovalni sistemi borznoposredniške družbe ne uporabljajo na način, ki ni skladen z </w:t>
      </w:r>
      <w:r w:rsidR="00801FB2" w:rsidRPr="004319E8">
        <w:rPr>
          <w:rFonts w:ascii="Arial" w:eastAsia="Arial" w:hAnsi="Arial" w:cs="Arial"/>
          <w:color w:val="0000EE"/>
          <w:sz w:val="20"/>
          <w:szCs w:val="20"/>
          <w:u w:val="single" w:color="0000EE"/>
        </w:rPr>
        <w:t>Uredbo 596/2014/EU</w:t>
      </w:r>
      <w:r w:rsidRPr="004319E8">
        <w:rPr>
          <w:rFonts w:ascii="Arial" w:eastAsia="Arial" w:hAnsi="Arial" w:cs="Arial"/>
          <w:sz w:val="20"/>
          <w:szCs w:val="20"/>
        </w:rPr>
        <w:t xml:space="preserve"> ali pravili mesta trgovanja s katerim je trgovalni sistem povezan. Borznoposredniška družba ima učinkovit sistem neprekinjenega poslovanja, ki zagotavlja nemoteno delovanje v primeru odpovedi trgovalnega sistema. Trgovalne sisteme se redno testira in nadzoruje, da ustrezajo zahtevam iz tega zakona.</w:t>
      </w:r>
    </w:p>
    <w:p w14:paraId="2170A85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Borznoposredniška družba, ki uporablja algoritemsko trgovanje na območju Republike Slovenije ali druge države članice, o tem obvesti agencijo in pristojni organ države mesta trgovanja, kjer takšno trgovanje uporablja kot član ali udeleženec mesta trgovanja.</w:t>
      </w:r>
    </w:p>
    <w:p w14:paraId="79F7CD6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Borznoposredniška družba na zahtevo agencije predloži opis delovanja algoritma in strategij, ki jih algoritem uporablja pri trgovanju, podrobnosti trgovalnih pragov in omejitev algoritma, ključne kontrole skladnosti in tveganj, ki zagotavljajo, da algoritem izpolnjuje zahteve iz tega zakona, ter podrobne rezultate testiranj sistema. Agencija lahko zahteva tudi druge informacije, ki so potrebne za nadzor nad sistemom algoritemskega trgovanja.</w:t>
      </w:r>
    </w:p>
    <w:p w14:paraId="3290C00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Borznoposredniška družba v zvezi z algoritemskim trgovanjem hrani vso dokumentacijo in informacije, ki so potrebne, da lahko agencija nadzoruje delovanje takšnega trgovanja.</w:t>
      </w:r>
    </w:p>
    <w:p w14:paraId="762419C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(5) Borznoposredniška družba, ki uporablja tehniko visokofrekvenčnega algoritemskega trgovanja, v skladu z </w:t>
      </w:r>
      <w:r w:rsidR="00801FB2" w:rsidRPr="004319E8">
        <w:rPr>
          <w:rFonts w:ascii="Arial" w:eastAsia="Arial" w:hAnsi="Arial" w:cs="Arial"/>
          <w:color w:val="0000EE"/>
          <w:sz w:val="20"/>
          <w:szCs w:val="20"/>
          <w:u w:val="single" w:color="0000EE"/>
        </w:rPr>
        <w:t>delegiranima uredbama 2017/578/EU</w:t>
      </w:r>
      <w:r w:rsidRPr="004319E8">
        <w:rPr>
          <w:rFonts w:ascii="Arial" w:eastAsia="Arial" w:hAnsi="Arial" w:cs="Arial"/>
          <w:sz w:val="20"/>
          <w:szCs w:val="20"/>
        </w:rPr>
        <w:t xml:space="preserve"> in </w:t>
      </w:r>
      <w:r w:rsidR="00801FB2" w:rsidRPr="004319E8">
        <w:rPr>
          <w:rFonts w:ascii="Arial" w:eastAsia="Arial" w:hAnsi="Arial" w:cs="Arial"/>
          <w:color w:val="0000EE"/>
          <w:sz w:val="20"/>
          <w:szCs w:val="20"/>
          <w:u w:val="single" w:color="0000EE"/>
        </w:rPr>
        <w:t>2017/589/EU</w:t>
      </w:r>
      <w:r w:rsidRPr="004319E8">
        <w:rPr>
          <w:rFonts w:ascii="Arial" w:eastAsia="Arial" w:hAnsi="Arial" w:cs="Arial"/>
          <w:sz w:val="20"/>
          <w:szCs w:val="20"/>
        </w:rPr>
        <w:t>, hrani točne in časovno razdelane podatke o vseh oddanih in preklicanih naročilih, izvršenih naročilih in kotacijah cen na mestih trgovanja in jih na zahtevo predloži agenciji.</w:t>
      </w:r>
    </w:p>
    <w:p w14:paraId="61FD881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Borznoposredniška družba, ki uporablja algoritemsko trgovanje pri izvajanju vzdrževanja trga, upošteva likvidnost, obseg in naravo posameznega trga ter lastnosti finančnih instrumentov na tem trgu in zagotavlja, da:</w:t>
      </w:r>
    </w:p>
    <w:p w14:paraId="565B899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opravlja vzdrževanje trga neprekinjeno v znatnem obsegu trgovalnega časa mesta trgovanja, razen v izjemnih primerih, in mestu trgovanja zagotovi redno in predvidljivo likvidnost,</w:t>
      </w:r>
    </w:p>
    <w:p w14:paraId="10BA438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ima sklenjeno pisno pogodbo z mestom trgovanja, v kateri opredeli obveznosti iz 1. točke tega odstavka,</w:t>
      </w:r>
    </w:p>
    <w:p w14:paraId="54BCFAB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ima učinkovite sisteme in nadzorne postopke, ki ves čas zagotavljajo izpolnitev obveznosti iz pogodbe iz 2. točke tega odstavka.</w:t>
      </w:r>
    </w:p>
    <w:p w14:paraId="70EC120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Šteje se, da borznoposredniška družba, ki uporablja algoritemsko trgovanje, izvaja vzdrževanje trga, če kot član ali udeleženec enega ali več mest trgovanja trguje za svoj račun in objavlja zavezujoče kotacije v zvezi s ponudbo in povpraševanjem in so te kotacije, ki so vezane na posamezni finančni instrument, primerljivih cen in velikosti, ne glede na to, ali se pojavljajo na enem ali več mestih trgovanja, za zagotavljanje redne in pogoste likvidnosti na celotnem trgu.</w:t>
      </w:r>
    </w:p>
    <w:p w14:paraId="2B7D846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267. člen</w:t>
      </w:r>
    </w:p>
    <w:p w14:paraId="094DD4EA"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(izvrševanje naročil pod najugodnejšimi pogoji za stranko)</w:t>
      </w:r>
    </w:p>
    <w:p w14:paraId="09EDD8E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Borznoposredniška družba pri izvrševanju naročil strank opravi vse razumne ukrepe za izvršitev naročila stranke pod pogoji, ki so za stranko najugodnejši, ob upoštevanju dejavnikov, ki so pomembni za izvršitev naročila, kot so cena, stroški, hitrost, verjetnost sklenitve in poravnave posla, vrednost in značilnosti naročila stranke ter druge okoliščine, pomembne za izvršitev naročila.</w:t>
      </w:r>
    </w:p>
    <w:p w14:paraId="04A6926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(2) Če strankino naročilo vsebuje določna navodila glede vseh dejavnikov iz prejšnjega odstavka, ga borznoposredniška družba izvrši v skladu z navodili stranke in ni dolžna opraviti ukrepov po prejšnjem odstavku.</w:t>
      </w:r>
    </w:p>
    <w:p w14:paraId="054B184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Če strankino naročilo vsebuje določna navodila glede posameznih dejavnikov iz prvega odstavka tega člena, borznoposredniška družba glede dejavnikov, določenih z navodili stranke, naročilo izvrši v skladu s temi navodili stranke, glede drugih dejavnikov pa opravi ukrepe po prvem odstavku tega člena.</w:t>
      </w:r>
    </w:p>
    <w:p w14:paraId="2CEFA26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Če borznoposredniška družba izvršuje naročilo neprofesionalne stranke, se najugodnejši pogoji za stranko določijo na podlagi skupne ocene, ki jo sestavljajo cena finančnega instrumenta in stroški sklenitve posla, ki zajemajo vse stroške, ki jih stranka plača in so neposredno povezani s sklenitvijo posla, vključno s stroški mesta trgovanja, poravnave ali katerihkoli drugih stroškov, plačanih tretjim osebam, povezanim s sklenitvijo posla.</w:t>
      </w:r>
    </w:p>
    <w:p w14:paraId="00371DB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Kadar obstaja več mest trgovanja, kjer se lahko sklene posel po naročilu stranke, in so navedena v politiki izvrševanja naročil strank borznoposredniške družbe, borznoposredniška družba pri presoji najugodnejših pogojev za stranko upošteva lastne provizije in stroške za sklenitev posla na posameznem mestu trgovanja.</w:t>
      </w:r>
    </w:p>
    <w:p w14:paraId="5D7CDC5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Borznoposredniška družba ne sme prejeti kakršnegakoli plačila, popusta ali nedenarnih koristi za usmerjanje naročil strank na določeno mesto trgovanja, če bi to pomenilo kršenje zahtev glede konflikta interesov ali sprejemanja provizij ali spodbud v nasprotju z 233. členom in oddelkom 7.2 tega zakona.</w:t>
      </w:r>
    </w:p>
    <w:p w14:paraId="1A1CBE2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(7) Mesta trgovanja in sistematični </w:t>
      </w:r>
      <w:proofErr w:type="spellStart"/>
      <w:r w:rsidRPr="004319E8">
        <w:rPr>
          <w:rFonts w:ascii="Arial" w:eastAsia="Arial" w:hAnsi="Arial" w:cs="Arial"/>
          <w:sz w:val="20"/>
          <w:szCs w:val="20"/>
        </w:rPr>
        <w:t>internalizatorji</w:t>
      </w:r>
      <w:proofErr w:type="spellEnd"/>
      <w:r w:rsidRPr="004319E8">
        <w:rPr>
          <w:rFonts w:ascii="Arial" w:eastAsia="Arial" w:hAnsi="Arial" w:cs="Arial"/>
          <w:sz w:val="20"/>
          <w:szCs w:val="20"/>
        </w:rPr>
        <w:t xml:space="preserve"> vsaj enkrat letno brezplačno objavijo podatke o kakovosti izvršitve poslov v svojih trgovalnih sistemih za finančne instrumente, za katere veljajo obveznosti iz 23. in 28. člena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Enaka zahteva velja za mesta izvrševanja naročil s tistimi finančnimi instrumenti, za katere ne veljajo obveznosti iz 23. in 28. člena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Redna poročila vključujejo podrobnosti glede cene, stroškov, hitrosti in verjetnost sklenitve posla za posamezne finančne instrumente.</w:t>
      </w:r>
    </w:p>
    <w:p w14:paraId="5BB8E01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Borznoposredniška družba po izvršitvi posla za stranko to obvesti o mestu, kjer je bilo njeno naročilo izvršeno.</w:t>
      </w:r>
    </w:p>
    <w:p w14:paraId="5E7AF74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269. člen</w:t>
      </w:r>
    </w:p>
    <w:p w14:paraId="2E6E305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(mesto izvrševanja naročil strank)</w:t>
      </w:r>
    </w:p>
    <w:p w14:paraId="544184F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Če je v politiki izvrševanja naročil strank določena možnost izvršitve teh naročil zunaj mesta trgovanja, borznoposredniška družba stranko opozori zlasti na to možnost.</w:t>
      </w:r>
    </w:p>
    <w:p w14:paraId="7097189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Pred izvršitvijo naročila stranke zunaj mesta trgovanja borznoposredniška družba za izvršitev naročila na tak način pridobi izrecno soglasje stranke.</w:t>
      </w:r>
    </w:p>
    <w:p w14:paraId="6F97A51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Soglasje iz prejšnjega odstavka lahko stranka da kot splošno soglasje glede vseh naročil ali kot posebno soglasje v zvezi z izvršitvijo posameznega naročila.</w:t>
      </w:r>
    </w:p>
    <w:p w14:paraId="27A6030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Borznoposredniška družba enkrat letno objavi povzetek prvih petih mest, kjer je izvršila največ poslov za stranke s posameznim finančnim instrumentom, skupaj z informacijo o kakovosti izvršitev poslov iz sedmega odstavka 267. člena tega zakona.</w:t>
      </w:r>
    </w:p>
    <w:p w14:paraId="26CE237E"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270. člen</w:t>
      </w:r>
    </w:p>
    <w:p w14:paraId="4D34625A"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(spremljanje in ocenjevanje učinkovitosti politike izvrševanja naročil)</w:t>
      </w:r>
    </w:p>
    <w:p w14:paraId="6DADFEC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(1) Borznoposredniška družba spremlja učinkovitost sistema in postopkov ter politike izvrševanja naročil zato, da se ugotovijo in odpravijo pomanjkljivosti teh ukrepov ali politik. Zlasti redno presoja, ali mesta izvrševanja naročil, ki so zajeta v politiki izvrševanja naročil, omogočajo izvršitev naročil pod pogoji, ki so najugodnejši za stranke, in ali je treba ustrezno spremeniti ukrepe za izvrševanje naročil strank ob upoštevanju informacij iz sedmega in osmega odstavka 267. in četrtega odstavka 269. člena tega zakona.</w:t>
      </w:r>
    </w:p>
    <w:p w14:paraId="4713B0D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Borznoposredniška družba stranke obvesti o vsaki pomembni spremembi sistema in postopkov ter politike izvrševanja njihovih naročil.</w:t>
      </w:r>
    </w:p>
    <w:p w14:paraId="597524A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Borznoposredniška družba:</w:t>
      </w:r>
    </w:p>
    <w:p w14:paraId="7E0C7CC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stranki na njeno zahtevo izkaže, da je njeno naročilo izvršila v skladu s svojo politiko izvrševanja naročil,</w:t>
      </w:r>
    </w:p>
    <w:p w14:paraId="401CA5A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vzpostavi in uresničuje ustrezne ukrepe za spremljanje izvrševanja naročil, ki omogočajo izkazovanje okoliščin iz prejšnje točke, in</w:t>
      </w:r>
    </w:p>
    <w:p w14:paraId="260BE82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na zahtevo agencije dokaže, da je pri izvrševanju naročil strank vedno ravnala v skladu z najugodnejšimi pogoji za stranko.</w:t>
      </w:r>
    </w:p>
    <w:p w14:paraId="31D552D8"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278. člen</w:t>
      </w:r>
    </w:p>
    <w:p w14:paraId="5FD7F0E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(register odvisnih borznoposredniških zastopnikov)</w:t>
      </w:r>
    </w:p>
    <w:p w14:paraId="7A42805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Agencija za namene tega zakona vodi register odvisnih borznoposredniških zastopnikov s sedežem v Republiki Sloveniji (v nadaljnjem besedilu: register zastopnikov).</w:t>
      </w:r>
    </w:p>
    <w:p w14:paraId="6443B94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Odvisni borznoposredniški zastopnik se vpiše v register zastopnikov, če:</w:t>
      </w:r>
    </w:p>
    <w:p w14:paraId="1527502E"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ima dobro ime ter ima</w:t>
      </w:r>
    </w:p>
    <w:p w14:paraId="203BAC76"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v primeru, da bo dejavnost odvisnega borznega zastopnika opravljala fizična oseba, ta oseba dovoljenja za opravljanje poslov borznega posrednika najmanj za posle iz 1. in 2. točke prvega odstavka 219. člena tega zakona,</w:t>
      </w:r>
    </w:p>
    <w:p w14:paraId="2C53E3BD"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v primeru, da bo dejavnost odvisnega borznega zastopnika opravljala pravna oseba, ta oseba izkaže, da bo zanjo storitve iz prvega odstavka 279. člena tega zakona dejansko opravljalo ustrezno število fizičnih oseb, ki so pridobile dovoljenje za opravljanje poslov borznega posrednika, in sicer najmanj za posle iz 1. in 2. točke prvega odstavka 219. člena tega zakona.</w:t>
      </w:r>
    </w:p>
    <w:p w14:paraId="29549E5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Agencija o zahtevi za vpis v register zastopnikov odloči z odločbo.</w:t>
      </w:r>
    </w:p>
    <w:p w14:paraId="2E4AE01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Za namen vodenja registra zastopnikov, register vsebuje najmanj te podatke o osebah iz prvega odstavka tega člena:</w:t>
      </w:r>
    </w:p>
    <w:p w14:paraId="0983E1E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enolično identifikacijo, ki jo predstavlja opravilna številka zadeve, pod katero se je vodila zahteva za vpis v register,</w:t>
      </w:r>
    </w:p>
    <w:p w14:paraId="237ECF1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osebno ime in stalno prebivališče fizične osebe oziroma firmo in sedež pravne osebe,</w:t>
      </w:r>
    </w:p>
    <w:p w14:paraId="52DC3DB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davčno številko.</w:t>
      </w:r>
    </w:p>
    <w:p w14:paraId="663949F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(5) Agencija borznoposredniški družbi zagotovi vse informacije, s katerimi razpolaga in jih borznoposredniška družba potrebuje za preveritev ustreznih lastnosti odvisnega borznoposredniškega zastopnika iz prvega odstavka tega člena, ki ga namerava pooblastiti.</w:t>
      </w:r>
    </w:p>
    <w:p w14:paraId="3ED7351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Agencija redno vzdržuje register zastopnikov in omogoča javno dostopnost podatkov, ki se vpisujejo vanj.</w:t>
      </w:r>
    </w:p>
    <w:p w14:paraId="611C7B3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Za vpis in izbris odvisnih borznoposredniških zastopnikov iz registra zastopnikov se smiselno uporabljajo 220. in 222. do 224. člen tega zakona.</w:t>
      </w:r>
    </w:p>
    <w:p w14:paraId="1CAFA7E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Agencija izbriše odvisnega borznoposredniškega zastopnika iz registra tudi v primeru, če nima poravnanih obveznosti do agencije ali če preneha obstajati.</w:t>
      </w:r>
    </w:p>
    <w:p w14:paraId="19C80D60"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322. člen</w:t>
      </w:r>
    </w:p>
    <w:p w14:paraId="2AB5DCEA"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(obveznosti glede začasnega ali trajnega umika finančnega instrumenta iz trgovanja v MTF ali OTF)</w:t>
      </w:r>
    </w:p>
    <w:p w14:paraId="1DE8C9F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Upravljavec MTF ali OTF začasno ustavi trgovanje s finančnim instrumentom ali trajno umakne finančni instrument iz trgovanja v svojem sistemu, če je ustavitev ali prepoved trgovanja kot nadzorni ukrep odredila agencija ali drug nadzorni organ države članice izdajatelja tega finančnega instrumenta.</w:t>
      </w:r>
    </w:p>
    <w:p w14:paraId="0698AAC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Upravljavec MTF ali OTF lahko začasno ustavi trgovanje s finančnim instrumentom ali trajno umakne finančni instrument iz trgovanja v svojem sistemu, če ta finančni instrument ne izpolnjuje več zahtev za trgovanje v takšnem sistemu, razen če bi tak ukrep lahko povzročil pomembne škodljive posledice za interese vlagateljev ali normalno delovanje trga.</w:t>
      </w:r>
    </w:p>
    <w:p w14:paraId="29DB4D0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Upravljavec MTF ali OTF v primeru iz prejšnjega odstavka uporabi, ob upoštevanju delegiranega akta Evropske komisije, izdanega na podlagi drugega odstavka 32. člena </w:t>
      </w:r>
      <w:r w:rsidR="00801FB2"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enak ukrep za izvedene finančne instrumente iz 4. do 10. točke drugega odstavka 7. člena tega zakona, ki se nanašajo na finančni instrument, ki je predmet ustavitve ali umika iz trgovanja, da bi se zagotovil cilj, zaradi katerega je bil finančni instrument predmet ustavitve ali umika iz trgovanja.</w:t>
      </w:r>
    </w:p>
    <w:p w14:paraId="5D2812F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Upravljavec MTF ali OTF ob upoštevanju izvedbenega akta Evropske komisije, izdanega na podlagi tretjega odstavka 32. člena </w:t>
      </w:r>
      <w:r w:rsidR="00801FB2"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agencijo takoj obvesti o vsaki začasni ustavitvi trgovanja in vsakem umiku iz trgovanja za vsak finančni instrument ali izvedeni finančni instrument, ki se nanaša na ta finančni instrument, ter informacijo o tem javno objavi na svojih spletnih straneh.</w:t>
      </w:r>
    </w:p>
    <w:p w14:paraId="656C516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(5) Agencija v primeru iz drugega ali tretjega odstavka tega člena od vseh drugih mest trgovanja in sistematičnih </w:t>
      </w:r>
      <w:proofErr w:type="spellStart"/>
      <w:r w:rsidRPr="004319E8">
        <w:rPr>
          <w:rFonts w:ascii="Arial" w:eastAsia="Arial" w:hAnsi="Arial" w:cs="Arial"/>
          <w:sz w:val="20"/>
          <w:szCs w:val="20"/>
        </w:rPr>
        <w:t>internalizatorjev</w:t>
      </w:r>
      <w:proofErr w:type="spellEnd"/>
      <w:r w:rsidRPr="004319E8">
        <w:rPr>
          <w:rFonts w:ascii="Arial" w:eastAsia="Arial" w:hAnsi="Arial" w:cs="Arial"/>
          <w:sz w:val="20"/>
          <w:szCs w:val="20"/>
        </w:rPr>
        <w:t xml:space="preserve"> s sedežem v Republiki Sloveniji, ki trgujejo z enakim finančnim ali izvedenim finančnim instrumentom, zahteva, da začasno ustavijo trgovanje oziroma umaknejo iz trgovanja zadevni finančni ali izvedeni finančni instrument v svojem sistemu, če je tak ukrep posledica suma kršitev predpisov o zlorabah trga, prevzemov javnih družb ali nerazkritja notranjih informacij o izdajatelju ali finančnem instrumentu, kot je določeno v 7. in 17. členu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razen če bi tak ukrep lahko povzročil pomembne škodljive posledice za interese vlagateljev ali normalno delovanje trga.</w:t>
      </w:r>
    </w:p>
    <w:p w14:paraId="077B43F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Ukrep iz prejšnjega odstavka agencija nemudoma sporoči ESMA in nadzornim organom drugih držav članic.</w:t>
      </w:r>
    </w:p>
    <w:p w14:paraId="1EEC38D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(7) Če agencija prejme obvestilo iz prejšnjega odstavka od pristojnega organa druge države članice, agencija od vseh mest trgovanja in sistematičnih </w:t>
      </w:r>
      <w:proofErr w:type="spellStart"/>
      <w:r w:rsidRPr="004319E8">
        <w:rPr>
          <w:rFonts w:ascii="Arial" w:eastAsia="Arial" w:hAnsi="Arial" w:cs="Arial"/>
          <w:sz w:val="20"/>
          <w:szCs w:val="20"/>
        </w:rPr>
        <w:t>internalizatorjev</w:t>
      </w:r>
      <w:proofErr w:type="spellEnd"/>
      <w:r w:rsidRPr="004319E8">
        <w:rPr>
          <w:rFonts w:ascii="Arial" w:eastAsia="Arial" w:hAnsi="Arial" w:cs="Arial"/>
          <w:sz w:val="20"/>
          <w:szCs w:val="20"/>
        </w:rPr>
        <w:t xml:space="preserve"> s sedežem v Republiki Sloveniji, ki trgujejo z enakim finančnim ali izvedenim finančnim instrumentom, zahteva, </w:t>
      </w:r>
      <w:r w:rsidRPr="004319E8">
        <w:rPr>
          <w:rFonts w:ascii="Arial" w:eastAsia="Arial" w:hAnsi="Arial" w:cs="Arial"/>
          <w:sz w:val="20"/>
          <w:szCs w:val="20"/>
        </w:rPr>
        <w:lastRenderedPageBreak/>
        <w:t xml:space="preserve">da začasno ustavijo trgovanje ali umaknejo iz trgovanja zadevni finančni ali izvedeni finančni instrument v svojem sistemu, če je tak ukrep posledica suma kršitev predpisov o zlorabah trga, prevzemov javnih družb ali nerazkritja notranjih informacij o izdajatelju ali finančnem instrumentu, kot je določeno v 7. in 17. členu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razen če bi tak ukrep lahko povzročil pomembne škodljive posledice za interese vlagateljev ali normalno delovanje trga.</w:t>
      </w:r>
    </w:p>
    <w:p w14:paraId="674E956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Agencija sporoči ESMA in nadzornim organom drugih držav članic svojo odločitev, ki jo je sprejela na podlagi prejšnjega odstavka, vključno z obrazložitvijo, če ni sprejela enakega ukrepa kot nadzorni organ druge države članice.</w:t>
      </w:r>
    </w:p>
    <w:p w14:paraId="4CC795A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(9) Ta člen se smiselno uporablja tudi, kadar je bila začasna ustavitev trgovanja ali umik finančnega instrumenta iz trgovanja umaknjen.</w:t>
      </w:r>
    </w:p>
    <w:p w14:paraId="1FC5B2D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325. člen</w:t>
      </w:r>
    </w:p>
    <w:p w14:paraId="7E6B97C8"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(spremljanje skladnosti ravnanja s pravili MTF in OTF)</w:t>
      </w:r>
    </w:p>
    <w:p w14:paraId="00AAC92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Upravljavec MTF ali OTF vzpostavi in vzdržuje učinkovite ukrepe in postopke za redno spremljanje skladnosti ravnanja članov, udeležencev ali uporabnikov tega sistema z njegovimi pravili.</w:t>
      </w:r>
    </w:p>
    <w:p w14:paraId="32F3631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Upravljavec MTF ali OTF spremlja poslana naročila, vključno s preklicanimi, in izvršene posle, ki jih sklepajo člani, udeleženci ali uporabniki v tem MTF ali OTF, zaradi odkrivanja kršitev pravil tega sistema, neurejenih pogojev trgovanja ali ravnanj, ki imajo značilnosti zlorabe trga, kot jih določa </w:t>
      </w:r>
      <w:r w:rsidR="00801FB2" w:rsidRPr="004319E8">
        <w:rPr>
          <w:rFonts w:ascii="Arial" w:eastAsia="Arial" w:hAnsi="Arial" w:cs="Arial"/>
          <w:color w:val="0000EE"/>
          <w:sz w:val="20"/>
          <w:szCs w:val="20"/>
          <w:u w:val="single" w:color="0000EE"/>
        </w:rPr>
        <w:t>Uredba 596/2014/EU</w:t>
      </w:r>
      <w:r w:rsidRPr="004319E8">
        <w:rPr>
          <w:rFonts w:ascii="Arial" w:eastAsia="Arial" w:hAnsi="Arial" w:cs="Arial"/>
          <w:sz w:val="20"/>
          <w:szCs w:val="20"/>
        </w:rPr>
        <w:t>, ali motenj v sistemu v zvezi s posameznim finančnim instrumentom. Upravljavec MTF ali OTF zagotovi, da učinkovito spremlja delovanje sistema iz prejšnjega stavka.</w:t>
      </w:r>
    </w:p>
    <w:p w14:paraId="3E2D2A3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Upravljavec MTF ali OTF agenciji poroča o pomembnih kršitvah pravil MTF ali OTF, neurejenih pogojih trgovanja in ravnanjih, ki imajo značilnosti zlorabe trga, kot jih določa </w:t>
      </w:r>
      <w:r w:rsidR="00801FB2" w:rsidRPr="004319E8">
        <w:rPr>
          <w:rFonts w:ascii="Arial" w:eastAsia="Arial" w:hAnsi="Arial" w:cs="Arial"/>
          <w:color w:val="0000EE"/>
          <w:sz w:val="20"/>
          <w:szCs w:val="20"/>
          <w:u w:val="single" w:color="0000EE"/>
        </w:rPr>
        <w:t>Uredba 596/2014/EU</w:t>
      </w:r>
      <w:r w:rsidRPr="004319E8">
        <w:rPr>
          <w:rFonts w:ascii="Arial" w:eastAsia="Arial" w:hAnsi="Arial" w:cs="Arial"/>
          <w:sz w:val="20"/>
          <w:szCs w:val="20"/>
        </w:rPr>
        <w:t>, ali motenj v sistemu v zvezi s posameznim finančnim instrumentom.</w:t>
      </w:r>
    </w:p>
    <w:p w14:paraId="65BA7D6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Upravljavec MTF ali OTF agenciji, nadzornemu organu druge države članice, pristojnemu za nadzor nad zlorabami trga, kot jih določa </w:t>
      </w:r>
      <w:r w:rsidR="00801FB2" w:rsidRPr="004319E8">
        <w:rPr>
          <w:rFonts w:ascii="Arial" w:eastAsia="Arial" w:hAnsi="Arial" w:cs="Arial"/>
          <w:color w:val="0000EE"/>
          <w:sz w:val="20"/>
          <w:szCs w:val="20"/>
          <w:u w:val="single" w:color="0000EE"/>
        </w:rPr>
        <w:t>Uredba 596/2014/EU</w:t>
      </w:r>
      <w:r w:rsidRPr="004319E8">
        <w:rPr>
          <w:rFonts w:ascii="Arial" w:eastAsia="Arial" w:hAnsi="Arial" w:cs="Arial"/>
          <w:sz w:val="20"/>
          <w:szCs w:val="20"/>
        </w:rPr>
        <w:t>, ali drugemu organu, pristojnemu za odkrivanje ali pregon dejanj, ki pomenijo zlorabo trga, na njegovo zahtevo brez nepotrebnega odlašanja da vse informacije, ki jih potrebuje za izvajanje svojih pristojnosti v zvezi z zlorabami trga, ter mu zagotovi celovito pomoč pri preiskavi in pregonu zlorabe trga, storjene v MTF ali OTF ali z uporabo MTF ali OTF.</w:t>
      </w:r>
    </w:p>
    <w:p w14:paraId="3E69B7B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Agencija informacije iz tretjega odstavka tega člena pošlje ESMA in nadzornim organom drugih držav članic. Če gre za ravnanja, ki imajo značilnosti zlorabe trga, agencija poročanje opravi šele, ko je prepričana, da gre za takšno ravnanje</w:t>
      </w:r>
    </w:p>
    <w:p w14:paraId="78BA3634"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326. člen</w:t>
      </w:r>
    </w:p>
    <w:p w14:paraId="1ABE6EB7"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(registracija razvojnega trga MSP)</w:t>
      </w:r>
    </w:p>
    <w:p w14:paraId="16AA25D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Upravljavec MTF s sedežem v Republiki Sloveniji lahko pri agenciji vloži zahtevo, da se MTF registrira kot razvojni trg MSP.</w:t>
      </w:r>
    </w:p>
    <w:p w14:paraId="187A8E4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Agencija registrira MTF kot razvojni trg MSP, če iz zahteve iz prejšnjega odstavka izhaja, da so izpolnjeni pogoji iz tega člena.</w:t>
      </w:r>
    </w:p>
    <w:p w14:paraId="30B05C0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Razvojni trg MSP lahko postane MTF, če izpolnjuje naslednje pogoje:</w:t>
      </w:r>
    </w:p>
    <w:p w14:paraId="78C87C5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      v času registracije razvojnega trga MSP in vsako koledarsko leto po tem vsaj 50 % izdajateljev, katerih finančni instrumenti so uvrščeni v trgovanje na MTF, predstavljajo mala in srednja podjetja, kot jih določa drugi odstavek 31. člena tega zakona,</w:t>
      </w:r>
    </w:p>
    <w:p w14:paraId="3E5828F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sprejme ustrezna merila za sprejem v trgovanje in nadaljnje trgovanje s finančnimi instrumenti izdajateljev na tem trgu,</w:t>
      </w:r>
    </w:p>
    <w:p w14:paraId="57279D0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ob sprejemu v trgovanje so javno dostopne zadostne informacije, ki omogočajo vlagateljem oblikovanje investicijske presoje o naložbi v finančni instrument. Te informacije so na voljo v obliki uvrstitvenega dokumenta ali v obliki prospekta, če so izpolnjeni pogoji za objavo prospekta iz 2. poglavja tega zakona in se finančni instrument uvršča v trgovanje v povezavi z izdajo prospekta,</w:t>
      </w:r>
    </w:p>
    <w:p w14:paraId="25C13DC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zagotovljeno je zadostno redno finančno poročanje, kot na primer letno revidirano finančno poročilo, s strani izdajatelja ali druge osebe za izdajatelja,</w:t>
      </w:r>
    </w:p>
    <w:p w14:paraId="016C331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izdajatelji na tem MTF kot jih določa 21. točka, osebe, ki v izdajateljih opravljajo poslovodne naloge kot jih določa 25. točka, in osebe, ki so z njimi tesno povezane, kot jih določa 26. točka prvega odstavka 3. člena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xml:space="preserve">, izvršujejo obveznosti, kot jih določa </w:t>
      </w:r>
      <w:r w:rsidR="00801FB2" w:rsidRPr="004319E8">
        <w:rPr>
          <w:rFonts w:ascii="Arial" w:eastAsia="Arial" w:hAnsi="Arial" w:cs="Arial"/>
          <w:color w:val="0000EE"/>
          <w:sz w:val="20"/>
          <w:szCs w:val="20"/>
          <w:u w:val="single" w:color="0000EE"/>
        </w:rPr>
        <w:t>Uredba 596/2014/EU</w:t>
      </w:r>
      <w:r w:rsidRPr="004319E8">
        <w:rPr>
          <w:rFonts w:ascii="Arial" w:eastAsia="Arial" w:hAnsi="Arial" w:cs="Arial"/>
          <w:sz w:val="20"/>
          <w:szCs w:val="20"/>
        </w:rPr>
        <w:t>,</w:t>
      </w:r>
    </w:p>
    <w:p w14:paraId="2EF0E8D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informacije o izdajateljih na tem MTF, ki jih predpisujejo predpisi, se hranijo in javno objavljajo,</w:t>
      </w:r>
    </w:p>
    <w:p w14:paraId="6B21B17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MTF ima učinkovite sisteme in ukrepe, ki preprečujejo in zaznavajo zlorabe trga na tem trgu v skladu z </w:t>
      </w:r>
      <w:r w:rsidR="00801FB2" w:rsidRPr="004319E8">
        <w:rPr>
          <w:rFonts w:ascii="Arial" w:eastAsia="Arial" w:hAnsi="Arial" w:cs="Arial"/>
          <w:color w:val="0000EE"/>
          <w:sz w:val="20"/>
          <w:szCs w:val="20"/>
          <w:u w:val="single" w:color="0000EE"/>
        </w:rPr>
        <w:t>Uredbo 596/2014/EU</w:t>
      </w:r>
      <w:r w:rsidRPr="004319E8">
        <w:rPr>
          <w:rFonts w:ascii="Arial" w:eastAsia="Arial" w:hAnsi="Arial" w:cs="Arial"/>
          <w:sz w:val="20"/>
          <w:szCs w:val="20"/>
        </w:rPr>
        <w:t>.</w:t>
      </w:r>
    </w:p>
    <w:p w14:paraId="06A1DF0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Pogoji iz prejšnjega odstavka ne vplivajo na druge obveznosti upravljavca MTF, ki jih ima v skladu s tem zakonom, niti mu ne preprečujejo, da za svoj sistem ne postavi dodatnih pogojev.</w:t>
      </w:r>
    </w:p>
    <w:p w14:paraId="0AF6325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Agencija MTF s sedežem v Republiki Sloveniji odvzame registracijo razvojnega trga MSP, če:</w:t>
      </w:r>
    </w:p>
    <w:p w14:paraId="21F6E85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to zahteva upravljavec MTF,</w:t>
      </w:r>
    </w:p>
    <w:p w14:paraId="183B065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ne izpolnjuje pogojev iz tretjega odstavka tega člena.</w:t>
      </w:r>
    </w:p>
    <w:p w14:paraId="2B6E800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Agencija o registraciji razvojnega trga MSP in odvzemu registracije nemudoma obvesti ESMA.</w:t>
      </w:r>
    </w:p>
    <w:p w14:paraId="4931AF1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Finančni instrument izdajatelja, ki je sprejet v trgovanje na razvojnem trgu MSP, se lahko v trgovanje na drugem razvojnem trgu MSP uvrsti le, če je bil izdajatelj o tem obveščen in temu ni nasprotoval. V tem primeru izdajatelj do drugega razvojnega trga MSP nima nobenih obveznosti.</w:t>
      </w:r>
    </w:p>
    <w:p w14:paraId="12178B9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331. člen</w:t>
      </w:r>
    </w:p>
    <w:p w14:paraId="2C538942"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(nadziranje upravljanja pozicij za izvedene finančne instrumente na blago)</w:t>
      </w:r>
    </w:p>
    <w:p w14:paraId="1BC57B8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Upravljavec mesta trgovanja s sedežem v Republiki Sloveniji, na katerem se trguje z izvedenimi finančnimi instrumenti na blago, zagotovi nadzor upravljanja pozicij. Nadzor zagotavlja vsaj z naslednjimi ukrepi:</w:t>
      </w:r>
    </w:p>
    <w:p w14:paraId="02218A2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nadziranjem odprtih pozicij oseb,</w:t>
      </w:r>
    </w:p>
    <w:p w14:paraId="5BBD709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2.      pridobivanjem informacij od oseb, vključno s potrebno dokumentacijo, o velikosti in namenu njihovih pozicij ali izpostavljenosti, upravičenih ali končnih lastnikih, usklajenih dogovorih ali ravnanjih in o sredstvih ter obveznostih na osnovnem trgu blaga, pozicijah v izvedenih instrumentih na blago na podlagi istega osnovnega blaga in z enakimi značilnostmi na drugih mestih trgovanja in gospodarsko enakovrednih pogodbah OTC prek članov in udeležencev,</w:t>
      </w:r>
    </w:p>
    <w:p w14:paraId="0D94AE0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zahtevo, da oseba začasno ali trajno zapre ali zmanjša pozicijo, odvisno od primera, in možnostjo, da upravljavec mesta trgovanja takšen ukrep izvede sam, v primeru nespoštovanja njegove zahteve, in</w:t>
      </w:r>
    </w:p>
    <w:p w14:paraId="1BE4AE8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zahtevo, če je to potrebno, da oseba znova začasno vzpostavi likvidnost na trgu po dogovorjeni ceni in v dogovorjenem obsegu, pri čemer se izreče o nameri, da bo zmanjšala učinek velike ali prevladujoče pozicije.</w:t>
      </w:r>
    </w:p>
    <w:p w14:paraId="2F08AAD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Omejitve pozicij in nadziranje upravljanja pozicij iz 330. in 331. člena tega zakona so transparentne in ne smejo biti diskriminatorne ter določajo, kako se uporabljajo za osebe, z upoštevanjem značilnosti in sestave udeležencev na trgu ter načina uporabe pogodb, ki so predmet trgovanja.</w:t>
      </w:r>
    </w:p>
    <w:p w14:paraId="7A8FCC1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Upravljavec mesta trgovanja s sedežem v Republiki Sloveniji agenciji sporoči podrobne informacije o nadzoru upravljanja pozicij, ki ga izvaja.</w:t>
      </w:r>
    </w:p>
    <w:p w14:paraId="7996104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Agencija informacije iz prejšnjega odstavka skupaj s podrobnimi informacijami o omejitvah pozicij, ki jih je sprejela, sporoči ESMA.</w:t>
      </w:r>
    </w:p>
    <w:p w14:paraId="0CFA95E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Agencija je pristojna za nadzor nad 8. poglavjem tega zakona. Pri izvajanju nadzora lahko agencija uporabi nadzorne ukrepe v skladu s tem zakonom, da zagotovi, da pozicije oseb, ki imajo sedež ali poslujejo:</w:t>
      </w:r>
    </w:p>
    <w:p w14:paraId="0455CEB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v Republiki Sloveniji ali drugje, ne presegajo omejitev v izvedenih finančnih instrumentih na blago, ki jih je agencija določila glede pogodb s katerimi se trguje na mestih trgovanja v Republiki Sloveniji, in ekonomsko enakovrednih OTC pogodb,</w:t>
      </w:r>
    </w:p>
    <w:p w14:paraId="6AE7BF0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v Republiki Sloveniji, ne presegajo omejitev v izvedenih finančnih instrumentih na blago, ki jih je določil nadzorni organ druge države članice.</w:t>
      </w:r>
    </w:p>
    <w:p w14:paraId="5798887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Agencija lahko določi strožje omejitve pozicij, kot je določeno v drugem odstavku 330. člena tega zakona, le v izjemnem primeru, če je to objektivno nujno in sorazmerno glede na likvidnost posameznega trga in urejenega trgovanja na tem trgu. V tem primeru agencija na svojih spletnih straneh javno objavi podrobnosti strožjih omejitev. Strožje omejitve veljajo največ šest mesecev od njihove objave. Veljavnost se vsakič lahko podaljša za nadaljnjih šest mesecev, če še vedno obstajajo razlogi, zaradi katerih so bile strožje omejitve uvedene. Če se veljavnost ne podaljša, strožje omejitve avtomatsko prenehajo veljati po šestih mesecih od objave.</w:t>
      </w:r>
    </w:p>
    <w:p w14:paraId="11B8597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Agencija v primeru iz prejšnjega odstavka obvesti ESMA. V obvestilu navede razloge za določitev strožjih omejitev. Če so omejitve v nasprotju z mnenjem ESMA, agencija na svojih spletnih straneh objavi razloge za določitev takšnih omejitev.</w:t>
      </w:r>
    </w:p>
    <w:p w14:paraId="684CACA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Za nadzor iz petega odstavka tega člena se smiselno uporablja 347. člen tega zakona razen prvega, tretjega in desetega odstavka navedenega člena.</w:t>
      </w:r>
    </w:p>
    <w:p w14:paraId="60876F22"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332. člen</w:t>
      </w:r>
    </w:p>
    <w:p w14:paraId="46BF529A"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(poročanje pozicij za izvedene finančne instrumente na blago)</w:t>
      </w:r>
    </w:p>
    <w:p w14:paraId="34D0C35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(1) Upravljavec mesta trgovanja, na katerem se trguje z izvedenimi finančnimi instrumenti na blago ali emisijskimi kuponi ali izvedenimi finančnimi instrumenti na njihovi podlagi:</w:t>
      </w:r>
    </w:p>
    <w:p w14:paraId="47E217C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objavi tedensko poročilo, ki vsebuje skupne pozicije, ki jih imajo posamezne kategorije oseb v različnih izvedenih finančnih instrumentih na blago ali emisijskih kuponih ali njihovih izvedenih finančnih instrumentih, s katerimi se trguje na tem mestu trgovanja. V poročilu navede število dolgih in kratkih pozicij posameznih kategorij, njihovih sprememb glede na prejšnje poročilo, delež posamezne kategorije v skupnem količini odprtih pozicij in število oseb, ki imajo pozicijo v posamezni kategoriji v skladu s petim odstavkom tega člena. Poročilo pošlje agenciji in ESMA;</w:t>
      </w:r>
    </w:p>
    <w:p w14:paraId="47B6F1D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vsakodnevno poroča agenciji razčlenitev pozicij vseh oseb na tem mestu trgovanja, vključno z udeleženci in njihovimi strankami.</w:t>
      </w:r>
    </w:p>
    <w:p w14:paraId="506919C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Obveznost iz 1. točke prejšnjega odstavka se uporablja le, če sta tako število oseb kot njihove odprte pozicije presegli minimalne pragove.</w:t>
      </w:r>
    </w:p>
    <w:p w14:paraId="6B0DC79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Borznoposredniške družbe, ki trgujejo z izvedenimi finančnimi instrumenti na blago ali emisijskimi kuponi ali njihovimi izvedenimi finančnimi instrumenti izven mesta trgovanja, agenciji vsakodnevno poročajo popolno razčlenitev svojih pozicij v izvedenih finančnih instrumentih na blago ali emisijskih kuponih ali njihovih izvedenih finančnih instrumentih, s katerimi se trguje na mestu trgovanja v Republiki Sloveniji, in ekonomsko enakovrednih OTC pogodb, kot tudi pozicij svojih strank in strank teh strank vse do zadnje stranke, in sicer v skladu s 26. členom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če je primerno, z 8. členom </w:t>
      </w:r>
      <w:r w:rsidR="00801FB2" w:rsidRPr="004319E8">
        <w:rPr>
          <w:rFonts w:ascii="Arial" w:eastAsia="Arial" w:hAnsi="Arial" w:cs="Arial"/>
          <w:color w:val="0000EE"/>
          <w:sz w:val="20"/>
          <w:szCs w:val="20"/>
          <w:u w:val="single" w:color="0000EE"/>
        </w:rPr>
        <w:t>Uredbe 1227/2011/EU</w:t>
      </w:r>
      <w:r w:rsidRPr="004319E8">
        <w:rPr>
          <w:rFonts w:ascii="Arial" w:eastAsia="Arial" w:hAnsi="Arial" w:cs="Arial"/>
          <w:sz w:val="20"/>
          <w:szCs w:val="20"/>
        </w:rPr>
        <w:t>. Če se s finančnimi instrumenti iz prejšnjega stavka trguje na mestu trgovanja v drugi državi članici, borznoposredniška družba poroča centralnemu nadzornemu organu ali, kjer ni centralnega nadzornega organa, nadzornemu organu države članice mesta trgovanja.</w:t>
      </w:r>
    </w:p>
    <w:p w14:paraId="0AAFF5A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Člani ali udeleženci mest trgovanja v Republiki Sloveniji vsakodnevno upravljavcem teh mest trgovanja poročajo o podrobnostih svojih pozicij, ki jih imajo na podlagi pogodb, s katerimi se trguje na teh mestih trgovanja, ter pozicij svojih strank in strank teh strank vse do zadnje stranke.</w:t>
      </w:r>
    </w:p>
    <w:p w14:paraId="1B70E2A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Upravljavec mesta trgovanja, na katerem se trguje z izvedenimi finančnimi instrumenti na blago ali emisijskimi kuponi ali njihovimi izvedenimi finančnimi instrumenti, razvrsti osebe, ki imajo pozicije v teh finančnih instrumentih, glede na značilnosti njihove osnovne dejavnosti v kategorije, ob upoštevanju njihovih pridobljenih dovoljenj kot:</w:t>
      </w:r>
    </w:p>
    <w:p w14:paraId="54B44E0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borznoposredniške družbe in banke,</w:t>
      </w:r>
    </w:p>
    <w:p w14:paraId="24232EB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investicijske sklade, kot kolektivne naložbene podjeme za vlaganja v prenosljive vrednostne papirje ali kot upravljavca alternativnega investicijskega sklada,</w:t>
      </w:r>
    </w:p>
    <w:p w14:paraId="74C36B0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druge finančne institucije, kot zavarovalnice, pozavarovalnice ali pokojninski skladi,</w:t>
      </w:r>
    </w:p>
    <w:p w14:paraId="07EE023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gospodarske družbe,</w:t>
      </w:r>
    </w:p>
    <w:p w14:paraId="50D8295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v primeru emisijskih kuponov ali njihovih izvedenih finančnih instrumentov, upravljavce, za katere veljajo obveznosti iz </w:t>
      </w:r>
      <w:r w:rsidR="00801FB2" w:rsidRPr="004319E8">
        <w:rPr>
          <w:rFonts w:ascii="Arial" w:eastAsia="Arial" w:hAnsi="Arial" w:cs="Arial"/>
          <w:color w:val="0000EE"/>
          <w:sz w:val="20"/>
          <w:szCs w:val="20"/>
          <w:u w:val="single" w:color="0000EE"/>
        </w:rPr>
        <w:t>Direktive 2003/87/ES</w:t>
      </w:r>
      <w:r w:rsidRPr="004319E8">
        <w:rPr>
          <w:rFonts w:ascii="Arial" w:eastAsia="Arial" w:hAnsi="Arial" w:cs="Arial"/>
          <w:sz w:val="20"/>
          <w:szCs w:val="20"/>
        </w:rPr>
        <w:t>.</w:t>
      </w:r>
    </w:p>
    <w:p w14:paraId="0FB69FE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Poročilo iz 1. točke prvega odstavka tega člena vsebuje število dolgih in kratkih pozicij za posamezno kategorijo oseb, spremembe glede na prejšnje poročilo, delež posamezne kategorije v skupni količini odprtih pozicij in število oseb v posamezni kategoriji.</w:t>
      </w:r>
    </w:p>
    <w:p w14:paraId="6C21750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Poročilo iz 1. točke prvega odstavka tega člena in razčlenitev pozicij iz tretjega odstavka tega člena loči med:</w:t>
      </w:r>
    </w:p>
    <w:p w14:paraId="5A94518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      pozicijami, ki so opredeljene kot pozicije, ki objektivno zmanjšujejo tveganja, ki se nanašajo na poslovno dejavnost, in</w:t>
      </w:r>
    </w:p>
    <w:p w14:paraId="0708B82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drugimi pozicijami.</w:t>
      </w:r>
    </w:p>
    <w:p w14:paraId="748CAF2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Poročanje o pozicijah iz prvega odstavka tega člena se ne uporablja za vrednostne papirje iz 3. točke tretjega odstavka 7. člena tega zakona, povezane z osnovnim proizvodom ali osnovnim blagom iz 10. ali 11. točke drugega odstavka 7. člena tega zakona.</w:t>
      </w:r>
    </w:p>
    <w:p w14:paraId="53FD1862" w14:textId="77777777" w:rsidR="00064A50" w:rsidRPr="004319E8" w:rsidRDefault="00064A50" w:rsidP="00064A50">
      <w:pPr>
        <w:pStyle w:val="center"/>
        <w:pBdr>
          <w:top w:val="none" w:sz="0" w:space="10"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344. člen</w:t>
      </w:r>
    </w:p>
    <w:p w14:paraId="2F9D4689" w14:textId="77777777" w:rsidR="00064A50" w:rsidRPr="004319E8" w:rsidRDefault="00064A50" w:rsidP="00064A50">
      <w:pPr>
        <w:pStyle w:val="center"/>
        <w:pBdr>
          <w:top w:val="none" w:sz="0" w:space="10"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(pristojnost agencije za nadzor nad odvisnimi borznoposredniškimi zastopniki)</w:t>
      </w:r>
    </w:p>
    <w:p w14:paraId="3FA7D4EE" w14:textId="77777777" w:rsidR="00064A50" w:rsidRPr="004319E8" w:rsidRDefault="00064A50" w:rsidP="00064A50">
      <w:pPr>
        <w:pStyle w:val="zamik"/>
        <w:spacing w:before="210" w:after="210"/>
        <w:jc w:val="both"/>
        <w:rPr>
          <w:rFonts w:ascii="Arial" w:eastAsia="Arial" w:hAnsi="Arial" w:cs="Arial"/>
          <w:sz w:val="20"/>
          <w:szCs w:val="20"/>
        </w:rPr>
      </w:pPr>
      <w:r w:rsidRPr="004319E8">
        <w:rPr>
          <w:rFonts w:ascii="Arial" w:eastAsia="Arial" w:hAnsi="Arial" w:cs="Arial"/>
          <w:sz w:val="20"/>
          <w:szCs w:val="20"/>
        </w:rPr>
        <w:t>(1) Agencija je pristojna in odgovorna za nadzor nad odvisnimi borznoposredniškimi zastopniki, vpisanimi v register odvisnih borznoposredniških zastopnikov iz 278. člena tega zakona.</w:t>
      </w:r>
    </w:p>
    <w:p w14:paraId="65E0EFFC" w14:textId="2782566D" w:rsidR="00064A50" w:rsidRPr="004319E8" w:rsidRDefault="00064A50" w:rsidP="00064A50">
      <w:pPr>
        <w:pStyle w:val="zamik"/>
        <w:spacing w:before="210" w:after="210"/>
        <w:jc w:val="both"/>
        <w:rPr>
          <w:rFonts w:ascii="Arial" w:eastAsia="Arial" w:hAnsi="Arial" w:cs="Arial"/>
          <w:sz w:val="20"/>
          <w:szCs w:val="20"/>
        </w:rPr>
      </w:pPr>
      <w:r w:rsidRPr="004319E8">
        <w:rPr>
          <w:rFonts w:ascii="Arial" w:eastAsia="Arial" w:hAnsi="Arial" w:cs="Arial"/>
          <w:sz w:val="20"/>
          <w:szCs w:val="20"/>
        </w:rPr>
        <w:t>(2) Agencija lahko pri nadzoru, ali odvisni borznoposredniški zastopnik izpolnjuje pogoje iz drugega odstavka 278. člena tega zakona, sodeluje z borznoposredniškimi družbami in bankami, ki poslujejo prek tega odvisnega borznoposredniškega zastopnika.</w:t>
      </w:r>
    </w:p>
    <w:p w14:paraId="5427DA2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357. člen</w:t>
      </w:r>
    </w:p>
    <w:p w14:paraId="17E927E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(objava nadzornih ukrepov)</w:t>
      </w:r>
    </w:p>
    <w:p w14:paraId="66AC3D3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 Ne glede na druge določbe tega zakona agencija zaradi preprečevanja in odvračanja ravnanj, ki pomenijo kršitev 1., 4. in 7. do 9. poglavja tega zakona,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w:t>
      </w:r>
      <w:r w:rsidR="00801FB2" w:rsidRPr="004319E8">
        <w:rPr>
          <w:rFonts w:ascii="Arial" w:eastAsia="Arial" w:hAnsi="Arial" w:cs="Arial"/>
          <w:color w:val="0000EE"/>
          <w:sz w:val="20"/>
          <w:szCs w:val="20"/>
          <w:u w:val="single" w:color="0000EE"/>
        </w:rPr>
        <w:t>Uredbe 2016/1011/EU</w:t>
      </w:r>
      <w:r w:rsidRPr="004319E8">
        <w:rPr>
          <w:rFonts w:ascii="Arial" w:eastAsia="Arial" w:hAnsi="Arial" w:cs="Arial"/>
          <w:sz w:val="20"/>
          <w:szCs w:val="20"/>
        </w:rPr>
        <w:t xml:space="preserve"> in drugih predpisov s področja opravljanja investicijskih storitev in poslov, za nadzor nad katerimi je pristojna, javno objavi informacije o nadzornih ukrepih in sankcijah za prekršek, ki jih je izrekla zaradi kršitev teh predpisov.</w:t>
      </w:r>
    </w:p>
    <w:p w14:paraId="78B5CD6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Agencija v skladu s prejšnjim odstavkom javno objavi informacije na svoji spletni strani takoj, ko je oseba, na katero se nadzorni ukrep ali sankcija za prekršek nanaša, z odločbo obveščena o kršitvi.</w:t>
      </w:r>
    </w:p>
    <w:p w14:paraId="7195175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Informacije iz prvega odstavka tega člena obsegajo naslednje podatke:</w:t>
      </w:r>
    </w:p>
    <w:p w14:paraId="7FAD76C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 kršitelju:</w:t>
      </w:r>
    </w:p>
    <w:p w14:paraId="3CB30BE9"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naziv in sedež pravne osebe ali</w:t>
      </w:r>
    </w:p>
    <w:p w14:paraId="3BDCAC1B"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osebno ime in leto rojstva fizične osebe;</w:t>
      </w:r>
    </w:p>
    <w:p w14:paraId="1BC3661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o kršitvi:</w:t>
      </w:r>
    </w:p>
    <w:p w14:paraId="322F8759"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opis okoliščin in ravnanj, ki pomenijo kršitev predpisov iz prvega odstavka tega člena,</w:t>
      </w:r>
    </w:p>
    <w:p w14:paraId="64682DC2"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naravo ugotovljenih kršitev;</w:t>
      </w:r>
    </w:p>
    <w:p w14:paraId="0BB04FC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informacijo o tem, ali je zoper odločbo začet postopek sodnega ali upravnega varstva in odločitev o tem pravnem sredstvu.</w:t>
      </w:r>
    </w:p>
    <w:p w14:paraId="05F273F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Ne glede na prejšnji odstavek lahko agencija v primeru, ko bi bila objava identitete kršitelja nesorazmerna s težo kršitve ali bi objava lahko ogrozila stabilnost finančnih trgov ali </w:t>
      </w:r>
      <w:r w:rsidRPr="004319E8">
        <w:rPr>
          <w:rFonts w:ascii="Arial" w:eastAsia="Arial" w:hAnsi="Arial" w:cs="Arial"/>
          <w:sz w:val="20"/>
          <w:szCs w:val="20"/>
        </w:rPr>
        <w:lastRenderedPageBreak/>
        <w:t>uspešnost uradnih preiskav, hkrati z izdajo odločbe, s katero izreče nadzorni ukrep ali sankcijo za prekršek, odloči tudi, da se objava informacije o nadzornih ukrepih in sankcijah za prekršek:</w:t>
      </w:r>
    </w:p>
    <w:p w14:paraId="4158AF2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odloži do prenehanja razlogov proti objavi informacije,</w:t>
      </w:r>
    </w:p>
    <w:p w14:paraId="0244BA9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objavi brez identitete kršitelja, ali</w:t>
      </w:r>
    </w:p>
    <w:p w14:paraId="21B6447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ne izvede.</w:t>
      </w:r>
    </w:p>
    <w:p w14:paraId="686E33E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Agencija se na podlagi okoliščin posameznega primera odloči, ali bi bila objava identitete kršitelja nesorazmerna s težo kršitve.</w:t>
      </w:r>
    </w:p>
    <w:p w14:paraId="66C9C9C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Za oceno, ali je podan razlog, da bi objava lahko ogrozila uspešnost uradnih preiskav, ki se nanaša na interese uspešne izvedbe predkazenskega ali kazenskega postopka, agencija, če je s predkazenskim ali kazenskim postopkom seznanjena, predhodno pridobi mnenje pristojnega državnega tožilca, ki agencijo pri oceni zavezuje.</w:t>
      </w:r>
    </w:p>
    <w:p w14:paraId="664EE59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Agencija ne objavi ukrepa ali sankcije iz 3. točke prejšnjega odstavka, če ne bi mogla v primeru iz 1. in 2. točke prejšnjega odstavka zagotoviti ustrezne stabilnosti finančnih trgov ali bi bila objava ukrepa ali sankcije nesorazmerna s težo kršitve. Agencija lahko v primeru razlogov iz prejšnjega odstavka odloči tudi, da se objava identitete kršitelja začasno zadrži, ter navede rok za zadržanje objave, če bodo razlogi za zadržanje objave v tem obdobju verjetno prenehali obstajati.</w:t>
      </w:r>
    </w:p>
    <w:p w14:paraId="7BCA5C7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Agencija lahko v primeru iz 2. točke četrtega odstavka tega člena odloči tudi, da se objava identitete kršitelja začasno zadrži, ter navede rok za zadržanje objave identitete, če bodo razlogi za zadržanje objave identitete v tem obdobju verjetno prenehali obstajati.</w:t>
      </w:r>
    </w:p>
    <w:p w14:paraId="1D4B460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(9) V postopku odločanja o sankciji za prekršek agencija pred izdajo odločbe o prekršku kršitelja v pozivu k izjavi opozori na javno objavo informacij o izrečenih sankcijah za prekršek v skladu s tem členom in pouči, da v primeru obstoja razlogov iz četrtega odstavka tega člena te razloge navede v izjavi ter zanje predloži ustrezne dokaze.</w:t>
      </w:r>
    </w:p>
    <w:p w14:paraId="6BCA8F4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(10) Prejšnji odstavek se smiselno uporablja tudi v tistih postopkih nadzora, ko je kršitelju pred izdajo odločbe o nadzornem ukrepu zagotovljena pravica do izjave.</w:t>
      </w:r>
    </w:p>
    <w:p w14:paraId="54E75F9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(11) Podatki, v skladu s tem členom javno objavljeni na spletni strani agencije, ostanejo objavljeni pet let po objavi. Podatki, ki v skladu z zakonom, ki ureja varstvo osebnih podatkov, veljajo za osebne, se obravnavajo v skladu z zakonom, ki ureja varstvo osebnih podatkov.</w:t>
      </w:r>
    </w:p>
    <w:p w14:paraId="087F5A4C" w14:textId="77777777" w:rsidR="003263D1" w:rsidRPr="004319E8" w:rsidRDefault="003263D1" w:rsidP="003263D1">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358. člen</w:t>
      </w:r>
    </w:p>
    <w:p w14:paraId="18B7DD9E" w14:textId="77777777" w:rsidR="003263D1" w:rsidRPr="004319E8" w:rsidRDefault="003263D1" w:rsidP="003263D1">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(sistem sprejemanja prijav o kršitvah)</w:t>
      </w:r>
    </w:p>
    <w:p w14:paraId="60BDBF3A" w14:textId="3632CD74" w:rsidR="003263D1" w:rsidRPr="004319E8" w:rsidRDefault="003263D1" w:rsidP="003263D1">
      <w:pPr>
        <w:pStyle w:val="zamik"/>
        <w:spacing w:before="210" w:after="210"/>
        <w:jc w:val="both"/>
        <w:rPr>
          <w:rFonts w:ascii="Arial" w:eastAsia="Arial" w:hAnsi="Arial" w:cs="Arial"/>
          <w:sz w:val="20"/>
          <w:szCs w:val="20"/>
        </w:rPr>
      </w:pPr>
      <w:r w:rsidRPr="004319E8">
        <w:rPr>
          <w:rFonts w:ascii="Arial" w:eastAsia="Arial" w:hAnsi="Arial" w:cs="Arial"/>
          <w:sz w:val="20"/>
          <w:szCs w:val="20"/>
        </w:rPr>
        <w:t xml:space="preserve">(1) Agencija vzpostavi sistem sprejemanja prijav o dejstvih, ki pomenijo ali bi lahko pomenili kršitev 1. 4., 7. do 9. in 11. poglavja tega zakona ali </w:t>
      </w:r>
      <w:r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v skladu z 269. členom ZBan-3.</w:t>
      </w:r>
    </w:p>
    <w:p w14:paraId="6A5E0330" w14:textId="61F9A3ED" w:rsidR="003263D1" w:rsidRPr="004319E8" w:rsidRDefault="003263D1" w:rsidP="003263D1">
      <w:pPr>
        <w:pStyle w:val="zamik"/>
        <w:spacing w:before="210" w:after="210"/>
        <w:jc w:val="both"/>
        <w:rPr>
          <w:rFonts w:ascii="Arial" w:eastAsia="Arial" w:hAnsi="Arial" w:cs="Arial"/>
          <w:sz w:val="20"/>
          <w:szCs w:val="20"/>
        </w:rPr>
      </w:pPr>
      <w:r w:rsidRPr="004319E8">
        <w:rPr>
          <w:rFonts w:ascii="Arial" w:eastAsia="Arial" w:hAnsi="Arial" w:cs="Arial"/>
          <w:sz w:val="20"/>
          <w:szCs w:val="20"/>
        </w:rPr>
        <w:t xml:space="preserve">(2) Borznoposredniške družbe, banke pri opravljanju investicijskih storitev in poslov ter pomožnih investicijskih storitev, borza, APA in ARM iz prvega odstavka 333. člena tega zakona in podružnice investicijskih podjetij tretjih držav vzpostavijo sistem obveščanja o kršitvah tega zakona in </w:t>
      </w:r>
      <w:r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ki zaposlenim omogoča, da prek neodvisnih in samostojnih poročevalskih linij interno poročajo o kršitvah tega zakona in </w:t>
      </w:r>
      <w:r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Upravljavci referenčnih vrednosti vzpostavijo sistem internega obveščanja o kršitvah </w:t>
      </w:r>
      <w:r w:rsidRPr="004319E8">
        <w:rPr>
          <w:rFonts w:ascii="Arial" w:eastAsia="Arial" w:hAnsi="Arial" w:cs="Arial"/>
          <w:color w:val="0000EE"/>
          <w:sz w:val="20"/>
          <w:szCs w:val="20"/>
          <w:u w:val="single" w:color="0000EE"/>
        </w:rPr>
        <w:t>Uredbe 2016/1011/EU</w:t>
      </w:r>
      <w:r w:rsidRPr="004319E8">
        <w:rPr>
          <w:rFonts w:ascii="Arial" w:eastAsia="Arial" w:hAnsi="Arial" w:cs="Arial"/>
          <w:sz w:val="20"/>
          <w:szCs w:val="20"/>
        </w:rPr>
        <w:t>.</w:t>
      </w:r>
    </w:p>
    <w:p w14:paraId="79505012" w14:textId="400B4016" w:rsidR="003263D1" w:rsidRPr="004319E8" w:rsidRDefault="003263D1" w:rsidP="003263D1">
      <w:pPr>
        <w:pStyle w:val="zamik"/>
        <w:spacing w:before="210" w:after="210"/>
        <w:jc w:val="both"/>
        <w:rPr>
          <w:rFonts w:ascii="Arial" w:eastAsia="Arial" w:hAnsi="Arial" w:cs="Arial"/>
          <w:sz w:val="20"/>
          <w:szCs w:val="20"/>
        </w:rPr>
      </w:pPr>
      <w:r w:rsidRPr="004319E8">
        <w:rPr>
          <w:rFonts w:ascii="Arial" w:eastAsia="Arial" w:hAnsi="Arial" w:cs="Arial"/>
          <w:sz w:val="20"/>
          <w:szCs w:val="20"/>
        </w:rPr>
        <w:t>(3) Za sistem iz prejšnjega odstavka se smiselno uporablja 432. člen tega zakona.</w:t>
      </w:r>
    </w:p>
    <w:p w14:paraId="4B4C45E1"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368. člen</w:t>
      </w:r>
    </w:p>
    <w:p w14:paraId="4821B0E3"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(delničarji borze)</w:t>
      </w:r>
    </w:p>
    <w:p w14:paraId="4F8BE0B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Za delničarje borze se smiselno uporabljajo 66. do 82. člen, razen osmega odstavka 71. člena in četrtega odstavka 76. člena, ter 296. do 301. člen ZBan-3.</w:t>
      </w:r>
    </w:p>
    <w:p w14:paraId="4439783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Pri smiselni uporabi določb ZBan-3 iz prejšnjega odstavka se:</w:t>
      </w:r>
    </w:p>
    <w:p w14:paraId="6BC4DF3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namesto pojma »banka« uporablja pojem »borza«,</w:t>
      </w:r>
    </w:p>
    <w:p w14:paraId="7AB4450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namesto pojma »Banka Slovenije« uporablja pojem »agencija« in</w:t>
      </w:r>
    </w:p>
    <w:p w14:paraId="70C8134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namesto splošnega sklicevanja na pravila ZBan-3 uporabi splošno sklicevanje na pravila tega zakona.</w:t>
      </w:r>
    </w:p>
    <w:p w14:paraId="4699460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Borza o vsaki pridobitvi ali spremembi kvalificiranega deleža obvesti agencijo, razen če je ta na zahtevo imetnika tega deleža že izdala ustrezno dovoljenje.</w:t>
      </w:r>
    </w:p>
    <w:p w14:paraId="011FE79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Borza na svojih spletnih straneh javno objavi:</w:t>
      </w:r>
    </w:p>
    <w:p w14:paraId="4004410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vse imetnike kvalificiranih deležev s podatki o višini teh deležev,</w:t>
      </w:r>
    </w:p>
    <w:p w14:paraId="7E408E9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vsako spremembo imetnika kvalificiranega deleža, ki lahko glede na višino tega deleža izvaja pomembnejši vpliv na upravljanje borze.</w:t>
      </w:r>
    </w:p>
    <w:p w14:paraId="0DAA9691"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373. člen</w:t>
      </w:r>
    </w:p>
    <w:p w14:paraId="645EE136"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(trden in zanesljiv sistem upravljanja)</w:t>
      </w:r>
    </w:p>
    <w:p w14:paraId="26F2B8B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Borza vzpostavi in uresničuje trden in zanesljiv sistem upravljanja, ki vsebuje:</w:t>
      </w:r>
    </w:p>
    <w:p w14:paraId="48A55E7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jasno organizacijsko ureditev z natančno opredeljenimi, preglednimi in doslednimi notranjimi razmerji glede odgovornosti,</w:t>
      </w:r>
    </w:p>
    <w:p w14:paraId="0B2592C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učinkovite postopke ugotavljanja, merjenja ali ocenjevanja, obvladovanja in spremljanja tveganj, ki jim je borza izpostavljena ali bi jim bila lahko izpostavljena pri svojem poslovanju,</w:t>
      </w:r>
    </w:p>
    <w:p w14:paraId="3B7BF7A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ustrezen sistem notranjih kontrol, ki vključuje ustrezne administrativne in računovodske postopke.</w:t>
      </w:r>
    </w:p>
    <w:p w14:paraId="1DD910C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Organizacijska ureditev, postopki in sistemi iz prejšnjega odstavka so jasno in razumljivo opredeljeni in sorazmerni z značilnostmi, obsegom in zapletenostjo poslov, ki jih opravlja borza.</w:t>
      </w:r>
    </w:p>
    <w:p w14:paraId="2B65318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Borza na borznem trgu, ki ga upravlja, ne sme izvrševati naročil strank v breme lastnega kapitala ali uporabiti tehnike trgovanja s hkratnim nakupom in prodajo za svoj račun.</w:t>
      </w:r>
    </w:p>
    <w:p w14:paraId="6428F6D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375. člen</w:t>
      </w:r>
    </w:p>
    <w:p w14:paraId="1292227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(varovalni mehanizmi)</w:t>
      </w:r>
    </w:p>
    <w:p w14:paraId="0B412E5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Borza pri upravljanju borznega trga zagotovi učinkovite sisteme in postopke, ki zavračajo naročila, ki presegajo vnaprej določene količinske in cenovne prage ali so očitno napačna.</w:t>
      </w:r>
    </w:p>
    <w:p w14:paraId="5E9A68E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Borza zagotovi možnost začasne ustavitve ali omejitve trgovanja na borznem trgu, če pride do precejšnjega nihanja cen finančnega instrumenta na tem ali podobnem trgu v kratkem časovnem obdobju. V izjemnih primerih lahko prekliče, spremeni ali popravi že sklenjeni posel.</w:t>
      </w:r>
    </w:p>
    <w:p w14:paraId="64B889A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Parametri za začasno ustavitev trgovanja so primerni likvidnosti različnih vrst finančnih instrumentov, značilnosti tržnega modela in vrstam uporabnikov. Zagotavljajo preprečevanje resnih motenj urejenega trgovanja.</w:t>
      </w:r>
    </w:p>
    <w:p w14:paraId="16862DB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Borza agenciji predloži parametre za začasno ustavitev trgovanja in ji sporoči vsako pomembno spremembo teh.</w:t>
      </w:r>
    </w:p>
    <w:p w14:paraId="349512C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Agencija informacije iz prejšnjega odstavka pošlje ESMA.</w:t>
      </w:r>
    </w:p>
    <w:p w14:paraId="55FE772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Če je borzni trg glede likvidnosti posameznega finančnega instrumenta pomemben za ta instrument, borza vzpostavi sistem obveščanja, ki ob začasni ustavitvi trgovanja s finančnim instrumentom obvesti agencijo in nadzorne organe drugih držav članic, kjer se trguje s tem finančnim instrumentom, da bi lahko uskladili, ali je potrebno začasno ustaviti trgovanje tudi na drugih mestih trgovanja.</w:t>
      </w:r>
    </w:p>
    <w:p w14:paraId="1E2E97C5"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376. člen</w:t>
      </w:r>
    </w:p>
    <w:p w14:paraId="7C8130A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(algoritemsko in elektronsko trgovanje, kolokacija)</w:t>
      </w:r>
    </w:p>
    <w:p w14:paraId="0334CA4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Borza pri upravljanju borznega trga zagotovi učinkovite sisteme in postopke, ki zagotavljajo, da algoritemski trgovalni sistemi ne ustvarjajo neurejenega trgovanja ali k temu prispevajo, in da ustrezno upravljajo z oteženimi trgovalnimi pogoji, ki izhajajo iz algoritemskega trgovanja. Takšni sistemi vključujejo omejitve števila neizvršenih naročil, ki jih lahko udeleženec vnese v trgovalni sistem, upočasnitev toka naročil, če obstaja nevarnost preobremenitve trgovalnega sistema ter omejitve in zagotavljanje najmanjših korakov kotacije, ki jih je mogoče izvršiti na trgu.</w:t>
      </w:r>
    </w:p>
    <w:p w14:paraId="1B406AB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Sistemi in postopki iz prejšnjega odstavka vključujejo zagotavljanje pogojev za testiranje algoritmov in zahtevo borze, da od udeležencev trga zahteva ustrezna testiranja algoritmov.</w:t>
      </w:r>
    </w:p>
    <w:p w14:paraId="114BE54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Borza dovoli opravljanje storitve zagotavljanja neposrednega elektronskega dostopa le osebam iz prvega in drugega odstavka 59. člena tega zakona, pri čemer se smiselno uporablja 243. člen tega zakona.</w:t>
      </w:r>
    </w:p>
    <w:p w14:paraId="27A78EA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Borza vzpostavi primerna pravila in standarde glede nadzora tveganj in pragove trgovanja glede neposrednega elektronskega dostopa. Sposobna je razlikovati naročila in posle posameznih oseb, ki uporabljajo neposredni elektronski dostop, od drugih naročil ali trgovanja osebe iz prvega in drugega odstavka 59. člena tega zakona in jih po potrebi ustavi.</w:t>
      </w:r>
    </w:p>
    <w:p w14:paraId="6217E5B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Borza lahko začasno odvzame ali prepove neposredni elektronski dostop, ki ga oseba iz prvega in drugega odstavka 59. člena tega zakona zagotavlja svoji stranki, če so kršena pravila iz tega člena.</w:t>
      </w:r>
    </w:p>
    <w:p w14:paraId="49D5A4C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Pravila, ki se nanašajo na storitve kolokacije, so pregledna, poštena in ne smejo biti diskriminatorna.</w:t>
      </w:r>
    </w:p>
    <w:p w14:paraId="241E6E2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(7) Borza je sposobna, na podlagi spremnih označb članov ali udeležencev, identificirati naročila, ustvarjena z algoritemskim trgovanjem, različne uporabljene algoritme za ustvarjanje naročil in osebe, ki so sprožile ta naročila. Na zahtevo agencije ji borza te podatke predloži.</w:t>
      </w:r>
    </w:p>
    <w:p w14:paraId="3E75D46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Borza agenciji brezplačno zagotovi vse trgovalne podatke, ki jih agencija potrebuje za opravljanje nadzora. Agencija lahko zahteva, da ji borza te podatke zagotovi z neposrednim dostopom do trgovalnih sistemov.</w:t>
      </w:r>
    </w:p>
    <w:p w14:paraId="4961FFEE"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377. člen</w:t>
      </w:r>
    </w:p>
    <w:p w14:paraId="4FA4341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(koraki kotacije)</w:t>
      </w:r>
    </w:p>
    <w:p w14:paraId="6970108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(1) Borza sprejme sistem korakov kotacije za delnice, potrdila o deponiranju vrednostnih papirjev, ETF, certifikate in druge podobne finančne instrumente ter za vsak drug finančni instrument v skladu z aktom Evropske komisije, izdanim na podlagi tretjega in četrtega odstavka 49. člena </w:t>
      </w:r>
      <w:r w:rsidR="00801FB2"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Izvajanje sistema korakov kotacije borzam ne preprečuje, da te povežejo naročila velike vrednosti po srednji vrednosti, znotraj trenutno ponujene nakupne ali prodajne cene.</w:t>
      </w:r>
    </w:p>
    <w:p w14:paraId="0B36FCA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Ureditev korakov kotacije:</w:t>
      </w:r>
    </w:p>
    <w:p w14:paraId="5786BAC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je prilagojena likvidnosti in značilnostim finančnega instrumenta na različnih trgih in povprečnemu razponu med ponujeno in povpraševano ceno ob upoštevanju želje po zagotavljanju primerno stabilne cene, ne da bi se neopravičeno omejevalo nadaljnje zmanjševanje razponov,</w:t>
      </w:r>
    </w:p>
    <w:p w14:paraId="66B83BA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sprejme primerne korake kotacije za vsak posamezni finančni instrument.</w:t>
      </w:r>
    </w:p>
    <w:p w14:paraId="44D5944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378. člen</w:t>
      </w:r>
    </w:p>
    <w:p w14:paraId="50A6C92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(uskladitev poslovnih ur)</w:t>
      </w:r>
    </w:p>
    <w:p w14:paraId="2980AB9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Vsa mesta trgovanja in njihovi člani ali udeleženci uskladijo poslovne ure, s katerimi beležijo datume in čase, ki jih uporabljajo za poročanje posameznih dejstev, ki jih zahtevajo predpisi.</w:t>
      </w:r>
    </w:p>
    <w:p w14:paraId="4842F347"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382. člen</w:t>
      </w:r>
    </w:p>
    <w:p w14:paraId="4B7BD291"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(krizni načrt in načrt neprekinjenega poslovanja ter odpornost)</w:t>
      </w:r>
    </w:p>
    <w:p w14:paraId="6849F47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Borza izdela krizni načrt in načrt neprekinjenega poslovanja, ki zagotavlja ustrezne pogoje, da tudi ob hudih poslovnih motnjah nadaljuje poslovanje in da se ustrezno omejijo izgube borze zaradi teh motenj.</w:t>
      </w:r>
    </w:p>
    <w:p w14:paraId="783479B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Borza pri upravljanju borznega trga zagotovi učinkovite sisteme in postopke, ki zagotavljajo odpornost trgovalnega sistema, da lahko prenese močno povečan obseg naročil in sporočil v sistem. Trgovalni sistem zagotovi urejeno trgovanje v primeru hudih motenj na trgu, kar borza zagotovi z rednim testiranjem takšnih situacij, ki morajo biti opredeljene v kriznem načrtu in načrtu neprekinjenega poslovanja.</w:t>
      </w:r>
    </w:p>
    <w:p w14:paraId="102EE87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406. člen</w:t>
      </w:r>
    </w:p>
    <w:p w14:paraId="72997FB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(obveščanje agencije in objava začasne ustavitve trgovanja in umika finančnih instrumentov iz trgovanja na borznem trgu)</w:t>
      </w:r>
    </w:p>
    <w:p w14:paraId="05C6535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Borza agencijo takoj obvesti o vsaki začasni ustavitvi trgovanja in vsakem umiku iz trgovanja na borznem trgu za vsak finančni instrument ali izvedeni finančni instrument, ki se nanaša na ta finančni instrument.</w:t>
      </w:r>
    </w:p>
    <w:p w14:paraId="24774CB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Borza ob upoštevanju izvedbenega akta Evropske komisije, izdanega na podlagi tretjega odstavka 52. člena </w:t>
      </w:r>
      <w:r w:rsidR="00801FB2"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javno objavi informacije o začasni ustaviti trgovanja in umiku iz trgovanja na borznem trgu za vsak finančni instrument ali izvedeni finančni instrument, ki se nanaša na ta finančni instrument, na svojih spletnih straneh.</w:t>
      </w:r>
    </w:p>
    <w:p w14:paraId="0419B20F" w14:textId="77777777" w:rsidR="002B5F0D" w:rsidRPr="004319E8" w:rsidRDefault="002B5F0D" w:rsidP="002B5F0D">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411. člen</w:t>
      </w:r>
    </w:p>
    <w:p w14:paraId="68D09FD8" w14:textId="77777777" w:rsidR="002B5F0D" w:rsidRPr="004319E8" w:rsidRDefault="002B5F0D" w:rsidP="002B5F0D">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(osebe, ki jih borza lahko sprejme v članstvo)</w:t>
      </w:r>
    </w:p>
    <w:p w14:paraId="26911CBA" w14:textId="77777777" w:rsidR="002B5F0D" w:rsidRPr="004319E8" w:rsidRDefault="002B5F0D" w:rsidP="002B5F0D">
      <w:pPr>
        <w:pStyle w:val="zamik"/>
        <w:spacing w:before="210" w:after="210"/>
        <w:jc w:val="both"/>
        <w:rPr>
          <w:rFonts w:ascii="Arial" w:eastAsia="Arial" w:hAnsi="Arial" w:cs="Arial"/>
          <w:sz w:val="20"/>
          <w:szCs w:val="20"/>
        </w:rPr>
      </w:pPr>
      <w:r w:rsidRPr="004319E8">
        <w:rPr>
          <w:rFonts w:ascii="Arial" w:eastAsia="Arial" w:hAnsi="Arial" w:cs="Arial"/>
          <w:sz w:val="20"/>
          <w:szCs w:val="20"/>
        </w:rPr>
        <w:t>(1) Borza lahko v članstvo sprejme:</w:t>
      </w:r>
    </w:p>
    <w:p w14:paraId="2807DDB2" w14:textId="77777777" w:rsidR="002B5F0D" w:rsidRPr="004319E8" w:rsidRDefault="002B5F0D" w:rsidP="002B5F0D">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borznoposredniško družbo, investicijsko podjetje, banko ali posebno finančno institucijo, ki je v Republiki Sloveniji v skladu s prvim oziroma drugim odstavkom 59. člena tega zakona upravičena neposredno ali prek podružnice opravljati investicijske storitve in posle iz 2., 3. ali 4. točke prvega odstavka 11. člena tega zakona,</w:t>
      </w:r>
    </w:p>
    <w:p w14:paraId="50D0AC23" w14:textId="77777777" w:rsidR="002B5F0D" w:rsidRPr="004319E8" w:rsidRDefault="002B5F0D" w:rsidP="002B5F0D">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investicijsko podjetje, banko ali posebno finančno institucijo države članice, ki je v državi članici svojega sedeža upravičena opravljati investicijske storitve in posle iz 2., 3. ali 4. točke prvega odstavka 11. člena tega zakona.</w:t>
      </w:r>
    </w:p>
    <w:p w14:paraId="70689693" w14:textId="77777777" w:rsidR="002B5F0D" w:rsidRPr="004319E8" w:rsidRDefault="002B5F0D" w:rsidP="002B5F0D">
      <w:pPr>
        <w:pStyle w:val="zamik"/>
        <w:spacing w:before="210" w:after="210"/>
        <w:jc w:val="both"/>
        <w:rPr>
          <w:rFonts w:ascii="Arial" w:eastAsia="Arial" w:hAnsi="Arial" w:cs="Arial"/>
          <w:sz w:val="20"/>
          <w:szCs w:val="20"/>
        </w:rPr>
      </w:pPr>
      <w:r w:rsidRPr="004319E8">
        <w:rPr>
          <w:rFonts w:ascii="Arial" w:eastAsia="Arial" w:hAnsi="Arial" w:cs="Arial"/>
          <w:sz w:val="20"/>
          <w:szCs w:val="20"/>
        </w:rPr>
        <w:t>(2) Pravila borze lahko določijo, da lahko borzni član postane tudi druga oseba, ki:</w:t>
      </w:r>
    </w:p>
    <w:p w14:paraId="776579C3" w14:textId="77777777" w:rsidR="002B5F0D" w:rsidRPr="004319E8" w:rsidRDefault="002B5F0D" w:rsidP="002B5F0D">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ima ustrezen ugled in dobro ime,</w:t>
      </w:r>
    </w:p>
    <w:p w14:paraId="0AFD317E" w14:textId="77777777" w:rsidR="002B5F0D" w:rsidRPr="004319E8" w:rsidRDefault="002B5F0D" w:rsidP="002B5F0D">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ima ustrezne trgovalne izkušnje in sposobnosti,</w:t>
      </w:r>
    </w:p>
    <w:p w14:paraId="2E6067CC" w14:textId="77777777" w:rsidR="002B5F0D" w:rsidRPr="004319E8" w:rsidRDefault="002B5F0D" w:rsidP="002B5F0D">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izpolnjuje druge pogoje za borznega člana, določene v pravilih borze.</w:t>
      </w:r>
    </w:p>
    <w:p w14:paraId="437AB95A" w14:textId="77777777" w:rsidR="002B5F0D" w:rsidRPr="004319E8" w:rsidRDefault="002B5F0D" w:rsidP="002B5F0D">
      <w:pPr>
        <w:pStyle w:val="zamik"/>
        <w:spacing w:before="210" w:after="210"/>
        <w:jc w:val="both"/>
        <w:rPr>
          <w:rFonts w:ascii="Arial" w:eastAsia="Arial" w:hAnsi="Arial" w:cs="Arial"/>
          <w:sz w:val="20"/>
          <w:szCs w:val="20"/>
        </w:rPr>
      </w:pPr>
      <w:r w:rsidRPr="004319E8">
        <w:rPr>
          <w:rFonts w:ascii="Arial" w:eastAsia="Arial" w:hAnsi="Arial" w:cs="Arial"/>
          <w:sz w:val="20"/>
          <w:szCs w:val="20"/>
        </w:rPr>
        <w:t>(3) Borza lahko v članstvo sprejme tudi Republiko Slovenijo in Banko Slovenije.</w:t>
      </w:r>
    </w:p>
    <w:p w14:paraId="63D5BFDA" w14:textId="77777777" w:rsidR="002B5F0D" w:rsidRPr="004319E8" w:rsidRDefault="002B5F0D" w:rsidP="00512760">
      <w:pPr>
        <w:pStyle w:val="zamik"/>
        <w:pBdr>
          <w:top w:val="none" w:sz="0" w:space="12" w:color="auto"/>
        </w:pBdr>
        <w:spacing w:before="210" w:after="210"/>
        <w:jc w:val="both"/>
        <w:rPr>
          <w:rFonts w:ascii="Arial" w:eastAsia="Arial" w:hAnsi="Arial" w:cs="Arial"/>
          <w:sz w:val="20"/>
          <w:szCs w:val="20"/>
        </w:rPr>
      </w:pPr>
    </w:p>
    <w:p w14:paraId="0FC7508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422. člen</w:t>
      </w:r>
    </w:p>
    <w:p w14:paraId="6C699738"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(namen nadzora in način opravljanja nadzora nad trgovanjem na borznem trgu)</w:t>
      </w:r>
    </w:p>
    <w:p w14:paraId="29DB3E6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Agencija opravlja nadzor nad trgovanjem na borznem trgu zaradi preverjanja, ali trgovanje poteka na pošten in urejen način, in ugotavljanja morebitnih ravnanj, ki pomenijo zlorabo trga.</w:t>
      </w:r>
    </w:p>
    <w:p w14:paraId="5AF6917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Agencija opravlja nadzor nad trgovanjem na borznem trgu:</w:t>
      </w:r>
    </w:p>
    <w:p w14:paraId="4037997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      s spremljanjem, zbiranjem in preverjanjem objavljenih informacij in poročil ter obvestil borze in drugih oseb, ki po tem ali drugem zakonu poročajo agenciji,</w:t>
      </w:r>
    </w:p>
    <w:p w14:paraId="3006264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z opravljanjem pregledov poslovanja:</w:t>
      </w:r>
    </w:p>
    <w:p w14:paraId="76F7E575"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borze in oseb iz drugega odstavka 419. člena tega zakona,</w:t>
      </w:r>
    </w:p>
    <w:p w14:paraId="1F2AAE05"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borznoposredniških družb in drugih oseb v skladu z določbami 10. poglavja tega zakona o nadzoru nad opravljanjem investicijskih storitev in poslov ter določbami 12. poglavja tega zakona o nadzoru nad kršitvami prepovedi zlorabe trga,</w:t>
      </w:r>
    </w:p>
    <w:p w14:paraId="4362BAAD"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izdajatelja in njegovih podrejenih ali nadrejenih družb v Republiki Sloveniji,</w:t>
      </w:r>
    </w:p>
    <w:p w14:paraId="3DA055E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z izrekanjem nadzornih ukrepov.</w:t>
      </w:r>
    </w:p>
    <w:p w14:paraId="4B0CCE6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Poleg nadzornih ukrepov, ki jih je agencija upravičena izreči po drugih določbah tega zakona, lahko agencija, če je to potrebno za varovanje interesov vlagateljev ali zagotovitve poštenega in urejenega trgovanja na borznem trgu, odredi začasno ustavitev trgovanja ali umik finančnega instrumenta iz trgovanja na borznem trgu. Agencija lahko odredi tudi ustavitev trgovanja ali umik izvedenih finančnih instrumentov iz 4. do 10. točke drugega odstavka 7. člena tega zakona, ki se nanašajo na finančni instrument, ki je predmet ustavitve oziroma umika iz trgovanja, da bi se zagotovil cilj ustavitve trgovanja oziroma umika iz trgovanja tega finančnega instrumenta.</w:t>
      </w:r>
    </w:p>
    <w:p w14:paraId="4556D11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Agencija v primeru iz prejšnjega odstavka, tretjega ali četrtega odstavka 403. člena ali drugega ali tretjega odstavka 404. člena tega zakona od vseh drugih mest trgovanja in sistematičnih </w:t>
      </w:r>
      <w:proofErr w:type="spellStart"/>
      <w:r w:rsidRPr="004319E8">
        <w:rPr>
          <w:rFonts w:ascii="Arial" w:eastAsia="Arial" w:hAnsi="Arial" w:cs="Arial"/>
          <w:sz w:val="20"/>
          <w:szCs w:val="20"/>
        </w:rPr>
        <w:t>internalizatorjev</w:t>
      </w:r>
      <w:proofErr w:type="spellEnd"/>
      <w:r w:rsidRPr="004319E8">
        <w:rPr>
          <w:rFonts w:ascii="Arial" w:eastAsia="Arial" w:hAnsi="Arial" w:cs="Arial"/>
          <w:sz w:val="20"/>
          <w:szCs w:val="20"/>
        </w:rPr>
        <w:t xml:space="preserve"> s sedežem v Republiki Sloveniji, ki trgujejo z enakim finančnim ali izvedenim finančnim instrumentom, zahteva, da začasno ustavijo trgovanje ali umaknejo iz trgovanja zadevni finančni ali izvedeni finančni instrument v svojem sistemu, če je tak ukrep posledica suma kršitev določb predpisov o zlorabah trga ali prevzemih javnih družb ali nerazkritja notranjih informacij o izdajatelju ali finančnem instrumentu, kot je določeno v 7. in 17. členu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razen če bi tak ukrep lahko povzročil pomembne škodljive posledice za interese vlagateljev ali normalno delovanje trga.</w:t>
      </w:r>
    </w:p>
    <w:p w14:paraId="2EA0DF8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Ukrep iz prejšnjega odstavka agencija nemudoma sporoči ESMA in nadzornim organom drugih držav članic.</w:t>
      </w:r>
    </w:p>
    <w:p w14:paraId="6CAC65B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(6) Če agencija prejme obvestilo iz prejšnjega odstavka od pristojnega organa druge države članice, agencija od vseh mest trgovanja in sistematičnih </w:t>
      </w:r>
      <w:proofErr w:type="spellStart"/>
      <w:r w:rsidRPr="004319E8">
        <w:rPr>
          <w:rFonts w:ascii="Arial" w:eastAsia="Arial" w:hAnsi="Arial" w:cs="Arial"/>
          <w:sz w:val="20"/>
          <w:szCs w:val="20"/>
        </w:rPr>
        <w:t>internalizatorjev</w:t>
      </w:r>
      <w:proofErr w:type="spellEnd"/>
      <w:r w:rsidRPr="004319E8">
        <w:rPr>
          <w:rFonts w:ascii="Arial" w:eastAsia="Arial" w:hAnsi="Arial" w:cs="Arial"/>
          <w:sz w:val="20"/>
          <w:szCs w:val="20"/>
        </w:rPr>
        <w:t xml:space="preserve"> s sedežem v Republiki Sloveniji, ki trgujejo z enakim finančnim ali izvedenim finančnim instrumentom, zahteva, da začasno ustavijo trgovanje oziroma umaknejo iz trgovanja zadevni finančni ali izvedeni finančni instrument v svojem sistemu, če je tak ukrep posledica suma kršitev določb predpisov o zlorabah trga ali prevzemih javnih družb ali nerazkritja notranjih informacij o izdajatelju ali finančnem instrumentu, kot je določeno v 7. in 17. členu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razen če bi tak ukrep lahko povzročil pomembne škodljive posledice za interese vlagateljev ali normalno delovanje trga.</w:t>
      </w:r>
    </w:p>
    <w:p w14:paraId="2CC7A46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Agencija sporoči ESMA in nadzornim organom drugih držav članic svojo odločitev, ki jo je sprejela na podlagi prejšnjega odstavka, vključno z obrazložitvijo, če ni sprejela enakega ukrepa kot nadzorni organ druge države članice.</w:t>
      </w:r>
    </w:p>
    <w:p w14:paraId="01FAEBC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Ta člen se smiselno uporablja tudi, kadar sta bila začasna ustavitev trgovanja ali umik finančnega instrumenta iz trgovanja umaknjena.</w:t>
      </w:r>
    </w:p>
    <w:p w14:paraId="1234A590"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443. člen</w:t>
      </w:r>
    </w:p>
    <w:p w14:paraId="08C03E7D"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(pristojnost agencije za nadzor nad CDD)</w:t>
      </w:r>
    </w:p>
    <w:p w14:paraId="5229FC3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(1) Agencija je pristojna za nadzor nad CDD.</w:t>
      </w:r>
    </w:p>
    <w:p w14:paraId="2FBE2D7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Agencija opravlja nadzor nad CDD zaradi preverjanja, ali CDD posluje v skladu s tem zakonom in predpisi, izdanimi na njegovi podlagi, ter drugimi akti, ki urejajo poslovanje s finančnimi instrumenti ali poslovanje CDD, in predpisi, izdanimi na njihovi podlagi.</w:t>
      </w:r>
    </w:p>
    <w:p w14:paraId="2DE2F36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Agencija opravlja nadzor nad CDD:</w:t>
      </w:r>
    </w:p>
    <w:p w14:paraId="76A00FE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s spremljanjem, zbiranjem in preverjanjem objavljenih informacij in poročil ter obvestil CDD in drugih oseb, ki ji po tem ali drugem zakonu oziroma predpisu poročajo,</w:t>
      </w:r>
    </w:p>
    <w:p w14:paraId="758F032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z opravljanjem pregledov poslovanja CDD,</w:t>
      </w:r>
    </w:p>
    <w:p w14:paraId="0A79FC1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z izrekanjem nadzornih ukrepov.</w:t>
      </w:r>
    </w:p>
    <w:p w14:paraId="04C7D18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Za dosego namena nadzora nad CDD je agencija pristojna tudi za nadzor:</w:t>
      </w:r>
    </w:p>
    <w:p w14:paraId="00BCCD4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nad člani uprave CDD v obsegu, določenem v 302. do 304. členu ZBan-3 v zvezi s 438.c členom tega zakona,</w:t>
      </w:r>
    </w:p>
    <w:p w14:paraId="661B017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nad člani nadzornega sveta CDD v obsegu, določenem v 302. in 305. členu ZBan-3 v zvezi s 438.c členom tega zakona,</w:t>
      </w:r>
    </w:p>
    <w:p w14:paraId="35141DA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nad imetniki kvalificiranih deležev CDD, ki vključuje tudi neupravičene imetnike takšnih deležev v obsegu, določenem v 80. členu ZBan-3 v zvezi s 438.f členom tega zakona, in 438.h do 438.m člena tega zakona.</w:t>
      </w:r>
    </w:p>
    <w:p w14:paraId="5FC36D4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Agencija lahko CDD, članom uprave ter nadzornega sveta in imetnikom kvalificiranih deležev v CDD, izreče naslednje nadzorne ukrepe:</w:t>
      </w:r>
    </w:p>
    <w:p w14:paraId="6744518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odreditev odprave kršitve, ki lahko vključuje tudi zahtevo za ustrezno spremembo ali dopolnitev pravil CDD,</w:t>
      </w:r>
    </w:p>
    <w:p w14:paraId="42F870E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odvzem dovoljenja,</w:t>
      </w:r>
    </w:p>
    <w:p w14:paraId="500F0A2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druge ukrepe, ki jih zakon oziroma drug predpis določa za vzpostavitev poslovanja CDD v skladu s predpisi</w:t>
      </w:r>
    </w:p>
    <w:p w14:paraId="6C047C2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Za nadzor nad CDD se smiselno uporabljajo 271. do 277. člen, prvi odstavek 279. člena, 281., 282., 293. in 295. člen ZBan-3. Za nadzor nad osebami iz 1. in 2. točke četrtega odstavka tega člena se smiselno uporablja podpoglavje 9.4 ZBan-3, če za posamezni primer ni določeno drugače.</w:t>
      </w:r>
    </w:p>
    <w:p w14:paraId="031B36F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Pri smiselni uporabi določb ZBan-3 iz četrtega in šestega odstavka tega člena se:</w:t>
      </w:r>
    </w:p>
    <w:p w14:paraId="46194D8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namesto izraza »banka« uporablja izraz »CDD«,</w:t>
      </w:r>
    </w:p>
    <w:p w14:paraId="53BFB75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namesto izraza »Banka Slovenije« uporablja izraz »agencija«,</w:t>
      </w:r>
    </w:p>
    <w:p w14:paraId="7CE9752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namesto napotila na predpise iz drugega odstavka 9. člena ZBan-3 uporablja napotilo na drugi odstavek tega člena.</w:t>
      </w:r>
    </w:p>
    <w:p w14:paraId="234005E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Za izvajanje nadzora po tem ali drugem zakonu CDD agenciji omogoča elektronski dostop do podatkov, ki jih zbira na podlagi zakonov, ki urejajo prevzeme, nematerializirane vrednostne papirje in trgovanje s finančnimi instrumenti.</w:t>
      </w:r>
    </w:p>
    <w:p w14:paraId="6A2F335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(9) Agencija lahko dostopa do podatkov iz tega člena v obsegu, ki je potreben za izvajanje posameznega nadzora. Pridobljene podatke je dolžna varovati v skladu z zakonom, ki varuje osebne podatke, in s pravili o varovanju poklicne skrivnosti.</w:t>
      </w:r>
    </w:p>
    <w:p w14:paraId="2FD0F12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(10) Agencija izda predpis v zvezi s podrobnejšo vsebino meril za ocenjevanje ustreznosti kandidata za opravljanje funkcije člana uprave CDD ter v zvezi s podrobnejšo vsebino meril za ocenjevanje ustreznosti kandidata za opravljanje funkcije člana nadzornega sveta CDD.</w:t>
      </w:r>
    </w:p>
    <w:p w14:paraId="7DBF9A7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(11) Določbe tega člena se smiselno uporabljajo tudi kadar pristojnost za nadzor nad CDD izvaja Banka Slovenije.</w:t>
      </w:r>
    </w:p>
    <w:p w14:paraId="3FF443DF" w14:textId="77777777" w:rsidR="00224187" w:rsidRPr="004319E8" w:rsidRDefault="00224187" w:rsidP="00224187">
      <w:pPr>
        <w:pStyle w:val="center"/>
        <w:pBdr>
          <w:top w:val="none" w:sz="0" w:space="10"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448. člen</w:t>
      </w:r>
    </w:p>
    <w:p w14:paraId="18DC99D5" w14:textId="77777777" w:rsidR="00224187" w:rsidRPr="004319E8" w:rsidRDefault="00224187" w:rsidP="00224187">
      <w:pPr>
        <w:pStyle w:val="center"/>
        <w:pBdr>
          <w:top w:val="none" w:sz="0" w:space="10"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(upravljanje poravnalnega sistema za poravnavo borznih poslov)</w:t>
      </w:r>
    </w:p>
    <w:p w14:paraId="62062F5B"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(1) Borza lahko za zagotovitev poravnave borznih poslov izbere katerikoli poravnalni sistem, ki ga upravlja:</w:t>
      </w:r>
    </w:p>
    <w:p w14:paraId="2253B1FE" w14:textId="77777777"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borznoposredniška družba, banka ali druga pravna oseba s sedežem v Republiki Sloveniji, ki za upravljanje tega poravnalnega sistema dobi dovoljenje agencije, ali</w:t>
      </w:r>
    </w:p>
    <w:p w14:paraId="7FE02161" w14:textId="77777777"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investicijsko podjetje, banka ali druga pravna oseba druge države članice, ki je na podlagi dovoljenja nadzornega organa te države članice upravičena upravljati tak poravnalni sistem.</w:t>
      </w:r>
    </w:p>
    <w:p w14:paraId="546D8AB6" w14:textId="6E341820"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 xml:space="preserve">(2) Za upravljavca poravnalnega sistema iz 1. točke prejšnjega odstavka se smiselno uporabljajo pododdelka 13.2.1 in 13.2.2, oddelek 13.3 tega zakona ter akti, sprejeti na podlagi </w:t>
      </w:r>
      <w:r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 xml:space="preserve"> glede dovoljenja za upravljanje poravnalnega sistema ter nadzora agencije in Banke Slovenije.</w:t>
      </w:r>
    </w:p>
    <w:p w14:paraId="096F475B" w14:textId="5DA06588"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 xml:space="preserve">(3) Za poravnalni sistem, ki ga upravlja upravljavec iz prvega odstavka tega člena, se smiselno uporabljajo 39. do 41. člen </w:t>
      </w:r>
      <w:r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w:t>
      </w:r>
    </w:p>
    <w:p w14:paraId="0D111C5E"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(4) Za izbiro upravljavca sistema iz prvega odstavka tega člena borza dobi dovoljenje agencije.</w:t>
      </w:r>
    </w:p>
    <w:p w14:paraId="6479FF5D"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(5) Agencija lahko zavrne zahtevo za dovoljenje za izbiro poravnalnega sistema samo v enem od naslednjih primerov:</w:t>
      </w:r>
    </w:p>
    <w:p w14:paraId="37467BFC" w14:textId="77777777"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če izbrani upravljavec poravnalnega sistema ne izpolnjuje pogojev iz prvega odstavka tega člena,</w:t>
      </w:r>
    </w:p>
    <w:p w14:paraId="260F4D49" w14:textId="55F65AF5"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če izbrani upravljavec poravnalnega sistema ne zagotovi povezav in drugih pogojev za opravljanje poravnave borznih poslov v skladu z 39. do 41. členom </w:t>
      </w:r>
      <w:r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 xml:space="preserve"> ali</w:t>
      </w:r>
    </w:p>
    <w:p w14:paraId="3414C216" w14:textId="77777777"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v drugih primerih, ko je to očitno potrebno za zagotovitev normalnega delovanja borznega trga.</w:t>
      </w:r>
    </w:p>
    <w:p w14:paraId="1B66944B"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(6) Za poravnalni sistem iz 2. točke prvega odstavka tega člena se smiselno uporablja peti odstavek 320. člena tega zakona.</w:t>
      </w:r>
    </w:p>
    <w:p w14:paraId="4953D3F7"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(7) V primeru izbire poravnalnega sistema, ki ga upravlja oseba iz prvega odstavka tega člena, poravnalno obdobje določi borza v pravilih borze.</w:t>
      </w:r>
    </w:p>
    <w:p w14:paraId="2FF798F4"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(8) Agencija pred izdajo soglasja k pravilom borze iz prejšnjega odstavka oziroma njihovim spremembam na podlagi tretjega odstavka 385. člena tega zakona v zvezi z določbami iz prejšnjega odstavka predhodno pridobi mnenje Banke Slovenije.</w:t>
      </w:r>
    </w:p>
    <w:p w14:paraId="48B38389" w14:textId="77777777" w:rsidR="00224187" w:rsidRPr="004319E8" w:rsidRDefault="00224187" w:rsidP="00224187">
      <w:pPr>
        <w:pStyle w:val="zamik"/>
        <w:spacing w:before="210" w:after="210"/>
        <w:jc w:val="both"/>
        <w:rPr>
          <w:rFonts w:ascii="Arial" w:eastAsia="Arial" w:hAnsi="Arial" w:cs="Arial"/>
          <w:sz w:val="20"/>
          <w:szCs w:val="20"/>
        </w:rPr>
      </w:pPr>
      <w:r w:rsidRPr="004319E8">
        <w:rPr>
          <w:rFonts w:ascii="Arial" w:eastAsia="Arial" w:hAnsi="Arial" w:cs="Arial"/>
          <w:sz w:val="20"/>
          <w:szCs w:val="20"/>
        </w:rPr>
        <w:t>(9) Agencija zavrne soglasje k pravilom borze ali spremembam pravil borze glede določb, ki se nanašajo na poravnalno obdobje, če:</w:t>
      </w:r>
    </w:p>
    <w:p w14:paraId="29C9EFC5" w14:textId="77777777"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      ne pridobi pozitivnega mnenja Banke Slovenije glede ustreznosti ureditve vodenja sistema poravnave vrednostnih papirjev,</w:t>
      </w:r>
    </w:p>
    <w:p w14:paraId="4300199B" w14:textId="77777777"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predlagana ureditev ne omogoča nemotenega in urejenega delovanja finančnih trgov ali</w:t>
      </w:r>
    </w:p>
    <w:p w14:paraId="043CDC55" w14:textId="0AF1AEBE" w:rsidR="00224187" w:rsidRPr="004319E8" w:rsidRDefault="00224187" w:rsidP="00224187">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s strani poravnalnega sistema niso izpolnjeni pogoji za zagotavljanje zanesljive, učinkovite in ekonomične poravnave borznih poslov.</w:t>
      </w:r>
    </w:p>
    <w:p w14:paraId="3A959D66"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450. člen</w:t>
      </w:r>
    </w:p>
    <w:p w14:paraId="18C427B3"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(član sistema jamstva in zajamčena terjatev vlagatelja)</w:t>
      </w:r>
    </w:p>
    <w:p w14:paraId="3833C91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V sistem jamstva za terjatve vlagateljev po tem zakonu so,v skladu s pravili, ki jih izda agencija na podlagi 4. točke prvega odstavka 452. člena tega zakona, kot člani sistema jamstva vključeni:</w:t>
      </w:r>
    </w:p>
    <w:p w14:paraId="35B6EACC"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borznoposredniška družba s sedežem v Republiki Sloveniji in njene podružnice v državah članicah in tretjih državah, razen kadar je podružnica v tretji državi vključena v sistem jamstva za terjatve vlagateljev tretje države v skladu s predpisi tretje države,</w:t>
      </w:r>
    </w:p>
    <w:p w14:paraId="455A73B8"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banka s sedežem v Republiki Sloveniji, ki opravlja investicijske storitve in posle in njene podružnice v državah članicah in tretjih državah, razen kadar je podružnica v tretji državi vključena v sistem jamstva za terjatve vlagateljev tretje države v skladu s predpisi tretje države,</w:t>
      </w:r>
    </w:p>
    <w:p w14:paraId="3A162AFE"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podružnica investicijskega podjetja iz tretje države v Republiki Sloveniji, v skladu s 3. točko drugega odstavka 217. člena tega zakona,</w:t>
      </w:r>
    </w:p>
    <w:p w14:paraId="7F7C213F"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podružnica banke iz tretje države v Republiki Sloveniji, ki opravlja investicijske storitve in posle, v skladu s 3. točko drugega odstavka 217. člena v povezavi s tretjim odstavkom 60. člena tega zakona,</w:t>
      </w:r>
    </w:p>
    <w:p w14:paraId="581458F5"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družba za upravljanje s sedežem v Republiki Sloveniji, ki opravlja storitve gospodarjenja s finančnimi instrumenti in storitve hrambe v zvezi z enotami investicijskih skladov, in njene podružnice v državah članicah in tretjih državah, razen kadar je podružnica v tretji državi vključena v sistem jamstva za terjatve vlagateljev tretje države v skladu s predpisi tretje države,</w:t>
      </w:r>
    </w:p>
    <w:p w14:paraId="1FA59E93"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upravljavec AIS s sedežem v Republiki Sloveniji, ki opravlja storitve gospodarjenja s finančnimi instrumenti, storitve hrambe v zvezi z enotami investicijskih skladov in storitve sprejemanja in posredovanja naročil v zvezi z enim ali več finančnimi instrumenti iz 2.c točke prvega odstavka 163. člena ZUAIS, ter njegove podružnice v državah članicah in tretjih državah, razen kadar je podružnica v tretji državi vključena v sistem jamstva za terjatve vlagateljev tretje države v skladu s predpisi tretje države.</w:t>
      </w:r>
    </w:p>
    <w:p w14:paraId="2FC132A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Član sistema jamstva po tem zakonu postane tudi druga oseba iz prvega do petega odstavka 59. člena tega zakona, ki ni oseba iz prejšnjega odstavka, in ki jo agencija vključi v sistem jamstva v skladu s pravili iz četrte točke prvega odstavka 452. člena tega zakona, ker:</w:t>
      </w:r>
    </w:p>
    <w:p w14:paraId="21C06AC3"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jo k temu zavezuje drug predpis ali</w:t>
      </w:r>
    </w:p>
    <w:p w14:paraId="6DCC829E"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zaprosi agencijo za vključitev v sistem jamstva na lastno pobudo, v skladu s tem zakonom.</w:t>
      </w:r>
    </w:p>
    <w:p w14:paraId="59BBE80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Terjatev vlagatelja po tem zakonu je skupno stanje vseh terjatev fizične ali pravne osebe do člana sistema jamstva na podlagi pogodbe o opravljanju investicijskih storitev in poslov </w:t>
      </w:r>
      <w:r w:rsidRPr="004319E8">
        <w:rPr>
          <w:rFonts w:ascii="Arial" w:eastAsia="Arial" w:hAnsi="Arial" w:cs="Arial"/>
          <w:sz w:val="20"/>
          <w:szCs w:val="20"/>
        </w:rPr>
        <w:lastRenderedPageBreak/>
        <w:t>iz 1., 2., 4., 6. in 7. točke prvega odstavka 11. člena tega zakona ali pomožnih investicijskih storitev iz 1. točke prvega odstavka 19. člena tega zakona, pogodbe o opravljanju storitve gospodarjenja s finančnimi instrumenti iz 1. točke prvega odstavka 150. člena ZISDU-3 ali pomožne investicijske storitve hrambe v zvezi z enotami investicijskih skladov iz 2. alineje 2. točke prvega odstavka 150. člena ZISDU-3, ter pogodbe o opravljanju storitve gospodarjenja s finančnimi instrumenti iz 1. točke prvega odstavka 163. člena ZUAIS ali pomožne storitve hrambe v zvezi z enotami investicijskih skladov iz 2.b točke prvega odstavka 163. člena ZUAIS ali pomožne storitve sprejemanja in posredovanja naročil v zvezi z enim ali več finančnimi instrumenti iz 2.c točke prvega odstavka 163. člena ZUAIS. Za namene tega odstavka se kot terjatev vlagatelja ne upoštevajo izločitvene terjatve vlagatelja za izročitev finančnih instrumentov ali denarnih sredstev, za katere se vlagatelju v stečajnem postopku prizna izločitvena pravica.</w:t>
      </w:r>
    </w:p>
    <w:p w14:paraId="18C20FE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Terjatev vlagatelja po tem zakonu je, pod enakimi pogoji, tudi:</w:t>
      </w:r>
    </w:p>
    <w:p w14:paraId="67E97200"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terjatev vlagatelja, ki jo v okviru skrbniških storitev na podlagi zakona, do člana sistema jamstva uveljavlja določena pooblaščena oseba, pri čemer se ta terjatev v skladu z zakonom obravnava ločeno od drugih terjatev in sredstev pooblaščene osebe; če izvajalec skrbniških storitev članu sistema jamstva na njegovo zahtevo ne sporoči pravočasno podatkov o dejanskih vlagateljih v zvezi s skrbniškim računom, se skrbniški račun za namene tega poglavja zakona obravnava kot račun na prinosnika,</w:t>
      </w:r>
    </w:p>
    <w:p w14:paraId="01C75CB8" w14:textId="77777777" w:rsidR="00512760" w:rsidRPr="004319E8" w:rsidRDefault="00512760" w:rsidP="00512760">
      <w:pPr>
        <w:pStyle w:val="alineazaodstavkom1"/>
        <w:spacing w:before="210" w:after="210"/>
        <w:ind w:left="425"/>
        <w:rPr>
          <w:rFonts w:ascii="Arial" w:eastAsia="Arial" w:hAnsi="Arial" w:cs="Arial"/>
          <w:sz w:val="20"/>
          <w:szCs w:val="20"/>
          <w:lang w:val="sl-SI"/>
        </w:rPr>
      </w:pPr>
      <w:r w:rsidRPr="004319E8">
        <w:rPr>
          <w:rFonts w:ascii="Arial" w:eastAsia="Arial" w:hAnsi="Arial" w:cs="Arial"/>
          <w:sz w:val="20"/>
          <w:szCs w:val="20"/>
          <w:lang w:val="sl-SI"/>
        </w:rPr>
        <w:t>-        – terjatev vlagatelja do člana sistema jamstva iz skupnega investicijskega posla, ki sta ga sklenili dve osebi ali več, kot člani poslovnega partnerstva, združenja ali povezave podobne narave, ki ni pravna oseba. Ob odsotnosti drugih določb v pogodbi o skupnem investicijskem poslu, se vlagateljem priznajo terjatve v enakih deležih.</w:t>
      </w:r>
    </w:p>
    <w:p w14:paraId="583CB5D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Ta odstavek se v skladu s 1. točko osmega odstavka tega člena ne uporablja v primeru terjatev kolektivnih naložbenih podjemov do člana sistema jamstva.</w:t>
      </w:r>
    </w:p>
    <w:p w14:paraId="2C18DF6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Upravičena terjatev vlagatelja po tem zakonu je stanje terjatve vlagatelja do istega člana sistema jamstva iz tretjega in četrtega odstavka tega člena, zmanjšano za skupno stanje vseh obveznosti vlagatelja do tega člana sistema jamstva na podlagi poslov iz tretjega in četrtega odstavka tega člena, ne glede na število računov vlagatelja pri tem članu sistema jamstva, ali valuto. Upravičena terjatev vlagatelja se upošteva kot osnova pri izračunu zajamčene terjatve vlagatelja po tem zakonu.</w:t>
      </w:r>
    </w:p>
    <w:p w14:paraId="513EA11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Zajamčena terjatev vlagatelja po tem zakonu je upravičena terjatev vlagatelja na dan začetka stečajnega postopka nad članom sistema jamstva, do višine 22.000 eurov.</w:t>
      </w:r>
    </w:p>
    <w:p w14:paraId="6AB7F90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Če je terjatev ali obveznost vlagatelja, ki se upošteva pri ugotavljanju upravičene terjatve vlagatelja iz petega odstavka tega člena, nominirana v valuti, ki ni euro, se ta terjatev oziroma obveznost pretvori v euro po deviznem tečaju, ki ga objavi Banka Slovenije na dan začetka stečajnega postopka.</w:t>
      </w:r>
    </w:p>
    <w:p w14:paraId="2ED9686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Ne glede na prvi do šesti odstavek tega člena se pri izračunu upravičenih terjatev po tem zakonu ne upoštevajo in med zajamčene terjatve po tem zakonu ne spadajo:</w:t>
      </w:r>
    </w:p>
    <w:p w14:paraId="6587B9C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terjatve oseb iz prvega odstavka 246. člena tega zakona, tudi če so zahtevale, da jih član sistema jamstva v stečaju obravnava kot neprofesionalne stranke,</w:t>
      </w:r>
    </w:p>
    <w:p w14:paraId="22EE9FC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terjatve oseb, ki jih član sistema jamstva v stečaju v skladu z 247. in 248. členom tega zakona obravnava kot profesionalne stranke,</w:t>
      </w:r>
    </w:p>
    <w:p w14:paraId="377517C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terjatve v zvezi s posli, zaradi katerih je bil imetnik terjatve pravnomočno obsojen za kaznivo dejanje pranja denarja,</w:t>
      </w:r>
    </w:p>
    <w:p w14:paraId="221EB9E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terjatve članov organov vodenja in nadzora člana sistema jamstva v stečaju ter njihovih ožjih družinskih članov,</w:t>
      </w:r>
    </w:p>
    <w:p w14:paraId="0FCF007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5.      terjatve delničarjev člana sistema jamstva v stečaju, ki imajo najmanj 5% delež v kapitalu investicijskega podjetja ali glasovalnih pravicah,</w:t>
      </w:r>
    </w:p>
    <w:p w14:paraId="13512FB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terjatve pravnih oseb, ki so podrejene družbe člana sistema jamstva v stečaju,</w:t>
      </w:r>
    </w:p>
    <w:p w14:paraId="2C9F731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terjatve članov organov vodenja in nadzora pravnih oseb iz 5. in 6. točke tega odstavka in njihovih ožjih družinskih članov,</w:t>
      </w:r>
    </w:p>
    <w:p w14:paraId="7C0E1DE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8.      terjatve, ki se glede na svoje lastnosti upoštevajo pri izračunu kapitala člana sistema jamstva v stečaju,</w:t>
      </w:r>
    </w:p>
    <w:p w14:paraId="449D1E4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terjatve pravnih oseb, ki na podlagi podatkov iz zadnjega objavljenega letnega poročila sodijo med velike oziroma srednje družbe po ZGD-1,</w:t>
      </w:r>
    </w:p>
    <w:p w14:paraId="5A9E4B1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terjatve na računu na prinosnika iz prve alineje četrtega odstavka tega člena.</w:t>
      </w:r>
    </w:p>
    <w:p w14:paraId="05B3F3B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(9) Član sistema jamstva obravnava račune iz četrtega odstavka tega člena v skladu s predpisom agencije iz 3. točke prvega odstavka 452. člena tega zakona.</w:t>
      </w:r>
    </w:p>
    <w:p w14:paraId="6399BA6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(10) Član sistema jamstva vzpostavi in vodi evidence ter agenciji poroča v skladu s predpisom iz 5. točke prvega odstavka 452. člena tega zakona.</w:t>
      </w:r>
    </w:p>
    <w:p w14:paraId="1B91C69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(11) V primeru stečaja člana sistema jamstva iz 2., 5. in 6. alineje prvega odstavka tega člena ali člana sistema jamstva iz drugega odstavka tega člena, ki ima sedež v Republiki Sloveniji, se smiselno uporabljata tudi prvi stavek drugega odstavka ter tretji in četrti odstavek 191. člena, 192. in 193. člen tega zakona.</w:t>
      </w:r>
    </w:p>
    <w:p w14:paraId="427D0E7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(12) Osebe iz prvega odstavka tega člena niso vključene v sistem jamstva kot člani sistema jamstva, če do njih ne more nastati terjatev vlagatelja v skladu s tretjim ali četrtim odstavkom tega člena.</w:t>
      </w:r>
    </w:p>
    <w:p w14:paraId="0803A671"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531. člen</w:t>
      </w:r>
    </w:p>
    <w:p w14:paraId="0F14F03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(kršitve 7. poglavja tega zakona)</w:t>
      </w:r>
    </w:p>
    <w:p w14:paraId="3150BD3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 globo od 25.000 do 250.000 eurov se za prekršek kaznuje borznoposredniška družba ali banka ali odvisni borznoposredniški zastopnik, ki je pravna oseba, z globo od 80.000 do 500.000 eurov pa borznoposredniška družba ali banka, ki se po ZGD-1 šteje za srednjo ali veliko gospodarsko družbo, če:</w:t>
      </w:r>
    </w:p>
    <w:p w14:paraId="01786A5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ne obvesti svojih strank, da se telefonski pogovori, ki vodijo ali lahko vodijo k prejemu naročila stranke za trgovanje, beležijo, ali če sprejme, posreduje ali izvrši naročilo za trgovanje stranke brez podaje obvestila o beleženju teh pogovorov (četrti in peti odstavek 238. člena);</w:t>
      </w:r>
    </w:p>
    <w:p w14:paraId="0393256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pisno ne zabeleži naročil stranke, ki so bila oddana v osebnem pogovoru v skladu s šestim odstavkom 238. člena tega zakona;</w:t>
      </w:r>
    </w:p>
    <w:p w14:paraId="3F0FA07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razpolaga s finančnimi instrumenti v svojem imenu in za račun ali v imenu in za račun strank v nasprotju z 239. členom tega zakona;</w:t>
      </w:r>
    </w:p>
    <w:p w14:paraId="558AC5D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razpolaga z denarnim dobroimetjem svojih strank v nasprotju z 240. členom tega zakona;</w:t>
      </w:r>
    </w:p>
    <w:p w14:paraId="47D542F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z neprofesionalno stranko sklene dogovor o prenosu lastninske pravice v zavarovanje zaradi zavarovanja obstoječega ali bodočega, dejanskega, mogočega ali pričakovanega dolga (241. člen);</w:t>
      </w:r>
    </w:p>
    <w:p w14:paraId="5B77DB5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6.      na zahtevo agencije ne dokaže, da fizične osebe, ki v imenu borznoposredniške družbe ali banke opravljajo investicijsko svetovanje ali dajejo strankam informacije o finančnih instrumentih, investicijskih storitvah in poslih ter pomožnih investicijskih storitvah, razpolagajo z ustreznim znanjem in so usposobljene za izpolnitev zahtev do strank iz oddelka 7.2. tega zakona (tretji odstavek 250. člena);</w:t>
      </w:r>
    </w:p>
    <w:p w14:paraId="2026AD5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glede dajanja ali objavljanja informacij strankam oziroma objavljanja tržnih sporočil ne ravna v skladu s prvim do osmim odstavkom 251. člena tega zakona;</w:t>
      </w:r>
    </w:p>
    <w:p w14:paraId="06D4AB7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8.      opravlja neodvisno investicijsko svetovanje za stranko in ne ravna v skladu z enajstim odstavkom 251. člena tega zakona;</w:t>
      </w:r>
    </w:p>
    <w:p w14:paraId="27C1B07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pri opravljanju storitev gospodarjenja s finančnimi instrumenti sprejme ali obdrži provizije, spodbude ali katerekoli druge denarne ali nedenarne koristi v zvezi z opravljanjem te investicijske storitve za stranke (dvanajsti odstavek 251. člena);</w:t>
      </w:r>
    </w:p>
    <w:p w14:paraId="4C9AC73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nagrajuje ali ocenjuje uspešnost zaposlenih v nasprotju z obveznostjo varovanja interesov strank (sedemnajsti odstavek 251. člena);</w:t>
      </w:r>
    </w:p>
    <w:p w14:paraId="68D8DBC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11.   ponuja investicijsko storitev in posel skupaj z neko drugo storitvijo ali produktom, kot del paketa ali kot pogoj za isti dogovor oziroma paket in ne ravna v skladu z osemnajstim odstavkom 251. člena tega zakona;</w:t>
      </w:r>
    </w:p>
    <w:p w14:paraId="62750D0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12.   pri opravljanju investicijskih storitev in poslov ter pomožnih investicijskih storitev ne ravna vestno, pošteno in z ustrezno profesionalno skrbnostjo ter ne varuje interesov strank (252. člen);</w:t>
      </w:r>
    </w:p>
    <w:p w14:paraId="3F80CEC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13.   glede finančnih instrumentov, ki jih ta ponuja ali priporoča svojim strankam na način iz 253. člena tega zakona, ne ravna v skladu z zahtevami iz 253. člena tega zakona;</w:t>
      </w:r>
    </w:p>
    <w:p w14:paraId="4B89AC5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14.   od stranke oziroma morebitne stranke v okviru opravljanja storitve investicijskega svetovanja ali gospodarjenja s finančnimi instrumenti ne pridobi informacij v skladu s prvim odstavkom 254. člena tega zakona,</w:t>
      </w:r>
    </w:p>
    <w:p w14:paraId="7BA47B3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15.   stranki priporoča paket storitev ali produktov v nasprotju z drugim ali četrtim odstavkom 254. člena tega zakona,</w:t>
      </w:r>
    </w:p>
    <w:p w14:paraId="7017B40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16.   v primerih, ki jih določa ta zakon, ne sklene pisne pogodbe o opravljanju posameznih vrst investicijskih storitev in poslov ali pomožnih investicijskih storitev oziroma pogodba ne vsebuje določb o vsebini vseh medsebojnih pravic in obveznosti pogodbenih strank (prvi in drugi odstavek 257. člena);</w:t>
      </w:r>
    </w:p>
    <w:p w14:paraId="5861B86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17.   stranki ne poroča o opravljenih storitvah, ki jih je opravila zanjo oziroma ne predloži izjave o primernosti v skladu z 258. členom tega zakona;</w:t>
      </w:r>
    </w:p>
    <w:p w14:paraId="37ECDF4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18.   stranki, katere naročilo je posredovala borznoposredniški družbi prejemnici naročila, ni podala ustreznih priporočil, pojasnil ali nasvetov v zvezi s storitvami in posli, glede katerih je posredovala naročilo (tretji in četrti odstavek 260. člena);</w:t>
      </w:r>
    </w:p>
    <w:p w14:paraId="153E6AA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19.   ne izvrši naročila stranke po najugodnejšimi pogoji za stranko v skladu s prvim do šestim odstavkom 267. člena tega zakona;</w:t>
      </w:r>
    </w:p>
    <w:p w14:paraId="168F5E6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20.   ne vzpostavi in izvaja sistema in postopkov, ki omogočajo učinkovito izpolnjevanje obveznosti, določenih v 267. členu tega zakona (prvi odstavek 268. člena);</w:t>
      </w:r>
    </w:p>
    <w:p w14:paraId="1525F41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21.   ne vzpostavi in uresničuje politike izvrševanja naročil strank oziroma stranke ne seznani s politiko izvrševanja naročil oziroma od stranke ne pridobi predhodnega soglasja k politiki izvrševanja naročil v skladu z drugim, tretjim in četrtim odstavkom 268. člena tega zakona;</w:t>
      </w:r>
    </w:p>
    <w:p w14:paraId="6C12835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22.   stranke ne opozori, da politika izvrševanja naročil strank določa možnost izvršitve teh naročil zunaj mest trgovanja oziroma je izvršitev naročila stranke opravila zunaj mesta trgovanja in za to prej ni dobila izrecnega soglasja stranke (prvi in drugi odstavek 269. člena);</w:t>
      </w:r>
    </w:p>
    <w:p w14:paraId="1D4601D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23.   ne spremlja učinkovitosti sistema in postopkov ter politike izvrševanja naročil, da bi se ugotovile in odpravile pomanjkljivosti teh ukrepov oziroma politik v skladu s prvim odstavkom 270. člena tega zakona;</w:t>
      </w:r>
    </w:p>
    <w:p w14:paraId="21C16F8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24.   strank ne obvesti o vsaki spremembi sistema in postopkov ter politike izvrševanja naročil v skladu z drugim odstavkom 270. člena tega zakona;</w:t>
      </w:r>
    </w:p>
    <w:p w14:paraId="14E10A8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25.   ne izvaja obveznosti glede izvrševanja naročil strank v skladu s tretjim odstavkom 270. člena tega zakona;</w:t>
      </w:r>
    </w:p>
    <w:p w14:paraId="185EA20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26.   s stranko ne sklene pogodbe o gospodarjenju z vrednostnimi papirji v pisni obliki (drugi odstavek 281. člena);</w:t>
      </w:r>
    </w:p>
    <w:p w14:paraId="0179F7F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27.   se nematerializirani vrednostni papirji ali finančni instrumenti ne prenesejo na račun stranke v skladu z 285. členom tega zakona;</w:t>
      </w:r>
    </w:p>
    <w:p w14:paraId="3F29FB3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28.   zneska kupnine oziroma neizkoriščenega predujma ne nakaže v skladu z 286. členom tega zakona ali ga uporablja v nasprotju s tem členom;</w:t>
      </w:r>
    </w:p>
    <w:p w14:paraId="48977A4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29.   svojih vrednostnih papirjev ne vodi na hišnem računu (prvi in tretji odstavek 295. člena);</w:t>
      </w:r>
    </w:p>
    <w:p w14:paraId="763B8A9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30.   na hišni račun prenese vrednostne papirje, katerih imetniki so stranke oziroma jih je pridobila na račun stranke (drugi odstavek 295. člena);</w:t>
      </w:r>
    </w:p>
    <w:p w14:paraId="654028D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31.   vnese nalog stranke za prenos nematerializiranih vrednostnih papirjev oziroma nalog za vpis pravic tretjih na nematerializiranih vrednostnih papirjih brez ustreznega pisnega naloga te stranke (prvi odstavek 298. člena);</w:t>
      </w:r>
    </w:p>
    <w:p w14:paraId="696C325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32.   ne vnaša nalogov za prenose med računi imetnika oziroma za vpis pravic tretjih na vrednostnih papirjih tega imetnika po vrstnem redu prejema nalogov v skladu s 300. členom tega zakona;</w:t>
      </w:r>
    </w:p>
    <w:p w14:paraId="76D4638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33.   vrednostnih papirjev stranke, izdanih kot pisne listine, ne hrani na način iz 303. člena tega zakona;</w:t>
      </w:r>
    </w:p>
    <w:p w14:paraId="4CFB6B7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34.   vodi denarni račun strank v nasprotju s 307. členom tega zakona;</w:t>
      </w:r>
    </w:p>
    <w:p w14:paraId="645789D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35.   sporoči zaupne podatke o posamezni stranki tretjim osebam oziroma jih uporabi sama ali omogoči, da bi jih uporabile tretje osebe (310. člen);</w:t>
      </w:r>
    </w:p>
    <w:p w14:paraId="0D4F67A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36.   ne zagotavlja učinkovitega varovanja zaupnih podatkov in varovanja pred njihovo morebitno zlorabo v skladu s 313. členom tega zakona.</w:t>
      </w:r>
    </w:p>
    <w:p w14:paraId="3A4933A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Z globo od 25.000 do 250.000 eurov se za prekršek kaznuje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xml:space="preserve">, če vsaj enkrat letno brezplačno ne objavi podatkov o kakovosti izvršitve poslov v svojih trgovalnih sistemih za finančne instrumente za katere velja obveznost trgovanja iz 23. in 28. člena </w:t>
      </w:r>
      <w:r w:rsidR="00801FB2"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v skladu s sedmim odstavkom 267. člena tega zakona.</w:t>
      </w:r>
    </w:p>
    <w:p w14:paraId="254EBB4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(3) Če je narava storjenega prekrška iz prvega in drugega odstavka tega člena posebno huda zaradi višine povzročene škode oziroma višine pridobljene protipravne premoženjske koristi ali zaradi storilčevega naklepa oziroma njegovega namena koristoljubnosti, se oseba iz prvega odstavka tega člena ali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xml:space="preserve"> kaznuje z globo v višini do:</w:t>
      </w:r>
    </w:p>
    <w:p w14:paraId="5872413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10 % skupnega letnega prometa glede na zadnje razpoložljive letne računovodske izkaze, ki jih je odobril pristojni organ družbe, oziroma skupnega letnega prometa ali ustrezne vrste </w:t>
      </w:r>
      <w:r w:rsidRPr="004319E8">
        <w:rPr>
          <w:rFonts w:ascii="Arial" w:eastAsia="Arial" w:hAnsi="Arial" w:cs="Arial"/>
          <w:sz w:val="20"/>
          <w:szCs w:val="20"/>
        </w:rPr>
        <w:lastRenderedPageBreak/>
        <w:t>prihodka, ki izhaja iz zadnje razpoložljive konsolidirane letne bilance, ki jo je odobril pristojni organ matične družbe, če pravna oseba pripravi konsolidirane računovodske izkaze na podlagi ZGD-1, ali</w:t>
      </w:r>
    </w:p>
    <w:p w14:paraId="323CD95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dvakratnega zneska dobička, pridobljenega s kršitvijo, ali izgube, preprečene s kršitvijo, kadar ju je mogoče opredeliti, če ta znesek presega znesek iz prejšnje točke.</w:t>
      </w:r>
    </w:p>
    <w:p w14:paraId="63698EF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(4) Član uprave osebe iz prvega odstavka tega člena ali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ki stori prekršek iz prvega ali drugega odstavka tega člena, se za prekršek kaznuje z globo v višini od 2.500 eurov do 10.000 eurov.</w:t>
      </w:r>
    </w:p>
    <w:p w14:paraId="639F008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(5) Član nadzornega sveta osebe iz prvega odstavka tega člena ali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ki stori prekršek iz prvega ali drugega odstavka tega člena, se za prekršek kaznuje z globo v višini od 2.500 eurov do 10.000 eurov.</w:t>
      </w:r>
    </w:p>
    <w:p w14:paraId="65E36672"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(6) Če je narava storjenega prekrška iz četrtega ali petega odstavka tega člena posebno huda zaradi višine povzročene škode oziroma višine pridobljene protipravne premoženjske koristi ali zaradi storilčevega naklepa oziroma njegovega namena koristoljubnosti, se član uprave ali nadzornega sveta osebe iz prvega odstavka tega člena ali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kaznuje z globo do višine 5.000.000 eurov.</w:t>
      </w:r>
    </w:p>
    <w:p w14:paraId="5FDE20D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(7) Odgovorna oseba osebe iz prvega odstavka tega člena ali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ki ni član uprave ali nadzornega sveta borznoposredniške družbe ali banke, se za prekršek iz prvega ali drugega odstavka tega člena kaznuje z globo od 800 do 10.000 eurov. Če je narava storjenega prekrška iz prejšnjega stavka posebno huda zaradi višine povzročene škode oziroma višine pridobljene protipravne premoženjske koristi ali zaradi storilčevega naklepa oziroma njegovega namena koristoljubnosti, se odgovorna oseba osebe iz prvega odstavka tega člena ali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kaznuje z globo od 2.500 do 30.000 eurov.</w:t>
      </w:r>
    </w:p>
    <w:p w14:paraId="679EDADA"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532. člen</w:t>
      </w:r>
    </w:p>
    <w:p w14:paraId="543EDBF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(druge hujše kršitve borznoposredniške družbe ali banke)</w:t>
      </w:r>
    </w:p>
    <w:p w14:paraId="0A89C63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 globo od 25.000 do 250.000 eurov se za prekršek kaznuje borznoposredniška družba ali banka, z globo od 80.000 do 500.000 eurov pa borznoposredniška družba ali banka, ki se po ZGD-1 šteje za srednjo ali veliko gospodarsko družbo, če:</w:t>
      </w:r>
    </w:p>
    <w:p w14:paraId="6284D40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opravlja druge dejavnosti razen dejavnosti iz prvega in drugega odstavka 176. člena tega zakona (četrti odstavek 176. člena);</w:t>
      </w:r>
    </w:p>
    <w:p w14:paraId="1CC74AB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kreditira oziroma daje jamstva za nakup delnic v nasprotju s petim odstavkom 181. člena tega zakona;</w:t>
      </w:r>
    </w:p>
    <w:p w14:paraId="248B1CF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ne obvesti agencije o spremembi deleža posameznega delničarja v skladu s 81. členom ZBan-3 v zvezi s prvim odstavkom 182. člena tega zakona;</w:t>
      </w:r>
    </w:p>
    <w:p w14:paraId="07E2DD3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ne vzpostavi ali ne izvaja ustrezne politike izbora kandidatov za člane upravljalnega organa v skladu s prvim in drugim odstavkom 35. člena ZBan-3 v zvezi s 185. členom tega zakona;</w:t>
      </w:r>
    </w:p>
    <w:p w14:paraId="254D444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določi število direktorskih funkcij, ki jih lahko sočasno opravlja posamezni član upravljalnega organa v drugih družbah in organizacijah hkrati z opravljanjem funkcije člana upravljalnega organa borznoposredniške družbe v nasprotju z 38. členom ZBan-3 v zvezi s prvim in drugim odstavkom 185. člena tega zakona;</w:t>
      </w:r>
    </w:p>
    <w:p w14:paraId="2040FB3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6.      uprava borznoposredniške družbe nima vsaj dveh članov uprave, ki borznoposredniško družbo skupaj zastopata in predstavljata v pravnem prometu (prvi odstavek 39. člena ZBan-3 v povezavi s prvim odstavkom 185. člena tega zakona);</w:t>
      </w:r>
    </w:p>
    <w:p w14:paraId="77F303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je omogočila, da ena ali več oseb, ki ne izpolnjujejo pogojev, določenih s tem zakonom, opravlja funkcijo člana uprave ali člana nadzornega sveta borznoposredniške družbe (40. člen, prvi in drugi odstavek 41. člena ter 55. člen ZBan-3 v povezavi s 185. členom tega zakona);</w:t>
      </w:r>
    </w:p>
    <w:p w14:paraId="40D6D27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w:t>
      </w:r>
      <w:r w:rsidRPr="004319E8">
        <w:rPr>
          <w:rFonts w:ascii="Arial" w:eastAsia="Arial" w:hAnsi="Arial" w:cs="Arial"/>
          <w:b/>
          <w:bCs/>
          <w:sz w:val="20"/>
          <w:szCs w:val="20"/>
        </w:rPr>
        <w:t>(črtana)</w:t>
      </w:r>
      <w:r w:rsidRPr="004319E8">
        <w:rPr>
          <w:rFonts w:ascii="Arial" w:eastAsia="Arial" w:hAnsi="Arial" w:cs="Arial"/>
          <w:sz w:val="20"/>
          <w:szCs w:val="20"/>
        </w:rPr>
        <w:t>;</w:t>
      </w:r>
    </w:p>
    <w:p w14:paraId="0C5450A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9.      </w:t>
      </w:r>
      <w:r w:rsidRPr="004319E8">
        <w:rPr>
          <w:rFonts w:ascii="Arial" w:eastAsia="Arial" w:hAnsi="Arial" w:cs="Arial"/>
          <w:b/>
          <w:bCs/>
          <w:sz w:val="20"/>
          <w:szCs w:val="20"/>
        </w:rPr>
        <w:t>(črtana)</w:t>
      </w:r>
      <w:r w:rsidRPr="004319E8">
        <w:rPr>
          <w:rFonts w:ascii="Arial" w:eastAsia="Arial" w:hAnsi="Arial" w:cs="Arial"/>
          <w:sz w:val="20"/>
          <w:szCs w:val="20"/>
        </w:rPr>
        <w:t>;</w:t>
      </w:r>
    </w:p>
    <w:p w14:paraId="19A61BF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10.   </w:t>
      </w:r>
      <w:r w:rsidRPr="004319E8">
        <w:rPr>
          <w:rFonts w:ascii="Arial" w:eastAsia="Arial" w:hAnsi="Arial" w:cs="Arial"/>
          <w:b/>
          <w:bCs/>
          <w:sz w:val="20"/>
          <w:szCs w:val="20"/>
        </w:rPr>
        <w:t>(črtana)</w:t>
      </w:r>
      <w:r w:rsidRPr="004319E8">
        <w:rPr>
          <w:rFonts w:ascii="Arial" w:eastAsia="Arial" w:hAnsi="Arial" w:cs="Arial"/>
          <w:sz w:val="20"/>
          <w:szCs w:val="20"/>
        </w:rPr>
        <w:t>;</w:t>
      </w:r>
    </w:p>
    <w:p w14:paraId="148A8BC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w:t>
      </w:r>
      <w:r w:rsidRPr="004319E8">
        <w:rPr>
          <w:rFonts w:ascii="Arial" w:eastAsia="Arial" w:hAnsi="Arial" w:cs="Arial"/>
          <w:b/>
          <w:bCs/>
          <w:sz w:val="20"/>
          <w:szCs w:val="20"/>
        </w:rPr>
        <w:t>(črtana)</w:t>
      </w:r>
      <w:r w:rsidRPr="004319E8">
        <w:rPr>
          <w:rFonts w:ascii="Arial" w:eastAsia="Arial" w:hAnsi="Arial" w:cs="Arial"/>
          <w:sz w:val="20"/>
          <w:szCs w:val="20"/>
        </w:rPr>
        <w:t>;</w:t>
      </w:r>
    </w:p>
    <w:p w14:paraId="2221E12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12.   o nameri ustanovitve podružnice borznoposredniške družbe v državi članici oziroma nameri poslovati prek odvisnih borznoposredniških zastopnikov s sedežem v drugi državi članici, kjer nima ustanovljene podružnice, ne obvesti agencije ali obvestilo ni v skladu s prvim in drugim odstavkom 203. člena tega zakona;</w:t>
      </w:r>
    </w:p>
    <w:p w14:paraId="08C6AEE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13.   začne opravljati posle prek podružnice v državi članici v nasprotju z 205. členom tega zakona;</w:t>
      </w:r>
    </w:p>
    <w:p w14:paraId="49303CF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14.   glede podružnice v državi članici oziroma v primeru uporabe odvisnega borznoposredniškega zastopnika s sedežem v drugi državi članici ne obvesti agencije en mesec pred izvedbo nameravane spremembe v nasprotju s prvim odstavkom 206. člena tega zakona;</w:t>
      </w:r>
    </w:p>
    <w:p w14:paraId="5AA09FC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15.   posluje v drugi državi članici prek odvisnih borznoposredniških zastopnikov s sedežem v Republiki Sloveniji in agenciji ni sporočila podatkov o teh zastopnikih v skladu s prvim odstavkom 207. člena tega zakona;</w:t>
      </w:r>
    </w:p>
    <w:p w14:paraId="5F1EAEB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16.   v roku in na način iz petega odstavka 207. člena tega zakona ne obvesti agencije o vsaki spremembi podatkov glede neposrednega opravljanja investicijskih storitev in poslov v državi članici;</w:t>
      </w:r>
    </w:p>
    <w:p w14:paraId="3722AF3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17.   ustanovi podružnico v tretji državi, ne da bi za ustanovitev podružnice pridobila dovoljenje agencije (drugi odstavek 209. člena);</w:t>
      </w:r>
    </w:p>
    <w:p w14:paraId="48A915B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18.   začne neposredno opravljati investicijske storitve in posle ali pomožne investicijske storitve v državi članici ali tretji državi, ne da bi o tem obvestila agencijo (prvi odstavek 207. člena oziroma drugi odstavek 210. člena);</w:t>
      </w:r>
    </w:p>
    <w:p w14:paraId="19B3F36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19.   </w:t>
      </w:r>
      <w:r w:rsidRPr="004319E8">
        <w:rPr>
          <w:rFonts w:ascii="Arial" w:eastAsia="Arial" w:hAnsi="Arial" w:cs="Arial"/>
          <w:b/>
          <w:bCs/>
          <w:sz w:val="20"/>
          <w:szCs w:val="20"/>
        </w:rPr>
        <w:t>(črtana)</w:t>
      </w:r>
      <w:r w:rsidRPr="004319E8">
        <w:rPr>
          <w:rFonts w:ascii="Arial" w:eastAsia="Arial" w:hAnsi="Arial" w:cs="Arial"/>
          <w:sz w:val="20"/>
          <w:szCs w:val="20"/>
        </w:rPr>
        <w:t>;</w:t>
      </w:r>
    </w:p>
    <w:p w14:paraId="278DF7B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20.   </w:t>
      </w:r>
      <w:r w:rsidRPr="004319E8">
        <w:rPr>
          <w:rFonts w:ascii="Arial" w:eastAsia="Arial" w:hAnsi="Arial" w:cs="Arial"/>
          <w:b/>
          <w:bCs/>
          <w:sz w:val="20"/>
          <w:szCs w:val="20"/>
        </w:rPr>
        <w:t>(črtana)</w:t>
      </w:r>
      <w:r w:rsidRPr="004319E8">
        <w:rPr>
          <w:rFonts w:ascii="Arial" w:eastAsia="Arial" w:hAnsi="Arial" w:cs="Arial"/>
          <w:sz w:val="20"/>
          <w:szCs w:val="20"/>
        </w:rPr>
        <w:t>;</w:t>
      </w:r>
    </w:p>
    <w:p w14:paraId="0C65B30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21.   </w:t>
      </w:r>
      <w:r w:rsidRPr="004319E8">
        <w:rPr>
          <w:rFonts w:ascii="Arial" w:eastAsia="Arial" w:hAnsi="Arial" w:cs="Arial"/>
          <w:b/>
          <w:bCs/>
          <w:sz w:val="20"/>
          <w:szCs w:val="20"/>
        </w:rPr>
        <w:t>(črtana)</w:t>
      </w:r>
      <w:r w:rsidRPr="004319E8">
        <w:rPr>
          <w:rFonts w:ascii="Arial" w:eastAsia="Arial" w:hAnsi="Arial" w:cs="Arial"/>
          <w:sz w:val="20"/>
          <w:szCs w:val="20"/>
        </w:rPr>
        <w:t>;</w:t>
      </w:r>
    </w:p>
    <w:p w14:paraId="3492C5B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22.   ne poroča agenciji v skladu z 271. členom ZBan-3 v zvezi s prvim odstavkom 347. člena tega zakona;</w:t>
      </w:r>
    </w:p>
    <w:p w14:paraId="7DB744E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23.   vodi poslovne knjige, sestavlja knjigovodske listine, vrednoti knjigovodske postavke ali sestavlja računovodska poročila v nasprotju z drugim odstavkom 102. člena ZBan-3 v zvezi s prvim odstavkom 230. člena tega zakona;</w:t>
      </w:r>
    </w:p>
    <w:p w14:paraId="7ADB732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24.   ne poroča finančnih informacij glede računovodskih izkazov v skladu s tretjim odstavkom 103. člena ZBan-3 v zvezi s prvim odstavkom 230. člena tega zakona;</w:t>
      </w:r>
    </w:p>
    <w:p w14:paraId="4FDDE7E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25.   ne predloži letnega poročila, konsolidiranega letnega poročila, revizorjevega poročila ali dodatnega revizorjevega poročila v skladu s 105. členom ZBan-3 v zvezi s prvim odstavkom 230. člena tega zakona;</w:t>
      </w:r>
    </w:p>
    <w:p w14:paraId="0F16541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26.   v rokih iz prvega oziroma tretjega odstavka 108. člena ZBan-3 v zvezi s prvim odstavkom 230. člena tega zakona na svojih javnih spletnih straneh ne objavi letnega poročila oziroma konsolidiranega letnega poročila ali revizorjevega poročila o revidiranju letnega poročila iz drugega odstavka 57. člena ZGD-1;</w:t>
      </w:r>
    </w:p>
    <w:p w14:paraId="66A4177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27.   ne zagotovi, da ostaneta letno poročilo in revizorjevo poročilo iz drugega odstavka 57. člena ZGD-1 dostopna na njenih javnih spletnih straneh najmanj pet let po objavi (četrti odstavek 108. člena ZBan-3 v zvezi s prvim odstavkom 230. člena tega zakona);</w:t>
      </w:r>
    </w:p>
    <w:p w14:paraId="40263EA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28.   glede razkritja dodatnih informacij ne ravna v skladu z 231. členom tega zakona;</w:t>
      </w:r>
    </w:p>
    <w:p w14:paraId="163D51A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29.   ni vzpostavila in uresničevala ustrezne politike in postopkov pravilnega poslovanja v skladu z 232. členom tega zakona;</w:t>
      </w:r>
    </w:p>
    <w:p w14:paraId="497218C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30.   po pridobitvi dovoljenja za opravljanje investicijskih storitev in poslov ne izpolnjuje katerega od pogojev, ki so potrebni za pridobitev tega dovoljenja (tretji odstavek 232. člena);</w:t>
      </w:r>
    </w:p>
    <w:p w14:paraId="392CA0F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31.   ni vzpostavila in uresničevala ustreznih ukrepov za ugotavljanje in preprečevanje nasprotij interesov v skladu s prvim in drugim odstavkom 233. člena tega zakona;</w:t>
      </w:r>
    </w:p>
    <w:p w14:paraId="00272EE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32.   ni izpolnjevala obveznosti in vzpostavila ter uresničevala postopkov potrjevanja finančnih instrumentov, ki jih ponuja svojim strankam, v skladu s petim do devetim odstavkom 233. člena tega zakona;</w:t>
      </w:r>
    </w:p>
    <w:p w14:paraId="7A3FC06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33.   ne opravi vseh razumnih ukrepov za zagotovitev neprekinjenega in rednega opravljanja investicijskih storitev in poslov v skladu z 234. členom tega zakona;</w:t>
      </w:r>
    </w:p>
    <w:p w14:paraId="7AC4A00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34.   prenese poslovne procese na drugo osebo v nasprotju z 235. členom tega zakona;</w:t>
      </w:r>
    </w:p>
    <w:p w14:paraId="643D3EA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35.   ne vzpostavi in vzdržuje sistemov notranjih kontrol, postopkov ugotavljanja, merjenja oziroma ocenjevanja, obvladovanja in spremljanja tveganj in ukrepov za nadzor in varovanje informacijskih sistemov za obdelavo podatkov (prvi odstavek 236. člena);</w:t>
      </w:r>
    </w:p>
    <w:p w14:paraId="1C9A945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36.   ne vzpostavi in vzdržuje zanesljivih varnostnih mehanizmov, ki zagotavljajo varnost in preverjanje prenosa informacij, zmanjšujejo tveganje spreminjanja in izgube informacij, preprečujejo nepooblaščen dostop do informacij in odtekanje informacij ali ne zagotavljajo zaupnosti informacij v skladu z drugim odstavkom 236. člena tega zakona;</w:t>
      </w:r>
    </w:p>
    <w:p w14:paraId="7138D1F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37.   ne vodi in hrani evidenc, poslovnih knjig in druge dokumentacije v skladu s prvim in drugim odstavkom 237. člena tega zakona;</w:t>
      </w:r>
    </w:p>
    <w:p w14:paraId="2BDC228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38.   ne vodi in ne hrani elektronske komunikacije in telefonskih pogovorov v skladu s prvim, drugim, tretjim in osmim odstavkom 238. člena tega zakona;</w:t>
      </w:r>
    </w:p>
    <w:p w14:paraId="3725BCF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39.   ne zagotovi, da osebe, ki zanjo izvajajo investicijske storitve in posle ne prejemajo, pošiljajo ali ustvarjajo telefonskih pogovorov in druge elektronske komunikacije z lastno opremo, ki borznoposredniški družbi ne omogoča beleženja ali shranjevanja v skladu s sedmim odstavkom 238. člena tega zakona;</w:t>
      </w:r>
    </w:p>
    <w:p w14:paraId="3DCEDF0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40.   ni vzpostavila učinkovitih sistemov in nadzora ter ni izpolnjevala obveznosti v zvezi z algoritemskim trgovanjem, neposrednim elektronskim dostopom in opravljanjem poravnalnih storitev za druge osebe v skladu z 242., 243. in 244. členom tega zakona;</w:t>
      </w:r>
    </w:p>
    <w:p w14:paraId="444E786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41.   kot borznoposredniška družba prejemnica naročila ni opravila storitev ali posla v skladu z oddelkom 7.2 tega zakona (peti odstavek 260. člena);</w:t>
      </w:r>
    </w:p>
    <w:p w14:paraId="116D694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42.   pred izvršitvijo naročila za družbo iz četrtega odstavka 276. člena tega zakona ne pridobi izrecnega soglasja te družbe, da jo borznoposredniška družba obravnava kot primerno nasprotno stranko (peti odstavek 276. člena);</w:t>
      </w:r>
    </w:p>
    <w:p w14:paraId="2D6D61B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43.   pri opravljanju investicijskih storitev in poslov ter pomožnih investicijskih storitev za primerno nasprotno stranko ne ravna vestno, pošteno in z ustrezno profesionalno skrbnostjo ter jim ne daje informacij, ki so poštene, jasne in niso zavajajoče, pri čemer ne upošteva značilnosti primerne nasprotne stranke in njenih poslov (sedmi odstavek 276. člena);</w:t>
      </w:r>
    </w:p>
    <w:p w14:paraId="5849E8B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44.   ne zagotovi, da odvisni borznoposredniški zastopnik takoj, ko vzpostavi stik oziroma pred začetkom poslovanja s stranko oziroma morebitno stranko tej razkrije, da nastopa kot odvisni borznoposredniški zastopnik ali razkrije borznoposredniško družbo, ki jo zastopa v skladu s tretjim odstavkom 279. člena tega zakona;</w:t>
      </w:r>
    </w:p>
    <w:p w14:paraId="26729D4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45.   pooblasti osebo, ki opravlja storitve odvisnega borznoposredniškega zastopnika, čeprav ni vpisana v register zastopnikov iz 278. člena tega zakona ali v javni register odvisnih borznoposredniških zastopnikov druge države članice (prvi odstavek 280. člena);</w:t>
      </w:r>
    </w:p>
    <w:p w14:paraId="1607DDD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46.   ne nadzoruje dejanj iz prvega odstavka 279. člena tega zakona, ki jih v njenem imenu opravlja odvisni borznoposredniški zastopnik ali ne opravi vseh ukrepov, potrebnih za zagotovitev, da ta zastopnik pri opravljanju teh dejanj ravna v skladu s predpisi iz 1. točke prvega odstavka 232. člena tega zakona (drugi odstavek 280. člena);</w:t>
      </w:r>
    </w:p>
    <w:p w14:paraId="46D589E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47.   ne opravi vseh ukrepov, potrebnih za zagotovitev, da drugi posli, ki jih opravlja odvisni borznoposredniški zastopnik in za katere se ne uporabljajo določbe tega zakona o investicijskih storitvah in poslih oziroma pomožnih investicijskih storitvah, nimajo negativnega vpliva na opravljanje investicijskih storitev in poslov, ki jih odvisni borznoposredniški zastopnik opravlja za to borznoposredniško družbo (tretji odstavek 280. člena);</w:t>
      </w:r>
    </w:p>
    <w:p w14:paraId="0917F0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48.   krši dolžnost varovanja zaupnih podatkov po 311. členu tega zakona;</w:t>
      </w:r>
    </w:p>
    <w:p w14:paraId="766E93E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49.   trguje z izvedenimi finančnimi instrumenti na blago ali emisijskimi kuponi ali njihovimi izvedenimi finančnimi instrumenti izven mesta trgovanja in agenciji ne poroča v skladu s tretjim odstavkom 332. člena tega zakona;</w:t>
      </w:r>
    </w:p>
    <w:p w14:paraId="0B2DFC9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50.   pooblaščeni osebi agencije ne omogoči pregleda ali ovira izvajanje njegovih nalog in pooblastil na način, določen v 272., 275., 276., 277. in 278. členu ZBan-3 v zvezi s 347. členom tega zakona;</w:t>
      </w:r>
    </w:p>
    <w:p w14:paraId="7E40BCE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51.   pridobi dovoljenje ali soglasje, ki je določeno s tem zakonom ali </w:t>
      </w:r>
      <w:r w:rsidR="00801FB2" w:rsidRPr="004319E8">
        <w:rPr>
          <w:rFonts w:ascii="Arial" w:eastAsia="Arial" w:hAnsi="Arial" w:cs="Arial"/>
          <w:color w:val="0000EE"/>
          <w:sz w:val="20"/>
          <w:szCs w:val="20"/>
          <w:u w:val="single" w:color="0000EE"/>
        </w:rPr>
        <w:t>Uredbo 575/2013/EU</w:t>
      </w:r>
      <w:r w:rsidRPr="004319E8">
        <w:rPr>
          <w:rFonts w:ascii="Arial" w:eastAsia="Arial" w:hAnsi="Arial" w:cs="Arial"/>
          <w:sz w:val="20"/>
          <w:szCs w:val="20"/>
        </w:rPr>
        <w:t>, z navajanjem neresničnih podatkov ali na podlagi drugega zavajajočega ravnanja (347. člen);</w:t>
      </w:r>
    </w:p>
    <w:p w14:paraId="149C71D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52.   ne vzpostavi in dosledno ne uresničuje primernih notranjih postopkov za upravljanje tveganj in mehanizmov notranjih kontrol, vključno z zanesljivimi postopki poročanja ter računovodskimi postopki, z namenom ugotavljanja, merjenja, spremljanja in nadzora poslov z njenim nadrejenim mešanim poslovnim holdingom in njegovimi podrejenimi družbami v skladu z drugim odstavkom 337. člena ZBan-3 v zvezi s prvim odstavkom 347. člena tega zakona;</w:t>
      </w:r>
    </w:p>
    <w:p w14:paraId="50C72EE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53.   ne ravna v skladu z odredbo iz 283. in 288. člena ZBan-3 v zvezi s tretjim odstavkom 347. člena tega zakona;</w:t>
      </w:r>
    </w:p>
    <w:p w14:paraId="045E19F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54.   posebnemu pooblaščencu iz 289. člena ZBan-3 ne omogoči ali ga ovira pri izvajanju njegovih nalog in pooblastil v skladu z 289. in 291. členom ZBan-3 v zvezi s tretjim odstavkom 347. člena tega zakona.</w:t>
      </w:r>
    </w:p>
    <w:p w14:paraId="2916393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w:t>
      </w:r>
      <w:r w:rsidRPr="004319E8">
        <w:rPr>
          <w:rFonts w:ascii="Arial" w:eastAsia="Arial" w:hAnsi="Arial" w:cs="Arial"/>
          <w:b/>
          <w:bCs/>
          <w:sz w:val="20"/>
          <w:szCs w:val="20"/>
        </w:rPr>
        <w:t>(črtan)</w:t>
      </w:r>
    </w:p>
    <w:p w14:paraId="549D1CA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(3) Če je narava storjenega prekrška iz prvega ali drugega odstavka tega člena posebno huda zaradi višine povzročene škode oziroma višine pridobljene protipravne premoženjske koristi ali zaradi storilčevega naklepa oziroma njegovega namena koristoljubnosti, se borznoposredniška družba ali banka kaznuje z globo v višini do:</w:t>
      </w:r>
    </w:p>
    <w:p w14:paraId="2A61760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5.000.000 eurov ali 10 % skupnega letnega prometa glede na zadnje razpoložljive računovodske izkaze, ki jih je odobril pristojni organ družbe, oziroma skupnega letnega prometa ali ustrezne vrste prihodka, ki izhaja iz zadnje razpoložljive konsolidirane letne bilance, ki jo je odobril pristojni organ matične družbe, če pravna oseba pripravi konsolidirane računovodske izkaze na podlagi ZGD-1, pri čemer se upošteva višji znesek, ali</w:t>
      </w:r>
    </w:p>
    <w:p w14:paraId="77F8F2C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dvakratnega zneska dobička, pridobljenega s kršitvijo, ali izgube, preprečene s kršitvijo, kadar ju je mogoče opredeliti, če ta znesek presega znesek iz prejšnje točke.</w:t>
      </w:r>
    </w:p>
    <w:p w14:paraId="2487BF00"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Član uprave borznoposredniške družbe ali banke, ki stori prekršek iz prvega ali drugega odstavka tega člena, se za prekršek kaznuje z globo v višini od 2.500 do 10.000 eurov.</w:t>
      </w:r>
    </w:p>
    <w:p w14:paraId="06B727B7"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Član nadzornega sveta borznoposredniške družbe ali banke, ki stori prekršek iz prvega ali drugega odstavka tega člena, se za prekršek kaznuje z globo v višini od 2.500 do 10.000 eurov.</w:t>
      </w:r>
    </w:p>
    <w:p w14:paraId="3B7B3A3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Če je narava storjenega prekrška iz četrtega ali petega odstavka tega člena posebno huda zaradi višine povzročene škode oziroma višine pridobljene protipravne premoženjske koristi ali zaradi storilčevega naklepa oziroma njegovega namena koristoljubnosti, se član uprave ali nadzornega sveta borznoposredniške družbe ali banke kaznuje z globo do višine 5.000.000 eurov.</w:t>
      </w:r>
    </w:p>
    <w:p w14:paraId="0176678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Odgovorna oseba borznoposredniške družbe ali banke, ki ni član uprave ali nadzornega sveta, se za prekršek iz prvega ali drugega odstavka tega člena kaznuje z globo od 800 do 10.000 eurov. Če je narava storjenega prekrška iz prejšnjega stavka posebno huda zaradi višine povzročene škode oziroma višine pridobljene protipravne premoženjske koristi ali zaradi storilčevega naklepa oziroma njegovega namena koristoljubnosti, se odgovorna oseba borznoposredniške družbe ali banke kaznuje z globo od 2.500 do 30.000 eurov.</w:t>
      </w:r>
    </w:p>
    <w:p w14:paraId="366E0A9F"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533. člen</w:t>
      </w:r>
    </w:p>
    <w:p w14:paraId="369A3D2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(druge lažje kršitve člana uprave ali nadzornega sveta borznoposredniške družbe)</w:t>
      </w:r>
    </w:p>
    <w:p w14:paraId="562983E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 globo od 400 do 10.000 eurov se za prekršek kaznuje član uprave borznoposredniške družbe ali banke, ki:</w:t>
      </w:r>
    </w:p>
    <w:p w14:paraId="11B5C9E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ne zagotovi, da borznoposredniška družba ali banka posluje v skladu s pravili iz prvega in drugega odstavka 47. člena ZBan-3 v zvezi s 185. členom tega zakona;</w:t>
      </w:r>
    </w:p>
    <w:p w14:paraId="060F510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ne obvesti nemudoma nadzornega sveta borznoposredniške družbe ali banke o okoliščinah iz 48. člena ZBan-3 v zvezi s 185. členom tega zakona;</w:t>
      </w:r>
    </w:p>
    <w:p w14:paraId="14A33BA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ne opredeli, potrdi in nadzoruje organizacije in politik borznoposredniške družbe ali banke v skladu šestim odstavkom 185. člena tega zakona.</w:t>
      </w:r>
    </w:p>
    <w:p w14:paraId="55352B0C"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Z globo od 400 do 10.000 eurov se za prekršek kaznuje član nadzornega sveta borznoposredniške družbe ali banke, ki:</w:t>
      </w:r>
    </w:p>
    <w:p w14:paraId="73C144F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ne izpolnjuje svojih dolžnosti iz prvega in drugega odstavka 62. člena ZBan-3 v zvezi s 185. členom tega zakona;</w:t>
      </w:r>
    </w:p>
    <w:p w14:paraId="587FE79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2.      ne obvesti nemudoma agencije o dogodkih iz 63. člena ZBan-3 v zvezi s 185. členom tega zakona;</w:t>
      </w:r>
    </w:p>
    <w:p w14:paraId="3DE44B5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ne spremlja in redno ne ocenjuje primernosti ter izvajanja strateških ciljev borznoposredniške družbe ali banke pri opravljanju investicijskih storitev in poslov ter pomožnih storitev, učinkovitosti ureditve upravljanja borznoposredniške družbe ali banke in ustreznosti politik glede zagotavljanja storitev strankam ter ne sprejme ustreznih ukrepov za odpravo morebitnih pomanjkljivosti (sedmi odstavek 185. člena).</w:t>
      </w:r>
    </w:p>
    <w:p w14:paraId="7A2A5CDB"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534. člen</w:t>
      </w:r>
    </w:p>
    <w:p w14:paraId="4639361E"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(kršitve upravljavca MTF ali OTF)</w:t>
      </w:r>
    </w:p>
    <w:p w14:paraId="1BDE00C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 globo od 25.000 do 250.000 eurov se za prekršek kaznuje banka ali drug upravljavec MTF ali OTF, z globo od 80.000 do 500.000 eurov pa banka ali drug upravljavec MTF ali OTF, ki se po ZGD-1 šteje za srednjo ali veliko gospodarsko družbo, če:</w:t>
      </w:r>
    </w:p>
    <w:p w14:paraId="2ED0B10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namerava omogočiti oddaljeni dostop in uporabo tega sistema osebam s sedežem v drugi državi članici in o tem ne obvesti agencije ali ne navede te države članice (prvi odstavek 208. člena);</w:t>
      </w:r>
    </w:p>
    <w:p w14:paraId="17233D9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vsaj enkrat letno brezplačno ne objavi podatkov o kakovosti izvršitve poslov v sistemu MTF ali OTF v skladu s sedmim odstavkom 267. člena tega zakona;</w:t>
      </w:r>
    </w:p>
    <w:p w14:paraId="3DFFB07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ne izpolnjuje organizacijskih zahtev, določenih v oddelku 7.1 in pododdelku 7.3.2 tega zakona, ali ne vzpostavi in ne uresničuje ustreznih ukrepov za pravilno upravljanje tehničnih operacij trgovalnega sistema, vključno z zagotovitvijo načrta neprekinjenega in rednega delovanja trgovalnega sistema v skladu s prvim in drugim odstavkom 315. členom tega zakona;</w:t>
      </w:r>
    </w:p>
    <w:p w14:paraId="1521857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omogoči delovanje sistema brez vsaj treh dejansko aktivnih članov ali udeležencev v nasprotju s tretjim odstavkom 315. člena tega zakona;</w:t>
      </w:r>
    </w:p>
    <w:p w14:paraId="4209337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ne določi pravil, postopkov in sistemov glede trgovanje, izvrševanje naročil, dostopa in meril za določitev finančnih instrumentov, s katerimi se lahko trguje v MTF ali OTF v skladu s 316. členom tega zakona;</w:t>
      </w:r>
    </w:p>
    <w:p w14:paraId="7607456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glede razkritja informacij ne ravna v skladu s 317. členom tega zakona;</w:t>
      </w:r>
    </w:p>
    <w:p w14:paraId="0FFE419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ne vzpostavi in ne uresniči ustreznih ukrepov za ugotavljanje in preprečevanje nasprotij interesov v skladu s 318. členom tega zakona;</w:t>
      </w:r>
    </w:p>
    <w:p w14:paraId="2827B25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8.      na zahtevo agencije ne pošlje natančnega opisa delovanja MTF ali OTF v skladu s prvim odstavkom 319. člena tega zakona;</w:t>
      </w:r>
    </w:p>
    <w:p w14:paraId="15F1CE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uporabnikov sistema MTF ali OTF jasno ne seznani z njihovimi odgovornostmi za izpolnitev obveznosti iz poslov, sklenjenih v sistemu MTF ali OTF ali če ne zagotovi ukrepov, ki zagotavljajo učinkovito izpolnitev obveznosti iz poslov, sklenjenih v sistemu MTF ali OTF v skladu s prvim in drugim odstavkom 320. člena tega zakona;</w:t>
      </w:r>
    </w:p>
    <w:p w14:paraId="78884FF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na zahtevo agencije takoj začasno ali trajno ne umakne finančnih instrumentov iz trgovanja v MTF ali OTF v skladu s prvim odstavkom 322. členom tega zakona;</w:t>
      </w:r>
    </w:p>
    <w:p w14:paraId="2070649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začasno ne ustavi trgovanja s finančnim instrumentom ali trajno ne umakne finančnega instrumenta iz trgovanja v svojem sistemu, če ta finančni instrument ne izpolnjuje več zahtev za trgovanje v takšnem sistemu oziroma ne ustavi ali trajno umakne izvedenih finančnih instrumentov iz 4. do 10. točke drugega odstavka 7. člena tega zakona, ki se nanašajo na </w:t>
      </w:r>
      <w:r w:rsidRPr="004319E8">
        <w:rPr>
          <w:rFonts w:ascii="Arial" w:eastAsia="Arial" w:hAnsi="Arial" w:cs="Arial"/>
          <w:sz w:val="20"/>
          <w:szCs w:val="20"/>
        </w:rPr>
        <w:lastRenderedPageBreak/>
        <w:t>finančni instrument, ki je predmet ustavitve ali umika iz trgovanja v skladu z drugim in tretjim odstavkom 322. člena tega zakona;</w:t>
      </w:r>
    </w:p>
    <w:p w14:paraId="12CFAEA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12.   o ukrepu začasne ustavitve trgovanja s finančnim instrumentom ali trajnega umika finančnega instrumenta iz trgovanja v svojem sistemu ne obvesti agencije ali ukrepa javno ne objavi v skladu s četrtim odstavkom 322. člena tega zakona;</w:t>
      </w:r>
    </w:p>
    <w:p w14:paraId="446B0BB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13.   ne vzpostavi in vzdržuje učinkovitih ukrepov in postopkov za redno spremljanje skladnosti ravnanj članov, udeležencev ali uporabnikov sistema MTF ali OTF s pravili tega sistema v skladu s prvim odstavkom 325. člena tega zakona;</w:t>
      </w:r>
    </w:p>
    <w:p w14:paraId="59AC376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14.   ne spremlja poslanih naročil in izvršenih poslov, ki jih sklepa s člani, udeleženci ali uporabniki sistema MTF ali OTF v skladu z drugim odstavkom 325. člena tega zakona;</w:t>
      </w:r>
    </w:p>
    <w:p w14:paraId="3ED73E4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15.   ne poroča agenciji o pomembnih kršitvah pravil MTF ali OTF, neurejenih pogojih trgovanja in ravnanjih, ki imajo značilnosti zlorabe trga ali motenj v sistemu v zvezi s posameznim finančnim instrumentom v skladu s tretjim odstavkom 325. člena tega zakona;</w:t>
      </w:r>
    </w:p>
    <w:p w14:paraId="627D9A1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16.   agenciji, nadzornemu organu druge države članice, pristojnemu za nadzor nad zlorabami trga, kot jih določa </w:t>
      </w:r>
      <w:r w:rsidR="00801FB2" w:rsidRPr="004319E8">
        <w:rPr>
          <w:rFonts w:ascii="Arial" w:eastAsia="Arial" w:hAnsi="Arial" w:cs="Arial"/>
          <w:color w:val="0000EE"/>
          <w:sz w:val="20"/>
          <w:szCs w:val="20"/>
          <w:u w:val="single" w:color="0000EE"/>
        </w:rPr>
        <w:t>Uredba 596/2014/EU</w:t>
      </w:r>
      <w:r w:rsidRPr="004319E8">
        <w:rPr>
          <w:rFonts w:ascii="Arial" w:eastAsia="Arial" w:hAnsi="Arial" w:cs="Arial"/>
          <w:sz w:val="20"/>
          <w:szCs w:val="20"/>
        </w:rPr>
        <w:t xml:space="preserve"> ali drugemu organu, pristojnemu za odkrivanje ali pregon dejanj, ki pomenijo zlorabo trga, na njihovo zahtevo ne pošlje vseh informacij in ne zagotovi celovite pomoči pri preiskavi in pregonu zlorabe trga, storjene v MTF ali OTF ali z uporabo MTF ali OTF v skladu s četrtim odstavkom 325. člena tega zakona;</w:t>
      </w:r>
    </w:p>
    <w:p w14:paraId="078D2BD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17.   upravlja MTF ali OTF, na katerem se trguje z izvedenimi finančnimi instrumenti na blago, in ne zagotovi nadzora upravljanja pozicij vsaj z ukrepi, določenimi v prvem odstavku 331. člena tega zakona;</w:t>
      </w:r>
    </w:p>
    <w:p w14:paraId="4DD7958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18.   agenciji ne sporoči podrobnih informacij o nadzoru upravljanja pozicij, ki ga izvaja v skladu s tretjim odstavkom 331. člena tega zakona;</w:t>
      </w:r>
    </w:p>
    <w:p w14:paraId="628FF4E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19.   glede poročanja pozicij za izvedene finančne instrumente na blago ali emisijske kupone ali njihove izvedene finančne instrumente ne ravna v skladu s prvim, šestim in sedmim odstavkom 332. člena tega zakona;</w:t>
      </w:r>
    </w:p>
    <w:p w14:paraId="47B3C0E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20.   ne razvrsti oseb, ki imajo pozicije v izvedenih finančnih instrumentih na blago ali emisijskih kuponih ali njihovih izvedenih finančnih instrumentih v skladu s petim odstavkom 332. člena tega zakona;</w:t>
      </w:r>
    </w:p>
    <w:p w14:paraId="55FC161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21.   borznoposredniški družbi ali banki, ki ji je z odredbo agencije začasno prepovedano opravljanje investicijskih storitev in poslov, ne onemogoči uresničevanja pravic člana (četrti odstavek 348. člena);</w:t>
      </w:r>
    </w:p>
    <w:p w14:paraId="42E9393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22.   ne zagotovi uskladitve poslovnih ur med sistemom MTF ali OTF in člani ali udeleženci v skladu s 378. členom tega zakona.</w:t>
      </w:r>
    </w:p>
    <w:p w14:paraId="0844D54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Z globo od 25.000 do 250.000 eurov se za prekršek kaznuje banka ali drug upravljavec MTF, z globo od 80.000 do 500.000 eurov pa banka ali drug upravljavec MTF, ki se po ZGD-1 šteje za srednjo ali veliko gospodarsko družbo, če:</w:t>
      </w:r>
    </w:p>
    <w:p w14:paraId="53B7375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določi pravila za izvrševanje naročil v trgovalnem sistemu, ki omogočajo diskrecijo glede izvrševanja naročil (prvi odstavek 323. člena);</w:t>
      </w:r>
    </w:p>
    <w:p w14:paraId="36D3256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pri določanju pravil iz 4. točke prvega odstavka 316. člena tega zakona o dostopu do MTF smiselno ne uporablja določb 411. člena tega zakona v skladu z drugim odstavkom 323. člena tega zakona;</w:t>
      </w:r>
    </w:p>
    <w:p w14:paraId="5D4EB29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3.      ne vzpostavi in ne uresničuje ustreznih ukrepov za upravljanje s tveganji ali za učinkovito in pravočasno zaključevanje poslov izvršenih na MTF ali za zagotavljanje zadostnih finančnih virov v skladu s tretjim odstavkom 323. člena tega zakona;</w:t>
      </w:r>
    </w:p>
    <w:p w14:paraId="2F2714D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izvršuje naročila strank v breme lastnega kapitala ali trguje s tehniko trgovanja s hkratnim nakupom in prodajo v nasprotju s petim odstavkom 323. člena tega zakona;</w:t>
      </w:r>
    </w:p>
    <w:p w14:paraId="095753D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upravlja sistem MTF kot razvojni trg MSP in ne izpolnjuje pogojev iz tretjega odstavka 326. člena tega zakona.</w:t>
      </w:r>
    </w:p>
    <w:p w14:paraId="76387A3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Z globo od 25.000 do 250.000 eurov se za prekršek kaznuje banka ali drug upravljavec OTF, z globo od 80.000 do 500.000 eurov pa banka ali drug upravljavec OTF, ki se po ZGD-1 šteje za srednjo ali veliko gospodarsko družbo, če:</w:t>
      </w:r>
    </w:p>
    <w:p w14:paraId="6FB51CF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izvršuje naročila strank v sistemu OTF v breme lastnega kapitala ali kapitala drugega subjekta, ki je del iste skupine ali pravne osebe v nasprotju s prvim odstavkom 324. člena tega zakona;</w:t>
      </w:r>
    </w:p>
    <w:p w14:paraId="122433B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če brez soglasja stranke uporabi tehniko trgovanja s hkratnim nakupom in prodajo v nasprotju z drugim odstavkom 324. člena tega zakona;</w:t>
      </w:r>
    </w:p>
    <w:p w14:paraId="11E128E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če pri izvrševanju naročil strank v OTF uporabi tehniko trgovanja s hkratnim nakupom in prodajo v nasprotju s tretjim odstavkom 324. člena tega zakona;</w:t>
      </w:r>
    </w:p>
    <w:p w14:paraId="05EA366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če poleg upravljanja OTF opravlja storitev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znotraj istega pravnega subjekta ali če se povezuje s sistematičnim </w:t>
      </w:r>
      <w:proofErr w:type="spellStart"/>
      <w:r w:rsidRPr="004319E8">
        <w:rPr>
          <w:rFonts w:ascii="Arial" w:eastAsia="Arial" w:hAnsi="Arial" w:cs="Arial"/>
          <w:sz w:val="20"/>
          <w:szCs w:val="20"/>
        </w:rPr>
        <w:t>internalizatorjem</w:t>
      </w:r>
      <w:proofErr w:type="spellEnd"/>
      <w:r w:rsidRPr="004319E8">
        <w:rPr>
          <w:rFonts w:ascii="Arial" w:eastAsia="Arial" w:hAnsi="Arial" w:cs="Arial"/>
          <w:sz w:val="20"/>
          <w:szCs w:val="20"/>
        </w:rPr>
        <w:t xml:space="preserve"> ali drugim OTF v nasprotju s šestim odstavkom 324. člena tega zakona;</w:t>
      </w:r>
    </w:p>
    <w:p w14:paraId="0536C2A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če diskrecijsko izvršuje naročila v nasprotju z devetim odstavkom 324. člena tega zakona;</w:t>
      </w:r>
    </w:p>
    <w:p w14:paraId="20D625F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če na zahtevo agencije ne poda podrobnih pojasnil v skladu z dvanajstim odstavkom 324. člena tega zakona.</w:t>
      </w:r>
    </w:p>
    <w:p w14:paraId="527BF98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Če je narava storjenega prekrška iz prvega, drugega ali tretjega odstavka tega člena posebno huda zaradi višine povzročene škode oziroma višine pridobljene protipravne premoženjske koristi ali zaradi storilčevega naklepa oziroma njegovega namena koristoljubnosti, se banka ali drug upravljavec MTF ali OTF kaznuje z globo v višini do:</w:t>
      </w:r>
    </w:p>
    <w:p w14:paraId="7921A19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5.000.000 eurov ali 10 % skupnega letnega prometa glede na zadnje razpoložljive računovodske izkaze, ki jih je odobril pristojni organ družbe, oziroma skupnega letnega prometa ali ustrezne vrste prihodka, ki izhaja iz zadnje razpoložljive konsolidirane letne bilance, ki jo je odobril pristojni organ matične družbe, če pravna oseba pripravi konsolidirane računovodske izkaze na podlagi ZGD-1, pri čemer se upošteva višji znesek, ali</w:t>
      </w:r>
    </w:p>
    <w:p w14:paraId="1A40F20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dvakratnega zneska dobička, pridobljenega s kršitvijo, ali izgube, preprečene s kršitvijo, kadar ju je mogoče opredeliti, če ta znesek presega znesek iz prejšnje točke.</w:t>
      </w:r>
    </w:p>
    <w:p w14:paraId="4890C33D"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Član uprave banke ali drugega upravljavca MTF ali OTF, ki krši dolžnosti člana uprave in je zato v banki ali drugemu upravljavcu MTF ali OTF podana kršitev iz prvega, drugega ali tretjega odstavka tega člena, se za prekršek kaznuje z globo v višini od 2.500 do 10.000 eurov.</w:t>
      </w:r>
    </w:p>
    <w:p w14:paraId="749EE1C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Član nadzornega sveta banke ali drugega upravljavca MTF ali OTF, ki krši dolžnosti člana nadzornega sveta in je zato v banki ali drugemu upravljavcu MTF ali OTF podana kršitev iz prvega, drugega ali tretjega odstavka tega člena, se za prekršek kaznuje z globo v višini od 2.500 do 10.000 eurov.</w:t>
      </w:r>
    </w:p>
    <w:p w14:paraId="0E49BC8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(7) Če je narava storjenega prekrška iz petega ali šestega odstavka tega člena posebno huda zaradi višine povzročene škode oziroma višine pridobljene protipravne premoženjske koristi ali zaradi storilčevega naklepa oziroma njegovega namena koristoljubnosti, se član uprave ali nadzornega sveta banke ali drugega upravljavca MTF ali OTF kaznuje z globo do višine 5.000.000 eurov.</w:t>
      </w:r>
    </w:p>
    <w:p w14:paraId="3DD38541"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Odgovorna oseba banke ali drugega upravljavca MTF ali OTF, ki ni član uprave ali nadzornega sveta, se za prekršek iz prvega, drugega ali tretjega odstavka tega člena kaznuje z globo od 800 do 10.000 eurov. Če je narava storjenega prekrška iz prejšnjega stavka posebno huda zaradi višine povzročene škode oziroma višine pridobljene protipravne premoženjske koristi ali zaradi storilčevega naklepa oziroma njegovega namena koristoljubnosti, se odgovorna oseba banke ali drugega upravljavca MTF ali OTF, ki ni član uprave ali nadzornega sveta, kaznuje z globo od 2.500 do 30.000 eurov.</w:t>
      </w:r>
    </w:p>
    <w:p w14:paraId="76ABD724"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539. člen</w:t>
      </w:r>
    </w:p>
    <w:p w14:paraId="396979B0"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(kršitve 11. poglavja tega zakona)</w:t>
      </w:r>
    </w:p>
    <w:p w14:paraId="1E6E274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 globo od 25.000 do 250.000 eurov se za prekršek kaznuje borza, če:</w:t>
      </w:r>
    </w:p>
    <w:p w14:paraId="02E5E6E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vsaj enkrat letno brezplačno ne objavi podatkov o kakovosti izvršitve poslov na borznem trgu v skladu s sedmim odstavkom 267. člena tega zakona;</w:t>
      </w:r>
    </w:p>
    <w:p w14:paraId="48D7D50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ne zagotovi nadzora upravljanja pozicij vsaj z ukrepi, določenimi v prvem odstavku 331. člena tega zakona;</w:t>
      </w:r>
    </w:p>
    <w:p w14:paraId="1B15493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agenciji ne sporoči podrobnih informacij o nadzoru upravljanja pozicij, ki ga izvaja v skladu s tretjim odstavkom 331. člena tega zakona;</w:t>
      </w:r>
    </w:p>
    <w:p w14:paraId="1AA6864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glede poročanja pozicij za izvedene finančne instrumente na blago ali emisijske kupone ali njihove izvedene finančne instrumente ne ravna v skladu s prvim, šestim in sedmim odstavkom 332. člena tega zakona;</w:t>
      </w:r>
    </w:p>
    <w:p w14:paraId="0179BCE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      ne razvrsti oseb, ki imajo pozicije v izvedenih finančnih instrumentih na blago ali emisijskih kuponih ali njihovih izvedenih finančnih instrumentih v skladu s petim odstavkom 332. člena tega zakona;</w:t>
      </w:r>
    </w:p>
    <w:p w14:paraId="365036A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6.      borznoposredniški družbi, kateri je z odredbo agencije začasno prepovedano opravljanje investicijskih storitev in poslov, ne onemogoči uresničevanja pravic člana (četrti odstavek 348. člena);</w:t>
      </w:r>
    </w:p>
    <w:p w14:paraId="3E4E0EA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brez dovoljenja agencije za upravljanje borznega trga upravlja borzni trg (prvi odstavek 359. in 387. člena);</w:t>
      </w:r>
    </w:p>
    <w:p w14:paraId="5395A58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8.      brez dovoljenja agencije za upravljanje MTF ali OTF upravlja MTF ali OTF (prvi odstavek 387. člena v zvezi z 2. točko prvega odstavka 365. člena);</w:t>
      </w:r>
    </w:p>
    <w:p w14:paraId="2EFC7CC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9.      ne obvesti agencije o vsaki pridobitvi ali spremembi kvalificiranega deleža posameznega delničarja, razen če je ta na zahtevo imetnika tega deleža že izdala ustrezno dovoljenje (tretji odstavek 368. člena);</w:t>
      </w:r>
    </w:p>
    <w:p w14:paraId="274C538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na svojih javnih spletnih straneh ne objavi vseh imetnikov kvalificiranih deležev s podatki o višini teh deležev in vsake spremembe imetnika kvalificiranega deleža, ki lahko glede na višino tega deleža izvaja pomembnejši vpliv na upravljanje borze (četrti odstavek 368. člena);</w:t>
      </w:r>
    </w:p>
    <w:p w14:paraId="362D75C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11.   ne vzpostavi ali ne izvaja ustrezne politike izbora kandidatov za člane organa vodenja in organa nadzora v skladu s prvim in drugim odstavkom 35. člena ZBan-3 v zvezi s 370. členom tega zakona;</w:t>
      </w:r>
    </w:p>
    <w:p w14:paraId="090D1AC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12.   glede določanja števila direktorskih funkcij, ki jih lahko sočasno opravlja posamezni član organa vodenja in organa nadzora v drugih družbah in organizacijah hkrati z opravljanjem funkcije člana organa vodenja ali organa nadzora borze, ravna v nasprotju z 38. členom ZBan-3 v zvezi s prvim in drugim odstavkom 370. člena tega zakona;</w:t>
      </w:r>
    </w:p>
    <w:p w14:paraId="56CA28C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13.   ni zagotovila, da nadzorni svet borze imenuje komisiji v skladu z 51. členom ZBan-3, ali delovanje teh komisij ni v skladu s 52., 53. ali 54. členom ZBan-3 v zvezi s prvim in drugim odstavkom 370. člena tega zakona;</w:t>
      </w:r>
    </w:p>
    <w:p w14:paraId="248C23C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14.   v petih dneh po sprejetju sklepa o imenovanju ali razrešitvi člana uprave ali člana nadzornega sveta o tem ne obvesti agencije in ji ne predloži informacij, ki so potrebne za presojo ustreznosti tega člana (šesti odstavek 370. člena);</w:t>
      </w:r>
    </w:p>
    <w:p w14:paraId="2F44707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15.   ne vzpostavi ali ne uresničuje ustreznih ukrepov za ugotavljanje in preprečevanje nasprotij interesov v skladu s 372. členom tega zakona;</w:t>
      </w:r>
    </w:p>
    <w:p w14:paraId="6F9A63E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16.   ne vzpostavi in uresničuje trdnega in zanesljivega sistema upravljanja v skladu s 373. členom tega zakona;</w:t>
      </w:r>
    </w:p>
    <w:p w14:paraId="10F7B8B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17.   na borznem trgu, ki ga upravlja, izvršuje naročila strank v breme lastnega kapitala ali uporablja tehniko trgovanja s hkratnim nakupom in prodajo v nasprotju s tretjim odstavkom 373. člena tega zakona;</w:t>
      </w:r>
    </w:p>
    <w:p w14:paraId="0A75FAA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18.   z vzdrževalci trga nima urejenih razmerij v skladu s prvim do tretjim odstavkom 374. člena tega zakona;</w:t>
      </w:r>
    </w:p>
    <w:p w14:paraId="6B1DBF0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19.   agencije ne obvesti o vsebini dogovorov iz prvega odstavka 374. člena tega zakona in ji na podlagi njene zahteve ne predloži natančnejših informacij, ki so potrebne za ugotavljanje skladnosti borze s prvim do tretjim odstavkom 374. člena tega zakona (četrti odstavek 374. člena);</w:t>
      </w:r>
    </w:p>
    <w:p w14:paraId="6F36014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20.   ne zagotovi učinkovitih sistemov in postopkov, ki zavračajo naročila, ki presegajo vnaprej določene količinske in cenovne prage ali so očitno napačna (prvi odstavek 375. člena);</w:t>
      </w:r>
    </w:p>
    <w:p w14:paraId="05DCC2C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21.   začasno ne ustavi ali omeji trgovanja na borznem trgu, v primeru precejšnjega nihanja cen finančnega instrumenta na tem ali podobnem trgu v kratkem časovnem obdobju (drugi odstavek 375. člena);</w:t>
      </w:r>
    </w:p>
    <w:p w14:paraId="012879F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22.   parametri za začasno ustavitev trgovanja niso primerni likvidnosti različnih vrst finančnih instrumentov, značilnosti tržnega modela ali vrstam uporabnikov ali ne zagotavljajo preprečevanja resnih motenj urejenega trgovanja (tretji odstavek 375. člena);</w:t>
      </w:r>
    </w:p>
    <w:p w14:paraId="08DB213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23.   agenciji ne predloži parametrov za začasno ustavitev trgovanja ali ji ne sporoči vsake pomembne spremembe teh (četrti odstavek 375. člena);</w:t>
      </w:r>
    </w:p>
    <w:p w14:paraId="59960ED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24.   je borzni trg glede likvidnosti posameznega finančnega instrumenta pomemben za ta instrument in borza ne vzpostavi sistema obveščanja v skladu s šestim odstavkom 375. člena tega zakona;</w:t>
      </w:r>
    </w:p>
    <w:p w14:paraId="6CC3A3C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25.   ne zagotovi učinkovitih sistemov in postopkov, ki zagotavljajo, da algoritemski trgovalni sistemi ne ustvarjajo neurejenega trgovanja ali k temu prispevajo, in da ustrezno upravljajo z oteženimi trgovalnimi pogoji, ki izhajajo iz algoritemskega trgovanja v skladu s prvim odstavkom 376. člena tega zakona;</w:t>
      </w:r>
    </w:p>
    <w:p w14:paraId="2870149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26.   dovoli neposreden elektronski dostop do borznega trga v nasprotju s tretjim odstavkom 376. člena tega zakona;</w:t>
      </w:r>
    </w:p>
    <w:p w14:paraId="6ED3B1C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27.   ne vzpostavi primernih standardov glede nadzora tveganj in pragov trgovanja glede neposrednega elektronskega dostopa v skladu s četrtim odstavkom 376. členom tega zakona;</w:t>
      </w:r>
    </w:p>
    <w:p w14:paraId="4A5760C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28.   pravila, ki se nanašajo na storitve kolokacije, niso transparentna, poštena in so diskriminatorna (šesti odstavek 376. člena);</w:t>
      </w:r>
    </w:p>
    <w:p w14:paraId="1529861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29.   ne opredeli naročil, ustvarjenih z algoritemskim trgovanjem, v skladu s sedmim odstavkom 376. člena tega zakona;</w:t>
      </w:r>
    </w:p>
    <w:p w14:paraId="750A169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30.   agenciji brezplačno ne zagotovi vseh trgovalnih podatkov, ki jih agencija potrebuje za opravljanje nadzora (osmi odstavek 376. člena);</w:t>
      </w:r>
    </w:p>
    <w:p w14:paraId="1F1190D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31.   ne sprejme sistema korakov kotacije za delnice, potrdila o deponiranju vrednostnih papirjev, ETF, certifikate in druge podobne finančne instrumente v skladu z delegiranim aktom Evropske komisije, izdanim na podlagi tretjega in četrtega odstavka 49. člena </w:t>
      </w:r>
      <w:r w:rsidR="00801FB2"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(prvi odstavek 377. člena);</w:t>
      </w:r>
    </w:p>
    <w:p w14:paraId="7FEDACC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32.   ne zagotovi uskladitve poslovnih ur med borzo in člani ali udeleženci v skladu s 378. členom tega zakona;</w:t>
      </w:r>
    </w:p>
    <w:p w14:paraId="5C09CB4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33.   ne določi načrta ukrepov upravljanja s tveganji v skladu s 380. členom tega zakona;</w:t>
      </w:r>
    </w:p>
    <w:p w14:paraId="7EC8F24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34.   ne oblikuje in izvaja politik in procesov za ocenjevanje in upravljanje z operativnimi tveganji v skladu z drugim in tretjim odstavkom 381. člena tega zakona;</w:t>
      </w:r>
    </w:p>
    <w:p w14:paraId="7E02AB0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35.   ne izdela kriznega načrta ali načrta neprekinjenega poslovanja, ki zagotavlja ustrezne pogoje, da tudi ob hudih poslovnih motnjah nadaljuje poslovanje in da se ustrezno omejijo izgube borze zaradi teh motenj (prvi odstavek 382. člena);</w:t>
      </w:r>
    </w:p>
    <w:p w14:paraId="4768693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36.   ne zagotovi učinkovitih sistemov in postopkov, ki zagotavljajo odpornost trgovalnega sistema v skladu z drugim odstavkom 382. člena tega zakona;</w:t>
      </w:r>
    </w:p>
    <w:p w14:paraId="0B98261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37.   sporoči zaupne podatke o posameznem izdajatelju, članu ali o drugi osebi tretjim osebam, oziroma jih uporabi sama ali omogoči, da bi jih uporabile tretje osebe (384. člen);</w:t>
      </w:r>
    </w:p>
    <w:p w14:paraId="66F9F70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38.   ne sprejme pravil in izvedbenih postopkov v skladu s 385. členom tega zakona;</w:t>
      </w:r>
    </w:p>
    <w:p w14:paraId="1E879E7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39.   nadomestila, določena s tarifo borze, niso v skladu z drugim odstavkom 386. člena tega zakona;</w:t>
      </w:r>
    </w:p>
    <w:p w14:paraId="53D809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40.   ne zagotovi ustreznega kapitala, ki omogoča normalno delovanje borze (prvi odstavek 383. člena);</w:t>
      </w:r>
    </w:p>
    <w:p w14:paraId="21EDDF7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41.   agenciji ne zagotovi vseh informacij, ki jih je potrebno priložiti zahtevi za izdajo dovoljenja za upravljanje borznega trga v skladu s prvim odstavkom 388. člena tega zakona;</w:t>
      </w:r>
    </w:p>
    <w:p w14:paraId="3DA33F7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42.   ne obvesti agencije o nameri vzpostavitve sistema za dostop do borznega trga v drugi državi članici v skladu s 393. členom tega zakona;</w:t>
      </w:r>
    </w:p>
    <w:p w14:paraId="3AC65A2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43.   pravila borze ne določajo jasnih in preglednih pravil o uvrstitvi finančnih instrumentov v trgovanje na borznem trg ali če pravila ne zagotavljajo, da se v trgovanje na borznem trgu lahko uvrstijo samo finančni instrumenti, katerih lastnosti omogočajo, da se z njimi trguje pošteno, urejeno in učinkovito (prvi in drugi odstavek 395. člena);</w:t>
      </w:r>
    </w:p>
    <w:p w14:paraId="667E2EB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44.   ureditev v pravilih borze glede izvedenih finančnih instrumentov ne zagotavlja, da se v trgovanje uvrstijo samo tisti izvedeni finančni instrumenti, katerih vsebina omogoča pregledno določanje cene in učinkovite pogoje poravnave v skladu s tretjim odstavkom 395. člena tega zakona;</w:t>
      </w:r>
    </w:p>
    <w:p w14:paraId="11D1F49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45.   glede uvrstitve vrednostnih papirjev v trgovanje na borznem trgu ne ravna v skladu s tretjim odstavkom 397. člena tega zakona;</w:t>
      </w:r>
    </w:p>
    <w:p w14:paraId="3EA06EB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46.   v zvezi z vrednostnimi papirji, uvrščenimi v trgovanje na borznem trgu, ne vzpostavi ali ne uresničuje učinkovitih ukrepov za redno preverjanje, ali izdajatelji izpolnjujejo obveznosti glede objave nadzorovanih informacij, določene v 3. poglavju tega zakona in 17. členom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ali ukrepov, ki so potrebni za redno preverjanje izpolnjevanja pogojev za trgovanje z vrednostnimi papirji na borznem trgu (tretji odstavek 398. člena);</w:t>
      </w:r>
    </w:p>
    <w:p w14:paraId="2BC3342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47.   svojih članov tekoče ne seznanja z možnostmi dostopa do nadzorovanih informacij, ki jih je objavil izdajatelj v skladu s 3. poglavjem tega zakona in 17. členom </w:t>
      </w:r>
      <w:r w:rsidR="00801FB2" w:rsidRPr="004319E8">
        <w:rPr>
          <w:rFonts w:ascii="Arial" w:eastAsia="Arial" w:hAnsi="Arial" w:cs="Arial"/>
          <w:color w:val="0000EE"/>
          <w:sz w:val="20"/>
          <w:szCs w:val="20"/>
          <w:u w:val="single" w:color="0000EE"/>
        </w:rPr>
        <w:t>Uredbe 596/2014/EU</w:t>
      </w:r>
      <w:r w:rsidRPr="004319E8">
        <w:rPr>
          <w:rFonts w:ascii="Arial" w:eastAsia="Arial" w:hAnsi="Arial" w:cs="Arial"/>
          <w:sz w:val="20"/>
          <w:szCs w:val="20"/>
        </w:rPr>
        <w:t xml:space="preserve"> (četrti odstavek 398. člena);</w:t>
      </w:r>
    </w:p>
    <w:p w14:paraId="7AB36F7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48.   začasno ne ustavi trgovanja s finančnim instrumentom ali ne umakne finančnega instrumenta iz trgovanja na borznem trgu, če ta finančni instrument ne izpolnjuje več zahtev za trgovanje v takšnem sistemu oziroma ne ustavi ali umakne izvedenih finančnih instrumentov iz 4. do 10. točke drugega odstavka 7. člena tega zakona, ki se nanašajo na finančni instrument, ki je predmet ustavitve ali umika iz trgovanja v skladu s tretjim in četrtim odstavkom 403. člena in drugim in tretjim odstavkom 404. člena tega zakona;</w:t>
      </w:r>
    </w:p>
    <w:p w14:paraId="50C7F8C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49.   glede dostopa do borznega trga ravna v nasprotju s 410. členom tega zakona;</w:t>
      </w:r>
    </w:p>
    <w:p w14:paraId="229FCE5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50.   kot borzne člane pripozna osebe, ki niso osebe iz 411. člena tega zakona;</w:t>
      </w:r>
    </w:p>
    <w:p w14:paraId="67BB0C6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51.   ne vzpostavi in uresničuje učinkovitih ukrepov in postopkov, vključno s potrebnimi sredstvi, za redno spremljanje, ali borzni člani izpolnjujejo obveznosti, določene s pravili in navodili borze v skladu s prvim odstavkom 414. člena tega zakona;</w:t>
      </w:r>
    </w:p>
    <w:p w14:paraId="0DD8E6B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52.   ne spremlja posredovanih naročil, vključno s preklicanimi, in izvršenih poslov, ki jih na borznem trgu sklepajo njeni člani v skladu z drugim odstavkom 414. člena tega zakona;</w:t>
      </w:r>
    </w:p>
    <w:p w14:paraId="55173BD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53.   ne obvešča agencije o pomembnih kršitvah pravil borze, neurejenih trgovalnih razmerah in ravnanjih borznih članov, ki imajo značilnosti zlorabe trga, ali motenj v sistemu v zvezi s posameznim finančnim instrumentom v skladu s prvim odstavkom 415. člena tega zakona;</w:t>
      </w:r>
    </w:p>
    <w:p w14:paraId="775F86A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54.   brez nepotrebnega odlašanja na zahtevo agencije ali drugega organa Republike Slovenije ali druge države članice, ki je pristojen za preiskavo in pregon prepovedanih ravnanj zlorabe trga, ne predloži vseh informacije in zagotovi druge pomoči v zvezi s preiskavo in pregonom prepovedanih dejanj zlorabe trga, storjenih pri trgovanju na borznem trgu ali prek informacijskega sistema za trgovanje na borznem trgu (tretji odstavek 415. člena);</w:t>
      </w:r>
    </w:p>
    <w:p w14:paraId="26BD0BC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55.   ureditev borznega trgovanja v pravilih borze ne vključujejo pravil, ki omogočajo pošteno in urejeno trgovanje in ki določajo objektivna merila za sklepanje borznih poslov ter pravil, katerih namen je odkrivanje in preprečevanje tržnih manipulacij (šesti odstavek 416. člena);</w:t>
      </w:r>
    </w:p>
    <w:p w14:paraId="3D78E4B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56.   ne zagotovi pogojev za učinkovit in pravočasen zaključek borznih poslov (417. člen);</w:t>
      </w:r>
    </w:p>
    <w:p w14:paraId="61EB5F7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57.   je pridobila dovoljenje za upravljanje borznega trga z navajanjem neresničnih podatkov ali na podlagi drugega zavajajočega ravnanja (prvi odstavek 294. člena ZBan-3 v zvezi s 420. členom);</w:t>
      </w:r>
    </w:p>
    <w:p w14:paraId="1DBAB61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57.a   agenciji ne omogoči izvajanja ukrepov v skladu z drugim odstavkom 422. člena tega zakona;</w:t>
      </w:r>
    </w:p>
    <w:p w14:paraId="1EE88A5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58.   ne ravna v skladu z zahtevo agencije o začasni ustavitvi ali trajnem umiku finančnega ali izvedenega finančnega instrumenta iz trgovanja v svojem sistemu v skladu s četrtim in šestim odstavkom 422. člena tega zakona;</w:t>
      </w:r>
    </w:p>
    <w:p w14:paraId="5A0FFA5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59.   borznemu članu na njegovo zahtevo ne omogoči, da poravnavo svojih obveznosti na podlagi borznih poslov opravlja prek drugega poravnalnega sistema države članice od tistega, ki ga je izbrala borza (prvi odstavek 449. člena).</w:t>
      </w:r>
    </w:p>
    <w:p w14:paraId="32044B3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Če je narava storjenega prekrška iz prejšnjega odstavka posebno huda zaradi višine povzročene škode oziroma višine pridobljene protipravne premoženjske koristi ali zaradi storilčevega naklepa oziroma njegovega namena koristoljubnosti, se borza kaznuje z globo v višini do:</w:t>
      </w:r>
    </w:p>
    <w:p w14:paraId="69C6C59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5.000.000 eurov ali 10 % skupnega letnega prometa glede na zadnje razpoložljive računovodske izkaze, ki jih je odobril pristojni organ družbe, oziroma skupnega letnega prometa ali ustrezne vrste prihodka, ki izhaja iz zadnje razpoložljive konsolidirane letne bilance, ki jo je odobril pristojni organ matične družbe, če pravna oseba pripravi konsolidirane računovodske izkaze na podlagi ZGD-1, pri čemer se upošteva višji znesek, ali</w:t>
      </w:r>
    </w:p>
    <w:p w14:paraId="099608D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dvakratnega zneska dobička, pridobljenega s kršitvijo, ali izgube, preprečene s kršitvijo, kadar ju je mogoče opredeliti, če ta znesek presega znesek iz prejšnje točke.</w:t>
      </w:r>
    </w:p>
    <w:p w14:paraId="5BDD1C2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Član uprave borze, ki krši dolžnosti člana uprave iz prvega ali drugega odstavka 47. člena ZBan-3 v zvezi s prvim odstavkom 370. člena tega zakona, in je zato podana kršitev iz prvega odstavka tega člena, se za prekršek kaznuje z globo v višini od 2.500 do 10.000 eurov.</w:t>
      </w:r>
    </w:p>
    <w:p w14:paraId="4C8E096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Član nadzornega sveta borze, ki krši dolžnosti člana nadzornega sveta borze iz prvega odstavka 62. člena ZBan-3 v zvezi s prvim odstavkom 370. člena tega zakona in je zato podana kršitev iz prvega odstavka tega člena, se za prekršek kaznuje z globo v višini od 2.500 do 10.000 eurov.</w:t>
      </w:r>
    </w:p>
    <w:p w14:paraId="000B1986"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Če je narava storjenega prekrška iz tretjega ali četrtega odstavka tega člena posebno huda zaradi višine povzročene škode oziroma višine pridobljene protipravne premoženjske koristi ali zaradi storilčevega naklepa oziroma njegovega namena koristoljubnosti, se član uprave ali nadzornega sveta kaznuje z globo do višine 5.000.000 eurov.</w:t>
      </w:r>
    </w:p>
    <w:p w14:paraId="44DED52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Odgovorna oseba borze, ki ni član uprave ali nadzornega sveta, se za prekršek iz prvega odstavka tega člena kaznuje z globo od 800 do 10.000 eurov. Če je narava storjenega prekrška iz prejšnjega stavka posebno huda zaradi višine povzročene škode oziroma višine pridobljene protipravne premoženjske koristi ali zaradi storilčevega naklepa oziroma njegovega namena koristoljubnosti, se odgovorna oseba borze kaznuje z globo od 2.500 do 30.000 eurov.</w:t>
      </w:r>
    </w:p>
    <w:p w14:paraId="33A3870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Z globo od 400 do 5.000 eurov se za prekršek kaznuje član uprave borze, ki:</w:t>
      </w:r>
    </w:p>
    <w:p w14:paraId="2380849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ne zagotovi, da borza posluje v skladu s pravili iz prvega in drugega odstavka 47. člena ZBan-3 v zvezi s 370. členom tega zakona;</w:t>
      </w:r>
    </w:p>
    <w:p w14:paraId="146C702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ne zagotovi, da ima komisija za imenovanje zadostne kadrovske in finančne vire za izvajanje svojih nalog, vključno z možnostjo uporabe zunanjih svetovalcev (šesti odstavek 51. člena ZBan-3 v zvezi s 370. členom tega zakona);</w:t>
      </w:r>
    </w:p>
    <w:p w14:paraId="1F1737F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ne zagotovi, da borza posluje v skladu s pravili o upravljanju s tveganji v skladu z drugim odstavkom 379. člena tega zakona.</w:t>
      </w:r>
    </w:p>
    <w:p w14:paraId="58CB20F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(8) Z globo od 400 do 5.000 eurov se za prekršek kaznuje član nadzornega sveta borze, ki ne izpolnjuje svojih dolžnosti iz prvega odstavka 62. člena ZBan-3 v zvezi s 370. členom tega zakona.</w:t>
      </w:r>
    </w:p>
    <w:p w14:paraId="03BBEDC9"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541. člen</w:t>
      </w:r>
    </w:p>
    <w:p w14:paraId="5B9DF3E3"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lastRenderedPageBreak/>
        <w:t xml:space="preserve">(kršitve </w:t>
      </w:r>
      <w:r w:rsidR="00DB373D" w:rsidRPr="004319E8">
        <w:rPr>
          <w:rFonts w:ascii="Arial" w:eastAsia="Arial" w:hAnsi="Arial" w:cs="Arial"/>
          <w:b/>
          <w:bCs/>
          <w:sz w:val="20"/>
          <w:szCs w:val="20"/>
          <w:lang w:val="sl-SI"/>
        </w:rPr>
        <w:t>Uredbe 600/2014/EU</w:t>
      </w:r>
      <w:r w:rsidRPr="004319E8">
        <w:rPr>
          <w:rFonts w:ascii="Arial" w:eastAsia="Arial" w:hAnsi="Arial" w:cs="Arial"/>
          <w:b/>
          <w:bCs/>
          <w:sz w:val="20"/>
          <w:szCs w:val="20"/>
          <w:lang w:val="sl-SI"/>
        </w:rPr>
        <w:t>)</w:t>
      </w:r>
    </w:p>
    <w:p w14:paraId="55A22A53"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Z globo od 25.000 do 250.000 eurov se za prekršek kaznuje banka, upravljavec trga ali investicijsko podjetje, ki upravlja mesto trgovanja, z globo od 80.000 do 500.000 eurov pa banka, upravljavec trga ali investicijsko podjetje, ki se po ZGD-1 šteje za srednjo ali veliko gospodarsko družbo, če:</w:t>
      </w:r>
    </w:p>
    <w:p w14:paraId="493E8A5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ne ravna v skladu z zahtevami po preglednosti pred trgovanjem za mesta trgovanja v zvezi z delnicami, potrdili o lastništvu, ETF, certifikati in drugimi podobnimi finančnimi instrumenti iz prvega ali tretjega odstavka 3.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F4E23C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mesto trgovanja upravlja sisteme, ki formalizirajo posle, dogovorjene v pogajanjih v skladu z (i) podtočko b) točke prvega odstavka 4.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ne ravna v skladu z a), b) ali c) točko tretjega odstavka 4.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3BFE3B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ne ravna v skladu z zahtevami po preglednosti po trgovanju za mesta trgovanja v zvezi z delnicami, potrdili o lastništvu, ETF, certifikati in drugimi podobnimi finančnimi instrumenti iz 6.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38F832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od pristojnega organa pridobi predhodno odobritev predlagane ureditve za odlog objave v zvezi s trgovanjem in tega jasno ne razkrije udeležencem na trgu in javnosti (prvi odstavek 7.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3A828E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ne ravna v skladu z zahtevami po preglednosti pred trgovanjem za mesta trgovanja v zvezi z obveznicami, strukturiranimi finančnimi produkti, pravicami do emisij in izvedenimi finančnimi instrumenti iz prvega, tretjega ali četrtega odstavka 8.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535A0F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ne ravna v skladu z zahtevami po preglednosti po trgovanju za mesta trgovanja v zvezi z obveznicami, strukturiranimi finančnimi produkti, pravicami do emisij in izvedenimi finančnimi instrumenti iz 10.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56D4AB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od pristojnega organa pridobi predhodno odobritev predlagane ureditve za odlog objave v zvezi s trgovanjem in tega jasno ne razkrije udeležencem na trgu in javnosti (prvi odstavek 11.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CD9569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za finančne instrumente, ki niso državni dolžniški instrumenti, po izteku obdobja odloga objave podrobnosti o poslih ne objavi še ostalih podrobnosti o poslu in vseh podrobnosti o posameznih poslih (tretji odstavek 11.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8DB59C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9.      informacije, objavljene v skladu s 3., 4. in 6. do 11. členom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niso na voljo javnosti tako, da so podatki o preglednosti pred trgovanjem in po njem zagotovljeni ločeno v skladu s prvim odstavkom 12.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20F5A3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10.   informacije, objavljene v skladu s 3., 4. in 6. do 11. členom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niso na voljo javnosti ob razumnih poslovnih pogojih ali ni zagotovljen nediskriminatoren dostop do njih ali te informacije niso na voljo brezplačno 15 minut po njihovi objavi (prvi odstavek 13.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203E72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ne hrani potrebnih podatkov za obdobje določeno z regulativnimi tehničnimi standardi iz četrtega odstavka 22.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(drugi odstavek 22.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AC7F62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12.   ne vodi evidenc ali agenciji ne daje na voljo podatkov v skladu z drugim odstavkom 25.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43BCD7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13.   o podrobnostih poslov s finančnimi instrumenti, s katerimi se trguje v njegovem sistemu, ne poroča v skladu z zahtevami petega odstavka 26.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547875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14.   poroča v imenu investicijskega podjetja in ne predloži poročila v skladu s prvim, tretjim, sedmim in devetim odstavkom 26.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(sedmi odstavek 26.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141FAE0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15.   ne predloži referenčnih podatkov o finančnih instrumentih v skladu s prvim odstavkom 27.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1E634C4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16.   kot upravljavec organiziranega trga ne zagotovi, da CNS opravi kliringa vseh poslov z izvedenimi finančnimi instrumenti, sklenjenih na tem organiziranem trgu (prvi odstavek 29.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273346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17.   deluje kot klirinški član v skladu s štirinajstim odstavkom 2. člena </w:t>
      </w:r>
      <w:r w:rsidR="00702B05" w:rsidRPr="004319E8">
        <w:rPr>
          <w:rFonts w:ascii="Arial" w:eastAsia="Arial" w:hAnsi="Arial" w:cs="Arial"/>
          <w:color w:val="0000EE"/>
          <w:sz w:val="20"/>
          <w:szCs w:val="20"/>
          <w:u w:val="single" w:color="0000EE"/>
        </w:rPr>
        <w:t>Uredbe 648/2012/EU</w:t>
      </w:r>
      <w:r w:rsidRPr="004319E8">
        <w:rPr>
          <w:rFonts w:ascii="Arial" w:eastAsia="Arial" w:hAnsi="Arial" w:cs="Arial"/>
          <w:sz w:val="20"/>
          <w:szCs w:val="20"/>
        </w:rPr>
        <w:t xml:space="preserve"> in nima vzpostavljenih učinkovitih sistemov, postopkov in ureditev v skladu z drugim odstavkom 29.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8AE857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18.   kot upravljavec organiziranega trga zagotavlja stiskanje portfelja in prek APA ne objavi obsega poslov, ki so predmet stiskanja portfelja in časa, v katerem je bilo to izvršeno ali če teh podatkov ne objavi v rokih iz 10.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(drugi odstavek 31.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A42566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19.   kot upravljavec organiziranega trga zagotavlja stiskanje portfelja in ne vodi popolne in točne evidence vseh stiskanj portfelja, ki jih organizira ali pri katerih sodeluje ali če teh podatkov na zahtevo nemudoma na predloži agenciji ali ESMA (tretji odstavek 31.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DFAA91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20.   zahteva dostop do CNS in zahteve uradno ne predloži tej CNS in agenciji v skladu z drugim odstavkom 35.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4354C6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21.   na zahtevo katerekoli CNS, ki ima dovoljenje ali je priznana v skladu z </w:t>
      </w:r>
      <w:r w:rsidR="00702B05" w:rsidRPr="004319E8">
        <w:rPr>
          <w:rFonts w:ascii="Arial" w:eastAsia="Arial" w:hAnsi="Arial" w:cs="Arial"/>
          <w:color w:val="0000EE"/>
          <w:sz w:val="20"/>
          <w:szCs w:val="20"/>
          <w:u w:val="single" w:color="0000EE"/>
        </w:rPr>
        <w:t>Uredbo 648/2012/EU</w:t>
      </w:r>
      <w:r w:rsidRPr="004319E8">
        <w:rPr>
          <w:rFonts w:ascii="Arial" w:eastAsia="Arial" w:hAnsi="Arial" w:cs="Arial"/>
          <w:sz w:val="20"/>
          <w:szCs w:val="20"/>
        </w:rPr>
        <w:t xml:space="preserve"> in ki želi opraviti kliringa poslov s finančnimi instrumenti, sklenjenih na tem mestu trgovanja, ne zagotovi podatkov o trgovanju na nediskriminatoren in pregleden način v skladu s prvim odstavkom 36.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1BC16AC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22.   v zvezi z zavrnitvijo ali odobritvijo zahteve za dostop do CNS ne ravna v skladu s tretjim odstavkom 36.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62A403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23.   sklene dogovor iz tretjega odstavka 37.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DED60DA"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 xml:space="preserve">(2) Z globo od 25.000 do 250.000 eurov se za prekršek kaznuje banka ali investicijsko podjetje, ki je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xml:space="preserve">, z globo od 80.000 do 500.000 eurov pa banka ali investicijsko podjetje, ki je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ki se po ZGD-1 šteje za srednjo ali veliko gospodarsko družbo, če:</w:t>
      </w:r>
    </w:p>
    <w:p w14:paraId="16A98F3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ne objavi zavezujoče ponudbe v zvezi s tistimi delnicami, potrdili o lastništvu, ETF, certifikati in drugimi podobnimi finančnimi instrumenti, s katerimi se trguje na mestu trgovanja, za katere je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xml:space="preserve"> in za katere obstaja likvidni trg (prvi odstavek 14.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1E83349"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za finančne instrumente iz prvega pododstavka prvega odstavka 14.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likvidni trg ne obstaja in na zahtevo strank ne razkrije ponudbe (prvi odstavek 14.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404262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pri opravljanju poslov z obsegom do standardnega tržnega obsega ne ravna v skladu z določbami 14., 15., 16., ali 17. člena </w:t>
      </w:r>
      <w:r w:rsidR="00702B05" w:rsidRPr="004319E8">
        <w:rPr>
          <w:rFonts w:ascii="Arial" w:eastAsia="Arial" w:hAnsi="Arial" w:cs="Arial"/>
          <w:color w:val="0000EE"/>
          <w:sz w:val="20"/>
          <w:szCs w:val="20"/>
          <w:u w:val="single" w:color="0000EE"/>
        </w:rPr>
        <w:t>Uredbe 600/2014</w:t>
      </w:r>
      <w:r w:rsidRPr="004319E8">
        <w:rPr>
          <w:rFonts w:ascii="Arial" w:eastAsia="Arial" w:hAnsi="Arial" w:cs="Arial"/>
          <w:sz w:val="20"/>
          <w:szCs w:val="20"/>
        </w:rPr>
        <w:t xml:space="preserve"> (drugi odstavek 14. člena </w:t>
      </w:r>
      <w:r w:rsidR="00702B05"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E3772B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najmanjši dovoljeni obseg ponudbe ni enak vsaj 10 % standardnega tržnega obsega delnice, potrdila o lastništvu, ETF, certifikata ali drugega podobnega finančnega instrumenta, s katerim se trguje na mestu trgovanja (tretji odstavek 14.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038C63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5.      za posamezno delnico, potrdilo o lastništvu, ETF, certifikat ali drug podoben finančni instrument, s katerim se trguje na mestu trgovanja, vsaka ponudba ne zajema zavezujoče nakupne in prodajne cene ali cene za obseg ali obsege do standardnega tržnega obsega za razred delnic, potrdil o lastništvu, ETF, certifikatov ali drugih podobnih finančnih instrumentov, ki mu finančni instrument pripada ali če cena ali cene ne odražajo prevladujočih tržnih pogojev za te finančne instrumente (tretji odstavek 14.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D1865C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redno in stalno ne objavlja svojih ponudb v času običajnih ur trgovanja ali če ponudb ne objavi na način, ki je lahko dostopen drugim udeležencem na trgu na razumni poslovni podlagi v skladu s prvim odstavkom 15.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C052F3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pri izvrševanju naročil strank ne ravna v skladu s 27. členom </w:t>
      </w:r>
      <w:r w:rsidR="00130CD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ali če ne izvršuje naročil strank v zvezi z delnicami, potrdili o lastništvu, ETF, certifikati ali drugimi podobnimi finančnimi instrumenti, za katere so sistematični </w:t>
      </w:r>
      <w:proofErr w:type="spellStart"/>
      <w:r w:rsidRPr="004319E8">
        <w:rPr>
          <w:rFonts w:ascii="Arial" w:eastAsia="Arial" w:hAnsi="Arial" w:cs="Arial"/>
          <w:sz w:val="20"/>
          <w:szCs w:val="20"/>
        </w:rPr>
        <w:t>internalizatorji</w:t>
      </w:r>
      <w:proofErr w:type="spellEnd"/>
      <w:r w:rsidRPr="004319E8">
        <w:rPr>
          <w:rFonts w:ascii="Arial" w:eastAsia="Arial" w:hAnsi="Arial" w:cs="Arial"/>
          <w:sz w:val="20"/>
          <w:szCs w:val="20"/>
        </w:rPr>
        <w:t xml:space="preserve">, po cenah, ponujenih ob prejetju naročila (drugi odstavek 15.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DF0A27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ponuja v različnih velikostih in prejme naročilo med temi velikostmi, ki se ga odloči izvršiti, in naročila ne izvrši po eni od ponujenih cen v skladu z 28. členom </w:t>
      </w:r>
      <w:r w:rsidR="00130CDA" w:rsidRPr="004319E8">
        <w:rPr>
          <w:rFonts w:ascii="Arial" w:eastAsia="Arial" w:hAnsi="Arial" w:cs="Arial"/>
          <w:color w:val="0000EE"/>
          <w:sz w:val="20"/>
          <w:szCs w:val="20"/>
          <w:u w:val="single" w:color="0000EE"/>
        </w:rPr>
        <w:t>Direktive 2014/65/EU</w:t>
      </w:r>
      <w:r w:rsidRPr="004319E8">
        <w:rPr>
          <w:rFonts w:ascii="Arial" w:eastAsia="Arial" w:hAnsi="Arial" w:cs="Arial"/>
          <w:sz w:val="20"/>
          <w:szCs w:val="20"/>
        </w:rPr>
        <w:t xml:space="preserve">, razen če je v skladu z drugim in tretjim odstavkom 15.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dovoljeno drugače (četrti odstavek 15.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394F75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9.      nima jasnih in objektivno nediskriminatornih standardov, ki veljajo za dostop do njegovih ponudb v skladu s prvim odstavkom 17.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4E164C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10.   ga je k ponudbi pozvala stranka in se je strinjal z zagotovitvijo ponudbe in ne objavi zavezujoče ponudbe glede tistih obveznic, strukturiranih finančnih produktov, pravic do emisij in izvedenih finančnih instrumentov, s katerimi se trguje na mestu trgovanja, za katere je sistematični </w:t>
      </w:r>
      <w:proofErr w:type="spellStart"/>
      <w:r w:rsidRPr="004319E8">
        <w:rPr>
          <w:rFonts w:ascii="Arial" w:eastAsia="Arial" w:hAnsi="Arial" w:cs="Arial"/>
          <w:sz w:val="20"/>
          <w:szCs w:val="20"/>
        </w:rPr>
        <w:t>internalizator</w:t>
      </w:r>
      <w:proofErr w:type="spellEnd"/>
      <w:r w:rsidRPr="004319E8">
        <w:rPr>
          <w:rFonts w:ascii="Arial" w:eastAsia="Arial" w:hAnsi="Arial" w:cs="Arial"/>
          <w:sz w:val="20"/>
          <w:szCs w:val="20"/>
        </w:rPr>
        <w:t xml:space="preserve"> in za katere obstaja likvidni trg, razen če gre za finančne instrumente, ki so pod pragom likvidnosti, določenim v skladu s četrtim odstavkom 9.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(prvi odstavek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5E2F0B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v primeru obveznic, strukturiranih finančnih produktov, pravice do emisij in izvedenih finančnih instrumentov, s katerimi se trguje na mestu trgovanja in za katere ne obstaja likvidni trg, ne razkrije ponudbe svojim strankam na njihovo zahtevo, če se je strinjal z zagotovitvijo ponudbe v skladu z drugim odstavkom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E3A7E7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12.   ne da zavezujoče ponudbe, objavljene v skladu s prvim odstavkom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na voljo svojim drugim strankam (peti odstavek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1511919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13.   se ne zaveže, da bo sklenil posle v skladu z objavljenimi pogoji s katerokoli drugo stranko, kateri je v skladu s petim odstavkom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ponudba dana na voljo, če je obseg ponudbe enak ali manjši od obsega, ki je značilen za finančni instrument določen v skladu z d) točko petega odstavka 9.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(šesti odstavek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E0B0DD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14.   ponudbe iz prvega in petega odstavka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ponudbe, katerih obseg je enak ali manjši od obsega iz šestega odstavka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ne objavi na način, ki je lahko dostopen drugim udeležencem na trgu na razumni poslovni podlagi (osmi odstavek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91EF5F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15.   če pri oblikovanju ponujenih cen ne ravna v skladu z devetim odstavkom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3CE6D5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16.   za svoj račun ali v imenu strank sklene posle s finančnimi instrumenti iz prvega odstavka 20. člena ali prvega odstavka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ne objavi obsega in cene teh poslov ter časa njihove sklenitve ali če teh informacij ne objavi prek APA (prvi odstavek 20. člena in prvi odstavek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145FC2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17.   informacije, objavljene v skladu s prvim odstavkom 20.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časovni okviri, v katerih so objavljene, niso skladni z zahtevami, sprejetimi na podlagi 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vključno z regulativnimi tehničnimi standardi, sprejetimi v skladu z a) točko drugega odstavka 7.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(drugi odstavek 20.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4E616B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18.   vsakega posameznega posla v zvezi z obveznicami, strukturiranimi finančnimi produkti, pravicami do emisij in izvedenimi finančnimi instrumenti javno ne objavi preko APA (drugi odstavek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A02421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19.   informacije, objavljene v skladu s prvim odstavkom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časovni okviri, v katerih so objavljene, niso skladni z zahtevami, sprejetimi na podlagi 10.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vključno z regulativnimi tehničnimi standardi, sprejetimi v skladu z a) in b) točko četrtega odstavka 11.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(tretji odstavek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3AD9EF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Z globo od 25.000 do 250.000 eurov se za prekršek kaznuje banka ali investicijsko podjetje, z globo od 80.000 do 500.000 eurov pa banka ali investicijsko podjetje, ki se po ZGD-1 šteje za srednjo ali veliko gospodarsko družbo, če:</w:t>
      </w:r>
    </w:p>
    <w:p w14:paraId="36B7DE7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ustreza opredelitvi sistematičnega </w:t>
      </w:r>
      <w:proofErr w:type="spellStart"/>
      <w:r w:rsidRPr="004319E8">
        <w:rPr>
          <w:rFonts w:ascii="Arial" w:eastAsia="Arial" w:hAnsi="Arial" w:cs="Arial"/>
          <w:sz w:val="20"/>
          <w:szCs w:val="20"/>
        </w:rPr>
        <w:t>internalizatorja</w:t>
      </w:r>
      <w:proofErr w:type="spellEnd"/>
      <w:r w:rsidRPr="004319E8">
        <w:rPr>
          <w:rFonts w:ascii="Arial" w:eastAsia="Arial" w:hAnsi="Arial" w:cs="Arial"/>
          <w:sz w:val="20"/>
          <w:szCs w:val="20"/>
        </w:rPr>
        <w:t xml:space="preserve"> in o tem uradno ne obvesti agencije v skladu s prvim odstavkom 15. člena ali četrtim odstavkom 18.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6DF582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za svoj račun ali v imenu strank sklene posle s finančnimi instrumenti iz prvega odstavka 20. člena ali prvega odstavka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ne objavi obsega in cene teh poslov ter časa njihove sklenitve ali če teh informacij ne objavi prek APA (prvi odstavek 20. člena in prvi odstavek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146660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informacije, objavljene v skladu s prvim odstavkom 20.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časovni okviri, v katerih so objavljene, niso skladni z zahtevami, sprejetimi na podlagi 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vključno z regulativnimi tehničnimi standardi, sprejetimi v skladu z a) točko drugega odstavka 7.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(drugi odstavek 20.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4C3FBE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vsakega posameznega posla v zvezi z obveznicami, strukturiranimi finančnimi produkti, pravicami do emisij in izvedenimi finančnimi instrumenti javno ne objavi preko APA (drugi odstavek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DA4521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informacije, objavljene v skladu s prvim odstavkom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časovni okviri, v katerih so objavljene, niso skladni z zahtevami, sprejetimi na podlagi 10.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vključno z regulativnimi tehničnimi standardi, sprejetimi v skladu z a) in b) točko četrtega odstavka 11.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(tretji odstavek 21.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3EF35E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z delnicami, uvrščenimi v trgovanje na organiziranem trgu ali s katerimi se trguje na mestu trgovanja, trguje v nasprotju s prvim odstavkom 23.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1AF2BF66" w14:textId="36E407ED"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upravlja notranji sistem združevanja, ki izvršuje naročila strank v zvezi z delnicami, potrdili o lastništvu, ETF, certifikati in drugimi podobnimi finančnimi instrumenti na večstranski osnovi, in ne pridobi dovoljenja kot MTF v skladu z </w:t>
      </w:r>
      <w:r w:rsidR="00130CDA" w:rsidRPr="004319E8">
        <w:rPr>
          <w:rFonts w:ascii="Arial" w:eastAsia="Arial" w:hAnsi="Arial" w:cs="Arial"/>
          <w:color w:val="0000EE"/>
          <w:sz w:val="20"/>
          <w:szCs w:val="20"/>
          <w:u w:val="single" w:color="0000EE"/>
        </w:rPr>
        <w:t>Direktivo 2014/65/EU</w:t>
      </w:r>
      <w:r w:rsidRPr="004319E8">
        <w:rPr>
          <w:rFonts w:ascii="Arial" w:eastAsia="Arial" w:hAnsi="Arial" w:cs="Arial"/>
          <w:sz w:val="20"/>
          <w:szCs w:val="20"/>
        </w:rPr>
        <w:t xml:space="preserve"> ali ne izpolnjuje vseh ustreznih določbe v zvezi s takšnim dovoljenjem (drugi odstavek 23.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DA56A8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ne vodi evidenc ali agenciji ne daje na voljo podatkov v skladu s prvim odstavkom 25.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DF5431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9.      izvršuje posle s finančnimi instrumenti iz drugega odstavka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agenciji izčrpno in točno ne poroča o podrobnostih teh poslov čim prej oziroma najpozneje do konca naslednjega delovnega dne (prvi odstavek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51AC4A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10.   v poročilih ni vključenih podatkov v skladu s tretjim in četrtim odstavkom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EF7470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pri poročanju ne uporabi označbe za pravne osebe v skladu s šestim odstavkom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F6BF9B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12.   agenciji ne predloži poročila o poslih v skladu s prvim, tretjim in devetim odstavkom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razen če to poročilo v njegovem imenu predloži ARM ali mesto trgovanja, preko sistema katerega je bil posel opravljen (sedmi odstavek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C586B4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13.   deluje kot klirinški član v skladu s štirinajstim odstavkom 2. člena </w:t>
      </w:r>
      <w:r w:rsidR="00130CDA" w:rsidRPr="004319E8">
        <w:rPr>
          <w:rFonts w:ascii="Arial" w:eastAsia="Arial" w:hAnsi="Arial" w:cs="Arial"/>
          <w:color w:val="0000EE"/>
          <w:sz w:val="20"/>
          <w:szCs w:val="20"/>
          <w:u w:val="single" w:color="0000EE"/>
        </w:rPr>
        <w:t>Uredbe 648/2012/EU</w:t>
      </w:r>
      <w:r w:rsidRPr="004319E8">
        <w:rPr>
          <w:rFonts w:ascii="Arial" w:eastAsia="Arial" w:hAnsi="Arial" w:cs="Arial"/>
          <w:sz w:val="20"/>
          <w:szCs w:val="20"/>
        </w:rPr>
        <w:t xml:space="preserve"> in nima vzpostavljenih učinkovitih sistemov, postopkov in ureditev v skladu z drugim odstavkom 29.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7175AC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14.   zagotavlja stiskanje portfelja in prek APA ne objavi obsega poslov, ki so predmet stiskanja portfelja in časa, v katerem je bilo to izvršeno ali če teh podatkov ne objavi v rokih iz 10.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(drugi odstavek 31.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6036188"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15.   zagotavlja stiskanje portfelja in ne vodi popolne in točne evidence vseh stiskanj portfelja, ki jih organizira ali pri katerih sodeluje ali če teh podatkov na zahtevo nemudoma ne predloži agenciji ali ESMA (tretji odstavek 31.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AC1905F"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(4) Z globo od 25.000 do 250.000 eurov se za prekršek kaznuje izvajalec storitev poročanja podatkov, z globo od 80.000 do 500.000 eurov pa kaznuje izvajalec storitev poročanja podatkov, ki se po ZGD-1 šteje za srednjo ali veliko gospodarsko družbo, če:</w:t>
      </w:r>
    </w:p>
    <w:p w14:paraId="4ECC70E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kot APA ali CTP ne hrani potrebnih podatkov za obdobje določeno z regulativnimi tehničnimi standardi iz četrtega odstavka 22.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(drugi odstavek 22.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1414AA2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kot ARM deluje v imenu investicijskega podjetja in ne predloži poročila o poslovanju v skladu s prvim, tretjim, sedmim in devetim odstavkom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(sedmi odstavek 26.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7CFAE1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kot APA ali ARM iz prvega odstavka 333. člena tega zakona nima dovoljenja v skladu s 27.b členom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7557B7F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kot APA ali ARM iz prvega odstavka 333. člena tega zakona ne izpolnjuje zahtev za upravljalni organ iz prvega, drugega in tretjega odstavka 27f.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138B34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kot APA iz prvega odstavka 333. člena tega zakona ne izpolnjuje organizacijskih zahtev iz prvega do petega odstavka 27.g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7428814"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kot ARM iz prvega odstavka 333. člena tega zakona ne izpolnjuje organizacijskih zahtev iz prvega do četrtega odstavka 27.i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0E6B469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(5) Z globo od 25.000 do 250.000 eurov se za prekršek kaznuje CNS, z globo od 25.000 do 500.000 eurov pa CNS, ki se po ZGD-1 šteje za srednjo ali veliko gospodarsko družbo, če:</w:t>
      </w:r>
    </w:p>
    <w:p w14:paraId="447F510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deluje kot klirinški član v skladu s štirinajstim odstavkom 2. člena </w:t>
      </w:r>
      <w:r w:rsidR="00130CDA" w:rsidRPr="004319E8">
        <w:rPr>
          <w:rFonts w:ascii="Arial" w:eastAsia="Arial" w:hAnsi="Arial" w:cs="Arial"/>
          <w:color w:val="0000EE"/>
          <w:sz w:val="20"/>
          <w:szCs w:val="20"/>
          <w:u w:val="single" w:color="0000EE"/>
        </w:rPr>
        <w:t>Uredbe 648/2012/EU</w:t>
      </w:r>
      <w:r w:rsidRPr="004319E8">
        <w:rPr>
          <w:rFonts w:ascii="Arial" w:eastAsia="Arial" w:hAnsi="Arial" w:cs="Arial"/>
          <w:sz w:val="20"/>
          <w:szCs w:val="20"/>
        </w:rPr>
        <w:t xml:space="preserve"> ter nima vzpostavljenih učinkovitih sistemov, postopkov in ureditev v skladu z drugim odstavkom 29.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354CC17"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nediskriminatorno in pregledno ne sprejme kliringa finančnih instrumentov v skladu s prvim odstavkom 35.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72677E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3.      v zvezi z zavrnitvijo ali odobritvijo zahteve za dostop do CNS ne ravna v skladu s tretjim odstavkom 35.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9D3BCA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zahteva dostop do mesta trgovanja in zahteve uradno ne predloži temu mestu trgovanja in agenciji v skladu z drugim odstavkom 36.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AFA232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sklene dogovor iz tretjega odstavka 37.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29241F29"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(6) Z globo od 25.000 do 250.000 eurov se za prekršek kaznuje pravna oseba, z globo od 25.000 do 500.000 eurov pa pravna oseba, ki se po ZGD-1 šteje za srednjo ali veliko gospodarsko družbo, če:</w:t>
      </w:r>
    </w:p>
    <w:p w14:paraId="69CC290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je oseba iz prvega ali drugega odstavka 28.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 xml:space="preserve"> in z izvedenimi finančnimi instrumenti, za katere velja obveznost trgovanja, trguje zunaj organiziranega trga, MTF ali OTF;</w:t>
      </w:r>
    </w:p>
    <w:p w14:paraId="584E05A5"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uporablja posredno ureditev kliringa in ne izpolnjujejo pogojev iz prvega odstavka 30.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43B759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3.      je oseba z lastninsko pravico v zvezi referenčnim merilom na podlagi katerega se izračuna vrednost finančnega instrumenta in ne zagotovi, da imajo CNS in mesta trgovanja za namene trgovanja in kliringa omogočen </w:t>
      </w:r>
      <w:proofErr w:type="spellStart"/>
      <w:r w:rsidRPr="004319E8">
        <w:rPr>
          <w:rFonts w:ascii="Arial" w:eastAsia="Arial" w:hAnsi="Arial" w:cs="Arial"/>
          <w:sz w:val="20"/>
          <w:szCs w:val="20"/>
        </w:rPr>
        <w:t>nediskriminatoren</w:t>
      </w:r>
      <w:proofErr w:type="spellEnd"/>
      <w:r w:rsidRPr="004319E8">
        <w:rPr>
          <w:rFonts w:ascii="Arial" w:eastAsia="Arial" w:hAnsi="Arial" w:cs="Arial"/>
          <w:sz w:val="20"/>
          <w:szCs w:val="20"/>
        </w:rPr>
        <w:t xml:space="preserve"> dostop v skladu s prvim odstavkom 37.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381A015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4.      je s CNS ali mestom trgovanja povezan subjekt in sklene dogovor iz tretjega odstavka 37.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58B2FD6A"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5.      ne ravna v skladu z ukrepom, ki ga izreče ESMA v skladu s prvim odstavkom 40.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65B0A0ED"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ne ravna v skladu z ukrepom, ki ga izreče Evropski bančni organ v skladu s prvim odstavkom 41.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41A80A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7.      ne ravna v skladu z ukrepom, ki ga izreče agencija v skladu s prvim odstavkom 42. člena </w:t>
      </w:r>
      <w:r w:rsidR="00130CDA" w:rsidRPr="004319E8">
        <w:rPr>
          <w:rFonts w:ascii="Arial" w:eastAsia="Arial" w:hAnsi="Arial" w:cs="Arial"/>
          <w:color w:val="0000EE"/>
          <w:sz w:val="20"/>
          <w:szCs w:val="20"/>
          <w:u w:val="single" w:color="0000EE"/>
        </w:rPr>
        <w:t>Uredbe 600/2014/EU</w:t>
      </w:r>
      <w:r w:rsidRPr="004319E8">
        <w:rPr>
          <w:rFonts w:ascii="Arial" w:eastAsia="Arial" w:hAnsi="Arial" w:cs="Arial"/>
          <w:sz w:val="20"/>
          <w:szCs w:val="20"/>
        </w:rPr>
        <w:t>.</w:t>
      </w:r>
    </w:p>
    <w:p w14:paraId="47C5AD3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(7) Če je narava storjenega prekrška iz prvega do šestega odstavka tega člena posebno huda zaradi višine povzročene škode oziroma višine pridobljene protipravne premoženjske koristi ali zaradi storilčevega naklepa oziroma njegovega namena koristoljubnosti, se pravna oseba kaznuje z globo v višini do:</w:t>
      </w:r>
    </w:p>
    <w:p w14:paraId="0592826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5.000.000 eurov ali 10 % skupnega letnega prometa glede na zadnje razpoložljive računovodske izkaze, ki jih je odobril pristojni organ družbe, oziroma skupnega letnega prometa ali ustrezne vrste prihodka, ki izhaja iz zadnje razpoložljive konsolidirane letne bilance, ki jo je odobril pristojni organ matične družbe, če pravna oseba pripravi konsolidirane računovodske izkaze na podlagi ZGD-1, pri čemer se upošteva višji znesek, če gre za kršitev iz 1. do 5. točke prejšnjega odstavka, ali</w:t>
      </w:r>
    </w:p>
    <w:p w14:paraId="60A07896"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2.500.000 eurov ali 2 % skupnega letnega prometa glede na zadnje razpoložljive računovodske izkaze, ki jih je odobril pristojni organ družbe, oziroma skupnega letnega prometa ali ustrezne vrste prihodka, ki izhaja iz zadnje razpoložljive konsolidirane letne bilance, ki jo je odobril pristojni organ matične družbe, če pravna oseba pripravi konsolidirane računovodske izkaze na podlagi ZGD-1, pri čemer se upošteva višji znesek, če gre za kršitev iz 6. ali 7. točke prejšnjega odstavka, ali</w:t>
      </w:r>
    </w:p>
    <w:p w14:paraId="073EF8EC"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trikratnega zneska dobička, pridobljenega s kršitvijo, ali izgube, preprečene s kršitvijo, kadar ju je mogoče opredeliti, če ta znesek presega znesek iz 1. oziroma 2. točke tega odstavka.</w:t>
      </w:r>
    </w:p>
    <w:p w14:paraId="15E034D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lastRenderedPageBreak/>
        <w:t>(8) Z globo od 400 do 150.000 eurov se za prekršek kaznuje podjetnik ali posameznik, ki samostojno opravlja dejavnost, ki stori prekršek iz prvega do šestega odstavka tega člena.</w:t>
      </w:r>
    </w:p>
    <w:p w14:paraId="55575A3E"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(9) Z globo od 800 do 10.000 eurov se za prekršek kaznuje odgovorna oseba pravne osebe, ki stori prekršek iz prvega do šestega odstavka tega člena, in odgovorna oseba podjetnika ali posameznika, ki samostojno opravlja dejavnost, ki stori prekršek iz prvega do šestega odstavka tega člena.</w:t>
      </w:r>
    </w:p>
    <w:p w14:paraId="132DE354"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(10) Z globo od 400 do 5.000 eurov se za prekršek kaznuje posameznik, ki stori prekršek iz prvega do šestega odstavka tega člena.</w:t>
      </w:r>
    </w:p>
    <w:p w14:paraId="6276C915"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(11) Če je narava storjenega prekrška iz osmega, devetega ali desetega odstavka tega člena posebno huda zaradi višine povzročene škode oziroma višine pridobljene protipravne premoženjske koristi ali zaradi storilčevega naklepa oziroma njegovega namena koristoljubnosti, se oseba iz osmega, devetega ali desetega odstavka tega člena kaznuje z globo do višine:</w:t>
      </w:r>
    </w:p>
    <w:p w14:paraId="020D13FB"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      5.000.000 eurov, če gre za kršitev iz prvega do šestega odstavka tega člena, ali</w:t>
      </w:r>
    </w:p>
    <w:p w14:paraId="4AC4467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2.      trikratnega zneska dobička, pridobljenega s kršitvijo, ali izgube, preprečene s kršitvijo, kadar ju je mogoče opredeliti, če ta znesek presega znesek iz prejšnje točke.</w:t>
      </w:r>
    </w:p>
    <w:p w14:paraId="66D14676"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546. člen</w:t>
      </w:r>
    </w:p>
    <w:p w14:paraId="058902EC" w14:textId="77777777" w:rsidR="00512760" w:rsidRPr="004319E8" w:rsidRDefault="00512760" w:rsidP="00512760">
      <w:pPr>
        <w:pStyle w:val="center"/>
        <w:pBdr>
          <w:top w:val="none" w:sz="0" w:space="24" w:color="auto"/>
        </w:pBdr>
        <w:spacing w:before="210" w:after="210"/>
        <w:rPr>
          <w:rFonts w:ascii="Arial" w:eastAsia="Arial" w:hAnsi="Arial" w:cs="Arial"/>
          <w:b/>
          <w:bCs/>
          <w:sz w:val="20"/>
          <w:szCs w:val="20"/>
          <w:lang w:val="sl-SI"/>
        </w:rPr>
      </w:pPr>
      <w:r w:rsidRPr="004319E8">
        <w:rPr>
          <w:rFonts w:ascii="Arial" w:eastAsia="Arial" w:hAnsi="Arial" w:cs="Arial"/>
          <w:b/>
          <w:bCs/>
          <w:sz w:val="20"/>
          <w:szCs w:val="20"/>
          <w:lang w:val="sl-SI"/>
        </w:rPr>
        <w:t>(prekrškovni organ)</w:t>
      </w:r>
    </w:p>
    <w:p w14:paraId="7441DA58"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(1) Prekrškovni organ, ki vodi postopke in odloča o prekrških iz tega zakona in ZPre-1, je agencija.</w:t>
      </w:r>
    </w:p>
    <w:p w14:paraId="1D624E2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(2) Ne glede na prejšnji odstavek je Banka Slovenije pristojna voditi postopke in odločati o prekrških iz 543. in 544. člena tega zakona v primerih, ko je storjen prekršek:</w:t>
      </w:r>
    </w:p>
    <w:p w14:paraId="5F5D862F"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      iz 3. točke prvega odstavka 543. člena tega zakona v zvezi z opravljanjem storitev iz 3. točke oddelka A, 1., 3. in 4.a točke oddelka B ter oddelka C </w:t>
      </w:r>
      <w:r w:rsidR="00130CDA" w:rsidRPr="004319E8">
        <w:rPr>
          <w:rFonts w:ascii="Arial" w:eastAsia="Arial" w:hAnsi="Arial" w:cs="Arial"/>
          <w:color w:val="0000EE"/>
          <w:sz w:val="20"/>
          <w:szCs w:val="20"/>
          <w:u w:val="single" w:color="0000EE"/>
        </w:rPr>
        <w:t>Priloge Uredbe 909/2014/EU</w:t>
      </w:r>
      <w:r w:rsidRPr="004319E8">
        <w:rPr>
          <w:rFonts w:ascii="Arial" w:eastAsia="Arial" w:hAnsi="Arial" w:cs="Arial"/>
          <w:sz w:val="20"/>
          <w:szCs w:val="20"/>
        </w:rPr>
        <w:t>;</w:t>
      </w:r>
    </w:p>
    <w:p w14:paraId="21F1AC9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2.      iz 4. točke prvega odstavka 543. člena tega zakona v zvezi s pridobitvijo dovoljenja za opravljanje storitev iz 3. točke oddelka A, 1., 3. in 4.a točke oddelka B ter oddelka C </w:t>
      </w:r>
      <w:r w:rsidR="00130CDA" w:rsidRPr="004319E8">
        <w:rPr>
          <w:rFonts w:ascii="Arial" w:eastAsia="Arial" w:hAnsi="Arial" w:cs="Arial"/>
          <w:color w:val="0000EE"/>
          <w:sz w:val="20"/>
          <w:szCs w:val="20"/>
          <w:u w:val="single" w:color="0000EE"/>
        </w:rPr>
        <w:t>Priloge Uredbe 909/2014/EU</w:t>
      </w:r>
      <w:r w:rsidRPr="004319E8">
        <w:rPr>
          <w:rFonts w:ascii="Arial" w:eastAsia="Arial" w:hAnsi="Arial" w:cs="Arial"/>
          <w:sz w:val="20"/>
          <w:szCs w:val="20"/>
        </w:rPr>
        <w:t>;</w:t>
      </w:r>
    </w:p>
    <w:p w14:paraId="4F77E05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3.      iz 6. točke prvega odstavka 543. člena tega zakona v zvezi z:</w:t>
      </w:r>
    </w:p>
    <w:p w14:paraId="44E58919"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izpolnjevanjem organizacijskih zahtev iz 28. člena</w:t>
      </w:r>
      <w:r w:rsidR="008E3603" w:rsidRPr="004319E8">
        <w:rPr>
          <w:rFonts w:ascii="Arial" w:eastAsia="Arial" w:hAnsi="Arial" w:cs="Arial"/>
          <w:sz w:val="20"/>
          <w:szCs w:val="20"/>
          <w:lang w:val="sl-SI"/>
        </w:rPr>
        <w:t xml:space="preserve"> Uredbe 909/2014/EU</w:t>
      </w:r>
      <w:r w:rsidRPr="004319E8">
        <w:rPr>
          <w:rFonts w:ascii="Arial" w:eastAsia="Arial" w:hAnsi="Arial" w:cs="Arial"/>
          <w:sz w:val="20"/>
          <w:szCs w:val="20"/>
          <w:lang w:val="sl-SI"/>
        </w:rPr>
        <w:t xml:space="preserve"> in</w:t>
      </w:r>
    </w:p>
    <w:p w14:paraId="34C95FB8"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izpolnjevanjem organizacijskih zahtev iz 29. in 30. člena</w:t>
      </w:r>
      <w:r w:rsidR="008E3603" w:rsidRPr="00EB5E5A">
        <w:rPr>
          <w:rFonts w:ascii="Arial" w:hAnsi="Arial" w:cs="Arial"/>
          <w:sz w:val="20"/>
          <w:szCs w:val="20"/>
          <w:lang w:val="sl-SI"/>
        </w:rPr>
        <w:t xml:space="preserve"> </w:t>
      </w:r>
      <w:r w:rsidR="008E3603" w:rsidRPr="004319E8">
        <w:rPr>
          <w:rFonts w:ascii="Arial" w:eastAsia="Arial" w:hAnsi="Arial" w:cs="Arial"/>
          <w:sz w:val="20"/>
          <w:szCs w:val="20"/>
          <w:lang w:val="sl-SI"/>
        </w:rPr>
        <w:t>Uredbe 909/2014/EU</w:t>
      </w:r>
      <w:r w:rsidRPr="004319E8">
        <w:rPr>
          <w:rFonts w:ascii="Arial" w:eastAsia="Arial" w:hAnsi="Arial" w:cs="Arial"/>
          <w:sz w:val="20"/>
          <w:szCs w:val="20"/>
          <w:lang w:val="sl-SI"/>
        </w:rPr>
        <w:t xml:space="preserve"> za opravljanje storitev iz 3. točke oddelka A, 1., 3. in 4.a točke oddelka B ter oddelka C </w:t>
      </w:r>
      <w:r w:rsidR="008E3603" w:rsidRPr="004319E8">
        <w:rPr>
          <w:rFonts w:ascii="Arial" w:eastAsia="Arial" w:hAnsi="Arial" w:cs="Arial"/>
          <w:color w:val="0000EE"/>
          <w:sz w:val="20"/>
          <w:szCs w:val="20"/>
          <w:u w:val="single" w:color="0000EE"/>
          <w:lang w:val="sl-SI"/>
        </w:rPr>
        <w:t>Priloge Uredbe 909/2014/EU</w:t>
      </w:r>
      <w:r w:rsidRPr="004319E8">
        <w:rPr>
          <w:rFonts w:ascii="Arial" w:eastAsia="Arial" w:hAnsi="Arial" w:cs="Arial"/>
          <w:sz w:val="20"/>
          <w:szCs w:val="20"/>
          <w:lang w:val="sl-SI"/>
        </w:rPr>
        <w:t>;</w:t>
      </w:r>
    </w:p>
    <w:p w14:paraId="2C69F54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4.      iz 7. točke prvega odstavka 543. člena tega zakona v zvezi z:</w:t>
      </w:r>
    </w:p>
    <w:p w14:paraId="77F4748B"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xml:space="preserve">-  izpolnjevanjem pravil vodenja poslov iz 32. člena </w:t>
      </w:r>
      <w:r w:rsidR="008E3603" w:rsidRPr="004319E8">
        <w:rPr>
          <w:rFonts w:ascii="Arial" w:eastAsia="Arial" w:hAnsi="Arial" w:cs="Arial"/>
          <w:color w:val="0000EE"/>
          <w:sz w:val="20"/>
          <w:szCs w:val="20"/>
          <w:u w:val="single" w:color="0000EE"/>
          <w:lang w:val="sl-SI"/>
        </w:rPr>
        <w:t>Uredbe 909/2014/EU</w:t>
      </w:r>
      <w:r w:rsidRPr="004319E8">
        <w:rPr>
          <w:rFonts w:ascii="Arial" w:eastAsia="Arial" w:hAnsi="Arial" w:cs="Arial"/>
          <w:sz w:val="20"/>
          <w:szCs w:val="20"/>
          <w:lang w:val="sl-SI"/>
        </w:rPr>
        <w:t xml:space="preserve"> za opravljanje storitev iz 3. točke oddelka A, 1., 3. in 4.a točke oddelka B ter oddelka C </w:t>
      </w:r>
      <w:r w:rsidR="008E3603" w:rsidRPr="004319E8">
        <w:rPr>
          <w:rFonts w:ascii="Arial" w:eastAsia="Arial" w:hAnsi="Arial" w:cs="Arial"/>
          <w:color w:val="0000EE"/>
          <w:sz w:val="20"/>
          <w:szCs w:val="20"/>
          <w:u w:val="single" w:color="0000EE"/>
          <w:lang w:val="sl-SI"/>
        </w:rPr>
        <w:t>Priloge Uredbe 909/2014/EU</w:t>
      </w:r>
      <w:r w:rsidRPr="004319E8">
        <w:rPr>
          <w:rFonts w:ascii="Arial" w:eastAsia="Arial" w:hAnsi="Arial" w:cs="Arial"/>
          <w:sz w:val="20"/>
          <w:szCs w:val="20"/>
          <w:lang w:val="sl-SI"/>
        </w:rPr>
        <w:t>,</w:t>
      </w:r>
    </w:p>
    <w:p w14:paraId="7827F613"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xml:space="preserve">-  izpolnjevanjem pravil vodenja poslov iz 33. in 35. člena </w:t>
      </w:r>
      <w:r w:rsidR="008E3603" w:rsidRPr="004319E8">
        <w:rPr>
          <w:rFonts w:ascii="Arial" w:eastAsia="Arial" w:hAnsi="Arial" w:cs="Arial"/>
          <w:color w:val="0000EE"/>
          <w:sz w:val="20"/>
          <w:szCs w:val="20"/>
          <w:u w:val="single" w:color="0000EE"/>
          <w:lang w:val="sl-SI"/>
        </w:rPr>
        <w:t>Uredbe 909/2014/EU</w:t>
      </w:r>
      <w:r w:rsidRPr="004319E8">
        <w:rPr>
          <w:rFonts w:ascii="Arial" w:eastAsia="Arial" w:hAnsi="Arial" w:cs="Arial"/>
          <w:sz w:val="20"/>
          <w:szCs w:val="20"/>
          <w:lang w:val="sl-SI"/>
        </w:rPr>
        <w:t xml:space="preserve"> in</w:t>
      </w:r>
    </w:p>
    <w:p w14:paraId="3018213A" w14:textId="77777777" w:rsidR="00512760" w:rsidRPr="004319E8" w:rsidRDefault="00512760" w:rsidP="00512760">
      <w:pPr>
        <w:pStyle w:val="alineazastevilcnotocko"/>
        <w:spacing w:before="210" w:after="210"/>
        <w:ind w:left="567"/>
        <w:rPr>
          <w:rFonts w:ascii="Arial" w:eastAsia="Arial" w:hAnsi="Arial" w:cs="Arial"/>
          <w:sz w:val="20"/>
          <w:szCs w:val="20"/>
          <w:lang w:val="sl-SI"/>
        </w:rPr>
      </w:pPr>
      <w:r w:rsidRPr="004319E8">
        <w:rPr>
          <w:rFonts w:ascii="Arial" w:eastAsia="Arial" w:hAnsi="Arial" w:cs="Arial"/>
          <w:sz w:val="20"/>
          <w:szCs w:val="20"/>
          <w:lang w:val="sl-SI"/>
        </w:rPr>
        <w:t xml:space="preserve">-  izpolnjevanjem pravil vodenja poslov iz 34. člena </w:t>
      </w:r>
      <w:r w:rsidR="008E3603" w:rsidRPr="004319E8">
        <w:rPr>
          <w:rFonts w:ascii="Arial" w:eastAsia="Arial" w:hAnsi="Arial" w:cs="Arial"/>
          <w:color w:val="0000EE"/>
          <w:sz w:val="20"/>
          <w:szCs w:val="20"/>
          <w:u w:val="single" w:color="0000EE"/>
          <w:lang w:val="sl-SI"/>
        </w:rPr>
        <w:t>Uredbe 909/2014/EU</w:t>
      </w:r>
      <w:r w:rsidRPr="004319E8">
        <w:rPr>
          <w:rFonts w:ascii="Arial" w:eastAsia="Arial" w:hAnsi="Arial" w:cs="Arial"/>
          <w:sz w:val="20"/>
          <w:szCs w:val="20"/>
          <w:lang w:val="sl-SI"/>
        </w:rPr>
        <w:t xml:space="preserve"> za opravljanje storitev iz 3. točke oddelka A</w:t>
      </w:r>
      <w:r w:rsidR="004410BD" w:rsidRPr="004319E8">
        <w:rPr>
          <w:rFonts w:ascii="Arial" w:eastAsia="Arial" w:hAnsi="Arial" w:cs="Arial"/>
          <w:sz w:val="20"/>
          <w:szCs w:val="20"/>
          <w:lang w:val="sl-SI"/>
        </w:rPr>
        <w:t xml:space="preserve"> Priloge Uredbe 909/2014/EU</w:t>
      </w:r>
      <w:r w:rsidRPr="004319E8">
        <w:rPr>
          <w:rFonts w:ascii="Arial" w:eastAsia="Arial" w:hAnsi="Arial" w:cs="Arial"/>
          <w:sz w:val="20"/>
          <w:szCs w:val="20"/>
          <w:lang w:val="sl-SI"/>
        </w:rPr>
        <w:t>;</w:t>
      </w:r>
    </w:p>
    <w:p w14:paraId="28BF7E5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lastRenderedPageBreak/>
        <w:t xml:space="preserve">5.      iz 8. točke prvega odstavka 543. člena tega zakona v zvezi z izpolnjevanjem zahtev za storitve CDD iz 39. do 41. člena </w:t>
      </w:r>
      <w:r w:rsidR="00130CDA"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w:t>
      </w:r>
    </w:p>
    <w:p w14:paraId="555DD7DE"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6.      iz 9. točke prvega odstavka 543. člena tega zakona v zvezi z izpolnjevanjem bonitetnih zahtev iz 43. in 45. člena </w:t>
      </w:r>
      <w:r w:rsidR="00130CDA"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 xml:space="preserve"> za opravljanje storitev iz 3. točke oddelka A, 1., 3. in 4.a točke oddelka B ter oddelka C </w:t>
      </w:r>
      <w:r w:rsidR="00130CDA" w:rsidRPr="004319E8">
        <w:rPr>
          <w:rFonts w:ascii="Arial" w:eastAsia="Arial" w:hAnsi="Arial" w:cs="Arial"/>
          <w:color w:val="0000EE"/>
          <w:sz w:val="20"/>
          <w:szCs w:val="20"/>
          <w:u w:val="single" w:color="0000EE"/>
        </w:rPr>
        <w:t>Priloge Uredbe 909/2014/EU</w:t>
      </w:r>
      <w:r w:rsidRPr="004319E8">
        <w:rPr>
          <w:rFonts w:ascii="Arial" w:eastAsia="Arial" w:hAnsi="Arial" w:cs="Arial"/>
          <w:sz w:val="20"/>
          <w:szCs w:val="20"/>
        </w:rPr>
        <w:t>;</w:t>
      </w:r>
    </w:p>
    <w:p w14:paraId="0C2F55D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7.      iz 10. točke prvega odstavka 543. člena tega zakona;</w:t>
      </w:r>
    </w:p>
    <w:p w14:paraId="0EFBD133"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8.      iz 11. točke prvega odstavka 543. člena tega zakona v zvezi z zagotavljanjem različnih vrst dostopa iz 50. do 52. člena </w:t>
      </w:r>
      <w:r w:rsidR="00130CDA" w:rsidRPr="004319E8">
        <w:rPr>
          <w:rFonts w:ascii="Arial" w:eastAsia="Arial" w:hAnsi="Arial" w:cs="Arial"/>
          <w:color w:val="0000EE"/>
          <w:sz w:val="20"/>
          <w:szCs w:val="20"/>
          <w:u w:val="single" w:color="0000EE"/>
        </w:rPr>
        <w:t>Uredbe 909/2014/EU</w:t>
      </w:r>
      <w:r w:rsidRPr="004319E8">
        <w:rPr>
          <w:rFonts w:ascii="Arial" w:eastAsia="Arial" w:hAnsi="Arial" w:cs="Arial"/>
          <w:sz w:val="20"/>
          <w:szCs w:val="20"/>
        </w:rPr>
        <w:t>;</w:t>
      </w:r>
    </w:p>
    <w:p w14:paraId="6D9553B0"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9.      iz 1. točke prvega odstavka 544.. člena tega zakona v zvezi z opravljanjem storitev iz 3. točke oddelka A, 1., 3. in 4.a točke oddelka B ter oddelka C </w:t>
      </w:r>
      <w:r w:rsidR="00130CDA" w:rsidRPr="004319E8">
        <w:rPr>
          <w:rFonts w:ascii="Arial" w:eastAsia="Arial" w:hAnsi="Arial" w:cs="Arial"/>
          <w:color w:val="0000EE"/>
          <w:sz w:val="20"/>
          <w:szCs w:val="20"/>
          <w:u w:val="single" w:color="0000EE"/>
        </w:rPr>
        <w:t>Priloge Uredbe 909/2014/EU</w:t>
      </w:r>
      <w:r w:rsidRPr="004319E8">
        <w:rPr>
          <w:rFonts w:ascii="Arial" w:eastAsia="Arial" w:hAnsi="Arial" w:cs="Arial"/>
          <w:sz w:val="20"/>
          <w:szCs w:val="20"/>
        </w:rPr>
        <w:t>;</w:t>
      </w:r>
    </w:p>
    <w:p w14:paraId="14B86FB1"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10.   iz 2. in 3. točke prvega odstavka 544. člena tega zakona;</w:t>
      </w:r>
    </w:p>
    <w:p w14:paraId="02A18A62" w14:textId="77777777" w:rsidR="00512760" w:rsidRPr="004319E8" w:rsidRDefault="00512760" w:rsidP="00512760">
      <w:pPr>
        <w:pStyle w:val="zamik"/>
        <w:spacing w:before="210" w:after="210"/>
        <w:ind w:left="425" w:hanging="425"/>
        <w:jc w:val="both"/>
        <w:rPr>
          <w:rFonts w:ascii="Arial" w:eastAsia="Arial" w:hAnsi="Arial" w:cs="Arial"/>
          <w:sz w:val="20"/>
          <w:szCs w:val="20"/>
        </w:rPr>
      </w:pPr>
      <w:r w:rsidRPr="004319E8">
        <w:rPr>
          <w:rFonts w:ascii="Arial" w:eastAsia="Arial" w:hAnsi="Arial" w:cs="Arial"/>
          <w:sz w:val="20"/>
          <w:szCs w:val="20"/>
        </w:rPr>
        <w:t xml:space="preserve">11.   iz 4. točke prvega odstavka 544. člena tega zakona v zvezi z opravljanjem storitev iz 3. točke oddelka A, 1., 3. in 4.a točke oddelka B ter oddelka C </w:t>
      </w:r>
      <w:r w:rsidR="00130CDA" w:rsidRPr="004319E8">
        <w:rPr>
          <w:rFonts w:ascii="Arial" w:eastAsia="Arial" w:hAnsi="Arial" w:cs="Arial"/>
          <w:color w:val="0000EE"/>
          <w:sz w:val="20"/>
          <w:szCs w:val="20"/>
          <w:u w:val="single" w:color="0000EE"/>
        </w:rPr>
        <w:t>Priloge Uredbe 909/2014/EU</w:t>
      </w:r>
      <w:r w:rsidRPr="004319E8">
        <w:rPr>
          <w:rFonts w:ascii="Arial" w:eastAsia="Arial" w:hAnsi="Arial" w:cs="Arial"/>
          <w:sz w:val="20"/>
          <w:szCs w:val="20"/>
        </w:rPr>
        <w:t>.</w:t>
      </w:r>
    </w:p>
    <w:p w14:paraId="0A46841B" w14:textId="77777777" w:rsidR="00512760" w:rsidRPr="004319E8" w:rsidRDefault="00512760" w:rsidP="00512760">
      <w:pPr>
        <w:pStyle w:val="zamik"/>
        <w:pBdr>
          <w:top w:val="none" w:sz="0" w:space="12" w:color="auto"/>
        </w:pBdr>
        <w:spacing w:before="210" w:after="210"/>
        <w:jc w:val="both"/>
        <w:rPr>
          <w:rFonts w:ascii="Arial" w:eastAsia="Arial" w:hAnsi="Arial" w:cs="Arial"/>
          <w:sz w:val="20"/>
          <w:szCs w:val="20"/>
        </w:rPr>
      </w:pPr>
      <w:r w:rsidRPr="004319E8">
        <w:rPr>
          <w:rFonts w:ascii="Arial" w:eastAsia="Arial" w:hAnsi="Arial" w:cs="Arial"/>
          <w:sz w:val="20"/>
          <w:szCs w:val="20"/>
        </w:rPr>
        <w:t>(3) Ne glede na prvi odstavek tega člena je Banka Slovenije pristojna voditi postopke in odločati o prekrških iz 531., 532., 533., 534. in 541. člena tega zakona, če je kršitelj banka, njena odgovorna oseba oziroma član uprave ali nadzornega sveta banke.</w:t>
      </w:r>
    </w:p>
    <w:p w14:paraId="4E46C39F" w14:textId="77777777" w:rsidR="001F7CAE" w:rsidRDefault="001F7CAE" w:rsidP="00C64B3F">
      <w:pPr>
        <w:spacing w:line="260" w:lineRule="exact"/>
        <w:jc w:val="both"/>
        <w:rPr>
          <w:rFonts w:cs="Arial"/>
          <w:b/>
          <w:szCs w:val="20"/>
        </w:rPr>
      </w:pPr>
    </w:p>
    <w:p w14:paraId="0BCB83FF" w14:textId="77777777" w:rsidR="00B32776" w:rsidRDefault="00B32776" w:rsidP="00C64B3F">
      <w:pPr>
        <w:spacing w:line="260" w:lineRule="exact"/>
        <w:jc w:val="both"/>
        <w:rPr>
          <w:rFonts w:cs="Arial"/>
          <w:b/>
          <w:szCs w:val="20"/>
        </w:rPr>
      </w:pPr>
    </w:p>
    <w:p w14:paraId="19937EA4" w14:textId="77777777" w:rsidR="00E16CD0" w:rsidRPr="00732B0A" w:rsidRDefault="00E16CD0" w:rsidP="00C64B3F">
      <w:pPr>
        <w:spacing w:line="260" w:lineRule="exact"/>
        <w:jc w:val="both"/>
        <w:rPr>
          <w:rFonts w:cs="Arial"/>
          <w:b/>
          <w:szCs w:val="20"/>
        </w:rPr>
      </w:pPr>
      <w:r w:rsidRPr="00732B0A">
        <w:rPr>
          <w:rFonts w:cs="Arial"/>
          <w:b/>
          <w:szCs w:val="20"/>
        </w:rPr>
        <w:t>V. PREDLOG, DA SE PREDLOG ZAKONA OBRAVNAVA PO NUJNEM OZIROMA SKRAJŠANEM POSTOPKU:</w:t>
      </w:r>
    </w:p>
    <w:p w14:paraId="68AEA6F1" w14:textId="77777777" w:rsidR="003A514B" w:rsidRPr="003A514B" w:rsidRDefault="003A514B" w:rsidP="003A514B">
      <w:pPr>
        <w:spacing w:line="240" w:lineRule="auto"/>
        <w:jc w:val="both"/>
        <w:rPr>
          <w:rFonts w:cs="Arial"/>
          <w:szCs w:val="20"/>
        </w:rPr>
      </w:pPr>
    </w:p>
    <w:p w14:paraId="6CFE1279" w14:textId="63EE1E3C" w:rsidR="00E16CD0" w:rsidRPr="00732B0A" w:rsidRDefault="003A514B" w:rsidP="003A514B">
      <w:pPr>
        <w:spacing w:line="276" w:lineRule="auto"/>
        <w:jc w:val="both"/>
        <w:rPr>
          <w:rFonts w:cs="Arial"/>
          <w:szCs w:val="20"/>
        </w:rPr>
      </w:pPr>
      <w:r w:rsidRPr="003A514B">
        <w:rPr>
          <w:rFonts w:cs="Arial"/>
          <w:szCs w:val="20"/>
        </w:rPr>
        <w:t xml:space="preserve">V skladu s prvim odstavkom 142. člena Poslovnika državnega zbora (Uradni list RS, št. 92/07 – uradno prečiščeno besedilo, 105/10, 80/13, 38/17, 46/20, 105/21 – </w:t>
      </w:r>
      <w:proofErr w:type="spellStart"/>
      <w:r w:rsidRPr="003A514B">
        <w:rPr>
          <w:rFonts w:cs="Arial"/>
          <w:szCs w:val="20"/>
        </w:rPr>
        <w:t>odl</w:t>
      </w:r>
      <w:proofErr w:type="spellEnd"/>
      <w:r w:rsidRPr="003A514B">
        <w:rPr>
          <w:rFonts w:cs="Arial"/>
          <w:szCs w:val="20"/>
        </w:rPr>
        <w:t>. US in 111/21) se predlaga, da se predlog zakona obravnava po skrajšanem postopku.</w:t>
      </w:r>
      <w:r w:rsidR="00C70FDB">
        <w:rPr>
          <w:rFonts w:cs="Arial"/>
          <w:szCs w:val="20"/>
        </w:rPr>
        <w:t xml:space="preserve"> </w:t>
      </w:r>
      <w:r w:rsidRPr="003A514B">
        <w:rPr>
          <w:rFonts w:cs="Arial"/>
          <w:szCs w:val="20"/>
        </w:rPr>
        <w:t xml:space="preserve">Sprejem zakona po skrajšanem postopku je potreben zaradi izteka roka za prenos Direktive (EU) 2022/2556 v nacionalni pravni red, ki je </w:t>
      </w:r>
      <w:r w:rsidR="00C70FDB">
        <w:rPr>
          <w:rFonts w:cs="Arial"/>
          <w:szCs w:val="20"/>
        </w:rPr>
        <w:t>potekel</w:t>
      </w:r>
      <w:r w:rsidR="00C70FDB" w:rsidRPr="003A514B">
        <w:rPr>
          <w:rFonts w:cs="Arial"/>
          <w:szCs w:val="20"/>
        </w:rPr>
        <w:t xml:space="preserve"> </w:t>
      </w:r>
      <w:r w:rsidRPr="003A514B">
        <w:rPr>
          <w:rFonts w:cs="Arial"/>
          <w:szCs w:val="20"/>
        </w:rPr>
        <w:t>17. januarja 2025 in uradnega opomina Evropske komisije z dne 26.</w:t>
      </w:r>
      <w:r w:rsidR="00C70FDB">
        <w:rPr>
          <w:rFonts w:cs="Arial"/>
          <w:szCs w:val="20"/>
        </w:rPr>
        <w:t xml:space="preserve"> </w:t>
      </w:r>
      <w:r w:rsidRPr="003A514B">
        <w:rPr>
          <w:rFonts w:cs="Arial"/>
          <w:szCs w:val="20"/>
        </w:rPr>
        <w:t>3.</w:t>
      </w:r>
      <w:r w:rsidR="00C70FDB">
        <w:rPr>
          <w:rFonts w:cs="Arial"/>
          <w:szCs w:val="20"/>
        </w:rPr>
        <w:t xml:space="preserve"> </w:t>
      </w:r>
      <w:r w:rsidRPr="003A514B">
        <w:rPr>
          <w:rFonts w:cs="Arial"/>
          <w:szCs w:val="20"/>
        </w:rPr>
        <w:t xml:space="preserve">2025 Republiki Sloveniji, zaradi </w:t>
      </w:r>
      <w:proofErr w:type="spellStart"/>
      <w:r w:rsidRPr="003A514B">
        <w:rPr>
          <w:rFonts w:cs="Arial"/>
          <w:szCs w:val="20"/>
        </w:rPr>
        <w:t>nenotifikacije</w:t>
      </w:r>
      <w:proofErr w:type="spellEnd"/>
      <w:r w:rsidRPr="003A514B">
        <w:rPr>
          <w:rFonts w:cs="Arial"/>
          <w:szCs w:val="20"/>
        </w:rPr>
        <w:t xml:space="preserve"> predpisov za prenos te direktive v pravni red Republike Slovenije (kršitev št. 2025/0173), zato je nujno hitro ukrepanje za omejitev zamude pri prenosu direktive in uskladitev nacionalne zakonodaje z evropskim pravnim redom.</w:t>
      </w:r>
    </w:p>
    <w:p w14:paraId="6A179F45" w14:textId="77777777" w:rsidR="00E16CD0" w:rsidRPr="00732B0A" w:rsidRDefault="00E16CD0" w:rsidP="00C64B3F">
      <w:pPr>
        <w:spacing w:line="240" w:lineRule="auto"/>
        <w:jc w:val="both"/>
        <w:rPr>
          <w:rFonts w:cs="Arial"/>
          <w:szCs w:val="20"/>
        </w:rPr>
      </w:pPr>
    </w:p>
    <w:p w14:paraId="274608E3" w14:textId="77777777" w:rsidR="00E16CD0" w:rsidRPr="00732B0A" w:rsidRDefault="00E16CD0" w:rsidP="00C64B3F">
      <w:pPr>
        <w:ind w:left="709" w:hanging="709"/>
        <w:jc w:val="both"/>
        <w:rPr>
          <w:rFonts w:cs="Arial"/>
          <w:szCs w:val="20"/>
        </w:rPr>
      </w:pPr>
      <w:r w:rsidRPr="00732B0A">
        <w:rPr>
          <w:rFonts w:cs="Arial"/>
          <w:b/>
          <w:szCs w:val="20"/>
        </w:rPr>
        <w:t>VI. PRILOGE:</w:t>
      </w:r>
    </w:p>
    <w:p w14:paraId="44CFB8BE" w14:textId="77777777" w:rsidR="00042A13" w:rsidRPr="00732B0A" w:rsidRDefault="00042A13" w:rsidP="00C64B3F">
      <w:pPr>
        <w:spacing w:line="240" w:lineRule="auto"/>
        <w:jc w:val="both"/>
        <w:rPr>
          <w:rFonts w:cs="Arial"/>
          <w:bCs/>
          <w:szCs w:val="20"/>
        </w:rPr>
      </w:pPr>
    </w:p>
    <w:sectPr w:rsidR="00042A13" w:rsidRPr="00732B0A" w:rsidSect="00D0002D">
      <w:headerReference w:type="default" r:id="rId13"/>
      <w:headerReference w:type="first" r:id="rId14"/>
      <w:pgSz w:w="11900" w:h="16840" w:code="9"/>
      <w:pgMar w:top="1701" w:right="1701" w:bottom="1418"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AB82" w14:textId="77777777" w:rsidR="00C30FE4" w:rsidRDefault="00C30FE4">
      <w:r>
        <w:separator/>
      </w:r>
    </w:p>
  </w:endnote>
  <w:endnote w:type="continuationSeparator" w:id="0">
    <w:p w14:paraId="69AD3E7C" w14:textId="77777777" w:rsidR="00C30FE4" w:rsidRDefault="00C30FE4">
      <w:r>
        <w:continuationSeparator/>
      </w:r>
    </w:p>
  </w:endnote>
  <w:endnote w:type="continuationNotice" w:id="1">
    <w:p w14:paraId="42D8ED34" w14:textId="77777777" w:rsidR="00C30FE4" w:rsidRDefault="00C30F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5649" w14:textId="77777777" w:rsidR="00C30FE4" w:rsidRDefault="00C30FE4">
      <w:r>
        <w:separator/>
      </w:r>
    </w:p>
  </w:footnote>
  <w:footnote w:type="continuationSeparator" w:id="0">
    <w:p w14:paraId="0B8C2095" w14:textId="77777777" w:rsidR="00C30FE4" w:rsidRDefault="00C30FE4">
      <w:r>
        <w:continuationSeparator/>
      </w:r>
    </w:p>
  </w:footnote>
  <w:footnote w:type="continuationNotice" w:id="1">
    <w:p w14:paraId="114FD72B" w14:textId="77777777" w:rsidR="00C30FE4" w:rsidRDefault="00C30F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7762" w14:textId="77777777" w:rsidR="00C30FE4" w:rsidRPr="00110CBD" w:rsidRDefault="00C30F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30FE4" w:rsidRPr="008F3500" w14:paraId="3B50C057" w14:textId="77777777">
      <w:trPr>
        <w:cantSplit/>
        <w:trHeight w:hRule="exact" w:val="847"/>
      </w:trPr>
      <w:tc>
        <w:tcPr>
          <w:tcW w:w="567" w:type="dxa"/>
        </w:tcPr>
        <w:p w14:paraId="46D382E1" w14:textId="6E5E7A4C" w:rsidR="00C30FE4" w:rsidRPr="008F3500" w:rsidRDefault="00C30FE4"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57216" behindDoc="0" locked="0" layoutInCell="0" allowOverlap="1" wp14:anchorId="29343A15" wp14:editId="5567135B">
                    <wp:simplePos x="0" y="0"/>
                    <wp:positionH relativeFrom="column">
                      <wp:posOffset>29845</wp:posOffset>
                    </wp:positionH>
                    <wp:positionV relativeFrom="page">
                      <wp:posOffset>3600449</wp:posOffset>
                    </wp:positionV>
                    <wp:extent cx="215900" cy="0"/>
                    <wp:effectExtent l="0" t="0" r="0" b="0"/>
                    <wp:wrapNone/>
                    <wp:docPr id="266878675"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EA1EAA"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3EF91D7" w14:textId="77777777" w:rsidR="00C30FE4" w:rsidRPr="004F621D" w:rsidRDefault="00C30FE4" w:rsidP="00621206">
    <w:pPr>
      <w:pStyle w:val="Glava"/>
      <w:tabs>
        <w:tab w:val="clear" w:pos="4320"/>
        <w:tab w:val="clear" w:pos="8640"/>
        <w:tab w:val="left" w:pos="5112"/>
      </w:tabs>
      <w:spacing w:before="120" w:line="240" w:lineRule="exact"/>
      <w:rPr>
        <w:rFonts w:cs="Arial"/>
        <w:sz w:val="16"/>
        <w:lang w:val="it-IT"/>
      </w:rPr>
    </w:pPr>
    <w:r>
      <w:rPr>
        <w:noProof/>
        <w:lang w:val="sl-SI" w:eastAsia="sl-SI"/>
      </w:rPr>
      <w:drawing>
        <wp:anchor distT="0" distB="0" distL="114300" distR="114300" simplePos="0" relativeHeight="251658240" behindDoc="0" locked="0" layoutInCell="1" allowOverlap="1" wp14:anchorId="53A506D4" wp14:editId="7D03CCA0">
          <wp:simplePos x="0" y="0"/>
          <wp:positionH relativeFrom="page">
            <wp:posOffset>0</wp:posOffset>
          </wp:positionH>
          <wp:positionV relativeFrom="page">
            <wp:posOffset>0</wp:posOffset>
          </wp:positionV>
          <wp:extent cx="4321810" cy="972185"/>
          <wp:effectExtent l="0" t="0" r="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roofErr w:type="spellStart"/>
    <w:r w:rsidRPr="004F621D">
      <w:rPr>
        <w:rFonts w:cs="Arial"/>
        <w:sz w:val="16"/>
        <w:lang w:val="it-IT"/>
      </w:rPr>
      <w:t>Župančičeva</w:t>
    </w:r>
    <w:proofErr w:type="spellEnd"/>
    <w:r w:rsidRPr="004F621D">
      <w:rPr>
        <w:rFonts w:cs="Arial"/>
        <w:sz w:val="16"/>
        <w:lang w:val="it-IT"/>
      </w:rPr>
      <w:t xml:space="preserve"> </w:t>
    </w:r>
    <w:proofErr w:type="spellStart"/>
    <w:r w:rsidRPr="004F621D">
      <w:rPr>
        <w:rFonts w:cs="Arial"/>
        <w:sz w:val="16"/>
        <w:lang w:val="it-IT"/>
      </w:rPr>
      <w:t>ulica</w:t>
    </w:r>
    <w:proofErr w:type="spellEnd"/>
    <w:r w:rsidRPr="004F621D">
      <w:rPr>
        <w:rFonts w:cs="Arial"/>
        <w:sz w:val="16"/>
        <w:lang w:val="it-IT"/>
      </w:rPr>
      <w:t xml:space="preserve"> 3, p.p. 644a, 1001 </w:t>
    </w:r>
    <w:proofErr w:type="spellStart"/>
    <w:r w:rsidRPr="004F621D">
      <w:rPr>
        <w:rFonts w:cs="Arial"/>
        <w:sz w:val="16"/>
        <w:lang w:val="it-IT"/>
      </w:rPr>
      <w:t>Ljubljana</w:t>
    </w:r>
    <w:proofErr w:type="spellEnd"/>
    <w:r w:rsidRPr="004F621D">
      <w:rPr>
        <w:rFonts w:cs="Arial"/>
        <w:sz w:val="16"/>
        <w:lang w:val="it-IT"/>
      </w:rPr>
      <w:tab/>
      <w:t>T: 369 6600</w:t>
    </w:r>
  </w:p>
  <w:p w14:paraId="38BA9C7A" w14:textId="77777777" w:rsidR="00C30FE4" w:rsidRPr="004F621D" w:rsidRDefault="00C30FE4" w:rsidP="00A770A6">
    <w:pPr>
      <w:pStyle w:val="Glava"/>
      <w:tabs>
        <w:tab w:val="clear" w:pos="4320"/>
        <w:tab w:val="clear" w:pos="8640"/>
        <w:tab w:val="left" w:pos="5112"/>
      </w:tabs>
      <w:spacing w:line="240" w:lineRule="exact"/>
      <w:rPr>
        <w:rFonts w:cs="Arial"/>
        <w:sz w:val="16"/>
        <w:lang w:val="it-IT"/>
      </w:rPr>
    </w:pPr>
    <w:r w:rsidRPr="004F621D">
      <w:rPr>
        <w:rFonts w:cs="Arial"/>
        <w:sz w:val="16"/>
        <w:lang w:val="it-IT"/>
      </w:rPr>
      <w:tab/>
      <w:t>E: gp.mf@gov.si</w:t>
    </w:r>
  </w:p>
  <w:p w14:paraId="6A11D713" w14:textId="77777777" w:rsidR="00C30FE4" w:rsidRPr="007175FE" w:rsidRDefault="00C30FE4" w:rsidP="00A770A6">
    <w:pPr>
      <w:pStyle w:val="Glava"/>
      <w:tabs>
        <w:tab w:val="clear" w:pos="4320"/>
        <w:tab w:val="clear" w:pos="8640"/>
        <w:tab w:val="left" w:pos="5112"/>
      </w:tabs>
      <w:spacing w:line="240" w:lineRule="exact"/>
      <w:rPr>
        <w:rFonts w:cs="Arial"/>
        <w:sz w:val="16"/>
        <w:lang w:val="de-DE"/>
      </w:rPr>
    </w:pPr>
    <w:r w:rsidRPr="004F621D">
      <w:rPr>
        <w:rFonts w:cs="Arial"/>
        <w:sz w:val="16"/>
        <w:lang w:val="it-IT"/>
      </w:rPr>
      <w:tab/>
    </w:r>
    <w:r w:rsidRPr="007175FE">
      <w:rPr>
        <w:rFonts w:cs="Arial"/>
        <w:sz w:val="16"/>
        <w:lang w:val="de-DE"/>
      </w:rPr>
      <w:t>www.mf.gov.si</w:t>
    </w:r>
  </w:p>
  <w:p w14:paraId="4974DD2D" w14:textId="77777777" w:rsidR="00C30FE4" w:rsidRPr="007175FE" w:rsidRDefault="00C30FE4"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5DE5"/>
    <w:multiLevelType w:val="hybridMultilevel"/>
    <w:tmpl w:val="D9D45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6152590"/>
    <w:multiLevelType w:val="hybridMultilevel"/>
    <w:tmpl w:val="A1826B0C"/>
    <w:lvl w:ilvl="0" w:tplc="AF90B5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362629"/>
    <w:multiLevelType w:val="hybridMultilevel"/>
    <w:tmpl w:val="38929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704B46"/>
    <w:multiLevelType w:val="hybridMultilevel"/>
    <w:tmpl w:val="94E8F860"/>
    <w:lvl w:ilvl="0" w:tplc="0D5E2966">
      <w:start w:val="1"/>
      <w:numFmt w:val="bullet"/>
      <w:pStyle w:val="Naslov1"/>
      <w:lvlText w:val=""/>
      <w:lvlJc w:val="left"/>
      <w:pPr>
        <w:ind w:left="997" w:hanging="360"/>
      </w:pPr>
      <w:rPr>
        <w:rFonts w:ascii="Symbol" w:hAnsi="Symbol" w:cs="Symbol" w:hint="default"/>
        <w:color w:val="auto"/>
      </w:rPr>
    </w:lvl>
    <w:lvl w:ilvl="1" w:tplc="04240003" w:tentative="1">
      <w:start w:val="1"/>
      <w:numFmt w:val="bullet"/>
      <w:lvlText w:val="o"/>
      <w:lvlJc w:val="left"/>
      <w:pPr>
        <w:ind w:left="1717" w:hanging="360"/>
      </w:pPr>
      <w:rPr>
        <w:rFonts w:ascii="Courier New" w:hAnsi="Courier New" w:cs="Courier New" w:hint="default"/>
      </w:rPr>
    </w:lvl>
    <w:lvl w:ilvl="2" w:tplc="04240005" w:tentative="1">
      <w:start w:val="1"/>
      <w:numFmt w:val="bullet"/>
      <w:lvlText w:val=""/>
      <w:lvlJc w:val="left"/>
      <w:pPr>
        <w:ind w:left="2437" w:hanging="360"/>
      </w:pPr>
      <w:rPr>
        <w:rFonts w:ascii="Wingdings" w:hAnsi="Wingdings" w:hint="default"/>
      </w:rPr>
    </w:lvl>
    <w:lvl w:ilvl="3" w:tplc="04240001" w:tentative="1">
      <w:start w:val="1"/>
      <w:numFmt w:val="bullet"/>
      <w:lvlText w:val=""/>
      <w:lvlJc w:val="left"/>
      <w:pPr>
        <w:ind w:left="3157" w:hanging="360"/>
      </w:pPr>
      <w:rPr>
        <w:rFonts w:ascii="Symbol" w:hAnsi="Symbol" w:hint="default"/>
      </w:rPr>
    </w:lvl>
    <w:lvl w:ilvl="4" w:tplc="04240003" w:tentative="1">
      <w:start w:val="1"/>
      <w:numFmt w:val="bullet"/>
      <w:lvlText w:val="o"/>
      <w:lvlJc w:val="left"/>
      <w:pPr>
        <w:ind w:left="3877" w:hanging="360"/>
      </w:pPr>
      <w:rPr>
        <w:rFonts w:ascii="Courier New" w:hAnsi="Courier New" w:cs="Courier New" w:hint="default"/>
      </w:rPr>
    </w:lvl>
    <w:lvl w:ilvl="5" w:tplc="04240005" w:tentative="1">
      <w:start w:val="1"/>
      <w:numFmt w:val="bullet"/>
      <w:lvlText w:val=""/>
      <w:lvlJc w:val="left"/>
      <w:pPr>
        <w:ind w:left="4597" w:hanging="360"/>
      </w:pPr>
      <w:rPr>
        <w:rFonts w:ascii="Wingdings" w:hAnsi="Wingdings" w:hint="default"/>
      </w:rPr>
    </w:lvl>
    <w:lvl w:ilvl="6" w:tplc="04240001" w:tentative="1">
      <w:start w:val="1"/>
      <w:numFmt w:val="bullet"/>
      <w:lvlText w:val=""/>
      <w:lvlJc w:val="left"/>
      <w:pPr>
        <w:ind w:left="5317" w:hanging="360"/>
      </w:pPr>
      <w:rPr>
        <w:rFonts w:ascii="Symbol" w:hAnsi="Symbol" w:hint="default"/>
      </w:rPr>
    </w:lvl>
    <w:lvl w:ilvl="7" w:tplc="04240003" w:tentative="1">
      <w:start w:val="1"/>
      <w:numFmt w:val="bullet"/>
      <w:lvlText w:val="o"/>
      <w:lvlJc w:val="left"/>
      <w:pPr>
        <w:ind w:left="6037" w:hanging="360"/>
      </w:pPr>
      <w:rPr>
        <w:rFonts w:ascii="Courier New" w:hAnsi="Courier New" w:cs="Courier New" w:hint="default"/>
      </w:rPr>
    </w:lvl>
    <w:lvl w:ilvl="8" w:tplc="04240005" w:tentative="1">
      <w:start w:val="1"/>
      <w:numFmt w:val="bullet"/>
      <w:lvlText w:val=""/>
      <w:lvlJc w:val="left"/>
      <w:pPr>
        <w:ind w:left="6757"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4C4F98"/>
    <w:multiLevelType w:val="hybridMultilevel"/>
    <w:tmpl w:val="3F505B1C"/>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34DA42FF"/>
    <w:multiLevelType w:val="hybridMultilevel"/>
    <w:tmpl w:val="E74A7DB2"/>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AA3A63"/>
    <w:multiLevelType w:val="multilevel"/>
    <w:tmpl w:val="156E70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3B64DA"/>
    <w:multiLevelType w:val="hybridMultilevel"/>
    <w:tmpl w:val="8EEEA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A2078A"/>
    <w:multiLevelType w:val="hybridMultilevel"/>
    <w:tmpl w:val="24EA7E58"/>
    <w:lvl w:ilvl="0" w:tplc="B94E715E">
      <w:start w:val="1"/>
      <w:numFmt w:val="decimal"/>
      <w:lvlText w:val="%1. "/>
      <w:lvlJc w:val="left"/>
      <w:pPr>
        <w:ind w:left="600" w:hanging="360"/>
      </w:pPr>
      <w:rPr>
        <w:rFonts w:hint="default"/>
        <w:sz w:val="20"/>
        <w:szCs w:val="20"/>
      </w:rPr>
    </w:lvl>
    <w:lvl w:ilvl="1" w:tplc="04240019">
      <w:start w:val="1"/>
      <w:numFmt w:val="lowerLetter"/>
      <w:lvlText w:val="%2."/>
      <w:lvlJc w:val="left"/>
      <w:pPr>
        <w:ind w:left="-5974" w:hanging="360"/>
      </w:pPr>
    </w:lvl>
    <w:lvl w:ilvl="2" w:tplc="0424001B">
      <w:start w:val="1"/>
      <w:numFmt w:val="lowerRoman"/>
      <w:lvlText w:val="%3."/>
      <w:lvlJc w:val="right"/>
      <w:pPr>
        <w:ind w:left="-5254" w:hanging="180"/>
      </w:pPr>
    </w:lvl>
    <w:lvl w:ilvl="3" w:tplc="0424000F">
      <w:start w:val="1"/>
      <w:numFmt w:val="decimal"/>
      <w:lvlText w:val="%4."/>
      <w:lvlJc w:val="left"/>
      <w:pPr>
        <w:ind w:left="-4534" w:hanging="360"/>
      </w:pPr>
    </w:lvl>
    <w:lvl w:ilvl="4" w:tplc="04240019" w:tentative="1">
      <w:start w:val="1"/>
      <w:numFmt w:val="lowerLetter"/>
      <w:lvlText w:val="%5."/>
      <w:lvlJc w:val="left"/>
      <w:pPr>
        <w:ind w:left="-3814" w:hanging="360"/>
      </w:pPr>
    </w:lvl>
    <w:lvl w:ilvl="5" w:tplc="0424001B" w:tentative="1">
      <w:start w:val="1"/>
      <w:numFmt w:val="lowerRoman"/>
      <w:lvlText w:val="%6."/>
      <w:lvlJc w:val="right"/>
      <w:pPr>
        <w:ind w:left="-3094" w:hanging="180"/>
      </w:pPr>
    </w:lvl>
    <w:lvl w:ilvl="6" w:tplc="0424000F" w:tentative="1">
      <w:start w:val="1"/>
      <w:numFmt w:val="decimal"/>
      <w:lvlText w:val="%7."/>
      <w:lvlJc w:val="left"/>
      <w:pPr>
        <w:ind w:left="-2374" w:hanging="360"/>
      </w:pPr>
    </w:lvl>
    <w:lvl w:ilvl="7" w:tplc="04240019" w:tentative="1">
      <w:start w:val="1"/>
      <w:numFmt w:val="lowerLetter"/>
      <w:lvlText w:val="%8."/>
      <w:lvlJc w:val="left"/>
      <w:pPr>
        <w:ind w:left="-1654" w:hanging="360"/>
      </w:pPr>
    </w:lvl>
    <w:lvl w:ilvl="8" w:tplc="0424001B" w:tentative="1">
      <w:start w:val="1"/>
      <w:numFmt w:val="lowerRoman"/>
      <w:lvlText w:val="%9."/>
      <w:lvlJc w:val="right"/>
      <w:pPr>
        <w:ind w:left="-934" w:hanging="180"/>
      </w:pPr>
    </w:lvl>
  </w:abstractNum>
  <w:abstractNum w:abstractNumId="14"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867932"/>
    <w:multiLevelType w:val="hybridMultilevel"/>
    <w:tmpl w:val="A956E4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B3A33"/>
    <w:multiLevelType w:val="hybridMultilevel"/>
    <w:tmpl w:val="17461CA6"/>
    <w:lvl w:ilvl="0" w:tplc="3C04B97A">
      <w:start w:val="1"/>
      <w:numFmt w:val="upperRoman"/>
      <w:lvlText w:val="%1."/>
      <w:lvlJc w:val="left"/>
      <w:pPr>
        <w:ind w:left="1080" w:hanging="720"/>
      </w:pPr>
      <w:rPr>
        <w:rFonts w:hint="default"/>
      </w:rPr>
    </w:lvl>
    <w:lvl w:ilvl="1" w:tplc="79C046B8">
      <w:start w:val="1"/>
      <w:numFmt w:val="decimal"/>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1C3BD2"/>
    <w:multiLevelType w:val="hybridMultilevel"/>
    <w:tmpl w:val="49DA8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CE5182"/>
    <w:multiLevelType w:val="hybridMultilevel"/>
    <w:tmpl w:val="6C020E9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75DC8"/>
    <w:multiLevelType w:val="hybridMultilevel"/>
    <w:tmpl w:val="15A82126"/>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22" w15:restartNumberingAfterBreak="0">
    <w:nsid w:val="73C93E3B"/>
    <w:multiLevelType w:val="hybridMultilevel"/>
    <w:tmpl w:val="39AE33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8053C6B"/>
    <w:multiLevelType w:val="hybridMultilevel"/>
    <w:tmpl w:val="2026C364"/>
    <w:lvl w:ilvl="0" w:tplc="76AC1A70">
      <w:start w:val="49"/>
      <w:numFmt w:val="bullet"/>
      <w:lvlText w:val=""/>
      <w:lvlJc w:val="left"/>
      <w:pPr>
        <w:ind w:left="360" w:hanging="360"/>
      </w:pPr>
      <w:rPr>
        <w:rFonts w:ascii="Symbol" w:eastAsia="Times New Roman" w:hAnsi="Symbol" w:cs="Times New Roman"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306234">
    <w:abstractNumId w:val="1"/>
  </w:num>
  <w:num w:numId="2" w16cid:durableId="211691600">
    <w:abstractNumId w:val="9"/>
  </w:num>
  <w:num w:numId="3" w16cid:durableId="400639518">
    <w:abstractNumId w:val="19"/>
  </w:num>
  <w:num w:numId="4" w16cid:durableId="355160844">
    <w:abstractNumId w:val="24"/>
  </w:num>
  <w:num w:numId="5" w16cid:durableId="790517162">
    <w:abstractNumId w:val="7"/>
  </w:num>
  <w:num w:numId="6" w16cid:durableId="2064088481">
    <w:abstractNumId w:val="21"/>
  </w:num>
  <w:num w:numId="7" w16cid:durableId="369111976">
    <w:abstractNumId w:val="23"/>
  </w:num>
  <w:num w:numId="8" w16cid:durableId="1108816495">
    <w:abstractNumId w:val="10"/>
  </w:num>
  <w:num w:numId="9" w16cid:durableId="243808393">
    <w:abstractNumId w:val="5"/>
  </w:num>
  <w:num w:numId="10" w16cid:durableId="785849385">
    <w:abstractNumId w:val="8"/>
  </w:num>
  <w:num w:numId="11" w16cid:durableId="1238982006">
    <w:abstractNumId w:val="6"/>
  </w:num>
  <w:num w:numId="12" w16cid:durableId="589773538">
    <w:abstractNumId w:val="11"/>
  </w:num>
  <w:num w:numId="13" w16cid:durableId="1194155187">
    <w:abstractNumId w:val="16"/>
  </w:num>
  <w:num w:numId="14" w16cid:durableId="1743944047">
    <w:abstractNumId w:val="20"/>
  </w:num>
  <w:num w:numId="15" w16cid:durableId="1670592684">
    <w:abstractNumId w:val="14"/>
  </w:num>
  <w:num w:numId="16" w16cid:durableId="2057116886">
    <w:abstractNumId w:val="13"/>
  </w:num>
  <w:num w:numId="17" w16cid:durableId="536435765">
    <w:abstractNumId w:val="15"/>
  </w:num>
  <w:num w:numId="18" w16cid:durableId="447554295">
    <w:abstractNumId w:val="4"/>
  </w:num>
  <w:num w:numId="19" w16cid:durableId="169755918">
    <w:abstractNumId w:val="2"/>
  </w:num>
  <w:num w:numId="20" w16cid:durableId="1365207994">
    <w:abstractNumId w:val="3"/>
  </w:num>
  <w:num w:numId="21" w16cid:durableId="1945913436">
    <w:abstractNumId w:val="0"/>
  </w:num>
  <w:num w:numId="22" w16cid:durableId="1352610097">
    <w:abstractNumId w:val="4"/>
  </w:num>
  <w:num w:numId="23" w16cid:durableId="2038265440">
    <w:abstractNumId w:val="4"/>
  </w:num>
  <w:num w:numId="24" w16cid:durableId="1779836300">
    <w:abstractNumId w:val="4"/>
  </w:num>
  <w:num w:numId="25" w16cid:durableId="690843341">
    <w:abstractNumId w:val="4"/>
  </w:num>
  <w:num w:numId="26" w16cid:durableId="1117993022">
    <w:abstractNumId w:val="4"/>
  </w:num>
  <w:num w:numId="27" w16cid:durableId="979113127">
    <w:abstractNumId w:val="17"/>
  </w:num>
  <w:num w:numId="28" w16cid:durableId="2138141593">
    <w:abstractNumId w:val="4"/>
  </w:num>
  <w:num w:numId="29" w16cid:durableId="1035160744">
    <w:abstractNumId w:val="18"/>
  </w:num>
  <w:num w:numId="30" w16cid:durableId="24869041">
    <w:abstractNumId w:val="4"/>
  </w:num>
  <w:num w:numId="31" w16cid:durableId="2144421660">
    <w:abstractNumId w:val="22"/>
  </w:num>
  <w:num w:numId="32" w16cid:durableId="9348285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6"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1E"/>
    <w:rsid w:val="000018E4"/>
    <w:rsid w:val="000019F1"/>
    <w:rsid w:val="00001E53"/>
    <w:rsid w:val="000025D1"/>
    <w:rsid w:val="00003088"/>
    <w:rsid w:val="000034AD"/>
    <w:rsid w:val="000047A4"/>
    <w:rsid w:val="0000516F"/>
    <w:rsid w:val="00006119"/>
    <w:rsid w:val="00006B33"/>
    <w:rsid w:val="00010478"/>
    <w:rsid w:val="000106C8"/>
    <w:rsid w:val="00010EED"/>
    <w:rsid w:val="0001118F"/>
    <w:rsid w:val="000122B2"/>
    <w:rsid w:val="000123B1"/>
    <w:rsid w:val="00012F1E"/>
    <w:rsid w:val="0001341E"/>
    <w:rsid w:val="0001356D"/>
    <w:rsid w:val="00013BB7"/>
    <w:rsid w:val="00014310"/>
    <w:rsid w:val="00014C91"/>
    <w:rsid w:val="000156AC"/>
    <w:rsid w:val="00016506"/>
    <w:rsid w:val="00016CBC"/>
    <w:rsid w:val="000170A9"/>
    <w:rsid w:val="0001748B"/>
    <w:rsid w:val="00020877"/>
    <w:rsid w:val="0002141F"/>
    <w:rsid w:val="0002173E"/>
    <w:rsid w:val="0002184D"/>
    <w:rsid w:val="00022249"/>
    <w:rsid w:val="000222E6"/>
    <w:rsid w:val="000230FD"/>
    <w:rsid w:val="00023923"/>
    <w:rsid w:val="00023A88"/>
    <w:rsid w:val="00024034"/>
    <w:rsid w:val="000248C7"/>
    <w:rsid w:val="00024972"/>
    <w:rsid w:val="000255B4"/>
    <w:rsid w:val="000258C6"/>
    <w:rsid w:val="000262CB"/>
    <w:rsid w:val="000266FA"/>
    <w:rsid w:val="00026DC7"/>
    <w:rsid w:val="00030293"/>
    <w:rsid w:val="000304AC"/>
    <w:rsid w:val="000305D3"/>
    <w:rsid w:val="0003108D"/>
    <w:rsid w:val="0003110F"/>
    <w:rsid w:val="000316C0"/>
    <w:rsid w:val="0003210C"/>
    <w:rsid w:val="0003288D"/>
    <w:rsid w:val="00032C67"/>
    <w:rsid w:val="000330E2"/>
    <w:rsid w:val="0003422E"/>
    <w:rsid w:val="00034636"/>
    <w:rsid w:val="00034E1A"/>
    <w:rsid w:val="00035575"/>
    <w:rsid w:val="00035E86"/>
    <w:rsid w:val="0003629B"/>
    <w:rsid w:val="0003645F"/>
    <w:rsid w:val="000371C8"/>
    <w:rsid w:val="000375E3"/>
    <w:rsid w:val="00040A3B"/>
    <w:rsid w:val="00040AF9"/>
    <w:rsid w:val="00040CF3"/>
    <w:rsid w:val="0004194C"/>
    <w:rsid w:val="00041FC2"/>
    <w:rsid w:val="00042126"/>
    <w:rsid w:val="000426B7"/>
    <w:rsid w:val="00042A13"/>
    <w:rsid w:val="0004335F"/>
    <w:rsid w:val="00044415"/>
    <w:rsid w:val="0004546E"/>
    <w:rsid w:val="000461B9"/>
    <w:rsid w:val="00047D01"/>
    <w:rsid w:val="00047F5F"/>
    <w:rsid w:val="000507AF"/>
    <w:rsid w:val="0005085F"/>
    <w:rsid w:val="00050C2E"/>
    <w:rsid w:val="000520BD"/>
    <w:rsid w:val="00053A60"/>
    <w:rsid w:val="000554C1"/>
    <w:rsid w:val="000566D3"/>
    <w:rsid w:val="00056803"/>
    <w:rsid w:val="000568A0"/>
    <w:rsid w:val="0006106F"/>
    <w:rsid w:val="000611EF"/>
    <w:rsid w:val="000631DF"/>
    <w:rsid w:val="00063463"/>
    <w:rsid w:val="00064A50"/>
    <w:rsid w:val="000651F4"/>
    <w:rsid w:val="000655C8"/>
    <w:rsid w:val="00065A3E"/>
    <w:rsid w:val="00066674"/>
    <w:rsid w:val="00067737"/>
    <w:rsid w:val="00067ADE"/>
    <w:rsid w:val="00067B77"/>
    <w:rsid w:val="00070DC8"/>
    <w:rsid w:val="0007131A"/>
    <w:rsid w:val="0007161F"/>
    <w:rsid w:val="00071A16"/>
    <w:rsid w:val="000725CF"/>
    <w:rsid w:val="000726DC"/>
    <w:rsid w:val="00072D21"/>
    <w:rsid w:val="00074A75"/>
    <w:rsid w:val="0007746C"/>
    <w:rsid w:val="00077F50"/>
    <w:rsid w:val="00080C28"/>
    <w:rsid w:val="00081910"/>
    <w:rsid w:val="000820D9"/>
    <w:rsid w:val="0008377A"/>
    <w:rsid w:val="00086C3F"/>
    <w:rsid w:val="00087C79"/>
    <w:rsid w:val="00091F34"/>
    <w:rsid w:val="000927E5"/>
    <w:rsid w:val="000946EB"/>
    <w:rsid w:val="00094811"/>
    <w:rsid w:val="00095F03"/>
    <w:rsid w:val="000A0299"/>
    <w:rsid w:val="000A064A"/>
    <w:rsid w:val="000A07AB"/>
    <w:rsid w:val="000A12A7"/>
    <w:rsid w:val="000A241C"/>
    <w:rsid w:val="000A275D"/>
    <w:rsid w:val="000A34CB"/>
    <w:rsid w:val="000A379E"/>
    <w:rsid w:val="000A3BB4"/>
    <w:rsid w:val="000A3D86"/>
    <w:rsid w:val="000A3EA8"/>
    <w:rsid w:val="000A4D1C"/>
    <w:rsid w:val="000A51CC"/>
    <w:rsid w:val="000A6060"/>
    <w:rsid w:val="000A60A3"/>
    <w:rsid w:val="000A6579"/>
    <w:rsid w:val="000A7238"/>
    <w:rsid w:val="000B49C7"/>
    <w:rsid w:val="000B603C"/>
    <w:rsid w:val="000B6A17"/>
    <w:rsid w:val="000B6E4A"/>
    <w:rsid w:val="000B775F"/>
    <w:rsid w:val="000B7AC9"/>
    <w:rsid w:val="000C0212"/>
    <w:rsid w:val="000C2A45"/>
    <w:rsid w:val="000C3387"/>
    <w:rsid w:val="000C34BD"/>
    <w:rsid w:val="000C702F"/>
    <w:rsid w:val="000D02A4"/>
    <w:rsid w:val="000D1998"/>
    <w:rsid w:val="000D2A97"/>
    <w:rsid w:val="000D405B"/>
    <w:rsid w:val="000D4A03"/>
    <w:rsid w:val="000D628E"/>
    <w:rsid w:val="000D70B5"/>
    <w:rsid w:val="000D798B"/>
    <w:rsid w:val="000D7EE4"/>
    <w:rsid w:val="000E0D24"/>
    <w:rsid w:val="000E4532"/>
    <w:rsid w:val="000E4925"/>
    <w:rsid w:val="000E4D33"/>
    <w:rsid w:val="000E5F39"/>
    <w:rsid w:val="000E7502"/>
    <w:rsid w:val="000F07EC"/>
    <w:rsid w:val="000F09F8"/>
    <w:rsid w:val="000F1A45"/>
    <w:rsid w:val="000F1AB0"/>
    <w:rsid w:val="000F27A2"/>
    <w:rsid w:val="000F2C51"/>
    <w:rsid w:val="000F42F6"/>
    <w:rsid w:val="000F485F"/>
    <w:rsid w:val="000F68AF"/>
    <w:rsid w:val="000F6E83"/>
    <w:rsid w:val="001003F1"/>
    <w:rsid w:val="00101081"/>
    <w:rsid w:val="00102BD8"/>
    <w:rsid w:val="00102FF1"/>
    <w:rsid w:val="0010588D"/>
    <w:rsid w:val="0010643C"/>
    <w:rsid w:val="00106A6A"/>
    <w:rsid w:val="001077A9"/>
    <w:rsid w:val="001101C9"/>
    <w:rsid w:val="0011080B"/>
    <w:rsid w:val="00110A00"/>
    <w:rsid w:val="00110EBF"/>
    <w:rsid w:val="00111B94"/>
    <w:rsid w:val="00112593"/>
    <w:rsid w:val="001128FD"/>
    <w:rsid w:val="0011388A"/>
    <w:rsid w:val="00114FF0"/>
    <w:rsid w:val="00116A6D"/>
    <w:rsid w:val="00116EC2"/>
    <w:rsid w:val="0011718D"/>
    <w:rsid w:val="00121B62"/>
    <w:rsid w:val="00121B6A"/>
    <w:rsid w:val="00122C02"/>
    <w:rsid w:val="001239A6"/>
    <w:rsid w:val="00123C18"/>
    <w:rsid w:val="00123C1D"/>
    <w:rsid w:val="00123C5A"/>
    <w:rsid w:val="0012468E"/>
    <w:rsid w:val="001246FA"/>
    <w:rsid w:val="00124BE2"/>
    <w:rsid w:val="00124E10"/>
    <w:rsid w:val="001253FC"/>
    <w:rsid w:val="0012677D"/>
    <w:rsid w:val="0012679A"/>
    <w:rsid w:val="00126871"/>
    <w:rsid w:val="001269AD"/>
    <w:rsid w:val="00126A09"/>
    <w:rsid w:val="00126CEF"/>
    <w:rsid w:val="0012750A"/>
    <w:rsid w:val="00127C79"/>
    <w:rsid w:val="001300DD"/>
    <w:rsid w:val="001308E6"/>
    <w:rsid w:val="00130B84"/>
    <w:rsid w:val="00130CDA"/>
    <w:rsid w:val="001313AC"/>
    <w:rsid w:val="00132A57"/>
    <w:rsid w:val="00132E61"/>
    <w:rsid w:val="00132F57"/>
    <w:rsid w:val="001334BB"/>
    <w:rsid w:val="0013359A"/>
    <w:rsid w:val="0013360D"/>
    <w:rsid w:val="0013482C"/>
    <w:rsid w:val="00134B73"/>
    <w:rsid w:val="00135274"/>
    <w:rsid w:val="001357B2"/>
    <w:rsid w:val="00135F90"/>
    <w:rsid w:val="00136415"/>
    <w:rsid w:val="00136C3B"/>
    <w:rsid w:val="00137CFE"/>
    <w:rsid w:val="001414F2"/>
    <w:rsid w:val="00142118"/>
    <w:rsid w:val="00142A77"/>
    <w:rsid w:val="001436A9"/>
    <w:rsid w:val="0014452D"/>
    <w:rsid w:val="00145D79"/>
    <w:rsid w:val="00146847"/>
    <w:rsid w:val="00146BE4"/>
    <w:rsid w:val="00150488"/>
    <w:rsid w:val="00150872"/>
    <w:rsid w:val="00152305"/>
    <w:rsid w:val="0015286E"/>
    <w:rsid w:val="0015373D"/>
    <w:rsid w:val="00153E20"/>
    <w:rsid w:val="00153F31"/>
    <w:rsid w:val="00155DF2"/>
    <w:rsid w:val="00156F6B"/>
    <w:rsid w:val="001570F0"/>
    <w:rsid w:val="00161647"/>
    <w:rsid w:val="001616D5"/>
    <w:rsid w:val="00162088"/>
    <w:rsid w:val="001625C9"/>
    <w:rsid w:val="00163840"/>
    <w:rsid w:val="001638A0"/>
    <w:rsid w:val="0016461C"/>
    <w:rsid w:val="00166152"/>
    <w:rsid w:val="0016616E"/>
    <w:rsid w:val="00166EB2"/>
    <w:rsid w:val="00167462"/>
    <w:rsid w:val="00167F9C"/>
    <w:rsid w:val="0017355B"/>
    <w:rsid w:val="001742D9"/>
    <w:rsid w:val="0017468B"/>
    <w:rsid w:val="0017478F"/>
    <w:rsid w:val="0017599A"/>
    <w:rsid w:val="0017669E"/>
    <w:rsid w:val="00176EB4"/>
    <w:rsid w:val="001776C9"/>
    <w:rsid w:val="001808FC"/>
    <w:rsid w:val="001816D7"/>
    <w:rsid w:val="001818E6"/>
    <w:rsid w:val="0018219F"/>
    <w:rsid w:val="001828EF"/>
    <w:rsid w:val="00182E61"/>
    <w:rsid w:val="00183C2B"/>
    <w:rsid w:val="00183D1E"/>
    <w:rsid w:val="001867CE"/>
    <w:rsid w:val="00186E25"/>
    <w:rsid w:val="00191AB8"/>
    <w:rsid w:val="00192D1A"/>
    <w:rsid w:val="00193BB4"/>
    <w:rsid w:val="00193E7D"/>
    <w:rsid w:val="0019406E"/>
    <w:rsid w:val="00195982"/>
    <w:rsid w:val="00195DA7"/>
    <w:rsid w:val="0019640D"/>
    <w:rsid w:val="00197947"/>
    <w:rsid w:val="001A0343"/>
    <w:rsid w:val="001A080A"/>
    <w:rsid w:val="001A1BD0"/>
    <w:rsid w:val="001A1DE5"/>
    <w:rsid w:val="001A27F7"/>
    <w:rsid w:val="001A2C8E"/>
    <w:rsid w:val="001A3ABC"/>
    <w:rsid w:val="001A4517"/>
    <w:rsid w:val="001A4DD5"/>
    <w:rsid w:val="001A4E79"/>
    <w:rsid w:val="001A55E9"/>
    <w:rsid w:val="001A5966"/>
    <w:rsid w:val="001A5E65"/>
    <w:rsid w:val="001A60E5"/>
    <w:rsid w:val="001A61CA"/>
    <w:rsid w:val="001A6472"/>
    <w:rsid w:val="001A6508"/>
    <w:rsid w:val="001A713F"/>
    <w:rsid w:val="001A7171"/>
    <w:rsid w:val="001A77E9"/>
    <w:rsid w:val="001A7FCA"/>
    <w:rsid w:val="001B00CB"/>
    <w:rsid w:val="001B01F4"/>
    <w:rsid w:val="001B07BB"/>
    <w:rsid w:val="001B13E2"/>
    <w:rsid w:val="001B2268"/>
    <w:rsid w:val="001B241B"/>
    <w:rsid w:val="001B2A9F"/>
    <w:rsid w:val="001B5435"/>
    <w:rsid w:val="001B55A9"/>
    <w:rsid w:val="001B7A7F"/>
    <w:rsid w:val="001C11D1"/>
    <w:rsid w:val="001C25A3"/>
    <w:rsid w:val="001C3B35"/>
    <w:rsid w:val="001C3BE5"/>
    <w:rsid w:val="001C4B82"/>
    <w:rsid w:val="001C66DD"/>
    <w:rsid w:val="001C77C0"/>
    <w:rsid w:val="001D0313"/>
    <w:rsid w:val="001D14AD"/>
    <w:rsid w:val="001D2256"/>
    <w:rsid w:val="001D39C2"/>
    <w:rsid w:val="001D46A2"/>
    <w:rsid w:val="001D4C69"/>
    <w:rsid w:val="001D5C1D"/>
    <w:rsid w:val="001D5EF4"/>
    <w:rsid w:val="001D5F43"/>
    <w:rsid w:val="001D6C78"/>
    <w:rsid w:val="001E08DC"/>
    <w:rsid w:val="001E150C"/>
    <w:rsid w:val="001E1871"/>
    <w:rsid w:val="001E1AA2"/>
    <w:rsid w:val="001E2B81"/>
    <w:rsid w:val="001E2C6C"/>
    <w:rsid w:val="001E4AEE"/>
    <w:rsid w:val="001E527D"/>
    <w:rsid w:val="001E5282"/>
    <w:rsid w:val="001E5C10"/>
    <w:rsid w:val="001E6B3A"/>
    <w:rsid w:val="001E78B0"/>
    <w:rsid w:val="001F0A29"/>
    <w:rsid w:val="001F3917"/>
    <w:rsid w:val="001F41F7"/>
    <w:rsid w:val="001F5BB5"/>
    <w:rsid w:val="001F609E"/>
    <w:rsid w:val="001F60CC"/>
    <w:rsid w:val="001F666B"/>
    <w:rsid w:val="001F7CAE"/>
    <w:rsid w:val="00200CE1"/>
    <w:rsid w:val="00202106"/>
    <w:rsid w:val="00202A77"/>
    <w:rsid w:val="0020355C"/>
    <w:rsid w:val="00203C48"/>
    <w:rsid w:val="0020520D"/>
    <w:rsid w:val="002063C6"/>
    <w:rsid w:val="00206498"/>
    <w:rsid w:val="00206F31"/>
    <w:rsid w:val="00206FC8"/>
    <w:rsid w:val="00210F96"/>
    <w:rsid w:val="00211B20"/>
    <w:rsid w:val="0021308E"/>
    <w:rsid w:val="0021327C"/>
    <w:rsid w:val="00214059"/>
    <w:rsid w:val="00214101"/>
    <w:rsid w:val="00214248"/>
    <w:rsid w:val="002159C4"/>
    <w:rsid w:val="00215D34"/>
    <w:rsid w:val="002161DA"/>
    <w:rsid w:val="00216371"/>
    <w:rsid w:val="00217176"/>
    <w:rsid w:val="00220FDE"/>
    <w:rsid w:val="00221E68"/>
    <w:rsid w:val="0022324C"/>
    <w:rsid w:val="00224187"/>
    <w:rsid w:val="00224C63"/>
    <w:rsid w:val="00226C69"/>
    <w:rsid w:val="00227845"/>
    <w:rsid w:val="00227AB4"/>
    <w:rsid w:val="002309E9"/>
    <w:rsid w:val="00230CA4"/>
    <w:rsid w:val="0023240A"/>
    <w:rsid w:val="0023278F"/>
    <w:rsid w:val="0023355F"/>
    <w:rsid w:val="00234347"/>
    <w:rsid w:val="002343A0"/>
    <w:rsid w:val="0023481E"/>
    <w:rsid w:val="00234F7A"/>
    <w:rsid w:val="0023520D"/>
    <w:rsid w:val="002356BD"/>
    <w:rsid w:val="00235B8D"/>
    <w:rsid w:val="0023649D"/>
    <w:rsid w:val="002406CF"/>
    <w:rsid w:val="00243820"/>
    <w:rsid w:val="0024401E"/>
    <w:rsid w:val="00244ED9"/>
    <w:rsid w:val="00245CCD"/>
    <w:rsid w:val="0024651F"/>
    <w:rsid w:val="0025030B"/>
    <w:rsid w:val="00250BD0"/>
    <w:rsid w:val="00250BF6"/>
    <w:rsid w:val="0025253A"/>
    <w:rsid w:val="002525B0"/>
    <w:rsid w:val="00252753"/>
    <w:rsid w:val="00252C72"/>
    <w:rsid w:val="00254231"/>
    <w:rsid w:val="00254A59"/>
    <w:rsid w:val="00254BED"/>
    <w:rsid w:val="002576A9"/>
    <w:rsid w:val="002578BA"/>
    <w:rsid w:val="00257D07"/>
    <w:rsid w:val="00260A88"/>
    <w:rsid w:val="00261403"/>
    <w:rsid w:val="00261716"/>
    <w:rsid w:val="00261892"/>
    <w:rsid w:val="002619E7"/>
    <w:rsid w:val="00261B8C"/>
    <w:rsid w:val="00261D37"/>
    <w:rsid w:val="0026282E"/>
    <w:rsid w:val="002628EF"/>
    <w:rsid w:val="00263266"/>
    <w:rsid w:val="00263D56"/>
    <w:rsid w:val="00263F60"/>
    <w:rsid w:val="0026474F"/>
    <w:rsid w:val="00264CD6"/>
    <w:rsid w:val="0026533B"/>
    <w:rsid w:val="00265434"/>
    <w:rsid w:val="002656C8"/>
    <w:rsid w:val="00265E45"/>
    <w:rsid w:val="00270701"/>
    <w:rsid w:val="00270947"/>
    <w:rsid w:val="00271CE5"/>
    <w:rsid w:val="00271FC9"/>
    <w:rsid w:val="00273A68"/>
    <w:rsid w:val="00274474"/>
    <w:rsid w:val="002757F6"/>
    <w:rsid w:val="00275901"/>
    <w:rsid w:val="00275CDE"/>
    <w:rsid w:val="00276430"/>
    <w:rsid w:val="0027658D"/>
    <w:rsid w:val="00276A3A"/>
    <w:rsid w:val="002774B9"/>
    <w:rsid w:val="0027758E"/>
    <w:rsid w:val="002806EE"/>
    <w:rsid w:val="002808B3"/>
    <w:rsid w:val="00280A4F"/>
    <w:rsid w:val="00281525"/>
    <w:rsid w:val="00282020"/>
    <w:rsid w:val="00282C4D"/>
    <w:rsid w:val="00282C5B"/>
    <w:rsid w:val="00282D49"/>
    <w:rsid w:val="00284C35"/>
    <w:rsid w:val="002857E4"/>
    <w:rsid w:val="002860AB"/>
    <w:rsid w:val="0028644F"/>
    <w:rsid w:val="002867A7"/>
    <w:rsid w:val="00286CFD"/>
    <w:rsid w:val="00286F2A"/>
    <w:rsid w:val="00290ADE"/>
    <w:rsid w:val="00290C06"/>
    <w:rsid w:val="00291ADA"/>
    <w:rsid w:val="002930F8"/>
    <w:rsid w:val="00293DB9"/>
    <w:rsid w:val="00293E8F"/>
    <w:rsid w:val="00296C9D"/>
    <w:rsid w:val="002973FE"/>
    <w:rsid w:val="0029742D"/>
    <w:rsid w:val="00297448"/>
    <w:rsid w:val="00297A76"/>
    <w:rsid w:val="002A0A79"/>
    <w:rsid w:val="002A1473"/>
    <w:rsid w:val="002A2B69"/>
    <w:rsid w:val="002A4726"/>
    <w:rsid w:val="002A48DD"/>
    <w:rsid w:val="002A49A9"/>
    <w:rsid w:val="002A5550"/>
    <w:rsid w:val="002A5ABF"/>
    <w:rsid w:val="002A5CBF"/>
    <w:rsid w:val="002A6767"/>
    <w:rsid w:val="002B0A6A"/>
    <w:rsid w:val="002B1451"/>
    <w:rsid w:val="002B193B"/>
    <w:rsid w:val="002B1BFA"/>
    <w:rsid w:val="002B491B"/>
    <w:rsid w:val="002B593A"/>
    <w:rsid w:val="002B5A0A"/>
    <w:rsid w:val="002B5F0D"/>
    <w:rsid w:val="002B674D"/>
    <w:rsid w:val="002C20CB"/>
    <w:rsid w:val="002C247A"/>
    <w:rsid w:val="002C296D"/>
    <w:rsid w:val="002C3340"/>
    <w:rsid w:val="002C3875"/>
    <w:rsid w:val="002C51DA"/>
    <w:rsid w:val="002D02A2"/>
    <w:rsid w:val="002D06D8"/>
    <w:rsid w:val="002D1A9C"/>
    <w:rsid w:val="002D1CCB"/>
    <w:rsid w:val="002D280D"/>
    <w:rsid w:val="002D4FAB"/>
    <w:rsid w:val="002D6646"/>
    <w:rsid w:val="002D7340"/>
    <w:rsid w:val="002E0A5D"/>
    <w:rsid w:val="002E1909"/>
    <w:rsid w:val="002E21AE"/>
    <w:rsid w:val="002E28A2"/>
    <w:rsid w:val="002E5F88"/>
    <w:rsid w:val="002E70FE"/>
    <w:rsid w:val="002F0A05"/>
    <w:rsid w:val="002F2E0C"/>
    <w:rsid w:val="002F3CB9"/>
    <w:rsid w:val="002F4068"/>
    <w:rsid w:val="002F4209"/>
    <w:rsid w:val="002F5892"/>
    <w:rsid w:val="002F76FF"/>
    <w:rsid w:val="003001EC"/>
    <w:rsid w:val="003013E2"/>
    <w:rsid w:val="003019B3"/>
    <w:rsid w:val="00301CD2"/>
    <w:rsid w:val="003023DA"/>
    <w:rsid w:val="00302B01"/>
    <w:rsid w:val="00303EF5"/>
    <w:rsid w:val="00304900"/>
    <w:rsid w:val="003050FA"/>
    <w:rsid w:val="00305E64"/>
    <w:rsid w:val="00306036"/>
    <w:rsid w:val="0030643B"/>
    <w:rsid w:val="003065CC"/>
    <w:rsid w:val="00307F42"/>
    <w:rsid w:val="00310796"/>
    <w:rsid w:val="0031090C"/>
    <w:rsid w:val="00313614"/>
    <w:rsid w:val="00316766"/>
    <w:rsid w:val="003167B1"/>
    <w:rsid w:val="00316EE2"/>
    <w:rsid w:val="00320181"/>
    <w:rsid w:val="00320338"/>
    <w:rsid w:val="0032077C"/>
    <w:rsid w:val="00320FC8"/>
    <w:rsid w:val="00321881"/>
    <w:rsid w:val="00321DE5"/>
    <w:rsid w:val="00322D02"/>
    <w:rsid w:val="00323709"/>
    <w:rsid w:val="00325031"/>
    <w:rsid w:val="00325202"/>
    <w:rsid w:val="003253C8"/>
    <w:rsid w:val="003263D1"/>
    <w:rsid w:val="00326603"/>
    <w:rsid w:val="0032688E"/>
    <w:rsid w:val="00326C3C"/>
    <w:rsid w:val="0032788C"/>
    <w:rsid w:val="00330293"/>
    <w:rsid w:val="00330543"/>
    <w:rsid w:val="00330BED"/>
    <w:rsid w:val="00330F12"/>
    <w:rsid w:val="0033107D"/>
    <w:rsid w:val="003314ED"/>
    <w:rsid w:val="00331898"/>
    <w:rsid w:val="00331B5D"/>
    <w:rsid w:val="0033200B"/>
    <w:rsid w:val="00332B86"/>
    <w:rsid w:val="00334769"/>
    <w:rsid w:val="00334EC7"/>
    <w:rsid w:val="003356D6"/>
    <w:rsid w:val="003357A8"/>
    <w:rsid w:val="0033702D"/>
    <w:rsid w:val="00340707"/>
    <w:rsid w:val="003409C1"/>
    <w:rsid w:val="00340BAC"/>
    <w:rsid w:val="00340D86"/>
    <w:rsid w:val="00341046"/>
    <w:rsid w:val="0034147D"/>
    <w:rsid w:val="00341504"/>
    <w:rsid w:val="00341703"/>
    <w:rsid w:val="00341E37"/>
    <w:rsid w:val="003421AC"/>
    <w:rsid w:val="00343239"/>
    <w:rsid w:val="003446AB"/>
    <w:rsid w:val="003449C4"/>
    <w:rsid w:val="00344A5D"/>
    <w:rsid w:val="00345774"/>
    <w:rsid w:val="00345912"/>
    <w:rsid w:val="00345A34"/>
    <w:rsid w:val="00345E6E"/>
    <w:rsid w:val="0034672C"/>
    <w:rsid w:val="003468C1"/>
    <w:rsid w:val="003477B9"/>
    <w:rsid w:val="00350A4F"/>
    <w:rsid w:val="003517DB"/>
    <w:rsid w:val="00352700"/>
    <w:rsid w:val="00352E57"/>
    <w:rsid w:val="00352FDD"/>
    <w:rsid w:val="003534FF"/>
    <w:rsid w:val="00355117"/>
    <w:rsid w:val="003552A3"/>
    <w:rsid w:val="0035535D"/>
    <w:rsid w:val="003557E1"/>
    <w:rsid w:val="00360569"/>
    <w:rsid w:val="00361A51"/>
    <w:rsid w:val="0036263A"/>
    <w:rsid w:val="00362A0F"/>
    <w:rsid w:val="0036354B"/>
    <w:rsid w:val="003636BF"/>
    <w:rsid w:val="00363E86"/>
    <w:rsid w:val="003643F7"/>
    <w:rsid w:val="00364840"/>
    <w:rsid w:val="0036490C"/>
    <w:rsid w:val="00366BA8"/>
    <w:rsid w:val="00366FDE"/>
    <w:rsid w:val="00367D1B"/>
    <w:rsid w:val="00371327"/>
    <w:rsid w:val="00371442"/>
    <w:rsid w:val="003722A4"/>
    <w:rsid w:val="003732A5"/>
    <w:rsid w:val="00373A7D"/>
    <w:rsid w:val="003758D4"/>
    <w:rsid w:val="003762CF"/>
    <w:rsid w:val="00376B76"/>
    <w:rsid w:val="00376CCF"/>
    <w:rsid w:val="00380BF4"/>
    <w:rsid w:val="003817D0"/>
    <w:rsid w:val="00381DF6"/>
    <w:rsid w:val="00382A90"/>
    <w:rsid w:val="00383105"/>
    <w:rsid w:val="003840F9"/>
    <w:rsid w:val="003845B4"/>
    <w:rsid w:val="0038544A"/>
    <w:rsid w:val="00385B99"/>
    <w:rsid w:val="00385DC4"/>
    <w:rsid w:val="003876D0"/>
    <w:rsid w:val="0038797F"/>
    <w:rsid w:val="00387A90"/>
    <w:rsid w:val="00387B1A"/>
    <w:rsid w:val="00392C21"/>
    <w:rsid w:val="003933E3"/>
    <w:rsid w:val="00393DB6"/>
    <w:rsid w:val="003A048F"/>
    <w:rsid w:val="003A18D4"/>
    <w:rsid w:val="003A32E6"/>
    <w:rsid w:val="003A514B"/>
    <w:rsid w:val="003A52D9"/>
    <w:rsid w:val="003A6E1E"/>
    <w:rsid w:val="003A7299"/>
    <w:rsid w:val="003B0EF7"/>
    <w:rsid w:val="003B0F61"/>
    <w:rsid w:val="003B14F0"/>
    <w:rsid w:val="003B2C0F"/>
    <w:rsid w:val="003B377D"/>
    <w:rsid w:val="003B45BA"/>
    <w:rsid w:val="003B49E0"/>
    <w:rsid w:val="003B49E9"/>
    <w:rsid w:val="003B4C07"/>
    <w:rsid w:val="003B5826"/>
    <w:rsid w:val="003B58FC"/>
    <w:rsid w:val="003B73B2"/>
    <w:rsid w:val="003B77AC"/>
    <w:rsid w:val="003B7E7A"/>
    <w:rsid w:val="003C05D8"/>
    <w:rsid w:val="003C15B4"/>
    <w:rsid w:val="003C1AC7"/>
    <w:rsid w:val="003C4484"/>
    <w:rsid w:val="003C4E4A"/>
    <w:rsid w:val="003C5EE5"/>
    <w:rsid w:val="003C6BD4"/>
    <w:rsid w:val="003C6E08"/>
    <w:rsid w:val="003C7D53"/>
    <w:rsid w:val="003D1374"/>
    <w:rsid w:val="003D1A16"/>
    <w:rsid w:val="003D30E2"/>
    <w:rsid w:val="003D3382"/>
    <w:rsid w:val="003D34F6"/>
    <w:rsid w:val="003D3D64"/>
    <w:rsid w:val="003D3DF2"/>
    <w:rsid w:val="003D5FF4"/>
    <w:rsid w:val="003D683E"/>
    <w:rsid w:val="003D6B74"/>
    <w:rsid w:val="003D6D80"/>
    <w:rsid w:val="003D7F44"/>
    <w:rsid w:val="003E0029"/>
    <w:rsid w:val="003E0206"/>
    <w:rsid w:val="003E02CD"/>
    <w:rsid w:val="003E03D0"/>
    <w:rsid w:val="003E0F3A"/>
    <w:rsid w:val="003E11E4"/>
    <w:rsid w:val="003E1844"/>
    <w:rsid w:val="003E1908"/>
    <w:rsid w:val="003E1C74"/>
    <w:rsid w:val="003E222D"/>
    <w:rsid w:val="003E2471"/>
    <w:rsid w:val="003E35B2"/>
    <w:rsid w:val="003E40A3"/>
    <w:rsid w:val="003E4B73"/>
    <w:rsid w:val="003E4F14"/>
    <w:rsid w:val="003E6641"/>
    <w:rsid w:val="003E67B7"/>
    <w:rsid w:val="003E7722"/>
    <w:rsid w:val="003F00A0"/>
    <w:rsid w:val="003F33B8"/>
    <w:rsid w:val="003F38D9"/>
    <w:rsid w:val="003F471F"/>
    <w:rsid w:val="003F6E1F"/>
    <w:rsid w:val="003F7820"/>
    <w:rsid w:val="004003AF"/>
    <w:rsid w:val="00400E9C"/>
    <w:rsid w:val="00402221"/>
    <w:rsid w:val="0040250B"/>
    <w:rsid w:val="00402828"/>
    <w:rsid w:val="00403751"/>
    <w:rsid w:val="004039F5"/>
    <w:rsid w:val="004042E9"/>
    <w:rsid w:val="00406622"/>
    <w:rsid w:val="004070A8"/>
    <w:rsid w:val="004072FB"/>
    <w:rsid w:val="00407E6A"/>
    <w:rsid w:val="0041010A"/>
    <w:rsid w:val="00410E83"/>
    <w:rsid w:val="00411D40"/>
    <w:rsid w:val="00411EB9"/>
    <w:rsid w:val="0041202B"/>
    <w:rsid w:val="004127E7"/>
    <w:rsid w:val="0041284F"/>
    <w:rsid w:val="00412A11"/>
    <w:rsid w:val="00413637"/>
    <w:rsid w:val="004138E2"/>
    <w:rsid w:val="00413A0C"/>
    <w:rsid w:val="004143B9"/>
    <w:rsid w:val="00414568"/>
    <w:rsid w:val="00416396"/>
    <w:rsid w:val="0041696C"/>
    <w:rsid w:val="00417DAB"/>
    <w:rsid w:val="004204DB"/>
    <w:rsid w:val="00421499"/>
    <w:rsid w:val="00421509"/>
    <w:rsid w:val="0042157B"/>
    <w:rsid w:val="0042272D"/>
    <w:rsid w:val="00423067"/>
    <w:rsid w:val="00425E8B"/>
    <w:rsid w:val="00426E3F"/>
    <w:rsid w:val="00427CA7"/>
    <w:rsid w:val="00427E3C"/>
    <w:rsid w:val="00430A99"/>
    <w:rsid w:val="004310F0"/>
    <w:rsid w:val="004319E8"/>
    <w:rsid w:val="00431BFF"/>
    <w:rsid w:val="004340FC"/>
    <w:rsid w:val="00437176"/>
    <w:rsid w:val="00440B99"/>
    <w:rsid w:val="004410BD"/>
    <w:rsid w:val="00442845"/>
    <w:rsid w:val="004433C3"/>
    <w:rsid w:val="00444554"/>
    <w:rsid w:val="004445E9"/>
    <w:rsid w:val="00444D87"/>
    <w:rsid w:val="004451FC"/>
    <w:rsid w:val="00445605"/>
    <w:rsid w:val="00445B9C"/>
    <w:rsid w:val="00447128"/>
    <w:rsid w:val="004477AB"/>
    <w:rsid w:val="00447A02"/>
    <w:rsid w:val="004504BD"/>
    <w:rsid w:val="004509C8"/>
    <w:rsid w:val="004511B9"/>
    <w:rsid w:val="00452064"/>
    <w:rsid w:val="004532D0"/>
    <w:rsid w:val="00453748"/>
    <w:rsid w:val="00454AA1"/>
    <w:rsid w:val="00455A63"/>
    <w:rsid w:val="004568EA"/>
    <w:rsid w:val="00456947"/>
    <w:rsid w:val="00457222"/>
    <w:rsid w:val="00460082"/>
    <w:rsid w:val="00460715"/>
    <w:rsid w:val="00461417"/>
    <w:rsid w:val="00461940"/>
    <w:rsid w:val="004634DC"/>
    <w:rsid w:val="004650DE"/>
    <w:rsid w:val="004657EE"/>
    <w:rsid w:val="0046694F"/>
    <w:rsid w:val="00467648"/>
    <w:rsid w:val="00470369"/>
    <w:rsid w:val="0047038B"/>
    <w:rsid w:val="00470391"/>
    <w:rsid w:val="00470ED6"/>
    <w:rsid w:val="00471890"/>
    <w:rsid w:val="00471F77"/>
    <w:rsid w:val="00476C7B"/>
    <w:rsid w:val="00480AF4"/>
    <w:rsid w:val="00481145"/>
    <w:rsid w:val="00481151"/>
    <w:rsid w:val="004816B6"/>
    <w:rsid w:val="0048196A"/>
    <w:rsid w:val="00482410"/>
    <w:rsid w:val="00483913"/>
    <w:rsid w:val="00483AE8"/>
    <w:rsid w:val="00483E42"/>
    <w:rsid w:val="00484026"/>
    <w:rsid w:val="004842FB"/>
    <w:rsid w:val="00484C5A"/>
    <w:rsid w:val="004865F5"/>
    <w:rsid w:val="004870E6"/>
    <w:rsid w:val="00490A67"/>
    <w:rsid w:val="00491965"/>
    <w:rsid w:val="00491D1D"/>
    <w:rsid w:val="00491F58"/>
    <w:rsid w:val="00497482"/>
    <w:rsid w:val="004974C8"/>
    <w:rsid w:val="004977E5"/>
    <w:rsid w:val="004A16AC"/>
    <w:rsid w:val="004A3D32"/>
    <w:rsid w:val="004A4518"/>
    <w:rsid w:val="004A454B"/>
    <w:rsid w:val="004A702B"/>
    <w:rsid w:val="004A73FA"/>
    <w:rsid w:val="004B0B86"/>
    <w:rsid w:val="004B19DE"/>
    <w:rsid w:val="004B2B7F"/>
    <w:rsid w:val="004B395D"/>
    <w:rsid w:val="004B3BC0"/>
    <w:rsid w:val="004B3CA6"/>
    <w:rsid w:val="004B3E38"/>
    <w:rsid w:val="004B46A8"/>
    <w:rsid w:val="004B699F"/>
    <w:rsid w:val="004B73B4"/>
    <w:rsid w:val="004C023E"/>
    <w:rsid w:val="004C0825"/>
    <w:rsid w:val="004C09F0"/>
    <w:rsid w:val="004C1206"/>
    <w:rsid w:val="004C29EC"/>
    <w:rsid w:val="004C45A5"/>
    <w:rsid w:val="004C5FE4"/>
    <w:rsid w:val="004C6445"/>
    <w:rsid w:val="004C650B"/>
    <w:rsid w:val="004D07FD"/>
    <w:rsid w:val="004D09F8"/>
    <w:rsid w:val="004D0B4C"/>
    <w:rsid w:val="004D11C6"/>
    <w:rsid w:val="004D1476"/>
    <w:rsid w:val="004D16D6"/>
    <w:rsid w:val="004D1A2D"/>
    <w:rsid w:val="004D24E9"/>
    <w:rsid w:val="004D30F5"/>
    <w:rsid w:val="004D35D6"/>
    <w:rsid w:val="004D3CE2"/>
    <w:rsid w:val="004D49B2"/>
    <w:rsid w:val="004D6213"/>
    <w:rsid w:val="004D6264"/>
    <w:rsid w:val="004D6523"/>
    <w:rsid w:val="004D69D4"/>
    <w:rsid w:val="004D6CA7"/>
    <w:rsid w:val="004D73BB"/>
    <w:rsid w:val="004E0A22"/>
    <w:rsid w:val="004E1CE5"/>
    <w:rsid w:val="004E1F48"/>
    <w:rsid w:val="004E2D75"/>
    <w:rsid w:val="004E42B2"/>
    <w:rsid w:val="004E43B1"/>
    <w:rsid w:val="004E4F48"/>
    <w:rsid w:val="004E53CF"/>
    <w:rsid w:val="004E7281"/>
    <w:rsid w:val="004F18EB"/>
    <w:rsid w:val="004F2B7E"/>
    <w:rsid w:val="004F2F8C"/>
    <w:rsid w:val="004F397A"/>
    <w:rsid w:val="004F40BD"/>
    <w:rsid w:val="004F4CDA"/>
    <w:rsid w:val="004F570C"/>
    <w:rsid w:val="004F621D"/>
    <w:rsid w:val="004F6F31"/>
    <w:rsid w:val="004F71AA"/>
    <w:rsid w:val="00500588"/>
    <w:rsid w:val="00500E5B"/>
    <w:rsid w:val="00501550"/>
    <w:rsid w:val="00501570"/>
    <w:rsid w:val="00502938"/>
    <w:rsid w:val="005041B7"/>
    <w:rsid w:val="00505069"/>
    <w:rsid w:val="005052A9"/>
    <w:rsid w:val="00506C92"/>
    <w:rsid w:val="0051073F"/>
    <w:rsid w:val="00510F5E"/>
    <w:rsid w:val="00512760"/>
    <w:rsid w:val="005128F9"/>
    <w:rsid w:val="00513496"/>
    <w:rsid w:val="00514D67"/>
    <w:rsid w:val="005165A3"/>
    <w:rsid w:val="005173AB"/>
    <w:rsid w:val="00520231"/>
    <w:rsid w:val="00520CEB"/>
    <w:rsid w:val="00521965"/>
    <w:rsid w:val="00521BB8"/>
    <w:rsid w:val="00523EFB"/>
    <w:rsid w:val="005249D5"/>
    <w:rsid w:val="005252B4"/>
    <w:rsid w:val="00525A0B"/>
    <w:rsid w:val="00525FDD"/>
    <w:rsid w:val="00526246"/>
    <w:rsid w:val="00526309"/>
    <w:rsid w:val="005269F3"/>
    <w:rsid w:val="0052776A"/>
    <w:rsid w:val="0052778C"/>
    <w:rsid w:val="0053051D"/>
    <w:rsid w:val="00532220"/>
    <w:rsid w:val="0053256E"/>
    <w:rsid w:val="00533019"/>
    <w:rsid w:val="005332B8"/>
    <w:rsid w:val="0053366C"/>
    <w:rsid w:val="00535CF3"/>
    <w:rsid w:val="00536510"/>
    <w:rsid w:val="0053711D"/>
    <w:rsid w:val="005373A4"/>
    <w:rsid w:val="00537885"/>
    <w:rsid w:val="00537A3B"/>
    <w:rsid w:val="00537FF1"/>
    <w:rsid w:val="0054006B"/>
    <w:rsid w:val="00540F47"/>
    <w:rsid w:val="0054122B"/>
    <w:rsid w:val="0054125E"/>
    <w:rsid w:val="0054143C"/>
    <w:rsid w:val="0054178C"/>
    <w:rsid w:val="005422B1"/>
    <w:rsid w:val="0054298A"/>
    <w:rsid w:val="0054342D"/>
    <w:rsid w:val="00545AE4"/>
    <w:rsid w:val="00545B46"/>
    <w:rsid w:val="00545C23"/>
    <w:rsid w:val="00547B7D"/>
    <w:rsid w:val="00547F8D"/>
    <w:rsid w:val="0055308D"/>
    <w:rsid w:val="00553A30"/>
    <w:rsid w:val="0055573B"/>
    <w:rsid w:val="005568CD"/>
    <w:rsid w:val="0055715E"/>
    <w:rsid w:val="00557B19"/>
    <w:rsid w:val="00557C6E"/>
    <w:rsid w:val="00557D36"/>
    <w:rsid w:val="00557F33"/>
    <w:rsid w:val="0056054D"/>
    <w:rsid w:val="0056100D"/>
    <w:rsid w:val="005614AA"/>
    <w:rsid w:val="00562370"/>
    <w:rsid w:val="005623FB"/>
    <w:rsid w:val="005629F7"/>
    <w:rsid w:val="00562AB1"/>
    <w:rsid w:val="00563664"/>
    <w:rsid w:val="00563CED"/>
    <w:rsid w:val="00563F00"/>
    <w:rsid w:val="00565D78"/>
    <w:rsid w:val="005660D8"/>
    <w:rsid w:val="0056662C"/>
    <w:rsid w:val="00566ACB"/>
    <w:rsid w:val="00566D0E"/>
    <w:rsid w:val="00567106"/>
    <w:rsid w:val="00567BE0"/>
    <w:rsid w:val="00567C88"/>
    <w:rsid w:val="00570C03"/>
    <w:rsid w:val="00570D1E"/>
    <w:rsid w:val="00573791"/>
    <w:rsid w:val="00574043"/>
    <w:rsid w:val="00575393"/>
    <w:rsid w:val="00575778"/>
    <w:rsid w:val="00575CA5"/>
    <w:rsid w:val="0057619F"/>
    <w:rsid w:val="00576B34"/>
    <w:rsid w:val="00576BFF"/>
    <w:rsid w:val="00576DE8"/>
    <w:rsid w:val="00576F26"/>
    <w:rsid w:val="00577040"/>
    <w:rsid w:val="0057709F"/>
    <w:rsid w:val="00580931"/>
    <w:rsid w:val="00580D6D"/>
    <w:rsid w:val="00581EB0"/>
    <w:rsid w:val="00584C88"/>
    <w:rsid w:val="00585F28"/>
    <w:rsid w:val="00586E37"/>
    <w:rsid w:val="00587B95"/>
    <w:rsid w:val="00587F87"/>
    <w:rsid w:val="00590CFC"/>
    <w:rsid w:val="00592AD7"/>
    <w:rsid w:val="00593595"/>
    <w:rsid w:val="00593774"/>
    <w:rsid w:val="00593F66"/>
    <w:rsid w:val="005949E1"/>
    <w:rsid w:val="0059546E"/>
    <w:rsid w:val="00595550"/>
    <w:rsid w:val="00595908"/>
    <w:rsid w:val="00595B42"/>
    <w:rsid w:val="00596443"/>
    <w:rsid w:val="00596B20"/>
    <w:rsid w:val="0059761B"/>
    <w:rsid w:val="005A0410"/>
    <w:rsid w:val="005A1E6D"/>
    <w:rsid w:val="005A20D4"/>
    <w:rsid w:val="005A2582"/>
    <w:rsid w:val="005A2676"/>
    <w:rsid w:val="005A35EE"/>
    <w:rsid w:val="005A3661"/>
    <w:rsid w:val="005A3AE2"/>
    <w:rsid w:val="005A4099"/>
    <w:rsid w:val="005A5726"/>
    <w:rsid w:val="005A6610"/>
    <w:rsid w:val="005A782A"/>
    <w:rsid w:val="005B0306"/>
    <w:rsid w:val="005B0E0D"/>
    <w:rsid w:val="005B10BE"/>
    <w:rsid w:val="005B12F1"/>
    <w:rsid w:val="005B233F"/>
    <w:rsid w:val="005B24F6"/>
    <w:rsid w:val="005B2A34"/>
    <w:rsid w:val="005B2AED"/>
    <w:rsid w:val="005B2C39"/>
    <w:rsid w:val="005B2F20"/>
    <w:rsid w:val="005B3060"/>
    <w:rsid w:val="005B39FE"/>
    <w:rsid w:val="005B3A1E"/>
    <w:rsid w:val="005B3C9F"/>
    <w:rsid w:val="005B5415"/>
    <w:rsid w:val="005B5EF8"/>
    <w:rsid w:val="005B6683"/>
    <w:rsid w:val="005B78BD"/>
    <w:rsid w:val="005C0C6C"/>
    <w:rsid w:val="005C1CB3"/>
    <w:rsid w:val="005C21AA"/>
    <w:rsid w:val="005C32FC"/>
    <w:rsid w:val="005C3F6F"/>
    <w:rsid w:val="005C40DE"/>
    <w:rsid w:val="005C488B"/>
    <w:rsid w:val="005C58D3"/>
    <w:rsid w:val="005C60C8"/>
    <w:rsid w:val="005C651A"/>
    <w:rsid w:val="005C7BC4"/>
    <w:rsid w:val="005D1302"/>
    <w:rsid w:val="005D160B"/>
    <w:rsid w:val="005D1660"/>
    <w:rsid w:val="005D2088"/>
    <w:rsid w:val="005D20A2"/>
    <w:rsid w:val="005D2793"/>
    <w:rsid w:val="005D60D7"/>
    <w:rsid w:val="005D64A4"/>
    <w:rsid w:val="005D7A59"/>
    <w:rsid w:val="005D7B0F"/>
    <w:rsid w:val="005D7E22"/>
    <w:rsid w:val="005D7FB3"/>
    <w:rsid w:val="005E05D7"/>
    <w:rsid w:val="005E1D31"/>
    <w:rsid w:val="005E1D3C"/>
    <w:rsid w:val="005E3005"/>
    <w:rsid w:val="005E335B"/>
    <w:rsid w:val="005E34BC"/>
    <w:rsid w:val="005E3D29"/>
    <w:rsid w:val="005E4F11"/>
    <w:rsid w:val="005E61F7"/>
    <w:rsid w:val="005E7439"/>
    <w:rsid w:val="005F04B2"/>
    <w:rsid w:val="005F1B6B"/>
    <w:rsid w:val="005F214D"/>
    <w:rsid w:val="005F44F3"/>
    <w:rsid w:val="005F4BFC"/>
    <w:rsid w:val="005F73D9"/>
    <w:rsid w:val="005F7692"/>
    <w:rsid w:val="006005FA"/>
    <w:rsid w:val="00601356"/>
    <w:rsid w:val="00601701"/>
    <w:rsid w:val="0060267F"/>
    <w:rsid w:val="00603046"/>
    <w:rsid w:val="00603A31"/>
    <w:rsid w:val="00606117"/>
    <w:rsid w:val="006066DF"/>
    <w:rsid w:val="006106D7"/>
    <w:rsid w:val="00610BCD"/>
    <w:rsid w:val="00610F44"/>
    <w:rsid w:val="00611141"/>
    <w:rsid w:val="00611907"/>
    <w:rsid w:val="00611F6F"/>
    <w:rsid w:val="006134F4"/>
    <w:rsid w:val="0061351E"/>
    <w:rsid w:val="00613DCE"/>
    <w:rsid w:val="00614E1D"/>
    <w:rsid w:val="00615012"/>
    <w:rsid w:val="006156AE"/>
    <w:rsid w:val="006161D6"/>
    <w:rsid w:val="00616D0F"/>
    <w:rsid w:val="00617027"/>
    <w:rsid w:val="0061705B"/>
    <w:rsid w:val="00621206"/>
    <w:rsid w:val="006221E0"/>
    <w:rsid w:val="00622D6B"/>
    <w:rsid w:val="00623944"/>
    <w:rsid w:val="00623F64"/>
    <w:rsid w:val="00624844"/>
    <w:rsid w:val="00624B89"/>
    <w:rsid w:val="00625AE6"/>
    <w:rsid w:val="0062610B"/>
    <w:rsid w:val="006265CF"/>
    <w:rsid w:val="00630273"/>
    <w:rsid w:val="00631087"/>
    <w:rsid w:val="00632253"/>
    <w:rsid w:val="00632622"/>
    <w:rsid w:val="006327B8"/>
    <w:rsid w:val="00632E44"/>
    <w:rsid w:val="006334FE"/>
    <w:rsid w:val="006358B1"/>
    <w:rsid w:val="00636178"/>
    <w:rsid w:val="006365D8"/>
    <w:rsid w:val="00636E66"/>
    <w:rsid w:val="00636EF3"/>
    <w:rsid w:val="00636F9E"/>
    <w:rsid w:val="00640C17"/>
    <w:rsid w:val="00640CBC"/>
    <w:rsid w:val="00641273"/>
    <w:rsid w:val="0064143C"/>
    <w:rsid w:val="00641D83"/>
    <w:rsid w:val="00642714"/>
    <w:rsid w:val="006438D8"/>
    <w:rsid w:val="006455CE"/>
    <w:rsid w:val="00645699"/>
    <w:rsid w:val="00645F15"/>
    <w:rsid w:val="0064762E"/>
    <w:rsid w:val="00650CCC"/>
    <w:rsid w:val="00650DEF"/>
    <w:rsid w:val="00650F7D"/>
    <w:rsid w:val="00651798"/>
    <w:rsid w:val="00652A00"/>
    <w:rsid w:val="00652D8F"/>
    <w:rsid w:val="00653A70"/>
    <w:rsid w:val="0065405E"/>
    <w:rsid w:val="0065414C"/>
    <w:rsid w:val="00654C32"/>
    <w:rsid w:val="00654F05"/>
    <w:rsid w:val="00655841"/>
    <w:rsid w:val="006561FB"/>
    <w:rsid w:val="00656CB4"/>
    <w:rsid w:val="00656E7B"/>
    <w:rsid w:val="006575BE"/>
    <w:rsid w:val="00657E2A"/>
    <w:rsid w:val="006604C4"/>
    <w:rsid w:val="00660F55"/>
    <w:rsid w:val="0066146D"/>
    <w:rsid w:val="006616BD"/>
    <w:rsid w:val="0066209E"/>
    <w:rsid w:val="006625C7"/>
    <w:rsid w:val="006635CC"/>
    <w:rsid w:val="006638D5"/>
    <w:rsid w:val="00663DA2"/>
    <w:rsid w:val="00664234"/>
    <w:rsid w:val="0066444F"/>
    <w:rsid w:val="006673FA"/>
    <w:rsid w:val="00670088"/>
    <w:rsid w:val="006700C6"/>
    <w:rsid w:val="0067027F"/>
    <w:rsid w:val="00670B84"/>
    <w:rsid w:val="00670F73"/>
    <w:rsid w:val="00671296"/>
    <w:rsid w:val="0067227B"/>
    <w:rsid w:val="006723E1"/>
    <w:rsid w:val="006730EA"/>
    <w:rsid w:val="006733B6"/>
    <w:rsid w:val="006737A9"/>
    <w:rsid w:val="00673C68"/>
    <w:rsid w:val="0067492E"/>
    <w:rsid w:val="00674FE7"/>
    <w:rsid w:val="006771F9"/>
    <w:rsid w:val="00677944"/>
    <w:rsid w:val="00677F66"/>
    <w:rsid w:val="006807FA"/>
    <w:rsid w:val="00680D7A"/>
    <w:rsid w:val="006817C8"/>
    <w:rsid w:val="00681890"/>
    <w:rsid w:val="00681F58"/>
    <w:rsid w:val="006822F9"/>
    <w:rsid w:val="00682509"/>
    <w:rsid w:val="00682CDC"/>
    <w:rsid w:val="00683F56"/>
    <w:rsid w:val="006846E7"/>
    <w:rsid w:val="00684763"/>
    <w:rsid w:val="00684A25"/>
    <w:rsid w:val="00684CE0"/>
    <w:rsid w:val="0068592F"/>
    <w:rsid w:val="0068615E"/>
    <w:rsid w:val="00686916"/>
    <w:rsid w:val="00687215"/>
    <w:rsid w:val="00690414"/>
    <w:rsid w:val="00690A59"/>
    <w:rsid w:val="00691667"/>
    <w:rsid w:val="00692A18"/>
    <w:rsid w:val="00692C21"/>
    <w:rsid w:val="00692E71"/>
    <w:rsid w:val="00693034"/>
    <w:rsid w:val="00693D90"/>
    <w:rsid w:val="00694351"/>
    <w:rsid w:val="006947A9"/>
    <w:rsid w:val="00694E16"/>
    <w:rsid w:val="0069566C"/>
    <w:rsid w:val="006974ED"/>
    <w:rsid w:val="00697E0A"/>
    <w:rsid w:val="006A0FF4"/>
    <w:rsid w:val="006A17B7"/>
    <w:rsid w:val="006A204B"/>
    <w:rsid w:val="006A2506"/>
    <w:rsid w:val="006A321C"/>
    <w:rsid w:val="006A3FA1"/>
    <w:rsid w:val="006A4231"/>
    <w:rsid w:val="006A5042"/>
    <w:rsid w:val="006A7671"/>
    <w:rsid w:val="006B09DA"/>
    <w:rsid w:val="006B157A"/>
    <w:rsid w:val="006B180B"/>
    <w:rsid w:val="006B372A"/>
    <w:rsid w:val="006B4014"/>
    <w:rsid w:val="006B4253"/>
    <w:rsid w:val="006B45BB"/>
    <w:rsid w:val="006B4A08"/>
    <w:rsid w:val="006B4B89"/>
    <w:rsid w:val="006B5805"/>
    <w:rsid w:val="006B5A4B"/>
    <w:rsid w:val="006B61A8"/>
    <w:rsid w:val="006B77F8"/>
    <w:rsid w:val="006B7E82"/>
    <w:rsid w:val="006C06F3"/>
    <w:rsid w:val="006C17AE"/>
    <w:rsid w:val="006C2918"/>
    <w:rsid w:val="006C30FC"/>
    <w:rsid w:val="006C45A5"/>
    <w:rsid w:val="006C4DE0"/>
    <w:rsid w:val="006C513C"/>
    <w:rsid w:val="006C5653"/>
    <w:rsid w:val="006C67A2"/>
    <w:rsid w:val="006C7E7C"/>
    <w:rsid w:val="006D109E"/>
    <w:rsid w:val="006D1640"/>
    <w:rsid w:val="006D1833"/>
    <w:rsid w:val="006D19BC"/>
    <w:rsid w:val="006D2679"/>
    <w:rsid w:val="006D2E27"/>
    <w:rsid w:val="006D466A"/>
    <w:rsid w:val="006D480D"/>
    <w:rsid w:val="006D49F7"/>
    <w:rsid w:val="006D4B56"/>
    <w:rsid w:val="006D57C9"/>
    <w:rsid w:val="006D5DCE"/>
    <w:rsid w:val="006D6FD8"/>
    <w:rsid w:val="006D7571"/>
    <w:rsid w:val="006E03F5"/>
    <w:rsid w:val="006E26A3"/>
    <w:rsid w:val="006E3D2D"/>
    <w:rsid w:val="006E5198"/>
    <w:rsid w:val="006E6420"/>
    <w:rsid w:val="006E7CA9"/>
    <w:rsid w:val="006F0434"/>
    <w:rsid w:val="006F1C19"/>
    <w:rsid w:val="006F2F7B"/>
    <w:rsid w:val="006F5455"/>
    <w:rsid w:val="006F6066"/>
    <w:rsid w:val="006F7AA8"/>
    <w:rsid w:val="006F7F73"/>
    <w:rsid w:val="007018D2"/>
    <w:rsid w:val="00701FA8"/>
    <w:rsid w:val="007023EE"/>
    <w:rsid w:val="00702B05"/>
    <w:rsid w:val="00702BF8"/>
    <w:rsid w:val="00702EF5"/>
    <w:rsid w:val="00702F23"/>
    <w:rsid w:val="00703C85"/>
    <w:rsid w:val="0070568A"/>
    <w:rsid w:val="00705F83"/>
    <w:rsid w:val="007065DD"/>
    <w:rsid w:val="00706ABD"/>
    <w:rsid w:val="00706DBF"/>
    <w:rsid w:val="007074DB"/>
    <w:rsid w:val="00707C39"/>
    <w:rsid w:val="0071182F"/>
    <w:rsid w:val="0071206C"/>
    <w:rsid w:val="00712294"/>
    <w:rsid w:val="00712AF4"/>
    <w:rsid w:val="0071396D"/>
    <w:rsid w:val="00716669"/>
    <w:rsid w:val="00717094"/>
    <w:rsid w:val="007172CA"/>
    <w:rsid w:val="007175FE"/>
    <w:rsid w:val="007211FC"/>
    <w:rsid w:val="00721307"/>
    <w:rsid w:val="00723D68"/>
    <w:rsid w:val="00723DD0"/>
    <w:rsid w:val="00724BDA"/>
    <w:rsid w:val="00724EA7"/>
    <w:rsid w:val="007255AC"/>
    <w:rsid w:val="00725A61"/>
    <w:rsid w:val="00725B5B"/>
    <w:rsid w:val="0072683E"/>
    <w:rsid w:val="00726C35"/>
    <w:rsid w:val="00726F02"/>
    <w:rsid w:val="00726F97"/>
    <w:rsid w:val="00727D44"/>
    <w:rsid w:val="00730169"/>
    <w:rsid w:val="00730BAC"/>
    <w:rsid w:val="00731826"/>
    <w:rsid w:val="00732A3E"/>
    <w:rsid w:val="00732AFA"/>
    <w:rsid w:val="00732B0A"/>
    <w:rsid w:val="00733017"/>
    <w:rsid w:val="00734F0F"/>
    <w:rsid w:val="007353AF"/>
    <w:rsid w:val="00736C2C"/>
    <w:rsid w:val="00737821"/>
    <w:rsid w:val="00737AD0"/>
    <w:rsid w:val="00737D4F"/>
    <w:rsid w:val="00740FD8"/>
    <w:rsid w:val="00742018"/>
    <w:rsid w:val="00742C4B"/>
    <w:rsid w:val="00743161"/>
    <w:rsid w:val="00743C49"/>
    <w:rsid w:val="00746941"/>
    <w:rsid w:val="0074706F"/>
    <w:rsid w:val="00747C1D"/>
    <w:rsid w:val="0075097D"/>
    <w:rsid w:val="00751680"/>
    <w:rsid w:val="0075202D"/>
    <w:rsid w:val="00752439"/>
    <w:rsid w:val="007533BD"/>
    <w:rsid w:val="007534DB"/>
    <w:rsid w:val="00753813"/>
    <w:rsid w:val="0075386F"/>
    <w:rsid w:val="00754015"/>
    <w:rsid w:val="007550D0"/>
    <w:rsid w:val="00756343"/>
    <w:rsid w:val="007570E3"/>
    <w:rsid w:val="0076094A"/>
    <w:rsid w:val="00760C7D"/>
    <w:rsid w:val="00762E17"/>
    <w:rsid w:val="00762F52"/>
    <w:rsid w:val="00763203"/>
    <w:rsid w:val="007633BA"/>
    <w:rsid w:val="00763CBB"/>
    <w:rsid w:val="00764784"/>
    <w:rsid w:val="00764D2D"/>
    <w:rsid w:val="00765153"/>
    <w:rsid w:val="00765997"/>
    <w:rsid w:val="00766CC9"/>
    <w:rsid w:val="007720D0"/>
    <w:rsid w:val="0077232C"/>
    <w:rsid w:val="00773098"/>
    <w:rsid w:val="0077409E"/>
    <w:rsid w:val="0077600D"/>
    <w:rsid w:val="007763C7"/>
    <w:rsid w:val="0077723F"/>
    <w:rsid w:val="00777D4C"/>
    <w:rsid w:val="00780269"/>
    <w:rsid w:val="00781838"/>
    <w:rsid w:val="00783310"/>
    <w:rsid w:val="00783A08"/>
    <w:rsid w:val="00783CB6"/>
    <w:rsid w:val="00783FED"/>
    <w:rsid w:val="00785AF0"/>
    <w:rsid w:val="0078688A"/>
    <w:rsid w:val="007869B5"/>
    <w:rsid w:val="007878F5"/>
    <w:rsid w:val="007907B1"/>
    <w:rsid w:val="0079251A"/>
    <w:rsid w:val="00792CFB"/>
    <w:rsid w:val="007939DB"/>
    <w:rsid w:val="00794674"/>
    <w:rsid w:val="007947F5"/>
    <w:rsid w:val="00795CB7"/>
    <w:rsid w:val="0079626F"/>
    <w:rsid w:val="0079628A"/>
    <w:rsid w:val="007963C3"/>
    <w:rsid w:val="00796678"/>
    <w:rsid w:val="00797746"/>
    <w:rsid w:val="007A0223"/>
    <w:rsid w:val="007A02C8"/>
    <w:rsid w:val="007A27FB"/>
    <w:rsid w:val="007A2D6D"/>
    <w:rsid w:val="007A35FC"/>
    <w:rsid w:val="007A36B4"/>
    <w:rsid w:val="007A4A6D"/>
    <w:rsid w:val="007A5AAC"/>
    <w:rsid w:val="007A5DE3"/>
    <w:rsid w:val="007B0468"/>
    <w:rsid w:val="007B0C9A"/>
    <w:rsid w:val="007B0E1D"/>
    <w:rsid w:val="007B2C2F"/>
    <w:rsid w:val="007B3019"/>
    <w:rsid w:val="007B3D9A"/>
    <w:rsid w:val="007B4444"/>
    <w:rsid w:val="007B4C48"/>
    <w:rsid w:val="007B5A98"/>
    <w:rsid w:val="007B5CAB"/>
    <w:rsid w:val="007B6457"/>
    <w:rsid w:val="007B69DD"/>
    <w:rsid w:val="007B795E"/>
    <w:rsid w:val="007B7976"/>
    <w:rsid w:val="007B7E69"/>
    <w:rsid w:val="007C03B2"/>
    <w:rsid w:val="007C0792"/>
    <w:rsid w:val="007C0AB6"/>
    <w:rsid w:val="007C0B57"/>
    <w:rsid w:val="007C1FEA"/>
    <w:rsid w:val="007C34EC"/>
    <w:rsid w:val="007C3DA0"/>
    <w:rsid w:val="007C4284"/>
    <w:rsid w:val="007C50DC"/>
    <w:rsid w:val="007C53E9"/>
    <w:rsid w:val="007C5681"/>
    <w:rsid w:val="007C5912"/>
    <w:rsid w:val="007C7016"/>
    <w:rsid w:val="007C7991"/>
    <w:rsid w:val="007D0A0D"/>
    <w:rsid w:val="007D0C8B"/>
    <w:rsid w:val="007D15CC"/>
    <w:rsid w:val="007D1BCF"/>
    <w:rsid w:val="007D3086"/>
    <w:rsid w:val="007D33A2"/>
    <w:rsid w:val="007D4860"/>
    <w:rsid w:val="007D4C97"/>
    <w:rsid w:val="007D5077"/>
    <w:rsid w:val="007D52D0"/>
    <w:rsid w:val="007D53F0"/>
    <w:rsid w:val="007D5B63"/>
    <w:rsid w:val="007D6560"/>
    <w:rsid w:val="007D75CF"/>
    <w:rsid w:val="007E0440"/>
    <w:rsid w:val="007E1BA1"/>
    <w:rsid w:val="007E3862"/>
    <w:rsid w:val="007E5B59"/>
    <w:rsid w:val="007E6B8D"/>
    <w:rsid w:val="007E6DC5"/>
    <w:rsid w:val="007F0127"/>
    <w:rsid w:val="007F16CC"/>
    <w:rsid w:val="007F1FC7"/>
    <w:rsid w:val="007F2C7C"/>
    <w:rsid w:val="007F37F9"/>
    <w:rsid w:val="007F3837"/>
    <w:rsid w:val="007F6586"/>
    <w:rsid w:val="007F70C6"/>
    <w:rsid w:val="007F7FBB"/>
    <w:rsid w:val="00801FB2"/>
    <w:rsid w:val="0080281F"/>
    <w:rsid w:val="008029EB"/>
    <w:rsid w:val="00802B0A"/>
    <w:rsid w:val="00803D49"/>
    <w:rsid w:val="0080416F"/>
    <w:rsid w:val="008044EE"/>
    <w:rsid w:val="00806F67"/>
    <w:rsid w:val="00807911"/>
    <w:rsid w:val="00810B78"/>
    <w:rsid w:val="00810F09"/>
    <w:rsid w:val="008121AF"/>
    <w:rsid w:val="0081334F"/>
    <w:rsid w:val="008139C3"/>
    <w:rsid w:val="00814AD5"/>
    <w:rsid w:val="00815A22"/>
    <w:rsid w:val="008167A8"/>
    <w:rsid w:val="00816A9C"/>
    <w:rsid w:val="00816F15"/>
    <w:rsid w:val="00817CB1"/>
    <w:rsid w:val="00820A39"/>
    <w:rsid w:val="00820B5E"/>
    <w:rsid w:val="00820CDF"/>
    <w:rsid w:val="00821F99"/>
    <w:rsid w:val="00824242"/>
    <w:rsid w:val="00824D53"/>
    <w:rsid w:val="00825024"/>
    <w:rsid w:val="008264DD"/>
    <w:rsid w:val="00826918"/>
    <w:rsid w:val="00826C9A"/>
    <w:rsid w:val="008306BF"/>
    <w:rsid w:val="00830A2F"/>
    <w:rsid w:val="008320B8"/>
    <w:rsid w:val="00833F4F"/>
    <w:rsid w:val="0083422B"/>
    <w:rsid w:val="0083437C"/>
    <w:rsid w:val="00835A1A"/>
    <w:rsid w:val="00836F80"/>
    <w:rsid w:val="0083719D"/>
    <w:rsid w:val="0084108B"/>
    <w:rsid w:val="008424E0"/>
    <w:rsid w:val="00842B56"/>
    <w:rsid w:val="0084388A"/>
    <w:rsid w:val="00844401"/>
    <w:rsid w:val="008449AE"/>
    <w:rsid w:val="008456AE"/>
    <w:rsid w:val="00845F77"/>
    <w:rsid w:val="00846433"/>
    <w:rsid w:val="00846687"/>
    <w:rsid w:val="008471B3"/>
    <w:rsid w:val="008506E3"/>
    <w:rsid w:val="00850ECD"/>
    <w:rsid w:val="00851B7D"/>
    <w:rsid w:val="00852A35"/>
    <w:rsid w:val="00853B24"/>
    <w:rsid w:val="0085401A"/>
    <w:rsid w:val="00854B2B"/>
    <w:rsid w:val="00854C0A"/>
    <w:rsid w:val="00854CFA"/>
    <w:rsid w:val="00856482"/>
    <w:rsid w:val="008564A7"/>
    <w:rsid w:val="008569C3"/>
    <w:rsid w:val="00856F2A"/>
    <w:rsid w:val="00857CBB"/>
    <w:rsid w:val="00863203"/>
    <w:rsid w:val="00863310"/>
    <w:rsid w:val="00863494"/>
    <w:rsid w:val="00864264"/>
    <w:rsid w:val="00864719"/>
    <w:rsid w:val="008650CC"/>
    <w:rsid w:val="00865CB1"/>
    <w:rsid w:val="00865F47"/>
    <w:rsid w:val="0086765B"/>
    <w:rsid w:val="008712D4"/>
    <w:rsid w:val="008727AC"/>
    <w:rsid w:val="00873871"/>
    <w:rsid w:val="00875B3D"/>
    <w:rsid w:val="00875FD2"/>
    <w:rsid w:val="0087744B"/>
    <w:rsid w:val="0087753F"/>
    <w:rsid w:val="0088043C"/>
    <w:rsid w:val="008807B2"/>
    <w:rsid w:val="00880E3F"/>
    <w:rsid w:val="00881A8F"/>
    <w:rsid w:val="0088200A"/>
    <w:rsid w:val="00883107"/>
    <w:rsid w:val="00883468"/>
    <w:rsid w:val="008845E1"/>
    <w:rsid w:val="00884889"/>
    <w:rsid w:val="008858A7"/>
    <w:rsid w:val="00885981"/>
    <w:rsid w:val="00886B79"/>
    <w:rsid w:val="00887165"/>
    <w:rsid w:val="0088753B"/>
    <w:rsid w:val="00887CB2"/>
    <w:rsid w:val="00887D09"/>
    <w:rsid w:val="008906C9"/>
    <w:rsid w:val="00890B0B"/>
    <w:rsid w:val="00890E98"/>
    <w:rsid w:val="0089102C"/>
    <w:rsid w:val="00891708"/>
    <w:rsid w:val="00891EE2"/>
    <w:rsid w:val="00891FCD"/>
    <w:rsid w:val="00894285"/>
    <w:rsid w:val="0089434D"/>
    <w:rsid w:val="008951EC"/>
    <w:rsid w:val="008952AB"/>
    <w:rsid w:val="008969B9"/>
    <w:rsid w:val="00897002"/>
    <w:rsid w:val="00897505"/>
    <w:rsid w:val="00897B42"/>
    <w:rsid w:val="008A02FB"/>
    <w:rsid w:val="008A19FC"/>
    <w:rsid w:val="008A1DE3"/>
    <w:rsid w:val="008A23AE"/>
    <w:rsid w:val="008A298D"/>
    <w:rsid w:val="008A31C8"/>
    <w:rsid w:val="008A4073"/>
    <w:rsid w:val="008A541A"/>
    <w:rsid w:val="008A59AB"/>
    <w:rsid w:val="008A6273"/>
    <w:rsid w:val="008A634A"/>
    <w:rsid w:val="008A6643"/>
    <w:rsid w:val="008A72C7"/>
    <w:rsid w:val="008A7CA8"/>
    <w:rsid w:val="008B0474"/>
    <w:rsid w:val="008B05AE"/>
    <w:rsid w:val="008B0EA2"/>
    <w:rsid w:val="008B101E"/>
    <w:rsid w:val="008B1447"/>
    <w:rsid w:val="008B16A7"/>
    <w:rsid w:val="008B188B"/>
    <w:rsid w:val="008B1E1A"/>
    <w:rsid w:val="008B2860"/>
    <w:rsid w:val="008B29D3"/>
    <w:rsid w:val="008B2C64"/>
    <w:rsid w:val="008B2D99"/>
    <w:rsid w:val="008B50C3"/>
    <w:rsid w:val="008B592F"/>
    <w:rsid w:val="008B7023"/>
    <w:rsid w:val="008B7F93"/>
    <w:rsid w:val="008C06B5"/>
    <w:rsid w:val="008C06DF"/>
    <w:rsid w:val="008C1C66"/>
    <w:rsid w:val="008C2477"/>
    <w:rsid w:val="008C4C27"/>
    <w:rsid w:val="008C5738"/>
    <w:rsid w:val="008C5B00"/>
    <w:rsid w:val="008C7E63"/>
    <w:rsid w:val="008D0137"/>
    <w:rsid w:val="008D04F0"/>
    <w:rsid w:val="008D12A7"/>
    <w:rsid w:val="008D1381"/>
    <w:rsid w:val="008D21D2"/>
    <w:rsid w:val="008D31EB"/>
    <w:rsid w:val="008D3B4B"/>
    <w:rsid w:val="008D4094"/>
    <w:rsid w:val="008D6099"/>
    <w:rsid w:val="008D650A"/>
    <w:rsid w:val="008D6617"/>
    <w:rsid w:val="008D7365"/>
    <w:rsid w:val="008D759B"/>
    <w:rsid w:val="008D7625"/>
    <w:rsid w:val="008E08CC"/>
    <w:rsid w:val="008E0CFF"/>
    <w:rsid w:val="008E138F"/>
    <w:rsid w:val="008E16C2"/>
    <w:rsid w:val="008E1D59"/>
    <w:rsid w:val="008E24C9"/>
    <w:rsid w:val="008E2AB0"/>
    <w:rsid w:val="008E3603"/>
    <w:rsid w:val="008E4789"/>
    <w:rsid w:val="008E496E"/>
    <w:rsid w:val="008E4CA9"/>
    <w:rsid w:val="008E5DEC"/>
    <w:rsid w:val="008E7024"/>
    <w:rsid w:val="008E79C2"/>
    <w:rsid w:val="008F03FB"/>
    <w:rsid w:val="008F0D91"/>
    <w:rsid w:val="008F3500"/>
    <w:rsid w:val="008F3504"/>
    <w:rsid w:val="008F40B4"/>
    <w:rsid w:val="008F5C5E"/>
    <w:rsid w:val="008F6AC6"/>
    <w:rsid w:val="008F6DB8"/>
    <w:rsid w:val="008F7E9B"/>
    <w:rsid w:val="009003EB"/>
    <w:rsid w:val="009003ED"/>
    <w:rsid w:val="0090117E"/>
    <w:rsid w:val="009026E2"/>
    <w:rsid w:val="0090401C"/>
    <w:rsid w:val="00904E51"/>
    <w:rsid w:val="0090550A"/>
    <w:rsid w:val="00905FF1"/>
    <w:rsid w:val="00906858"/>
    <w:rsid w:val="0090741F"/>
    <w:rsid w:val="009075EB"/>
    <w:rsid w:val="00907A29"/>
    <w:rsid w:val="00907F48"/>
    <w:rsid w:val="0091147A"/>
    <w:rsid w:val="00911688"/>
    <w:rsid w:val="00913236"/>
    <w:rsid w:val="0091377D"/>
    <w:rsid w:val="00913E39"/>
    <w:rsid w:val="0091403C"/>
    <w:rsid w:val="00914086"/>
    <w:rsid w:val="009148BB"/>
    <w:rsid w:val="00914EB2"/>
    <w:rsid w:val="00916868"/>
    <w:rsid w:val="0091793C"/>
    <w:rsid w:val="00917E7B"/>
    <w:rsid w:val="0092037A"/>
    <w:rsid w:val="00921646"/>
    <w:rsid w:val="0092245E"/>
    <w:rsid w:val="00922547"/>
    <w:rsid w:val="00923145"/>
    <w:rsid w:val="00923DAE"/>
    <w:rsid w:val="00924E3C"/>
    <w:rsid w:val="009251BE"/>
    <w:rsid w:val="00925549"/>
    <w:rsid w:val="0092603C"/>
    <w:rsid w:val="00926EE9"/>
    <w:rsid w:val="0092712D"/>
    <w:rsid w:val="009271F6"/>
    <w:rsid w:val="00927591"/>
    <w:rsid w:val="009321B9"/>
    <w:rsid w:val="009329DE"/>
    <w:rsid w:val="00933AD2"/>
    <w:rsid w:val="00933E15"/>
    <w:rsid w:val="00934133"/>
    <w:rsid w:val="00935388"/>
    <w:rsid w:val="009353E1"/>
    <w:rsid w:val="00936BEC"/>
    <w:rsid w:val="00936E94"/>
    <w:rsid w:val="00940434"/>
    <w:rsid w:val="0094058A"/>
    <w:rsid w:val="00940A53"/>
    <w:rsid w:val="00940D39"/>
    <w:rsid w:val="00941F23"/>
    <w:rsid w:val="00941F69"/>
    <w:rsid w:val="00942878"/>
    <w:rsid w:val="00944186"/>
    <w:rsid w:val="009453D4"/>
    <w:rsid w:val="009457BF"/>
    <w:rsid w:val="00945B39"/>
    <w:rsid w:val="00945C70"/>
    <w:rsid w:val="00947429"/>
    <w:rsid w:val="00947D1F"/>
    <w:rsid w:val="00950464"/>
    <w:rsid w:val="00952346"/>
    <w:rsid w:val="009550B0"/>
    <w:rsid w:val="00955F8F"/>
    <w:rsid w:val="0095621E"/>
    <w:rsid w:val="00957A68"/>
    <w:rsid w:val="00957B35"/>
    <w:rsid w:val="00957F20"/>
    <w:rsid w:val="009612BB"/>
    <w:rsid w:val="00961B4A"/>
    <w:rsid w:val="00962D39"/>
    <w:rsid w:val="00962D5E"/>
    <w:rsid w:val="00964886"/>
    <w:rsid w:val="0096583A"/>
    <w:rsid w:val="0096701F"/>
    <w:rsid w:val="009674AF"/>
    <w:rsid w:val="00967D39"/>
    <w:rsid w:val="00970914"/>
    <w:rsid w:val="0097110C"/>
    <w:rsid w:val="00971C8A"/>
    <w:rsid w:val="00972775"/>
    <w:rsid w:val="009742AF"/>
    <w:rsid w:val="0097456D"/>
    <w:rsid w:val="009747B9"/>
    <w:rsid w:val="0097686D"/>
    <w:rsid w:val="009803C0"/>
    <w:rsid w:val="00980D2E"/>
    <w:rsid w:val="00980F91"/>
    <w:rsid w:val="009826E7"/>
    <w:rsid w:val="009827D8"/>
    <w:rsid w:val="00982F13"/>
    <w:rsid w:val="00983705"/>
    <w:rsid w:val="00984EC8"/>
    <w:rsid w:val="0098605C"/>
    <w:rsid w:val="009911BA"/>
    <w:rsid w:val="00991547"/>
    <w:rsid w:val="00991A79"/>
    <w:rsid w:val="00991C6B"/>
    <w:rsid w:val="009925A2"/>
    <w:rsid w:val="00992729"/>
    <w:rsid w:val="00994A83"/>
    <w:rsid w:val="0099517D"/>
    <w:rsid w:val="009952B2"/>
    <w:rsid w:val="00995928"/>
    <w:rsid w:val="009965EB"/>
    <w:rsid w:val="00997ADD"/>
    <w:rsid w:val="00997ED2"/>
    <w:rsid w:val="009A0655"/>
    <w:rsid w:val="009A2BBE"/>
    <w:rsid w:val="009A3657"/>
    <w:rsid w:val="009A3992"/>
    <w:rsid w:val="009A4A1D"/>
    <w:rsid w:val="009A5362"/>
    <w:rsid w:val="009A5D3B"/>
    <w:rsid w:val="009A6E3F"/>
    <w:rsid w:val="009A7DFE"/>
    <w:rsid w:val="009B0346"/>
    <w:rsid w:val="009B24A6"/>
    <w:rsid w:val="009B2B96"/>
    <w:rsid w:val="009B5B9F"/>
    <w:rsid w:val="009B75AD"/>
    <w:rsid w:val="009C02F5"/>
    <w:rsid w:val="009C2D3B"/>
    <w:rsid w:val="009C2E5A"/>
    <w:rsid w:val="009C32B7"/>
    <w:rsid w:val="009C4DB3"/>
    <w:rsid w:val="009C5C45"/>
    <w:rsid w:val="009C60CB"/>
    <w:rsid w:val="009C65E5"/>
    <w:rsid w:val="009C68E4"/>
    <w:rsid w:val="009C72BF"/>
    <w:rsid w:val="009C733C"/>
    <w:rsid w:val="009C740A"/>
    <w:rsid w:val="009D01DA"/>
    <w:rsid w:val="009D0B41"/>
    <w:rsid w:val="009D4F90"/>
    <w:rsid w:val="009D6EB2"/>
    <w:rsid w:val="009D6F50"/>
    <w:rsid w:val="009D7CE5"/>
    <w:rsid w:val="009E0A8F"/>
    <w:rsid w:val="009E1BA8"/>
    <w:rsid w:val="009E1C0C"/>
    <w:rsid w:val="009E1EB5"/>
    <w:rsid w:val="009E2865"/>
    <w:rsid w:val="009E303C"/>
    <w:rsid w:val="009E32D8"/>
    <w:rsid w:val="009E35D7"/>
    <w:rsid w:val="009E37DF"/>
    <w:rsid w:val="009E48FC"/>
    <w:rsid w:val="009E4DCE"/>
    <w:rsid w:val="009E51C1"/>
    <w:rsid w:val="009E529F"/>
    <w:rsid w:val="009E52E6"/>
    <w:rsid w:val="009E574C"/>
    <w:rsid w:val="009E57D9"/>
    <w:rsid w:val="009E626A"/>
    <w:rsid w:val="009E6427"/>
    <w:rsid w:val="009E6FD1"/>
    <w:rsid w:val="009E77E6"/>
    <w:rsid w:val="009E77F4"/>
    <w:rsid w:val="009E79D2"/>
    <w:rsid w:val="009F1A55"/>
    <w:rsid w:val="009F1C82"/>
    <w:rsid w:val="009F3612"/>
    <w:rsid w:val="009F3D7C"/>
    <w:rsid w:val="009F4C97"/>
    <w:rsid w:val="009F57FF"/>
    <w:rsid w:val="009F5C51"/>
    <w:rsid w:val="009F5EB1"/>
    <w:rsid w:val="009F6193"/>
    <w:rsid w:val="00A007A0"/>
    <w:rsid w:val="00A01D74"/>
    <w:rsid w:val="00A022A3"/>
    <w:rsid w:val="00A022B6"/>
    <w:rsid w:val="00A029D9"/>
    <w:rsid w:val="00A03280"/>
    <w:rsid w:val="00A049A9"/>
    <w:rsid w:val="00A055E8"/>
    <w:rsid w:val="00A05D88"/>
    <w:rsid w:val="00A0687E"/>
    <w:rsid w:val="00A10CE9"/>
    <w:rsid w:val="00A11460"/>
    <w:rsid w:val="00A125C5"/>
    <w:rsid w:val="00A12706"/>
    <w:rsid w:val="00A13592"/>
    <w:rsid w:val="00A14DF3"/>
    <w:rsid w:val="00A1533E"/>
    <w:rsid w:val="00A15CBA"/>
    <w:rsid w:val="00A160F0"/>
    <w:rsid w:val="00A16B28"/>
    <w:rsid w:val="00A17AD3"/>
    <w:rsid w:val="00A17C74"/>
    <w:rsid w:val="00A218B8"/>
    <w:rsid w:val="00A22D42"/>
    <w:rsid w:val="00A22E7A"/>
    <w:rsid w:val="00A231F1"/>
    <w:rsid w:val="00A233BC"/>
    <w:rsid w:val="00A23A50"/>
    <w:rsid w:val="00A2403E"/>
    <w:rsid w:val="00A2451C"/>
    <w:rsid w:val="00A266A0"/>
    <w:rsid w:val="00A2705F"/>
    <w:rsid w:val="00A27CC9"/>
    <w:rsid w:val="00A30E44"/>
    <w:rsid w:val="00A32871"/>
    <w:rsid w:val="00A33CB3"/>
    <w:rsid w:val="00A35558"/>
    <w:rsid w:val="00A35F81"/>
    <w:rsid w:val="00A36F98"/>
    <w:rsid w:val="00A3752D"/>
    <w:rsid w:val="00A3763E"/>
    <w:rsid w:val="00A4057F"/>
    <w:rsid w:val="00A42E62"/>
    <w:rsid w:val="00A4469D"/>
    <w:rsid w:val="00A45970"/>
    <w:rsid w:val="00A46E0E"/>
    <w:rsid w:val="00A47891"/>
    <w:rsid w:val="00A5037A"/>
    <w:rsid w:val="00A504D8"/>
    <w:rsid w:val="00A5168D"/>
    <w:rsid w:val="00A52149"/>
    <w:rsid w:val="00A531C0"/>
    <w:rsid w:val="00A535DD"/>
    <w:rsid w:val="00A560C9"/>
    <w:rsid w:val="00A56649"/>
    <w:rsid w:val="00A566CB"/>
    <w:rsid w:val="00A5765F"/>
    <w:rsid w:val="00A6018E"/>
    <w:rsid w:val="00A61F25"/>
    <w:rsid w:val="00A620D9"/>
    <w:rsid w:val="00A6269C"/>
    <w:rsid w:val="00A6443F"/>
    <w:rsid w:val="00A64928"/>
    <w:rsid w:val="00A65359"/>
    <w:rsid w:val="00A65801"/>
    <w:rsid w:val="00A65EE7"/>
    <w:rsid w:val="00A660B7"/>
    <w:rsid w:val="00A660BD"/>
    <w:rsid w:val="00A6613B"/>
    <w:rsid w:val="00A662B6"/>
    <w:rsid w:val="00A66BE7"/>
    <w:rsid w:val="00A6734B"/>
    <w:rsid w:val="00A678A9"/>
    <w:rsid w:val="00A70133"/>
    <w:rsid w:val="00A70D63"/>
    <w:rsid w:val="00A72381"/>
    <w:rsid w:val="00A73218"/>
    <w:rsid w:val="00A73940"/>
    <w:rsid w:val="00A73D1D"/>
    <w:rsid w:val="00A75715"/>
    <w:rsid w:val="00A76A28"/>
    <w:rsid w:val="00A770A6"/>
    <w:rsid w:val="00A813B1"/>
    <w:rsid w:val="00A81CB2"/>
    <w:rsid w:val="00A828CD"/>
    <w:rsid w:val="00A82BB8"/>
    <w:rsid w:val="00A82D80"/>
    <w:rsid w:val="00A845DF"/>
    <w:rsid w:val="00A85979"/>
    <w:rsid w:val="00A8616D"/>
    <w:rsid w:val="00A86271"/>
    <w:rsid w:val="00A87F43"/>
    <w:rsid w:val="00A9026D"/>
    <w:rsid w:val="00A91237"/>
    <w:rsid w:val="00A925FF"/>
    <w:rsid w:val="00A92A64"/>
    <w:rsid w:val="00A930A5"/>
    <w:rsid w:val="00A93426"/>
    <w:rsid w:val="00A95DE6"/>
    <w:rsid w:val="00A96364"/>
    <w:rsid w:val="00A965AF"/>
    <w:rsid w:val="00A96AFC"/>
    <w:rsid w:val="00AA09E9"/>
    <w:rsid w:val="00AA0C11"/>
    <w:rsid w:val="00AA0EBF"/>
    <w:rsid w:val="00AA1C79"/>
    <w:rsid w:val="00AA2175"/>
    <w:rsid w:val="00AA59CF"/>
    <w:rsid w:val="00AA6892"/>
    <w:rsid w:val="00AA6943"/>
    <w:rsid w:val="00AA6CB7"/>
    <w:rsid w:val="00AA74AF"/>
    <w:rsid w:val="00AB36C4"/>
    <w:rsid w:val="00AB3E59"/>
    <w:rsid w:val="00AB4D84"/>
    <w:rsid w:val="00AB4FA5"/>
    <w:rsid w:val="00AB5ADF"/>
    <w:rsid w:val="00AB7832"/>
    <w:rsid w:val="00AB7B0A"/>
    <w:rsid w:val="00AC0977"/>
    <w:rsid w:val="00AC0BC6"/>
    <w:rsid w:val="00AC1DD3"/>
    <w:rsid w:val="00AC262C"/>
    <w:rsid w:val="00AC32B2"/>
    <w:rsid w:val="00AC4B06"/>
    <w:rsid w:val="00AC4DBE"/>
    <w:rsid w:val="00AC6D5C"/>
    <w:rsid w:val="00AD02FB"/>
    <w:rsid w:val="00AD0693"/>
    <w:rsid w:val="00AD06D4"/>
    <w:rsid w:val="00AD1D3B"/>
    <w:rsid w:val="00AD2BDF"/>
    <w:rsid w:val="00AD36EA"/>
    <w:rsid w:val="00AD3C47"/>
    <w:rsid w:val="00AD411D"/>
    <w:rsid w:val="00AD4986"/>
    <w:rsid w:val="00AD53FA"/>
    <w:rsid w:val="00AD5AC9"/>
    <w:rsid w:val="00AD5D43"/>
    <w:rsid w:val="00AD65C8"/>
    <w:rsid w:val="00AD7263"/>
    <w:rsid w:val="00AD76D0"/>
    <w:rsid w:val="00AE14C0"/>
    <w:rsid w:val="00AE16E8"/>
    <w:rsid w:val="00AE19E1"/>
    <w:rsid w:val="00AE2EEF"/>
    <w:rsid w:val="00AE361C"/>
    <w:rsid w:val="00AE3A8F"/>
    <w:rsid w:val="00AE3EDC"/>
    <w:rsid w:val="00AE492D"/>
    <w:rsid w:val="00AE4950"/>
    <w:rsid w:val="00AE52A2"/>
    <w:rsid w:val="00AE7909"/>
    <w:rsid w:val="00AF08C8"/>
    <w:rsid w:val="00AF1339"/>
    <w:rsid w:val="00AF1BAC"/>
    <w:rsid w:val="00AF1FF3"/>
    <w:rsid w:val="00AF208E"/>
    <w:rsid w:val="00AF2E0A"/>
    <w:rsid w:val="00AF2EE4"/>
    <w:rsid w:val="00AF7083"/>
    <w:rsid w:val="00B00DFB"/>
    <w:rsid w:val="00B00E4E"/>
    <w:rsid w:val="00B027D1"/>
    <w:rsid w:val="00B02A77"/>
    <w:rsid w:val="00B04202"/>
    <w:rsid w:val="00B044B1"/>
    <w:rsid w:val="00B05593"/>
    <w:rsid w:val="00B05D89"/>
    <w:rsid w:val="00B05F37"/>
    <w:rsid w:val="00B075AC"/>
    <w:rsid w:val="00B1013A"/>
    <w:rsid w:val="00B11B58"/>
    <w:rsid w:val="00B161B3"/>
    <w:rsid w:val="00B16DC4"/>
    <w:rsid w:val="00B16FCA"/>
    <w:rsid w:val="00B17141"/>
    <w:rsid w:val="00B17639"/>
    <w:rsid w:val="00B201A0"/>
    <w:rsid w:val="00B2069C"/>
    <w:rsid w:val="00B20844"/>
    <w:rsid w:val="00B20867"/>
    <w:rsid w:val="00B216C1"/>
    <w:rsid w:val="00B233CD"/>
    <w:rsid w:val="00B2382F"/>
    <w:rsid w:val="00B2423F"/>
    <w:rsid w:val="00B2527F"/>
    <w:rsid w:val="00B267F0"/>
    <w:rsid w:val="00B267F9"/>
    <w:rsid w:val="00B26C8C"/>
    <w:rsid w:val="00B277D5"/>
    <w:rsid w:val="00B27C7A"/>
    <w:rsid w:val="00B303EA"/>
    <w:rsid w:val="00B30561"/>
    <w:rsid w:val="00B31575"/>
    <w:rsid w:val="00B31619"/>
    <w:rsid w:val="00B31B3A"/>
    <w:rsid w:val="00B32094"/>
    <w:rsid w:val="00B32776"/>
    <w:rsid w:val="00B32D78"/>
    <w:rsid w:val="00B32DC6"/>
    <w:rsid w:val="00B33A5C"/>
    <w:rsid w:val="00B33B64"/>
    <w:rsid w:val="00B34242"/>
    <w:rsid w:val="00B34372"/>
    <w:rsid w:val="00B34A8C"/>
    <w:rsid w:val="00B35198"/>
    <w:rsid w:val="00B3605E"/>
    <w:rsid w:val="00B37640"/>
    <w:rsid w:val="00B40D61"/>
    <w:rsid w:val="00B41055"/>
    <w:rsid w:val="00B413D9"/>
    <w:rsid w:val="00B417CA"/>
    <w:rsid w:val="00B4191E"/>
    <w:rsid w:val="00B41E55"/>
    <w:rsid w:val="00B429D1"/>
    <w:rsid w:val="00B42E66"/>
    <w:rsid w:val="00B43BC3"/>
    <w:rsid w:val="00B43E28"/>
    <w:rsid w:val="00B44F17"/>
    <w:rsid w:val="00B47911"/>
    <w:rsid w:val="00B47CA3"/>
    <w:rsid w:val="00B510AE"/>
    <w:rsid w:val="00B51672"/>
    <w:rsid w:val="00B51F20"/>
    <w:rsid w:val="00B520EC"/>
    <w:rsid w:val="00B52220"/>
    <w:rsid w:val="00B527D4"/>
    <w:rsid w:val="00B52850"/>
    <w:rsid w:val="00B52DC1"/>
    <w:rsid w:val="00B5307A"/>
    <w:rsid w:val="00B53D80"/>
    <w:rsid w:val="00B544A4"/>
    <w:rsid w:val="00B54CA2"/>
    <w:rsid w:val="00B55D5A"/>
    <w:rsid w:val="00B55EE3"/>
    <w:rsid w:val="00B565B5"/>
    <w:rsid w:val="00B5723F"/>
    <w:rsid w:val="00B6079F"/>
    <w:rsid w:val="00B6095F"/>
    <w:rsid w:val="00B610BE"/>
    <w:rsid w:val="00B616C3"/>
    <w:rsid w:val="00B617CF"/>
    <w:rsid w:val="00B6215B"/>
    <w:rsid w:val="00B631EF"/>
    <w:rsid w:val="00B63286"/>
    <w:rsid w:val="00B634F9"/>
    <w:rsid w:val="00B63727"/>
    <w:rsid w:val="00B64057"/>
    <w:rsid w:val="00B641E0"/>
    <w:rsid w:val="00B647BE"/>
    <w:rsid w:val="00B66E7B"/>
    <w:rsid w:val="00B67A3D"/>
    <w:rsid w:val="00B7032D"/>
    <w:rsid w:val="00B714AD"/>
    <w:rsid w:val="00B71E96"/>
    <w:rsid w:val="00B73DB1"/>
    <w:rsid w:val="00B76334"/>
    <w:rsid w:val="00B766E0"/>
    <w:rsid w:val="00B773BD"/>
    <w:rsid w:val="00B806EF"/>
    <w:rsid w:val="00B8129A"/>
    <w:rsid w:val="00B81EFB"/>
    <w:rsid w:val="00B8290A"/>
    <w:rsid w:val="00B82B12"/>
    <w:rsid w:val="00B83DBF"/>
    <w:rsid w:val="00B85436"/>
    <w:rsid w:val="00B8547D"/>
    <w:rsid w:val="00B857A8"/>
    <w:rsid w:val="00B86ACC"/>
    <w:rsid w:val="00B9090C"/>
    <w:rsid w:val="00B90AAE"/>
    <w:rsid w:val="00B91A2A"/>
    <w:rsid w:val="00B9333E"/>
    <w:rsid w:val="00B938A0"/>
    <w:rsid w:val="00B93DF5"/>
    <w:rsid w:val="00B9513B"/>
    <w:rsid w:val="00B953CC"/>
    <w:rsid w:val="00B9588A"/>
    <w:rsid w:val="00B963FC"/>
    <w:rsid w:val="00BA05F6"/>
    <w:rsid w:val="00BA0CD4"/>
    <w:rsid w:val="00BA12D7"/>
    <w:rsid w:val="00BA14FF"/>
    <w:rsid w:val="00BA1F87"/>
    <w:rsid w:val="00BA23B0"/>
    <w:rsid w:val="00BA3AA8"/>
    <w:rsid w:val="00BA3BF3"/>
    <w:rsid w:val="00BA3FFE"/>
    <w:rsid w:val="00BA408D"/>
    <w:rsid w:val="00BA554F"/>
    <w:rsid w:val="00BA6145"/>
    <w:rsid w:val="00BA63B9"/>
    <w:rsid w:val="00BA6D82"/>
    <w:rsid w:val="00BA6F0B"/>
    <w:rsid w:val="00BA786D"/>
    <w:rsid w:val="00BA7C44"/>
    <w:rsid w:val="00BB252D"/>
    <w:rsid w:val="00BB26EE"/>
    <w:rsid w:val="00BB2A84"/>
    <w:rsid w:val="00BB2DD2"/>
    <w:rsid w:val="00BB32A5"/>
    <w:rsid w:val="00BB3C27"/>
    <w:rsid w:val="00BB4575"/>
    <w:rsid w:val="00BB4D3C"/>
    <w:rsid w:val="00BB529A"/>
    <w:rsid w:val="00BB594E"/>
    <w:rsid w:val="00BB7A9E"/>
    <w:rsid w:val="00BB7B49"/>
    <w:rsid w:val="00BC0BDF"/>
    <w:rsid w:val="00BC1F1A"/>
    <w:rsid w:val="00BC23EA"/>
    <w:rsid w:val="00BC2898"/>
    <w:rsid w:val="00BC2D1F"/>
    <w:rsid w:val="00BC3639"/>
    <w:rsid w:val="00BC428C"/>
    <w:rsid w:val="00BC495C"/>
    <w:rsid w:val="00BC4C2C"/>
    <w:rsid w:val="00BC5017"/>
    <w:rsid w:val="00BC5794"/>
    <w:rsid w:val="00BC73ED"/>
    <w:rsid w:val="00BD09B5"/>
    <w:rsid w:val="00BD0BB3"/>
    <w:rsid w:val="00BD11FB"/>
    <w:rsid w:val="00BD34BF"/>
    <w:rsid w:val="00BD3DC3"/>
    <w:rsid w:val="00BD448E"/>
    <w:rsid w:val="00BD4603"/>
    <w:rsid w:val="00BD505A"/>
    <w:rsid w:val="00BD5DB3"/>
    <w:rsid w:val="00BD5F1C"/>
    <w:rsid w:val="00BD7ABF"/>
    <w:rsid w:val="00BE08F0"/>
    <w:rsid w:val="00BE12E6"/>
    <w:rsid w:val="00BE15A0"/>
    <w:rsid w:val="00BE1C6A"/>
    <w:rsid w:val="00BE211D"/>
    <w:rsid w:val="00BE214C"/>
    <w:rsid w:val="00BE24C0"/>
    <w:rsid w:val="00BE3760"/>
    <w:rsid w:val="00BE46FE"/>
    <w:rsid w:val="00BE49AC"/>
    <w:rsid w:val="00BE6AC1"/>
    <w:rsid w:val="00BE7C25"/>
    <w:rsid w:val="00BF0DCD"/>
    <w:rsid w:val="00BF0FCA"/>
    <w:rsid w:val="00BF1058"/>
    <w:rsid w:val="00BF16C2"/>
    <w:rsid w:val="00BF1837"/>
    <w:rsid w:val="00BF192D"/>
    <w:rsid w:val="00BF1AA4"/>
    <w:rsid w:val="00BF232B"/>
    <w:rsid w:val="00BF3AAD"/>
    <w:rsid w:val="00BF4434"/>
    <w:rsid w:val="00BF5C11"/>
    <w:rsid w:val="00BF5C70"/>
    <w:rsid w:val="00BF7CA9"/>
    <w:rsid w:val="00C00504"/>
    <w:rsid w:val="00C008D5"/>
    <w:rsid w:val="00C03581"/>
    <w:rsid w:val="00C03C70"/>
    <w:rsid w:val="00C04E4C"/>
    <w:rsid w:val="00C058CB"/>
    <w:rsid w:val="00C05BD5"/>
    <w:rsid w:val="00C0609A"/>
    <w:rsid w:val="00C07081"/>
    <w:rsid w:val="00C07E2F"/>
    <w:rsid w:val="00C118A4"/>
    <w:rsid w:val="00C11C61"/>
    <w:rsid w:val="00C13F72"/>
    <w:rsid w:val="00C14D33"/>
    <w:rsid w:val="00C16260"/>
    <w:rsid w:val="00C169AE"/>
    <w:rsid w:val="00C17F59"/>
    <w:rsid w:val="00C20571"/>
    <w:rsid w:val="00C20FC0"/>
    <w:rsid w:val="00C21D1B"/>
    <w:rsid w:val="00C21DE5"/>
    <w:rsid w:val="00C21DF7"/>
    <w:rsid w:val="00C22339"/>
    <w:rsid w:val="00C22489"/>
    <w:rsid w:val="00C23583"/>
    <w:rsid w:val="00C23E48"/>
    <w:rsid w:val="00C25065"/>
    <w:rsid w:val="00C250D5"/>
    <w:rsid w:val="00C25C86"/>
    <w:rsid w:val="00C27559"/>
    <w:rsid w:val="00C27F86"/>
    <w:rsid w:val="00C30643"/>
    <w:rsid w:val="00C3069C"/>
    <w:rsid w:val="00C30FE4"/>
    <w:rsid w:val="00C31C4B"/>
    <w:rsid w:val="00C31F3B"/>
    <w:rsid w:val="00C32B8C"/>
    <w:rsid w:val="00C33417"/>
    <w:rsid w:val="00C33975"/>
    <w:rsid w:val="00C35666"/>
    <w:rsid w:val="00C36ACA"/>
    <w:rsid w:val="00C36BB9"/>
    <w:rsid w:val="00C401FF"/>
    <w:rsid w:val="00C427B7"/>
    <w:rsid w:val="00C42E48"/>
    <w:rsid w:val="00C4385A"/>
    <w:rsid w:val="00C43B39"/>
    <w:rsid w:val="00C43BF6"/>
    <w:rsid w:val="00C44530"/>
    <w:rsid w:val="00C44FE6"/>
    <w:rsid w:val="00C45558"/>
    <w:rsid w:val="00C460B8"/>
    <w:rsid w:val="00C4684F"/>
    <w:rsid w:val="00C4704E"/>
    <w:rsid w:val="00C47F56"/>
    <w:rsid w:val="00C50BA3"/>
    <w:rsid w:val="00C51D18"/>
    <w:rsid w:val="00C53313"/>
    <w:rsid w:val="00C53BB7"/>
    <w:rsid w:val="00C558D7"/>
    <w:rsid w:val="00C55DF9"/>
    <w:rsid w:val="00C55F5A"/>
    <w:rsid w:val="00C569B9"/>
    <w:rsid w:val="00C5732C"/>
    <w:rsid w:val="00C60A3B"/>
    <w:rsid w:val="00C6128B"/>
    <w:rsid w:val="00C61D59"/>
    <w:rsid w:val="00C62997"/>
    <w:rsid w:val="00C64B3F"/>
    <w:rsid w:val="00C64F96"/>
    <w:rsid w:val="00C65DC5"/>
    <w:rsid w:val="00C662E9"/>
    <w:rsid w:val="00C66B13"/>
    <w:rsid w:val="00C66E4B"/>
    <w:rsid w:val="00C70C7B"/>
    <w:rsid w:val="00C70EAC"/>
    <w:rsid w:val="00C70FDB"/>
    <w:rsid w:val="00C735D1"/>
    <w:rsid w:val="00C750D4"/>
    <w:rsid w:val="00C766CC"/>
    <w:rsid w:val="00C77CA0"/>
    <w:rsid w:val="00C8013E"/>
    <w:rsid w:val="00C82B40"/>
    <w:rsid w:val="00C82DB5"/>
    <w:rsid w:val="00C836DD"/>
    <w:rsid w:val="00C838DE"/>
    <w:rsid w:val="00C83C12"/>
    <w:rsid w:val="00C856F2"/>
    <w:rsid w:val="00C85937"/>
    <w:rsid w:val="00C85BA0"/>
    <w:rsid w:val="00C85EDB"/>
    <w:rsid w:val="00C865A5"/>
    <w:rsid w:val="00C86E5E"/>
    <w:rsid w:val="00C901EB"/>
    <w:rsid w:val="00C907A1"/>
    <w:rsid w:val="00C91A33"/>
    <w:rsid w:val="00C921BB"/>
    <w:rsid w:val="00C9253C"/>
    <w:rsid w:val="00C92898"/>
    <w:rsid w:val="00C9332D"/>
    <w:rsid w:val="00C9398D"/>
    <w:rsid w:val="00C93E72"/>
    <w:rsid w:val="00C94B97"/>
    <w:rsid w:val="00C9513C"/>
    <w:rsid w:val="00C955A7"/>
    <w:rsid w:val="00C95D08"/>
    <w:rsid w:val="00C963B0"/>
    <w:rsid w:val="00C96C5C"/>
    <w:rsid w:val="00CA0B86"/>
    <w:rsid w:val="00CA10F0"/>
    <w:rsid w:val="00CA1B72"/>
    <w:rsid w:val="00CA1B87"/>
    <w:rsid w:val="00CA2F23"/>
    <w:rsid w:val="00CA3EE5"/>
    <w:rsid w:val="00CA4340"/>
    <w:rsid w:val="00CA5181"/>
    <w:rsid w:val="00CA52ED"/>
    <w:rsid w:val="00CA5D4B"/>
    <w:rsid w:val="00CA6453"/>
    <w:rsid w:val="00CA6D04"/>
    <w:rsid w:val="00CA7E75"/>
    <w:rsid w:val="00CB076E"/>
    <w:rsid w:val="00CB0ACA"/>
    <w:rsid w:val="00CB1F7D"/>
    <w:rsid w:val="00CB3F2D"/>
    <w:rsid w:val="00CB65EA"/>
    <w:rsid w:val="00CB688E"/>
    <w:rsid w:val="00CB6B7D"/>
    <w:rsid w:val="00CB794A"/>
    <w:rsid w:val="00CC235E"/>
    <w:rsid w:val="00CC2799"/>
    <w:rsid w:val="00CC29E4"/>
    <w:rsid w:val="00CC3580"/>
    <w:rsid w:val="00CC38D4"/>
    <w:rsid w:val="00CC412E"/>
    <w:rsid w:val="00CC5919"/>
    <w:rsid w:val="00CC6585"/>
    <w:rsid w:val="00CC6D99"/>
    <w:rsid w:val="00CC793B"/>
    <w:rsid w:val="00CD0B50"/>
    <w:rsid w:val="00CD2D02"/>
    <w:rsid w:val="00CD3666"/>
    <w:rsid w:val="00CD4635"/>
    <w:rsid w:val="00CD4D57"/>
    <w:rsid w:val="00CD54A2"/>
    <w:rsid w:val="00CD5AFF"/>
    <w:rsid w:val="00CD7D14"/>
    <w:rsid w:val="00CE0AE9"/>
    <w:rsid w:val="00CE1967"/>
    <w:rsid w:val="00CE3D2F"/>
    <w:rsid w:val="00CE4535"/>
    <w:rsid w:val="00CE4DD1"/>
    <w:rsid w:val="00CE50E7"/>
    <w:rsid w:val="00CE5238"/>
    <w:rsid w:val="00CE5447"/>
    <w:rsid w:val="00CE5A7C"/>
    <w:rsid w:val="00CE5BCB"/>
    <w:rsid w:val="00CE6393"/>
    <w:rsid w:val="00CE6CC0"/>
    <w:rsid w:val="00CE7086"/>
    <w:rsid w:val="00CE7087"/>
    <w:rsid w:val="00CE7514"/>
    <w:rsid w:val="00CE7BDD"/>
    <w:rsid w:val="00CE7E09"/>
    <w:rsid w:val="00CF077A"/>
    <w:rsid w:val="00CF0FDA"/>
    <w:rsid w:val="00CF2318"/>
    <w:rsid w:val="00CF2C66"/>
    <w:rsid w:val="00CF328F"/>
    <w:rsid w:val="00CF3FA7"/>
    <w:rsid w:val="00CF6DC8"/>
    <w:rsid w:val="00CF7586"/>
    <w:rsid w:val="00D0002D"/>
    <w:rsid w:val="00D00581"/>
    <w:rsid w:val="00D04184"/>
    <w:rsid w:val="00D052C0"/>
    <w:rsid w:val="00D05CCB"/>
    <w:rsid w:val="00D05F8E"/>
    <w:rsid w:val="00D07B1B"/>
    <w:rsid w:val="00D10000"/>
    <w:rsid w:val="00D1061F"/>
    <w:rsid w:val="00D1064D"/>
    <w:rsid w:val="00D10B96"/>
    <w:rsid w:val="00D10F3D"/>
    <w:rsid w:val="00D11E3D"/>
    <w:rsid w:val="00D12185"/>
    <w:rsid w:val="00D12FD1"/>
    <w:rsid w:val="00D12FE7"/>
    <w:rsid w:val="00D135FD"/>
    <w:rsid w:val="00D150BC"/>
    <w:rsid w:val="00D15BC0"/>
    <w:rsid w:val="00D205AC"/>
    <w:rsid w:val="00D209E4"/>
    <w:rsid w:val="00D22860"/>
    <w:rsid w:val="00D228FA"/>
    <w:rsid w:val="00D22DE6"/>
    <w:rsid w:val="00D23100"/>
    <w:rsid w:val="00D23336"/>
    <w:rsid w:val="00D2394F"/>
    <w:rsid w:val="00D24683"/>
    <w:rsid w:val="00D248DE"/>
    <w:rsid w:val="00D252EE"/>
    <w:rsid w:val="00D25B0B"/>
    <w:rsid w:val="00D268F3"/>
    <w:rsid w:val="00D27982"/>
    <w:rsid w:val="00D27A86"/>
    <w:rsid w:val="00D30112"/>
    <w:rsid w:val="00D315FD"/>
    <w:rsid w:val="00D31F43"/>
    <w:rsid w:val="00D328DB"/>
    <w:rsid w:val="00D33982"/>
    <w:rsid w:val="00D33F2D"/>
    <w:rsid w:val="00D34DD1"/>
    <w:rsid w:val="00D35758"/>
    <w:rsid w:val="00D37313"/>
    <w:rsid w:val="00D408C2"/>
    <w:rsid w:val="00D40E6A"/>
    <w:rsid w:val="00D41B93"/>
    <w:rsid w:val="00D41F27"/>
    <w:rsid w:val="00D4212A"/>
    <w:rsid w:val="00D428A6"/>
    <w:rsid w:val="00D43095"/>
    <w:rsid w:val="00D4635F"/>
    <w:rsid w:val="00D47CA0"/>
    <w:rsid w:val="00D50774"/>
    <w:rsid w:val="00D50844"/>
    <w:rsid w:val="00D51101"/>
    <w:rsid w:val="00D5338E"/>
    <w:rsid w:val="00D546A5"/>
    <w:rsid w:val="00D54874"/>
    <w:rsid w:val="00D56923"/>
    <w:rsid w:val="00D57B4E"/>
    <w:rsid w:val="00D60898"/>
    <w:rsid w:val="00D609B2"/>
    <w:rsid w:val="00D61241"/>
    <w:rsid w:val="00D614B9"/>
    <w:rsid w:val="00D61576"/>
    <w:rsid w:val="00D61645"/>
    <w:rsid w:val="00D61B01"/>
    <w:rsid w:val="00D63C01"/>
    <w:rsid w:val="00D64015"/>
    <w:rsid w:val="00D64114"/>
    <w:rsid w:val="00D64D06"/>
    <w:rsid w:val="00D65EF9"/>
    <w:rsid w:val="00D66DCC"/>
    <w:rsid w:val="00D66E98"/>
    <w:rsid w:val="00D67963"/>
    <w:rsid w:val="00D67E04"/>
    <w:rsid w:val="00D67FF8"/>
    <w:rsid w:val="00D70200"/>
    <w:rsid w:val="00D71CFE"/>
    <w:rsid w:val="00D739C5"/>
    <w:rsid w:val="00D74A90"/>
    <w:rsid w:val="00D75375"/>
    <w:rsid w:val="00D76376"/>
    <w:rsid w:val="00D76D49"/>
    <w:rsid w:val="00D7704A"/>
    <w:rsid w:val="00D81867"/>
    <w:rsid w:val="00D81F5F"/>
    <w:rsid w:val="00D827B3"/>
    <w:rsid w:val="00D83C20"/>
    <w:rsid w:val="00D83E4B"/>
    <w:rsid w:val="00D85249"/>
    <w:rsid w:val="00D853A8"/>
    <w:rsid w:val="00D8542D"/>
    <w:rsid w:val="00D865DC"/>
    <w:rsid w:val="00D87140"/>
    <w:rsid w:val="00D876D3"/>
    <w:rsid w:val="00D87BCB"/>
    <w:rsid w:val="00D87CA3"/>
    <w:rsid w:val="00D87EFB"/>
    <w:rsid w:val="00D9005F"/>
    <w:rsid w:val="00D90747"/>
    <w:rsid w:val="00D90807"/>
    <w:rsid w:val="00D90BD3"/>
    <w:rsid w:val="00D90F02"/>
    <w:rsid w:val="00D923F9"/>
    <w:rsid w:val="00D9242B"/>
    <w:rsid w:val="00D93538"/>
    <w:rsid w:val="00D94052"/>
    <w:rsid w:val="00D94848"/>
    <w:rsid w:val="00D95117"/>
    <w:rsid w:val="00D9640D"/>
    <w:rsid w:val="00D96A7D"/>
    <w:rsid w:val="00D96B46"/>
    <w:rsid w:val="00D97763"/>
    <w:rsid w:val="00D97888"/>
    <w:rsid w:val="00D97CE0"/>
    <w:rsid w:val="00DA1177"/>
    <w:rsid w:val="00DA19C5"/>
    <w:rsid w:val="00DA3BD5"/>
    <w:rsid w:val="00DA4493"/>
    <w:rsid w:val="00DA54AA"/>
    <w:rsid w:val="00DA7026"/>
    <w:rsid w:val="00DA710A"/>
    <w:rsid w:val="00DA73D8"/>
    <w:rsid w:val="00DB27FE"/>
    <w:rsid w:val="00DB2BF1"/>
    <w:rsid w:val="00DB2F5E"/>
    <w:rsid w:val="00DB3005"/>
    <w:rsid w:val="00DB36AE"/>
    <w:rsid w:val="00DB373D"/>
    <w:rsid w:val="00DB387A"/>
    <w:rsid w:val="00DB3C77"/>
    <w:rsid w:val="00DB3D06"/>
    <w:rsid w:val="00DB7266"/>
    <w:rsid w:val="00DB7AF3"/>
    <w:rsid w:val="00DC03A0"/>
    <w:rsid w:val="00DC156E"/>
    <w:rsid w:val="00DC16DC"/>
    <w:rsid w:val="00DC1A0A"/>
    <w:rsid w:val="00DC1AE7"/>
    <w:rsid w:val="00DC1E30"/>
    <w:rsid w:val="00DC1EB1"/>
    <w:rsid w:val="00DC4437"/>
    <w:rsid w:val="00DC4888"/>
    <w:rsid w:val="00DC4C89"/>
    <w:rsid w:val="00DC4DE8"/>
    <w:rsid w:val="00DC588B"/>
    <w:rsid w:val="00DC5F55"/>
    <w:rsid w:val="00DC6A71"/>
    <w:rsid w:val="00DC704F"/>
    <w:rsid w:val="00DC7530"/>
    <w:rsid w:val="00DC76AA"/>
    <w:rsid w:val="00DC7810"/>
    <w:rsid w:val="00DD0017"/>
    <w:rsid w:val="00DD0B00"/>
    <w:rsid w:val="00DD0D74"/>
    <w:rsid w:val="00DD14E4"/>
    <w:rsid w:val="00DD323E"/>
    <w:rsid w:val="00DD345B"/>
    <w:rsid w:val="00DD53D2"/>
    <w:rsid w:val="00DD6679"/>
    <w:rsid w:val="00DD6B3D"/>
    <w:rsid w:val="00DD6C62"/>
    <w:rsid w:val="00DD7A6A"/>
    <w:rsid w:val="00DE3755"/>
    <w:rsid w:val="00DE431C"/>
    <w:rsid w:val="00DE4759"/>
    <w:rsid w:val="00DE49AE"/>
    <w:rsid w:val="00DE65B4"/>
    <w:rsid w:val="00DE6BF1"/>
    <w:rsid w:val="00DE6E33"/>
    <w:rsid w:val="00DE7839"/>
    <w:rsid w:val="00DE7CBB"/>
    <w:rsid w:val="00DE7FCC"/>
    <w:rsid w:val="00DF0701"/>
    <w:rsid w:val="00DF22CC"/>
    <w:rsid w:val="00DF23F7"/>
    <w:rsid w:val="00DF2500"/>
    <w:rsid w:val="00DF31E3"/>
    <w:rsid w:val="00DF4D5D"/>
    <w:rsid w:val="00DF4DFD"/>
    <w:rsid w:val="00DF5256"/>
    <w:rsid w:val="00DF5CF1"/>
    <w:rsid w:val="00DF6381"/>
    <w:rsid w:val="00DF69EC"/>
    <w:rsid w:val="00DF6EB7"/>
    <w:rsid w:val="00DF7BCD"/>
    <w:rsid w:val="00E00A0D"/>
    <w:rsid w:val="00E0357D"/>
    <w:rsid w:val="00E046D9"/>
    <w:rsid w:val="00E05CD4"/>
    <w:rsid w:val="00E06C9C"/>
    <w:rsid w:val="00E06CA0"/>
    <w:rsid w:val="00E10BA0"/>
    <w:rsid w:val="00E13EF0"/>
    <w:rsid w:val="00E1404E"/>
    <w:rsid w:val="00E1406A"/>
    <w:rsid w:val="00E16347"/>
    <w:rsid w:val="00E16CD0"/>
    <w:rsid w:val="00E1737F"/>
    <w:rsid w:val="00E17462"/>
    <w:rsid w:val="00E20B92"/>
    <w:rsid w:val="00E20BF2"/>
    <w:rsid w:val="00E215F7"/>
    <w:rsid w:val="00E23711"/>
    <w:rsid w:val="00E2394A"/>
    <w:rsid w:val="00E239F1"/>
    <w:rsid w:val="00E24E90"/>
    <w:rsid w:val="00E25693"/>
    <w:rsid w:val="00E2592D"/>
    <w:rsid w:val="00E25B39"/>
    <w:rsid w:val="00E30075"/>
    <w:rsid w:val="00E3118A"/>
    <w:rsid w:val="00E316EB"/>
    <w:rsid w:val="00E322CB"/>
    <w:rsid w:val="00E328C2"/>
    <w:rsid w:val="00E34076"/>
    <w:rsid w:val="00E364C1"/>
    <w:rsid w:val="00E379A9"/>
    <w:rsid w:val="00E37C99"/>
    <w:rsid w:val="00E4141B"/>
    <w:rsid w:val="00E4217E"/>
    <w:rsid w:val="00E423F3"/>
    <w:rsid w:val="00E42F18"/>
    <w:rsid w:val="00E437EA"/>
    <w:rsid w:val="00E45E6B"/>
    <w:rsid w:val="00E45EFC"/>
    <w:rsid w:val="00E467B5"/>
    <w:rsid w:val="00E46B21"/>
    <w:rsid w:val="00E470C6"/>
    <w:rsid w:val="00E50378"/>
    <w:rsid w:val="00E52248"/>
    <w:rsid w:val="00E534CF"/>
    <w:rsid w:val="00E53976"/>
    <w:rsid w:val="00E5600E"/>
    <w:rsid w:val="00E601B5"/>
    <w:rsid w:val="00E610BA"/>
    <w:rsid w:val="00E615A3"/>
    <w:rsid w:val="00E6341B"/>
    <w:rsid w:val="00E638D9"/>
    <w:rsid w:val="00E648BE"/>
    <w:rsid w:val="00E6548A"/>
    <w:rsid w:val="00E65DB1"/>
    <w:rsid w:val="00E66428"/>
    <w:rsid w:val="00E66587"/>
    <w:rsid w:val="00E66925"/>
    <w:rsid w:val="00E67F69"/>
    <w:rsid w:val="00E70BE2"/>
    <w:rsid w:val="00E719E4"/>
    <w:rsid w:val="00E72AE7"/>
    <w:rsid w:val="00E72E19"/>
    <w:rsid w:val="00E74B2E"/>
    <w:rsid w:val="00E75582"/>
    <w:rsid w:val="00E769A2"/>
    <w:rsid w:val="00E76D53"/>
    <w:rsid w:val="00E807A7"/>
    <w:rsid w:val="00E80C47"/>
    <w:rsid w:val="00E80C9D"/>
    <w:rsid w:val="00E81AEE"/>
    <w:rsid w:val="00E81BA4"/>
    <w:rsid w:val="00E82100"/>
    <w:rsid w:val="00E82FD0"/>
    <w:rsid w:val="00E84347"/>
    <w:rsid w:val="00E843DD"/>
    <w:rsid w:val="00E850D6"/>
    <w:rsid w:val="00E86280"/>
    <w:rsid w:val="00E86A6F"/>
    <w:rsid w:val="00E86C88"/>
    <w:rsid w:val="00E91302"/>
    <w:rsid w:val="00E9201F"/>
    <w:rsid w:val="00E920BF"/>
    <w:rsid w:val="00E939E9"/>
    <w:rsid w:val="00E95138"/>
    <w:rsid w:val="00E95675"/>
    <w:rsid w:val="00E96B16"/>
    <w:rsid w:val="00E96C82"/>
    <w:rsid w:val="00E97B4F"/>
    <w:rsid w:val="00EA200C"/>
    <w:rsid w:val="00EA2363"/>
    <w:rsid w:val="00EA3717"/>
    <w:rsid w:val="00EA43AD"/>
    <w:rsid w:val="00EA6256"/>
    <w:rsid w:val="00EA6CC8"/>
    <w:rsid w:val="00EA7758"/>
    <w:rsid w:val="00EA78F0"/>
    <w:rsid w:val="00EB072F"/>
    <w:rsid w:val="00EB1003"/>
    <w:rsid w:val="00EB1933"/>
    <w:rsid w:val="00EB1EBB"/>
    <w:rsid w:val="00EB36F4"/>
    <w:rsid w:val="00EB39A2"/>
    <w:rsid w:val="00EB3C93"/>
    <w:rsid w:val="00EB4180"/>
    <w:rsid w:val="00EB4745"/>
    <w:rsid w:val="00EB515A"/>
    <w:rsid w:val="00EB5474"/>
    <w:rsid w:val="00EB5E5A"/>
    <w:rsid w:val="00EB7C4B"/>
    <w:rsid w:val="00EC25FF"/>
    <w:rsid w:val="00EC2788"/>
    <w:rsid w:val="00EC321C"/>
    <w:rsid w:val="00EC35B6"/>
    <w:rsid w:val="00EC4C76"/>
    <w:rsid w:val="00ED1C3E"/>
    <w:rsid w:val="00ED2ED4"/>
    <w:rsid w:val="00ED36BF"/>
    <w:rsid w:val="00ED459C"/>
    <w:rsid w:val="00ED4642"/>
    <w:rsid w:val="00ED48B9"/>
    <w:rsid w:val="00ED49AF"/>
    <w:rsid w:val="00ED5CDC"/>
    <w:rsid w:val="00ED6166"/>
    <w:rsid w:val="00ED66D3"/>
    <w:rsid w:val="00EE0217"/>
    <w:rsid w:val="00EE0B69"/>
    <w:rsid w:val="00EE1968"/>
    <w:rsid w:val="00EE2284"/>
    <w:rsid w:val="00EE3DCC"/>
    <w:rsid w:val="00EE425F"/>
    <w:rsid w:val="00EE5333"/>
    <w:rsid w:val="00EE6396"/>
    <w:rsid w:val="00EE6EF5"/>
    <w:rsid w:val="00EE7C55"/>
    <w:rsid w:val="00EF0961"/>
    <w:rsid w:val="00EF105C"/>
    <w:rsid w:val="00EF228E"/>
    <w:rsid w:val="00EF3ADD"/>
    <w:rsid w:val="00EF3EA1"/>
    <w:rsid w:val="00EF437A"/>
    <w:rsid w:val="00EF5CE5"/>
    <w:rsid w:val="00EF6133"/>
    <w:rsid w:val="00EF6273"/>
    <w:rsid w:val="00EF6809"/>
    <w:rsid w:val="00EF6CB1"/>
    <w:rsid w:val="00EF74F6"/>
    <w:rsid w:val="00F01BF9"/>
    <w:rsid w:val="00F03379"/>
    <w:rsid w:val="00F034D8"/>
    <w:rsid w:val="00F0505F"/>
    <w:rsid w:val="00F05765"/>
    <w:rsid w:val="00F05B3C"/>
    <w:rsid w:val="00F06057"/>
    <w:rsid w:val="00F06557"/>
    <w:rsid w:val="00F06D4B"/>
    <w:rsid w:val="00F11A6A"/>
    <w:rsid w:val="00F132CE"/>
    <w:rsid w:val="00F14308"/>
    <w:rsid w:val="00F143F8"/>
    <w:rsid w:val="00F169CA"/>
    <w:rsid w:val="00F17385"/>
    <w:rsid w:val="00F20933"/>
    <w:rsid w:val="00F21A95"/>
    <w:rsid w:val="00F2229D"/>
    <w:rsid w:val="00F22591"/>
    <w:rsid w:val="00F23ABD"/>
    <w:rsid w:val="00F240BB"/>
    <w:rsid w:val="00F24E56"/>
    <w:rsid w:val="00F2515B"/>
    <w:rsid w:val="00F251B9"/>
    <w:rsid w:val="00F2566F"/>
    <w:rsid w:val="00F259F3"/>
    <w:rsid w:val="00F25D3A"/>
    <w:rsid w:val="00F26C5B"/>
    <w:rsid w:val="00F270CB"/>
    <w:rsid w:val="00F274C7"/>
    <w:rsid w:val="00F27967"/>
    <w:rsid w:val="00F3033C"/>
    <w:rsid w:val="00F30347"/>
    <w:rsid w:val="00F3237E"/>
    <w:rsid w:val="00F335A9"/>
    <w:rsid w:val="00F35458"/>
    <w:rsid w:val="00F36798"/>
    <w:rsid w:val="00F3698B"/>
    <w:rsid w:val="00F36F1F"/>
    <w:rsid w:val="00F40722"/>
    <w:rsid w:val="00F429C4"/>
    <w:rsid w:val="00F42E93"/>
    <w:rsid w:val="00F430AD"/>
    <w:rsid w:val="00F436C3"/>
    <w:rsid w:val="00F43CF8"/>
    <w:rsid w:val="00F45241"/>
    <w:rsid w:val="00F45D2C"/>
    <w:rsid w:val="00F46190"/>
    <w:rsid w:val="00F46AE0"/>
    <w:rsid w:val="00F47732"/>
    <w:rsid w:val="00F47BB7"/>
    <w:rsid w:val="00F5265D"/>
    <w:rsid w:val="00F54110"/>
    <w:rsid w:val="00F54C16"/>
    <w:rsid w:val="00F569E6"/>
    <w:rsid w:val="00F57FED"/>
    <w:rsid w:val="00F60412"/>
    <w:rsid w:val="00F624B0"/>
    <w:rsid w:val="00F63866"/>
    <w:rsid w:val="00F6418D"/>
    <w:rsid w:val="00F6457F"/>
    <w:rsid w:val="00F64EA3"/>
    <w:rsid w:val="00F665C1"/>
    <w:rsid w:val="00F66A17"/>
    <w:rsid w:val="00F66E79"/>
    <w:rsid w:val="00F70330"/>
    <w:rsid w:val="00F705E9"/>
    <w:rsid w:val="00F711B5"/>
    <w:rsid w:val="00F71424"/>
    <w:rsid w:val="00F73D28"/>
    <w:rsid w:val="00F749B7"/>
    <w:rsid w:val="00F74CF8"/>
    <w:rsid w:val="00F753A3"/>
    <w:rsid w:val="00F755E6"/>
    <w:rsid w:val="00F75D8E"/>
    <w:rsid w:val="00F76687"/>
    <w:rsid w:val="00F76970"/>
    <w:rsid w:val="00F76ECD"/>
    <w:rsid w:val="00F77EFC"/>
    <w:rsid w:val="00F8021A"/>
    <w:rsid w:val="00F810A8"/>
    <w:rsid w:val="00F810E6"/>
    <w:rsid w:val="00F81D76"/>
    <w:rsid w:val="00F842E3"/>
    <w:rsid w:val="00F84B6B"/>
    <w:rsid w:val="00F856F7"/>
    <w:rsid w:val="00F85836"/>
    <w:rsid w:val="00F877EF"/>
    <w:rsid w:val="00F922A3"/>
    <w:rsid w:val="00F93FE4"/>
    <w:rsid w:val="00F94A47"/>
    <w:rsid w:val="00F97D89"/>
    <w:rsid w:val="00FA0D10"/>
    <w:rsid w:val="00FA1FCB"/>
    <w:rsid w:val="00FA2487"/>
    <w:rsid w:val="00FA31F0"/>
    <w:rsid w:val="00FA3277"/>
    <w:rsid w:val="00FA37FA"/>
    <w:rsid w:val="00FA4764"/>
    <w:rsid w:val="00FA755B"/>
    <w:rsid w:val="00FA7965"/>
    <w:rsid w:val="00FA7CEA"/>
    <w:rsid w:val="00FB10D2"/>
    <w:rsid w:val="00FB1439"/>
    <w:rsid w:val="00FB1B5C"/>
    <w:rsid w:val="00FB1C10"/>
    <w:rsid w:val="00FB21C6"/>
    <w:rsid w:val="00FB22B3"/>
    <w:rsid w:val="00FB2AAC"/>
    <w:rsid w:val="00FB2C2C"/>
    <w:rsid w:val="00FB3468"/>
    <w:rsid w:val="00FB4136"/>
    <w:rsid w:val="00FB420E"/>
    <w:rsid w:val="00FB49AB"/>
    <w:rsid w:val="00FB4DD3"/>
    <w:rsid w:val="00FB4FB3"/>
    <w:rsid w:val="00FB5065"/>
    <w:rsid w:val="00FB7902"/>
    <w:rsid w:val="00FC09F9"/>
    <w:rsid w:val="00FC1115"/>
    <w:rsid w:val="00FC1699"/>
    <w:rsid w:val="00FC3EA4"/>
    <w:rsid w:val="00FC7014"/>
    <w:rsid w:val="00FC72E8"/>
    <w:rsid w:val="00FC7B78"/>
    <w:rsid w:val="00FD0FF2"/>
    <w:rsid w:val="00FD1812"/>
    <w:rsid w:val="00FD19EE"/>
    <w:rsid w:val="00FD1CE8"/>
    <w:rsid w:val="00FD2424"/>
    <w:rsid w:val="00FD2915"/>
    <w:rsid w:val="00FD35DE"/>
    <w:rsid w:val="00FD38D6"/>
    <w:rsid w:val="00FD3D06"/>
    <w:rsid w:val="00FD3E50"/>
    <w:rsid w:val="00FD4815"/>
    <w:rsid w:val="00FD4CD6"/>
    <w:rsid w:val="00FD5F1F"/>
    <w:rsid w:val="00FD5FB0"/>
    <w:rsid w:val="00FD659F"/>
    <w:rsid w:val="00FD71CC"/>
    <w:rsid w:val="00FE0488"/>
    <w:rsid w:val="00FE08F8"/>
    <w:rsid w:val="00FE0F83"/>
    <w:rsid w:val="00FE21ED"/>
    <w:rsid w:val="00FE2A20"/>
    <w:rsid w:val="00FE3714"/>
    <w:rsid w:val="00FE5425"/>
    <w:rsid w:val="00FE5F65"/>
    <w:rsid w:val="00FF1D9B"/>
    <w:rsid w:val="00FF2A25"/>
    <w:rsid w:val="00FF3D49"/>
    <w:rsid w:val="00FF4F34"/>
    <w:rsid w:val="00FF5D97"/>
    <w:rsid w:val="00FF68BC"/>
    <w:rsid w:val="00FF729F"/>
    <w:rsid w:val="00FF7361"/>
    <w:rsid w:val="00FF755E"/>
    <w:rsid w:val="00FF75B1"/>
    <w:rsid w:val="00FF782C"/>
    <w:rsid w:val="00FF7B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1EA4324"/>
  <w15:docId w15:val="{4A59595C-8CDE-4F94-AA1E-2866F604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4674"/>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0266FA"/>
    <w:pPr>
      <w:numPr>
        <w:numId w:val="18"/>
      </w:numPr>
      <w:spacing w:before="240" w:after="60"/>
      <w:jc w:val="both"/>
      <w:outlineLvl w:val="0"/>
    </w:pPr>
    <w:rPr>
      <w:bCs/>
      <w:kern w:val="32"/>
      <w:szCs w:val="20"/>
    </w:rPr>
  </w:style>
  <w:style w:type="paragraph" w:styleId="Naslov2">
    <w:name w:val="heading 2"/>
    <w:basedOn w:val="Navaden"/>
    <w:next w:val="Navaden"/>
    <w:link w:val="Naslov2Znak"/>
    <w:qFormat/>
    <w:rsid w:val="0017599A"/>
    <w:pPr>
      <w:keepNext/>
      <w:spacing w:before="240" w:after="60"/>
      <w:outlineLvl w:val="1"/>
    </w:pPr>
    <w:rPr>
      <w:rFonts w:ascii="Cambria" w:hAnsi="Cambria"/>
      <w:b/>
      <w:bCs/>
      <w:i/>
      <w:i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17599A"/>
    <w:rPr>
      <w:rFonts w:ascii="Cambria" w:hAnsi="Cambria"/>
      <w:b/>
      <w:bCs/>
      <w:i/>
      <w:iCs/>
      <w:sz w:val="28"/>
      <w:szCs w:val="28"/>
      <w:lang w:val="en-US" w:eastAsia="en-US"/>
    </w:rPr>
  </w:style>
  <w:style w:type="paragraph" w:customStyle="1" w:styleId="Naslovpredpisa">
    <w:name w:val="Naslov_predpisa"/>
    <w:basedOn w:val="Navaden"/>
    <w:link w:val="NaslovpredpisaZnak"/>
    <w:qFormat/>
    <w:rsid w:val="0017599A"/>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sid w:val="0017599A"/>
    <w:rPr>
      <w:rFonts w:ascii="Arial" w:hAnsi="Arial"/>
      <w:b/>
      <w:sz w:val="22"/>
    </w:rPr>
  </w:style>
  <w:style w:type="paragraph" w:customStyle="1" w:styleId="Oddelek">
    <w:name w:val="Oddelek"/>
    <w:basedOn w:val="Navaden"/>
    <w:link w:val="OddelekZnak1"/>
    <w:qFormat/>
    <w:rsid w:val="0017599A"/>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locked/>
    <w:rsid w:val="0017599A"/>
    <w:rPr>
      <w:rFonts w:ascii="Arial" w:hAnsi="Arial"/>
      <w:b/>
      <w:sz w:val="22"/>
      <w:lang w:eastAsia="en-US"/>
    </w:rPr>
  </w:style>
  <w:style w:type="paragraph" w:styleId="Brezrazmikov">
    <w:name w:val="No Spacing"/>
    <w:link w:val="BrezrazmikovZnak"/>
    <w:uiPriority w:val="1"/>
    <w:qFormat/>
    <w:rsid w:val="0017599A"/>
    <w:rPr>
      <w:rFonts w:ascii="Arial" w:hAnsi="Arial"/>
      <w:szCs w:val="24"/>
      <w:lang w:val="en-US" w:eastAsia="en-US"/>
    </w:rPr>
  </w:style>
  <w:style w:type="paragraph" w:customStyle="1" w:styleId="Neotevilenodstavek">
    <w:name w:val="Neoštevilčen odstavek"/>
    <w:basedOn w:val="Navaden"/>
    <w:link w:val="NeotevilenodstavekZnak"/>
    <w:qFormat/>
    <w:rsid w:val="0017599A"/>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17599A"/>
    <w:rPr>
      <w:rFonts w:ascii="Arial" w:hAnsi="Arial"/>
      <w:sz w:val="22"/>
    </w:rPr>
  </w:style>
  <w:style w:type="character" w:customStyle="1" w:styleId="GlavaZnak">
    <w:name w:val="Glava Znak"/>
    <w:link w:val="Glava"/>
    <w:locked/>
    <w:rsid w:val="0017599A"/>
    <w:rPr>
      <w:rFonts w:ascii="Arial" w:hAnsi="Arial"/>
      <w:szCs w:val="24"/>
      <w:lang w:val="en-US" w:eastAsia="en-US"/>
    </w:rPr>
  </w:style>
  <w:style w:type="paragraph" w:styleId="Telobesedila-zamik2">
    <w:name w:val="Body Text Indent 2"/>
    <w:basedOn w:val="Navaden"/>
    <w:link w:val="Telobesedila-zamik2Znak"/>
    <w:uiPriority w:val="99"/>
    <w:rsid w:val="0017599A"/>
    <w:pPr>
      <w:spacing w:after="120" w:line="480" w:lineRule="auto"/>
      <w:ind w:left="283"/>
    </w:pPr>
    <w:rPr>
      <w:lang w:val="en-US"/>
    </w:rPr>
  </w:style>
  <w:style w:type="character" w:customStyle="1" w:styleId="Telobesedila-zamik2Znak">
    <w:name w:val="Telo besedila - zamik 2 Znak"/>
    <w:link w:val="Telobesedila-zamik2"/>
    <w:uiPriority w:val="99"/>
    <w:rsid w:val="0017599A"/>
    <w:rPr>
      <w:rFonts w:ascii="Arial" w:hAnsi="Arial"/>
      <w:szCs w:val="24"/>
      <w:lang w:val="en-US" w:eastAsia="en-US"/>
    </w:rPr>
  </w:style>
  <w:style w:type="character" w:customStyle="1" w:styleId="st">
    <w:name w:val="st"/>
    <w:rsid w:val="0017599A"/>
  </w:style>
  <w:style w:type="paragraph" w:styleId="Besedilooblaka">
    <w:name w:val="Balloon Text"/>
    <w:basedOn w:val="Navaden"/>
    <w:link w:val="BesedilooblakaZnak"/>
    <w:uiPriority w:val="99"/>
    <w:rsid w:val="009B75AD"/>
    <w:pPr>
      <w:spacing w:line="240" w:lineRule="auto"/>
    </w:pPr>
    <w:rPr>
      <w:rFonts w:ascii="Tahoma" w:hAnsi="Tahoma"/>
      <w:sz w:val="16"/>
      <w:szCs w:val="16"/>
      <w:lang w:val="en-US"/>
    </w:rPr>
  </w:style>
  <w:style w:type="character" w:customStyle="1" w:styleId="BesedilooblakaZnak">
    <w:name w:val="Besedilo oblačka Znak"/>
    <w:link w:val="Besedilooblaka"/>
    <w:uiPriority w:val="99"/>
    <w:rsid w:val="009B75AD"/>
    <w:rPr>
      <w:rFonts w:ascii="Tahoma" w:hAnsi="Tahoma" w:cs="Tahoma"/>
      <w:sz w:val="16"/>
      <w:szCs w:val="16"/>
      <w:lang w:val="en-US" w:eastAsia="en-US"/>
    </w:rPr>
  </w:style>
  <w:style w:type="character" w:customStyle="1" w:styleId="Bodytext">
    <w:name w:val="Body text_"/>
    <w:link w:val="BodyText2"/>
    <w:rsid w:val="00C51D18"/>
    <w:rPr>
      <w:rFonts w:ascii="Arial" w:eastAsia="Arial" w:hAnsi="Arial" w:cs="Arial"/>
      <w:sz w:val="18"/>
      <w:szCs w:val="18"/>
      <w:shd w:val="clear" w:color="auto" w:fill="FFFFFF"/>
    </w:rPr>
  </w:style>
  <w:style w:type="character" w:customStyle="1" w:styleId="Heading1">
    <w:name w:val="Heading #1_"/>
    <w:link w:val="Heading10"/>
    <w:rsid w:val="00C51D18"/>
    <w:rPr>
      <w:rFonts w:ascii="Arial" w:eastAsia="Arial" w:hAnsi="Arial" w:cs="Arial"/>
      <w:sz w:val="19"/>
      <w:szCs w:val="19"/>
      <w:shd w:val="clear" w:color="auto" w:fill="FFFFFF"/>
    </w:rPr>
  </w:style>
  <w:style w:type="paragraph" w:customStyle="1" w:styleId="BodyText2">
    <w:name w:val="Body Text2"/>
    <w:basedOn w:val="Navaden"/>
    <w:link w:val="Bodytext"/>
    <w:rsid w:val="00C51D18"/>
    <w:pPr>
      <w:shd w:val="clear" w:color="auto" w:fill="FFFFFF"/>
      <w:spacing w:line="259" w:lineRule="exact"/>
      <w:jc w:val="both"/>
    </w:pPr>
    <w:rPr>
      <w:rFonts w:eastAsia="Arial"/>
      <w:sz w:val="18"/>
      <w:szCs w:val="18"/>
    </w:rPr>
  </w:style>
  <w:style w:type="paragraph" w:customStyle="1" w:styleId="Heading10">
    <w:name w:val="Heading #1"/>
    <w:basedOn w:val="Navaden"/>
    <w:link w:val="Heading1"/>
    <w:rsid w:val="00C51D18"/>
    <w:pPr>
      <w:shd w:val="clear" w:color="auto" w:fill="FFFFFF"/>
      <w:spacing w:before="240" w:line="259" w:lineRule="exact"/>
      <w:jc w:val="both"/>
      <w:outlineLvl w:val="0"/>
    </w:pPr>
    <w:rPr>
      <w:rFonts w:eastAsia="Arial"/>
      <w:sz w:val="19"/>
      <w:szCs w:val="19"/>
    </w:rPr>
  </w:style>
  <w:style w:type="paragraph" w:styleId="Odstavekseznama">
    <w:name w:val="List Paragraph"/>
    <w:aliases w:val="numbered list"/>
    <w:basedOn w:val="Navaden"/>
    <w:link w:val="OdstavekseznamaZnak"/>
    <w:uiPriority w:val="1"/>
    <w:qFormat/>
    <w:rsid w:val="009E1BA8"/>
    <w:pPr>
      <w:ind w:left="720"/>
      <w:contextualSpacing/>
    </w:pPr>
  </w:style>
  <w:style w:type="character" w:styleId="Pripombasklic">
    <w:name w:val="annotation reference"/>
    <w:uiPriority w:val="99"/>
    <w:unhideWhenUsed/>
    <w:rsid w:val="00016506"/>
    <w:rPr>
      <w:sz w:val="16"/>
      <w:szCs w:val="16"/>
    </w:rPr>
  </w:style>
  <w:style w:type="paragraph" w:styleId="Pripombabesedilo">
    <w:name w:val="annotation text"/>
    <w:aliases w:val="Komentar - besedilo"/>
    <w:basedOn w:val="Navaden"/>
    <w:link w:val="PripombabesediloZnak"/>
    <w:uiPriority w:val="99"/>
    <w:unhideWhenUsed/>
    <w:rsid w:val="00016506"/>
    <w:rPr>
      <w:szCs w:val="20"/>
      <w:lang w:val="en-US"/>
    </w:rPr>
  </w:style>
  <w:style w:type="character" w:customStyle="1" w:styleId="PripombabesediloZnak">
    <w:name w:val="Pripomba – besedilo Znak"/>
    <w:aliases w:val="Komentar - besedilo Znak1"/>
    <w:link w:val="Pripombabesedilo"/>
    <w:rsid w:val="00016506"/>
    <w:rPr>
      <w:rFonts w:ascii="Arial" w:hAnsi="Arial"/>
      <w:lang w:val="en-US" w:eastAsia="en-US"/>
    </w:rPr>
  </w:style>
  <w:style w:type="character" w:customStyle="1" w:styleId="shorttext">
    <w:name w:val="short_text"/>
    <w:rsid w:val="00482410"/>
  </w:style>
  <w:style w:type="character" w:styleId="Krepko">
    <w:name w:val="Strong"/>
    <w:uiPriority w:val="22"/>
    <w:qFormat/>
    <w:rsid w:val="001A60E5"/>
    <w:rPr>
      <w:b/>
      <w:bCs/>
    </w:rPr>
  </w:style>
  <w:style w:type="character" w:customStyle="1" w:styleId="BodyText1">
    <w:name w:val="Body Text1"/>
    <w:rsid w:val="00C5732C"/>
    <w:rPr>
      <w:rFonts w:ascii="Arial" w:eastAsia="Arial" w:hAnsi="Arial" w:cs="Arial"/>
      <w:b w:val="0"/>
      <w:bCs w:val="0"/>
      <w:i w:val="0"/>
      <w:iCs w:val="0"/>
      <w:smallCaps w:val="0"/>
      <w:strike w:val="0"/>
      <w:spacing w:val="0"/>
      <w:sz w:val="18"/>
      <w:szCs w:val="18"/>
      <w:u w:val="single"/>
      <w:shd w:val="clear" w:color="auto" w:fill="FFFFFF"/>
    </w:rPr>
  </w:style>
  <w:style w:type="paragraph" w:customStyle="1" w:styleId="BodyText3">
    <w:name w:val="Body Text3"/>
    <w:basedOn w:val="Navaden"/>
    <w:rsid w:val="00C5732C"/>
    <w:pPr>
      <w:shd w:val="clear" w:color="auto" w:fill="FFFFFF"/>
      <w:spacing w:after="720" w:line="259" w:lineRule="exact"/>
    </w:pPr>
    <w:rPr>
      <w:rFonts w:eastAsia="Arial" w:cs="Arial"/>
      <w:color w:val="000000"/>
      <w:sz w:val="18"/>
      <w:szCs w:val="18"/>
      <w:lang w:eastAsia="sl-SI"/>
    </w:rPr>
  </w:style>
  <w:style w:type="paragraph" w:customStyle="1" w:styleId="BodyText4">
    <w:name w:val="Body Text4"/>
    <w:basedOn w:val="Navaden"/>
    <w:rsid w:val="004042E9"/>
    <w:pPr>
      <w:shd w:val="clear" w:color="auto" w:fill="FFFFFF"/>
      <w:spacing w:before="480" w:after="180" w:line="252" w:lineRule="exact"/>
      <w:jc w:val="both"/>
    </w:pPr>
    <w:rPr>
      <w:rFonts w:ascii="Arial Unicode MS" w:eastAsia="Arial Unicode MS" w:hAnsi="Arial Unicode MS" w:cs="Arial Unicode MS"/>
      <w:color w:val="000000"/>
      <w:sz w:val="21"/>
      <w:szCs w:val="21"/>
      <w:lang w:eastAsia="sl-SI"/>
    </w:rPr>
  </w:style>
  <w:style w:type="character" w:styleId="Poudarek">
    <w:name w:val="Emphasis"/>
    <w:uiPriority w:val="20"/>
    <w:qFormat/>
    <w:rsid w:val="00050C2E"/>
    <w:rPr>
      <w:b/>
      <w:bCs/>
      <w:i w:val="0"/>
      <w:iCs w:val="0"/>
    </w:rPr>
  </w:style>
  <w:style w:type="character" w:customStyle="1" w:styleId="st1">
    <w:name w:val="st1"/>
    <w:rsid w:val="00050C2E"/>
  </w:style>
  <w:style w:type="character" w:customStyle="1" w:styleId="Bodytext5">
    <w:name w:val="Body text (5)_"/>
    <w:link w:val="Bodytext50"/>
    <w:rsid w:val="00A049A9"/>
    <w:rPr>
      <w:sz w:val="17"/>
      <w:szCs w:val="17"/>
      <w:shd w:val="clear" w:color="auto" w:fill="FFFFFF"/>
    </w:rPr>
  </w:style>
  <w:style w:type="paragraph" w:customStyle="1" w:styleId="Bodytext50">
    <w:name w:val="Body text (5)"/>
    <w:basedOn w:val="Navaden"/>
    <w:link w:val="Bodytext5"/>
    <w:rsid w:val="00A049A9"/>
    <w:pPr>
      <w:shd w:val="clear" w:color="auto" w:fill="FFFFFF"/>
      <w:spacing w:after="180" w:line="259" w:lineRule="exact"/>
      <w:ind w:hanging="700"/>
      <w:jc w:val="both"/>
    </w:pPr>
    <w:rPr>
      <w:rFonts w:ascii="Times New Roman" w:hAnsi="Times New Roman"/>
      <w:sz w:val="17"/>
      <w:szCs w:val="17"/>
    </w:rPr>
  </w:style>
  <w:style w:type="character" w:customStyle="1" w:styleId="Footnote2">
    <w:name w:val="Footnote (2)_"/>
    <w:link w:val="Footnote20"/>
    <w:rsid w:val="00A049A9"/>
    <w:rPr>
      <w:shd w:val="clear" w:color="auto" w:fill="FFFFFF"/>
    </w:rPr>
  </w:style>
  <w:style w:type="character" w:customStyle="1" w:styleId="Footnote3">
    <w:name w:val="Footnote (3)_"/>
    <w:link w:val="Footnote30"/>
    <w:rsid w:val="00A049A9"/>
    <w:rPr>
      <w:shd w:val="clear" w:color="auto" w:fill="FFFFFF"/>
    </w:rPr>
  </w:style>
  <w:style w:type="character" w:customStyle="1" w:styleId="Footnote385ptNotBoldItalic">
    <w:name w:val="Footnote (3) + 8;5 pt;Not Bold;Italic"/>
    <w:rsid w:val="00A049A9"/>
    <w:rPr>
      <w:b/>
      <w:bCs/>
      <w:i/>
      <w:iCs/>
      <w:smallCaps w:val="0"/>
      <w:strike w:val="0"/>
      <w:spacing w:val="0"/>
      <w:sz w:val="17"/>
      <w:szCs w:val="17"/>
    </w:rPr>
  </w:style>
  <w:style w:type="paragraph" w:customStyle="1" w:styleId="Footnote20">
    <w:name w:val="Footnote (2)"/>
    <w:basedOn w:val="Navaden"/>
    <w:link w:val="Footnote2"/>
    <w:rsid w:val="00A049A9"/>
    <w:pPr>
      <w:shd w:val="clear" w:color="auto" w:fill="FFFFFF"/>
      <w:spacing w:line="278" w:lineRule="exact"/>
      <w:jc w:val="both"/>
    </w:pPr>
    <w:rPr>
      <w:rFonts w:ascii="Times New Roman" w:hAnsi="Times New Roman"/>
      <w:szCs w:val="20"/>
    </w:rPr>
  </w:style>
  <w:style w:type="paragraph" w:customStyle="1" w:styleId="Footnote30">
    <w:name w:val="Footnote (3)"/>
    <w:basedOn w:val="Navaden"/>
    <w:link w:val="Footnote3"/>
    <w:rsid w:val="00A049A9"/>
    <w:pPr>
      <w:shd w:val="clear" w:color="auto" w:fill="FFFFFF"/>
      <w:spacing w:line="278" w:lineRule="exact"/>
      <w:jc w:val="both"/>
    </w:pPr>
    <w:rPr>
      <w:rFonts w:ascii="Times New Roman" w:hAnsi="Times New Roman"/>
      <w:szCs w:val="20"/>
    </w:rPr>
  </w:style>
  <w:style w:type="paragraph" w:styleId="Navadensplet">
    <w:name w:val="Normal (Web)"/>
    <w:basedOn w:val="Navaden"/>
    <w:uiPriority w:val="99"/>
    <w:unhideWhenUsed/>
    <w:rsid w:val="009E6427"/>
    <w:pPr>
      <w:spacing w:before="100" w:beforeAutospacing="1" w:after="100" w:afterAutospacing="1" w:line="240" w:lineRule="auto"/>
    </w:pPr>
    <w:rPr>
      <w:rFonts w:ascii="Times New Roman" w:hAnsi="Times New Roman"/>
      <w:sz w:val="24"/>
      <w:lang w:eastAsia="sl-SI"/>
    </w:rPr>
  </w:style>
  <w:style w:type="paragraph" w:customStyle="1" w:styleId="text-justify1">
    <w:name w:val="text-justify1"/>
    <w:basedOn w:val="Navaden"/>
    <w:rsid w:val="00E638D9"/>
    <w:pPr>
      <w:spacing w:line="240" w:lineRule="auto"/>
      <w:jc w:val="both"/>
    </w:pPr>
    <w:rPr>
      <w:rFonts w:ascii="Times New Roman" w:hAnsi="Times New Roman"/>
      <w:sz w:val="24"/>
      <w:lang w:eastAsia="sl-SI"/>
    </w:rPr>
  </w:style>
  <w:style w:type="character" w:customStyle="1" w:styleId="Nerazreenaomemba1">
    <w:name w:val="Nerazrešena omemba1"/>
    <w:uiPriority w:val="99"/>
    <w:semiHidden/>
    <w:unhideWhenUsed/>
    <w:rsid w:val="00E638D9"/>
    <w:rPr>
      <w:color w:val="605E5C"/>
      <w:shd w:val="clear" w:color="auto" w:fill="E1DFDD"/>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iPriority w:val="99"/>
    <w:unhideWhenUsed/>
    <w:rsid w:val="00A4469D"/>
    <w:pPr>
      <w:spacing w:line="240" w:lineRule="auto"/>
      <w:jc w:val="both"/>
    </w:pPr>
    <w:rPr>
      <w:rFonts w:ascii="Times New Roman" w:hAnsi="Times New Roman"/>
      <w:szCs w:val="20"/>
      <w:lang w:eastAsia="zh-CN"/>
    </w:r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link w:val="Sprotnaopomba-besedilo"/>
    <w:uiPriority w:val="99"/>
    <w:rsid w:val="00A4469D"/>
    <w:rPr>
      <w:lang w:eastAsia="zh-CN"/>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iPriority w:val="99"/>
    <w:unhideWhenUsed/>
    <w:qFormat/>
    <w:rsid w:val="00A4469D"/>
    <w:rPr>
      <w:vertAlign w:val="superscript"/>
    </w:rPr>
  </w:style>
  <w:style w:type="paragraph" w:customStyle="1" w:styleId="Brezrazmikov1">
    <w:name w:val="Brez razmikov1"/>
    <w:uiPriority w:val="1"/>
    <w:qFormat/>
    <w:rsid w:val="00A4469D"/>
    <w:rPr>
      <w:rFonts w:ascii="Trebuchet MS" w:eastAsia="Calibri" w:hAnsi="Trebuchet MS"/>
      <w:szCs w:val="22"/>
      <w:lang w:eastAsia="en-US"/>
    </w:rPr>
  </w:style>
  <w:style w:type="paragraph" w:customStyle="1" w:styleId="Zadevakomentarja1">
    <w:name w:val="Zadeva komentarja1"/>
    <w:basedOn w:val="Pripombabesedilo"/>
    <w:next w:val="Pripombabesedilo"/>
    <w:link w:val="ZadevakomentarjaZnak"/>
    <w:rsid w:val="00C93E72"/>
    <w:rPr>
      <w:b/>
      <w:bCs/>
    </w:rPr>
  </w:style>
  <w:style w:type="character" w:customStyle="1" w:styleId="ZadevakomentarjaZnak">
    <w:name w:val="Zadeva komentarja Znak"/>
    <w:link w:val="Zadevakomentarja1"/>
    <w:rsid w:val="00C93E72"/>
    <w:rPr>
      <w:rFonts w:ascii="Arial" w:hAnsi="Arial"/>
      <w:b/>
      <w:bCs/>
      <w:lang w:val="en-US" w:eastAsia="en-US"/>
    </w:rPr>
  </w:style>
  <w:style w:type="character" w:customStyle="1" w:styleId="Nerazreenaomemba10">
    <w:name w:val="Nerazrešena omemba1"/>
    <w:uiPriority w:val="99"/>
    <w:semiHidden/>
    <w:unhideWhenUsed/>
    <w:rsid w:val="009B24A6"/>
    <w:rPr>
      <w:color w:val="605E5C"/>
      <w:shd w:val="clear" w:color="auto" w:fill="E1DFDD"/>
    </w:rPr>
  </w:style>
  <w:style w:type="character" w:customStyle="1" w:styleId="ZadevapripombeZnak">
    <w:name w:val="Zadeva pripombe Znak"/>
    <w:uiPriority w:val="99"/>
    <w:rsid w:val="009B24A6"/>
    <w:rPr>
      <w:rFonts w:ascii="Arial" w:hAnsi="Arial"/>
      <w:b/>
      <w:bCs/>
      <w:lang w:val="en-US" w:eastAsia="en-US"/>
    </w:rPr>
  </w:style>
  <w:style w:type="paragraph" w:styleId="Revizija">
    <w:name w:val="Revision"/>
    <w:hidden/>
    <w:uiPriority w:val="99"/>
    <w:semiHidden/>
    <w:rsid w:val="009B24A6"/>
    <w:rPr>
      <w:rFonts w:ascii="Arial" w:hAnsi="Arial"/>
      <w:szCs w:val="24"/>
      <w:lang w:eastAsia="en-US"/>
    </w:rPr>
  </w:style>
  <w:style w:type="character" w:styleId="SledenaHiperpovezava">
    <w:name w:val="FollowedHyperlink"/>
    <w:uiPriority w:val="99"/>
    <w:rsid w:val="009B24A6"/>
    <w:rPr>
      <w:color w:val="954F72"/>
      <w:u w:val="single"/>
    </w:rPr>
  </w:style>
  <w:style w:type="character" w:customStyle="1" w:styleId="Naslov1Znak">
    <w:name w:val="Naslov 1 Znak"/>
    <w:aliases w:val="NASLOV Znak"/>
    <w:link w:val="Naslov1"/>
    <w:uiPriority w:val="9"/>
    <w:rsid w:val="000266FA"/>
    <w:rPr>
      <w:rFonts w:ascii="Arial" w:hAnsi="Arial"/>
      <w:bCs/>
      <w:kern w:val="32"/>
      <w:lang w:eastAsia="en-US"/>
    </w:rPr>
  </w:style>
  <w:style w:type="paragraph" w:customStyle="1" w:styleId="Odstavek">
    <w:name w:val="Odstavek"/>
    <w:basedOn w:val="Navaden"/>
    <w:link w:val="OdstavekZnak"/>
    <w:qFormat/>
    <w:rsid w:val="00794674"/>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794674"/>
    <w:rPr>
      <w:rFonts w:ascii="Arial" w:hAnsi="Arial"/>
      <w:sz w:val="22"/>
      <w:szCs w:val="22"/>
    </w:rPr>
  </w:style>
  <w:style w:type="character" w:customStyle="1" w:styleId="OdstavekseznamaZnak">
    <w:name w:val="Odstavek seznama Znak"/>
    <w:aliases w:val="numbered list Znak"/>
    <w:link w:val="Odstavekseznama"/>
    <w:uiPriority w:val="1"/>
    <w:qFormat/>
    <w:locked/>
    <w:rsid w:val="00794674"/>
    <w:rPr>
      <w:rFonts w:ascii="Arial" w:hAnsi="Arial"/>
      <w:szCs w:val="24"/>
      <w:lang w:eastAsia="en-US"/>
    </w:rPr>
  </w:style>
  <w:style w:type="character" w:customStyle="1" w:styleId="BrezrazmikovZnak">
    <w:name w:val="Brez razmikov Znak"/>
    <w:link w:val="Brezrazmikov"/>
    <w:uiPriority w:val="1"/>
    <w:rsid w:val="00794674"/>
    <w:rPr>
      <w:rFonts w:ascii="Arial" w:hAnsi="Arial"/>
      <w:szCs w:val="24"/>
      <w:lang w:val="en-US" w:eastAsia="en-US" w:bidi="ar-SA"/>
    </w:rPr>
  </w:style>
  <w:style w:type="paragraph" w:customStyle="1" w:styleId="Default">
    <w:name w:val="Default"/>
    <w:rsid w:val="00794674"/>
    <w:pPr>
      <w:autoSpaceDE w:val="0"/>
      <w:autoSpaceDN w:val="0"/>
      <w:adjustRightInd w:val="0"/>
    </w:pPr>
    <w:rPr>
      <w:rFonts w:ascii="Arial" w:eastAsia="Calibri" w:hAnsi="Arial" w:cs="Arial"/>
      <w:color w:val="000000"/>
      <w:sz w:val="24"/>
      <w:szCs w:val="24"/>
      <w:lang w:eastAsia="en-US"/>
    </w:rPr>
  </w:style>
  <w:style w:type="paragraph" w:styleId="Zadevapripombe">
    <w:name w:val="annotation subject"/>
    <w:basedOn w:val="Pripombabesedilo"/>
    <w:next w:val="Pripombabesedilo"/>
    <w:link w:val="ZadevapripombeZnak1"/>
    <w:uiPriority w:val="99"/>
    <w:rsid w:val="00EF105C"/>
    <w:pPr>
      <w:spacing w:line="240" w:lineRule="auto"/>
    </w:pPr>
    <w:rPr>
      <w:b/>
      <w:bCs/>
      <w:lang w:val="sl-SI"/>
    </w:rPr>
  </w:style>
  <w:style w:type="character" w:customStyle="1" w:styleId="ZadevapripombeZnak1">
    <w:name w:val="Zadeva pripombe Znak1"/>
    <w:basedOn w:val="PripombabesediloZnak"/>
    <w:link w:val="Zadevapripombe"/>
    <w:rsid w:val="00EF105C"/>
    <w:rPr>
      <w:rFonts w:ascii="Arial" w:hAnsi="Arial"/>
      <w:b/>
      <w:bCs/>
      <w:lang w:val="en-US" w:eastAsia="en-US"/>
    </w:rPr>
  </w:style>
  <w:style w:type="paragraph" w:customStyle="1" w:styleId="Vrstapredpisa">
    <w:name w:val="Vrsta predpisa"/>
    <w:basedOn w:val="Navaden"/>
    <w:link w:val="VrstapredpisaZnak"/>
    <w:qFormat/>
    <w:rsid w:val="00621206"/>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621206"/>
    <w:rPr>
      <w:rFonts w:ascii="Arial" w:hAnsi="Arial" w:cs="Arial"/>
      <w:b/>
      <w:bCs/>
      <w:color w:val="000000"/>
      <w:spacing w:val="40"/>
      <w:sz w:val="22"/>
      <w:szCs w:val="22"/>
    </w:rPr>
  </w:style>
  <w:style w:type="paragraph" w:customStyle="1" w:styleId="len">
    <w:name w:val="Člen"/>
    <w:basedOn w:val="Navaden"/>
    <w:link w:val="lenZnak"/>
    <w:qFormat/>
    <w:rsid w:val="00621206"/>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621206"/>
    <w:rPr>
      <w:rFonts w:ascii="Arial" w:hAnsi="Arial"/>
      <w:b/>
      <w:sz w:val="22"/>
      <w:szCs w:val="22"/>
    </w:rPr>
  </w:style>
  <w:style w:type="paragraph" w:customStyle="1" w:styleId="lennaslov">
    <w:name w:val="Člen_naslov"/>
    <w:basedOn w:val="len"/>
    <w:qFormat/>
    <w:rsid w:val="00621206"/>
    <w:pPr>
      <w:spacing w:before="0"/>
    </w:pPr>
  </w:style>
  <w:style w:type="paragraph" w:customStyle="1" w:styleId="tevilnatoka111">
    <w:name w:val="Številčna točka 1.1.1"/>
    <w:basedOn w:val="Navaden"/>
    <w:qFormat/>
    <w:rsid w:val="00621206"/>
    <w:pPr>
      <w:widowControl w:val="0"/>
      <w:numPr>
        <w:ilvl w:val="2"/>
        <w:numId w:val="15"/>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uiPriority w:val="99"/>
    <w:qFormat/>
    <w:rsid w:val="00621206"/>
    <w:pPr>
      <w:numPr>
        <w:numId w:val="15"/>
      </w:numPr>
      <w:spacing w:line="240" w:lineRule="auto"/>
      <w:jc w:val="both"/>
    </w:pPr>
    <w:rPr>
      <w:sz w:val="22"/>
      <w:szCs w:val="22"/>
    </w:rPr>
  </w:style>
  <w:style w:type="character" w:customStyle="1" w:styleId="tevilnatokaZnak">
    <w:name w:val="Številčna točka Znak"/>
    <w:link w:val="tevilnatoka"/>
    <w:uiPriority w:val="99"/>
    <w:rsid w:val="00621206"/>
    <w:rPr>
      <w:rFonts w:ascii="Arial" w:hAnsi="Arial"/>
      <w:sz w:val="22"/>
      <w:szCs w:val="22"/>
      <w:lang w:eastAsia="en-US"/>
    </w:rPr>
  </w:style>
  <w:style w:type="paragraph" w:customStyle="1" w:styleId="tevilnatoka11Nova">
    <w:name w:val="Številčna točka 1.1 Nova"/>
    <w:basedOn w:val="tevilnatoka"/>
    <w:qFormat/>
    <w:rsid w:val="00621206"/>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621206"/>
    <w:pPr>
      <w:numPr>
        <w:numId w:val="14"/>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621206"/>
    <w:rPr>
      <w:rFonts w:ascii="Arial" w:hAnsi="Arial" w:cs="Arial"/>
      <w:sz w:val="22"/>
      <w:szCs w:val="22"/>
    </w:rPr>
  </w:style>
  <w:style w:type="paragraph" w:customStyle="1" w:styleId="odstavek0">
    <w:name w:val="odstavek"/>
    <w:basedOn w:val="Navaden"/>
    <w:rsid w:val="00621206"/>
    <w:pPr>
      <w:spacing w:before="100" w:beforeAutospacing="1" w:after="100" w:afterAutospacing="1" w:line="240" w:lineRule="auto"/>
    </w:pPr>
    <w:rPr>
      <w:rFonts w:ascii="Times New Roman" w:hAnsi="Times New Roman"/>
      <w:sz w:val="24"/>
      <w:lang w:eastAsia="sl-SI"/>
    </w:rPr>
  </w:style>
  <w:style w:type="paragraph" w:customStyle="1" w:styleId="Telobesedila1">
    <w:name w:val="Telo besedila1"/>
    <w:basedOn w:val="Navaden"/>
    <w:rsid w:val="00A6018E"/>
    <w:pPr>
      <w:shd w:val="clear" w:color="auto" w:fill="FFFFFF"/>
      <w:spacing w:before="300" w:after="1560" w:line="0" w:lineRule="atLeast"/>
      <w:jc w:val="both"/>
    </w:pPr>
    <w:rPr>
      <w:rFonts w:eastAsia="Arial" w:cs="Arial"/>
      <w:color w:val="000000"/>
      <w:sz w:val="18"/>
      <w:szCs w:val="18"/>
      <w:lang w:eastAsia="sl-SI"/>
    </w:rPr>
  </w:style>
  <w:style w:type="paragraph" w:customStyle="1" w:styleId="Brezrazmikov2">
    <w:name w:val="Brez razmikov2"/>
    <w:uiPriority w:val="1"/>
    <w:qFormat/>
    <w:rsid w:val="00260A88"/>
    <w:rPr>
      <w:rFonts w:ascii="Trebuchet MS" w:eastAsia="Calibri" w:hAnsi="Trebuchet MS"/>
      <w:szCs w:val="22"/>
      <w:lang w:eastAsia="en-US"/>
    </w:rPr>
  </w:style>
  <w:style w:type="paragraph" w:customStyle="1" w:styleId="len0">
    <w:name w:val="len"/>
    <w:basedOn w:val="Navaden"/>
    <w:rsid w:val="00D052C0"/>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052C0"/>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D052C0"/>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8B2C64"/>
    <w:rPr>
      <w:color w:val="605E5C"/>
      <w:shd w:val="clear" w:color="auto" w:fill="E1DFDD"/>
    </w:rPr>
  </w:style>
  <w:style w:type="paragraph" w:styleId="Telobesedila">
    <w:name w:val="Body Text"/>
    <w:basedOn w:val="Navaden"/>
    <w:link w:val="TelobesedilaZnak"/>
    <w:uiPriority w:val="1"/>
    <w:qFormat/>
    <w:rsid w:val="000258C6"/>
    <w:pPr>
      <w:spacing w:after="120"/>
    </w:pPr>
  </w:style>
  <w:style w:type="character" w:customStyle="1" w:styleId="TelobesedilaZnak">
    <w:name w:val="Telo besedila Znak"/>
    <w:basedOn w:val="Privzetapisavaodstavka"/>
    <w:link w:val="Telobesedila"/>
    <w:uiPriority w:val="1"/>
    <w:rsid w:val="000258C6"/>
    <w:rPr>
      <w:rFonts w:ascii="Arial" w:hAnsi="Arial"/>
      <w:szCs w:val="24"/>
      <w:lang w:eastAsia="en-US"/>
    </w:rPr>
  </w:style>
  <w:style w:type="paragraph" w:customStyle="1" w:styleId="Pododdelek">
    <w:name w:val="Pododdelek"/>
    <w:basedOn w:val="Navaden"/>
    <w:link w:val="PododdelekZnak"/>
    <w:qFormat/>
    <w:rsid w:val="000258C6"/>
    <w:pPr>
      <w:tabs>
        <w:tab w:val="left" w:pos="540"/>
        <w:tab w:val="left" w:pos="900"/>
      </w:tabs>
      <w:overflowPunct w:val="0"/>
      <w:autoSpaceDE w:val="0"/>
      <w:autoSpaceDN w:val="0"/>
      <w:adjustRightInd w:val="0"/>
      <w:spacing w:before="480" w:line="240" w:lineRule="auto"/>
      <w:jc w:val="center"/>
      <w:textAlignment w:val="baseline"/>
    </w:pPr>
    <w:rPr>
      <w:sz w:val="22"/>
      <w:szCs w:val="22"/>
    </w:rPr>
  </w:style>
  <w:style w:type="character" w:customStyle="1" w:styleId="PododdelekZnak">
    <w:name w:val="Pododdelek Znak"/>
    <w:link w:val="Pododdelek"/>
    <w:rsid w:val="000258C6"/>
    <w:rPr>
      <w:rFonts w:ascii="Arial" w:hAnsi="Arial"/>
      <w:sz w:val="22"/>
      <w:szCs w:val="22"/>
    </w:rPr>
  </w:style>
  <w:style w:type="paragraph" w:customStyle="1" w:styleId="tevilnatoka1">
    <w:name w:val="tevilnatoka1"/>
    <w:basedOn w:val="Navaden"/>
    <w:rsid w:val="000258C6"/>
    <w:pPr>
      <w:spacing w:line="240" w:lineRule="auto"/>
      <w:ind w:left="425" w:hanging="425"/>
      <w:jc w:val="both"/>
    </w:pPr>
    <w:rPr>
      <w:rFonts w:cs="Arial"/>
      <w:sz w:val="22"/>
      <w:szCs w:val="22"/>
      <w:lang w:eastAsia="sl-SI"/>
    </w:rPr>
  </w:style>
  <w:style w:type="paragraph" w:customStyle="1" w:styleId="len1">
    <w:name w:val="len1"/>
    <w:basedOn w:val="Navaden"/>
    <w:rsid w:val="000258C6"/>
    <w:pPr>
      <w:spacing w:before="480" w:line="240" w:lineRule="auto"/>
      <w:jc w:val="center"/>
    </w:pPr>
    <w:rPr>
      <w:rFonts w:cs="Arial"/>
      <w:b/>
      <w:bCs/>
      <w:sz w:val="22"/>
      <w:szCs w:val="22"/>
      <w:lang w:eastAsia="sl-SI"/>
    </w:rPr>
  </w:style>
  <w:style w:type="paragraph" w:customStyle="1" w:styleId="odstavek1">
    <w:name w:val="odstavek1"/>
    <w:basedOn w:val="Navaden"/>
    <w:rsid w:val="000258C6"/>
    <w:pPr>
      <w:spacing w:before="240" w:line="240" w:lineRule="auto"/>
      <w:ind w:firstLine="1021"/>
      <w:jc w:val="both"/>
    </w:pPr>
    <w:rPr>
      <w:rFonts w:cs="Arial"/>
      <w:sz w:val="22"/>
      <w:szCs w:val="22"/>
      <w:lang w:eastAsia="sl-SI"/>
    </w:rPr>
  </w:style>
  <w:style w:type="paragraph" w:customStyle="1" w:styleId="lennaslov1">
    <w:name w:val="lennaslov1"/>
    <w:basedOn w:val="Navaden"/>
    <w:rsid w:val="000258C6"/>
    <w:pPr>
      <w:spacing w:line="240" w:lineRule="auto"/>
      <w:jc w:val="center"/>
    </w:pPr>
    <w:rPr>
      <w:rFonts w:cs="Arial"/>
      <w:b/>
      <w:bCs/>
      <w:sz w:val="22"/>
      <w:szCs w:val="22"/>
      <w:lang w:eastAsia="sl-SI"/>
    </w:rPr>
  </w:style>
  <w:style w:type="character" w:customStyle="1" w:styleId="NogaZnak">
    <w:name w:val="Noga Znak"/>
    <w:basedOn w:val="Privzetapisavaodstavka"/>
    <w:link w:val="Noga"/>
    <w:uiPriority w:val="99"/>
    <w:rsid w:val="000258C6"/>
    <w:rPr>
      <w:rFonts w:ascii="Arial" w:hAnsi="Arial"/>
      <w:szCs w:val="24"/>
      <w:lang w:eastAsia="en-US"/>
    </w:rPr>
  </w:style>
  <w:style w:type="character" w:customStyle="1" w:styleId="oj-super">
    <w:name w:val="oj-super"/>
    <w:basedOn w:val="Privzetapisavaodstavka"/>
    <w:rsid w:val="000258C6"/>
    <w:rPr>
      <w:sz w:val="17"/>
      <w:szCs w:val="17"/>
      <w:vertAlign w:val="superscript"/>
    </w:rPr>
  </w:style>
  <w:style w:type="paragraph" w:customStyle="1" w:styleId="oj-normal1">
    <w:name w:val="oj-normal1"/>
    <w:basedOn w:val="Navaden"/>
    <w:rsid w:val="000258C6"/>
    <w:pPr>
      <w:spacing w:before="120" w:line="312" w:lineRule="atLeast"/>
      <w:jc w:val="both"/>
    </w:pPr>
    <w:rPr>
      <w:rFonts w:ascii="Times New Roman" w:hAnsi="Times New Roman"/>
      <w:sz w:val="24"/>
      <w:lang w:eastAsia="sl-SI"/>
    </w:rPr>
  </w:style>
  <w:style w:type="character" w:customStyle="1" w:styleId="UnresolvedMention1">
    <w:name w:val="Unresolved Mention1"/>
    <w:basedOn w:val="Privzetapisavaodstavka"/>
    <w:uiPriority w:val="99"/>
    <w:semiHidden/>
    <w:unhideWhenUsed/>
    <w:rsid w:val="000258C6"/>
    <w:rPr>
      <w:color w:val="605E5C"/>
      <w:shd w:val="clear" w:color="auto" w:fill="E1DFDD"/>
    </w:rPr>
  </w:style>
  <w:style w:type="paragraph" w:customStyle="1" w:styleId="msonormal0">
    <w:name w:val="msonormal"/>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poglavje">
    <w:name w:val="poglavje"/>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0258C6"/>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5F44F3"/>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A93426"/>
    <w:rPr>
      <w:rFonts w:ascii="Segoe UI" w:hAnsi="Segoe UI" w:cs="Segoe UI" w:hint="default"/>
      <w:sz w:val="18"/>
      <w:szCs w:val="18"/>
    </w:rPr>
  </w:style>
  <w:style w:type="character" w:customStyle="1" w:styleId="cf11">
    <w:name w:val="cf11"/>
    <w:basedOn w:val="Privzetapisavaodstavka"/>
    <w:rsid w:val="00A93426"/>
    <w:rPr>
      <w:rFonts w:ascii="Segoe UI" w:hAnsi="Segoe UI" w:cs="Segoe UI" w:hint="default"/>
      <w:sz w:val="18"/>
      <w:szCs w:val="18"/>
    </w:rPr>
  </w:style>
  <w:style w:type="character" w:customStyle="1" w:styleId="Nerazreenaomemba3">
    <w:name w:val="Nerazrešena omemba3"/>
    <w:basedOn w:val="Privzetapisavaodstavka"/>
    <w:uiPriority w:val="99"/>
    <w:semiHidden/>
    <w:unhideWhenUsed/>
    <w:rsid w:val="003065CC"/>
    <w:rPr>
      <w:color w:val="605E5C"/>
      <w:shd w:val="clear" w:color="auto" w:fill="E1DFDD"/>
    </w:rPr>
  </w:style>
  <w:style w:type="paragraph" w:customStyle="1" w:styleId="zamik">
    <w:name w:val="zamik"/>
    <w:basedOn w:val="Navaden"/>
    <w:rsid w:val="00854B2B"/>
    <w:pPr>
      <w:spacing w:line="240" w:lineRule="auto"/>
      <w:ind w:firstLine="1021"/>
    </w:pPr>
    <w:rPr>
      <w:rFonts w:ascii="Times New Roman" w:hAnsi="Times New Roman"/>
      <w:sz w:val="24"/>
    </w:rPr>
  </w:style>
  <w:style w:type="paragraph" w:customStyle="1" w:styleId="mainText">
    <w:name w:val="mainText"/>
    <w:basedOn w:val="Navaden"/>
    <w:rsid w:val="00512760"/>
    <w:pPr>
      <w:spacing w:line="240" w:lineRule="auto"/>
    </w:pPr>
    <w:rPr>
      <w:rFonts w:ascii="Times New Roman" w:hAnsi="Times New Roman"/>
      <w:sz w:val="24"/>
      <w:lang w:val="en-US"/>
    </w:rPr>
  </w:style>
  <w:style w:type="paragraph" w:customStyle="1" w:styleId="textJustify">
    <w:name w:val="textJustify"/>
    <w:basedOn w:val="Navaden"/>
    <w:rsid w:val="00512760"/>
    <w:pPr>
      <w:spacing w:line="240" w:lineRule="auto"/>
      <w:jc w:val="both"/>
    </w:pPr>
    <w:rPr>
      <w:rFonts w:ascii="Times New Roman" w:hAnsi="Times New Roman"/>
      <w:sz w:val="24"/>
      <w:lang w:val="en-US"/>
    </w:rPr>
  </w:style>
  <w:style w:type="paragraph" w:customStyle="1" w:styleId="alineazaodstavkom1">
    <w:name w:val="alinea_za_odstavkom"/>
    <w:basedOn w:val="Navaden"/>
    <w:rsid w:val="00512760"/>
    <w:pPr>
      <w:spacing w:line="240" w:lineRule="auto"/>
      <w:ind w:hanging="425"/>
      <w:jc w:val="both"/>
    </w:pPr>
    <w:rPr>
      <w:rFonts w:ascii="Times New Roman" w:hAnsi="Times New Roman"/>
      <w:sz w:val="24"/>
      <w:lang w:val="en-US"/>
    </w:rPr>
  </w:style>
  <w:style w:type="paragraph" w:customStyle="1" w:styleId="center">
    <w:name w:val="center"/>
    <w:basedOn w:val="Navaden"/>
    <w:rsid w:val="00512760"/>
    <w:pPr>
      <w:spacing w:line="240" w:lineRule="auto"/>
      <w:jc w:val="center"/>
    </w:pPr>
    <w:rPr>
      <w:rFonts w:ascii="Times New Roman" w:hAnsi="Times New Roman"/>
      <w:sz w:val="24"/>
      <w:lang w:val="en-US"/>
    </w:rPr>
  </w:style>
  <w:style w:type="paragraph" w:customStyle="1" w:styleId="alineazastevilcnotocko">
    <w:name w:val="alinea_za_stevilcno_tocko"/>
    <w:basedOn w:val="Navaden"/>
    <w:rsid w:val="00512760"/>
    <w:pPr>
      <w:spacing w:line="240" w:lineRule="auto"/>
      <w:ind w:hanging="142"/>
      <w:jc w:val="both"/>
    </w:pPr>
    <w:rPr>
      <w:rFonts w:ascii="Times New Roman" w:hAnsi="Times New Roman"/>
      <w:sz w:val="24"/>
      <w:lang w:val="en-US"/>
    </w:rPr>
  </w:style>
  <w:style w:type="character" w:customStyle="1" w:styleId="Bodytext20">
    <w:name w:val="Body text|2_"/>
    <w:basedOn w:val="Privzetapisavaodstavka"/>
    <w:link w:val="Bodytext21"/>
    <w:uiPriority w:val="99"/>
    <w:locked/>
    <w:rsid w:val="00AE4950"/>
    <w:rPr>
      <w:rFonts w:ascii="Arial" w:hAnsi="Arial" w:cs="Arial"/>
      <w:color w:val="000000"/>
      <w:sz w:val="12"/>
      <w:szCs w:val="12"/>
    </w:rPr>
  </w:style>
  <w:style w:type="paragraph" w:customStyle="1" w:styleId="Bodytext21">
    <w:name w:val="Body text|2"/>
    <w:basedOn w:val="Navaden"/>
    <w:link w:val="Bodytext20"/>
    <w:uiPriority w:val="99"/>
    <w:rsid w:val="00AE4950"/>
    <w:pPr>
      <w:widowControl w:val="0"/>
      <w:spacing w:line="240" w:lineRule="auto"/>
    </w:pPr>
    <w:rPr>
      <w:rFonts w:cs="Arial"/>
      <w:color w:val="000000"/>
      <w:sz w:val="12"/>
      <w:szCs w:val="12"/>
      <w:lang w:eastAsia="sl-SI"/>
    </w:rPr>
  </w:style>
  <w:style w:type="character" w:customStyle="1" w:styleId="PripombabesediloZnak1">
    <w:name w:val="Pripomba – besedilo Znak1"/>
    <w:aliases w:val="Komentar - besedilo Znak"/>
    <w:basedOn w:val="Privzetapisavaodstavka"/>
    <w:uiPriority w:val="99"/>
    <w:rsid w:val="00C32B8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076">
      <w:bodyDiv w:val="1"/>
      <w:marLeft w:val="0"/>
      <w:marRight w:val="0"/>
      <w:marTop w:val="0"/>
      <w:marBottom w:val="0"/>
      <w:divBdr>
        <w:top w:val="none" w:sz="0" w:space="0" w:color="auto"/>
        <w:left w:val="none" w:sz="0" w:space="0" w:color="auto"/>
        <w:bottom w:val="none" w:sz="0" w:space="0" w:color="auto"/>
        <w:right w:val="none" w:sz="0" w:space="0" w:color="auto"/>
      </w:divBdr>
      <w:divsChild>
        <w:div w:id="1550805500">
          <w:marLeft w:val="0"/>
          <w:marRight w:val="0"/>
          <w:marTop w:val="0"/>
          <w:marBottom w:val="0"/>
          <w:divBdr>
            <w:top w:val="none" w:sz="0" w:space="0" w:color="auto"/>
            <w:left w:val="none" w:sz="0" w:space="0" w:color="auto"/>
            <w:bottom w:val="none" w:sz="0" w:space="0" w:color="auto"/>
            <w:right w:val="none" w:sz="0" w:space="0" w:color="auto"/>
          </w:divBdr>
        </w:div>
      </w:divsChild>
    </w:div>
    <w:div w:id="36010991">
      <w:bodyDiv w:val="1"/>
      <w:marLeft w:val="0"/>
      <w:marRight w:val="0"/>
      <w:marTop w:val="0"/>
      <w:marBottom w:val="0"/>
      <w:divBdr>
        <w:top w:val="none" w:sz="0" w:space="0" w:color="auto"/>
        <w:left w:val="none" w:sz="0" w:space="0" w:color="auto"/>
        <w:bottom w:val="none" w:sz="0" w:space="0" w:color="auto"/>
        <w:right w:val="none" w:sz="0" w:space="0" w:color="auto"/>
      </w:divBdr>
    </w:div>
    <w:div w:id="81074583">
      <w:bodyDiv w:val="1"/>
      <w:marLeft w:val="0"/>
      <w:marRight w:val="0"/>
      <w:marTop w:val="0"/>
      <w:marBottom w:val="0"/>
      <w:divBdr>
        <w:top w:val="none" w:sz="0" w:space="0" w:color="auto"/>
        <w:left w:val="none" w:sz="0" w:space="0" w:color="auto"/>
        <w:bottom w:val="none" w:sz="0" w:space="0" w:color="auto"/>
        <w:right w:val="none" w:sz="0" w:space="0" w:color="auto"/>
      </w:divBdr>
    </w:div>
    <w:div w:id="148330294">
      <w:bodyDiv w:val="1"/>
      <w:marLeft w:val="0"/>
      <w:marRight w:val="0"/>
      <w:marTop w:val="0"/>
      <w:marBottom w:val="0"/>
      <w:divBdr>
        <w:top w:val="none" w:sz="0" w:space="0" w:color="auto"/>
        <w:left w:val="none" w:sz="0" w:space="0" w:color="auto"/>
        <w:bottom w:val="none" w:sz="0" w:space="0" w:color="auto"/>
        <w:right w:val="none" w:sz="0" w:space="0" w:color="auto"/>
      </w:divBdr>
    </w:div>
    <w:div w:id="152989193">
      <w:bodyDiv w:val="1"/>
      <w:marLeft w:val="0"/>
      <w:marRight w:val="0"/>
      <w:marTop w:val="0"/>
      <w:marBottom w:val="0"/>
      <w:divBdr>
        <w:top w:val="none" w:sz="0" w:space="0" w:color="auto"/>
        <w:left w:val="none" w:sz="0" w:space="0" w:color="auto"/>
        <w:bottom w:val="none" w:sz="0" w:space="0" w:color="auto"/>
        <w:right w:val="none" w:sz="0" w:space="0" w:color="auto"/>
      </w:divBdr>
    </w:div>
    <w:div w:id="167255954">
      <w:bodyDiv w:val="1"/>
      <w:marLeft w:val="0"/>
      <w:marRight w:val="0"/>
      <w:marTop w:val="0"/>
      <w:marBottom w:val="0"/>
      <w:divBdr>
        <w:top w:val="none" w:sz="0" w:space="0" w:color="auto"/>
        <w:left w:val="none" w:sz="0" w:space="0" w:color="auto"/>
        <w:bottom w:val="none" w:sz="0" w:space="0" w:color="auto"/>
        <w:right w:val="none" w:sz="0" w:space="0" w:color="auto"/>
      </w:divBdr>
    </w:div>
    <w:div w:id="206069543">
      <w:bodyDiv w:val="1"/>
      <w:marLeft w:val="0"/>
      <w:marRight w:val="0"/>
      <w:marTop w:val="0"/>
      <w:marBottom w:val="0"/>
      <w:divBdr>
        <w:top w:val="none" w:sz="0" w:space="0" w:color="auto"/>
        <w:left w:val="none" w:sz="0" w:space="0" w:color="auto"/>
        <w:bottom w:val="none" w:sz="0" w:space="0" w:color="auto"/>
        <w:right w:val="none" w:sz="0" w:space="0" w:color="auto"/>
      </w:divBdr>
    </w:div>
    <w:div w:id="229197102">
      <w:bodyDiv w:val="1"/>
      <w:marLeft w:val="0"/>
      <w:marRight w:val="0"/>
      <w:marTop w:val="0"/>
      <w:marBottom w:val="0"/>
      <w:divBdr>
        <w:top w:val="none" w:sz="0" w:space="0" w:color="auto"/>
        <w:left w:val="none" w:sz="0" w:space="0" w:color="auto"/>
        <w:bottom w:val="none" w:sz="0" w:space="0" w:color="auto"/>
        <w:right w:val="none" w:sz="0" w:space="0" w:color="auto"/>
      </w:divBdr>
      <w:divsChild>
        <w:div w:id="1229342305">
          <w:marLeft w:val="0"/>
          <w:marRight w:val="0"/>
          <w:marTop w:val="0"/>
          <w:marBottom w:val="0"/>
          <w:divBdr>
            <w:top w:val="none" w:sz="0" w:space="0" w:color="auto"/>
            <w:left w:val="none" w:sz="0" w:space="0" w:color="auto"/>
            <w:bottom w:val="none" w:sz="0" w:space="0" w:color="auto"/>
            <w:right w:val="none" w:sz="0" w:space="0" w:color="auto"/>
          </w:divBdr>
          <w:divsChild>
            <w:div w:id="11552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4064">
      <w:bodyDiv w:val="1"/>
      <w:marLeft w:val="0"/>
      <w:marRight w:val="0"/>
      <w:marTop w:val="0"/>
      <w:marBottom w:val="0"/>
      <w:divBdr>
        <w:top w:val="none" w:sz="0" w:space="0" w:color="auto"/>
        <w:left w:val="none" w:sz="0" w:space="0" w:color="auto"/>
        <w:bottom w:val="none" w:sz="0" w:space="0" w:color="auto"/>
        <w:right w:val="none" w:sz="0" w:space="0" w:color="auto"/>
      </w:divBdr>
      <w:divsChild>
        <w:div w:id="1975868853">
          <w:marLeft w:val="0"/>
          <w:marRight w:val="0"/>
          <w:marTop w:val="0"/>
          <w:marBottom w:val="0"/>
          <w:divBdr>
            <w:top w:val="none" w:sz="0" w:space="0" w:color="auto"/>
            <w:left w:val="none" w:sz="0" w:space="0" w:color="auto"/>
            <w:bottom w:val="none" w:sz="0" w:space="0" w:color="auto"/>
            <w:right w:val="none" w:sz="0" w:space="0" w:color="auto"/>
          </w:divBdr>
        </w:div>
      </w:divsChild>
    </w:div>
    <w:div w:id="361327352">
      <w:bodyDiv w:val="1"/>
      <w:marLeft w:val="0"/>
      <w:marRight w:val="0"/>
      <w:marTop w:val="0"/>
      <w:marBottom w:val="0"/>
      <w:divBdr>
        <w:top w:val="none" w:sz="0" w:space="0" w:color="auto"/>
        <w:left w:val="none" w:sz="0" w:space="0" w:color="auto"/>
        <w:bottom w:val="none" w:sz="0" w:space="0" w:color="auto"/>
        <w:right w:val="none" w:sz="0" w:space="0" w:color="auto"/>
      </w:divBdr>
    </w:div>
    <w:div w:id="363948176">
      <w:bodyDiv w:val="1"/>
      <w:marLeft w:val="0"/>
      <w:marRight w:val="0"/>
      <w:marTop w:val="0"/>
      <w:marBottom w:val="0"/>
      <w:divBdr>
        <w:top w:val="none" w:sz="0" w:space="0" w:color="auto"/>
        <w:left w:val="none" w:sz="0" w:space="0" w:color="auto"/>
        <w:bottom w:val="none" w:sz="0" w:space="0" w:color="auto"/>
        <w:right w:val="none" w:sz="0" w:space="0" w:color="auto"/>
      </w:divBdr>
    </w:div>
    <w:div w:id="365452907">
      <w:bodyDiv w:val="1"/>
      <w:marLeft w:val="0"/>
      <w:marRight w:val="0"/>
      <w:marTop w:val="0"/>
      <w:marBottom w:val="0"/>
      <w:divBdr>
        <w:top w:val="none" w:sz="0" w:space="0" w:color="auto"/>
        <w:left w:val="none" w:sz="0" w:space="0" w:color="auto"/>
        <w:bottom w:val="none" w:sz="0" w:space="0" w:color="auto"/>
        <w:right w:val="none" w:sz="0" w:space="0" w:color="auto"/>
      </w:divBdr>
      <w:divsChild>
        <w:div w:id="1658802863">
          <w:marLeft w:val="0"/>
          <w:marRight w:val="0"/>
          <w:marTop w:val="0"/>
          <w:marBottom w:val="0"/>
          <w:divBdr>
            <w:top w:val="none" w:sz="0" w:space="0" w:color="auto"/>
            <w:left w:val="none" w:sz="0" w:space="0" w:color="auto"/>
            <w:bottom w:val="none" w:sz="0" w:space="0" w:color="auto"/>
            <w:right w:val="none" w:sz="0" w:space="0" w:color="auto"/>
          </w:divBdr>
        </w:div>
      </w:divsChild>
    </w:div>
    <w:div w:id="366569063">
      <w:bodyDiv w:val="1"/>
      <w:marLeft w:val="0"/>
      <w:marRight w:val="0"/>
      <w:marTop w:val="0"/>
      <w:marBottom w:val="0"/>
      <w:divBdr>
        <w:top w:val="none" w:sz="0" w:space="0" w:color="auto"/>
        <w:left w:val="none" w:sz="0" w:space="0" w:color="auto"/>
        <w:bottom w:val="none" w:sz="0" w:space="0" w:color="auto"/>
        <w:right w:val="none" w:sz="0" w:space="0" w:color="auto"/>
      </w:divBdr>
    </w:div>
    <w:div w:id="376322814">
      <w:bodyDiv w:val="1"/>
      <w:marLeft w:val="0"/>
      <w:marRight w:val="0"/>
      <w:marTop w:val="0"/>
      <w:marBottom w:val="0"/>
      <w:divBdr>
        <w:top w:val="none" w:sz="0" w:space="0" w:color="auto"/>
        <w:left w:val="none" w:sz="0" w:space="0" w:color="auto"/>
        <w:bottom w:val="none" w:sz="0" w:space="0" w:color="auto"/>
        <w:right w:val="none" w:sz="0" w:space="0" w:color="auto"/>
      </w:divBdr>
    </w:div>
    <w:div w:id="380523468">
      <w:bodyDiv w:val="1"/>
      <w:marLeft w:val="0"/>
      <w:marRight w:val="0"/>
      <w:marTop w:val="0"/>
      <w:marBottom w:val="0"/>
      <w:divBdr>
        <w:top w:val="none" w:sz="0" w:space="0" w:color="auto"/>
        <w:left w:val="none" w:sz="0" w:space="0" w:color="auto"/>
        <w:bottom w:val="none" w:sz="0" w:space="0" w:color="auto"/>
        <w:right w:val="none" w:sz="0" w:space="0" w:color="auto"/>
      </w:divBdr>
    </w:div>
    <w:div w:id="381947652">
      <w:bodyDiv w:val="1"/>
      <w:marLeft w:val="0"/>
      <w:marRight w:val="0"/>
      <w:marTop w:val="0"/>
      <w:marBottom w:val="0"/>
      <w:divBdr>
        <w:top w:val="none" w:sz="0" w:space="0" w:color="auto"/>
        <w:left w:val="none" w:sz="0" w:space="0" w:color="auto"/>
        <w:bottom w:val="none" w:sz="0" w:space="0" w:color="auto"/>
        <w:right w:val="none" w:sz="0" w:space="0" w:color="auto"/>
      </w:divBdr>
    </w:div>
    <w:div w:id="424226284">
      <w:bodyDiv w:val="1"/>
      <w:marLeft w:val="0"/>
      <w:marRight w:val="0"/>
      <w:marTop w:val="0"/>
      <w:marBottom w:val="0"/>
      <w:divBdr>
        <w:top w:val="none" w:sz="0" w:space="0" w:color="auto"/>
        <w:left w:val="none" w:sz="0" w:space="0" w:color="auto"/>
        <w:bottom w:val="none" w:sz="0" w:space="0" w:color="auto"/>
        <w:right w:val="none" w:sz="0" w:space="0" w:color="auto"/>
      </w:divBdr>
    </w:div>
    <w:div w:id="469055278">
      <w:bodyDiv w:val="1"/>
      <w:marLeft w:val="0"/>
      <w:marRight w:val="0"/>
      <w:marTop w:val="0"/>
      <w:marBottom w:val="0"/>
      <w:divBdr>
        <w:top w:val="none" w:sz="0" w:space="0" w:color="auto"/>
        <w:left w:val="none" w:sz="0" w:space="0" w:color="auto"/>
        <w:bottom w:val="none" w:sz="0" w:space="0" w:color="auto"/>
        <w:right w:val="none" w:sz="0" w:space="0" w:color="auto"/>
      </w:divBdr>
    </w:div>
    <w:div w:id="495998015">
      <w:bodyDiv w:val="1"/>
      <w:marLeft w:val="0"/>
      <w:marRight w:val="0"/>
      <w:marTop w:val="0"/>
      <w:marBottom w:val="0"/>
      <w:divBdr>
        <w:top w:val="none" w:sz="0" w:space="0" w:color="auto"/>
        <w:left w:val="none" w:sz="0" w:space="0" w:color="auto"/>
        <w:bottom w:val="none" w:sz="0" w:space="0" w:color="auto"/>
        <w:right w:val="none" w:sz="0" w:space="0" w:color="auto"/>
      </w:divBdr>
    </w:div>
    <w:div w:id="512960402">
      <w:bodyDiv w:val="1"/>
      <w:marLeft w:val="0"/>
      <w:marRight w:val="0"/>
      <w:marTop w:val="0"/>
      <w:marBottom w:val="0"/>
      <w:divBdr>
        <w:top w:val="none" w:sz="0" w:space="0" w:color="auto"/>
        <w:left w:val="none" w:sz="0" w:space="0" w:color="auto"/>
        <w:bottom w:val="none" w:sz="0" w:space="0" w:color="auto"/>
        <w:right w:val="none" w:sz="0" w:space="0" w:color="auto"/>
      </w:divBdr>
    </w:div>
    <w:div w:id="514468403">
      <w:bodyDiv w:val="1"/>
      <w:marLeft w:val="0"/>
      <w:marRight w:val="0"/>
      <w:marTop w:val="0"/>
      <w:marBottom w:val="0"/>
      <w:divBdr>
        <w:top w:val="none" w:sz="0" w:space="0" w:color="auto"/>
        <w:left w:val="none" w:sz="0" w:space="0" w:color="auto"/>
        <w:bottom w:val="none" w:sz="0" w:space="0" w:color="auto"/>
        <w:right w:val="none" w:sz="0" w:space="0" w:color="auto"/>
      </w:divBdr>
    </w:div>
    <w:div w:id="602539488">
      <w:bodyDiv w:val="1"/>
      <w:marLeft w:val="0"/>
      <w:marRight w:val="0"/>
      <w:marTop w:val="0"/>
      <w:marBottom w:val="0"/>
      <w:divBdr>
        <w:top w:val="none" w:sz="0" w:space="0" w:color="auto"/>
        <w:left w:val="none" w:sz="0" w:space="0" w:color="auto"/>
        <w:bottom w:val="none" w:sz="0" w:space="0" w:color="auto"/>
        <w:right w:val="none" w:sz="0" w:space="0" w:color="auto"/>
      </w:divBdr>
    </w:div>
    <w:div w:id="636765645">
      <w:bodyDiv w:val="1"/>
      <w:marLeft w:val="0"/>
      <w:marRight w:val="0"/>
      <w:marTop w:val="0"/>
      <w:marBottom w:val="0"/>
      <w:divBdr>
        <w:top w:val="none" w:sz="0" w:space="0" w:color="auto"/>
        <w:left w:val="none" w:sz="0" w:space="0" w:color="auto"/>
        <w:bottom w:val="none" w:sz="0" w:space="0" w:color="auto"/>
        <w:right w:val="none" w:sz="0" w:space="0" w:color="auto"/>
      </w:divBdr>
    </w:div>
    <w:div w:id="712925895">
      <w:bodyDiv w:val="1"/>
      <w:marLeft w:val="0"/>
      <w:marRight w:val="0"/>
      <w:marTop w:val="0"/>
      <w:marBottom w:val="0"/>
      <w:divBdr>
        <w:top w:val="none" w:sz="0" w:space="0" w:color="auto"/>
        <w:left w:val="none" w:sz="0" w:space="0" w:color="auto"/>
        <w:bottom w:val="none" w:sz="0" w:space="0" w:color="auto"/>
        <w:right w:val="none" w:sz="0" w:space="0" w:color="auto"/>
      </w:divBdr>
    </w:div>
    <w:div w:id="743991291">
      <w:bodyDiv w:val="1"/>
      <w:marLeft w:val="0"/>
      <w:marRight w:val="0"/>
      <w:marTop w:val="0"/>
      <w:marBottom w:val="0"/>
      <w:divBdr>
        <w:top w:val="none" w:sz="0" w:space="0" w:color="auto"/>
        <w:left w:val="none" w:sz="0" w:space="0" w:color="auto"/>
        <w:bottom w:val="none" w:sz="0" w:space="0" w:color="auto"/>
        <w:right w:val="none" w:sz="0" w:space="0" w:color="auto"/>
      </w:divBdr>
    </w:div>
    <w:div w:id="751895353">
      <w:bodyDiv w:val="1"/>
      <w:marLeft w:val="0"/>
      <w:marRight w:val="0"/>
      <w:marTop w:val="0"/>
      <w:marBottom w:val="0"/>
      <w:divBdr>
        <w:top w:val="none" w:sz="0" w:space="0" w:color="auto"/>
        <w:left w:val="none" w:sz="0" w:space="0" w:color="auto"/>
        <w:bottom w:val="none" w:sz="0" w:space="0" w:color="auto"/>
        <w:right w:val="none" w:sz="0" w:space="0" w:color="auto"/>
      </w:divBdr>
    </w:div>
    <w:div w:id="781345103">
      <w:bodyDiv w:val="1"/>
      <w:marLeft w:val="0"/>
      <w:marRight w:val="0"/>
      <w:marTop w:val="0"/>
      <w:marBottom w:val="0"/>
      <w:divBdr>
        <w:top w:val="none" w:sz="0" w:space="0" w:color="auto"/>
        <w:left w:val="none" w:sz="0" w:space="0" w:color="auto"/>
        <w:bottom w:val="none" w:sz="0" w:space="0" w:color="auto"/>
        <w:right w:val="none" w:sz="0" w:space="0" w:color="auto"/>
      </w:divBdr>
    </w:div>
    <w:div w:id="837813549">
      <w:bodyDiv w:val="1"/>
      <w:marLeft w:val="0"/>
      <w:marRight w:val="0"/>
      <w:marTop w:val="0"/>
      <w:marBottom w:val="0"/>
      <w:divBdr>
        <w:top w:val="none" w:sz="0" w:space="0" w:color="auto"/>
        <w:left w:val="none" w:sz="0" w:space="0" w:color="auto"/>
        <w:bottom w:val="none" w:sz="0" w:space="0" w:color="auto"/>
        <w:right w:val="none" w:sz="0" w:space="0" w:color="auto"/>
      </w:divBdr>
    </w:div>
    <w:div w:id="863591116">
      <w:bodyDiv w:val="1"/>
      <w:marLeft w:val="0"/>
      <w:marRight w:val="0"/>
      <w:marTop w:val="0"/>
      <w:marBottom w:val="0"/>
      <w:divBdr>
        <w:top w:val="none" w:sz="0" w:space="0" w:color="auto"/>
        <w:left w:val="none" w:sz="0" w:space="0" w:color="auto"/>
        <w:bottom w:val="none" w:sz="0" w:space="0" w:color="auto"/>
        <w:right w:val="none" w:sz="0" w:space="0" w:color="auto"/>
      </w:divBdr>
    </w:div>
    <w:div w:id="876549804">
      <w:bodyDiv w:val="1"/>
      <w:marLeft w:val="0"/>
      <w:marRight w:val="0"/>
      <w:marTop w:val="0"/>
      <w:marBottom w:val="0"/>
      <w:divBdr>
        <w:top w:val="none" w:sz="0" w:space="0" w:color="auto"/>
        <w:left w:val="none" w:sz="0" w:space="0" w:color="auto"/>
        <w:bottom w:val="none" w:sz="0" w:space="0" w:color="auto"/>
        <w:right w:val="none" w:sz="0" w:space="0" w:color="auto"/>
      </w:divBdr>
    </w:div>
    <w:div w:id="903495078">
      <w:bodyDiv w:val="1"/>
      <w:marLeft w:val="0"/>
      <w:marRight w:val="0"/>
      <w:marTop w:val="0"/>
      <w:marBottom w:val="0"/>
      <w:divBdr>
        <w:top w:val="none" w:sz="0" w:space="0" w:color="auto"/>
        <w:left w:val="none" w:sz="0" w:space="0" w:color="auto"/>
        <w:bottom w:val="none" w:sz="0" w:space="0" w:color="auto"/>
        <w:right w:val="none" w:sz="0" w:space="0" w:color="auto"/>
      </w:divBdr>
    </w:div>
    <w:div w:id="920331793">
      <w:bodyDiv w:val="1"/>
      <w:marLeft w:val="0"/>
      <w:marRight w:val="0"/>
      <w:marTop w:val="0"/>
      <w:marBottom w:val="0"/>
      <w:divBdr>
        <w:top w:val="none" w:sz="0" w:space="0" w:color="auto"/>
        <w:left w:val="none" w:sz="0" w:space="0" w:color="auto"/>
        <w:bottom w:val="none" w:sz="0" w:space="0" w:color="auto"/>
        <w:right w:val="none" w:sz="0" w:space="0" w:color="auto"/>
      </w:divBdr>
    </w:div>
    <w:div w:id="926186296">
      <w:bodyDiv w:val="1"/>
      <w:marLeft w:val="0"/>
      <w:marRight w:val="0"/>
      <w:marTop w:val="0"/>
      <w:marBottom w:val="0"/>
      <w:divBdr>
        <w:top w:val="none" w:sz="0" w:space="0" w:color="auto"/>
        <w:left w:val="none" w:sz="0" w:space="0" w:color="auto"/>
        <w:bottom w:val="none" w:sz="0" w:space="0" w:color="auto"/>
        <w:right w:val="none" w:sz="0" w:space="0" w:color="auto"/>
      </w:divBdr>
    </w:div>
    <w:div w:id="972560018">
      <w:bodyDiv w:val="1"/>
      <w:marLeft w:val="0"/>
      <w:marRight w:val="0"/>
      <w:marTop w:val="0"/>
      <w:marBottom w:val="0"/>
      <w:divBdr>
        <w:top w:val="none" w:sz="0" w:space="0" w:color="auto"/>
        <w:left w:val="none" w:sz="0" w:space="0" w:color="auto"/>
        <w:bottom w:val="none" w:sz="0" w:space="0" w:color="auto"/>
        <w:right w:val="none" w:sz="0" w:space="0" w:color="auto"/>
      </w:divBdr>
    </w:div>
    <w:div w:id="1025406647">
      <w:bodyDiv w:val="1"/>
      <w:marLeft w:val="0"/>
      <w:marRight w:val="0"/>
      <w:marTop w:val="0"/>
      <w:marBottom w:val="0"/>
      <w:divBdr>
        <w:top w:val="none" w:sz="0" w:space="0" w:color="auto"/>
        <w:left w:val="none" w:sz="0" w:space="0" w:color="auto"/>
        <w:bottom w:val="none" w:sz="0" w:space="0" w:color="auto"/>
        <w:right w:val="none" w:sz="0" w:space="0" w:color="auto"/>
      </w:divBdr>
    </w:div>
    <w:div w:id="1031345140">
      <w:bodyDiv w:val="1"/>
      <w:marLeft w:val="0"/>
      <w:marRight w:val="0"/>
      <w:marTop w:val="0"/>
      <w:marBottom w:val="0"/>
      <w:divBdr>
        <w:top w:val="none" w:sz="0" w:space="0" w:color="auto"/>
        <w:left w:val="none" w:sz="0" w:space="0" w:color="auto"/>
        <w:bottom w:val="none" w:sz="0" w:space="0" w:color="auto"/>
        <w:right w:val="none" w:sz="0" w:space="0" w:color="auto"/>
      </w:divBdr>
    </w:div>
    <w:div w:id="1051805146">
      <w:bodyDiv w:val="1"/>
      <w:marLeft w:val="0"/>
      <w:marRight w:val="0"/>
      <w:marTop w:val="0"/>
      <w:marBottom w:val="0"/>
      <w:divBdr>
        <w:top w:val="none" w:sz="0" w:space="0" w:color="auto"/>
        <w:left w:val="none" w:sz="0" w:space="0" w:color="auto"/>
        <w:bottom w:val="none" w:sz="0" w:space="0" w:color="auto"/>
        <w:right w:val="none" w:sz="0" w:space="0" w:color="auto"/>
      </w:divBdr>
      <w:divsChild>
        <w:div w:id="1515806071">
          <w:marLeft w:val="0"/>
          <w:marRight w:val="0"/>
          <w:marTop w:val="0"/>
          <w:marBottom w:val="0"/>
          <w:divBdr>
            <w:top w:val="none" w:sz="0" w:space="0" w:color="auto"/>
            <w:left w:val="none" w:sz="0" w:space="0" w:color="auto"/>
            <w:bottom w:val="none" w:sz="0" w:space="0" w:color="auto"/>
            <w:right w:val="none" w:sz="0" w:space="0" w:color="auto"/>
          </w:divBdr>
        </w:div>
      </w:divsChild>
    </w:div>
    <w:div w:id="1060635149">
      <w:bodyDiv w:val="1"/>
      <w:marLeft w:val="0"/>
      <w:marRight w:val="0"/>
      <w:marTop w:val="0"/>
      <w:marBottom w:val="0"/>
      <w:divBdr>
        <w:top w:val="none" w:sz="0" w:space="0" w:color="auto"/>
        <w:left w:val="none" w:sz="0" w:space="0" w:color="auto"/>
        <w:bottom w:val="none" w:sz="0" w:space="0" w:color="auto"/>
        <w:right w:val="none" w:sz="0" w:space="0" w:color="auto"/>
      </w:divBdr>
    </w:div>
    <w:div w:id="1126199756">
      <w:bodyDiv w:val="1"/>
      <w:marLeft w:val="0"/>
      <w:marRight w:val="0"/>
      <w:marTop w:val="0"/>
      <w:marBottom w:val="0"/>
      <w:divBdr>
        <w:top w:val="none" w:sz="0" w:space="0" w:color="auto"/>
        <w:left w:val="none" w:sz="0" w:space="0" w:color="auto"/>
        <w:bottom w:val="none" w:sz="0" w:space="0" w:color="auto"/>
        <w:right w:val="none" w:sz="0" w:space="0" w:color="auto"/>
      </w:divBdr>
    </w:div>
    <w:div w:id="1127746445">
      <w:bodyDiv w:val="1"/>
      <w:marLeft w:val="0"/>
      <w:marRight w:val="0"/>
      <w:marTop w:val="0"/>
      <w:marBottom w:val="0"/>
      <w:divBdr>
        <w:top w:val="none" w:sz="0" w:space="0" w:color="auto"/>
        <w:left w:val="none" w:sz="0" w:space="0" w:color="auto"/>
        <w:bottom w:val="none" w:sz="0" w:space="0" w:color="auto"/>
        <w:right w:val="none" w:sz="0" w:space="0" w:color="auto"/>
      </w:divBdr>
    </w:div>
    <w:div w:id="1137992086">
      <w:bodyDiv w:val="1"/>
      <w:marLeft w:val="0"/>
      <w:marRight w:val="0"/>
      <w:marTop w:val="0"/>
      <w:marBottom w:val="0"/>
      <w:divBdr>
        <w:top w:val="none" w:sz="0" w:space="0" w:color="auto"/>
        <w:left w:val="none" w:sz="0" w:space="0" w:color="auto"/>
        <w:bottom w:val="none" w:sz="0" w:space="0" w:color="auto"/>
        <w:right w:val="none" w:sz="0" w:space="0" w:color="auto"/>
      </w:divBdr>
    </w:div>
    <w:div w:id="1138106657">
      <w:bodyDiv w:val="1"/>
      <w:marLeft w:val="0"/>
      <w:marRight w:val="0"/>
      <w:marTop w:val="0"/>
      <w:marBottom w:val="0"/>
      <w:divBdr>
        <w:top w:val="none" w:sz="0" w:space="0" w:color="auto"/>
        <w:left w:val="none" w:sz="0" w:space="0" w:color="auto"/>
        <w:bottom w:val="none" w:sz="0" w:space="0" w:color="auto"/>
        <w:right w:val="none" w:sz="0" w:space="0" w:color="auto"/>
      </w:divBdr>
    </w:div>
    <w:div w:id="1183938301">
      <w:bodyDiv w:val="1"/>
      <w:marLeft w:val="0"/>
      <w:marRight w:val="0"/>
      <w:marTop w:val="0"/>
      <w:marBottom w:val="0"/>
      <w:divBdr>
        <w:top w:val="none" w:sz="0" w:space="0" w:color="auto"/>
        <w:left w:val="none" w:sz="0" w:space="0" w:color="auto"/>
        <w:bottom w:val="none" w:sz="0" w:space="0" w:color="auto"/>
        <w:right w:val="none" w:sz="0" w:space="0" w:color="auto"/>
      </w:divBdr>
    </w:div>
    <w:div w:id="1226836100">
      <w:bodyDiv w:val="1"/>
      <w:marLeft w:val="0"/>
      <w:marRight w:val="0"/>
      <w:marTop w:val="0"/>
      <w:marBottom w:val="0"/>
      <w:divBdr>
        <w:top w:val="none" w:sz="0" w:space="0" w:color="auto"/>
        <w:left w:val="none" w:sz="0" w:space="0" w:color="auto"/>
        <w:bottom w:val="none" w:sz="0" w:space="0" w:color="auto"/>
        <w:right w:val="none" w:sz="0" w:space="0" w:color="auto"/>
      </w:divBdr>
    </w:div>
    <w:div w:id="1435131954">
      <w:bodyDiv w:val="1"/>
      <w:marLeft w:val="0"/>
      <w:marRight w:val="0"/>
      <w:marTop w:val="0"/>
      <w:marBottom w:val="0"/>
      <w:divBdr>
        <w:top w:val="none" w:sz="0" w:space="0" w:color="auto"/>
        <w:left w:val="none" w:sz="0" w:space="0" w:color="auto"/>
        <w:bottom w:val="none" w:sz="0" w:space="0" w:color="auto"/>
        <w:right w:val="none" w:sz="0" w:space="0" w:color="auto"/>
      </w:divBdr>
    </w:div>
    <w:div w:id="1512254353">
      <w:bodyDiv w:val="1"/>
      <w:marLeft w:val="0"/>
      <w:marRight w:val="0"/>
      <w:marTop w:val="0"/>
      <w:marBottom w:val="0"/>
      <w:divBdr>
        <w:top w:val="none" w:sz="0" w:space="0" w:color="auto"/>
        <w:left w:val="none" w:sz="0" w:space="0" w:color="auto"/>
        <w:bottom w:val="none" w:sz="0" w:space="0" w:color="auto"/>
        <w:right w:val="none" w:sz="0" w:space="0" w:color="auto"/>
      </w:divBdr>
    </w:div>
    <w:div w:id="1563364502">
      <w:bodyDiv w:val="1"/>
      <w:marLeft w:val="0"/>
      <w:marRight w:val="0"/>
      <w:marTop w:val="0"/>
      <w:marBottom w:val="0"/>
      <w:divBdr>
        <w:top w:val="none" w:sz="0" w:space="0" w:color="auto"/>
        <w:left w:val="none" w:sz="0" w:space="0" w:color="auto"/>
        <w:bottom w:val="none" w:sz="0" w:space="0" w:color="auto"/>
        <w:right w:val="none" w:sz="0" w:space="0" w:color="auto"/>
      </w:divBdr>
    </w:div>
    <w:div w:id="1593008275">
      <w:bodyDiv w:val="1"/>
      <w:marLeft w:val="0"/>
      <w:marRight w:val="0"/>
      <w:marTop w:val="0"/>
      <w:marBottom w:val="0"/>
      <w:divBdr>
        <w:top w:val="none" w:sz="0" w:space="0" w:color="auto"/>
        <w:left w:val="none" w:sz="0" w:space="0" w:color="auto"/>
        <w:bottom w:val="none" w:sz="0" w:space="0" w:color="auto"/>
        <w:right w:val="none" w:sz="0" w:space="0" w:color="auto"/>
      </w:divBdr>
    </w:div>
    <w:div w:id="1606035551">
      <w:bodyDiv w:val="1"/>
      <w:marLeft w:val="0"/>
      <w:marRight w:val="0"/>
      <w:marTop w:val="0"/>
      <w:marBottom w:val="0"/>
      <w:divBdr>
        <w:top w:val="none" w:sz="0" w:space="0" w:color="auto"/>
        <w:left w:val="none" w:sz="0" w:space="0" w:color="auto"/>
        <w:bottom w:val="none" w:sz="0" w:space="0" w:color="auto"/>
        <w:right w:val="none" w:sz="0" w:space="0" w:color="auto"/>
      </w:divBdr>
    </w:div>
    <w:div w:id="1616249478">
      <w:bodyDiv w:val="1"/>
      <w:marLeft w:val="0"/>
      <w:marRight w:val="0"/>
      <w:marTop w:val="0"/>
      <w:marBottom w:val="0"/>
      <w:divBdr>
        <w:top w:val="none" w:sz="0" w:space="0" w:color="auto"/>
        <w:left w:val="none" w:sz="0" w:space="0" w:color="auto"/>
        <w:bottom w:val="none" w:sz="0" w:space="0" w:color="auto"/>
        <w:right w:val="none" w:sz="0" w:space="0" w:color="auto"/>
      </w:divBdr>
    </w:div>
    <w:div w:id="1661494435">
      <w:bodyDiv w:val="1"/>
      <w:marLeft w:val="0"/>
      <w:marRight w:val="0"/>
      <w:marTop w:val="0"/>
      <w:marBottom w:val="0"/>
      <w:divBdr>
        <w:top w:val="none" w:sz="0" w:space="0" w:color="auto"/>
        <w:left w:val="none" w:sz="0" w:space="0" w:color="auto"/>
        <w:bottom w:val="none" w:sz="0" w:space="0" w:color="auto"/>
        <w:right w:val="none" w:sz="0" w:space="0" w:color="auto"/>
      </w:divBdr>
    </w:div>
    <w:div w:id="1794708220">
      <w:bodyDiv w:val="1"/>
      <w:marLeft w:val="0"/>
      <w:marRight w:val="0"/>
      <w:marTop w:val="0"/>
      <w:marBottom w:val="0"/>
      <w:divBdr>
        <w:top w:val="none" w:sz="0" w:space="0" w:color="auto"/>
        <w:left w:val="none" w:sz="0" w:space="0" w:color="auto"/>
        <w:bottom w:val="none" w:sz="0" w:space="0" w:color="auto"/>
        <w:right w:val="none" w:sz="0" w:space="0" w:color="auto"/>
      </w:divBdr>
    </w:div>
    <w:div w:id="1850564355">
      <w:bodyDiv w:val="1"/>
      <w:marLeft w:val="0"/>
      <w:marRight w:val="0"/>
      <w:marTop w:val="0"/>
      <w:marBottom w:val="0"/>
      <w:divBdr>
        <w:top w:val="none" w:sz="0" w:space="0" w:color="auto"/>
        <w:left w:val="none" w:sz="0" w:space="0" w:color="auto"/>
        <w:bottom w:val="none" w:sz="0" w:space="0" w:color="auto"/>
        <w:right w:val="none" w:sz="0" w:space="0" w:color="auto"/>
      </w:divBdr>
    </w:div>
    <w:div w:id="1929340030">
      <w:bodyDiv w:val="1"/>
      <w:marLeft w:val="0"/>
      <w:marRight w:val="0"/>
      <w:marTop w:val="0"/>
      <w:marBottom w:val="0"/>
      <w:divBdr>
        <w:top w:val="none" w:sz="0" w:space="0" w:color="auto"/>
        <w:left w:val="none" w:sz="0" w:space="0" w:color="auto"/>
        <w:bottom w:val="none" w:sz="0" w:space="0" w:color="auto"/>
        <w:right w:val="none" w:sz="0" w:space="0" w:color="auto"/>
      </w:divBdr>
    </w:div>
    <w:div w:id="2030835241">
      <w:bodyDiv w:val="1"/>
      <w:marLeft w:val="0"/>
      <w:marRight w:val="0"/>
      <w:marTop w:val="0"/>
      <w:marBottom w:val="0"/>
      <w:divBdr>
        <w:top w:val="none" w:sz="0" w:space="0" w:color="auto"/>
        <w:left w:val="none" w:sz="0" w:space="0" w:color="auto"/>
        <w:bottom w:val="none" w:sz="0" w:space="0" w:color="auto"/>
        <w:right w:val="none" w:sz="0" w:space="0" w:color="auto"/>
      </w:divBdr>
    </w:div>
    <w:div w:id="2064518577">
      <w:bodyDiv w:val="1"/>
      <w:marLeft w:val="0"/>
      <w:marRight w:val="0"/>
      <w:marTop w:val="0"/>
      <w:marBottom w:val="0"/>
      <w:divBdr>
        <w:top w:val="none" w:sz="0" w:space="0" w:color="auto"/>
        <w:left w:val="none" w:sz="0" w:space="0" w:color="auto"/>
        <w:bottom w:val="none" w:sz="0" w:space="0" w:color="auto"/>
        <w:right w:val="none" w:sz="0" w:space="0" w:color="auto"/>
      </w:divBdr>
    </w:div>
    <w:div w:id="2067802259">
      <w:bodyDiv w:val="1"/>
      <w:marLeft w:val="0"/>
      <w:marRight w:val="0"/>
      <w:marTop w:val="0"/>
      <w:marBottom w:val="0"/>
      <w:divBdr>
        <w:top w:val="none" w:sz="0" w:space="0" w:color="auto"/>
        <w:left w:val="none" w:sz="0" w:space="0" w:color="auto"/>
        <w:bottom w:val="none" w:sz="0" w:space="0" w:color="auto"/>
        <w:right w:val="none" w:sz="0" w:space="0" w:color="auto"/>
      </w:divBdr>
    </w:div>
    <w:div w:id="2085639072">
      <w:bodyDiv w:val="1"/>
      <w:marLeft w:val="0"/>
      <w:marRight w:val="0"/>
      <w:marTop w:val="0"/>
      <w:marBottom w:val="0"/>
      <w:divBdr>
        <w:top w:val="none" w:sz="0" w:space="0" w:color="auto"/>
        <w:left w:val="none" w:sz="0" w:space="0" w:color="auto"/>
        <w:bottom w:val="none" w:sz="0" w:space="0" w:color="auto"/>
        <w:right w:val="none" w:sz="0" w:space="0" w:color="auto"/>
      </w:divBdr>
    </w:div>
    <w:div w:id="2102599840">
      <w:bodyDiv w:val="1"/>
      <w:marLeft w:val="0"/>
      <w:marRight w:val="0"/>
      <w:marTop w:val="0"/>
      <w:marBottom w:val="0"/>
      <w:divBdr>
        <w:top w:val="none" w:sz="0" w:space="0" w:color="auto"/>
        <w:left w:val="none" w:sz="0" w:space="0" w:color="auto"/>
        <w:bottom w:val="none" w:sz="0" w:space="0" w:color="auto"/>
        <w:right w:val="none" w:sz="0" w:space="0" w:color="auto"/>
      </w:divBdr>
    </w:div>
    <w:div w:id="2123913012">
      <w:bodyDiv w:val="1"/>
      <w:marLeft w:val="0"/>
      <w:marRight w:val="0"/>
      <w:marTop w:val="0"/>
      <w:marBottom w:val="0"/>
      <w:divBdr>
        <w:top w:val="none" w:sz="0" w:space="0" w:color="auto"/>
        <w:left w:val="none" w:sz="0" w:space="0" w:color="auto"/>
        <w:bottom w:val="none" w:sz="0" w:space="0" w:color="auto"/>
        <w:right w:val="none" w:sz="0" w:space="0" w:color="auto"/>
      </w:divBdr>
    </w:div>
    <w:div w:id="21303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gs@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7A7E6561E108F4F8A4FBEBE24469AE6" ma:contentTypeVersion="2" ma:contentTypeDescription="Ustvari nov dokument." ma:contentTypeScope="" ma:versionID="4bd608e0ccb92a5e77f9d49492452c62">
  <xsd:schema xmlns:xsd="http://www.w3.org/2001/XMLSchema" xmlns:xs="http://www.w3.org/2001/XMLSchema" xmlns:p="http://schemas.microsoft.com/office/2006/metadata/properties" xmlns:ns2="151a32cb-68d4-46e2-8990-209d00cbea1a" xmlns:ns3="5e3a6384-3b6b-49ae-bcf7-b979de823623" targetNamespace="http://schemas.microsoft.com/office/2006/metadata/properties" ma:root="true" ma:fieldsID="b2566c72db5190d614a1ad4ee8095677" ns2:_="" ns3:_="">
    <xsd:import namespace="151a32cb-68d4-46e2-8990-209d00cbea1a"/>
    <xsd:import namespace="5e3a6384-3b6b-49ae-bcf7-b979de8236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3a6384-3b6b-49ae-bcf7-b979de82362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71D5B9B-A350-486C-9B14-2104BE9F7180}">
  <ds:schemaRefs>
    <ds:schemaRef ds:uri="http://schemas.openxmlformats.org/officeDocument/2006/bibliography"/>
  </ds:schemaRefs>
</ds:datastoreItem>
</file>

<file path=customXml/itemProps2.xml><?xml version="1.0" encoding="utf-8"?>
<ds:datastoreItem xmlns:ds="http://schemas.openxmlformats.org/officeDocument/2006/customXml" ds:itemID="{66AC8CD8-70E2-43CD-A4AC-D7B21D54F0C8}">
  <ds:schemaRefs>
    <ds:schemaRef ds:uri="http://schemas.microsoft.com/sharepoint/v3/contenttype/forms"/>
  </ds:schemaRefs>
</ds:datastoreItem>
</file>

<file path=customXml/itemProps3.xml><?xml version="1.0" encoding="utf-8"?>
<ds:datastoreItem xmlns:ds="http://schemas.openxmlformats.org/officeDocument/2006/customXml" ds:itemID="{750ACD3D-635E-4CF3-B984-3217F033F82D}">
  <ds:schemaRefs>
    <ds:schemaRef ds:uri="http://www.w3.org/XML/1998/namespace"/>
    <ds:schemaRef ds:uri="http://purl.org/dc/terms/"/>
    <ds:schemaRef ds:uri="5e3a6384-3b6b-49ae-bcf7-b979de82362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51a32cb-68d4-46e2-8990-209d00cbea1a"/>
    <ds:schemaRef ds:uri="http://purl.org/dc/dcmitype/"/>
  </ds:schemaRefs>
</ds:datastoreItem>
</file>

<file path=customXml/itemProps4.xml><?xml version="1.0" encoding="utf-8"?>
<ds:datastoreItem xmlns:ds="http://schemas.openxmlformats.org/officeDocument/2006/customXml" ds:itemID="{253094C8-34BF-4C61-A72C-FF558FBC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5e3a6384-3b6b-49ae-bcf7-b979de82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9308AA-E5C6-42CA-ACA1-6562FD46C5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51134</Words>
  <Characters>291468</Characters>
  <Application>Microsoft Office Word</Application>
  <DocSecurity>0</DocSecurity>
  <Lines>2428</Lines>
  <Paragraphs>683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341919</CharactersWithSpaces>
  <SharedDoc>false</SharedDoc>
  <HLinks>
    <vt:vector size="36" baseType="variant">
      <vt:variant>
        <vt:i4>2031687</vt:i4>
      </vt:variant>
      <vt:variant>
        <vt:i4>15</vt:i4>
      </vt:variant>
      <vt:variant>
        <vt:i4>0</vt:i4>
      </vt:variant>
      <vt:variant>
        <vt:i4>5</vt:i4>
      </vt:variant>
      <vt:variant>
        <vt:lpwstr>https://e-uprava.gov.si/drzava-in-druzba/e-demokracija/predlogi-predpisov/predlog-predpisa.html?id=12096</vt:lpwstr>
      </vt:variant>
      <vt:variant>
        <vt:lpwstr/>
      </vt:variant>
      <vt:variant>
        <vt:i4>8257583</vt:i4>
      </vt:variant>
      <vt:variant>
        <vt:i4>12</vt:i4>
      </vt:variant>
      <vt:variant>
        <vt:i4>0</vt:i4>
      </vt:variant>
      <vt:variant>
        <vt:i4>5</vt:i4>
      </vt:variant>
      <vt:variant>
        <vt:lpwstr>http://www.uradni-list.si/1/objava.jsp?sop=2015-01-1299</vt:lpwstr>
      </vt:variant>
      <vt:variant>
        <vt:lpwstr/>
      </vt:variant>
      <vt:variant>
        <vt:i4>8192044</vt:i4>
      </vt:variant>
      <vt:variant>
        <vt:i4>9</vt:i4>
      </vt:variant>
      <vt:variant>
        <vt:i4>0</vt:i4>
      </vt:variant>
      <vt:variant>
        <vt:i4>5</vt:i4>
      </vt:variant>
      <vt:variant>
        <vt:lpwstr>http://www.uradni-list.si/1/objava.jsp?sop=2015-01-3189</vt:lpwstr>
      </vt:variant>
      <vt:variant>
        <vt:lpwstr/>
      </vt:variant>
      <vt:variant>
        <vt:i4>8257583</vt:i4>
      </vt:variant>
      <vt:variant>
        <vt:i4>6</vt:i4>
      </vt:variant>
      <vt:variant>
        <vt:i4>0</vt:i4>
      </vt:variant>
      <vt:variant>
        <vt:i4>5</vt:i4>
      </vt:variant>
      <vt:variant>
        <vt:lpwstr>http://www.uradni-list.si/1/objava.jsp?sop=2015-01-1299</vt:lpwstr>
      </vt:variant>
      <vt:variant>
        <vt:lpwstr/>
      </vt:variant>
      <vt:variant>
        <vt:i4>2031687</vt:i4>
      </vt:variant>
      <vt:variant>
        <vt:i4>3</vt:i4>
      </vt:variant>
      <vt:variant>
        <vt:i4>0</vt:i4>
      </vt:variant>
      <vt:variant>
        <vt:i4>5</vt:i4>
      </vt:variant>
      <vt:variant>
        <vt:lpwstr>https://e-uprava.gov.si/drzava-in-druzba/e-demokracija/predlogi-predpisov/predlog-predpisa.html?id=12096</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Nada Bizjak</dc:creator>
  <cp:lastModifiedBy>Marina Kalfić</cp:lastModifiedBy>
  <cp:revision>2</cp:revision>
  <cp:lastPrinted>2021-06-07T08:14:00Z</cp:lastPrinted>
  <dcterms:created xsi:type="dcterms:W3CDTF">2025-06-17T08:26:00Z</dcterms:created>
  <dcterms:modified xsi:type="dcterms:W3CDTF">2025-06-17T08:26:00Z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5692d07ae9d6b40ab9d6e48a39dda2cd3c6c539b7d939ef9b9ec56e97d75df3f</vt:lpwstr>
  </property>
  <property fmtid="{D5CDD505-2E9C-101B-9397-08002B2CF9AE}" pid="3" name="ContentTypeId">
    <vt:lpwstr>0x010100A7A7E6561E108F4F8A4FBEBE24469AE6</vt:lpwstr>
  </property>
</Properties>
</file>