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D7271" w14:textId="77777777" w:rsidR="00EE252E" w:rsidRPr="00E50548" w:rsidRDefault="00EE252E" w:rsidP="00CF3C1F">
      <w:pPr>
        <w:tabs>
          <w:tab w:val="left" w:pos="1290"/>
        </w:tabs>
        <w:spacing w:before="20" w:after="20"/>
        <w:rPr>
          <w:rFonts w:cs="Arial"/>
          <w:b/>
          <w:szCs w:val="20"/>
          <w:lang w:val="sl-SI"/>
        </w:rPr>
      </w:pPr>
      <w:r w:rsidRPr="00E50548">
        <w:rPr>
          <w:rFonts w:cs="Arial"/>
          <w:b/>
          <w:szCs w:val="20"/>
          <w:lang w:val="sl-SI"/>
        </w:rPr>
        <w:t xml:space="preserve">Številka:  </w:t>
      </w:r>
      <w:r w:rsidRPr="00E50548">
        <w:rPr>
          <w:rFonts w:cs="Arial"/>
          <w:b/>
          <w:i/>
          <w:szCs w:val="20"/>
          <w:lang w:val="sl-SI"/>
        </w:rPr>
        <w:t>545606-42/2025 / 1</w:t>
      </w:r>
    </w:p>
    <w:p w14:paraId="3D5C4C71" w14:textId="77777777" w:rsidR="00EE252E" w:rsidRPr="00E50548" w:rsidRDefault="00EE252E" w:rsidP="00CF3C1F">
      <w:pPr>
        <w:spacing w:before="20" w:after="20"/>
        <w:rPr>
          <w:rFonts w:cs="Arial"/>
          <w:b/>
          <w:szCs w:val="20"/>
          <w:lang w:val="sl-SI"/>
        </w:rPr>
      </w:pPr>
      <w:r w:rsidRPr="00E50548">
        <w:rPr>
          <w:rFonts w:cs="Arial"/>
          <w:b/>
          <w:szCs w:val="20"/>
          <w:lang w:val="sl-SI"/>
        </w:rPr>
        <w:t xml:space="preserve">Ljubljana, dne </w:t>
      </w:r>
      <w:r w:rsidRPr="00E50548">
        <w:rPr>
          <w:rFonts w:cs="Arial"/>
          <w:b/>
          <w:i/>
          <w:color w:val="000000"/>
          <w:szCs w:val="20"/>
          <w:lang w:val="sl-SI"/>
        </w:rPr>
        <w:t>05. 03. 2026</w:t>
      </w:r>
    </w:p>
    <w:p w14:paraId="18ED5A67" w14:textId="77777777" w:rsidR="00EE252E" w:rsidRPr="00E50548" w:rsidRDefault="00EE252E" w:rsidP="00CF3C1F">
      <w:pPr>
        <w:spacing w:before="20" w:after="20"/>
        <w:rPr>
          <w:rFonts w:cs="Arial"/>
          <w:b/>
          <w:i/>
          <w:szCs w:val="20"/>
          <w:lang w:val="sl-SI"/>
        </w:rPr>
      </w:pPr>
    </w:p>
    <w:p w14:paraId="64B1E29B" w14:textId="77777777" w:rsidR="00EE252E" w:rsidRPr="00E50548" w:rsidRDefault="00EE252E" w:rsidP="00CF3C1F">
      <w:pPr>
        <w:spacing w:before="20" w:after="20"/>
        <w:rPr>
          <w:rFonts w:cs="Arial"/>
          <w:i/>
          <w:szCs w:val="20"/>
          <w:lang w:val="sl-SI"/>
        </w:rPr>
      </w:pPr>
    </w:p>
    <w:p w14:paraId="174F2F33" w14:textId="77777777" w:rsidR="00EE252E" w:rsidRPr="00E50548" w:rsidRDefault="00EE252E" w:rsidP="00CF3C1F">
      <w:pPr>
        <w:spacing w:before="20" w:after="20"/>
        <w:rPr>
          <w:rFonts w:cs="Arial"/>
          <w:b/>
          <w:szCs w:val="20"/>
          <w:lang w:val="sl-SI"/>
        </w:rPr>
      </w:pPr>
      <w:r w:rsidRPr="00E50548">
        <w:rPr>
          <w:rFonts w:cs="Arial"/>
          <w:b/>
          <w:szCs w:val="20"/>
          <w:lang w:val="sl-SI"/>
        </w:rPr>
        <w:t>GENERALNI SEKRETARIAT VLADE REPUBLIKE SLOVENIJE</w:t>
      </w:r>
    </w:p>
    <w:p w14:paraId="53D277AA" w14:textId="77777777" w:rsidR="00EE252E" w:rsidRPr="00E50548" w:rsidRDefault="00EE252E" w:rsidP="00CF3C1F">
      <w:pPr>
        <w:spacing w:before="20" w:after="20"/>
        <w:rPr>
          <w:rFonts w:cs="Arial"/>
          <w:i/>
          <w:szCs w:val="20"/>
          <w:lang w:val="sl-SI"/>
        </w:rPr>
      </w:pPr>
      <w:r w:rsidRPr="00E50548">
        <w:rPr>
          <w:rFonts w:cs="Arial"/>
          <w:szCs w:val="20"/>
          <w:lang w:val="sl-SI"/>
        </w:rPr>
        <w:t>gp.gs@gov.si</w:t>
      </w:r>
    </w:p>
    <w:p w14:paraId="4C45A12E" w14:textId="77777777" w:rsidR="00EE252E" w:rsidRPr="00E50548" w:rsidRDefault="00EE252E" w:rsidP="00CF3C1F">
      <w:pPr>
        <w:spacing w:before="20" w:after="20"/>
        <w:rPr>
          <w:rFonts w:cs="Arial"/>
          <w:b/>
          <w:i/>
          <w:szCs w:val="20"/>
          <w:lang w:val="sl-SI"/>
        </w:rPr>
      </w:pPr>
    </w:p>
    <w:p w14:paraId="2645352F" w14:textId="77777777" w:rsidR="00EE252E" w:rsidRPr="00E50548" w:rsidRDefault="00EE252E" w:rsidP="00CF3C1F">
      <w:pPr>
        <w:spacing w:before="20" w:after="20"/>
        <w:rPr>
          <w:rFonts w:cs="Arial"/>
          <w:szCs w:val="20"/>
          <w:lang w:val="sl-SI"/>
        </w:rPr>
      </w:pPr>
      <w:r w:rsidRPr="00E50548">
        <w:rPr>
          <w:rFonts w:cs="Arial"/>
          <w:szCs w:val="20"/>
          <w:lang w:val="sl-SI"/>
        </w:rPr>
        <w:t>V vednost:</w:t>
      </w:r>
    </w:p>
    <w:p w14:paraId="48160CE3" w14:textId="77777777" w:rsidR="00EE252E" w:rsidRPr="00E50548" w:rsidRDefault="00EE252E" w:rsidP="00CF3C1F">
      <w:pPr>
        <w:spacing w:before="20" w:after="20"/>
        <w:rPr>
          <w:rFonts w:cs="Arial"/>
          <w:szCs w:val="20"/>
          <w:lang w:val="sl-SI"/>
        </w:rPr>
      </w:pPr>
      <w:r w:rsidRPr="00E50548">
        <w:rPr>
          <w:rFonts w:cs="Arial"/>
          <w:b/>
          <w:szCs w:val="20"/>
          <w:lang w:val="sl-SI"/>
        </w:rPr>
        <w:t>MINISTRSTVO ZA ZUNANJE IN EVROPSKE ZADEVE</w:t>
      </w:r>
    </w:p>
    <w:p w14:paraId="10F93EE1" w14:textId="77777777" w:rsidR="00EE252E" w:rsidRPr="00E50548" w:rsidRDefault="00EE252E" w:rsidP="00CF3C1F">
      <w:pPr>
        <w:spacing w:before="20" w:after="20"/>
        <w:rPr>
          <w:rFonts w:cs="Arial"/>
          <w:szCs w:val="20"/>
          <w:lang w:val="sl-SI"/>
        </w:rPr>
      </w:pPr>
      <w:r w:rsidRPr="00E50548">
        <w:rPr>
          <w:rFonts w:cs="Arial"/>
          <w:szCs w:val="20"/>
          <w:lang w:val="sl-SI"/>
        </w:rPr>
        <w:t>EU-portal@gov.si</w:t>
      </w:r>
    </w:p>
    <w:p w14:paraId="44EDEC1E" w14:textId="77777777" w:rsidR="00EE252E" w:rsidRPr="00E50548" w:rsidRDefault="00EE252E" w:rsidP="00CF3C1F">
      <w:pPr>
        <w:spacing w:before="20" w:after="20"/>
        <w:rPr>
          <w:rFonts w:cs="Arial"/>
          <w:szCs w:val="20"/>
          <w:lang w:val="sl-SI"/>
        </w:rPr>
      </w:pPr>
    </w:p>
    <w:p w14:paraId="76882572" w14:textId="77777777" w:rsidR="00EE252E" w:rsidRPr="00E50548" w:rsidRDefault="00EE252E" w:rsidP="00CF3C1F">
      <w:pPr>
        <w:spacing w:before="20" w:after="20"/>
        <w:rPr>
          <w:rFonts w:cs="Arial"/>
          <w:i/>
          <w:szCs w:val="20"/>
          <w:lang w:val="sl-SI"/>
        </w:rPr>
      </w:pPr>
    </w:p>
    <w:p w14:paraId="60116B7E" w14:textId="77777777" w:rsidR="00EE252E" w:rsidRPr="00E50548" w:rsidRDefault="00EE252E" w:rsidP="00CF3C1F">
      <w:pPr>
        <w:spacing w:before="20" w:after="20"/>
        <w:jc w:val="center"/>
        <w:rPr>
          <w:rFonts w:cs="Arial"/>
          <w:b/>
          <w:bCs/>
          <w:szCs w:val="20"/>
          <w:lang w:val="sl-SI"/>
        </w:rPr>
      </w:pPr>
      <w:r w:rsidRPr="00E50548">
        <w:rPr>
          <w:rFonts w:cs="Arial"/>
          <w:b/>
          <w:bCs/>
          <w:szCs w:val="20"/>
          <w:lang w:val="sl-SI"/>
        </w:rPr>
        <w:t>ODLOČITVE REPUBLIKE SLOVENIJE</w:t>
      </w:r>
    </w:p>
    <w:p w14:paraId="17559BF7" w14:textId="77777777" w:rsidR="00EE252E" w:rsidRPr="00E50548" w:rsidRDefault="00EE252E" w:rsidP="00CF3C1F">
      <w:pPr>
        <w:spacing w:before="20" w:after="20"/>
        <w:jc w:val="center"/>
        <w:rPr>
          <w:rFonts w:cs="Arial"/>
          <w:b/>
          <w:bCs/>
          <w:szCs w:val="20"/>
          <w:lang w:val="sl-SI"/>
        </w:rPr>
      </w:pPr>
      <w:r w:rsidRPr="00E50548">
        <w:rPr>
          <w:rFonts w:cs="Arial"/>
          <w:b/>
          <w:bCs/>
          <w:szCs w:val="20"/>
          <w:lang w:val="sl-SI"/>
        </w:rPr>
        <w:t>V ZVEZI Z ZADEVAMI EVROPSKE UNIJE</w:t>
      </w:r>
    </w:p>
    <w:p w14:paraId="4A4D0861" w14:textId="77777777" w:rsidR="00EE252E" w:rsidRPr="00E50548" w:rsidRDefault="00EE252E" w:rsidP="00CF3C1F">
      <w:pPr>
        <w:spacing w:before="20" w:after="20"/>
        <w:jc w:val="center"/>
        <w:rPr>
          <w:rFonts w:cs="Arial"/>
          <w:b/>
          <w:bCs/>
          <w:szCs w:val="20"/>
          <w:lang w:val="sl-SI"/>
        </w:rPr>
      </w:pPr>
      <w:r w:rsidRPr="00E50548">
        <w:rPr>
          <w:rFonts w:cs="Arial"/>
          <w:b/>
          <w:bCs/>
          <w:szCs w:val="20"/>
          <w:lang w:val="sl-SI"/>
        </w:rPr>
        <w:t>PREDLOG ZA OBRAVNAVO</w:t>
      </w:r>
    </w:p>
    <w:p w14:paraId="08474D2E" w14:textId="77777777" w:rsidR="00EE252E" w:rsidRPr="00E50548" w:rsidRDefault="00EE252E" w:rsidP="00CF3C1F">
      <w:pPr>
        <w:spacing w:before="20" w:after="20"/>
        <w:jc w:val="center"/>
        <w:rPr>
          <w:rFonts w:cs="Arial"/>
          <w:bCs/>
          <w:szCs w:val="20"/>
          <w:lang w:val="sl-SI"/>
        </w:rPr>
      </w:pPr>
    </w:p>
    <w:p w14:paraId="32688C51" w14:textId="77777777" w:rsidR="00EE252E" w:rsidRPr="00E50548" w:rsidRDefault="00EE252E" w:rsidP="00CF3C1F">
      <w:pPr>
        <w:spacing w:before="20" w:after="20"/>
        <w:jc w:val="center"/>
        <w:rPr>
          <w:rFonts w:cs="Arial"/>
          <w:bCs/>
          <w:szCs w:val="20"/>
          <w:lang w:val="sl-SI"/>
        </w:rPr>
      </w:pPr>
      <w:r w:rsidRPr="00E50548">
        <w:rPr>
          <w:rFonts w:cs="Arial"/>
          <w:bCs/>
          <w:szCs w:val="20"/>
          <w:lang w:val="sl-SI"/>
        </w:rPr>
        <w:t>I.</w:t>
      </w:r>
    </w:p>
    <w:p w14:paraId="6FDBD883" w14:textId="77777777" w:rsidR="00EE252E" w:rsidRPr="00E50548" w:rsidRDefault="00EE252E" w:rsidP="00CF3C1F">
      <w:pPr>
        <w:spacing w:before="20" w:after="20"/>
        <w:jc w:val="both"/>
        <w:rPr>
          <w:rFonts w:cs="Arial"/>
          <w:bCs/>
          <w:szCs w:val="20"/>
          <w:lang w:val="sl-SI"/>
        </w:rPr>
      </w:pPr>
      <w:r w:rsidRPr="00E50548">
        <w:rPr>
          <w:rFonts w:cs="Arial"/>
          <w:b/>
          <w:bCs/>
          <w:szCs w:val="20"/>
          <w:lang w:val="sl-SI"/>
        </w:rPr>
        <w:t>1. Zadeva EU</w:t>
      </w:r>
      <w:r w:rsidRPr="00E50548">
        <w:rPr>
          <w:rFonts w:cs="Arial"/>
          <w:bCs/>
          <w:szCs w:val="20"/>
          <w:lang w:val="sl-SI"/>
        </w:rPr>
        <w:t xml:space="preserve">: </w:t>
      </w:r>
    </w:p>
    <w:p w14:paraId="2CC01C94" w14:textId="77777777" w:rsidR="00054CA1" w:rsidRDefault="00EE252E" w:rsidP="00CF3C1F">
      <w:pPr>
        <w:spacing w:before="20" w:after="20"/>
        <w:jc w:val="both"/>
        <w:rPr>
          <w:rFonts w:cs="Arial"/>
          <w:bCs/>
          <w:i/>
          <w:szCs w:val="20"/>
          <w:lang w:val="sl-SI"/>
        </w:rPr>
      </w:pPr>
      <w:r w:rsidRPr="00E50548">
        <w:rPr>
          <w:rFonts w:cs="Arial"/>
          <w:bCs/>
          <w:szCs w:val="20"/>
          <w:lang w:val="sl-SI"/>
        </w:rPr>
        <w:t xml:space="preserve">Naslov dokumenta v slovenskem jeziku: </w:t>
      </w:r>
      <w:r w:rsidR="00054CA1" w:rsidRPr="00054CA1">
        <w:rPr>
          <w:rFonts w:cs="Arial"/>
          <w:bCs/>
          <w:i/>
          <w:szCs w:val="20"/>
          <w:lang w:val="sl-SI"/>
        </w:rPr>
        <w:t>Predlog uredbe Evropskega parlamenta in Sveta o spremembi uredb (ES) št. 999/2001, (ES) št. 1829/2003, (ES) št. 1831/2003, (ES) št. 852/2004, (ES) št. 853/2004, (ES) št. 396/2005, (ES) št. 1099/2009, (ES) št. 1107/2009, (EU) št. 528/2012 in (EU) 2017/625 glede poenostavitve in okrepitve zahtev glede varnosti hrane in krme</w:t>
      </w:r>
    </w:p>
    <w:p w14:paraId="694677E6" w14:textId="16B4AF91" w:rsidR="00EE252E" w:rsidRPr="00E50548" w:rsidRDefault="00EE252E" w:rsidP="00CF3C1F">
      <w:pPr>
        <w:spacing w:before="20" w:after="20"/>
        <w:jc w:val="both"/>
        <w:rPr>
          <w:rFonts w:cs="Arial"/>
          <w:bCs/>
          <w:szCs w:val="20"/>
          <w:lang w:val="sl-SI"/>
        </w:rPr>
      </w:pPr>
      <w:r w:rsidRPr="00E50548">
        <w:rPr>
          <w:rFonts w:cs="Arial"/>
          <w:bCs/>
          <w:szCs w:val="20"/>
          <w:lang w:val="sl-SI"/>
        </w:rPr>
        <w:t xml:space="preserve">Naslov dokumenta v delovnem jeziku EU: </w:t>
      </w:r>
      <w:proofErr w:type="spellStart"/>
      <w:r w:rsidRPr="00054CA1">
        <w:rPr>
          <w:rFonts w:cs="Arial"/>
          <w:bCs/>
          <w:i/>
          <w:szCs w:val="20"/>
          <w:lang w:val="sl-SI"/>
        </w:rPr>
        <w:t>Proposal</w:t>
      </w:r>
      <w:proofErr w:type="spellEnd"/>
      <w:r w:rsidRPr="00054CA1">
        <w:rPr>
          <w:rFonts w:cs="Arial"/>
          <w:bCs/>
          <w:i/>
          <w:szCs w:val="20"/>
          <w:lang w:val="sl-SI"/>
        </w:rPr>
        <w:t xml:space="preserve"> </w:t>
      </w:r>
      <w:proofErr w:type="spellStart"/>
      <w:r w:rsidRPr="00054CA1">
        <w:rPr>
          <w:rFonts w:cs="Arial"/>
          <w:bCs/>
          <w:i/>
          <w:szCs w:val="20"/>
          <w:lang w:val="sl-SI"/>
        </w:rPr>
        <w:t>for</w:t>
      </w:r>
      <w:proofErr w:type="spellEnd"/>
      <w:r w:rsidRPr="00054CA1">
        <w:rPr>
          <w:rFonts w:cs="Arial"/>
          <w:bCs/>
          <w:i/>
          <w:szCs w:val="20"/>
          <w:lang w:val="sl-SI"/>
        </w:rPr>
        <w:t xml:space="preserve"> a </w:t>
      </w:r>
      <w:proofErr w:type="spellStart"/>
      <w:r w:rsidRPr="00054CA1">
        <w:rPr>
          <w:rFonts w:cs="Arial"/>
          <w:bCs/>
          <w:i/>
          <w:szCs w:val="20"/>
          <w:lang w:val="sl-SI"/>
        </w:rPr>
        <w:t>Regulation</w:t>
      </w:r>
      <w:proofErr w:type="spellEnd"/>
      <w:r w:rsidRPr="00054CA1">
        <w:rPr>
          <w:rFonts w:cs="Arial"/>
          <w:bCs/>
          <w:i/>
          <w:szCs w:val="20"/>
          <w:lang w:val="sl-SI"/>
        </w:rPr>
        <w:t xml:space="preserve"> </w:t>
      </w:r>
      <w:proofErr w:type="spellStart"/>
      <w:r w:rsidRPr="00054CA1">
        <w:rPr>
          <w:rFonts w:cs="Arial"/>
          <w:bCs/>
          <w:i/>
          <w:szCs w:val="20"/>
          <w:lang w:val="sl-SI"/>
        </w:rPr>
        <w:t>of</w:t>
      </w:r>
      <w:proofErr w:type="spellEnd"/>
      <w:r w:rsidRPr="00054CA1">
        <w:rPr>
          <w:rFonts w:cs="Arial"/>
          <w:bCs/>
          <w:i/>
          <w:szCs w:val="20"/>
          <w:lang w:val="sl-SI"/>
        </w:rPr>
        <w:t xml:space="preserve"> </w:t>
      </w:r>
      <w:proofErr w:type="spellStart"/>
      <w:r w:rsidRPr="00054CA1">
        <w:rPr>
          <w:rFonts w:cs="Arial"/>
          <w:bCs/>
          <w:i/>
          <w:szCs w:val="20"/>
          <w:lang w:val="sl-SI"/>
        </w:rPr>
        <w:t>the</w:t>
      </w:r>
      <w:proofErr w:type="spellEnd"/>
      <w:r w:rsidRPr="00054CA1">
        <w:rPr>
          <w:rFonts w:cs="Arial"/>
          <w:bCs/>
          <w:i/>
          <w:szCs w:val="20"/>
          <w:lang w:val="sl-SI"/>
        </w:rPr>
        <w:t xml:space="preserve"> </w:t>
      </w:r>
      <w:proofErr w:type="spellStart"/>
      <w:r w:rsidRPr="00054CA1">
        <w:rPr>
          <w:rFonts w:cs="Arial"/>
          <w:bCs/>
          <w:i/>
          <w:szCs w:val="20"/>
          <w:lang w:val="sl-SI"/>
        </w:rPr>
        <w:t>European</w:t>
      </w:r>
      <w:proofErr w:type="spellEnd"/>
      <w:r w:rsidRPr="00054CA1">
        <w:rPr>
          <w:rFonts w:cs="Arial"/>
          <w:bCs/>
          <w:i/>
          <w:szCs w:val="20"/>
          <w:lang w:val="sl-SI"/>
        </w:rPr>
        <w:t xml:space="preserve"> </w:t>
      </w:r>
      <w:proofErr w:type="spellStart"/>
      <w:r w:rsidRPr="00054CA1">
        <w:rPr>
          <w:rFonts w:cs="Arial"/>
          <w:bCs/>
          <w:i/>
          <w:szCs w:val="20"/>
          <w:lang w:val="sl-SI"/>
        </w:rPr>
        <w:t>Parliament</w:t>
      </w:r>
      <w:proofErr w:type="spellEnd"/>
      <w:r w:rsidRPr="00054CA1">
        <w:rPr>
          <w:rFonts w:cs="Arial"/>
          <w:bCs/>
          <w:i/>
          <w:szCs w:val="20"/>
          <w:lang w:val="sl-SI"/>
        </w:rPr>
        <w:t xml:space="preserve"> </w:t>
      </w:r>
      <w:proofErr w:type="spellStart"/>
      <w:r w:rsidRPr="00054CA1">
        <w:rPr>
          <w:rFonts w:cs="Arial"/>
          <w:bCs/>
          <w:i/>
          <w:szCs w:val="20"/>
          <w:lang w:val="sl-SI"/>
        </w:rPr>
        <w:t>and</w:t>
      </w:r>
      <w:proofErr w:type="spellEnd"/>
      <w:r w:rsidRPr="00054CA1">
        <w:rPr>
          <w:rFonts w:cs="Arial"/>
          <w:bCs/>
          <w:i/>
          <w:szCs w:val="20"/>
          <w:lang w:val="sl-SI"/>
        </w:rPr>
        <w:t xml:space="preserve"> </w:t>
      </w:r>
      <w:proofErr w:type="spellStart"/>
      <w:r w:rsidRPr="00054CA1">
        <w:rPr>
          <w:rFonts w:cs="Arial"/>
          <w:bCs/>
          <w:i/>
          <w:szCs w:val="20"/>
          <w:lang w:val="sl-SI"/>
        </w:rPr>
        <w:t>of</w:t>
      </w:r>
      <w:proofErr w:type="spellEnd"/>
      <w:r w:rsidRPr="00054CA1">
        <w:rPr>
          <w:rFonts w:cs="Arial"/>
          <w:bCs/>
          <w:i/>
          <w:szCs w:val="20"/>
          <w:lang w:val="sl-SI"/>
        </w:rPr>
        <w:t xml:space="preserve"> </w:t>
      </w:r>
      <w:proofErr w:type="spellStart"/>
      <w:r w:rsidRPr="00054CA1">
        <w:rPr>
          <w:rFonts w:cs="Arial"/>
          <w:bCs/>
          <w:i/>
          <w:szCs w:val="20"/>
          <w:lang w:val="sl-SI"/>
        </w:rPr>
        <w:t>the</w:t>
      </w:r>
      <w:proofErr w:type="spellEnd"/>
      <w:r w:rsidRPr="00054CA1">
        <w:rPr>
          <w:rFonts w:cs="Arial"/>
          <w:bCs/>
          <w:i/>
          <w:szCs w:val="20"/>
          <w:lang w:val="sl-SI"/>
        </w:rPr>
        <w:t xml:space="preserve"> </w:t>
      </w:r>
      <w:proofErr w:type="spellStart"/>
      <w:r w:rsidRPr="00054CA1">
        <w:rPr>
          <w:rFonts w:cs="Arial"/>
          <w:bCs/>
          <w:i/>
          <w:szCs w:val="20"/>
          <w:lang w:val="sl-SI"/>
        </w:rPr>
        <w:t>Council</w:t>
      </w:r>
      <w:proofErr w:type="spellEnd"/>
      <w:r w:rsidRPr="00054CA1">
        <w:rPr>
          <w:rFonts w:cs="Arial"/>
          <w:bCs/>
          <w:i/>
          <w:szCs w:val="20"/>
          <w:lang w:val="sl-SI"/>
        </w:rPr>
        <w:t xml:space="preserve"> </w:t>
      </w:r>
      <w:proofErr w:type="spellStart"/>
      <w:r w:rsidRPr="00054CA1">
        <w:rPr>
          <w:rFonts w:cs="Arial"/>
          <w:bCs/>
          <w:i/>
          <w:szCs w:val="20"/>
          <w:lang w:val="sl-SI"/>
        </w:rPr>
        <w:t>amending</w:t>
      </w:r>
      <w:proofErr w:type="spellEnd"/>
      <w:r w:rsidRPr="00054CA1">
        <w:rPr>
          <w:rFonts w:cs="Arial"/>
          <w:bCs/>
          <w:i/>
          <w:szCs w:val="20"/>
          <w:lang w:val="sl-SI"/>
        </w:rPr>
        <w:t xml:space="preserve"> </w:t>
      </w:r>
      <w:proofErr w:type="spellStart"/>
      <w:r w:rsidRPr="00054CA1">
        <w:rPr>
          <w:rFonts w:cs="Arial"/>
          <w:bCs/>
          <w:i/>
          <w:szCs w:val="20"/>
          <w:lang w:val="sl-SI"/>
        </w:rPr>
        <w:t>Regulations</w:t>
      </w:r>
      <w:proofErr w:type="spellEnd"/>
      <w:r w:rsidRPr="00054CA1">
        <w:rPr>
          <w:rFonts w:cs="Arial"/>
          <w:bCs/>
          <w:i/>
          <w:szCs w:val="20"/>
          <w:lang w:val="sl-SI"/>
        </w:rPr>
        <w:t xml:space="preserve"> (EC) No 999/2001, (EC) No 1829/2003, (EC) No 1831/2003, (EC) No 852/2004, (EC) No 853/2004, (EC) No 396/2005, (EC) No 1099/2009, (EC) No 1107/2009, (EU) No 528/2012, (EU) 2017/625 as </w:t>
      </w:r>
      <w:proofErr w:type="spellStart"/>
      <w:r w:rsidRPr="00054CA1">
        <w:rPr>
          <w:rFonts w:cs="Arial"/>
          <w:bCs/>
          <w:i/>
          <w:szCs w:val="20"/>
          <w:lang w:val="sl-SI"/>
        </w:rPr>
        <w:t>regards</w:t>
      </w:r>
      <w:proofErr w:type="spellEnd"/>
      <w:r w:rsidRPr="00054CA1">
        <w:rPr>
          <w:rFonts w:cs="Arial"/>
          <w:bCs/>
          <w:i/>
          <w:szCs w:val="20"/>
          <w:lang w:val="sl-SI"/>
        </w:rPr>
        <w:t xml:space="preserve"> </w:t>
      </w:r>
      <w:proofErr w:type="spellStart"/>
      <w:r w:rsidRPr="00054CA1">
        <w:rPr>
          <w:rFonts w:cs="Arial"/>
          <w:bCs/>
          <w:i/>
          <w:szCs w:val="20"/>
          <w:lang w:val="sl-SI"/>
        </w:rPr>
        <w:t>the</w:t>
      </w:r>
      <w:proofErr w:type="spellEnd"/>
      <w:r w:rsidRPr="00054CA1">
        <w:rPr>
          <w:rFonts w:cs="Arial"/>
          <w:bCs/>
          <w:i/>
          <w:szCs w:val="20"/>
          <w:lang w:val="sl-SI"/>
        </w:rPr>
        <w:t xml:space="preserve"> </w:t>
      </w:r>
      <w:proofErr w:type="spellStart"/>
      <w:r w:rsidRPr="00054CA1">
        <w:rPr>
          <w:rFonts w:cs="Arial"/>
          <w:bCs/>
          <w:i/>
          <w:szCs w:val="20"/>
          <w:lang w:val="sl-SI"/>
        </w:rPr>
        <w:t>simplification</w:t>
      </w:r>
      <w:proofErr w:type="spellEnd"/>
      <w:r w:rsidRPr="00054CA1">
        <w:rPr>
          <w:rFonts w:cs="Arial"/>
          <w:bCs/>
          <w:i/>
          <w:szCs w:val="20"/>
          <w:lang w:val="sl-SI"/>
        </w:rPr>
        <w:t xml:space="preserve"> </w:t>
      </w:r>
      <w:proofErr w:type="spellStart"/>
      <w:r w:rsidRPr="00054CA1">
        <w:rPr>
          <w:rFonts w:cs="Arial"/>
          <w:bCs/>
          <w:i/>
          <w:szCs w:val="20"/>
          <w:lang w:val="sl-SI"/>
        </w:rPr>
        <w:t>and</w:t>
      </w:r>
      <w:proofErr w:type="spellEnd"/>
      <w:r w:rsidRPr="00054CA1">
        <w:rPr>
          <w:rFonts w:cs="Arial"/>
          <w:bCs/>
          <w:i/>
          <w:szCs w:val="20"/>
          <w:lang w:val="sl-SI"/>
        </w:rPr>
        <w:t xml:space="preserve"> </w:t>
      </w:r>
      <w:proofErr w:type="spellStart"/>
      <w:r w:rsidRPr="00054CA1">
        <w:rPr>
          <w:rFonts w:cs="Arial"/>
          <w:bCs/>
          <w:i/>
          <w:szCs w:val="20"/>
          <w:lang w:val="sl-SI"/>
        </w:rPr>
        <w:t>strengthening</w:t>
      </w:r>
      <w:proofErr w:type="spellEnd"/>
      <w:r w:rsidRPr="00054CA1">
        <w:rPr>
          <w:rFonts w:cs="Arial"/>
          <w:bCs/>
          <w:i/>
          <w:szCs w:val="20"/>
          <w:lang w:val="sl-SI"/>
        </w:rPr>
        <w:t xml:space="preserve"> </w:t>
      </w:r>
      <w:proofErr w:type="spellStart"/>
      <w:r w:rsidRPr="00054CA1">
        <w:rPr>
          <w:rFonts w:cs="Arial"/>
          <w:bCs/>
          <w:i/>
          <w:szCs w:val="20"/>
          <w:lang w:val="sl-SI"/>
        </w:rPr>
        <w:t>of</w:t>
      </w:r>
      <w:proofErr w:type="spellEnd"/>
      <w:r w:rsidRPr="00054CA1">
        <w:rPr>
          <w:rFonts w:cs="Arial"/>
          <w:bCs/>
          <w:i/>
          <w:szCs w:val="20"/>
          <w:lang w:val="sl-SI"/>
        </w:rPr>
        <w:t xml:space="preserve"> </w:t>
      </w:r>
      <w:proofErr w:type="spellStart"/>
      <w:r w:rsidRPr="00054CA1">
        <w:rPr>
          <w:rFonts w:cs="Arial"/>
          <w:bCs/>
          <w:i/>
          <w:szCs w:val="20"/>
          <w:lang w:val="sl-SI"/>
        </w:rPr>
        <w:t>food</w:t>
      </w:r>
      <w:proofErr w:type="spellEnd"/>
      <w:r w:rsidRPr="00054CA1">
        <w:rPr>
          <w:rFonts w:cs="Arial"/>
          <w:bCs/>
          <w:i/>
          <w:szCs w:val="20"/>
          <w:lang w:val="sl-SI"/>
        </w:rPr>
        <w:t xml:space="preserve"> </w:t>
      </w:r>
      <w:proofErr w:type="spellStart"/>
      <w:r w:rsidRPr="00054CA1">
        <w:rPr>
          <w:rFonts w:cs="Arial"/>
          <w:bCs/>
          <w:i/>
          <w:szCs w:val="20"/>
          <w:lang w:val="sl-SI"/>
        </w:rPr>
        <w:t>and</w:t>
      </w:r>
      <w:proofErr w:type="spellEnd"/>
      <w:r w:rsidRPr="00054CA1">
        <w:rPr>
          <w:rFonts w:cs="Arial"/>
          <w:bCs/>
          <w:i/>
          <w:szCs w:val="20"/>
          <w:lang w:val="sl-SI"/>
        </w:rPr>
        <w:t xml:space="preserve"> </w:t>
      </w:r>
      <w:proofErr w:type="spellStart"/>
      <w:r w:rsidRPr="00054CA1">
        <w:rPr>
          <w:rFonts w:cs="Arial"/>
          <w:bCs/>
          <w:i/>
          <w:szCs w:val="20"/>
          <w:lang w:val="sl-SI"/>
        </w:rPr>
        <w:t>feed</w:t>
      </w:r>
      <w:proofErr w:type="spellEnd"/>
      <w:r w:rsidRPr="00054CA1">
        <w:rPr>
          <w:rFonts w:cs="Arial"/>
          <w:bCs/>
          <w:i/>
          <w:szCs w:val="20"/>
          <w:lang w:val="sl-SI"/>
        </w:rPr>
        <w:t xml:space="preserve"> </w:t>
      </w:r>
      <w:proofErr w:type="spellStart"/>
      <w:r w:rsidRPr="00054CA1">
        <w:rPr>
          <w:rFonts w:cs="Arial"/>
          <w:bCs/>
          <w:i/>
          <w:szCs w:val="20"/>
          <w:lang w:val="sl-SI"/>
        </w:rPr>
        <w:t>safety</w:t>
      </w:r>
      <w:proofErr w:type="spellEnd"/>
      <w:r w:rsidRPr="00054CA1">
        <w:rPr>
          <w:rFonts w:cs="Arial"/>
          <w:bCs/>
          <w:i/>
          <w:szCs w:val="20"/>
          <w:lang w:val="sl-SI"/>
        </w:rPr>
        <w:t xml:space="preserve"> </w:t>
      </w:r>
      <w:proofErr w:type="spellStart"/>
      <w:r w:rsidRPr="00054CA1">
        <w:rPr>
          <w:rFonts w:cs="Arial"/>
          <w:bCs/>
          <w:i/>
          <w:szCs w:val="20"/>
          <w:lang w:val="sl-SI"/>
        </w:rPr>
        <w:t>requirements</w:t>
      </w:r>
      <w:proofErr w:type="spellEnd"/>
    </w:p>
    <w:p w14:paraId="4F72A186"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Datum dokumenta: </w:t>
      </w:r>
      <w:r w:rsidRPr="00E50548">
        <w:rPr>
          <w:rFonts w:cs="Arial"/>
          <w:i/>
          <w:szCs w:val="20"/>
          <w:lang w:val="sl-SI"/>
        </w:rPr>
        <w:t>19. 12. 2025</w:t>
      </w:r>
    </w:p>
    <w:p w14:paraId="7BAB6BE4"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Številka dokumenta: </w:t>
      </w:r>
      <w:r w:rsidRPr="00E50548">
        <w:rPr>
          <w:rFonts w:cs="Arial"/>
          <w:i/>
          <w:szCs w:val="20"/>
          <w:lang w:val="sl-SI"/>
        </w:rPr>
        <w:t xml:space="preserve">17056/25 </w:t>
      </w:r>
    </w:p>
    <w:p w14:paraId="7A56FE57" w14:textId="77777777" w:rsidR="00EE252E" w:rsidRPr="00E50548" w:rsidRDefault="00EE252E" w:rsidP="00CF3C1F">
      <w:pPr>
        <w:spacing w:before="20" w:after="20"/>
        <w:jc w:val="both"/>
        <w:rPr>
          <w:rFonts w:cs="Arial"/>
          <w:i/>
          <w:szCs w:val="20"/>
          <w:lang w:val="sl-SI"/>
        </w:rPr>
      </w:pPr>
      <w:r w:rsidRPr="00E50548">
        <w:rPr>
          <w:rFonts w:cs="Arial"/>
          <w:szCs w:val="20"/>
          <w:lang w:val="sl-SI"/>
        </w:rPr>
        <w:t xml:space="preserve">Medinstitucionalna oznaka: </w:t>
      </w:r>
      <w:r w:rsidRPr="00E50548">
        <w:rPr>
          <w:rFonts w:cs="Arial"/>
          <w:i/>
          <w:szCs w:val="20"/>
          <w:lang w:val="sl-SI"/>
        </w:rPr>
        <w:t>2025/0410(COD)</w:t>
      </w:r>
    </w:p>
    <w:p w14:paraId="76683AD3" w14:textId="77777777" w:rsidR="00EE252E" w:rsidRPr="00E50548" w:rsidRDefault="00EE252E" w:rsidP="00CF3C1F">
      <w:pPr>
        <w:spacing w:before="20" w:after="20"/>
        <w:jc w:val="both"/>
        <w:rPr>
          <w:rFonts w:cs="Arial"/>
          <w:bCs/>
          <w:szCs w:val="20"/>
          <w:lang w:val="sl-SI"/>
        </w:rPr>
      </w:pPr>
      <w:r w:rsidRPr="00E50548">
        <w:rPr>
          <w:rFonts w:cs="Arial"/>
          <w:bCs/>
          <w:szCs w:val="20"/>
          <w:lang w:val="sl-SI"/>
        </w:rPr>
        <w:t xml:space="preserve">Pri izdelavi predloga stališča so upoštevane še različice in priloge dokumenta EU: </w:t>
      </w:r>
    </w:p>
    <w:p w14:paraId="17A5AE29" w14:textId="77777777" w:rsidR="00EE252E" w:rsidRPr="00E50548" w:rsidRDefault="00EE252E" w:rsidP="00CF3C1F">
      <w:pPr>
        <w:spacing w:before="20" w:after="20"/>
        <w:jc w:val="both"/>
        <w:rPr>
          <w:rFonts w:cs="Arial"/>
          <w:bCs/>
          <w:szCs w:val="20"/>
          <w:lang w:val="sl-SI"/>
        </w:rPr>
      </w:pPr>
    </w:p>
    <w:p w14:paraId="4A1717F6" w14:textId="77777777" w:rsidR="00EE252E" w:rsidRPr="00E50548" w:rsidRDefault="00EE252E" w:rsidP="00CF3C1F">
      <w:pPr>
        <w:spacing w:before="20" w:after="20"/>
        <w:jc w:val="both"/>
        <w:rPr>
          <w:rFonts w:cs="Arial"/>
          <w:szCs w:val="20"/>
          <w:lang w:val="sl-SI"/>
        </w:rPr>
      </w:pPr>
      <w:r w:rsidRPr="00E50548">
        <w:rPr>
          <w:rFonts w:cs="Arial"/>
          <w:b/>
          <w:szCs w:val="20"/>
          <w:lang w:val="sl-SI"/>
        </w:rPr>
        <w:t>2. Vrsta odločitve RS</w:t>
      </w:r>
      <w:r w:rsidRPr="00E50548">
        <w:rPr>
          <w:rFonts w:cs="Arial"/>
          <w:szCs w:val="20"/>
          <w:lang w:val="sl-SI"/>
        </w:rPr>
        <w:t>:</w:t>
      </w:r>
      <w:r w:rsidRPr="00E50548">
        <w:rPr>
          <w:rFonts w:cs="Arial"/>
          <w:b/>
          <w:bCs/>
          <w:i/>
          <w:color w:val="0070C0"/>
          <w:szCs w:val="20"/>
          <w:lang w:val="sl-SI"/>
        </w:rPr>
        <w:t xml:space="preserve"> </w:t>
      </w:r>
      <w:r w:rsidRPr="00E50548">
        <w:rPr>
          <w:rFonts w:cs="Arial"/>
          <w:i/>
          <w:szCs w:val="20"/>
          <w:lang w:val="sl-SI"/>
        </w:rPr>
        <w:t>Stališče Republike Slovenije</w:t>
      </w:r>
    </w:p>
    <w:p w14:paraId="72FF13A1" w14:textId="77777777" w:rsidR="00EE252E" w:rsidRPr="00E50548" w:rsidRDefault="00EE252E" w:rsidP="00CF3C1F">
      <w:pPr>
        <w:spacing w:before="20" w:after="20"/>
        <w:jc w:val="both"/>
        <w:rPr>
          <w:rFonts w:cs="Arial"/>
          <w:szCs w:val="20"/>
          <w:lang w:val="sl-SI"/>
        </w:rPr>
      </w:pPr>
    </w:p>
    <w:p w14:paraId="3EA0EA78" w14:textId="77777777" w:rsidR="00EE252E" w:rsidRPr="00E50548" w:rsidRDefault="00EE252E" w:rsidP="00CF3C1F">
      <w:pPr>
        <w:spacing w:before="20" w:after="20"/>
        <w:jc w:val="both"/>
        <w:rPr>
          <w:rFonts w:cs="Arial"/>
          <w:bCs/>
          <w:szCs w:val="20"/>
          <w:lang w:val="sl-SI"/>
        </w:rPr>
      </w:pPr>
      <w:r w:rsidRPr="00E50548">
        <w:rPr>
          <w:rFonts w:cs="Arial"/>
          <w:b/>
          <w:bCs/>
          <w:szCs w:val="20"/>
          <w:lang w:val="sl-SI"/>
        </w:rPr>
        <w:t>3. Postopek sprejemanja zadeve EU v institucijah EU</w:t>
      </w:r>
      <w:r w:rsidRPr="00E50548">
        <w:rPr>
          <w:rFonts w:cs="Arial"/>
          <w:bCs/>
          <w:szCs w:val="20"/>
          <w:lang w:val="sl-SI"/>
        </w:rPr>
        <w:t>:</w:t>
      </w:r>
    </w:p>
    <w:p w14:paraId="3E4FD57C" w14:textId="77777777" w:rsidR="00EE252E" w:rsidRPr="00E50548" w:rsidRDefault="00EE252E" w:rsidP="00CF3C1F">
      <w:pPr>
        <w:spacing w:before="20" w:after="20"/>
        <w:jc w:val="both"/>
        <w:rPr>
          <w:rFonts w:cs="Arial"/>
          <w:bCs/>
          <w:szCs w:val="20"/>
          <w:lang w:val="sl-SI"/>
        </w:rPr>
      </w:pPr>
    </w:p>
    <w:p w14:paraId="17BDD25C" w14:textId="77777777" w:rsidR="00EE252E" w:rsidRPr="00E50548" w:rsidRDefault="00EE252E" w:rsidP="00CF3C1F">
      <w:pPr>
        <w:spacing w:before="20" w:after="20"/>
        <w:jc w:val="both"/>
        <w:rPr>
          <w:rFonts w:cs="Arial"/>
          <w:szCs w:val="20"/>
          <w:lang w:val="sl-SI"/>
        </w:rPr>
      </w:pPr>
      <w:r w:rsidRPr="00E50548">
        <w:rPr>
          <w:rFonts w:cs="Arial"/>
          <w:bCs/>
          <w:szCs w:val="20"/>
          <w:lang w:val="sl-SI"/>
        </w:rPr>
        <w:t>Postopek</w:t>
      </w:r>
      <w:r w:rsidRPr="00E50548">
        <w:rPr>
          <w:rFonts w:cs="Arial"/>
          <w:szCs w:val="20"/>
          <w:lang w:val="sl-SI"/>
        </w:rPr>
        <w:t xml:space="preserve">: </w:t>
      </w:r>
      <w:r w:rsidRPr="00E50548">
        <w:rPr>
          <w:rFonts w:cs="Arial"/>
          <w:i/>
          <w:szCs w:val="20"/>
          <w:lang w:val="sl-SI"/>
        </w:rPr>
        <w:t xml:space="preserve">Redni zakonodajni postopek </w:t>
      </w:r>
    </w:p>
    <w:p w14:paraId="683BE4DE" w14:textId="77777777" w:rsidR="00EE252E" w:rsidRPr="00E50548" w:rsidRDefault="00EE252E" w:rsidP="00CF3C1F">
      <w:pPr>
        <w:spacing w:before="20" w:after="20"/>
        <w:jc w:val="both"/>
        <w:rPr>
          <w:rFonts w:cs="Arial"/>
          <w:bCs/>
          <w:szCs w:val="20"/>
          <w:lang w:val="sl-SI"/>
        </w:rPr>
      </w:pPr>
      <w:r w:rsidRPr="00E50548">
        <w:rPr>
          <w:rFonts w:cs="Arial"/>
          <w:bCs/>
          <w:szCs w:val="20"/>
          <w:lang w:val="sl-SI"/>
        </w:rPr>
        <w:t xml:space="preserve">Faza sprejemanja: </w:t>
      </w:r>
      <w:r w:rsidRPr="00E50548">
        <w:rPr>
          <w:rFonts w:cs="Arial"/>
          <w:bCs/>
          <w:i/>
          <w:szCs w:val="20"/>
          <w:lang w:val="sl-SI"/>
        </w:rPr>
        <w:t xml:space="preserve">Prva obravnava </w:t>
      </w:r>
    </w:p>
    <w:p w14:paraId="5CC8037F" w14:textId="77777777" w:rsidR="00EE252E" w:rsidRPr="00E50548" w:rsidRDefault="00EE252E" w:rsidP="00CF3C1F">
      <w:pPr>
        <w:spacing w:before="20" w:after="20"/>
        <w:jc w:val="both"/>
        <w:rPr>
          <w:rFonts w:cs="Arial"/>
          <w:bCs/>
          <w:szCs w:val="20"/>
          <w:lang w:val="sl-SI"/>
        </w:rPr>
      </w:pPr>
    </w:p>
    <w:p w14:paraId="003AF9BB" w14:textId="77777777" w:rsidR="00EE252E" w:rsidRPr="00E50548" w:rsidRDefault="00EE252E" w:rsidP="00CF3C1F">
      <w:pPr>
        <w:spacing w:before="20" w:after="20"/>
        <w:jc w:val="both"/>
        <w:rPr>
          <w:rFonts w:cs="Arial"/>
          <w:b/>
          <w:bCs/>
          <w:szCs w:val="20"/>
          <w:lang w:val="sl-SI"/>
        </w:rPr>
      </w:pPr>
      <w:r w:rsidRPr="00E50548">
        <w:rPr>
          <w:rFonts w:cs="Arial"/>
          <w:b/>
          <w:bCs/>
          <w:szCs w:val="20"/>
          <w:lang w:val="sl-SI"/>
        </w:rPr>
        <w:t>4. Pristojni organ EU</w:t>
      </w:r>
      <w:r w:rsidRPr="00E50548">
        <w:rPr>
          <w:rFonts w:cs="Arial"/>
          <w:bCs/>
          <w:szCs w:val="20"/>
          <w:lang w:val="sl-SI"/>
        </w:rPr>
        <w:t>:</w:t>
      </w:r>
      <w:r w:rsidRPr="00E50548">
        <w:rPr>
          <w:rFonts w:cs="Arial"/>
          <w:b/>
          <w:bCs/>
          <w:szCs w:val="20"/>
          <w:lang w:val="sl-SI"/>
        </w:rPr>
        <w:t xml:space="preserve"> </w:t>
      </w:r>
    </w:p>
    <w:p w14:paraId="718B1F32" w14:textId="77777777" w:rsidR="00EE252E" w:rsidRPr="00E50548" w:rsidRDefault="00EE252E" w:rsidP="00CF3C1F">
      <w:pPr>
        <w:spacing w:before="20" w:after="20"/>
        <w:jc w:val="both"/>
        <w:rPr>
          <w:rFonts w:cs="Arial"/>
          <w:bCs/>
          <w:szCs w:val="20"/>
          <w:lang w:val="sl-SI"/>
        </w:rPr>
      </w:pPr>
    </w:p>
    <w:p w14:paraId="0138BE13" w14:textId="77777777" w:rsidR="00EE252E" w:rsidRPr="00E50548" w:rsidRDefault="00EE252E" w:rsidP="00CF3C1F">
      <w:pPr>
        <w:spacing w:before="20" w:after="20"/>
        <w:jc w:val="both"/>
        <w:rPr>
          <w:rFonts w:cs="Arial"/>
          <w:bCs/>
          <w:szCs w:val="20"/>
          <w:lang w:val="sl-SI"/>
        </w:rPr>
      </w:pPr>
      <w:r w:rsidRPr="00E50548">
        <w:rPr>
          <w:rFonts w:cs="Arial"/>
          <w:bCs/>
          <w:szCs w:val="20"/>
          <w:lang w:val="sl-SI"/>
        </w:rPr>
        <w:t xml:space="preserve">Svet  EU v sestavi: </w:t>
      </w:r>
      <w:r w:rsidRPr="00E50548">
        <w:rPr>
          <w:rFonts w:cs="Arial"/>
          <w:bCs/>
          <w:i/>
          <w:szCs w:val="20"/>
          <w:lang w:val="sl-SI"/>
        </w:rPr>
        <w:t>AGRI - Svet EU za kmetijstvo in ribištvo</w:t>
      </w:r>
      <w:r w:rsidRPr="00E50548">
        <w:rPr>
          <w:rFonts w:cs="Arial"/>
          <w:bCs/>
          <w:szCs w:val="20"/>
          <w:lang w:val="sl-SI"/>
        </w:rPr>
        <w:t xml:space="preserve"> </w:t>
      </w:r>
    </w:p>
    <w:p w14:paraId="78E098F8" w14:textId="77777777" w:rsidR="00EE252E" w:rsidRPr="00E50548" w:rsidRDefault="00EE252E" w:rsidP="00CF3C1F">
      <w:pPr>
        <w:spacing w:before="20" w:after="20"/>
        <w:jc w:val="both"/>
        <w:rPr>
          <w:rFonts w:cs="Arial"/>
          <w:bCs/>
          <w:i/>
          <w:szCs w:val="20"/>
          <w:lang w:val="sl-SI"/>
        </w:rPr>
      </w:pPr>
      <w:r w:rsidRPr="00E50548">
        <w:rPr>
          <w:rFonts w:cs="Arial"/>
          <w:bCs/>
          <w:szCs w:val="20"/>
          <w:lang w:val="sl-SI"/>
        </w:rPr>
        <w:t xml:space="preserve">Delovno telo Sveta EU: </w:t>
      </w:r>
      <w:r w:rsidRPr="00E50548">
        <w:rPr>
          <w:rFonts w:cs="Arial"/>
          <w:bCs/>
          <w:i/>
          <w:szCs w:val="20"/>
          <w:lang w:val="sl-SI"/>
        </w:rPr>
        <w:t xml:space="preserve">A.14.a - Skupina </w:t>
      </w:r>
      <w:proofErr w:type="spellStart"/>
      <w:r w:rsidRPr="00E50548">
        <w:rPr>
          <w:rFonts w:cs="Arial"/>
          <w:bCs/>
          <w:i/>
          <w:szCs w:val="20"/>
          <w:lang w:val="sl-SI"/>
        </w:rPr>
        <w:t>Antici</w:t>
      </w:r>
      <w:proofErr w:type="spellEnd"/>
      <w:r w:rsidRPr="00E50548">
        <w:rPr>
          <w:rFonts w:cs="Arial"/>
          <w:bCs/>
          <w:i/>
          <w:szCs w:val="20"/>
          <w:lang w:val="sl-SI"/>
        </w:rPr>
        <w:t xml:space="preserve"> (a) poenostavitev</w:t>
      </w:r>
    </w:p>
    <w:p w14:paraId="5B595987" w14:textId="77777777" w:rsidR="00EE252E" w:rsidRPr="00E50548" w:rsidRDefault="00EE252E" w:rsidP="00CF3C1F">
      <w:pPr>
        <w:spacing w:before="20" w:after="20"/>
        <w:jc w:val="both"/>
        <w:rPr>
          <w:rFonts w:cs="Arial"/>
          <w:b/>
          <w:bCs/>
          <w:i/>
          <w:szCs w:val="20"/>
          <w:lang w:val="sl-SI"/>
        </w:rPr>
      </w:pPr>
    </w:p>
    <w:p w14:paraId="0DCC89F4" w14:textId="77777777" w:rsidR="00EE252E" w:rsidRPr="00E50548" w:rsidRDefault="00EE252E" w:rsidP="00CF3C1F">
      <w:pPr>
        <w:spacing w:before="20" w:after="20"/>
        <w:jc w:val="both"/>
        <w:rPr>
          <w:rFonts w:cs="Arial"/>
          <w:szCs w:val="20"/>
          <w:lang w:val="sl-SI"/>
        </w:rPr>
      </w:pPr>
      <w:r w:rsidRPr="00E50548">
        <w:rPr>
          <w:rFonts w:cs="Arial"/>
          <w:b/>
          <w:szCs w:val="20"/>
          <w:lang w:val="sl-SI"/>
        </w:rPr>
        <w:t>5. Organ, pristojen za dokončen sprejem stališča RS</w:t>
      </w:r>
      <w:r w:rsidRPr="00E50548">
        <w:rPr>
          <w:rFonts w:cs="Arial"/>
          <w:szCs w:val="20"/>
          <w:lang w:val="sl-SI"/>
        </w:rPr>
        <w:t>:</w:t>
      </w:r>
    </w:p>
    <w:p w14:paraId="7AD51D6B" w14:textId="77777777" w:rsidR="00EE252E" w:rsidRPr="00E50548" w:rsidRDefault="00EE252E" w:rsidP="00CF3C1F">
      <w:pPr>
        <w:spacing w:before="20" w:after="20"/>
        <w:jc w:val="both"/>
        <w:rPr>
          <w:rFonts w:cs="Arial"/>
          <w:i/>
          <w:iCs/>
          <w:szCs w:val="20"/>
          <w:lang w:val="sl-SI"/>
        </w:rPr>
      </w:pPr>
      <w:r w:rsidRPr="00E50548">
        <w:rPr>
          <w:rFonts w:cs="Arial"/>
          <w:i/>
          <w:szCs w:val="20"/>
          <w:lang w:val="sl-SI"/>
        </w:rPr>
        <w:t>Vlada</w:t>
      </w:r>
    </w:p>
    <w:p w14:paraId="5CD69286" w14:textId="77777777" w:rsidR="00EE252E" w:rsidRPr="00E50548" w:rsidRDefault="00EE252E" w:rsidP="00CF3C1F">
      <w:pPr>
        <w:spacing w:before="20" w:after="20"/>
        <w:jc w:val="both"/>
        <w:rPr>
          <w:rFonts w:cs="Arial"/>
          <w:iCs/>
          <w:szCs w:val="20"/>
          <w:lang w:val="sl-SI"/>
        </w:rPr>
      </w:pPr>
    </w:p>
    <w:p w14:paraId="2EBFF3E0" w14:textId="77777777" w:rsidR="00EE252E" w:rsidRPr="00E50548" w:rsidRDefault="00EE252E" w:rsidP="00CF3C1F">
      <w:pPr>
        <w:spacing w:before="20" w:after="20"/>
        <w:jc w:val="both"/>
        <w:rPr>
          <w:rFonts w:cs="Arial"/>
          <w:i/>
          <w:iCs/>
          <w:szCs w:val="20"/>
          <w:lang w:val="sl-SI"/>
        </w:rPr>
      </w:pPr>
      <w:r w:rsidRPr="00E50548">
        <w:rPr>
          <w:rFonts w:cs="Arial"/>
          <w:b/>
          <w:iCs/>
          <w:szCs w:val="20"/>
          <w:lang w:val="sl-SI"/>
        </w:rPr>
        <w:t>6. Pravna podlaga za obravnavo v Državnem zboru</w:t>
      </w:r>
      <w:r w:rsidRPr="00E50548">
        <w:rPr>
          <w:rFonts w:cs="Arial"/>
          <w:iCs/>
          <w:szCs w:val="20"/>
          <w:lang w:val="sl-SI"/>
        </w:rPr>
        <w:t xml:space="preserve">: </w:t>
      </w:r>
    </w:p>
    <w:p w14:paraId="14FBA002"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E50548">
        <w:rPr>
          <w:rFonts w:cs="Arial"/>
          <w:b/>
          <w:bCs/>
          <w:i/>
          <w:color w:val="0070C0"/>
          <w:szCs w:val="20"/>
          <w:lang w:val="sl-SI"/>
        </w:rPr>
        <w:t xml:space="preserve"> </w:t>
      </w:r>
    </w:p>
    <w:p w14:paraId="14363915" w14:textId="77777777" w:rsidR="00EE252E" w:rsidRPr="00E50548" w:rsidRDefault="00EE252E" w:rsidP="00CF3C1F">
      <w:pPr>
        <w:spacing w:before="20" w:after="20"/>
        <w:jc w:val="both"/>
        <w:rPr>
          <w:rFonts w:cs="Arial"/>
          <w:iCs/>
          <w:szCs w:val="20"/>
          <w:lang w:val="sl-SI"/>
        </w:rPr>
      </w:pPr>
    </w:p>
    <w:p w14:paraId="7F38919F" w14:textId="77777777" w:rsidR="00EE252E" w:rsidRPr="00E50548" w:rsidRDefault="00EE252E" w:rsidP="00CF3C1F">
      <w:pPr>
        <w:spacing w:before="20" w:after="20"/>
        <w:jc w:val="both"/>
        <w:rPr>
          <w:rFonts w:cs="Arial"/>
          <w:iCs/>
          <w:szCs w:val="20"/>
          <w:lang w:val="sl-SI"/>
        </w:rPr>
      </w:pPr>
      <w:r w:rsidRPr="00E50548">
        <w:rPr>
          <w:rFonts w:cs="Arial"/>
          <w:iCs/>
          <w:szCs w:val="20"/>
          <w:lang w:val="sl-SI"/>
        </w:rPr>
        <w:t xml:space="preserve">Pri delu v Državnem zboru bodo sodelovali:  </w:t>
      </w:r>
      <w:r w:rsidRPr="00E50548">
        <w:rPr>
          <w:rFonts w:cs="Arial"/>
          <w:i/>
          <w:iCs/>
          <w:szCs w:val="20"/>
          <w:lang w:val="sl-SI"/>
        </w:rPr>
        <w:t xml:space="preserve">Mateja </w:t>
      </w:r>
      <w:proofErr w:type="spellStart"/>
      <w:r w:rsidRPr="00E50548">
        <w:rPr>
          <w:rFonts w:cs="Arial"/>
          <w:i/>
          <w:iCs/>
          <w:szCs w:val="20"/>
          <w:lang w:val="sl-SI"/>
        </w:rPr>
        <w:t>Čalušić</w:t>
      </w:r>
      <w:proofErr w:type="spellEnd"/>
      <w:r w:rsidRPr="00E50548">
        <w:rPr>
          <w:rFonts w:cs="Arial"/>
          <w:i/>
          <w:iCs/>
          <w:szCs w:val="20"/>
          <w:lang w:val="sl-SI"/>
        </w:rPr>
        <w:t>, ministrica za kmetijstvo, gozdarstvo in prehrano, Maša Žagar, državna sekretarka.</w:t>
      </w:r>
    </w:p>
    <w:p w14:paraId="38378D67" w14:textId="77777777" w:rsidR="00EE252E" w:rsidRPr="00E50548" w:rsidRDefault="00EE252E" w:rsidP="00CF3C1F">
      <w:pPr>
        <w:spacing w:before="20" w:after="20"/>
        <w:jc w:val="both"/>
        <w:rPr>
          <w:rFonts w:cs="Arial"/>
          <w:b/>
          <w:szCs w:val="20"/>
          <w:lang w:val="sl-SI"/>
        </w:rPr>
      </w:pPr>
      <w:r w:rsidRPr="00E50548">
        <w:rPr>
          <w:rFonts w:cs="Arial"/>
          <w:i/>
          <w:iCs/>
          <w:szCs w:val="20"/>
          <w:lang w:val="sl-SI"/>
        </w:rPr>
        <w:tab/>
      </w:r>
    </w:p>
    <w:p w14:paraId="46388002" w14:textId="77777777" w:rsidR="00EE252E" w:rsidRPr="00E50548" w:rsidRDefault="00EE252E" w:rsidP="00CF3C1F">
      <w:pPr>
        <w:spacing w:before="20" w:after="20"/>
        <w:jc w:val="both"/>
        <w:rPr>
          <w:rFonts w:cs="Arial"/>
          <w:szCs w:val="20"/>
          <w:lang w:val="sl-SI"/>
        </w:rPr>
      </w:pPr>
      <w:r w:rsidRPr="00E50548">
        <w:rPr>
          <w:rFonts w:cs="Arial"/>
          <w:b/>
          <w:szCs w:val="20"/>
          <w:lang w:val="sl-SI"/>
        </w:rPr>
        <w:t>7. Roki</w:t>
      </w:r>
      <w:r w:rsidRPr="00E50548">
        <w:rPr>
          <w:rFonts w:cs="Arial"/>
          <w:szCs w:val="20"/>
          <w:lang w:val="sl-SI"/>
        </w:rPr>
        <w:t>:</w:t>
      </w:r>
    </w:p>
    <w:p w14:paraId="0093B388" w14:textId="77777777" w:rsidR="00EE252E" w:rsidRPr="00E50548" w:rsidRDefault="00EE252E" w:rsidP="00CF3C1F">
      <w:pPr>
        <w:spacing w:before="20" w:after="20"/>
        <w:jc w:val="both"/>
        <w:rPr>
          <w:rFonts w:cs="Arial"/>
          <w:i/>
          <w:szCs w:val="20"/>
          <w:lang w:val="sl-SI"/>
        </w:rPr>
      </w:pPr>
      <w:r w:rsidRPr="00E50548">
        <w:rPr>
          <w:rFonts w:cs="Arial"/>
          <w:szCs w:val="20"/>
          <w:lang w:val="sl-SI"/>
        </w:rPr>
        <w:t xml:space="preserve">Predviden čas pričetka obravnave zadeve EU v institucijah EU: </w:t>
      </w:r>
      <w:r w:rsidRPr="00E50548">
        <w:rPr>
          <w:rFonts w:cs="Arial"/>
          <w:i/>
          <w:szCs w:val="20"/>
          <w:lang w:val="sl-SI"/>
        </w:rPr>
        <w:t>Februar 2026</w:t>
      </w:r>
    </w:p>
    <w:p w14:paraId="3D5B23FA"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Predviden čas sprejema zadeve EU v institucijah EU: </w:t>
      </w:r>
      <w:r w:rsidRPr="00E50548">
        <w:rPr>
          <w:rFonts w:cs="Arial"/>
          <w:i/>
          <w:szCs w:val="20"/>
          <w:lang w:val="sl-SI"/>
        </w:rPr>
        <w:t>2026</w:t>
      </w:r>
    </w:p>
    <w:p w14:paraId="6C7FF0CE"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Rok za odziv organa: </w:t>
      </w:r>
      <w:r w:rsidRPr="00E50548">
        <w:rPr>
          <w:rFonts w:cs="Arial"/>
          <w:i/>
          <w:szCs w:val="20"/>
          <w:lang w:val="sl-SI"/>
        </w:rPr>
        <w:t>12. 01. 2026</w:t>
      </w:r>
    </w:p>
    <w:p w14:paraId="034602FB" w14:textId="77777777" w:rsidR="00EE252E" w:rsidRPr="00E50548" w:rsidRDefault="00EE252E" w:rsidP="00CF3C1F">
      <w:pPr>
        <w:spacing w:before="20" w:after="20"/>
        <w:jc w:val="both"/>
        <w:rPr>
          <w:rFonts w:cs="Arial"/>
          <w:i/>
          <w:szCs w:val="20"/>
          <w:lang w:val="sl-SI"/>
        </w:rPr>
      </w:pPr>
      <w:r w:rsidRPr="00E50548">
        <w:rPr>
          <w:rFonts w:cs="Arial"/>
          <w:szCs w:val="20"/>
          <w:lang w:val="sl-SI"/>
        </w:rPr>
        <w:t xml:space="preserve">Rok za obravnavo na seji Vlade in njenih odborih: </w:t>
      </w:r>
      <w:r w:rsidRPr="00E50548">
        <w:rPr>
          <w:rFonts w:cs="Arial"/>
          <w:i/>
          <w:szCs w:val="20"/>
          <w:lang w:val="sl-SI"/>
        </w:rPr>
        <w:t>9. 04. 2026</w:t>
      </w:r>
    </w:p>
    <w:p w14:paraId="2FECF947" w14:textId="77777777" w:rsidR="00EE252E" w:rsidRPr="00E50548" w:rsidRDefault="00EE252E" w:rsidP="00CF3C1F">
      <w:pPr>
        <w:spacing w:before="20" w:after="20"/>
        <w:jc w:val="both"/>
        <w:rPr>
          <w:rFonts w:cs="Arial"/>
          <w:i/>
          <w:szCs w:val="20"/>
          <w:lang w:val="sl-SI"/>
        </w:rPr>
      </w:pPr>
      <w:r w:rsidRPr="00E50548">
        <w:rPr>
          <w:rFonts w:cs="Arial"/>
          <w:szCs w:val="20"/>
          <w:lang w:val="sl-SI"/>
        </w:rPr>
        <w:t xml:space="preserve">Rok za obravnavo predloga stališča RS v DZ: </w:t>
      </w:r>
    </w:p>
    <w:p w14:paraId="3123E513" w14:textId="77777777" w:rsidR="00EE252E" w:rsidRPr="00E50548" w:rsidRDefault="00EE252E" w:rsidP="00CF3C1F">
      <w:pPr>
        <w:spacing w:before="20" w:after="20"/>
        <w:jc w:val="both"/>
        <w:rPr>
          <w:rFonts w:cs="Arial"/>
          <w:color w:val="00B050"/>
          <w:szCs w:val="20"/>
          <w:lang w:val="sl-SI"/>
        </w:rPr>
      </w:pPr>
    </w:p>
    <w:p w14:paraId="4917D0EF"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Predlog z obrazložitvijo za skrajšanje oziroma podaljšanje rokov: </w:t>
      </w:r>
    </w:p>
    <w:p w14:paraId="31B74228" w14:textId="77777777" w:rsidR="00EE252E" w:rsidRPr="00E50548" w:rsidRDefault="00EE252E" w:rsidP="00CF3C1F">
      <w:pPr>
        <w:spacing w:before="20" w:after="20"/>
        <w:jc w:val="both"/>
        <w:rPr>
          <w:rFonts w:cs="Arial"/>
          <w:color w:val="00B050"/>
          <w:szCs w:val="20"/>
          <w:lang w:val="sl-SI"/>
        </w:rPr>
      </w:pPr>
    </w:p>
    <w:p w14:paraId="5E71D07F" w14:textId="77777777" w:rsidR="00EE252E" w:rsidRPr="00E50548" w:rsidRDefault="00EE252E" w:rsidP="00CF3C1F">
      <w:pPr>
        <w:spacing w:before="20" w:after="20"/>
        <w:jc w:val="both"/>
        <w:rPr>
          <w:rFonts w:cs="Arial"/>
          <w:szCs w:val="20"/>
          <w:lang w:val="sl-SI"/>
        </w:rPr>
      </w:pPr>
      <w:r w:rsidRPr="00E50548">
        <w:rPr>
          <w:rFonts w:cs="Arial"/>
          <w:b/>
          <w:szCs w:val="20"/>
          <w:lang w:val="sl-SI"/>
        </w:rPr>
        <w:t>8. Organ, odgovoren za pripravo predloga stališča RS</w:t>
      </w:r>
      <w:r w:rsidRPr="00E50548">
        <w:rPr>
          <w:rFonts w:cs="Arial"/>
          <w:szCs w:val="20"/>
          <w:lang w:val="sl-SI"/>
        </w:rPr>
        <w:t>:</w:t>
      </w:r>
    </w:p>
    <w:p w14:paraId="4F587B6B"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Organ: </w:t>
      </w:r>
      <w:r w:rsidRPr="00E50548">
        <w:rPr>
          <w:rFonts w:cs="Arial"/>
          <w:i/>
          <w:szCs w:val="20"/>
          <w:lang w:val="sl-SI"/>
        </w:rPr>
        <w:t>Ministrstvo za kmetijstvo, gozdarstvo in prehrano</w:t>
      </w:r>
    </w:p>
    <w:p w14:paraId="10838533"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Kontaktne osebe organa: </w:t>
      </w:r>
      <w:r w:rsidRPr="00E50548">
        <w:rPr>
          <w:rFonts w:cs="Arial"/>
          <w:i/>
          <w:szCs w:val="20"/>
          <w:lang w:val="sl-SI"/>
        </w:rPr>
        <w:t>Helena Gašperlin Pertovt, Služba za evropske zadeve in mednarodno sodelovanje; Urška Galjot, vodja Sektorja za mednarodne zadeve, Uprava Republike Slovenije za varno hrano, veterinarstvo in varstvo rastlin</w:t>
      </w:r>
    </w:p>
    <w:p w14:paraId="2099BA64" w14:textId="77777777" w:rsidR="00EE252E" w:rsidRPr="00E50548" w:rsidRDefault="00EE252E" w:rsidP="00CF3C1F">
      <w:pPr>
        <w:spacing w:before="20" w:after="20"/>
        <w:jc w:val="both"/>
        <w:rPr>
          <w:rFonts w:cs="Arial"/>
          <w:szCs w:val="20"/>
          <w:lang w:val="sl-SI"/>
        </w:rPr>
      </w:pPr>
    </w:p>
    <w:p w14:paraId="44903F08" w14:textId="77777777" w:rsidR="00EE252E" w:rsidRPr="00E50548" w:rsidRDefault="00EE252E" w:rsidP="00CF3C1F">
      <w:pPr>
        <w:spacing w:before="20" w:after="20"/>
        <w:jc w:val="both"/>
        <w:rPr>
          <w:rFonts w:cs="Arial"/>
          <w:b/>
          <w:szCs w:val="20"/>
          <w:lang w:val="sl-SI"/>
        </w:rPr>
      </w:pPr>
      <w:r w:rsidRPr="00E50548">
        <w:rPr>
          <w:rFonts w:cs="Arial"/>
          <w:b/>
          <w:szCs w:val="20"/>
          <w:lang w:val="sl-SI"/>
        </w:rPr>
        <w:t>9. Delovna skupina Vlade, organizirana za posamezno področje zadev EU</w:t>
      </w:r>
      <w:r w:rsidRPr="00E50548">
        <w:rPr>
          <w:rFonts w:cs="Arial"/>
          <w:szCs w:val="20"/>
          <w:lang w:val="sl-SI"/>
        </w:rPr>
        <w:t>:</w:t>
      </w:r>
      <w:r w:rsidRPr="00E50548">
        <w:rPr>
          <w:rFonts w:cs="Arial"/>
          <w:b/>
          <w:szCs w:val="20"/>
          <w:lang w:val="sl-SI"/>
        </w:rPr>
        <w:t xml:space="preserve"> </w:t>
      </w:r>
    </w:p>
    <w:p w14:paraId="6CCEF24A" w14:textId="77777777" w:rsidR="00EE252E" w:rsidRPr="00E50548" w:rsidRDefault="00EE252E" w:rsidP="00CF3C1F">
      <w:pPr>
        <w:spacing w:before="20" w:after="20"/>
        <w:jc w:val="both"/>
        <w:rPr>
          <w:rFonts w:cs="Arial"/>
          <w:b/>
          <w:szCs w:val="20"/>
          <w:lang w:val="sl-SI"/>
        </w:rPr>
      </w:pPr>
      <w:r w:rsidRPr="00E50548">
        <w:rPr>
          <w:rFonts w:cs="Arial"/>
          <w:i/>
          <w:szCs w:val="20"/>
          <w:lang w:val="sl-SI"/>
        </w:rPr>
        <w:t>DS25 - Kmetijstvo</w:t>
      </w:r>
      <w:r w:rsidRPr="00E50548">
        <w:rPr>
          <w:rFonts w:cs="Arial"/>
          <w:b/>
          <w:szCs w:val="20"/>
          <w:lang w:val="sl-SI"/>
        </w:rPr>
        <w:t xml:space="preserve"> </w:t>
      </w:r>
    </w:p>
    <w:p w14:paraId="5A31FFA9" w14:textId="77777777" w:rsidR="00EE252E" w:rsidRPr="00E50548" w:rsidRDefault="00EE252E" w:rsidP="00CF3C1F">
      <w:pPr>
        <w:spacing w:before="20" w:after="20"/>
        <w:jc w:val="both"/>
        <w:rPr>
          <w:rFonts w:cs="Arial"/>
          <w:b/>
          <w:i/>
          <w:color w:val="FF0000"/>
          <w:szCs w:val="20"/>
          <w:lang w:val="sl-SI"/>
        </w:rPr>
      </w:pPr>
    </w:p>
    <w:p w14:paraId="4B29DD1F" w14:textId="77777777" w:rsidR="00EE252E" w:rsidRPr="00E50548" w:rsidRDefault="00EE252E" w:rsidP="00CF3C1F">
      <w:pPr>
        <w:spacing w:before="20" w:after="20"/>
        <w:jc w:val="both"/>
        <w:rPr>
          <w:rFonts w:cs="Arial"/>
          <w:i/>
          <w:szCs w:val="20"/>
          <w:lang w:val="sl-SI"/>
        </w:rPr>
      </w:pPr>
      <w:r w:rsidRPr="00E50548">
        <w:rPr>
          <w:rFonts w:cs="Arial"/>
          <w:szCs w:val="20"/>
          <w:lang w:val="sl-SI"/>
        </w:rPr>
        <w:t xml:space="preserve">vodilni organ: </w:t>
      </w:r>
      <w:r w:rsidRPr="00E50548">
        <w:rPr>
          <w:rFonts w:cs="Arial"/>
          <w:i/>
          <w:szCs w:val="20"/>
          <w:lang w:val="sl-SI"/>
        </w:rPr>
        <w:t>MKGP - Ministrstvo za kmetijstvo, gozdarstvo in prehrano</w:t>
      </w:r>
    </w:p>
    <w:p w14:paraId="2014C93A"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vodja delovne skupine: </w:t>
      </w:r>
      <w:r w:rsidRPr="00E50548">
        <w:rPr>
          <w:rFonts w:cs="Arial"/>
          <w:i/>
          <w:szCs w:val="20"/>
          <w:lang w:val="sl-SI"/>
        </w:rPr>
        <w:t>mag. Boštjan Ključevšek, vršilec dolžnosti generalnega direktorja Direktorata za kmetijstvo</w:t>
      </w:r>
    </w:p>
    <w:p w14:paraId="58787D2D" w14:textId="77777777" w:rsidR="00EE252E" w:rsidRPr="00E50548" w:rsidRDefault="00EE252E" w:rsidP="00CF3C1F">
      <w:pPr>
        <w:spacing w:before="20" w:after="20"/>
        <w:jc w:val="both"/>
        <w:rPr>
          <w:rFonts w:cs="Arial"/>
          <w:b/>
          <w:szCs w:val="20"/>
          <w:lang w:val="sl-SI"/>
        </w:rPr>
      </w:pPr>
    </w:p>
    <w:p w14:paraId="21670FA6" w14:textId="77777777" w:rsidR="00EE252E" w:rsidRPr="00E50548" w:rsidRDefault="00EE252E" w:rsidP="00CF3C1F">
      <w:pPr>
        <w:spacing w:before="20" w:after="20"/>
        <w:jc w:val="both"/>
        <w:rPr>
          <w:rFonts w:cs="Arial"/>
          <w:b/>
          <w:szCs w:val="20"/>
          <w:lang w:val="sl-SI"/>
        </w:rPr>
      </w:pPr>
      <w:r w:rsidRPr="00E50548">
        <w:rPr>
          <w:rFonts w:cs="Arial"/>
          <w:b/>
          <w:szCs w:val="20"/>
          <w:lang w:val="sl-SI"/>
        </w:rPr>
        <w:t>Delovna skupina je predlog stališča RS obravnavala</w:t>
      </w:r>
      <w:r w:rsidRPr="00E50548">
        <w:rPr>
          <w:rFonts w:cs="Arial"/>
          <w:szCs w:val="20"/>
          <w:lang w:val="sl-SI"/>
        </w:rPr>
        <w:t>:</w:t>
      </w:r>
      <w:r w:rsidRPr="00E50548">
        <w:rPr>
          <w:rFonts w:cs="Arial"/>
          <w:b/>
          <w:szCs w:val="20"/>
          <w:lang w:val="sl-SI"/>
        </w:rPr>
        <w:t xml:space="preserve">  </w:t>
      </w:r>
      <w:r w:rsidRPr="00E50548">
        <w:rPr>
          <w:rFonts w:cs="Arial"/>
          <w:i/>
          <w:szCs w:val="20"/>
          <w:lang w:val="sl-SI"/>
        </w:rPr>
        <w:t>Ne</w:t>
      </w:r>
    </w:p>
    <w:p w14:paraId="09D02727" w14:textId="77777777" w:rsidR="00EE252E" w:rsidRPr="00E50548" w:rsidRDefault="00EE252E" w:rsidP="00CF3C1F">
      <w:pPr>
        <w:spacing w:before="20" w:after="20"/>
        <w:jc w:val="both"/>
        <w:rPr>
          <w:rFonts w:cs="Arial"/>
          <w:b/>
          <w:szCs w:val="20"/>
          <w:lang w:val="sl-SI"/>
        </w:rPr>
      </w:pPr>
    </w:p>
    <w:p w14:paraId="117AC076" w14:textId="77777777" w:rsidR="00EE252E" w:rsidRPr="00E50548" w:rsidRDefault="00EE252E" w:rsidP="00CF3C1F">
      <w:pPr>
        <w:spacing w:before="20" w:after="20"/>
        <w:jc w:val="both"/>
        <w:rPr>
          <w:rFonts w:cs="Arial"/>
          <w:szCs w:val="20"/>
          <w:lang w:val="sl-SI"/>
        </w:rPr>
      </w:pPr>
      <w:r w:rsidRPr="00E50548">
        <w:rPr>
          <w:rFonts w:cs="Arial"/>
          <w:b/>
          <w:szCs w:val="20"/>
          <w:lang w:val="sl-SI"/>
        </w:rPr>
        <w:t>10. Predlog stališča RS je usklajen z organi</w:t>
      </w:r>
      <w:r w:rsidRPr="00E50548">
        <w:rPr>
          <w:rFonts w:cs="Arial"/>
          <w:szCs w:val="20"/>
          <w:lang w:val="sl-SI"/>
        </w:rPr>
        <w:t>:</w:t>
      </w:r>
    </w:p>
    <w:p w14:paraId="2D3638AC"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Organ: </w:t>
      </w:r>
      <w:r w:rsidRPr="00E50548">
        <w:rPr>
          <w:rFonts w:cs="Arial"/>
          <w:i/>
          <w:szCs w:val="20"/>
          <w:lang w:val="sl-SI"/>
        </w:rPr>
        <w:t>Ministrstvo za digitalno preobrazbo, Ministrstvo za finance, Ministrstvo za gospodarstvo, turizem in šport, Ministrstvo za naravne vire in prostor, Ministrstvo za obrambo, Ministrstvo za okolje, podnebje in energijo, Ministrstvo za zdravje, Ministrstvo za zunanje in evropske zadeve</w:t>
      </w:r>
    </w:p>
    <w:p w14:paraId="1428F51B" w14:textId="77777777" w:rsidR="00EE252E" w:rsidRPr="00E50548" w:rsidRDefault="00EE252E" w:rsidP="00CF3C1F">
      <w:pPr>
        <w:spacing w:before="20" w:after="20"/>
        <w:jc w:val="both"/>
        <w:rPr>
          <w:rFonts w:cs="Arial"/>
          <w:szCs w:val="20"/>
          <w:lang w:val="sl-SI"/>
        </w:rPr>
      </w:pPr>
      <w:r w:rsidRPr="00E50548">
        <w:rPr>
          <w:rFonts w:cs="Arial"/>
          <w:szCs w:val="20"/>
          <w:lang w:val="sl-SI"/>
        </w:rPr>
        <w:t xml:space="preserve">Kontaktna oseba organa: </w:t>
      </w:r>
      <w:proofErr w:type="spellStart"/>
      <w:r w:rsidRPr="00E50548">
        <w:rPr>
          <w:rFonts w:cs="Arial"/>
          <w:i/>
          <w:szCs w:val="20"/>
          <w:lang w:val="sl-SI"/>
        </w:rPr>
        <w:t>Klaudija</w:t>
      </w:r>
      <w:proofErr w:type="spellEnd"/>
      <w:r w:rsidRPr="00E50548">
        <w:rPr>
          <w:rFonts w:cs="Arial"/>
          <w:i/>
          <w:szCs w:val="20"/>
          <w:lang w:val="sl-SI"/>
        </w:rPr>
        <w:t xml:space="preserve"> Koražija, MDP; MF; Snežana Dolenc, MKGTP, Kaja </w:t>
      </w:r>
      <w:proofErr w:type="spellStart"/>
      <w:r w:rsidRPr="00E50548">
        <w:rPr>
          <w:rFonts w:cs="Arial"/>
          <w:i/>
          <w:szCs w:val="20"/>
          <w:lang w:val="sl-SI"/>
        </w:rPr>
        <w:t>Česnovar</w:t>
      </w:r>
      <w:proofErr w:type="spellEnd"/>
      <w:r w:rsidRPr="00E50548">
        <w:rPr>
          <w:rFonts w:cs="Arial"/>
          <w:i/>
          <w:szCs w:val="20"/>
          <w:lang w:val="sl-SI"/>
        </w:rPr>
        <w:t xml:space="preserve">, MNVP; Danica </w:t>
      </w:r>
      <w:proofErr w:type="spellStart"/>
      <w:r w:rsidRPr="00E50548">
        <w:rPr>
          <w:rFonts w:cs="Arial"/>
          <w:i/>
          <w:szCs w:val="20"/>
          <w:lang w:val="sl-SI"/>
        </w:rPr>
        <w:t>Ankh</w:t>
      </w:r>
      <w:proofErr w:type="spellEnd"/>
      <w:r w:rsidRPr="00E50548">
        <w:rPr>
          <w:rFonts w:cs="Arial"/>
          <w:i/>
          <w:szCs w:val="20"/>
          <w:lang w:val="sl-SI"/>
        </w:rPr>
        <w:t xml:space="preserve">, MORS; Luka </w:t>
      </w:r>
      <w:proofErr w:type="spellStart"/>
      <w:r w:rsidRPr="00E50548">
        <w:rPr>
          <w:rFonts w:cs="Arial"/>
          <w:i/>
          <w:szCs w:val="20"/>
          <w:lang w:val="sl-SI"/>
        </w:rPr>
        <w:t>Vombek</w:t>
      </w:r>
      <w:proofErr w:type="spellEnd"/>
      <w:r w:rsidRPr="00E50548">
        <w:rPr>
          <w:rFonts w:cs="Arial"/>
          <w:i/>
          <w:szCs w:val="20"/>
          <w:lang w:val="sl-SI"/>
        </w:rPr>
        <w:t>, MOPE; Metka Logar, MZ; mag. Jasna Koblar, MZEZ</w:t>
      </w:r>
    </w:p>
    <w:p w14:paraId="024FBF64" w14:textId="77777777" w:rsidR="00EE252E" w:rsidRPr="00E50548" w:rsidRDefault="00EE252E" w:rsidP="00CF3C1F">
      <w:pPr>
        <w:spacing w:before="20" w:after="20"/>
        <w:jc w:val="both"/>
        <w:rPr>
          <w:rFonts w:cs="Arial"/>
          <w:szCs w:val="20"/>
          <w:lang w:val="sl-SI"/>
        </w:rPr>
      </w:pPr>
    </w:p>
    <w:p w14:paraId="486E03BE" w14:textId="77777777" w:rsidR="00EE252E" w:rsidRPr="00E50548" w:rsidRDefault="00EE252E" w:rsidP="00CF3C1F">
      <w:pPr>
        <w:spacing w:before="20" w:after="20"/>
        <w:jc w:val="both"/>
        <w:rPr>
          <w:rFonts w:cs="Arial"/>
          <w:b/>
          <w:bCs/>
          <w:szCs w:val="20"/>
          <w:lang w:val="sl-SI"/>
        </w:rPr>
      </w:pPr>
      <w:r w:rsidRPr="00E50548">
        <w:rPr>
          <w:rFonts w:cs="Arial"/>
          <w:b/>
          <w:bCs/>
          <w:szCs w:val="20"/>
          <w:lang w:val="sl-SI"/>
        </w:rPr>
        <w:t>11. O predlogu stališča RS je bilo opravljeno posvetovanje z</w:t>
      </w:r>
      <w:r w:rsidRPr="00E50548">
        <w:rPr>
          <w:rFonts w:cs="Arial"/>
          <w:bCs/>
          <w:szCs w:val="20"/>
          <w:lang w:val="sl-SI"/>
        </w:rPr>
        <w:t>:</w:t>
      </w:r>
      <w:r w:rsidRPr="00E50548">
        <w:rPr>
          <w:rFonts w:cs="Arial"/>
          <w:b/>
          <w:bCs/>
          <w:szCs w:val="20"/>
          <w:lang w:val="sl-SI"/>
        </w:rPr>
        <w:t xml:space="preserve"> </w:t>
      </w:r>
    </w:p>
    <w:p w14:paraId="3F927481" w14:textId="2D511244" w:rsidR="00EE252E" w:rsidRPr="00E50548" w:rsidRDefault="00EE252E" w:rsidP="00CF3C1F">
      <w:pPr>
        <w:spacing w:before="20" w:after="20"/>
        <w:jc w:val="both"/>
        <w:rPr>
          <w:rFonts w:cs="Arial"/>
          <w:bCs/>
          <w:szCs w:val="20"/>
          <w:lang w:val="sl-SI"/>
        </w:rPr>
      </w:pPr>
      <w:r w:rsidRPr="00E50548">
        <w:rPr>
          <w:rFonts w:cs="Arial"/>
          <w:bCs/>
          <w:i/>
          <w:szCs w:val="20"/>
          <w:lang w:val="sl-SI"/>
        </w:rPr>
        <w:t xml:space="preserve">drugo </w:t>
      </w:r>
      <w:r w:rsidR="00B51F53">
        <w:rPr>
          <w:rFonts w:cs="Arial"/>
          <w:bCs/>
          <w:i/>
          <w:szCs w:val="20"/>
          <w:lang w:val="sl-SI"/>
        </w:rPr>
        <w:t>–</w:t>
      </w:r>
      <w:r w:rsidRPr="00E50548">
        <w:rPr>
          <w:rFonts w:cs="Arial"/>
          <w:bCs/>
          <w:i/>
          <w:szCs w:val="20"/>
          <w:lang w:val="sl-SI"/>
        </w:rPr>
        <w:t xml:space="preserve"> </w:t>
      </w:r>
      <w:r w:rsidR="00B51F53">
        <w:rPr>
          <w:rFonts w:cs="Arial"/>
          <w:bCs/>
          <w:i/>
          <w:szCs w:val="20"/>
          <w:lang w:val="sl-SI"/>
        </w:rPr>
        <w:t xml:space="preserve">Predlog svežnja je bil 13. 3. 2026 predstavljen deležnikom. </w:t>
      </w:r>
    </w:p>
    <w:p w14:paraId="708C5998" w14:textId="77777777" w:rsidR="00EE252E" w:rsidRPr="00E50548" w:rsidRDefault="00EE252E" w:rsidP="00CF3C1F">
      <w:pPr>
        <w:spacing w:before="20" w:after="20"/>
        <w:jc w:val="both"/>
        <w:rPr>
          <w:rFonts w:cs="Arial"/>
          <w:i/>
          <w:szCs w:val="20"/>
          <w:lang w:val="sl-SI"/>
        </w:rPr>
      </w:pPr>
    </w:p>
    <w:p w14:paraId="5356092A" w14:textId="77777777" w:rsidR="00EE252E" w:rsidRPr="00E50548" w:rsidRDefault="00EE252E" w:rsidP="00CF3C1F">
      <w:pPr>
        <w:spacing w:before="20" w:after="20"/>
        <w:jc w:val="both"/>
        <w:rPr>
          <w:rFonts w:cs="Arial"/>
          <w:b/>
          <w:szCs w:val="20"/>
          <w:lang w:val="sl-SI"/>
        </w:rPr>
      </w:pPr>
      <w:r w:rsidRPr="00E50548">
        <w:rPr>
          <w:rFonts w:cs="Arial"/>
          <w:b/>
          <w:szCs w:val="20"/>
          <w:lang w:val="sl-SI"/>
        </w:rPr>
        <w:t>12. Zahteva za obravnavo</w:t>
      </w:r>
      <w:r w:rsidRPr="00E50548">
        <w:rPr>
          <w:rFonts w:cs="Arial"/>
          <w:szCs w:val="20"/>
          <w:lang w:val="sl-SI"/>
        </w:rPr>
        <w:t>:</w:t>
      </w:r>
      <w:r w:rsidRPr="00E50548">
        <w:rPr>
          <w:rFonts w:cs="Arial"/>
          <w:b/>
          <w:szCs w:val="20"/>
          <w:lang w:val="sl-SI"/>
        </w:rPr>
        <w:t xml:space="preserve"> </w:t>
      </w:r>
      <w:r w:rsidRPr="00E50548">
        <w:rPr>
          <w:rFonts w:cs="Arial"/>
          <w:i/>
          <w:szCs w:val="20"/>
          <w:lang w:val="sl-SI"/>
        </w:rPr>
        <w:t>na seji Vlade, na seji Odbora za gospodarstvo</w:t>
      </w:r>
    </w:p>
    <w:p w14:paraId="26AA6E4B" w14:textId="77777777" w:rsidR="00EE252E" w:rsidRPr="00E50548" w:rsidRDefault="00EE252E" w:rsidP="00CF3C1F">
      <w:pPr>
        <w:spacing w:before="20" w:after="20"/>
        <w:jc w:val="both"/>
        <w:rPr>
          <w:rFonts w:cs="Arial"/>
          <w:szCs w:val="20"/>
          <w:lang w:val="sl-SI"/>
        </w:rPr>
      </w:pPr>
    </w:p>
    <w:p w14:paraId="73560B82" w14:textId="77777777" w:rsidR="00EE252E" w:rsidRPr="00E50548" w:rsidRDefault="00EE252E" w:rsidP="00CF3C1F">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EE252E" w:rsidRPr="00E50548" w14:paraId="5CF6F8A4" w14:textId="77777777" w:rsidTr="00CF3C1F">
        <w:tc>
          <w:tcPr>
            <w:tcW w:w="3085" w:type="dxa"/>
          </w:tcPr>
          <w:p w14:paraId="47047961" w14:textId="77777777" w:rsidR="00EE252E" w:rsidRPr="00E50548" w:rsidRDefault="00EE252E" w:rsidP="00CF3C1F">
            <w:pPr>
              <w:spacing w:before="20" w:after="20"/>
              <w:jc w:val="center"/>
              <w:rPr>
                <w:rFonts w:cs="Arial"/>
                <w:b/>
                <w:iCs/>
                <w:szCs w:val="20"/>
                <w:lang w:val="sl-SI"/>
              </w:rPr>
            </w:pPr>
            <w:r w:rsidRPr="00E50548">
              <w:rPr>
                <w:rFonts w:cs="Arial"/>
                <w:b/>
                <w:iCs/>
                <w:szCs w:val="20"/>
                <w:lang w:val="sl-SI"/>
              </w:rPr>
              <w:t xml:space="preserve">Mateja </w:t>
            </w:r>
            <w:proofErr w:type="spellStart"/>
            <w:r w:rsidRPr="00E50548">
              <w:rPr>
                <w:rFonts w:cs="Arial"/>
                <w:b/>
                <w:iCs/>
                <w:szCs w:val="20"/>
                <w:lang w:val="sl-SI"/>
              </w:rPr>
              <w:t>Čalušić</w:t>
            </w:r>
            <w:proofErr w:type="spellEnd"/>
          </w:p>
          <w:p w14:paraId="11B16185" w14:textId="77777777" w:rsidR="00EE252E" w:rsidRPr="00E50548" w:rsidRDefault="00EE252E" w:rsidP="00CF3C1F">
            <w:pPr>
              <w:spacing w:before="20" w:after="20"/>
              <w:jc w:val="center"/>
              <w:rPr>
                <w:rFonts w:cs="Arial"/>
                <w:b/>
                <w:iCs/>
                <w:szCs w:val="20"/>
                <w:lang w:val="sl-SI"/>
              </w:rPr>
            </w:pPr>
            <w:r w:rsidRPr="00E50548">
              <w:rPr>
                <w:rFonts w:cs="Arial"/>
                <w:b/>
                <w:iCs/>
                <w:szCs w:val="20"/>
                <w:lang w:val="sl-SI"/>
              </w:rPr>
              <w:t>MINISTRICA</w:t>
            </w:r>
          </w:p>
        </w:tc>
      </w:tr>
    </w:tbl>
    <w:p w14:paraId="09AD96CE" w14:textId="77777777" w:rsidR="00EE252E" w:rsidRPr="00E50548" w:rsidRDefault="00EE252E" w:rsidP="00E50548">
      <w:pPr>
        <w:tabs>
          <w:tab w:val="center" w:pos="6804"/>
        </w:tabs>
        <w:spacing w:before="20" w:after="20"/>
        <w:jc w:val="center"/>
        <w:rPr>
          <w:rFonts w:cs="Arial"/>
          <w:bCs/>
          <w:szCs w:val="20"/>
          <w:lang w:val="sl-SI"/>
        </w:rPr>
      </w:pPr>
      <w:r w:rsidRPr="00E50548">
        <w:rPr>
          <w:rFonts w:cs="Arial"/>
          <w:b/>
          <w:iCs/>
          <w:szCs w:val="20"/>
          <w:lang w:val="sl-SI"/>
        </w:rPr>
        <w:br w:type="page"/>
      </w:r>
      <w:r w:rsidRPr="00E50548">
        <w:rPr>
          <w:rFonts w:cs="Arial"/>
          <w:bCs/>
          <w:szCs w:val="20"/>
          <w:lang w:val="sl-SI"/>
        </w:rPr>
        <w:lastRenderedPageBreak/>
        <w:t>II.</w:t>
      </w:r>
    </w:p>
    <w:p w14:paraId="637F0D8A" w14:textId="77777777" w:rsidR="00EE252E" w:rsidRPr="00E50548" w:rsidRDefault="00EE252E" w:rsidP="00CF3C1F">
      <w:pPr>
        <w:spacing w:before="20" w:after="20"/>
        <w:jc w:val="center"/>
        <w:rPr>
          <w:rFonts w:cs="Arial"/>
          <w:b/>
          <w:szCs w:val="20"/>
          <w:lang w:val="sl-SI"/>
        </w:rPr>
      </w:pPr>
      <w:r w:rsidRPr="00E50548">
        <w:rPr>
          <w:rFonts w:cs="Arial"/>
          <w:b/>
          <w:szCs w:val="20"/>
          <w:lang w:val="sl-SI"/>
        </w:rPr>
        <w:t>PREDLOG</w:t>
      </w:r>
    </w:p>
    <w:p w14:paraId="1C374386" w14:textId="77777777" w:rsidR="00EE252E" w:rsidRPr="00E50548" w:rsidRDefault="00EE252E" w:rsidP="00CF3C1F">
      <w:pPr>
        <w:spacing w:before="20" w:after="20"/>
        <w:jc w:val="center"/>
        <w:rPr>
          <w:rFonts w:cs="Arial"/>
          <w:b/>
          <w:szCs w:val="20"/>
          <w:lang w:val="sl-SI"/>
        </w:rPr>
      </w:pPr>
    </w:p>
    <w:p w14:paraId="0F261DBC" w14:textId="77777777" w:rsidR="00EE252E" w:rsidRPr="00E50548" w:rsidRDefault="00EE252E" w:rsidP="00CF3C1F">
      <w:pPr>
        <w:spacing w:before="20" w:after="20"/>
        <w:jc w:val="center"/>
        <w:rPr>
          <w:rFonts w:cs="Arial"/>
          <w:szCs w:val="20"/>
          <w:lang w:val="sl-SI"/>
        </w:rPr>
      </w:pPr>
      <w:r w:rsidRPr="00E50548">
        <w:rPr>
          <w:rFonts w:cs="Arial"/>
          <w:b/>
          <w:szCs w:val="20"/>
          <w:lang w:val="sl-SI"/>
        </w:rPr>
        <w:t>STALIŠČE RS</w:t>
      </w:r>
    </w:p>
    <w:p w14:paraId="444F75A9" w14:textId="77777777" w:rsidR="00EE252E" w:rsidRPr="00E50548" w:rsidRDefault="00EE252E" w:rsidP="00CF3C1F">
      <w:pPr>
        <w:spacing w:before="20" w:after="20"/>
        <w:jc w:val="both"/>
        <w:rPr>
          <w:rFonts w:cs="Arial"/>
          <w:szCs w:val="20"/>
          <w:lang w:val="sl-SI"/>
        </w:rPr>
      </w:pPr>
    </w:p>
    <w:p w14:paraId="3761AF5C" w14:textId="77777777" w:rsidR="00EE252E" w:rsidRPr="00E50548" w:rsidRDefault="00EE252E" w:rsidP="00CF3C1F">
      <w:pPr>
        <w:spacing w:before="20" w:after="20"/>
        <w:jc w:val="both"/>
        <w:rPr>
          <w:rFonts w:cs="Arial"/>
          <w:szCs w:val="20"/>
          <w:lang w:val="sl-SI"/>
        </w:rPr>
      </w:pPr>
      <w:r w:rsidRPr="00E50548">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14:paraId="39912388" w14:textId="77777777" w:rsidR="00EE252E" w:rsidRPr="00E50548" w:rsidRDefault="00EE252E" w:rsidP="00CF3C1F">
      <w:pPr>
        <w:spacing w:before="20" w:after="20"/>
        <w:jc w:val="both"/>
        <w:rPr>
          <w:rFonts w:cs="Arial"/>
          <w:b/>
          <w:i/>
          <w:szCs w:val="20"/>
          <w:lang w:val="sl-SI"/>
        </w:rPr>
      </w:pPr>
    </w:p>
    <w:p w14:paraId="100CDA59" w14:textId="77777777" w:rsidR="00EE252E" w:rsidRPr="00E50548" w:rsidRDefault="00EE252E" w:rsidP="00CF3C1F">
      <w:pPr>
        <w:spacing w:before="20" w:after="20"/>
        <w:jc w:val="both"/>
        <w:rPr>
          <w:rFonts w:cs="Arial"/>
          <w:b/>
          <w:iCs/>
          <w:szCs w:val="20"/>
          <w:lang w:val="sl-SI"/>
        </w:rPr>
      </w:pPr>
      <w:r w:rsidRPr="00E50548">
        <w:rPr>
          <w:rFonts w:cs="Arial"/>
          <w:b/>
          <w:iCs/>
          <w:szCs w:val="20"/>
          <w:lang w:val="sl-SI"/>
        </w:rPr>
        <w:t>A)</w:t>
      </w:r>
    </w:p>
    <w:p w14:paraId="582135D0" w14:textId="77777777" w:rsidR="00EE252E" w:rsidRPr="00E50548" w:rsidRDefault="00EE252E" w:rsidP="00CF3C1F">
      <w:pPr>
        <w:spacing w:before="20" w:after="20"/>
        <w:jc w:val="both"/>
        <w:rPr>
          <w:rFonts w:cs="Arial"/>
          <w:i/>
          <w:iCs/>
          <w:szCs w:val="20"/>
          <w:lang w:val="sl-SI"/>
        </w:rPr>
      </w:pPr>
      <w:r w:rsidRPr="00E50548">
        <w:rPr>
          <w:rFonts w:cs="Arial"/>
          <w:iCs/>
          <w:szCs w:val="20"/>
          <w:lang w:val="sl-SI"/>
        </w:rPr>
        <w:t>Republika Slovenija je sprejela (določila predlog)</w:t>
      </w:r>
    </w:p>
    <w:p w14:paraId="0D1A5038" w14:textId="77777777" w:rsidR="00EE252E" w:rsidRPr="00E50548" w:rsidRDefault="00EE252E" w:rsidP="00CF3C1F">
      <w:pPr>
        <w:spacing w:before="20" w:after="20"/>
        <w:jc w:val="both"/>
        <w:rPr>
          <w:rFonts w:cs="Arial"/>
          <w:i/>
          <w:szCs w:val="20"/>
          <w:lang w:val="sl-SI"/>
        </w:rPr>
      </w:pPr>
      <w:r w:rsidRPr="00E50548">
        <w:rPr>
          <w:rFonts w:cs="Arial"/>
          <w:b/>
          <w:i/>
          <w:szCs w:val="20"/>
          <w:lang w:val="sl-SI"/>
        </w:rPr>
        <w:t>Stališče Republike Slovenije</w:t>
      </w:r>
    </w:p>
    <w:p w14:paraId="45843E26" w14:textId="77777777" w:rsidR="00EE252E" w:rsidRPr="00E50548" w:rsidRDefault="00EE252E" w:rsidP="00CF3C1F">
      <w:pPr>
        <w:spacing w:before="20" w:after="20"/>
        <w:jc w:val="both"/>
        <w:rPr>
          <w:rFonts w:cs="Arial"/>
          <w:szCs w:val="20"/>
          <w:lang w:val="sl-SI"/>
        </w:rPr>
      </w:pPr>
    </w:p>
    <w:p w14:paraId="7D510E6B" w14:textId="0921FA1B"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Vlada Republike Slovenije je sprejela na podlagi 49.h člena Poslovnika Vlade Republike Slovenije stališče Republike Slovenije k zadevi </w:t>
      </w:r>
      <w:r w:rsidR="00054CA1" w:rsidRPr="00054CA1">
        <w:rPr>
          <w:rFonts w:cs="Arial"/>
          <w:i/>
          <w:iCs/>
          <w:szCs w:val="20"/>
          <w:lang w:val="sl-SI"/>
        </w:rPr>
        <w:t>Predlog uredbe Evropskega parlamenta in Sveta o spremembi uredb (ES) št. 999/2001, (ES) št. 1829/2003, (ES) št. 1831/2003, (ES) št. 852/2004, (ES) št. 853/2004, (ES) št. 396/2005, (ES) št. 1099/2009, (ES) št. 1107/2009, (EU) št. 528/2012 in (EU) 2017/625 glede poenostavitve in okrepitve zahtev glede varnosti hrane in krme</w:t>
      </w:r>
      <w:r w:rsidRPr="00054CA1">
        <w:rPr>
          <w:rFonts w:cs="Arial"/>
          <w:i/>
          <w:iCs/>
          <w:szCs w:val="20"/>
          <w:lang w:val="sl-SI"/>
        </w:rPr>
        <w:t xml:space="preserve"> - 17056</w:t>
      </w:r>
      <w:r w:rsidRPr="00E50548">
        <w:rPr>
          <w:rFonts w:cs="Arial"/>
          <w:i/>
          <w:iCs/>
          <w:szCs w:val="20"/>
          <w:lang w:val="sl-SI"/>
        </w:rPr>
        <w:t>/25, ki se glasi:</w:t>
      </w:r>
    </w:p>
    <w:p w14:paraId="29A31E2D" w14:textId="77777777" w:rsidR="00EE252E" w:rsidRPr="00E50548" w:rsidRDefault="00EE252E" w:rsidP="00CF3C1F">
      <w:pPr>
        <w:spacing w:before="20" w:after="20"/>
        <w:jc w:val="both"/>
        <w:rPr>
          <w:rFonts w:cs="Arial"/>
          <w:i/>
          <w:iCs/>
          <w:szCs w:val="20"/>
          <w:lang w:val="sl-SI"/>
        </w:rPr>
      </w:pPr>
    </w:p>
    <w:p w14:paraId="71C96F33" w14:textId="5B35DB04" w:rsidR="00EE252E" w:rsidRPr="00E50548" w:rsidRDefault="00EE252E" w:rsidP="00CF3C1F">
      <w:pPr>
        <w:spacing w:before="20" w:after="20"/>
        <w:jc w:val="both"/>
        <w:rPr>
          <w:rFonts w:cs="Arial"/>
          <w:i/>
          <w:iCs/>
          <w:szCs w:val="20"/>
          <w:lang w:val="sl-SI"/>
        </w:rPr>
      </w:pPr>
      <w:r w:rsidRPr="00E50548">
        <w:rPr>
          <w:rFonts w:cs="Arial"/>
          <w:i/>
          <w:iCs/>
          <w:szCs w:val="20"/>
          <w:lang w:val="sl-SI"/>
        </w:rPr>
        <w:t>Republika Slovenija pozdravlja namen in splošni cilj</w:t>
      </w:r>
      <w:r w:rsidR="00054CA1">
        <w:rPr>
          <w:rFonts w:cs="Arial"/>
          <w:i/>
          <w:iCs/>
          <w:szCs w:val="20"/>
          <w:lang w:val="sl-SI"/>
        </w:rPr>
        <w:t xml:space="preserve"> </w:t>
      </w:r>
      <w:r w:rsidR="00054CA1" w:rsidRPr="00054CA1">
        <w:rPr>
          <w:rFonts w:cs="Arial"/>
          <w:i/>
          <w:iCs/>
          <w:szCs w:val="20"/>
          <w:lang w:val="sl-SI"/>
        </w:rPr>
        <w:t>Predlog</w:t>
      </w:r>
      <w:r w:rsidR="00054CA1">
        <w:rPr>
          <w:rFonts w:cs="Arial"/>
          <w:i/>
          <w:iCs/>
          <w:szCs w:val="20"/>
          <w:lang w:val="sl-SI"/>
        </w:rPr>
        <w:t>a</w:t>
      </w:r>
      <w:r w:rsidR="00054CA1" w:rsidRPr="00054CA1">
        <w:rPr>
          <w:rFonts w:cs="Arial"/>
          <w:i/>
          <w:iCs/>
          <w:szCs w:val="20"/>
          <w:lang w:val="sl-SI"/>
        </w:rPr>
        <w:t xml:space="preserve"> uredbe Evropskega parlamenta in Sveta o spremembi uredb (ES) št. 999/2001, (ES) št. 1829/2003, (ES) št. 1831/2003, (ES) št. 852/2004, (ES) št. 853/2004, (ES) št. 396/2005, (ES) št. 1099/2009, (ES) št. 1107/2009, (EU) št. 528/2012 in (EU) 2017/625 glede poenostavitve in okrepitve zahtev glede varnosti hrane in krme</w:t>
      </w:r>
      <w:r w:rsidRPr="00E50548">
        <w:rPr>
          <w:rFonts w:cs="Arial"/>
          <w:i/>
          <w:iCs/>
          <w:szCs w:val="20"/>
          <w:lang w:val="sl-SI"/>
        </w:rPr>
        <w:t xml:space="preserve"> </w:t>
      </w:r>
      <w:r w:rsidR="00054CA1">
        <w:rPr>
          <w:rFonts w:cs="Arial"/>
          <w:i/>
          <w:iCs/>
          <w:szCs w:val="20"/>
          <w:lang w:val="sl-SI"/>
        </w:rPr>
        <w:t xml:space="preserve">z vidika </w:t>
      </w:r>
      <w:r w:rsidRPr="00E50548">
        <w:rPr>
          <w:rFonts w:cs="Arial"/>
          <w:i/>
          <w:iCs/>
          <w:szCs w:val="20"/>
          <w:lang w:val="sl-SI"/>
        </w:rPr>
        <w:t>zmanjšanja administrativnih bremen, pospešitve postopkov ter zagotavljanja večje pravne predvidljivosti za pristojne organe, proizvajalce in uporabnike. To predstavlja pomemben korak k učinkovitejši in uporabniku prijaznejši regulaciji.</w:t>
      </w:r>
    </w:p>
    <w:p w14:paraId="57BBE2F9" w14:textId="77777777" w:rsidR="00EE252E" w:rsidRPr="00E50548" w:rsidRDefault="00EE252E" w:rsidP="00CF3C1F">
      <w:pPr>
        <w:spacing w:before="20" w:after="20"/>
        <w:jc w:val="both"/>
        <w:rPr>
          <w:rFonts w:cs="Arial"/>
          <w:i/>
          <w:iCs/>
          <w:szCs w:val="20"/>
          <w:lang w:val="sl-SI"/>
        </w:rPr>
      </w:pPr>
    </w:p>
    <w:p w14:paraId="5DFF5694" w14:textId="4FF4FB54" w:rsidR="00EE252E" w:rsidRDefault="00EE252E" w:rsidP="00CF3C1F">
      <w:pPr>
        <w:spacing w:before="20" w:after="20"/>
        <w:jc w:val="both"/>
        <w:rPr>
          <w:rFonts w:cs="Arial"/>
          <w:i/>
          <w:iCs/>
          <w:szCs w:val="20"/>
          <w:lang w:val="sl-SI"/>
        </w:rPr>
      </w:pPr>
      <w:r w:rsidRPr="00E50548">
        <w:rPr>
          <w:rFonts w:cs="Arial"/>
          <w:i/>
          <w:iCs/>
          <w:szCs w:val="20"/>
          <w:lang w:val="sl-SI"/>
        </w:rPr>
        <w:t>Republika Slovenija v splošnem podpira ukrepe, ki spodbujajo trajnostne, varne in inovativne rešitve.</w:t>
      </w:r>
    </w:p>
    <w:p w14:paraId="045AAC52" w14:textId="2591815C" w:rsidR="00054CA1" w:rsidRDefault="00054CA1" w:rsidP="00CF3C1F">
      <w:pPr>
        <w:spacing w:before="20" w:after="20"/>
        <w:jc w:val="both"/>
        <w:rPr>
          <w:rFonts w:cs="Arial"/>
          <w:i/>
          <w:iCs/>
          <w:szCs w:val="20"/>
          <w:lang w:val="sl-SI"/>
        </w:rPr>
      </w:pPr>
    </w:p>
    <w:p w14:paraId="247E35DF"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Kot pozitivno Republika Slovenija ocenjuje krepitev vloge Evropske agencije za varnost hrane (ang. </w:t>
      </w:r>
      <w:proofErr w:type="spellStart"/>
      <w:r w:rsidRPr="00E50548">
        <w:rPr>
          <w:rFonts w:cs="Arial"/>
          <w:i/>
          <w:iCs/>
          <w:szCs w:val="20"/>
          <w:lang w:val="sl-SI"/>
        </w:rPr>
        <w:t>European</w:t>
      </w:r>
      <w:proofErr w:type="spellEnd"/>
      <w:r w:rsidRPr="00E50548">
        <w:rPr>
          <w:rFonts w:cs="Arial"/>
          <w:i/>
          <w:iCs/>
          <w:szCs w:val="20"/>
          <w:lang w:val="sl-SI"/>
        </w:rPr>
        <w:t xml:space="preserve"> </w:t>
      </w:r>
      <w:proofErr w:type="spellStart"/>
      <w:r w:rsidRPr="00E50548">
        <w:rPr>
          <w:rFonts w:cs="Arial"/>
          <w:i/>
          <w:iCs/>
          <w:szCs w:val="20"/>
          <w:lang w:val="sl-SI"/>
        </w:rPr>
        <w:t>Food</w:t>
      </w:r>
      <w:proofErr w:type="spellEnd"/>
      <w:r w:rsidRPr="00E50548">
        <w:rPr>
          <w:rFonts w:cs="Arial"/>
          <w:i/>
          <w:iCs/>
          <w:szCs w:val="20"/>
          <w:lang w:val="sl-SI"/>
        </w:rPr>
        <w:t xml:space="preserve"> </w:t>
      </w:r>
      <w:proofErr w:type="spellStart"/>
      <w:r w:rsidRPr="00E50548">
        <w:rPr>
          <w:rFonts w:cs="Arial"/>
          <w:i/>
          <w:iCs/>
          <w:szCs w:val="20"/>
          <w:lang w:val="sl-SI"/>
        </w:rPr>
        <w:t>Safety</w:t>
      </w:r>
      <w:proofErr w:type="spellEnd"/>
      <w:r w:rsidRPr="00E50548">
        <w:rPr>
          <w:rFonts w:cs="Arial"/>
          <w:i/>
          <w:iCs/>
          <w:szCs w:val="20"/>
          <w:lang w:val="sl-SI"/>
        </w:rPr>
        <w:t xml:space="preserve"> </w:t>
      </w:r>
      <w:proofErr w:type="spellStart"/>
      <w:r w:rsidRPr="00E50548">
        <w:rPr>
          <w:rFonts w:cs="Arial"/>
          <w:i/>
          <w:iCs/>
          <w:szCs w:val="20"/>
          <w:lang w:val="sl-SI"/>
        </w:rPr>
        <w:t>Authority</w:t>
      </w:r>
      <w:proofErr w:type="spellEnd"/>
      <w:r w:rsidRPr="00E50548">
        <w:rPr>
          <w:rFonts w:cs="Arial"/>
          <w:i/>
          <w:iCs/>
          <w:szCs w:val="20"/>
          <w:lang w:val="sl-SI"/>
        </w:rPr>
        <w:t xml:space="preserve"> – EFSA) ter prizadevanja za racionalizacijo ocenjevalnih postopkov fitofarmacevtskih sredstev in poenostavitve pri odobritvah ter vzajemnem priznavanju.</w:t>
      </w:r>
    </w:p>
    <w:p w14:paraId="18E56290" w14:textId="77777777" w:rsidR="00EE252E" w:rsidRPr="00E50548" w:rsidRDefault="00EE252E" w:rsidP="00CF3C1F">
      <w:pPr>
        <w:spacing w:before="20" w:after="20"/>
        <w:jc w:val="both"/>
        <w:rPr>
          <w:rFonts w:cs="Arial"/>
          <w:i/>
          <w:iCs/>
          <w:szCs w:val="20"/>
          <w:lang w:val="sl-SI"/>
        </w:rPr>
      </w:pPr>
    </w:p>
    <w:p w14:paraId="3302EAC8"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Republika Slovenija pozdravlja še zlasti osredotočenost na bolj usklajene in pregledne postopke pri </w:t>
      </w:r>
      <w:proofErr w:type="spellStart"/>
      <w:r w:rsidRPr="00E50548">
        <w:rPr>
          <w:rFonts w:cs="Arial"/>
          <w:i/>
          <w:iCs/>
          <w:szCs w:val="20"/>
          <w:lang w:val="sl-SI"/>
        </w:rPr>
        <w:t>biokontrolnih</w:t>
      </w:r>
      <w:proofErr w:type="spellEnd"/>
      <w:r w:rsidRPr="00E50548">
        <w:rPr>
          <w:rFonts w:cs="Arial"/>
          <w:i/>
          <w:iCs/>
          <w:szCs w:val="20"/>
          <w:lang w:val="sl-SI"/>
        </w:rPr>
        <w:t xml:space="preserve"> rešitvah ter krmnih dodatkih, saj to spodbuja prehod k bolj trajnostnim praksam.</w:t>
      </w:r>
    </w:p>
    <w:p w14:paraId="11F5C48A" w14:textId="77777777" w:rsidR="00EE252E" w:rsidRPr="00E50548" w:rsidRDefault="00EE252E" w:rsidP="00CF3C1F">
      <w:pPr>
        <w:spacing w:before="20" w:after="20"/>
        <w:jc w:val="both"/>
        <w:rPr>
          <w:rFonts w:cs="Arial"/>
          <w:i/>
          <w:iCs/>
          <w:szCs w:val="20"/>
          <w:lang w:val="sl-SI"/>
        </w:rPr>
      </w:pPr>
    </w:p>
    <w:p w14:paraId="1C81995C"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Ob tem Republika Slovenija poudarja, da morajo vse poenostavitve ohraniti visoko raven varovanja zdravja ljudi, živali in okolja. Posebno pozornost bo Republika Slovenija namenila predlogom, ki se nanašajo na določanje mejnih vrednosti ostankov, obravnavo fermentacijskih proizvodov ter odobritev aktivnih snovi v fitofarmacevtskih sredstvih za nedoločen čas, saj je ključnega pomena zagotoviti ustrezne varovalke in učinkovit nadzor.</w:t>
      </w:r>
    </w:p>
    <w:p w14:paraId="32E50CE1" w14:textId="77777777" w:rsidR="00EE252E" w:rsidRPr="00E50548" w:rsidRDefault="00EE252E" w:rsidP="00CF3C1F">
      <w:pPr>
        <w:spacing w:before="20" w:after="20"/>
        <w:jc w:val="both"/>
        <w:rPr>
          <w:rFonts w:cs="Arial"/>
          <w:i/>
          <w:iCs/>
          <w:szCs w:val="20"/>
          <w:lang w:val="sl-SI"/>
        </w:rPr>
      </w:pPr>
    </w:p>
    <w:p w14:paraId="182BDEE5" w14:textId="7AE8218B" w:rsidR="00EE252E" w:rsidRPr="00E50548" w:rsidRDefault="00B51F53" w:rsidP="00CF3C1F">
      <w:pPr>
        <w:spacing w:before="20" w:after="20"/>
        <w:jc w:val="both"/>
        <w:rPr>
          <w:rFonts w:cs="Arial"/>
          <w:i/>
          <w:iCs/>
          <w:szCs w:val="20"/>
          <w:lang w:val="sl-SI"/>
        </w:rPr>
      </w:pPr>
      <w:r w:rsidRPr="00B51F53">
        <w:rPr>
          <w:rFonts w:cs="Arial"/>
          <w:i/>
          <w:iCs/>
          <w:szCs w:val="20"/>
          <w:lang w:val="sl-SI"/>
        </w:rPr>
        <w:t>Po oceni Republike Slovenije so številni predlogi pravilno zastavljeni; nekateri pa zahtevajo dodatno nadgradnjo ali razjasnitev odprtih vprašanj v naslednji fazi obravnave.</w:t>
      </w:r>
      <w:r>
        <w:rPr>
          <w:rFonts w:cs="Arial"/>
          <w:i/>
          <w:iCs/>
          <w:szCs w:val="20"/>
          <w:lang w:val="sl-SI"/>
        </w:rPr>
        <w:t xml:space="preserve"> V zvezi s tem </w:t>
      </w:r>
      <w:r w:rsidR="00EE252E" w:rsidRPr="00E50548">
        <w:rPr>
          <w:rFonts w:cs="Arial"/>
          <w:i/>
          <w:iCs/>
          <w:szCs w:val="20"/>
          <w:lang w:val="sl-SI"/>
        </w:rPr>
        <w:t xml:space="preserve">Republika Slovenija načeloma podpira </w:t>
      </w:r>
      <w:r>
        <w:rPr>
          <w:rFonts w:cs="Arial"/>
          <w:i/>
          <w:iCs/>
          <w:szCs w:val="20"/>
          <w:lang w:val="sl-SI"/>
        </w:rPr>
        <w:t xml:space="preserve">predloge oziroma </w:t>
      </w:r>
      <w:r w:rsidR="00EE252E" w:rsidRPr="00E50548">
        <w:rPr>
          <w:rFonts w:cs="Arial"/>
          <w:i/>
          <w:iCs/>
          <w:szCs w:val="20"/>
          <w:lang w:val="sl-SI"/>
        </w:rPr>
        <w:t>prizadevanja za pospešitev uvajanja varnejših in trajnostnih rešitev na področju varstva rastlin ter poenostavitev postopkov odobritve fitofarmacevtskih sredstev. Hkrati pa poudarja, da je ključno ohraniti visoko raven varstva zdravja ljudi, živali in okolja, zagotoviti pravno predvidljivost ter ohraniti transparentnost in aktivno vlogo držav članic pri ocenjevanju in nadzoru.</w:t>
      </w:r>
    </w:p>
    <w:p w14:paraId="6612B1C9" w14:textId="77777777" w:rsidR="00EE252E" w:rsidRPr="00E50548" w:rsidRDefault="00EE252E" w:rsidP="00CF3C1F">
      <w:pPr>
        <w:spacing w:before="20" w:after="20"/>
        <w:jc w:val="both"/>
        <w:rPr>
          <w:rFonts w:cs="Arial"/>
          <w:i/>
          <w:iCs/>
          <w:szCs w:val="20"/>
          <w:lang w:val="sl-SI"/>
        </w:rPr>
      </w:pPr>
    </w:p>
    <w:p w14:paraId="763B4781"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lastRenderedPageBreak/>
        <w:t>Republika Slovenija se zaveda, da bo za njihovo učinkovito uporabo že v tekočem letu ključnega pomena pravočasen sprejem ustrezne zakonodaje. Dodatno k temu Republika Slovenija opozarja, da je treba pri vseh poenostavitvah zagotoviti jasno pravno predvidljivost za pristojne organe, proizvajalce in uporabnike, da se preprečijo morebitne nejasnosti ali dvoumnosti pri izvajanju zakonodaje.</w:t>
      </w:r>
    </w:p>
    <w:p w14:paraId="5B3317BF" w14:textId="77777777" w:rsidR="00EE252E" w:rsidRPr="00E50548" w:rsidRDefault="00EE252E" w:rsidP="00CF3C1F">
      <w:pPr>
        <w:spacing w:before="20" w:after="20"/>
        <w:jc w:val="both"/>
        <w:rPr>
          <w:rFonts w:cs="Arial"/>
          <w:b/>
          <w:iCs/>
          <w:szCs w:val="20"/>
          <w:lang w:val="sl-SI"/>
        </w:rPr>
      </w:pPr>
    </w:p>
    <w:p w14:paraId="5222EC34" w14:textId="77777777" w:rsidR="00EE252E" w:rsidRPr="00E50548" w:rsidRDefault="00EE252E" w:rsidP="00CF3C1F">
      <w:pPr>
        <w:spacing w:before="20" w:after="20"/>
        <w:jc w:val="both"/>
        <w:rPr>
          <w:rFonts w:cs="Arial"/>
          <w:b/>
          <w:i/>
          <w:iCs/>
          <w:szCs w:val="20"/>
          <w:lang w:val="sl-SI"/>
        </w:rPr>
      </w:pPr>
      <w:r w:rsidRPr="00E50548">
        <w:rPr>
          <w:rFonts w:cs="Arial"/>
          <w:b/>
          <w:iCs/>
          <w:szCs w:val="20"/>
          <w:lang w:val="sl-SI"/>
        </w:rPr>
        <w:t>B)</w:t>
      </w:r>
      <w:r w:rsidRPr="00E50548">
        <w:rPr>
          <w:rFonts w:cs="Arial"/>
          <w:i/>
          <w:iCs/>
          <w:szCs w:val="20"/>
          <w:lang w:val="sl-SI"/>
        </w:rPr>
        <w:t xml:space="preserve"> (</w:t>
      </w:r>
      <w:r w:rsidRPr="00E50548">
        <w:rPr>
          <w:rFonts w:cs="Arial"/>
          <w:b/>
          <w:i/>
          <w:iCs/>
          <w:szCs w:val="20"/>
          <w:lang w:val="sl-SI"/>
        </w:rPr>
        <w:t>Za zakonodajne akte in odločitve politične narave)</w:t>
      </w:r>
    </w:p>
    <w:p w14:paraId="20CC5D5C" w14:textId="77777777" w:rsidR="00EE252E" w:rsidRPr="00E50548" w:rsidRDefault="00EE252E" w:rsidP="00CF3C1F">
      <w:pPr>
        <w:spacing w:before="20" w:after="20"/>
        <w:jc w:val="both"/>
        <w:rPr>
          <w:rFonts w:cs="Arial"/>
          <w:i/>
          <w:iCs/>
          <w:szCs w:val="20"/>
          <w:lang w:val="sl-SI"/>
        </w:rPr>
      </w:pPr>
    </w:p>
    <w:p w14:paraId="5B265D6C" w14:textId="77777777" w:rsidR="00EE252E" w:rsidRPr="00E50548" w:rsidRDefault="00EE252E" w:rsidP="00CF3C1F">
      <w:pPr>
        <w:spacing w:before="20" w:after="20"/>
        <w:jc w:val="both"/>
        <w:rPr>
          <w:rFonts w:cs="Arial"/>
          <w:iCs/>
          <w:szCs w:val="20"/>
          <w:lang w:val="sl-SI"/>
        </w:rPr>
      </w:pPr>
      <w:r w:rsidRPr="00E50548">
        <w:rPr>
          <w:rFonts w:cs="Arial"/>
          <w:b/>
          <w:iCs/>
          <w:szCs w:val="20"/>
          <w:lang w:val="sl-SI"/>
        </w:rPr>
        <w:t>POGLAVITNE REŠITVE IN CILJI PREDLOGA ZADEVE EU</w:t>
      </w:r>
      <w:r w:rsidRPr="00E50548">
        <w:rPr>
          <w:rFonts w:cs="Arial"/>
          <w:iCs/>
          <w:szCs w:val="20"/>
          <w:lang w:val="sl-SI"/>
        </w:rPr>
        <w:t>:</w:t>
      </w:r>
      <w:r w:rsidRPr="00E50548">
        <w:rPr>
          <w:rFonts w:cs="Arial"/>
          <w:b/>
          <w:i/>
          <w:iCs/>
          <w:color w:val="0070C0"/>
          <w:szCs w:val="20"/>
          <w:lang w:val="sl-SI"/>
        </w:rPr>
        <w:t xml:space="preserve"> </w:t>
      </w:r>
    </w:p>
    <w:p w14:paraId="69DAF19E" w14:textId="77777777" w:rsidR="00E50548" w:rsidRDefault="00E50548" w:rsidP="00CF3C1F">
      <w:pPr>
        <w:spacing w:before="20" w:after="20"/>
        <w:jc w:val="both"/>
        <w:rPr>
          <w:rFonts w:cs="Arial"/>
          <w:i/>
          <w:iCs/>
          <w:szCs w:val="20"/>
          <w:lang w:val="sl-SI"/>
        </w:rPr>
      </w:pPr>
    </w:p>
    <w:p w14:paraId="0F741E22"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Evropska komisija je v sredini decembra 2025 objavila sveženj za poenostavitev zakonodaje s področja varne hrane in krme. Sveženj sestavljajo trije zakonodajni predlogi in sicer:</w:t>
      </w:r>
    </w:p>
    <w:p w14:paraId="74B4A8C2"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 Direktiva Evropskega parlamenta in Sveta o spremembi Direktive 98/58/ES in Direktive 2009/128/ES glede poenostavitve in krepitve zahtev na področju varnosti hrane in krme ter razveljavitvi direktiv Sveta 82/711/EGS in 58/572/EGS; </w:t>
      </w:r>
    </w:p>
    <w:p w14:paraId="51BB1356"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Uredba Evropskega parlamenta in Sveta o spremembi več obstoječih uredb (med drugim Uredb (ES) št. 999/2001, 1829/2003, 1831/2003, 852/2004, 853/2004, 396/2005, 1099/2009, 1107/2009, (EU) št. 528/2012 in (EU) 2017/625) z namenom poenostavitve in krepitve zahtev na področju varnosti hrane in krme; in</w:t>
      </w:r>
    </w:p>
    <w:p w14:paraId="10E1A3A3"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Uredba Evropskega parlamenta in Sveta o spremembi Uredbe (EU) št. 528/2012 glede podaljšanja nekaterih obdobij varstva podatkov.</w:t>
      </w:r>
    </w:p>
    <w:p w14:paraId="3B4F4C14" w14:textId="77777777" w:rsidR="00EE252E" w:rsidRPr="00E50548" w:rsidRDefault="00EE252E" w:rsidP="00CF3C1F">
      <w:pPr>
        <w:spacing w:before="20" w:after="20"/>
        <w:jc w:val="both"/>
        <w:rPr>
          <w:rFonts w:cs="Arial"/>
          <w:i/>
          <w:iCs/>
          <w:szCs w:val="20"/>
          <w:lang w:val="sl-SI"/>
        </w:rPr>
      </w:pPr>
    </w:p>
    <w:p w14:paraId="6C266704"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Predlagani ukrepi se nanašajo na področje hrane, krme, fitofarmacevtskih sredstev, </w:t>
      </w:r>
      <w:proofErr w:type="spellStart"/>
      <w:r w:rsidRPr="00E50548">
        <w:rPr>
          <w:rFonts w:cs="Arial"/>
          <w:i/>
          <w:iCs/>
          <w:szCs w:val="20"/>
          <w:lang w:val="sl-SI"/>
        </w:rPr>
        <w:t>biocidov</w:t>
      </w:r>
      <w:proofErr w:type="spellEnd"/>
      <w:r w:rsidRPr="00E50548">
        <w:rPr>
          <w:rFonts w:cs="Arial"/>
          <w:i/>
          <w:iCs/>
          <w:szCs w:val="20"/>
          <w:lang w:val="sl-SI"/>
        </w:rPr>
        <w:t xml:space="preserve">, mejnih ostankov pesticidov, genetsko spremenjenih organizmov, higiene, zdravje in dobrobiti živali, prenosljive spongiformne encefalopatije oziroma spongiformne encefalopatije pri govedu ter uradnega nadzora. </w:t>
      </w:r>
    </w:p>
    <w:p w14:paraId="184AF6CC" w14:textId="77777777" w:rsidR="00EE252E" w:rsidRPr="00E50548" w:rsidRDefault="00EE252E" w:rsidP="00CF3C1F">
      <w:pPr>
        <w:spacing w:before="20" w:after="20"/>
        <w:jc w:val="both"/>
        <w:rPr>
          <w:rFonts w:cs="Arial"/>
          <w:i/>
          <w:iCs/>
          <w:szCs w:val="20"/>
          <w:lang w:val="sl-SI"/>
        </w:rPr>
      </w:pPr>
    </w:p>
    <w:p w14:paraId="0EEAAAC8"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Glavni cilj paketa je zmanjšati administrativno breme, pospešiti odobritvene postopke ter zagotoviti podporo inovativnim in trajnostnim rešitvam in večjo pravno predvidljivost za pristojne organe, proizvajalce in uporabnike, pri čemer se ohranja visoka raven varovanja zdravja ljudi, živali in okolja.</w:t>
      </w:r>
    </w:p>
    <w:p w14:paraId="5BA676BF" w14:textId="77777777" w:rsidR="00EE252E" w:rsidRPr="00E50548" w:rsidRDefault="00EE252E" w:rsidP="00CF3C1F">
      <w:pPr>
        <w:spacing w:before="20" w:after="20"/>
        <w:jc w:val="both"/>
        <w:rPr>
          <w:rFonts w:cs="Arial"/>
          <w:i/>
          <w:iCs/>
          <w:szCs w:val="20"/>
          <w:lang w:val="sl-SI"/>
        </w:rPr>
      </w:pPr>
    </w:p>
    <w:p w14:paraId="1C267127"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V nadaljevanju so predstavljeni ključni predlagani ukrepi po področnih sklopih.</w:t>
      </w:r>
    </w:p>
    <w:p w14:paraId="09CFB100" w14:textId="77777777" w:rsidR="00EE252E" w:rsidRPr="00E50548" w:rsidRDefault="00EE252E" w:rsidP="00CF3C1F">
      <w:pPr>
        <w:spacing w:before="20" w:after="20"/>
        <w:jc w:val="both"/>
        <w:rPr>
          <w:rFonts w:cs="Arial"/>
          <w:i/>
          <w:iCs/>
          <w:szCs w:val="20"/>
          <w:lang w:val="sl-SI"/>
        </w:rPr>
      </w:pPr>
    </w:p>
    <w:p w14:paraId="7FC5F994" w14:textId="77777777" w:rsidR="00EE252E" w:rsidRPr="00E50548" w:rsidRDefault="00EE252E" w:rsidP="00CF3C1F">
      <w:pPr>
        <w:spacing w:before="20" w:after="20"/>
        <w:jc w:val="both"/>
        <w:rPr>
          <w:rFonts w:cs="Arial"/>
          <w:i/>
          <w:iCs/>
          <w:szCs w:val="20"/>
          <w:u w:val="single"/>
          <w:lang w:val="sl-SI"/>
        </w:rPr>
      </w:pPr>
      <w:r w:rsidRPr="00E50548">
        <w:rPr>
          <w:rFonts w:cs="Arial"/>
          <w:i/>
          <w:iCs/>
          <w:szCs w:val="20"/>
          <w:u w:val="single"/>
          <w:lang w:val="sl-SI"/>
        </w:rPr>
        <w:t>Sprememba Uredbe (ES) št. 1107/2009 o dajanju fitofarmacevtskih sredstev (FFS) v promet</w:t>
      </w:r>
    </w:p>
    <w:p w14:paraId="6904A5E3" w14:textId="77777777" w:rsidR="00EE252E" w:rsidRPr="00E50548" w:rsidRDefault="00EE252E" w:rsidP="00CF3C1F">
      <w:pPr>
        <w:spacing w:before="20" w:after="20"/>
        <w:jc w:val="both"/>
        <w:rPr>
          <w:rFonts w:cs="Arial"/>
          <w:i/>
          <w:iCs/>
          <w:szCs w:val="20"/>
          <w:lang w:val="sl-SI"/>
        </w:rPr>
      </w:pPr>
    </w:p>
    <w:p w14:paraId="725CF0DE"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To področje zajema največji sklop sprememb, usmerjenih predvsem v pospešitev uvajanja </w:t>
      </w:r>
      <w:proofErr w:type="spellStart"/>
      <w:r w:rsidRPr="00E50548">
        <w:rPr>
          <w:rFonts w:cs="Arial"/>
          <w:i/>
          <w:iCs/>
          <w:szCs w:val="20"/>
          <w:lang w:val="sl-SI"/>
        </w:rPr>
        <w:t>biokontrolnih</w:t>
      </w:r>
      <w:proofErr w:type="spellEnd"/>
      <w:r w:rsidRPr="00E50548">
        <w:rPr>
          <w:rFonts w:cs="Arial"/>
          <w:i/>
          <w:iCs/>
          <w:szCs w:val="20"/>
          <w:lang w:val="sl-SI"/>
        </w:rPr>
        <w:t xml:space="preserve"> in aktivnih snovi z majhnim tveganjem ter racionalizacijo postopkov obnove odobritev.</w:t>
      </w:r>
    </w:p>
    <w:p w14:paraId="72917B11" w14:textId="77777777" w:rsidR="00EE252E" w:rsidRPr="00E50548" w:rsidRDefault="00EE252E" w:rsidP="00CF3C1F">
      <w:pPr>
        <w:spacing w:before="20" w:after="20"/>
        <w:jc w:val="both"/>
        <w:rPr>
          <w:rFonts w:cs="Arial"/>
          <w:i/>
          <w:iCs/>
          <w:szCs w:val="20"/>
          <w:lang w:val="sl-SI"/>
        </w:rPr>
      </w:pPr>
    </w:p>
    <w:p w14:paraId="522B3648"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1) </w:t>
      </w:r>
      <w:proofErr w:type="spellStart"/>
      <w:r w:rsidRPr="00E50548">
        <w:rPr>
          <w:rFonts w:cs="Arial"/>
          <w:i/>
          <w:iCs/>
          <w:szCs w:val="20"/>
          <w:lang w:val="sl-SI"/>
        </w:rPr>
        <w:t>Biokontrolne</w:t>
      </w:r>
      <w:proofErr w:type="spellEnd"/>
      <w:r w:rsidRPr="00E50548">
        <w:rPr>
          <w:rFonts w:cs="Arial"/>
          <w:i/>
          <w:iCs/>
          <w:szCs w:val="20"/>
          <w:lang w:val="sl-SI"/>
        </w:rPr>
        <w:t xml:space="preserve"> aktivne snovi: definicija, prioritetni roki in podpora Evropske agencija za varnost hrane (ang. </w:t>
      </w:r>
      <w:proofErr w:type="spellStart"/>
      <w:r w:rsidRPr="00E50548">
        <w:rPr>
          <w:rFonts w:cs="Arial"/>
          <w:i/>
          <w:iCs/>
          <w:szCs w:val="20"/>
          <w:lang w:val="sl-SI"/>
        </w:rPr>
        <w:t>European</w:t>
      </w:r>
      <w:proofErr w:type="spellEnd"/>
      <w:r w:rsidRPr="00E50548">
        <w:rPr>
          <w:rFonts w:cs="Arial"/>
          <w:i/>
          <w:iCs/>
          <w:szCs w:val="20"/>
          <w:lang w:val="sl-SI"/>
        </w:rPr>
        <w:t xml:space="preserve"> </w:t>
      </w:r>
      <w:proofErr w:type="spellStart"/>
      <w:r w:rsidRPr="00E50548">
        <w:rPr>
          <w:rFonts w:cs="Arial"/>
          <w:i/>
          <w:iCs/>
          <w:szCs w:val="20"/>
          <w:lang w:val="sl-SI"/>
        </w:rPr>
        <w:t>Food</w:t>
      </w:r>
      <w:proofErr w:type="spellEnd"/>
      <w:r w:rsidRPr="00E50548">
        <w:rPr>
          <w:rFonts w:cs="Arial"/>
          <w:i/>
          <w:iCs/>
          <w:szCs w:val="20"/>
          <w:lang w:val="sl-SI"/>
        </w:rPr>
        <w:t xml:space="preserve"> </w:t>
      </w:r>
      <w:proofErr w:type="spellStart"/>
      <w:r w:rsidRPr="00E50548">
        <w:rPr>
          <w:rFonts w:cs="Arial"/>
          <w:i/>
          <w:iCs/>
          <w:szCs w:val="20"/>
          <w:lang w:val="sl-SI"/>
        </w:rPr>
        <w:t>Safety</w:t>
      </w:r>
      <w:proofErr w:type="spellEnd"/>
      <w:r w:rsidRPr="00E50548">
        <w:rPr>
          <w:rFonts w:cs="Arial"/>
          <w:i/>
          <w:iCs/>
          <w:szCs w:val="20"/>
          <w:lang w:val="sl-SI"/>
        </w:rPr>
        <w:t xml:space="preserve"> </w:t>
      </w:r>
      <w:proofErr w:type="spellStart"/>
      <w:r w:rsidRPr="00E50548">
        <w:rPr>
          <w:rFonts w:cs="Arial"/>
          <w:i/>
          <w:iCs/>
          <w:szCs w:val="20"/>
          <w:lang w:val="sl-SI"/>
        </w:rPr>
        <w:t>Agency</w:t>
      </w:r>
      <w:proofErr w:type="spellEnd"/>
      <w:r w:rsidRPr="00E50548">
        <w:rPr>
          <w:rFonts w:cs="Arial"/>
          <w:i/>
          <w:iCs/>
          <w:szCs w:val="20"/>
          <w:lang w:val="sl-SI"/>
        </w:rPr>
        <w:t xml:space="preserve"> – EFSA)</w:t>
      </w:r>
    </w:p>
    <w:p w14:paraId="5ECE52C7" w14:textId="77777777" w:rsidR="00EE252E" w:rsidRPr="00E50548" w:rsidRDefault="00EE252E" w:rsidP="00CF3C1F">
      <w:pPr>
        <w:spacing w:before="20" w:after="20"/>
        <w:jc w:val="both"/>
        <w:rPr>
          <w:rFonts w:cs="Arial"/>
          <w:i/>
          <w:iCs/>
          <w:szCs w:val="20"/>
          <w:lang w:val="sl-SI"/>
        </w:rPr>
      </w:pPr>
    </w:p>
    <w:p w14:paraId="2C4A8857"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Uvede se jasna definicija »</w:t>
      </w:r>
      <w:proofErr w:type="spellStart"/>
      <w:r w:rsidRPr="00E50548">
        <w:rPr>
          <w:rFonts w:cs="Arial"/>
          <w:i/>
          <w:iCs/>
          <w:szCs w:val="20"/>
          <w:lang w:val="sl-SI"/>
        </w:rPr>
        <w:t>biokontrolne</w:t>
      </w:r>
      <w:proofErr w:type="spellEnd"/>
      <w:r w:rsidRPr="00E50548">
        <w:rPr>
          <w:rFonts w:cs="Arial"/>
          <w:i/>
          <w:iCs/>
          <w:szCs w:val="20"/>
          <w:lang w:val="sl-SI"/>
        </w:rPr>
        <w:t xml:space="preserve"> aktivne snovi«, ki omogoča njeno regulativno ločitev od klasičnih kemičnih snovi ter avtomatično vključitev v pospešene postopke. Predvideva se prednostna obravnava postopkov odobritve </w:t>
      </w:r>
      <w:proofErr w:type="spellStart"/>
      <w:r w:rsidRPr="00E50548">
        <w:rPr>
          <w:rFonts w:cs="Arial"/>
          <w:i/>
          <w:iCs/>
          <w:szCs w:val="20"/>
          <w:lang w:val="sl-SI"/>
        </w:rPr>
        <w:t>biokontrolnih</w:t>
      </w:r>
      <w:proofErr w:type="spellEnd"/>
      <w:r w:rsidRPr="00E50548">
        <w:rPr>
          <w:rFonts w:cs="Arial"/>
          <w:i/>
          <w:iCs/>
          <w:szCs w:val="20"/>
          <w:lang w:val="sl-SI"/>
        </w:rPr>
        <w:t xml:space="preserve"> aktivnih snovi in registracije fitofarmacevtskih sredstev, ki jih vsebujejo, v okviru upravnih rokov. Evropska agencija za varnost hrane (</w:t>
      </w:r>
      <w:proofErr w:type="spellStart"/>
      <w:r w:rsidRPr="00E50548">
        <w:rPr>
          <w:rFonts w:cs="Arial"/>
          <w:i/>
          <w:iCs/>
          <w:szCs w:val="20"/>
          <w:lang w:val="sl-SI"/>
        </w:rPr>
        <w:t>European</w:t>
      </w:r>
      <w:proofErr w:type="spellEnd"/>
      <w:r w:rsidRPr="00E50548">
        <w:rPr>
          <w:rFonts w:cs="Arial"/>
          <w:i/>
          <w:iCs/>
          <w:szCs w:val="20"/>
          <w:lang w:val="sl-SI"/>
        </w:rPr>
        <w:t xml:space="preserve"> </w:t>
      </w:r>
      <w:proofErr w:type="spellStart"/>
      <w:r w:rsidRPr="00E50548">
        <w:rPr>
          <w:rFonts w:cs="Arial"/>
          <w:i/>
          <w:iCs/>
          <w:szCs w:val="20"/>
          <w:lang w:val="sl-SI"/>
        </w:rPr>
        <w:t>Food</w:t>
      </w:r>
      <w:proofErr w:type="spellEnd"/>
      <w:r w:rsidRPr="00E50548">
        <w:rPr>
          <w:rFonts w:cs="Arial"/>
          <w:i/>
          <w:iCs/>
          <w:szCs w:val="20"/>
          <w:lang w:val="sl-SI"/>
        </w:rPr>
        <w:t xml:space="preserve"> </w:t>
      </w:r>
      <w:proofErr w:type="spellStart"/>
      <w:r w:rsidRPr="00E50548">
        <w:rPr>
          <w:rFonts w:cs="Arial"/>
          <w:i/>
          <w:iCs/>
          <w:szCs w:val="20"/>
          <w:lang w:val="sl-SI"/>
        </w:rPr>
        <w:t>Safety</w:t>
      </w:r>
      <w:proofErr w:type="spellEnd"/>
      <w:r w:rsidRPr="00E50548">
        <w:rPr>
          <w:rFonts w:cs="Arial"/>
          <w:i/>
          <w:iCs/>
          <w:szCs w:val="20"/>
          <w:lang w:val="sl-SI"/>
        </w:rPr>
        <w:t xml:space="preserve"> </w:t>
      </w:r>
      <w:proofErr w:type="spellStart"/>
      <w:r w:rsidRPr="00E50548">
        <w:rPr>
          <w:rFonts w:cs="Arial"/>
          <w:i/>
          <w:iCs/>
          <w:szCs w:val="20"/>
          <w:lang w:val="sl-SI"/>
        </w:rPr>
        <w:t>Authority</w:t>
      </w:r>
      <w:proofErr w:type="spellEnd"/>
      <w:r w:rsidRPr="00E50548">
        <w:rPr>
          <w:rFonts w:cs="Arial"/>
          <w:i/>
          <w:iCs/>
          <w:szCs w:val="20"/>
          <w:lang w:val="sl-SI"/>
        </w:rPr>
        <w:t xml:space="preserve"> – EFSA) lahko za </w:t>
      </w:r>
      <w:proofErr w:type="spellStart"/>
      <w:r w:rsidRPr="00E50548">
        <w:rPr>
          <w:rFonts w:cs="Arial"/>
          <w:i/>
          <w:iCs/>
          <w:szCs w:val="20"/>
          <w:lang w:val="sl-SI"/>
        </w:rPr>
        <w:t>biokontrolne</w:t>
      </w:r>
      <w:proofErr w:type="spellEnd"/>
      <w:r w:rsidRPr="00E50548">
        <w:rPr>
          <w:rFonts w:cs="Arial"/>
          <w:i/>
          <w:iCs/>
          <w:szCs w:val="20"/>
          <w:lang w:val="sl-SI"/>
        </w:rPr>
        <w:t xml:space="preserve"> aktivne snovi prevzame vlogo države poročevalke (</w:t>
      </w:r>
      <w:proofErr w:type="spellStart"/>
      <w:r w:rsidRPr="00E50548">
        <w:rPr>
          <w:rFonts w:cs="Arial"/>
          <w:i/>
          <w:iCs/>
          <w:szCs w:val="20"/>
          <w:lang w:val="sl-SI"/>
        </w:rPr>
        <w:t>rapporteur</w:t>
      </w:r>
      <w:proofErr w:type="spellEnd"/>
      <w:r w:rsidRPr="00E50548">
        <w:rPr>
          <w:rFonts w:cs="Arial"/>
          <w:i/>
          <w:iCs/>
          <w:szCs w:val="20"/>
          <w:lang w:val="sl-SI"/>
        </w:rPr>
        <w:t>), kadar države članice nimajo ustreznih kapacitet, države članice pa lahko EFSA zaprosijo tudi za tehnično pomoč pri pripravi ali posodobitvi poročil o oceni.</w:t>
      </w:r>
    </w:p>
    <w:p w14:paraId="425D4899" w14:textId="566DFA34" w:rsidR="00EE252E" w:rsidRDefault="00EE252E" w:rsidP="00CF3C1F">
      <w:pPr>
        <w:spacing w:before="20" w:after="20"/>
        <w:jc w:val="both"/>
        <w:rPr>
          <w:rFonts w:cs="Arial"/>
          <w:i/>
          <w:iCs/>
          <w:szCs w:val="20"/>
          <w:lang w:val="sl-SI"/>
        </w:rPr>
      </w:pPr>
    </w:p>
    <w:p w14:paraId="5424795A" w14:textId="16505115" w:rsidR="00B80D38" w:rsidRDefault="00B80D38" w:rsidP="00CF3C1F">
      <w:pPr>
        <w:spacing w:before="20" w:after="20"/>
        <w:jc w:val="both"/>
        <w:rPr>
          <w:rFonts w:cs="Arial"/>
          <w:i/>
          <w:iCs/>
          <w:szCs w:val="20"/>
          <w:lang w:val="sl-SI"/>
        </w:rPr>
      </w:pPr>
    </w:p>
    <w:p w14:paraId="22434EE0" w14:textId="77777777" w:rsidR="00B80D38" w:rsidRPr="00E50548" w:rsidRDefault="00B80D38" w:rsidP="00CF3C1F">
      <w:pPr>
        <w:spacing w:before="20" w:after="20"/>
        <w:jc w:val="both"/>
        <w:rPr>
          <w:rFonts w:cs="Arial"/>
          <w:i/>
          <w:iCs/>
          <w:szCs w:val="20"/>
          <w:lang w:val="sl-SI"/>
        </w:rPr>
      </w:pPr>
    </w:p>
    <w:p w14:paraId="0FB6EB01"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lastRenderedPageBreak/>
        <w:t>Opredelitev:</w:t>
      </w:r>
    </w:p>
    <w:p w14:paraId="77623B89"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načeloma podpira predlagane spremembe, katerih cilj je pospešiti uvajanje </w:t>
      </w:r>
      <w:proofErr w:type="spellStart"/>
      <w:r w:rsidRPr="00E50548">
        <w:rPr>
          <w:rFonts w:cs="Arial"/>
          <w:i/>
          <w:iCs/>
          <w:szCs w:val="20"/>
          <w:lang w:val="sl-SI"/>
        </w:rPr>
        <w:t>biokontrolnih</w:t>
      </w:r>
      <w:proofErr w:type="spellEnd"/>
      <w:r w:rsidRPr="00E50548">
        <w:rPr>
          <w:rFonts w:cs="Arial"/>
          <w:i/>
          <w:iCs/>
          <w:szCs w:val="20"/>
          <w:lang w:val="sl-SI"/>
        </w:rPr>
        <w:t xml:space="preserve"> aktivnih snovi in aktivnih snovi z majhnim tveganjem ter hkrati racionalizirati postopke obnove. Prehod na varnejše in bolj trajnostne prakse varstva rastlin je skladen z nacionalnimi strateškimi usmeritvami ter cilji zmanjševanja tveganj, povezanih z uporabo klasičnih fitofarmacevtskih sredstev.</w:t>
      </w:r>
    </w:p>
    <w:p w14:paraId="0E92DD20" w14:textId="77777777" w:rsidR="00EE252E" w:rsidRPr="00E50548" w:rsidRDefault="00EE252E" w:rsidP="00CF3C1F">
      <w:pPr>
        <w:spacing w:before="20" w:after="20"/>
        <w:jc w:val="both"/>
        <w:rPr>
          <w:rFonts w:cs="Arial"/>
          <w:i/>
          <w:iCs/>
          <w:szCs w:val="20"/>
          <w:lang w:val="sl-SI"/>
        </w:rPr>
      </w:pPr>
    </w:p>
    <w:p w14:paraId="3339CCE6"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podpira uvedbo enotne in jasne definicije </w:t>
      </w:r>
      <w:proofErr w:type="spellStart"/>
      <w:r w:rsidRPr="00E50548">
        <w:rPr>
          <w:rFonts w:cs="Arial"/>
          <w:i/>
          <w:iCs/>
          <w:szCs w:val="20"/>
          <w:lang w:val="sl-SI"/>
        </w:rPr>
        <w:t>biokontrolne</w:t>
      </w:r>
      <w:proofErr w:type="spellEnd"/>
      <w:r w:rsidRPr="00E50548">
        <w:rPr>
          <w:rFonts w:cs="Arial"/>
          <w:i/>
          <w:iCs/>
          <w:szCs w:val="20"/>
          <w:lang w:val="sl-SI"/>
        </w:rPr>
        <w:t xml:space="preserve"> aktivne snovi, saj ta omogoča doslednejšo regulativno obravnavo in preprečuje nejasnosti pri razmejitvi med </w:t>
      </w:r>
      <w:proofErr w:type="spellStart"/>
      <w:r w:rsidRPr="00E50548">
        <w:rPr>
          <w:rFonts w:cs="Arial"/>
          <w:i/>
          <w:iCs/>
          <w:szCs w:val="20"/>
          <w:lang w:val="sl-SI"/>
        </w:rPr>
        <w:t>biokontrolnimi</w:t>
      </w:r>
      <w:proofErr w:type="spellEnd"/>
      <w:r w:rsidRPr="00E50548">
        <w:rPr>
          <w:rFonts w:cs="Arial"/>
          <w:i/>
          <w:iCs/>
          <w:szCs w:val="20"/>
          <w:lang w:val="sl-SI"/>
        </w:rPr>
        <w:t xml:space="preserve"> in kemičnimi snovmi. Takšna jasna kategorizacija prispeva k večji pravni predvidljivosti tako za pristojne organe kot za vlagatelje.</w:t>
      </w:r>
    </w:p>
    <w:p w14:paraId="4B7656D7" w14:textId="77777777" w:rsidR="00EE252E" w:rsidRPr="00E50548" w:rsidRDefault="00EE252E" w:rsidP="00CF3C1F">
      <w:pPr>
        <w:spacing w:before="20" w:after="20"/>
        <w:jc w:val="both"/>
        <w:rPr>
          <w:rFonts w:cs="Arial"/>
          <w:i/>
          <w:iCs/>
          <w:szCs w:val="20"/>
          <w:lang w:val="sl-SI"/>
        </w:rPr>
      </w:pPr>
    </w:p>
    <w:p w14:paraId="15EE544B"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se strinja, da je za spodbujanje varnejših alternativ smiselno zagotoviti pospešeno obravnavo in skrajšane upravne roke, vendar poudarja, da mora biti takšna pospešitev pogojena z ohranjanjem visoke ravni varovanja zdravja ljudi, živali in okolja. Hitrejši postopki ne smejo zmanjšati kakovosti znanstvenih ocen tveganja, temveč morajo temeljiti na organizacijskih in metodoloških izboljšavah. Slovenija hkrati opozarja, da prednostna obravnava lahko vodi v neenako obravnavo vlagateljev za klasična fitofarmacevtska sredstva, za katera veljajo predpisani roki, zato predlaga ločene postopke registracije za </w:t>
      </w:r>
      <w:proofErr w:type="spellStart"/>
      <w:r w:rsidRPr="00E50548">
        <w:rPr>
          <w:rFonts w:cs="Arial"/>
          <w:i/>
          <w:iCs/>
          <w:szCs w:val="20"/>
          <w:lang w:val="sl-SI"/>
        </w:rPr>
        <w:t>biokontrolna</w:t>
      </w:r>
      <w:proofErr w:type="spellEnd"/>
      <w:r w:rsidRPr="00E50548">
        <w:rPr>
          <w:rFonts w:cs="Arial"/>
          <w:i/>
          <w:iCs/>
          <w:szCs w:val="20"/>
          <w:lang w:val="sl-SI"/>
        </w:rPr>
        <w:t xml:space="preserve"> in kemična fitofarmacevtska sredstva, kar pa je pogojeno z ustreznimi kadrovskimi viri.</w:t>
      </w:r>
    </w:p>
    <w:p w14:paraId="73248115" w14:textId="77777777" w:rsidR="00EE252E" w:rsidRPr="00E50548" w:rsidRDefault="00EE252E" w:rsidP="00CF3C1F">
      <w:pPr>
        <w:spacing w:before="20" w:after="20"/>
        <w:jc w:val="both"/>
        <w:rPr>
          <w:rFonts w:cs="Arial"/>
          <w:i/>
          <w:iCs/>
          <w:szCs w:val="20"/>
          <w:lang w:val="sl-SI"/>
        </w:rPr>
      </w:pPr>
    </w:p>
    <w:p w14:paraId="5A78F98A"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pozdravlja možnost, da EFSA v primerih pomanjkanja kapacitet v državah članicah prevzame vlogo države poročevalke za </w:t>
      </w:r>
      <w:proofErr w:type="spellStart"/>
      <w:r w:rsidRPr="00E50548">
        <w:rPr>
          <w:rFonts w:cs="Arial"/>
          <w:i/>
          <w:iCs/>
          <w:szCs w:val="20"/>
          <w:lang w:val="sl-SI"/>
        </w:rPr>
        <w:t>biokontrolne</w:t>
      </w:r>
      <w:proofErr w:type="spellEnd"/>
      <w:r w:rsidRPr="00E50548">
        <w:rPr>
          <w:rFonts w:cs="Arial"/>
          <w:i/>
          <w:iCs/>
          <w:szCs w:val="20"/>
          <w:lang w:val="sl-SI"/>
        </w:rPr>
        <w:t xml:space="preserve"> aktivne snovi. Takšna ureditev lahko prispeva k poenotenju pristopov, zmanjšanju administrativnih zaostankov in večji znanstveni doslednosti na ravni EU. Ob tem Slovenija poudarja, da morajo biti zagotovljeni transparentnost postopkov, jasna razmejitev odgovornosti ter aktivna vključenost držav članic z možnostjo podaje strokovnih pripomb.</w:t>
      </w:r>
    </w:p>
    <w:p w14:paraId="6E0A0729" w14:textId="77777777" w:rsidR="00EE252E" w:rsidRPr="00E50548" w:rsidRDefault="00EE252E" w:rsidP="00CF3C1F">
      <w:pPr>
        <w:spacing w:before="20" w:after="20"/>
        <w:jc w:val="both"/>
        <w:rPr>
          <w:rFonts w:cs="Arial"/>
          <w:i/>
          <w:iCs/>
          <w:szCs w:val="20"/>
          <w:lang w:val="sl-SI"/>
        </w:rPr>
      </w:pPr>
    </w:p>
    <w:p w14:paraId="11C19C8B"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2) Začasne registracije za FFS z novimi </w:t>
      </w:r>
      <w:proofErr w:type="spellStart"/>
      <w:r w:rsidRPr="00E50548">
        <w:rPr>
          <w:rFonts w:cs="Arial"/>
          <w:i/>
          <w:iCs/>
          <w:szCs w:val="20"/>
          <w:lang w:val="sl-SI"/>
        </w:rPr>
        <w:t>biokontrolnimi</w:t>
      </w:r>
      <w:proofErr w:type="spellEnd"/>
      <w:r w:rsidRPr="00E50548">
        <w:rPr>
          <w:rFonts w:cs="Arial"/>
          <w:i/>
          <w:iCs/>
          <w:szCs w:val="20"/>
          <w:lang w:val="sl-SI"/>
        </w:rPr>
        <w:t xml:space="preserve"> aktivnimi snovmi</w:t>
      </w:r>
    </w:p>
    <w:p w14:paraId="4B9F42A8" w14:textId="77777777" w:rsidR="00EE252E" w:rsidRPr="00E50548" w:rsidRDefault="00EE252E" w:rsidP="00CF3C1F">
      <w:pPr>
        <w:spacing w:before="20" w:after="20"/>
        <w:jc w:val="both"/>
        <w:rPr>
          <w:rFonts w:cs="Arial"/>
          <w:i/>
          <w:iCs/>
          <w:szCs w:val="20"/>
          <w:lang w:val="sl-SI"/>
        </w:rPr>
      </w:pPr>
    </w:p>
    <w:p w14:paraId="37CD0FC8"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Predvideno je, da lahko države članice izdajo začasno registracijo za fitofarmacevtska sredstva z novo </w:t>
      </w:r>
      <w:proofErr w:type="spellStart"/>
      <w:r w:rsidRPr="00E50548">
        <w:rPr>
          <w:rFonts w:cs="Arial"/>
          <w:i/>
          <w:iCs/>
          <w:szCs w:val="20"/>
          <w:lang w:val="sl-SI"/>
        </w:rPr>
        <w:t>biokontrolno</w:t>
      </w:r>
      <w:proofErr w:type="spellEnd"/>
      <w:r w:rsidRPr="00E50548">
        <w:rPr>
          <w:rFonts w:cs="Arial"/>
          <w:i/>
          <w:iCs/>
          <w:szCs w:val="20"/>
          <w:lang w:val="sl-SI"/>
        </w:rPr>
        <w:t xml:space="preserve"> aktivno snovjo še pred zaključkom postopka odobritve aktivne snovi na ravni EU, kadar osnutek ocene tveganja kaže verjetno skladnost s kriteriji za odobritev. Po dokončni odobritvi aktivne snovi se začasna registracija pretvori v redno dovoljenje brez ponovne celovite ocene, razen če so potrebne prilagoditve na podlagi končne ocene.</w:t>
      </w:r>
    </w:p>
    <w:p w14:paraId="50E342F2" w14:textId="77777777" w:rsidR="00EE252E" w:rsidRPr="00E50548" w:rsidRDefault="00EE252E" w:rsidP="00CF3C1F">
      <w:pPr>
        <w:spacing w:before="20" w:after="20"/>
        <w:jc w:val="both"/>
        <w:rPr>
          <w:rFonts w:cs="Arial"/>
          <w:i/>
          <w:iCs/>
          <w:szCs w:val="20"/>
          <w:lang w:val="sl-SI"/>
        </w:rPr>
      </w:pPr>
    </w:p>
    <w:p w14:paraId="398C2F35"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w:t>
      </w:r>
    </w:p>
    <w:p w14:paraId="51FBD04E"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načeloma podpira možnost začasnih registracij za fitofarmacevtska sredstva z novimi </w:t>
      </w:r>
      <w:proofErr w:type="spellStart"/>
      <w:r w:rsidRPr="00E50548">
        <w:rPr>
          <w:rFonts w:cs="Arial"/>
          <w:i/>
          <w:iCs/>
          <w:szCs w:val="20"/>
          <w:lang w:val="sl-SI"/>
        </w:rPr>
        <w:t>biokontrolnimi</w:t>
      </w:r>
      <w:proofErr w:type="spellEnd"/>
      <w:r w:rsidRPr="00E50548">
        <w:rPr>
          <w:rFonts w:cs="Arial"/>
          <w:i/>
          <w:iCs/>
          <w:szCs w:val="20"/>
          <w:lang w:val="sl-SI"/>
        </w:rPr>
        <w:t xml:space="preserve"> aktivnimi snovmi, saj tak mehanizem omogoča hitrejši dostop do alternativ kemičnim fitofarmacevtskim sredstvom na področju varstva rastlin. Ob tem Slovenija poudarja, da morajo biti tudi v prehodnem obdobju ustrezno zagotovljeni visoki varnostni standardi ter učinkovit nadzor nad dejansko uporabo sredstev.</w:t>
      </w:r>
    </w:p>
    <w:p w14:paraId="44732830" w14:textId="77777777" w:rsidR="00EE252E" w:rsidRPr="00E50548" w:rsidRDefault="00EE252E" w:rsidP="00CF3C1F">
      <w:pPr>
        <w:spacing w:before="20" w:after="20"/>
        <w:jc w:val="both"/>
        <w:rPr>
          <w:rFonts w:cs="Arial"/>
          <w:i/>
          <w:iCs/>
          <w:szCs w:val="20"/>
          <w:lang w:val="sl-SI"/>
        </w:rPr>
      </w:pPr>
    </w:p>
    <w:p w14:paraId="10D989D7"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Slovenija ocenjuje, da je izdaja začasne registracije utemeljena v primerih, ko osnutek ocene tveganja jasno izkazuje verjetno skladnost s kriteriji za odobritev. Tak pristop omogoča hitrejše uvajanje bioloških rešitev, ki praviloma predstavljajo manjše tveganje za zdravje ljudi in okolje. Hkrati pa Slovenija poudarja potrebo po jasnih in enotno uporabljenih merilih za presojo verjetne skladnosti, da se preprečijo prekomerna tveganja ali neenotna praksa med državami članicami.</w:t>
      </w:r>
    </w:p>
    <w:p w14:paraId="0489ACC4" w14:textId="77777777" w:rsidR="00EE252E" w:rsidRPr="00E50548" w:rsidRDefault="00EE252E" w:rsidP="00CF3C1F">
      <w:pPr>
        <w:spacing w:before="20" w:after="20"/>
        <w:jc w:val="both"/>
        <w:rPr>
          <w:rFonts w:cs="Arial"/>
          <w:i/>
          <w:iCs/>
          <w:szCs w:val="20"/>
          <w:lang w:val="sl-SI"/>
        </w:rPr>
      </w:pPr>
    </w:p>
    <w:p w14:paraId="30B57C66"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Slovenija podpira ureditev, po kateri se začasna registracija po dokončni odobritvi aktivne snovi pretvori v redno dovoljenje brez ponovne celovite ocene, saj to zmanjšuje administrativno breme in preprečuje podvajanje postopkov. Pri tem pa poudarja, da mora ostati možnost zahteve po dopolnitvah ali prilagoditvah na nacionalni ravni, kadar dokončna ocena aktivne snovi razkrije dodatna tveganja ali zahteve, ki jih osnutek ocene ni zajemal.</w:t>
      </w:r>
    </w:p>
    <w:p w14:paraId="3D721A70" w14:textId="77777777" w:rsidR="00EE252E" w:rsidRDefault="00EE252E" w:rsidP="00CF3C1F">
      <w:pPr>
        <w:spacing w:before="20" w:after="20"/>
        <w:jc w:val="both"/>
        <w:rPr>
          <w:rFonts w:cs="Arial"/>
          <w:i/>
          <w:iCs/>
          <w:szCs w:val="20"/>
          <w:lang w:val="sl-SI"/>
        </w:rPr>
      </w:pPr>
    </w:p>
    <w:p w14:paraId="5D6D1C2B" w14:textId="77777777" w:rsidR="00E50548" w:rsidRDefault="00E50548" w:rsidP="00CF3C1F">
      <w:pPr>
        <w:spacing w:before="20" w:after="20"/>
        <w:jc w:val="both"/>
        <w:rPr>
          <w:rFonts w:cs="Arial"/>
          <w:i/>
          <w:iCs/>
          <w:szCs w:val="20"/>
          <w:lang w:val="sl-SI"/>
        </w:rPr>
      </w:pPr>
    </w:p>
    <w:p w14:paraId="3DDE8386" w14:textId="77777777" w:rsidR="00E50548" w:rsidRDefault="00E50548" w:rsidP="00CF3C1F">
      <w:pPr>
        <w:spacing w:before="20" w:after="20"/>
        <w:jc w:val="both"/>
        <w:rPr>
          <w:rFonts w:cs="Arial"/>
          <w:i/>
          <w:iCs/>
          <w:szCs w:val="20"/>
          <w:lang w:val="sl-SI"/>
        </w:rPr>
      </w:pPr>
    </w:p>
    <w:p w14:paraId="1C6886B8" w14:textId="77777777" w:rsidR="00E50548" w:rsidRPr="00E50548" w:rsidRDefault="00E50548" w:rsidP="00CF3C1F">
      <w:pPr>
        <w:spacing w:before="20" w:after="20"/>
        <w:jc w:val="both"/>
        <w:rPr>
          <w:rFonts w:cs="Arial"/>
          <w:i/>
          <w:iCs/>
          <w:szCs w:val="20"/>
          <w:lang w:val="sl-SI"/>
        </w:rPr>
      </w:pPr>
    </w:p>
    <w:p w14:paraId="71050EEB"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3) Enotna cona in okrepljeno medsebojno priznavanje </w:t>
      </w:r>
    </w:p>
    <w:p w14:paraId="6A1A318C" w14:textId="77777777" w:rsidR="00EE252E" w:rsidRPr="00E50548" w:rsidRDefault="00EE252E" w:rsidP="00CF3C1F">
      <w:pPr>
        <w:spacing w:before="20" w:after="20"/>
        <w:jc w:val="both"/>
        <w:rPr>
          <w:rFonts w:cs="Arial"/>
          <w:i/>
          <w:iCs/>
          <w:szCs w:val="20"/>
          <w:lang w:val="sl-SI"/>
        </w:rPr>
      </w:pPr>
    </w:p>
    <w:p w14:paraId="09EBC285"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Predlaga se, da se za fitofarmacevtska sredstva (FFS), ki vsebujejo izključno </w:t>
      </w:r>
      <w:proofErr w:type="spellStart"/>
      <w:r w:rsidRPr="00E50548">
        <w:rPr>
          <w:rFonts w:cs="Arial"/>
          <w:i/>
          <w:iCs/>
          <w:szCs w:val="20"/>
          <w:lang w:val="sl-SI"/>
        </w:rPr>
        <w:t>biokontrolne</w:t>
      </w:r>
      <w:proofErr w:type="spellEnd"/>
      <w:r w:rsidRPr="00E50548">
        <w:rPr>
          <w:rFonts w:cs="Arial"/>
          <w:i/>
          <w:iCs/>
          <w:szCs w:val="20"/>
          <w:lang w:val="sl-SI"/>
        </w:rPr>
        <w:t xml:space="preserve"> aktivne snovi ali aktivne snovi z majhnim tveganjem, uvede ena sama cona za ocenjevanje, ki bi zajemala vse države članice, namesto treh obstoječih con. Pri conskih registracijah in postopkih vzajemnega priznavanja za takšna sredstva se predvideva uvedba mehanizma »tihega pristanka«, po katerem se v primeru, da država članica v določenem roku ne sprejme odločitve, šteje, da je registracija odobrena. Nadalje se omogoča, da vloge za vzajemno priznavanje vlagajo tudi uradna ali znanstvena telesa ter kmetijske organizacije v primerih, ko podjetja v posameznih državah članicah ne vlagajo vlog. Ob tem se racionalizira obseg prilog k vlogam, saj bi organi del dokumentacije lahko pridobili neposredno od referenčne države. Določa se tudi, da je vzajemno priznavanje dovoljeno le, če je proizvod dejansko dan na trg v referenčni državi, s čimer se preprečuje izbira držav članic zgolj na podlagi najnižjih pristojbin za pridobitev registracije (t. i. regulativni »</w:t>
      </w:r>
      <w:proofErr w:type="spellStart"/>
      <w:r w:rsidRPr="00E50548">
        <w:rPr>
          <w:rFonts w:cs="Arial"/>
          <w:i/>
          <w:iCs/>
          <w:szCs w:val="20"/>
          <w:lang w:val="sl-SI"/>
        </w:rPr>
        <w:t>shopping</w:t>
      </w:r>
      <w:proofErr w:type="spellEnd"/>
      <w:r w:rsidRPr="00E50548">
        <w:rPr>
          <w:rFonts w:cs="Arial"/>
          <w:i/>
          <w:iCs/>
          <w:szCs w:val="20"/>
          <w:lang w:val="sl-SI"/>
        </w:rPr>
        <w:t>«).</w:t>
      </w:r>
    </w:p>
    <w:p w14:paraId="3492290E" w14:textId="77777777" w:rsidR="00EE252E" w:rsidRPr="00E50548" w:rsidRDefault="00EE252E" w:rsidP="00CF3C1F">
      <w:pPr>
        <w:spacing w:before="20" w:after="20"/>
        <w:jc w:val="both"/>
        <w:rPr>
          <w:rFonts w:cs="Arial"/>
          <w:i/>
          <w:iCs/>
          <w:szCs w:val="20"/>
          <w:lang w:val="sl-SI"/>
        </w:rPr>
      </w:pPr>
    </w:p>
    <w:p w14:paraId="663DD586"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w:t>
      </w:r>
    </w:p>
    <w:p w14:paraId="6D3574E8"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podpira ocenjevanje </w:t>
      </w:r>
      <w:proofErr w:type="spellStart"/>
      <w:r w:rsidRPr="00E50548">
        <w:rPr>
          <w:rFonts w:cs="Arial"/>
          <w:i/>
          <w:iCs/>
          <w:szCs w:val="20"/>
          <w:lang w:val="sl-SI"/>
        </w:rPr>
        <w:t>biokontrolnih</w:t>
      </w:r>
      <w:proofErr w:type="spellEnd"/>
      <w:r w:rsidRPr="00E50548">
        <w:rPr>
          <w:rFonts w:cs="Arial"/>
          <w:i/>
          <w:iCs/>
          <w:szCs w:val="20"/>
          <w:lang w:val="sl-SI"/>
        </w:rPr>
        <w:t xml:space="preserve"> FFS na ravni EU, saj tak pristop omogoča bolj enotno obravnavo, zmanjšuje podvajanje ocenjevalnih aktivnosti in prispeva k večji doslednosti med državami članicami. Pri tem pa poudarja potrebo po jasnih mehanizmih za upoštevanje specifičnih nacionalnih </w:t>
      </w:r>
      <w:proofErr w:type="spellStart"/>
      <w:r w:rsidRPr="00E50548">
        <w:rPr>
          <w:rFonts w:cs="Arial"/>
          <w:i/>
          <w:iCs/>
          <w:szCs w:val="20"/>
          <w:lang w:val="sl-SI"/>
        </w:rPr>
        <w:t>okoljskih</w:t>
      </w:r>
      <w:proofErr w:type="spellEnd"/>
      <w:r w:rsidRPr="00E50548">
        <w:rPr>
          <w:rFonts w:cs="Arial"/>
          <w:i/>
          <w:iCs/>
          <w:szCs w:val="20"/>
          <w:lang w:val="sl-SI"/>
        </w:rPr>
        <w:t xml:space="preserve"> in agronomskih pogojev, kadar je to utemeljeno. Ocena mora zajemati vse relevantne </w:t>
      </w:r>
      <w:proofErr w:type="spellStart"/>
      <w:r w:rsidRPr="00E50548">
        <w:rPr>
          <w:rFonts w:cs="Arial"/>
          <w:i/>
          <w:iCs/>
          <w:szCs w:val="20"/>
          <w:lang w:val="sl-SI"/>
        </w:rPr>
        <w:t>okoljske</w:t>
      </w:r>
      <w:proofErr w:type="spellEnd"/>
      <w:r w:rsidRPr="00E50548">
        <w:rPr>
          <w:rFonts w:cs="Arial"/>
          <w:i/>
          <w:iCs/>
          <w:szCs w:val="20"/>
          <w:lang w:val="sl-SI"/>
        </w:rPr>
        <w:t xml:space="preserve"> parametre in scenarije za posamezna območja, vključno z vidikom učinkovitosti. Zaradi izrazite odvisnosti delovanja </w:t>
      </w:r>
      <w:proofErr w:type="spellStart"/>
      <w:r w:rsidRPr="00E50548">
        <w:rPr>
          <w:rFonts w:cs="Arial"/>
          <w:i/>
          <w:iCs/>
          <w:szCs w:val="20"/>
          <w:lang w:val="sl-SI"/>
        </w:rPr>
        <w:t>biokontrolnih</w:t>
      </w:r>
      <w:proofErr w:type="spellEnd"/>
      <w:r w:rsidRPr="00E50548">
        <w:rPr>
          <w:rFonts w:cs="Arial"/>
          <w:i/>
          <w:iCs/>
          <w:szCs w:val="20"/>
          <w:lang w:val="sl-SI"/>
        </w:rPr>
        <w:t xml:space="preserve"> FFS od talnih in podnebnih razmer, kot so vlaga, temperatura in osvetlitev, lahko v neustreznih pogojih pride do zmanjšane učinkovitosti, kar lahko negativno vpliva na zaupanje uporabnikov v celotno skupino </w:t>
      </w:r>
      <w:proofErr w:type="spellStart"/>
      <w:r w:rsidRPr="00E50548">
        <w:rPr>
          <w:rFonts w:cs="Arial"/>
          <w:i/>
          <w:iCs/>
          <w:szCs w:val="20"/>
          <w:lang w:val="sl-SI"/>
        </w:rPr>
        <w:t>biokontrolnih</w:t>
      </w:r>
      <w:proofErr w:type="spellEnd"/>
      <w:r w:rsidRPr="00E50548">
        <w:rPr>
          <w:rFonts w:cs="Arial"/>
          <w:i/>
          <w:iCs/>
          <w:szCs w:val="20"/>
          <w:lang w:val="sl-SI"/>
        </w:rPr>
        <w:t xml:space="preserve"> sredstev.</w:t>
      </w:r>
    </w:p>
    <w:p w14:paraId="36D2D275" w14:textId="77777777" w:rsidR="00EE252E" w:rsidRPr="00E50548" w:rsidRDefault="00EE252E" w:rsidP="00CF3C1F">
      <w:pPr>
        <w:spacing w:before="20" w:after="20"/>
        <w:jc w:val="both"/>
        <w:rPr>
          <w:rFonts w:cs="Arial"/>
          <w:i/>
          <w:iCs/>
          <w:szCs w:val="20"/>
          <w:lang w:val="sl-SI"/>
        </w:rPr>
      </w:pPr>
    </w:p>
    <w:p w14:paraId="50E094D1"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se zaveda pomena pravočasne registracije </w:t>
      </w:r>
      <w:proofErr w:type="spellStart"/>
      <w:r w:rsidRPr="00E50548">
        <w:rPr>
          <w:rFonts w:cs="Arial"/>
          <w:i/>
          <w:iCs/>
          <w:szCs w:val="20"/>
          <w:lang w:val="sl-SI"/>
        </w:rPr>
        <w:t>biokontrolnih</w:t>
      </w:r>
      <w:proofErr w:type="spellEnd"/>
      <w:r w:rsidRPr="00E50548">
        <w:rPr>
          <w:rFonts w:cs="Arial"/>
          <w:i/>
          <w:iCs/>
          <w:szCs w:val="20"/>
          <w:lang w:val="sl-SI"/>
        </w:rPr>
        <w:t xml:space="preserve"> FFS, vendar ne podpira uvedbe »tihega pristanka« kot splošnega mehanizma. V skladu z nacionalno zakonodajo je za registracijo vedno potrebna izdaja formalne odločbe, odobritev etikete in vpis v register registriranih FFS. Slovenija meni, da je skrajševanje trajanja postopkov mogoče doseči z drugimi predlaganimi ukrepi, kot so ocenjevanje na ravni EU, administrativna ločitev postopkov za </w:t>
      </w:r>
      <w:proofErr w:type="spellStart"/>
      <w:r w:rsidRPr="00E50548">
        <w:rPr>
          <w:rFonts w:cs="Arial"/>
          <w:i/>
          <w:iCs/>
          <w:szCs w:val="20"/>
          <w:lang w:val="sl-SI"/>
        </w:rPr>
        <w:t>biokontrolna</w:t>
      </w:r>
      <w:proofErr w:type="spellEnd"/>
      <w:r w:rsidRPr="00E50548">
        <w:rPr>
          <w:rFonts w:cs="Arial"/>
          <w:i/>
          <w:iCs/>
          <w:szCs w:val="20"/>
          <w:lang w:val="sl-SI"/>
        </w:rPr>
        <w:t xml:space="preserve"> in kemična FFS ter ustrezna kadrovska okrepitev pristojnih organov. Zato je ključno zagotoviti, da imajo pristojni organi držav članic zadostne strokovne in kadrovske zmogljivosti ter da mehanizem tihega pristanka ne postane nadomestilo za vsebinsko presojo v primerih, kjer so potrebne dodatne strokovne razjasnitve.</w:t>
      </w:r>
    </w:p>
    <w:p w14:paraId="52B9E640" w14:textId="77777777" w:rsidR="00EE252E" w:rsidRPr="00E50548" w:rsidRDefault="00EE252E" w:rsidP="00CF3C1F">
      <w:pPr>
        <w:spacing w:before="20" w:after="20"/>
        <w:jc w:val="both"/>
        <w:rPr>
          <w:rFonts w:cs="Arial"/>
          <w:i/>
          <w:iCs/>
          <w:szCs w:val="20"/>
          <w:lang w:val="sl-SI"/>
        </w:rPr>
      </w:pPr>
    </w:p>
    <w:p w14:paraId="40C2F44D"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podpira razširitev kroga upravičenih vlagateljev na uradna ali znanstvena telesa ter kmetijske organizacije, saj to zmanjšuje odvisnost od komercialnih podjetij in lahko prispeva k hitrejši dostopnosti </w:t>
      </w:r>
      <w:proofErr w:type="spellStart"/>
      <w:r w:rsidRPr="00E50548">
        <w:rPr>
          <w:rFonts w:cs="Arial"/>
          <w:i/>
          <w:iCs/>
          <w:szCs w:val="20"/>
          <w:lang w:val="sl-SI"/>
        </w:rPr>
        <w:t>biokontrolnih</w:t>
      </w:r>
      <w:proofErr w:type="spellEnd"/>
      <w:r w:rsidRPr="00E50548">
        <w:rPr>
          <w:rFonts w:cs="Arial"/>
          <w:i/>
          <w:iCs/>
          <w:szCs w:val="20"/>
          <w:lang w:val="sl-SI"/>
        </w:rPr>
        <w:t xml:space="preserve"> sredstev v državah članicah z manjšim trgom. Prav tako pozdravlja racionalizacijo zahtevane dokumentacije, zlasti v primerih, ko so podatki že na voljo pri referenčni državi.</w:t>
      </w:r>
    </w:p>
    <w:p w14:paraId="1222F9A7" w14:textId="77777777" w:rsidR="00EE252E" w:rsidRPr="00E50548" w:rsidRDefault="00EE252E" w:rsidP="00CF3C1F">
      <w:pPr>
        <w:spacing w:before="20" w:after="20"/>
        <w:jc w:val="both"/>
        <w:rPr>
          <w:rFonts w:cs="Arial"/>
          <w:i/>
          <w:iCs/>
          <w:szCs w:val="20"/>
          <w:lang w:val="sl-SI"/>
        </w:rPr>
      </w:pPr>
    </w:p>
    <w:p w14:paraId="62D040AD"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Slovenija podpira tudi zahtevo, da je vzajemno priznavanje mogoče le za proizvode, ki so dejansko dani na trg v referenčni državi, saj takšna ureditev preprečuje regulativni »</w:t>
      </w:r>
      <w:proofErr w:type="spellStart"/>
      <w:r w:rsidRPr="00E50548">
        <w:rPr>
          <w:rFonts w:cs="Arial"/>
          <w:i/>
          <w:iCs/>
          <w:szCs w:val="20"/>
          <w:lang w:val="sl-SI"/>
        </w:rPr>
        <w:t>shopping</w:t>
      </w:r>
      <w:proofErr w:type="spellEnd"/>
      <w:r w:rsidRPr="00E50548">
        <w:rPr>
          <w:rFonts w:cs="Arial"/>
          <w:i/>
          <w:iCs/>
          <w:szCs w:val="20"/>
          <w:lang w:val="sl-SI"/>
        </w:rPr>
        <w:t>« in krepi integriteto sistema vzajemnega priznavanja. Tak pristop zagotavlja, da regulativne odločitve temeljijo na realnih pogojih uporabe proizvoda in ne zgolj na finančnih vidikih postopka.</w:t>
      </w:r>
    </w:p>
    <w:p w14:paraId="6A4E11D9" w14:textId="77777777" w:rsidR="00EE252E" w:rsidRPr="00E50548" w:rsidRDefault="00EE252E" w:rsidP="00CF3C1F">
      <w:pPr>
        <w:spacing w:before="20" w:after="20"/>
        <w:jc w:val="both"/>
        <w:rPr>
          <w:rFonts w:cs="Arial"/>
          <w:i/>
          <w:iCs/>
          <w:szCs w:val="20"/>
          <w:lang w:val="sl-SI"/>
        </w:rPr>
      </w:pPr>
    </w:p>
    <w:p w14:paraId="500FAC57"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4) Administrativne razbremenitve uporabnikov</w:t>
      </w:r>
    </w:p>
    <w:p w14:paraId="04535EC6" w14:textId="77777777" w:rsidR="00EE252E" w:rsidRPr="00E50548" w:rsidRDefault="00EE252E" w:rsidP="00CF3C1F">
      <w:pPr>
        <w:spacing w:before="20" w:after="20"/>
        <w:jc w:val="both"/>
        <w:rPr>
          <w:rFonts w:cs="Arial"/>
          <w:i/>
          <w:iCs/>
          <w:szCs w:val="20"/>
          <w:lang w:val="sl-SI"/>
        </w:rPr>
      </w:pPr>
    </w:p>
    <w:p w14:paraId="0D678B41"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lastRenderedPageBreak/>
        <w:t xml:space="preserve">Po novem poklicnim uporabnikom ne bo več treba voditi triletnih evidenc uporabe fitofarmacevtskih sredstev (FFS), kadar uporabljajo sredstva, ki vsebujejo izključno </w:t>
      </w:r>
      <w:proofErr w:type="spellStart"/>
      <w:r w:rsidRPr="00E50548">
        <w:rPr>
          <w:rFonts w:cs="Arial"/>
          <w:i/>
          <w:iCs/>
          <w:szCs w:val="20"/>
          <w:lang w:val="sl-SI"/>
        </w:rPr>
        <w:t>biokontrolne</w:t>
      </w:r>
      <w:proofErr w:type="spellEnd"/>
      <w:r w:rsidRPr="00E50548">
        <w:rPr>
          <w:rFonts w:cs="Arial"/>
          <w:i/>
          <w:iCs/>
          <w:szCs w:val="20"/>
          <w:lang w:val="sl-SI"/>
        </w:rPr>
        <w:t xml:space="preserve"> aktivne snovi. Hkrati se pravilno pojasni, da setev </w:t>
      </w:r>
      <w:proofErr w:type="spellStart"/>
      <w:r w:rsidRPr="00E50548">
        <w:rPr>
          <w:rFonts w:cs="Arial"/>
          <w:i/>
          <w:iCs/>
          <w:szCs w:val="20"/>
          <w:lang w:val="sl-SI"/>
        </w:rPr>
        <w:t>tretiranega</w:t>
      </w:r>
      <w:proofErr w:type="spellEnd"/>
      <w:r w:rsidRPr="00E50548">
        <w:rPr>
          <w:rFonts w:cs="Arial"/>
          <w:i/>
          <w:iCs/>
          <w:szCs w:val="20"/>
          <w:lang w:val="sl-SI"/>
        </w:rPr>
        <w:t xml:space="preserve"> semena pomeni uporabo FFS. Ta pravila se razširijo na ves rastlinski razmnoževalni material, vključno z gomolji, čebulicami in drugim podobnim materialom. Določi se tudi, da stroji za setev </w:t>
      </w:r>
      <w:proofErr w:type="spellStart"/>
      <w:r w:rsidRPr="00E50548">
        <w:rPr>
          <w:rFonts w:cs="Arial"/>
          <w:i/>
          <w:iCs/>
          <w:szCs w:val="20"/>
          <w:lang w:val="sl-SI"/>
        </w:rPr>
        <w:t>tretiranih</w:t>
      </w:r>
      <w:proofErr w:type="spellEnd"/>
      <w:r w:rsidRPr="00E50548">
        <w:rPr>
          <w:rFonts w:cs="Arial"/>
          <w:i/>
          <w:iCs/>
          <w:szCs w:val="20"/>
          <w:lang w:val="sl-SI"/>
        </w:rPr>
        <w:t xml:space="preserve"> semen ne štejejo za naprave za nanašanje fitofarmacevtskih sredstev v smislu direktive o trajnostni rabi.</w:t>
      </w:r>
    </w:p>
    <w:p w14:paraId="5855EE5D" w14:textId="77777777" w:rsidR="00EE252E" w:rsidRPr="00E50548" w:rsidRDefault="00EE252E" w:rsidP="00CF3C1F">
      <w:pPr>
        <w:spacing w:before="20" w:after="20"/>
        <w:jc w:val="both"/>
        <w:rPr>
          <w:rFonts w:cs="Arial"/>
          <w:i/>
          <w:iCs/>
          <w:szCs w:val="20"/>
          <w:lang w:val="sl-SI"/>
        </w:rPr>
      </w:pPr>
    </w:p>
    <w:p w14:paraId="73A65700"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w:t>
      </w:r>
    </w:p>
    <w:p w14:paraId="4F648672"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se strinja, da za fitofarmacevtska sredstva z bistveno nižjim tveganjem ni potrebe po enako obsežnih evidencah kot pri klasičnih FFS. Kljub temu pa je z vidika dobre kmetijske prakse nujno osnovno vodenje podatkov o uporabi </w:t>
      </w:r>
      <w:proofErr w:type="spellStart"/>
      <w:r w:rsidRPr="00E50548">
        <w:rPr>
          <w:rFonts w:cs="Arial"/>
          <w:i/>
          <w:iCs/>
          <w:szCs w:val="20"/>
          <w:lang w:val="sl-SI"/>
        </w:rPr>
        <w:t>biokontrolnih</w:t>
      </w:r>
      <w:proofErr w:type="spellEnd"/>
      <w:r w:rsidRPr="00E50548">
        <w:rPr>
          <w:rFonts w:cs="Arial"/>
          <w:i/>
          <w:iCs/>
          <w:szCs w:val="20"/>
          <w:lang w:val="sl-SI"/>
        </w:rPr>
        <w:t xml:space="preserve"> FFS, ki vključuje informacije o uporabljenem sredstvu, odmerku in datumu uporabe. Zmanjšanje obsega evidenc tako zmanjšuje administrativno breme za poklicne uporabnike, ne da bi bistveno vplivalo na nadzor nad tveganji.</w:t>
      </w:r>
    </w:p>
    <w:p w14:paraId="5E86AF89" w14:textId="77777777" w:rsidR="00EE252E" w:rsidRPr="00E50548" w:rsidRDefault="00EE252E" w:rsidP="00CF3C1F">
      <w:pPr>
        <w:spacing w:before="20" w:after="20"/>
        <w:jc w:val="both"/>
        <w:rPr>
          <w:rFonts w:cs="Arial"/>
          <w:i/>
          <w:iCs/>
          <w:szCs w:val="20"/>
          <w:lang w:val="sl-SI"/>
        </w:rPr>
      </w:pPr>
    </w:p>
    <w:p w14:paraId="7008F8BA"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podpira potrebo po natančnejšem pojasnilu, da se setev </w:t>
      </w:r>
      <w:proofErr w:type="spellStart"/>
      <w:r w:rsidRPr="00E50548">
        <w:rPr>
          <w:rFonts w:cs="Arial"/>
          <w:i/>
          <w:iCs/>
          <w:szCs w:val="20"/>
          <w:lang w:val="sl-SI"/>
        </w:rPr>
        <w:t>tretiranega</w:t>
      </w:r>
      <w:proofErr w:type="spellEnd"/>
      <w:r w:rsidRPr="00E50548">
        <w:rPr>
          <w:rFonts w:cs="Arial"/>
          <w:i/>
          <w:iCs/>
          <w:szCs w:val="20"/>
          <w:lang w:val="sl-SI"/>
        </w:rPr>
        <w:t xml:space="preserve"> semena in drugega </w:t>
      </w:r>
      <w:proofErr w:type="spellStart"/>
      <w:r w:rsidRPr="00E50548">
        <w:rPr>
          <w:rFonts w:cs="Arial"/>
          <w:i/>
          <w:iCs/>
          <w:szCs w:val="20"/>
          <w:lang w:val="sl-SI"/>
        </w:rPr>
        <w:t>tretiranega</w:t>
      </w:r>
      <w:proofErr w:type="spellEnd"/>
      <w:r w:rsidRPr="00E50548">
        <w:rPr>
          <w:rFonts w:cs="Arial"/>
          <w:i/>
          <w:iCs/>
          <w:szCs w:val="20"/>
          <w:lang w:val="sl-SI"/>
        </w:rPr>
        <w:t xml:space="preserve"> sadilnega materiala šteje kot uporaba FFS, saj to prispeva k večji pravni jasnosti in enotni praksi. Razširitev pravil na ves rastlinski razmnoževalni material je smiselna. Hkrati Slovenija pozdravlja določitev, da se sejalnice za tretirana semena ne štejejo za naprave za nanašanje FFS, s čimer se prepreči uvedba neustreznega dodatnega regulativnega bremena.</w:t>
      </w:r>
    </w:p>
    <w:p w14:paraId="233AEF3C" w14:textId="77777777" w:rsidR="00EE252E" w:rsidRPr="00E50548" w:rsidRDefault="00EE252E" w:rsidP="00CF3C1F">
      <w:pPr>
        <w:spacing w:before="20" w:after="20"/>
        <w:jc w:val="both"/>
        <w:rPr>
          <w:rFonts w:cs="Arial"/>
          <w:i/>
          <w:iCs/>
          <w:szCs w:val="20"/>
          <w:lang w:val="sl-SI"/>
        </w:rPr>
      </w:pPr>
    </w:p>
    <w:p w14:paraId="26F8876C"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5) Neomejene odobritve in tvegano-usmerjene obnove</w:t>
      </w:r>
    </w:p>
    <w:p w14:paraId="276FFDAC" w14:textId="77777777" w:rsidR="00EE252E" w:rsidRPr="00E50548" w:rsidRDefault="00EE252E" w:rsidP="00CF3C1F">
      <w:pPr>
        <w:spacing w:before="20" w:after="20"/>
        <w:jc w:val="both"/>
        <w:rPr>
          <w:rFonts w:cs="Arial"/>
          <w:i/>
          <w:iCs/>
          <w:szCs w:val="20"/>
          <w:lang w:val="sl-SI"/>
        </w:rPr>
      </w:pPr>
    </w:p>
    <w:p w14:paraId="0E63753F"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Odobritve aktivnih snovi postanejo časovno neomejene. Izjema so aktivne snovi, ki so kandidatke za zamenjavo, aktivne snovi, ki so odobrene izjemoma, ker so nujno potrebne za obvladovanje resne nevarnosti za zdravje rastlin, ki je ni mogoče učinkovito obvladati z drugimi ukrepi, vključno z </w:t>
      </w:r>
      <w:proofErr w:type="spellStart"/>
      <w:r w:rsidRPr="00E50548">
        <w:rPr>
          <w:rFonts w:cs="Arial"/>
          <w:i/>
          <w:iCs/>
          <w:szCs w:val="20"/>
          <w:lang w:val="sl-SI"/>
        </w:rPr>
        <w:t>nekemičnimi</w:t>
      </w:r>
      <w:proofErr w:type="spellEnd"/>
      <w:r w:rsidRPr="00E50548">
        <w:rPr>
          <w:rFonts w:cs="Arial"/>
          <w:i/>
          <w:iCs/>
          <w:szCs w:val="20"/>
          <w:lang w:val="sl-SI"/>
        </w:rPr>
        <w:t xml:space="preserve"> metodami. Te snovi so lahko odobrene le za omejeno obdobje, ob strogo določenih pogojih ter ob uvedbi ukrepov za zmanjšanje tveganja za ljudi in okolje. Izjema velja tudi za aktivne snovi, pri katerih je čas veljavnosti odobritve določen na podlagi izida ocene tveganja in posebnih pogojev uporabe, kot so omejitve glede načina uporabe, vrste uporabnikov ali območij uporabe, zahteva po dodatnih podatkih ali uvedba drugih varovalnih ukrepov.</w:t>
      </w:r>
    </w:p>
    <w:p w14:paraId="1895A97C" w14:textId="77777777" w:rsidR="00EE252E" w:rsidRPr="00E50548" w:rsidRDefault="00EE252E" w:rsidP="00CF3C1F">
      <w:pPr>
        <w:spacing w:before="20" w:after="20"/>
        <w:jc w:val="both"/>
        <w:rPr>
          <w:rFonts w:cs="Arial"/>
          <w:i/>
          <w:iCs/>
          <w:szCs w:val="20"/>
          <w:lang w:val="sl-SI"/>
        </w:rPr>
      </w:pPr>
    </w:p>
    <w:p w14:paraId="4093CB58"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Namesto avtomatskega postopka obnovitve odobritve vseh aktivnih snovi se uvede periodični izbor snovi za obnovitev na podlagi ocene tveganja in razpoložljivih kapacitet, pri čemer ostajajo v veljavi tudi ad hoc revizije v skladu s členom 21.</w:t>
      </w:r>
    </w:p>
    <w:p w14:paraId="00ECCBE2" w14:textId="77777777" w:rsidR="00EE252E" w:rsidRPr="00E50548" w:rsidRDefault="00EE252E" w:rsidP="00CF3C1F">
      <w:pPr>
        <w:spacing w:before="20" w:after="20"/>
        <w:jc w:val="both"/>
        <w:rPr>
          <w:rFonts w:cs="Arial"/>
          <w:i/>
          <w:iCs/>
          <w:szCs w:val="20"/>
          <w:lang w:val="sl-SI"/>
        </w:rPr>
      </w:pPr>
    </w:p>
    <w:p w14:paraId="17565992"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Kriteriji za pridobitev statusa »majhno tveganje (</w:t>
      </w:r>
      <w:proofErr w:type="spellStart"/>
      <w:r w:rsidRPr="00E50548">
        <w:rPr>
          <w:rFonts w:cs="Arial"/>
          <w:i/>
          <w:iCs/>
          <w:szCs w:val="20"/>
          <w:lang w:val="sl-SI"/>
        </w:rPr>
        <w:t>low-risk</w:t>
      </w:r>
      <w:proofErr w:type="spellEnd"/>
      <w:r w:rsidRPr="00E50548">
        <w:rPr>
          <w:rFonts w:cs="Arial"/>
          <w:i/>
          <w:iCs/>
          <w:szCs w:val="20"/>
          <w:lang w:val="sl-SI"/>
        </w:rPr>
        <w:t xml:space="preserve">)« temeljijo izključno na </w:t>
      </w:r>
      <w:proofErr w:type="spellStart"/>
      <w:r w:rsidRPr="00E50548">
        <w:rPr>
          <w:rFonts w:cs="Arial"/>
          <w:i/>
          <w:iCs/>
          <w:szCs w:val="20"/>
          <w:lang w:val="sl-SI"/>
        </w:rPr>
        <w:t>intrinzičnih</w:t>
      </w:r>
      <w:proofErr w:type="spellEnd"/>
      <w:r w:rsidRPr="00E50548">
        <w:rPr>
          <w:rFonts w:cs="Arial"/>
          <w:i/>
          <w:iCs/>
          <w:szCs w:val="20"/>
          <w:lang w:val="sl-SI"/>
        </w:rPr>
        <w:t xml:space="preserve"> lastnostih snovi, hkrati pa se omogoči naknadna vloga za spremembo statusa v »majhno tveganje«, kadar postanejo na voljo novi znanstveni dokazi.</w:t>
      </w:r>
    </w:p>
    <w:p w14:paraId="66B6FFEB" w14:textId="77777777" w:rsidR="00EE252E" w:rsidRPr="00E50548" w:rsidRDefault="00EE252E" w:rsidP="00CF3C1F">
      <w:pPr>
        <w:spacing w:before="20" w:after="20"/>
        <w:jc w:val="both"/>
        <w:rPr>
          <w:rFonts w:cs="Arial"/>
          <w:i/>
          <w:iCs/>
          <w:szCs w:val="20"/>
          <w:lang w:val="sl-SI"/>
        </w:rPr>
      </w:pPr>
    </w:p>
    <w:p w14:paraId="1584C376"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Pri derogacijah za aktivne snovi, ki so odobrene izjemoma zaradi nujne potrebe po obvladovanju resne nevarnosti za zdravje rastlin, se jasneje opredeli obseg uporabe ter odpravi obveznost priprave načrtov postopnega opuščanja.</w:t>
      </w:r>
    </w:p>
    <w:p w14:paraId="214B4303" w14:textId="77777777" w:rsidR="00EE252E" w:rsidRPr="00E50548" w:rsidRDefault="00EE252E" w:rsidP="00CF3C1F">
      <w:pPr>
        <w:spacing w:before="20" w:after="20"/>
        <w:jc w:val="both"/>
        <w:rPr>
          <w:rFonts w:cs="Arial"/>
          <w:i/>
          <w:iCs/>
          <w:szCs w:val="20"/>
          <w:lang w:val="sl-SI"/>
        </w:rPr>
      </w:pPr>
    </w:p>
    <w:p w14:paraId="5F5685F5"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Prehodno obdobje v primeru </w:t>
      </w:r>
      <w:proofErr w:type="spellStart"/>
      <w:r w:rsidRPr="00E50548">
        <w:rPr>
          <w:rFonts w:cs="Arial"/>
          <w:i/>
          <w:iCs/>
          <w:szCs w:val="20"/>
          <w:lang w:val="sl-SI"/>
        </w:rPr>
        <w:t>neobnovitve</w:t>
      </w:r>
      <w:proofErr w:type="spellEnd"/>
      <w:r w:rsidRPr="00E50548">
        <w:rPr>
          <w:rFonts w:cs="Arial"/>
          <w:i/>
          <w:iCs/>
          <w:szCs w:val="20"/>
          <w:lang w:val="sl-SI"/>
        </w:rPr>
        <w:t xml:space="preserve"> odobritve oziroma umika aktivne snovi se podaljša na največ eno leto za prodajo in distribucijo ter na največ dve leti za uporabo in odstranitev zalog, kadar ni ugotovljenih neposrednih resnih tveganj.</w:t>
      </w:r>
    </w:p>
    <w:p w14:paraId="155DE6DE" w14:textId="77777777" w:rsidR="00EE252E" w:rsidRPr="00E50548" w:rsidRDefault="00EE252E" w:rsidP="00CF3C1F">
      <w:pPr>
        <w:spacing w:before="20" w:after="20"/>
        <w:jc w:val="both"/>
        <w:rPr>
          <w:rFonts w:cs="Arial"/>
          <w:i/>
          <w:iCs/>
          <w:szCs w:val="20"/>
          <w:lang w:val="sl-SI"/>
        </w:rPr>
      </w:pPr>
    </w:p>
    <w:p w14:paraId="4E6E847A"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w:t>
      </w:r>
    </w:p>
    <w:p w14:paraId="00DD0E25" w14:textId="57BF180B" w:rsidR="00EE252E" w:rsidRPr="00E50548" w:rsidRDefault="003C3208" w:rsidP="00CF3C1F">
      <w:pPr>
        <w:spacing w:before="20" w:after="20"/>
        <w:jc w:val="both"/>
        <w:rPr>
          <w:rFonts w:cs="Arial"/>
          <w:i/>
          <w:iCs/>
          <w:szCs w:val="20"/>
          <w:lang w:val="sl-SI"/>
        </w:rPr>
      </w:pPr>
      <w:r w:rsidRPr="003C3208">
        <w:rPr>
          <w:rFonts w:cs="Arial"/>
          <w:i/>
          <w:iCs/>
          <w:szCs w:val="20"/>
          <w:lang w:val="sl-SI"/>
        </w:rPr>
        <w:t>Slovenija predlaga, da se odobritev aktivnih snovi uvede za določeno obdobje (vsakih 20 let), namesto da bi bila odobritev časovno neomejena.</w:t>
      </w:r>
      <w:r>
        <w:rPr>
          <w:rFonts w:cs="Arial"/>
          <w:i/>
          <w:iCs/>
          <w:szCs w:val="20"/>
          <w:lang w:val="sl-SI"/>
        </w:rPr>
        <w:t xml:space="preserve"> </w:t>
      </w:r>
      <w:r w:rsidR="00EE252E" w:rsidRPr="00E50548">
        <w:rPr>
          <w:rFonts w:cs="Arial"/>
          <w:i/>
          <w:iCs/>
          <w:szCs w:val="20"/>
          <w:lang w:val="sl-SI"/>
        </w:rPr>
        <w:t>Takšen pristop zmanjšuje administrativno obremenitev, hkrati pa z uporabo člena 21, ki omogoča revizijo kadarkoli v primeru novih znanstvenih spoznanj ali tveganj, zagotavlja visoko raven varovanja zdravja ljudi in okolja.</w:t>
      </w:r>
    </w:p>
    <w:p w14:paraId="3B746268" w14:textId="77777777" w:rsidR="00EE252E" w:rsidRPr="00E50548" w:rsidRDefault="00EE252E" w:rsidP="00CF3C1F">
      <w:pPr>
        <w:spacing w:before="20" w:after="20"/>
        <w:jc w:val="both"/>
        <w:rPr>
          <w:rFonts w:cs="Arial"/>
          <w:i/>
          <w:iCs/>
          <w:szCs w:val="20"/>
          <w:lang w:val="sl-SI"/>
        </w:rPr>
      </w:pPr>
    </w:p>
    <w:p w14:paraId="7AEFF5C3"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lastRenderedPageBreak/>
        <w:t xml:space="preserve">V zvezi s kriteriji za status »majhno tveganje« se Slovenija strinja, da mora ta temeljiti na </w:t>
      </w:r>
      <w:proofErr w:type="spellStart"/>
      <w:r w:rsidRPr="00E50548">
        <w:rPr>
          <w:rFonts w:cs="Arial"/>
          <w:i/>
          <w:iCs/>
          <w:szCs w:val="20"/>
          <w:lang w:val="sl-SI"/>
        </w:rPr>
        <w:t>intrinzičnih</w:t>
      </w:r>
      <w:proofErr w:type="spellEnd"/>
      <w:r w:rsidRPr="00E50548">
        <w:rPr>
          <w:rFonts w:cs="Arial"/>
          <w:i/>
          <w:iCs/>
          <w:szCs w:val="20"/>
          <w:lang w:val="sl-SI"/>
        </w:rPr>
        <w:t xml:space="preserve"> lastnostih snovi, možnost naknadne pridobitve statusa pa krepi prilagodljivost in odzivnost sistema.</w:t>
      </w:r>
    </w:p>
    <w:p w14:paraId="62B4382B" w14:textId="77777777" w:rsidR="00EE252E" w:rsidRPr="00E50548" w:rsidRDefault="00EE252E" w:rsidP="00CF3C1F">
      <w:pPr>
        <w:spacing w:before="20" w:after="20"/>
        <w:jc w:val="both"/>
        <w:rPr>
          <w:rFonts w:cs="Arial"/>
          <w:i/>
          <w:iCs/>
          <w:szCs w:val="20"/>
          <w:lang w:val="sl-SI"/>
        </w:rPr>
      </w:pPr>
    </w:p>
    <w:p w14:paraId="36DBAD0D"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Slovenija podpira natančnejšo opredelitev derogacij ter odpravo obveznega postopnega opuščanja pri aktivnih snoveh, ki so odobrene izjemoma, saj to prispeva k večji pravni jasnosti in omogoča hitrejše ukrepanje v izrednih razmerah.</w:t>
      </w:r>
    </w:p>
    <w:p w14:paraId="248AA6FD" w14:textId="77777777" w:rsidR="00EE252E" w:rsidRPr="00E50548" w:rsidRDefault="00EE252E" w:rsidP="00CF3C1F">
      <w:pPr>
        <w:spacing w:before="20" w:after="20"/>
        <w:jc w:val="both"/>
        <w:rPr>
          <w:rFonts w:cs="Arial"/>
          <w:i/>
          <w:iCs/>
          <w:szCs w:val="20"/>
          <w:lang w:val="sl-SI"/>
        </w:rPr>
      </w:pPr>
    </w:p>
    <w:p w14:paraId="7634F486"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Glede podaljšanja rokov za odprodajo in uporabo zalog Slovenija ocenjuje, da takšna možnost lahko omogoči sorazmerno in realno prilagoditev trga, vendar poudarja potrebo po dodatni previdnosti. Podaljšani roki so sprejemljivi le v primerih, ko je na podlagi razpoložljivih znanstvenih dokazov jasno in nedvoumno ugotovljeno, da ne obstaja neposredno ali posredno tveganje za zdravje ljudi, živali ali okolje.</w:t>
      </w:r>
    </w:p>
    <w:p w14:paraId="6895B6DB" w14:textId="77777777" w:rsidR="00EE252E" w:rsidRPr="00E50548" w:rsidRDefault="00EE252E" w:rsidP="00CF3C1F">
      <w:pPr>
        <w:spacing w:before="20" w:after="20"/>
        <w:jc w:val="both"/>
        <w:rPr>
          <w:rFonts w:cs="Arial"/>
          <w:i/>
          <w:iCs/>
          <w:szCs w:val="20"/>
          <w:lang w:val="sl-SI"/>
        </w:rPr>
      </w:pPr>
    </w:p>
    <w:p w14:paraId="5294EB44"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6) Manjše uporabe FFS, osnovne snovi in varstvo podatkov</w:t>
      </w:r>
    </w:p>
    <w:p w14:paraId="36126546" w14:textId="77777777" w:rsidR="00EE252E" w:rsidRPr="00E50548" w:rsidRDefault="00EE252E" w:rsidP="00CF3C1F">
      <w:pPr>
        <w:spacing w:before="20" w:after="20"/>
        <w:jc w:val="both"/>
        <w:rPr>
          <w:rFonts w:cs="Arial"/>
          <w:i/>
          <w:iCs/>
          <w:szCs w:val="20"/>
          <w:lang w:val="sl-SI"/>
        </w:rPr>
      </w:pPr>
    </w:p>
    <w:p w14:paraId="7AC3F289" w14:textId="0BA4983E"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Pri odobritvi manjših uporab (ang. </w:t>
      </w:r>
      <w:proofErr w:type="spellStart"/>
      <w:r w:rsidRPr="00E50548">
        <w:rPr>
          <w:rFonts w:cs="Arial"/>
          <w:i/>
          <w:iCs/>
          <w:szCs w:val="20"/>
          <w:lang w:val="sl-SI"/>
        </w:rPr>
        <w:t>minor</w:t>
      </w:r>
      <w:proofErr w:type="spellEnd"/>
      <w:r w:rsidRPr="00E50548">
        <w:rPr>
          <w:rFonts w:cs="Arial"/>
          <w:i/>
          <w:iCs/>
          <w:szCs w:val="20"/>
          <w:lang w:val="sl-SI"/>
        </w:rPr>
        <w:t xml:space="preserve"> </w:t>
      </w:r>
      <w:proofErr w:type="spellStart"/>
      <w:r w:rsidRPr="00E50548">
        <w:rPr>
          <w:rFonts w:cs="Arial"/>
          <w:i/>
          <w:iCs/>
          <w:szCs w:val="20"/>
          <w:lang w:val="sl-SI"/>
        </w:rPr>
        <w:t>uses</w:t>
      </w:r>
      <w:proofErr w:type="spellEnd"/>
      <w:r w:rsidRPr="00E50548">
        <w:rPr>
          <w:rFonts w:cs="Arial"/>
          <w:i/>
          <w:iCs/>
          <w:szCs w:val="20"/>
          <w:lang w:val="sl-SI"/>
        </w:rPr>
        <w:t>) se črtajo bolj restriktivni pogoji, kot je zahteva po »javni koristi« in omejitve vzajemnega priznavanja. S tem se ustvarijo pogoji za bolj usklajeno izvajanje postopkov na ravni EU oziroma je Komisiji podeljena možnost za harmonizacijo pravil.</w:t>
      </w:r>
    </w:p>
    <w:p w14:paraId="4A3C763E" w14:textId="77777777" w:rsidR="00EE252E" w:rsidRPr="00E50548" w:rsidRDefault="00EE252E" w:rsidP="00CF3C1F">
      <w:pPr>
        <w:spacing w:before="20" w:after="20"/>
        <w:jc w:val="both"/>
        <w:rPr>
          <w:rFonts w:cs="Arial"/>
          <w:i/>
          <w:iCs/>
          <w:szCs w:val="20"/>
          <w:lang w:val="sl-SI"/>
        </w:rPr>
      </w:pPr>
    </w:p>
    <w:p w14:paraId="0C9107C3"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Osnovne snovi se lahko še naprej dajejo na trg za namene varstva rastlin brez registracije, pri čemer so določbe jezikovno pojasnjene, da se odpravi dvoumnost..</w:t>
      </w:r>
    </w:p>
    <w:p w14:paraId="32E37226"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Varstvo podatkov (študij in testov) se preusmeri na enoten EU–teritorialni režim z enakimi roki po vsej Uniji.</w:t>
      </w:r>
    </w:p>
    <w:p w14:paraId="5A9ED905" w14:textId="77777777" w:rsidR="00EE252E" w:rsidRPr="00E50548" w:rsidRDefault="00EE252E" w:rsidP="00CF3C1F">
      <w:pPr>
        <w:spacing w:before="20" w:after="20"/>
        <w:jc w:val="both"/>
        <w:rPr>
          <w:rFonts w:cs="Arial"/>
          <w:i/>
          <w:iCs/>
          <w:szCs w:val="20"/>
          <w:lang w:val="sl-SI"/>
        </w:rPr>
      </w:pPr>
    </w:p>
    <w:p w14:paraId="1AF87E05"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 Slovenija podpira predlagane spremembe, saj prispevajo k večji pravni jasnosti, poenotenju postopkov in izboljšani dostopnosti FFS za varstvo rastlin, zlasti tam, kjer je trg majhen ali specializiran.</w:t>
      </w:r>
    </w:p>
    <w:p w14:paraId="4A073A31" w14:textId="77777777" w:rsidR="00EE252E" w:rsidRPr="00E50548" w:rsidRDefault="00EE252E" w:rsidP="00CF3C1F">
      <w:pPr>
        <w:spacing w:before="20" w:after="20"/>
        <w:jc w:val="both"/>
        <w:rPr>
          <w:rFonts w:cs="Arial"/>
          <w:i/>
          <w:iCs/>
          <w:szCs w:val="20"/>
          <w:lang w:val="sl-SI"/>
        </w:rPr>
      </w:pPr>
    </w:p>
    <w:p w14:paraId="1250425E"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Pri manjših uporabah Slovenija podpira črtanje preveč restriktivnih pogojev, saj bo to izboljšalo dostop do rešitev za manj razširjene kulture. Odprava omejitev pri vzajemnem priznavanju in možnost harmonizacije postopkov s strani Komisije bosta prispevali k enotni in učinkovitejši praksi v EU, vendar je pri tem potrebno upoštevati razlike v kmetijski pridelavi med državami članicami in s tem nabor kultur, ki sodijo med manjše uporabe. </w:t>
      </w:r>
    </w:p>
    <w:p w14:paraId="2C0EDE73" w14:textId="77777777" w:rsidR="00EE252E" w:rsidRPr="00E50548" w:rsidRDefault="00EE252E" w:rsidP="00CF3C1F">
      <w:pPr>
        <w:spacing w:before="20" w:after="20"/>
        <w:jc w:val="both"/>
        <w:rPr>
          <w:rFonts w:cs="Arial"/>
          <w:i/>
          <w:iCs/>
          <w:szCs w:val="20"/>
          <w:lang w:val="sl-SI"/>
        </w:rPr>
      </w:pPr>
    </w:p>
    <w:p w14:paraId="5178B47F"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Slovenija pozdravlja jezikovno pojasnitev določb o osnovnih snoveh, saj odprava dvoumnosti potrjuje obstoječo ureditev, po kateri osnovne snovi lahko dostopajo na trg brez nacionalne registracije. Jasnejša pravila prispevajo k večji pravni predvidljivosti za uporabnike in pristojne organe.</w:t>
      </w:r>
    </w:p>
    <w:p w14:paraId="1EB15A5C" w14:textId="77777777" w:rsidR="00EE252E" w:rsidRPr="00E50548" w:rsidRDefault="00EE252E" w:rsidP="00CF3C1F">
      <w:pPr>
        <w:spacing w:before="20" w:after="20"/>
        <w:jc w:val="both"/>
        <w:rPr>
          <w:rFonts w:cs="Arial"/>
          <w:i/>
          <w:iCs/>
          <w:szCs w:val="20"/>
          <w:lang w:val="sl-SI"/>
        </w:rPr>
      </w:pPr>
    </w:p>
    <w:p w14:paraId="14E43652"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podpira uvedbo enotnega EU-teritorialnega režima varstva podatkov za aktivno snov z enakimi roki po vsej Uniji, saj to krepi pravno varnost, zmanjšuje administrativne razlike med državami ter spodbuja enake pogoje za vse vlagatelje. Za varstvo podatkov za FFS pa naj se ohrani obstoječi nacionalni pristop, vezan na prvo registracijo FFS v državi. </w:t>
      </w:r>
    </w:p>
    <w:p w14:paraId="1204926D" w14:textId="77777777" w:rsidR="00EE252E" w:rsidRPr="00E50548" w:rsidRDefault="00EE252E" w:rsidP="00CF3C1F">
      <w:pPr>
        <w:spacing w:before="20" w:after="20"/>
        <w:jc w:val="both"/>
        <w:rPr>
          <w:rFonts w:cs="Arial"/>
          <w:i/>
          <w:iCs/>
          <w:szCs w:val="20"/>
          <w:lang w:val="sl-SI"/>
        </w:rPr>
      </w:pPr>
    </w:p>
    <w:p w14:paraId="547220A2"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Sprememba Uredbe (ES) št. 396/2005 o maksimalnih dovoljenih količinah (ang. </w:t>
      </w:r>
      <w:proofErr w:type="spellStart"/>
      <w:r w:rsidRPr="00E50548">
        <w:rPr>
          <w:rFonts w:cs="Arial"/>
          <w:i/>
          <w:iCs/>
          <w:szCs w:val="20"/>
          <w:lang w:val="sl-SI"/>
        </w:rPr>
        <w:t>Maximum</w:t>
      </w:r>
      <w:proofErr w:type="spellEnd"/>
      <w:r w:rsidRPr="00E50548">
        <w:rPr>
          <w:rFonts w:cs="Arial"/>
          <w:i/>
          <w:iCs/>
          <w:szCs w:val="20"/>
          <w:lang w:val="sl-SI"/>
        </w:rPr>
        <w:t xml:space="preserve"> </w:t>
      </w:r>
      <w:proofErr w:type="spellStart"/>
      <w:r w:rsidRPr="00E50548">
        <w:rPr>
          <w:rFonts w:cs="Arial"/>
          <w:i/>
          <w:iCs/>
          <w:szCs w:val="20"/>
          <w:lang w:val="sl-SI"/>
        </w:rPr>
        <w:t>residues</w:t>
      </w:r>
      <w:proofErr w:type="spellEnd"/>
      <w:r w:rsidRPr="00E50548">
        <w:rPr>
          <w:rFonts w:cs="Arial"/>
          <w:i/>
          <w:iCs/>
          <w:szCs w:val="20"/>
          <w:lang w:val="sl-SI"/>
        </w:rPr>
        <w:t xml:space="preserve"> </w:t>
      </w:r>
      <w:proofErr w:type="spellStart"/>
      <w:r w:rsidRPr="00E50548">
        <w:rPr>
          <w:rFonts w:cs="Arial"/>
          <w:i/>
          <w:iCs/>
          <w:szCs w:val="20"/>
          <w:lang w:val="sl-SI"/>
        </w:rPr>
        <w:t>levels</w:t>
      </w:r>
      <w:proofErr w:type="spellEnd"/>
      <w:r w:rsidRPr="00E50548">
        <w:rPr>
          <w:rFonts w:cs="Arial"/>
          <w:i/>
          <w:iCs/>
          <w:szCs w:val="20"/>
          <w:lang w:val="sl-SI"/>
        </w:rPr>
        <w:t xml:space="preserve"> – MRL) ostankov pesticidov v ali na živilih in krmi</w:t>
      </w:r>
    </w:p>
    <w:p w14:paraId="395ADA2B" w14:textId="77777777" w:rsidR="00EE252E" w:rsidRPr="00E50548" w:rsidRDefault="00EE252E" w:rsidP="00CF3C1F">
      <w:pPr>
        <w:spacing w:before="20" w:after="20"/>
        <w:jc w:val="both"/>
        <w:rPr>
          <w:rFonts w:cs="Arial"/>
          <w:i/>
          <w:iCs/>
          <w:szCs w:val="20"/>
          <w:lang w:val="sl-SI"/>
        </w:rPr>
      </w:pPr>
    </w:p>
    <w:p w14:paraId="6D706C00"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Uvede se načelo, da za aktivne snovi, ki ne izpolnjujejo najstrožjih nevarnostnih meril iz priloge II uredbe 1107/2009 (npr. kancerogene, mutagene ali reproduktivno toksične snovi, endokrini motilci), ni mogoče določiti največje dovoljene količine ostankov pesticidov (ang. </w:t>
      </w:r>
      <w:proofErr w:type="spellStart"/>
      <w:r w:rsidRPr="00E50548">
        <w:rPr>
          <w:rFonts w:cs="Arial"/>
          <w:i/>
          <w:iCs/>
          <w:szCs w:val="20"/>
          <w:lang w:val="sl-SI"/>
        </w:rPr>
        <w:t>Maximum</w:t>
      </w:r>
      <w:proofErr w:type="spellEnd"/>
      <w:r w:rsidRPr="00E50548">
        <w:rPr>
          <w:rFonts w:cs="Arial"/>
          <w:i/>
          <w:iCs/>
          <w:szCs w:val="20"/>
          <w:lang w:val="sl-SI"/>
        </w:rPr>
        <w:t xml:space="preserve"> </w:t>
      </w:r>
      <w:proofErr w:type="spellStart"/>
      <w:r w:rsidRPr="00E50548">
        <w:rPr>
          <w:rFonts w:cs="Arial"/>
          <w:i/>
          <w:iCs/>
          <w:szCs w:val="20"/>
          <w:lang w:val="sl-SI"/>
        </w:rPr>
        <w:t>Residue</w:t>
      </w:r>
      <w:proofErr w:type="spellEnd"/>
      <w:r w:rsidRPr="00E50548">
        <w:rPr>
          <w:rFonts w:cs="Arial"/>
          <w:i/>
          <w:iCs/>
          <w:szCs w:val="20"/>
          <w:lang w:val="sl-SI"/>
        </w:rPr>
        <w:t xml:space="preserve"> </w:t>
      </w:r>
      <w:proofErr w:type="spellStart"/>
      <w:r w:rsidRPr="00E50548">
        <w:rPr>
          <w:rFonts w:cs="Arial"/>
          <w:i/>
          <w:iCs/>
          <w:szCs w:val="20"/>
          <w:lang w:val="sl-SI"/>
        </w:rPr>
        <w:t>Level</w:t>
      </w:r>
      <w:proofErr w:type="spellEnd"/>
      <w:r w:rsidRPr="00E50548">
        <w:rPr>
          <w:rFonts w:cs="Arial"/>
          <w:i/>
          <w:iCs/>
          <w:szCs w:val="20"/>
          <w:lang w:val="sl-SI"/>
        </w:rPr>
        <w:t xml:space="preserve"> – MRL) na podlagi dobre kmetijske prakse (ang. </w:t>
      </w:r>
      <w:proofErr w:type="spellStart"/>
      <w:r w:rsidRPr="00E50548">
        <w:rPr>
          <w:rFonts w:cs="Arial"/>
          <w:i/>
          <w:iCs/>
          <w:szCs w:val="20"/>
          <w:lang w:val="sl-SI"/>
        </w:rPr>
        <w:t>Good</w:t>
      </w:r>
      <w:proofErr w:type="spellEnd"/>
      <w:r w:rsidRPr="00E50548">
        <w:rPr>
          <w:rFonts w:cs="Arial"/>
          <w:i/>
          <w:iCs/>
          <w:szCs w:val="20"/>
          <w:lang w:val="sl-SI"/>
        </w:rPr>
        <w:t xml:space="preserve"> </w:t>
      </w:r>
      <w:proofErr w:type="spellStart"/>
      <w:r w:rsidRPr="00E50548">
        <w:rPr>
          <w:rFonts w:cs="Arial"/>
          <w:i/>
          <w:iCs/>
          <w:szCs w:val="20"/>
          <w:lang w:val="sl-SI"/>
        </w:rPr>
        <w:t>Agricultural</w:t>
      </w:r>
      <w:proofErr w:type="spellEnd"/>
      <w:r w:rsidRPr="00E50548">
        <w:rPr>
          <w:rFonts w:cs="Arial"/>
          <w:i/>
          <w:iCs/>
          <w:szCs w:val="20"/>
          <w:lang w:val="sl-SI"/>
        </w:rPr>
        <w:t xml:space="preserve"> </w:t>
      </w:r>
      <w:proofErr w:type="spellStart"/>
      <w:r w:rsidRPr="00E50548">
        <w:rPr>
          <w:rFonts w:cs="Arial"/>
          <w:i/>
          <w:iCs/>
          <w:szCs w:val="20"/>
          <w:lang w:val="sl-SI"/>
        </w:rPr>
        <w:t>Practice</w:t>
      </w:r>
      <w:proofErr w:type="spellEnd"/>
      <w:r w:rsidRPr="00E50548">
        <w:rPr>
          <w:rFonts w:cs="Arial"/>
          <w:i/>
          <w:iCs/>
          <w:szCs w:val="20"/>
          <w:lang w:val="sl-SI"/>
        </w:rPr>
        <w:t xml:space="preserve"> – GAP) v tretjih državah ali </w:t>
      </w:r>
      <w:proofErr w:type="spellStart"/>
      <w:r w:rsidRPr="00E50548">
        <w:rPr>
          <w:rFonts w:cs="Arial"/>
          <w:i/>
          <w:iCs/>
          <w:szCs w:val="20"/>
          <w:lang w:val="sl-SI"/>
        </w:rPr>
        <w:t>Codex</w:t>
      </w:r>
      <w:proofErr w:type="spellEnd"/>
      <w:r w:rsidRPr="00E50548">
        <w:rPr>
          <w:rFonts w:cs="Arial"/>
          <w:i/>
          <w:iCs/>
          <w:szCs w:val="20"/>
          <w:lang w:val="sl-SI"/>
        </w:rPr>
        <w:t xml:space="preserve">. MRL se tako nastavi na mejo kvantifikacije (ang. Limit </w:t>
      </w:r>
      <w:proofErr w:type="spellStart"/>
      <w:r w:rsidRPr="00E50548">
        <w:rPr>
          <w:rFonts w:cs="Arial"/>
          <w:i/>
          <w:iCs/>
          <w:szCs w:val="20"/>
          <w:lang w:val="sl-SI"/>
        </w:rPr>
        <w:t>of</w:t>
      </w:r>
      <w:proofErr w:type="spellEnd"/>
      <w:r w:rsidRPr="00E50548">
        <w:rPr>
          <w:rFonts w:cs="Arial"/>
          <w:i/>
          <w:iCs/>
          <w:szCs w:val="20"/>
          <w:lang w:val="sl-SI"/>
        </w:rPr>
        <w:t xml:space="preserve"> </w:t>
      </w:r>
      <w:proofErr w:type="spellStart"/>
      <w:r w:rsidRPr="00E50548">
        <w:rPr>
          <w:rFonts w:cs="Arial"/>
          <w:i/>
          <w:iCs/>
          <w:szCs w:val="20"/>
          <w:lang w:val="sl-SI"/>
        </w:rPr>
        <w:t>Quantification</w:t>
      </w:r>
      <w:proofErr w:type="spellEnd"/>
      <w:r w:rsidRPr="00E50548">
        <w:rPr>
          <w:rFonts w:cs="Arial"/>
          <w:i/>
          <w:iCs/>
          <w:szCs w:val="20"/>
          <w:lang w:val="sl-SI"/>
        </w:rPr>
        <w:t>)- LOQ).</w:t>
      </w:r>
    </w:p>
    <w:p w14:paraId="0CEC27AD"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lastRenderedPageBreak/>
        <w:t>Definicija GAP se eksplicitno razširi na prakse v tretjih državah; termin »import tolerance« se odstrani.</w:t>
      </w:r>
    </w:p>
    <w:p w14:paraId="5ABACC12" w14:textId="77777777" w:rsidR="00EE252E" w:rsidRPr="00E50548" w:rsidRDefault="00EE252E" w:rsidP="00CF3C1F">
      <w:pPr>
        <w:spacing w:before="20" w:after="20"/>
        <w:jc w:val="both"/>
        <w:rPr>
          <w:rFonts w:cs="Arial"/>
          <w:i/>
          <w:iCs/>
          <w:szCs w:val="20"/>
          <w:lang w:val="sl-SI"/>
        </w:rPr>
      </w:pPr>
    </w:p>
    <w:p w14:paraId="4B33BF88"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Ob znižanju MRL se lahko določi prehodno obdobje za zakonito proizvedene/uvožene proizvode, če je varnost zagotovljena; dokazno breme nosi živilski subjekt.</w:t>
      </w:r>
    </w:p>
    <w:p w14:paraId="1B479AF3"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MRL, določeni na podlagi monitoring podatkov za trajne </w:t>
      </w:r>
      <w:proofErr w:type="spellStart"/>
      <w:r w:rsidRPr="00E50548">
        <w:rPr>
          <w:rFonts w:cs="Arial"/>
          <w:i/>
          <w:iCs/>
          <w:szCs w:val="20"/>
          <w:lang w:val="sl-SI"/>
        </w:rPr>
        <w:t>kontaminante</w:t>
      </w:r>
      <w:proofErr w:type="spellEnd"/>
      <w:r w:rsidRPr="00E50548">
        <w:rPr>
          <w:rFonts w:cs="Arial"/>
          <w:i/>
          <w:iCs/>
          <w:szCs w:val="20"/>
          <w:lang w:val="sl-SI"/>
        </w:rPr>
        <w:t>, postanejo trajni (brez obveznega 10</w:t>
      </w:r>
      <w:r w:rsidRPr="00E50548">
        <w:rPr>
          <w:rFonts w:ascii="Cambria Math" w:hAnsi="Cambria Math" w:cs="Cambria Math"/>
          <w:i/>
          <w:iCs/>
          <w:szCs w:val="20"/>
          <w:lang w:val="sl-SI"/>
        </w:rPr>
        <w:t>‑</w:t>
      </w:r>
      <w:r w:rsidRPr="00E50548">
        <w:rPr>
          <w:rFonts w:cs="Arial"/>
          <w:i/>
          <w:iCs/>
          <w:szCs w:val="20"/>
          <w:lang w:val="sl-SI"/>
        </w:rPr>
        <w:t xml:space="preserve">letnega pregleda), a ostajajo </w:t>
      </w:r>
      <w:proofErr w:type="spellStart"/>
      <w:r w:rsidRPr="00E50548">
        <w:rPr>
          <w:rFonts w:cs="Arial"/>
          <w:i/>
          <w:iCs/>
          <w:szCs w:val="20"/>
          <w:lang w:val="sl-SI"/>
        </w:rPr>
        <w:t>revidibilni</w:t>
      </w:r>
      <w:proofErr w:type="spellEnd"/>
      <w:r w:rsidRPr="00E50548">
        <w:rPr>
          <w:rFonts w:cs="Arial"/>
          <w:i/>
          <w:iCs/>
          <w:szCs w:val="20"/>
          <w:lang w:val="sl-SI"/>
        </w:rPr>
        <w:t xml:space="preserve"> ob novem znanju.</w:t>
      </w:r>
    </w:p>
    <w:p w14:paraId="25102E40" w14:textId="77777777" w:rsidR="00EE252E" w:rsidRPr="00E50548" w:rsidRDefault="00EE252E" w:rsidP="00CF3C1F">
      <w:pPr>
        <w:spacing w:before="20" w:after="20"/>
        <w:jc w:val="both"/>
        <w:rPr>
          <w:rFonts w:cs="Arial"/>
          <w:i/>
          <w:iCs/>
          <w:szCs w:val="20"/>
          <w:lang w:val="sl-SI"/>
        </w:rPr>
      </w:pPr>
    </w:p>
    <w:p w14:paraId="78CB1C25"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Termin »meja zaznave (ang. Limit </w:t>
      </w:r>
      <w:proofErr w:type="spellStart"/>
      <w:r w:rsidRPr="00E50548">
        <w:rPr>
          <w:rFonts w:cs="Arial"/>
          <w:i/>
          <w:iCs/>
          <w:szCs w:val="20"/>
          <w:lang w:val="sl-SI"/>
        </w:rPr>
        <w:t>of</w:t>
      </w:r>
      <w:proofErr w:type="spellEnd"/>
      <w:r w:rsidRPr="00E50548">
        <w:rPr>
          <w:rFonts w:cs="Arial"/>
          <w:i/>
          <w:iCs/>
          <w:szCs w:val="20"/>
          <w:lang w:val="sl-SI"/>
        </w:rPr>
        <w:t xml:space="preserve"> </w:t>
      </w:r>
      <w:proofErr w:type="spellStart"/>
      <w:r w:rsidRPr="00E50548">
        <w:rPr>
          <w:rFonts w:cs="Arial"/>
          <w:i/>
          <w:iCs/>
          <w:szCs w:val="20"/>
          <w:lang w:val="sl-SI"/>
        </w:rPr>
        <w:t>Detection</w:t>
      </w:r>
      <w:proofErr w:type="spellEnd"/>
      <w:r w:rsidRPr="00E50548">
        <w:rPr>
          <w:rFonts w:cs="Arial"/>
          <w:i/>
          <w:iCs/>
          <w:szCs w:val="20"/>
          <w:lang w:val="sl-SI"/>
        </w:rPr>
        <w:t xml:space="preserve"> – LOD) se povsod nadomesti z mejo kvantifikacije (ang. Limit </w:t>
      </w:r>
      <w:proofErr w:type="spellStart"/>
      <w:r w:rsidRPr="00E50548">
        <w:rPr>
          <w:rFonts w:cs="Arial"/>
          <w:i/>
          <w:iCs/>
          <w:szCs w:val="20"/>
          <w:lang w:val="sl-SI"/>
        </w:rPr>
        <w:t>of</w:t>
      </w:r>
      <w:proofErr w:type="spellEnd"/>
      <w:r w:rsidRPr="00E50548">
        <w:rPr>
          <w:rFonts w:cs="Arial"/>
          <w:i/>
          <w:iCs/>
          <w:szCs w:val="20"/>
          <w:lang w:val="sl-SI"/>
        </w:rPr>
        <w:t xml:space="preserve"> </w:t>
      </w:r>
      <w:proofErr w:type="spellStart"/>
      <w:r w:rsidRPr="00E50548">
        <w:rPr>
          <w:rFonts w:cs="Arial"/>
          <w:i/>
          <w:iCs/>
          <w:szCs w:val="20"/>
          <w:lang w:val="sl-SI"/>
        </w:rPr>
        <w:t>Quantification</w:t>
      </w:r>
      <w:proofErr w:type="spellEnd"/>
      <w:r w:rsidRPr="00E50548">
        <w:rPr>
          <w:rFonts w:cs="Arial"/>
          <w:i/>
          <w:iCs/>
          <w:szCs w:val="20"/>
          <w:lang w:val="sl-SI"/>
        </w:rPr>
        <w:t>)- LOQ).</w:t>
      </w:r>
    </w:p>
    <w:p w14:paraId="2303C1E9" w14:textId="77777777" w:rsidR="00EE252E" w:rsidRPr="00E50548" w:rsidRDefault="00EE252E" w:rsidP="00CF3C1F">
      <w:pPr>
        <w:spacing w:before="20" w:after="20"/>
        <w:jc w:val="both"/>
        <w:rPr>
          <w:rFonts w:cs="Arial"/>
          <w:i/>
          <w:iCs/>
          <w:szCs w:val="20"/>
          <w:lang w:val="sl-SI"/>
        </w:rPr>
      </w:pPr>
    </w:p>
    <w:p w14:paraId="6232D4E5"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 Slovenija v načelu podpira predlagane spremembe, saj so usmerjene v večjo skladnost z Uredbo 1107/2009, uvajajo večjo jasnost z namenom varovanja zdravja ljudi in okolja ter jasnejšo obravnavo najnevarnejših aktivnih snovi (npr. snovi, ki izpolnjujejo izključitvene kriterije po Prilogi II Uredbe 1107/2009). Slovenija podpira določanje MRL na ravni LOQ za aktivne snovi, ki ne izpolnjujejo nevarnostnih meril, ter prehodne ukrepe za preprečevanje ekonomskih izgub in zmanjšanje odpadne hrane, ob pogoju, da varnost potrošnikov ni ogrožena.</w:t>
      </w:r>
    </w:p>
    <w:p w14:paraId="531E3972" w14:textId="77777777" w:rsidR="00EE252E" w:rsidRPr="00E50548" w:rsidRDefault="00EE252E" w:rsidP="00CF3C1F">
      <w:pPr>
        <w:spacing w:before="20" w:after="20"/>
        <w:jc w:val="both"/>
        <w:rPr>
          <w:rFonts w:cs="Arial"/>
          <w:i/>
          <w:iCs/>
          <w:szCs w:val="20"/>
          <w:lang w:val="sl-SI"/>
        </w:rPr>
      </w:pPr>
    </w:p>
    <w:p w14:paraId="498EA59A"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Slovenija pozdravlja tudi uskladitev terminologije (LOD → LOQ) ter spremembe členov 3, 6, 10, 14, 16, 18 in 43. Pri tem pa je za Slovenijo ključno, da se uvozne tolerance (MRL na podlagi GAP tretjih držav) ne določajo za aktivne snovi, ki v EU niso odobrene v skladu z Uredbo 1107/2009 zaradi tveganj za zdravje ljudi ali okolje. Slovenija se je že doslej zavzemala za strožje ravnanje, kot ga predlagana sprememba izrecno določa samo za snovi, ki izpolnjujejo izključitvene kriterije iz Priloge II Uredbe 1107/2009.</w:t>
      </w:r>
    </w:p>
    <w:p w14:paraId="0073E0F6" w14:textId="77777777" w:rsidR="00EE252E" w:rsidRPr="00E50548" w:rsidRDefault="00EE252E" w:rsidP="00CF3C1F">
      <w:pPr>
        <w:spacing w:before="20" w:after="20"/>
        <w:jc w:val="both"/>
        <w:rPr>
          <w:rFonts w:cs="Arial"/>
          <w:i/>
          <w:iCs/>
          <w:szCs w:val="20"/>
          <w:lang w:val="sl-SI"/>
        </w:rPr>
      </w:pPr>
    </w:p>
    <w:p w14:paraId="7889F2F0"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Slovenija izpostavlja, da predlog sprememb ureja samo primere, ko snov izpolnjuje izključitvene kriterije (CMR 1A/1B, ED, PBT ipd.), medtem ko v praksi obstaja širši nabor aktivnih snovi, ki v EU niso bile odobrene zaradi nesprejemljivega tveganja, čeprav formalno ne padejo pod izključitvene kriterije. Slovenija meni, da bi bilo z vidika varovanja zdravja ljudi in okolja ter doslednosti sistema potrebno razmisliti, da se ta okvir razširi.</w:t>
      </w:r>
    </w:p>
    <w:p w14:paraId="5F39DC85" w14:textId="77777777" w:rsidR="00EE252E" w:rsidRPr="00E50548" w:rsidRDefault="00EE252E" w:rsidP="00CF3C1F">
      <w:pPr>
        <w:spacing w:before="20" w:after="20"/>
        <w:jc w:val="both"/>
        <w:rPr>
          <w:rFonts w:cs="Arial"/>
          <w:i/>
          <w:iCs/>
          <w:szCs w:val="20"/>
          <w:lang w:val="sl-SI"/>
        </w:rPr>
      </w:pPr>
    </w:p>
    <w:p w14:paraId="49CDBEF2" w14:textId="77777777" w:rsidR="00EE252E" w:rsidRPr="00E50548" w:rsidRDefault="00EE252E" w:rsidP="00CF3C1F">
      <w:pPr>
        <w:spacing w:before="20" w:after="20"/>
        <w:jc w:val="both"/>
        <w:rPr>
          <w:rFonts w:cs="Arial"/>
          <w:i/>
          <w:iCs/>
          <w:szCs w:val="20"/>
          <w:u w:val="single"/>
          <w:lang w:val="sl-SI"/>
        </w:rPr>
      </w:pPr>
      <w:r w:rsidRPr="00E50548">
        <w:rPr>
          <w:rFonts w:cs="Arial"/>
          <w:i/>
          <w:iCs/>
          <w:szCs w:val="20"/>
          <w:u w:val="single"/>
          <w:lang w:val="sl-SI"/>
        </w:rPr>
        <w:t xml:space="preserve">Sprememba Uredbe (EU) št. 528/2012 o dajanju v promet </w:t>
      </w:r>
      <w:proofErr w:type="spellStart"/>
      <w:r w:rsidRPr="00E50548">
        <w:rPr>
          <w:rFonts w:cs="Arial"/>
          <w:i/>
          <w:iCs/>
          <w:szCs w:val="20"/>
          <w:u w:val="single"/>
          <w:lang w:val="sl-SI"/>
        </w:rPr>
        <w:t>biocidnih</w:t>
      </w:r>
      <w:proofErr w:type="spellEnd"/>
      <w:r w:rsidRPr="00E50548">
        <w:rPr>
          <w:rFonts w:cs="Arial"/>
          <w:i/>
          <w:iCs/>
          <w:szCs w:val="20"/>
          <w:u w:val="single"/>
          <w:lang w:val="sl-SI"/>
        </w:rPr>
        <w:t xml:space="preserve"> proizvodov</w:t>
      </w:r>
    </w:p>
    <w:p w14:paraId="75232194" w14:textId="77777777" w:rsidR="00EE252E" w:rsidRPr="00E50548" w:rsidRDefault="00EE252E" w:rsidP="00CF3C1F">
      <w:pPr>
        <w:spacing w:before="20" w:after="20"/>
        <w:jc w:val="both"/>
        <w:rPr>
          <w:rFonts w:cs="Arial"/>
          <w:i/>
          <w:iCs/>
          <w:szCs w:val="20"/>
          <w:lang w:val="sl-SI"/>
        </w:rPr>
      </w:pPr>
    </w:p>
    <w:p w14:paraId="5FCC1889"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Predlaga se, da odobritve </w:t>
      </w:r>
      <w:proofErr w:type="spellStart"/>
      <w:r w:rsidRPr="00E50548">
        <w:rPr>
          <w:rFonts w:cs="Arial"/>
          <w:i/>
          <w:iCs/>
          <w:szCs w:val="20"/>
          <w:lang w:val="sl-SI"/>
        </w:rPr>
        <w:t>biocidnih</w:t>
      </w:r>
      <w:proofErr w:type="spellEnd"/>
      <w:r w:rsidRPr="00E50548">
        <w:rPr>
          <w:rFonts w:cs="Arial"/>
          <w:i/>
          <w:iCs/>
          <w:szCs w:val="20"/>
          <w:lang w:val="sl-SI"/>
        </w:rPr>
        <w:t xml:space="preserve"> aktivnih snovi postanejo časovno neomejene, razen za snovi z izključitvenimi ali substitucijskimi kriteriji oziroma tam, kjer ocena tveganja določa rok. Pri tem lahko Evropska komisija periodično izbere snovi za polno obnovo po tvegano</w:t>
      </w:r>
      <w:r w:rsidRPr="00E50548">
        <w:rPr>
          <w:rFonts w:ascii="Cambria Math" w:hAnsi="Cambria Math" w:cs="Cambria Math"/>
          <w:i/>
          <w:iCs/>
          <w:szCs w:val="20"/>
          <w:lang w:val="sl-SI"/>
        </w:rPr>
        <w:t>‑</w:t>
      </w:r>
      <w:r w:rsidRPr="00E50548">
        <w:rPr>
          <w:rFonts w:cs="Arial"/>
          <w:i/>
          <w:iCs/>
          <w:szCs w:val="20"/>
          <w:lang w:val="sl-SI"/>
        </w:rPr>
        <w:t>usmerjenem pristopu.</w:t>
      </w:r>
    </w:p>
    <w:p w14:paraId="33D61DA8" w14:textId="77777777" w:rsidR="00EE252E" w:rsidRPr="00E50548" w:rsidRDefault="00EE252E" w:rsidP="00CF3C1F">
      <w:pPr>
        <w:spacing w:before="20" w:after="20"/>
        <w:jc w:val="both"/>
        <w:rPr>
          <w:rFonts w:cs="Arial"/>
          <w:i/>
          <w:iCs/>
          <w:szCs w:val="20"/>
          <w:lang w:val="sl-SI"/>
        </w:rPr>
      </w:pPr>
    </w:p>
    <w:p w14:paraId="383C805C"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Odločitve o odobritvi na ravni Unije »Union </w:t>
      </w:r>
      <w:proofErr w:type="spellStart"/>
      <w:r w:rsidRPr="00E50548">
        <w:rPr>
          <w:rFonts w:cs="Arial"/>
          <w:i/>
          <w:iCs/>
          <w:szCs w:val="20"/>
          <w:lang w:val="sl-SI"/>
        </w:rPr>
        <w:t>authorisation</w:t>
      </w:r>
      <w:proofErr w:type="spellEnd"/>
      <w:r w:rsidRPr="00E50548">
        <w:rPr>
          <w:rFonts w:cs="Arial"/>
          <w:i/>
          <w:iCs/>
          <w:szCs w:val="20"/>
          <w:lang w:val="sl-SI"/>
        </w:rPr>
        <w:t xml:space="preserve">« se bodo </w:t>
      </w:r>
      <w:proofErr w:type="spellStart"/>
      <w:r w:rsidRPr="00E50548">
        <w:rPr>
          <w:rFonts w:cs="Arial"/>
          <w:i/>
          <w:iCs/>
          <w:szCs w:val="20"/>
          <w:lang w:val="sl-SI"/>
        </w:rPr>
        <w:t>poo</w:t>
      </w:r>
      <w:proofErr w:type="spellEnd"/>
      <w:r w:rsidRPr="00E50548">
        <w:rPr>
          <w:rFonts w:cs="Arial"/>
          <w:i/>
          <w:iCs/>
          <w:szCs w:val="20"/>
          <w:lang w:val="sl-SI"/>
        </w:rPr>
        <w:t xml:space="preserve"> novem sprejemale kot implementacijske odločbe, poslane vlagatelju, medtem ko bo v Uradnem listu objavljen le povzetek. To prispeva k skrajšanju rokov zaradi prevodov in formalnih objav.</w:t>
      </w:r>
    </w:p>
    <w:p w14:paraId="04152A75" w14:textId="77777777" w:rsidR="00EE252E" w:rsidRPr="00E50548" w:rsidRDefault="00EE252E" w:rsidP="00CF3C1F">
      <w:pPr>
        <w:spacing w:before="20" w:after="20"/>
        <w:jc w:val="both"/>
        <w:rPr>
          <w:rFonts w:cs="Arial"/>
          <w:i/>
          <w:iCs/>
          <w:szCs w:val="20"/>
          <w:lang w:val="sl-SI"/>
        </w:rPr>
      </w:pPr>
    </w:p>
    <w:p w14:paraId="3B0A8699"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Predvidene so prehodne ureditve za tekoče obnove in obstoječe odobritve.</w:t>
      </w:r>
    </w:p>
    <w:p w14:paraId="1DDA68FC" w14:textId="77777777" w:rsidR="00EE252E" w:rsidRPr="00E50548" w:rsidRDefault="00EE252E" w:rsidP="00CF3C1F">
      <w:pPr>
        <w:spacing w:before="20" w:after="20"/>
        <w:jc w:val="both"/>
        <w:rPr>
          <w:rFonts w:cs="Arial"/>
          <w:i/>
          <w:iCs/>
          <w:szCs w:val="20"/>
          <w:lang w:val="sl-SI"/>
        </w:rPr>
      </w:pPr>
    </w:p>
    <w:p w14:paraId="5EFA575F"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Opredelitev: Slovenija ocenjuje predloge kot korak v pravo smer, saj predstavljajo poenostavitev in zmanjšanje administrativnega bremena. Ob tem je ključnega pomena, da se ohrani varnost zdravja ljudi, živali in okolja. Zato je treba jasno opredeliti pogoje, ki bodo omogočali periodični izbor snovi za popolno obravnavo. Slovenija še posebej pozdravlja predlog spremembe pri postopkih avtorizacije na ravni Unije, s katero bi se vsebina »povzetka značilnosti izdelka« (ang. </w:t>
      </w:r>
      <w:proofErr w:type="spellStart"/>
      <w:r w:rsidRPr="00E50548">
        <w:rPr>
          <w:rFonts w:cs="Arial"/>
          <w:i/>
          <w:iCs/>
          <w:szCs w:val="20"/>
          <w:lang w:val="sl-SI"/>
        </w:rPr>
        <w:t>Summary</w:t>
      </w:r>
      <w:proofErr w:type="spellEnd"/>
      <w:r w:rsidRPr="00E50548">
        <w:rPr>
          <w:rFonts w:cs="Arial"/>
          <w:i/>
          <w:iCs/>
          <w:szCs w:val="20"/>
          <w:lang w:val="sl-SI"/>
        </w:rPr>
        <w:t xml:space="preserve"> </w:t>
      </w:r>
      <w:proofErr w:type="spellStart"/>
      <w:r w:rsidRPr="00E50548">
        <w:rPr>
          <w:rFonts w:cs="Arial"/>
          <w:i/>
          <w:iCs/>
          <w:szCs w:val="20"/>
          <w:lang w:val="sl-SI"/>
        </w:rPr>
        <w:t>of</w:t>
      </w:r>
      <w:proofErr w:type="spellEnd"/>
      <w:r w:rsidRPr="00E50548">
        <w:rPr>
          <w:rFonts w:cs="Arial"/>
          <w:i/>
          <w:iCs/>
          <w:szCs w:val="20"/>
          <w:lang w:val="sl-SI"/>
        </w:rPr>
        <w:t xml:space="preserve"> </w:t>
      </w:r>
      <w:proofErr w:type="spellStart"/>
      <w:r w:rsidRPr="00E50548">
        <w:rPr>
          <w:rFonts w:cs="Arial"/>
          <w:i/>
          <w:iCs/>
          <w:szCs w:val="20"/>
          <w:lang w:val="sl-SI"/>
        </w:rPr>
        <w:t>Product</w:t>
      </w:r>
      <w:proofErr w:type="spellEnd"/>
      <w:r w:rsidRPr="00E50548">
        <w:rPr>
          <w:rFonts w:cs="Arial"/>
          <w:i/>
          <w:iCs/>
          <w:szCs w:val="20"/>
          <w:lang w:val="sl-SI"/>
        </w:rPr>
        <w:t xml:space="preserve"> </w:t>
      </w:r>
      <w:proofErr w:type="spellStart"/>
      <w:r w:rsidRPr="00E50548">
        <w:rPr>
          <w:rFonts w:cs="Arial"/>
          <w:i/>
          <w:iCs/>
          <w:szCs w:val="20"/>
          <w:lang w:val="sl-SI"/>
        </w:rPr>
        <w:t>Characteristics</w:t>
      </w:r>
      <w:proofErr w:type="spellEnd"/>
      <w:r w:rsidRPr="00E50548">
        <w:rPr>
          <w:rFonts w:cs="Arial"/>
          <w:i/>
          <w:iCs/>
          <w:szCs w:val="20"/>
          <w:lang w:val="sl-SI"/>
        </w:rPr>
        <w:t xml:space="preserve"> – SPC) izključila iz izvedbenega akta. </w:t>
      </w:r>
    </w:p>
    <w:p w14:paraId="44F6D0D2" w14:textId="77777777" w:rsidR="00EE252E" w:rsidRPr="00E50548" w:rsidRDefault="00EE252E" w:rsidP="00CF3C1F">
      <w:pPr>
        <w:spacing w:before="20" w:after="20"/>
        <w:jc w:val="both"/>
        <w:rPr>
          <w:rFonts w:cs="Arial"/>
          <w:i/>
          <w:iCs/>
          <w:szCs w:val="20"/>
          <w:lang w:val="sl-SI"/>
        </w:rPr>
      </w:pPr>
    </w:p>
    <w:p w14:paraId="4BB5E50D"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Slovenija opozarja na potrebo po opredelitvi prehodnega obdobja, saj je to ključno za pravno varnost že začetih postopkov. Potrebni so ustrezni prehodni ukrepi, ki bodo zagotovili kontinuiteto in jasno opredeljene pogoje. </w:t>
      </w:r>
    </w:p>
    <w:p w14:paraId="1C20F89E" w14:textId="77777777" w:rsidR="00EE252E" w:rsidRPr="00E50548" w:rsidRDefault="00EE252E" w:rsidP="00CF3C1F">
      <w:pPr>
        <w:spacing w:before="20" w:after="20"/>
        <w:jc w:val="both"/>
        <w:rPr>
          <w:rFonts w:cs="Arial"/>
          <w:i/>
          <w:iCs/>
          <w:szCs w:val="20"/>
          <w:lang w:val="sl-SI"/>
        </w:rPr>
      </w:pPr>
    </w:p>
    <w:p w14:paraId="37EE9785" w14:textId="77777777" w:rsidR="00E50548" w:rsidRDefault="00E50548" w:rsidP="00CF3C1F">
      <w:pPr>
        <w:spacing w:before="20" w:after="20"/>
        <w:jc w:val="both"/>
        <w:rPr>
          <w:rFonts w:cs="Arial"/>
          <w:i/>
          <w:iCs/>
          <w:szCs w:val="20"/>
          <w:u w:val="single"/>
          <w:lang w:val="sl-SI"/>
        </w:rPr>
      </w:pPr>
    </w:p>
    <w:p w14:paraId="5737A627" w14:textId="77777777" w:rsidR="00EE252E" w:rsidRPr="00E50548" w:rsidRDefault="00EE252E" w:rsidP="00CF3C1F">
      <w:pPr>
        <w:spacing w:before="20" w:after="20"/>
        <w:jc w:val="both"/>
        <w:rPr>
          <w:rFonts w:cs="Arial"/>
          <w:i/>
          <w:iCs/>
          <w:szCs w:val="20"/>
          <w:u w:val="single"/>
          <w:lang w:val="sl-SI"/>
        </w:rPr>
      </w:pPr>
      <w:r w:rsidRPr="00E50548">
        <w:rPr>
          <w:rFonts w:cs="Arial"/>
          <w:i/>
          <w:iCs/>
          <w:szCs w:val="20"/>
          <w:u w:val="single"/>
          <w:lang w:val="sl-SI"/>
        </w:rPr>
        <w:t xml:space="preserve">Sprememba Uredbe (ES) št. 1829/2003 o gensko spremenjenih živilih in krmi </w:t>
      </w:r>
    </w:p>
    <w:p w14:paraId="0CEE0209" w14:textId="77777777" w:rsidR="00EE252E" w:rsidRPr="00E50548" w:rsidRDefault="00EE252E" w:rsidP="00CF3C1F">
      <w:pPr>
        <w:spacing w:before="20" w:after="20"/>
        <w:jc w:val="both"/>
        <w:rPr>
          <w:rFonts w:cs="Arial"/>
          <w:i/>
          <w:iCs/>
          <w:szCs w:val="20"/>
          <w:lang w:val="sl-SI"/>
        </w:rPr>
      </w:pPr>
    </w:p>
    <w:p w14:paraId="21D0BAE9"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Predlaga se, da se fermentacijski proizvodi, kjer se gensko spremenjeni mikroorganizmi (GSM) uporabljajo kot proizvodni sev, ne štejejo za hrano/krmo, proizvedeno iz gensko spremenjenega organizma, če v končnem proizvodu ni živih celic GSM in je morebitna </w:t>
      </w:r>
      <w:proofErr w:type="spellStart"/>
      <w:r w:rsidRPr="00E50548">
        <w:rPr>
          <w:rFonts w:cs="Arial"/>
          <w:i/>
          <w:iCs/>
          <w:szCs w:val="20"/>
          <w:lang w:val="sl-SI"/>
        </w:rPr>
        <w:t>rekombinantna</w:t>
      </w:r>
      <w:proofErr w:type="spellEnd"/>
      <w:r w:rsidRPr="00E50548">
        <w:rPr>
          <w:rFonts w:cs="Arial"/>
          <w:i/>
          <w:iCs/>
          <w:szCs w:val="20"/>
          <w:lang w:val="sl-SI"/>
        </w:rPr>
        <w:t xml:space="preserve"> DNA le tehnično neizogiben ostanek brez vpliva na varnost. Ukrep naj bi prinesel pravno jasnost in enotno izvrševanje.</w:t>
      </w:r>
    </w:p>
    <w:p w14:paraId="5F9F337E" w14:textId="77777777" w:rsidR="00EE252E" w:rsidRPr="00E50548" w:rsidRDefault="00EE252E" w:rsidP="00CF3C1F">
      <w:pPr>
        <w:spacing w:before="20" w:after="20"/>
        <w:jc w:val="both"/>
        <w:rPr>
          <w:rFonts w:cs="Arial"/>
          <w:i/>
          <w:iCs/>
          <w:szCs w:val="20"/>
          <w:lang w:val="sl-SI"/>
        </w:rPr>
      </w:pPr>
    </w:p>
    <w:p w14:paraId="7987411C"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 Slovenija poudarja, da mora pravni okvir EU zagotavljati, da so vsi proizvodi, ki pridejo na trg Unije, varni. Poenostavitve zakonodaje ne smejo ogroziti obstoječih standardov glede varnosti ljudi, živali in okolja.</w:t>
      </w:r>
    </w:p>
    <w:p w14:paraId="54D9D54B" w14:textId="77777777" w:rsidR="00EE252E" w:rsidRPr="00E50548" w:rsidRDefault="00EE252E" w:rsidP="00CF3C1F">
      <w:pPr>
        <w:spacing w:before="20" w:after="20"/>
        <w:jc w:val="both"/>
        <w:rPr>
          <w:rFonts w:cs="Arial"/>
          <w:i/>
          <w:iCs/>
          <w:szCs w:val="20"/>
          <w:lang w:val="sl-SI"/>
        </w:rPr>
      </w:pPr>
    </w:p>
    <w:p w14:paraId="43D87D7B" w14:textId="0F5F01ED"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Pri definiciji pomožnih tehnoloških sredstev, ki se nanaša na snovi, obstajajo dvomi, ali se gensko spremenjeni mikroorganizmi (GSM) po predlagani spremembi Uredbe 1829/2003 dejansko uvrščajo med take snovi. Slovenija meni, da bi sprememba lahko pomenila tveganje za zniževanje varnostnih standardov. Zato je nujno, da se pred uvedbo predlaganega pristopa oceni morebitno tveganje prisotnosti GSM, tudi v sledovih. </w:t>
      </w:r>
    </w:p>
    <w:p w14:paraId="6352AC5A" w14:textId="77777777" w:rsidR="00EE252E" w:rsidRPr="00E50548" w:rsidRDefault="00EE252E" w:rsidP="00CF3C1F">
      <w:pPr>
        <w:spacing w:before="20" w:after="20"/>
        <w:jc w:val="both"/>
        <w:rPr>
          <w:rFonts w:cs="Arial"/>
          <w:i/>
          <w:iCs/>
          <w:szCs w:val="20"/>
          <w:lang w:val="sl-SI"/>
        </w:rPr>
      </w:pPr>
    </w:p>
    <w:p w14:paraId="75AADC46" w14:textId="38CE02DE"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Spremembe morajo omogočati, da pristojni organi lahko izvajajo nadzor, vključno z umikom ali odpoklicem proizvodov, hkrati pa zagotavljati potrošnikom in drugim deležnikom svobodo izbire. Za učinkovit uradni nadzor nad GSM so potrebne analizne metode, harmonizirane s strani Skupnega raziskovalnega centra (ang. </w:t>
      </w:r>
      <w:proofErr w:type="spellStart"/>
      <w:r w:rsidRPr="00E50548">
        <w:rPr>
          <w:rFonts w:cs="Arial"/>
          <w:i/>
          <w:iCs/>
          <w:szCs w:val="20"/>
          <w:lang w:val="sl-SI"/>
        </w:rPr>
        <w:t>Joint</w:t>
      </w:r>
      <w:proofErr w:type="spellEnd"/>
      <w:r w:rsidRPr="00E50548">
        <w:rPr>
          <w:rFonts w:cs="Arial"/>
          <w:i/>
          <w:iCs/>
          <w:szCs w:val="20"/>
          <w:lang w:val="sl-SI"/>
        </w:rPr>
        <w:t xml:space="preserve"> </w:t>
      </w:r>
      <w:proofErr w:type="spellStart"/>
      <w:r w:rsidRPr="00E50548">
        <w:rPr>
          <w:rFonts w:cs="Arial"/>
          <w:i/>
          <w:iCs/>
          <w:szCs w:val="20"/>
          <w:lang w:val="sl-SI"/>
        </w:rPr>
        <w:t>Research</w:t>
      </w:r>
      <w:proofErr w:type="spellEnd"/>
      <w:r w:rsidRPr="00E50548">
        <w:rPr>
          <w:rFonts w:cs="Arial"/>
          <w:i/>
          <w:iCs/>
          <w:szCs w:val="20"/>
          <w:lang w:val="sl-SI"/>
        </w:rPr>
        <w:t xml:space="preserve"> Centre – JRC). Brez ustreznih </w:t>
      </w:r>
      <w:r w:rsidR="00DD0CA2">
        <w:rPr>
          <w:rFonts w:cs="Arial"/>
          <w:i/>
          <w:iCs/>
          <w:szCs w:val="20"/>
          <w:lang w:val="sl-SI"/>
        </w:rPr>
        <w:t xml:space="preserve">presoj tveganj, </w:t>
      </w:r>
      <w:r w:rsidR="00025D55">
        <w:rPr>
          <w:rFonts w:cs="Arial"/>
          <w:i/>
          <w:iCs/>
          <w:szCs w:val="20"/>
          <w:lang w:val="sl-SI"/>
        </w:rPr>
        <w:t xml:space="preserve">natančno določenih zahtev za proizvajalce </w:t>
      </w:r>
      <w:r w:rsidR="00025D55" w:rsidRPr="00E50548">
        <w:rPr>
          <w:rFonts w:cs="Arial"/>
          <w:i/>
          <w:iCs/>
          <w:szCs w:val="20"/>
          <w:lang w:val="sl-SI"/>
        </w:rPr>
        <w:t>in</w:t>
      </w:r>
      <w:r w:rsidR="00025D55">
        <w:rPr>
          <w:rFonts w:cs="Arial"/>
          <w:i/>
          <w:iCs/>
          <w:szCs w:val="20"/>
          <w:lang w:val="sl-SI"/>
        </w:rPr>
        <w:t xml:space="preserve"> analiznih </w:t>
      </w:r>
      <w:r w:rsidR="00025D55" w:rsidRPr="00E50548">
        <w:rPr>
          <w:rFonts w:cs="Arial"/>
          <w:i/>
          <w:iCs/>
          <w:szCs w:val="20"/>
          <w:lang w:val="sl-SI"/>
        </w:rPr>
        <w:t xml:space="preserve">metod </w:t>
      </w:r>
      <w:r w:rsidR="00025D55">
        <w:rPr>
          <w:rFonts w:cs="Arial"/>
          <w:i/>
          <w:iCs/>
          <w:szCs w:val="20"/>
          <w:lang w:val="sl-SI"/>
        </w:rPr>
        <w:t>smo, glede na</w:t>
      </w:r>
      <w:r w:rsidRPr="00E50548">
        <w:rPr>
          <w:rFonts w:cs="Arial"/>
          <w:i/>
          <w:iCs/>
          <w:szCs w:val="20"/>
          <w:lang w:val="sl-SI"/>
        </w:rPr>
        <w:t xml:space="preserve"> </w:t>
      </w:r>
      <w:r w:rsidR="00025D55" w:rsidRPr="00E50548">
        <w:rPr>
          <w:rFonts w:cs="Arial"/>
          <w:i/>
          <w:iCs/>
          <w:szCs w:val="20"/>
          <w:lang w:val="sl-SI"/>
        </w:rPr>
        <w:t>visok</w:t>
      </w:r>
      <w:r w:rsidR="00025D55">
        <w:rPr>
          <w:rFonts w:cs="Arial"/>
          <w:i/>
          <w:iCs/>
          <w:szCs w:val="20"/>
          <w:lang w:val="sl-SI"/>
        </w:rPr>
        <w:t>e</w:t>
      </w:r>
      <w:r w:rsidR="00025D55" w:rsidRPr="00E50548">
        <w:rPr>
          <w:rFonts w:cs="Arial"/>
          <w:i/>
          <w:iCs/>
          <w:szCs w:val="20"/>
          <w:lang w:val="sl-SI"/>
        </w:rPr>
        <w:t xml:space="preserve"> strošk</w:t>
      </w:r>
      <w:r w:rsidR="00025D55">
        <w:rPr>
          <w:rFonts w:cs="Arial"/>
          <w:i/>
          <w:iCs/>
          <w:szCs w:val="20"/>
          <w:lang w:val="sl-SI"/>
        </w:rPr>
        <w:t>e</w:t>
      </w:r>
      <w:r w:rsidR="00025D55" w:rsidRPr="00E50548">
        <w:rPr>
          <w:rFonts w:cs="Arial"/>
          <w:i/>
          <w:iCs/>
          <w:szCs w:val="20"/>
          <w:lang w:val="sl-SI"/>
        </w:rPr>
        <w:t xml:space="preserve"> </w:t>
      </w:r>
      <w:r w:rsidRPr="00E50548">
        <w:rPr>
          <w:rFonts w:cs="Arial"/>
          <w:i/>
          <w:iCs/>
          <w:szCs w:val="20"/>
          <w:lang w:val="sl-SI"/>
        </w:rPr>
        <w:t>čiščenja fermentacijskih proizvodov</w:t>
      </w:r>
      <w:r w:rsidR="00025D55">
        <w:rPr>
          <w:rFonts w:cs="Arial"/>
          <w:i/>
          <w:iCs/>
          <w:szCs w:val="20"/>
          <w:lang w:val="sl-SI"/>
        </w:rPr>
        <w:t>,</w:t>
      </w:r>
      <w:r w:rsidRPr="00E50548">
        <w:rPr>
          <w:rFonts w:cs="Arial"/>
          <w:i/>
          <w:iCs/>
          <w:szCs w:val="20"/>
          <w:lang w:val="sl-SI"/>
        </w:rPr>
        <w:t xml:space="preserve"> zaskrbljeni, </w:t>
      </w:r>
      <w:r w:rsidR="00025D55">
        <w:rPr>
          <w:rFonts w:cs="Arial"/>
          <w:i/>
          <w:iCs/>
          <w:szCs w:val="20"/>
          <w:lang w:val="sl-SI"/>
        </w:rPr>
        <w:t>glede možnih</w:t>
      </w:r>
      <w:r w:rsidRPr="00E50548">
        <w:rPr>
          <w:rFonts w:cs="Arial"/>
          <w:i/>
          <w:iCs/>
          <w:szCs w:val="20"/>
          <w:lang w:val="sl-SI"/>
        </w:rPr>
        <w:t xml:space="preserve"> </w:t>
      </w:r>
      <w:r w:rsidR="00025D55" w:rsidRPr="00E50548">
        <w:rPr>
          <w:rFonts w:cs="Arial"/>
          <w:i/>
          <w:iCs/>
          <w:szCs w:val="20"/>
          <w:lang w:val="sl-SI"/>
        </w:rPr>
        <w:t>dolgoročn</w:t>
      </w:r>
      <w:r w:rsidR="00025D55">
        <w:rPr>
          <w:rFonts w:cs="Arial"/>
          <w:i/>
          <w:iCs/>
          <w:szCs w:val="20"/>
          <w:lang w:val="sl-SI"/>
        </w:rPr>
        <w:t>ih</w:t>
      </w:r>
      <w:r w:rsidR="00025D55" w:rsidRPr="00E50548">
        <w:rPr>
          <w:rFonts w:cs="Arial"/>
          <w:i/>
          <w:iCs/>
          <w:szCs w:val="20"/>
          <w:lang w:val="sl-SI"/>
        </w:rPr>
        <w:t xml:space="preserve"> </w:t>
      </w:r>
      <w:r w:rsidRPr="00E50548">
        <w:rPr>
          <w:rFonts w:cs="Arial"/>
          <w:i/>
          <w:iCs/>
          <w:szCs w:val="20"/>
          <w:lang w:val="sl-SI"/>
        </w:rPr>
        <w:t xml:space="preserve">posledic za varnost hrane in krme, še posebej glede prisotnosti genov za antimikrobno odpornost (ang. </w:t>
      </w:r>
      <w:proofErr w:type="spellStart"/>
      <w:r w:rsidRPr="00E50548">
        <w:rPr>
          <w:rFonts w:cs="Arial"/>
          <w:i/>
          <w:iCs/>
          <w:szCs w:val="20"/>
          <w:lang w:val="sl-SI"/>
        </w:rPr>
        <w:t>antimicrobi</w:t>
      </w:r>
      <w:r w:rsidR="00D12D52">
        <w:rPr>
          <w:rFonts w:cs="Arial"/>
          <w:i/>
          <w:iCs/>
          <w:szCs w:val="20"/>
          <w:lang w:val="sl-SI"/>
        </w:rPr>
        <w:t>al</w:t>
      </w:r>
      <w:proofErr w:type="spellEnd"/>
      <w:r w:rsidRPr="00E50548">
        <w:rPr>
          <w:rFonts w:cs="Arial"/>
          <w:i/>
          <w:iCs/>
          <w:szCs w:val="20"/>
          <w:lang w:val="sl-SI"/>
        </w:rPr>
        <w:t xml:space="preserve"> </w:t>
      </w:r>
      <w:proofErr w:type="spellStart"/>
      <w:r w:rsidRPr="00E50548">
        <w:rPr>
          <w:rFonts w:cs="Arial"/>
          <w:i/>
          <w:iCs/>
          <w:szCs w:val="20"/>
          <w:lang w:val="sl-SI"/>
        </w:rPr>
        <w:t>resistance</w:t>
      </w:r>
      <w:proofErr w:type="spellEnd"/>
      <w:r w:rsidRPr="00E50548">
        <w:rPr>
          <w:rFonts w:cs="Arial"/>
          <w:i/>
          <w:iCs/>
          <w:szCs w:val="20"/>
          <w:lang w:val="sl-SI"/>
        </w:rPr>
        <w:t xml:space="preserve"> – AMR).</w:t>
      </w:r>
    </w:p>
    <w:p w14:paraId="36D152A1" w14:textId="77777777" w:rsidR="00EE252E" w:rsidRPr="00E50548" w:rsidRDefault="00EE252E" w:rsidP="00CF3C1F">
      <w:pPr>
        <w:spacing w:before="20" w:after="20"/>
        <w:jc w:val="both"/>
        <w:rPr>
          <w:rFonts w:cs="Arial"/>
          <w:i/>
          <w:iCs/>
          <w:szCs w:val="20"/>
          <w:lang w:val="sl-SI"/>
        </w:rPr>
      </w:pPr>
    </w:p>
    <w:p w14:paraId="175BC53B" w14:textId="0129951F" w:rsidR="00EE252E" w:rsidRPr="00E50548" w:rsidRDefault="00EE252E" w:rsidP="00CF3C1F">
      <w:pPr>
        <w:spacing w:before="20" w:after="20"/>
        <w:jc w:val="both"/>
        <w:rPr>
          <w:rFonts w:cs="Arial"/>
          <w:i/>
          <w:iCs/>
          <w:szCs w:val="20"/>
          <w:u w:val="single"/>
          <w:lang w:val="sl-SI"/>
        </w:rPr>
      </w:pPr>
      <w:r w:rsidRPr="00E50548">
        <w:rPr>
          <w:rFonts w:cs="Arial"/>
          <w:i/>
          <w:iCs/>
          <w:szCs w:val="20"/>
          <w:u w:val="single"/>
          <w:lang w:val="sl-SI"/>
        </w:rPr>
        <w:t>Sprememba Uredbe (ES) št. 1831/2003 o</w:t>
      </w:r>
      <w:r w:rsidR="00D12D52" w:rsidRPr="00D12D52">
        <w:rPr>
          <w:rFonts w:cs="Arial"/>
          <w:i/>
          <w:iCs/>
          <w:szCs w:val="20"/>
          <w:u w:val="single"/>
          <w:lang w:val="sl-SI"/>
        </w:rPr>
        <w:t xml:space="preserve"> dodatkih za uporabo v prehrani živali</w:t>
      </w:r>
    </w:p>
    <w:p w14:paraId="36AA1AA3" w14:textId="77777777" w:rsidR="00EE252E" w:rsidRPr="00E50548" w:rsidRDefault="00EE252E" w:rsidP="00CF3C1F">
      <w:pPr>
        <w:spacing w:before="20" w:after="20"/>
        <w:jc w:val="both"/>
        <w:rPr>
          <w:rFonts w:cs="Arial"/>
          <w:i/>
          <w:iCs/>
          <w:szCs w:val="20"/>
          <w:lang w:val="sl-SI"/>
        </w:rPr>
      </w:pPr>
    </w:p>
    <w:p w14:paraId="36CCAD84"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Na področju krmnih dodatkov je predlaganih več sprememb. Dovoljenja krmnih dodatkov postanejo časovno neomejena, izjema pa so </w:t>
      </w:r>
      <w:proofErr w:type="spellStart"/>
      <w:r w:rsidRPr="00E50548">
        <w:rPr>
          <w:rFonts w:cs="Arial"/>
          <w:i/>
          <w:iCs/>
          <w:szCs w:val="20"/>
          <w:lang w:val="sl-SI"/>
        </w:rPr>
        <w:t>koccidiostatiki</w:t>
      </w:r>
      <w:proofErr w:type="spellEnd"/>
      <w:r w:rsidRPr="00E50548">
        <w:rPr>
          <w:rFonts w:cs="Arial"/>
          <w:i/>
          <w:iCs/>
          <w:szCs w:val="20"/>
          <w:lang w:val="sl-SI"/>
        </w:rPr>
        <w:t xml:space="preserve"> in </w:t>
      </w:r>
      <w:proofErr w:type="spellStart"/>
      <w:r w:rsidRPr="00E50548">
        <w:rPr>
          <w:rFonts w:cs="Arial"/>
          <w:i/>
          <w:iCs/>
          <w:szCs w:val="20"/>
          <w:lang w:val="sl-SI"/>
        </w:rPr>
        <w:t>histomonostatiki</w:t>
      </w:r>
      <w:proofErr w:type="spellEnd"/>
      <w:r w:rsidRPr="00E50548">
        <w:rPr>
          <w:rFonts w:cs="Arial"/>
          <w:i/>
          <w:iCs/>
          <w:szCs w:val="20"/>
          <w:lang w:val="sl-SI"/>
        </w:rPr>
        <w:t>, ki ostanejo v desetletnem režimu. Obstoječa dovoljenja se avtomatično štejejo kot neomejena, tekoče obnove pa se zaključijo po dosedanjih pravilih. Sprememba imena ali imetnika dovoljenja se bo obravnavala kot administrativna posodobitev registra in ne kot nov normativni akt. Tretje osebe bodo lahko predlagale spremembe generičnih dovoljenj, na primer širitev specifikacij. Uvede se postopek za posodobitev analiznih metod na podlagi poročil referenčnega laboratorija in EFSA. Deli etiketiranja se bodo lahko izvajali digitalno (QR kode ipd.), pri čemer bodo varnostno ključne informacije ostale fizično na embalaži, digitalni podatki pa bodo brezplačni, enostavni za uporabo in dostopni vsaj dve leti.</w:t>
      </w:r>
    </w:p>
    <w:p w14:paraId="652973AC" w14:textId="77777777" w:rsidR="00EE252E" w:rsidRPr="00E50548" w:rsidRDefault="00EE252E" w:rsidP="00CF3C1F">
      <w:pPr>
        <w:spacing w:before="20" w:after="20"/>
        <w:jc w:val="both"/>
        <w:rPr>
          <w:rFonts w:cs="Arial"/>
          <w:i/>
          <w:iCs/>
          <w:szCs w:val="20"/>
          <w:lang w:val="sl-SI"/>
        </w:rPr>
      </w:pPr>
    </w:p>
    <w:p w14:paraId="02477BB5"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Opredelitev: Slovenija opozarja, da poenostavitve zakonodaje ne smejo zmanjševati doseženih standardov varnosti in sledljivosti krmnih dodatkov v EU ter morajo omogočati, da pristojni organ lahko izvaja uradni nadzor. Pri tem Slovenija izpostavlja določene vidike predlaganih sprememb, ki jih bo treba med obravnavo nasloviti, med drugim digitalno označevanje krmnih dodatkov in </w:t>
      </w:r>
      <w:proofErr w:type="spellStart"/>
      <w:r w:rsidRPr="00E50548">
        <w:rPr>
          <w:rFonts w:cs="Arial"/>
          <w:i/>
          <w:iCs/>
          <w:szCs w:val="20"/>
          <w:lang w:val="sl-SI"/>
        </w:rPr>
        <w:t>premiksov</w:t>
      </w:r>
      <w:proofErr w:type="spellEnd"/>
      <w:r w:rsidRPr="00E50548">
        <w:rPr>
          <w:rFonts w:cs="Arial"/>
          <w:i/>
          <w:iCs/>
          <w:szCs w:val="20"/>
          <w:lang w:val="sl-SI"/>
        </w:rPr>
        <w:t xml:space="preserve">. Podatki glede proizvodnega obrata in referenčna serija ne morejo biti na voljo le v digitalni obliki, ker si ti podatki ključni z vidika varnosti in sledljivosti, ko gre za umik/odpoklic proizvodov s trga. </w:t>
      </w:r>
    </w:p>
    <w:p w14:paraId="0B6189A7" w14:textId="77777777" w:rsidR="00EE252E" w:rsidRPr="00E50548" w:rsidRDefault="00EE252E" w:rsidP="00CF3C1F">
      <w:pPr>
        <w:spacing w:before="20" w:after="20"/>
        <w:jc w:val="both"/>
        <w:rPr>
          <w:rFonts w:cs="Arial"/>
          <w:i/>
          <w:iCs/>
          <w:szCs w:val="20"/>
          <w:lang w:val="sl-SI"/>
        </w:rPr>
      </w:pPr>
    </w:p>
    <w:p w14:paraId="37EA764E" w14:textId="334A8594" w:rsidR="00EE252E" w:rsidRPr="00E50548" w:rsidRDefault="00EE252E" w:rsidP="00CF3C1F">
      <w:pPr>
        <w:spacing w:before="20" w:after="20"/>
        <w:jc w:val="both"/>
        <w:rPr>
          <w:rFonts w:cs="Arial"/>
          <w:i/>
          <w:iCs/>
          <w:szCs w:val="20"/>
          <w:u w:val="single"/>
          <w:lang w:val="sl-SI"/>
        </w:rPr>
      </w:pPr>
      <w:r w:rsidRPr="00E50548">
        <w:rPr>
          <w:rFonts w:cs="Arial"/>
          <w:i/>
          <w:iCs/>
          <w:szCs w:val="20"/>
          <w:u w:val="single"/>
          <w:lang w:val="sl-SI"/>
        </w:rPr>
        <w:t xml:space="preserve">Sprememba Uredbe (ES) 852/2004 o higieni živil in Uredbe 853/2004 o </w:t>
      </w:r>
      <w:r w:rsidR="00D12D52" w:rsidRPr="00D12D52">
        <w:rPr>
          <w:rFonts w:cs="Arial"/>
          <w:i/>
          <w:iCs/>
          <w:szCs w:val="20"/>
          <w:u w:val="single"/>
          <w:lang w:val="sl-SI"/>
        </w:rPr>
        <w:t>posebnih higienskih pravilih za živila živalskega izvora</w:t>
      </w:r>
    </w:p>
    <w:p w14:paraId="38C9665E" w14:textId="77777777" w:rsidR="00EE252E" w:rsidRPr="00E50548" w:rsidRDefault="00EE252E" w:rsidP="00CF3C1F">
      <w:pPr>
        <w:spacing w:before="20" w:after="20"/>
        <w:jc w:val="both"/>
        <w:rPr>
          <w:rFonts w:cs="Arial"/>
          <w:i/>
          <w:iCs/>
          <w:szCs w:val="20"/>
          <w:lang w:val="sl-SI"/>
        </w:rPr>
      </w:pPr>
    </w:p>
    <w:p w14:paraId="2168FF1D"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lastRenderedPageBreak/>
        <w:t xml:space="preserve">Predvideno je, da se posebna nacionalna obveščanja o odstopanjih v primeru tradicionalne proizvodnje, geografskih posebnosti, infrastrukturne zahteve nadomestijo z enotnim postopkom notifikacije prek sistema TRIS (ang. </w:t>
      </w:r>
      <w:proofErr w:type="spellStart"/>
      <w:r w:rsidRPr="00E50548">
        <w:rPr>
          <w:rFonts w:cs="Arial"/>
          <w:i/>
          <w:iCs/>
          <w:szCs w:val="20"/>
          <w:lang w:val="sl-SI"/>
        </w:rPr>
        <w:t>Technical</w:t>
      </w:r>
      <w:proofErr w:type="spellEnd"/>
      <w:r w:rsidRPr="00E50548">
        <w:rPr>
          <w:rFonts w:cs="Arial"/>
          <w:i/>
          <w:iCs/>
          <w:szCs w:val="20"/>
          <w:lang w:val="sl-SI"/>
        </w:rPr>
        <w:t xml:space="preserve"> </w:t>
      </w:r>
      <w:proofErr w:type="spellStart"/>
      <w:r w:rsidRPr="00E50548">
        <w:rPr>
          <w:rFonts w:cs="Arial"/>
          <w:i/>
          <w:iCs/>
          <w:szCs w:val="20"/>
          <w:lang w:val="sl-SI"/>
        </w:rPr>
        <w:t>Regulations</w:t>
      </w:r>
      <w:proofErr w:type="spellEnd"/>
      <w:r w:rsidRPr="00E50548">
        <w:rPr>
          <w:rFonts w:cs="Arial"/>
          <w:i/>
          <w:iCs/>
          <w:szCs w:val="20"/>
          <w:lang w:val="sl-SI"/>
        </w:rPr>
        <w:t xml:space="preserve"> </w:t>
      </w:r>
      <w:proofErr w:type="spellStart"/>
      <w:r w:rsidRPr="00E50548">
        <w:rPr>
          <w:rFonts w:cs="Arial"/>
          <w:i/>
          <w:iCs/>
          <w:szCs w:val="20"/>
          <w:lang w:val="sl-SI"/>
        </w:rPr>
        <w:t>Information</w:t>
      </w:r>
      <w:proofErr w:type="spellEnd"/>
      <w:r w:rsidRPr="00E50548">
        <w:rPr>
          <w:rFonts w:cs="Arial"/>
          <w:i/>
          <w:iCs/>
          <w:szCs w:val="20"/>
          <w:lang w:val="sl-SI"/>
        </w:rPr>
        <w:t xml:space="preserve"> </w:t>
      </w:r>
      <w:proofErr w:type="spellStart"/>
      <w:r w:rsidRPr="00E50548">
        <w:rPr>
          <w:rFonts w:cs="Arial"/>
          <w:i/>
          <w:iCs/>
          <w:szCs w:val="20"/>
          <w:lang w:val="sl-SI"/>
        </w:rPr>
        <w:t>System</w:t>
      </w:r>
      <w:proofErr w:type="spellEnd"/>
      <w:r w:rsidRPr="00E50548">
        <w:rPr>
          <w:rFonts w:cs="Arial"/>
          <w:i/>
          <w:iCs/>
          <w:szCs w:val="20"/>
          <w:lang w:val="sl-SI"/>
        </w:rPr>
        <w:t>) v skladu z Direktivo 2015/1535. To bo skrajšalo roke in povečalo preglednost.</w:t>
      </w:r>
    </w:p>
    <w:p w14:paraId="540FC2A4" w14:textId="77777777" w:rsidR="00EE252E" w:rsidRPr="00E50548" w:rsidRDefault="00EE252E" w:rsidP="00CF3C1F">
      <w:pPr>
        <w:spacing w:before="20" w:after="20"/>
        <w:jc w:val="both"/>
        <w:rPr>
          <w:rFonts w:cs="Arial"/>
          <w:i/>
          <w:iCs/>
          <w:szCs w:val="20"/>
          <w:lang w:val="sl-SI"/>
        </w:rPr>
      </w:pPr>
    </w:p>
    <w:p w14:paraId="7BAAF5E0"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 Slovenija podpira predlagano poenostavitev postopkov notifikacije v primeru proizvodnje »tradicionalnih izdelkov« v posameznih državah članicah prek sistema TRIS.</w:t>
      </w:r>
    </w:p>
    <w:p w14:paraId="68A78C95" w14:textId="77777777" w:rsidR="00EE252E" w:rsidRPr="00E50548" w:rsidRDefault="00EE252E" w:rsidP="00CF3C1F">
      <w:pPr>
        <w:spacing w:before="20" w:after="20"/>
        <w:jc w:val="both"/>
        <w:rPr>
          <w:rFonts w:cs="Arial"/>
          <w:i/>
          <w:iCs/>
          <w:szCs w:val="20"/>
          <w:lang w:val="sl-SI"/>
        </w:rPr>
      </w:pPr>
    </w:p>
    <w:p w14:paraId="7EC913DB" w14:textId="4CF344E6" w:rsidR="00EE252E" w:rsidRPr="00E50548" w:rsidRDefault="00EE252E" w:rsidP="00CF3C1F">
      <w:pPr>
        <w:spacing w:before="20" w:after="20"/>
        <w:jc w:val="both"/>
        <w:rPr>
          <w:rFonts w:cs="Arial"/>
          <w:i/>
          <w:iCs/>
          <w:szCs w:val="20"/>
          <w:u w:val="single"/>
          <w:lang w:val="sl-SI"/>
        </w:rPr>
      </w:pPr>
      <w:r w:rsidRPr="00E50548">
        <w:rPr>
          <w:rFonts w:cs="Arial"/>
          <w:i/>
          <w:iCs/>
          <w:szCs w:val="20"/>
          <w:u w:val="single"/>
          <w:lang w:val="sl-SI"/>
        </w:rPr>
        <w:t xml:space="preserve">Sprememba uredbe (ES) 1099/2009 o </w:t>
      </w:r>
      <w:r w:rsidR="00D12D52" w:rsidRPr="00D12D52">
        <w:rPr>
          <w:rFonts w:cs="Arial"/>
          <w:i/>
          <w:iCs/>
          <w:szCs w:val="20"/>
          <w:u w:val="single"/>
          <w:lang w:val="sl-SI"/>
        </w:rPr>
        <w:t>zaščiti živali pri usmrtitvi</w:t>
      </w:r>
    </w:p>
    <w:p w14:paraId="030BAFB3" w14:textId="77777777" w:rsidR="00EE252E" w:rsidRPr="00E50548" w:rsidRDefault="00EE252E" w:rsidP="00CF3C1F">
      <w:pPr>
        <w:spacing w:before="20" w:after="20"/>
        <w:jc w:val="both"/>
        <w:rPr>
          <w:rFonts w:cs="Arial"/>
          <w:i/>
          <w:iCs/>
          <w:szCs w:val="20"/>
          <w:lang w:val="sl-SI"/>
        </w:rPr>
      </w:pPr>
    </w:p>
    <w:p w14:paraId="7260124F"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Odpravlja se ločeno letno poročanje držav članic o </w:t>
      </w:r>
      <w:proofErr w:type="spellStart"/>
      <w:r w:rsidRPr="00E50548">
        <w:rPr>
          <w:rFonts w:cs="Arial"/>
          <w:i/>
          <w:iCs/>
          <w:szCs w:val="20"/>
          <w:lang w:val="sl-SI"/>
        </w:rPr>
        <w:t>depopulacijskih</w:t>
      </w:r>
      <w:proofErr w:type="spellEnd"/>
      <w:r w:rsidRPr="00E50548">
        <w:rPr>
          <w:rFonts w:cs="Arial"/>
          <w:i/>
          <w:iCs/>
          <w:szCs w:val="20"/>
          <w:lang w:val="sl-SI"/>
        </w:rPr>
        <w:t xml:space="preserve"> operacijah, saj so podatki že vključeni v poročila po uredbi o uradnem nadzoru. Ukrep bo prispeval k poenostavitvi postopkov ter učinkovitejšemu upravljanju poročanja na ravni EU.</w:t>
      </w:r>
    </w:p>
    <w:p w14:paraId="6AAB47F3" w14:textId="77777777" w:rsidR="00EE252E" w:rsidRPr="00E50548" w:rsidRDefault="00EE252E" w:rsidP="00CF3C1F">
      <w:pPr>
        <w:spacing w:before="20" w:after="20"/>
        <w:jc w:val="both"/>
        <w:rPr>
          <w:rFonts w:cs="Arial"/>
          <w:i/>
          <w:iCs/>
          <w:szCs w:val="20"/>
          <w:lang w:val="sl-SI"/>
        </w:rPr>
      </w:pPr>
    </w:p>
    <w:p w14:paraId="47F431BC"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Opredelitev: Slovenija podpira predlagani ukrep, saj dodatno ločeno poročanje ni potrebno in bi pomenilo administrativno podvajanje. </w:t>
      </w:r>
    </w:p>
    <w:p w14:paraId="7E24C7D1" w14:textId="77777777" w:rsidR="00EE252E" w:rsidRPr="00E50548" w:rsidRDefault="00EE252E" w:rsidP="00CF3C1F">
      <w:pPr>
        <w:spacing w:before="20" w:after="20"/>
        <w:jc w:val="both"/>
        <w:rPr>
          <w:rFonts w:cs="Arial"/>
          <w:i/>
          <w:iCs/>
          <w:szCs w:val="20"/>
          <w:lang w:val="sl-SI"/>
        </w:rPr>
      </w:pPr>
    </w:p>
    <w:p w14:paraId="3B33B4F1" w14:textId="43570084" w:rsidR="00EE252E" w:rsidRPr="00E50548" w:rsidRDefault="00EE252E" w:rsidP="00CF3C1F">
      <w:pPr>
        <w:spacing w:before="20" w:after="20"/>
        <w:jc w:val="both"/>
        <w:rPr>
          <w:rFonts w:cs="Arial"/>
          <w:i/>
          <w:iCs/>
          <w:szCs w:val="20"/>
          <w:lang w:val="sl-SI"/>
        </w:rPr>
      </w:pPr>
      <w:r w:rsidRPr="00E50548">
        <w:rPr>
          <w:rFonts w:cs="Arial"/>
          <w:i/>
          <w:iCs/>
          <w:szCs w:val="20"/>
          <w:u w:val="single"/>
          <w:lang w:val="sl-SI"/>
        </w:rPr>
        <w:t xml:space="preserve">Sprememba Uredbe (ES) 999/2001 o </w:t>
      </w:r>
      <w:r w:rsidR="00D12D52" w:rsidRPr="00D12D52">
        <w:rPr>
          <w:rFonts w:cs="Arial"/>
          <w:i/>
          <w:iCs/>
          <w:szCs w:val="20"/>
          <w:u w:val="single"/>
          <w:lang w:val="sl-SI"/>
        </w:rPr>
        <w:t xml:space="preserve">določitvi predpisov za preprečevanje, nadzor in izkoreninjenje nekaterih </w:t>
      </w:r>
      <w:proofErr w:type="spellStart"/>
      <w:r w:rsidR="00D12D52" w:rsidRPr="00D12D52">
        <w:rPr>
          <w:rFonts w:cs="Arial"/>
          <w:i/>
          <w:iCs/>
          <w:szCs w:val="20"/>
          <w:u w:val="single"/>
          <w:lang w:val="sl-SI"/>
        </w:rPr>
        <w:t>transmisivnih</w:t>
      </w:r>
      <w:proofErr w:type="spellEnd"/>
      <w:r w:rsidR="00D12D52" w:rsidRPr="00D12D52">
        <w:rPr>
          <w:rFonts w:cs="Arial"/>
          <w:i/>
          <w:iCs/>
          <w:szCs w:val="20"/>
          <w:u w:val="single"/>
          <w:lang w:val="sl-SI"/>
        </w:rPr>
        <w:t xml:space="preserve"> spongiformnih encefalopatij</w:t>
      </w:r>
    </w:p>
    <w:p w14:paraId="47954A8F" w14:textId="77777777" w:rsidR="00C730BB" w:rsidRDefault="00C730BB" w:rsidP="00CF3C1F">
      <w:pPr>
        <w:spacing w:before="20" w:after="20"/>
        <w:jc w:val="both"/>
        <w:rPr>
          <w:rFonts w:cs="Arial"/>
          <w:i/>
          <w:iCs/>
          <w:szCs w:val="20"/>
          <w:lang w:val="sl-SI"/>
        </w:rPr>
      </w:pPr>
    </w:p>
    <w:p w14:paraId="49B14489" w14:textId="2DE50FA0"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Predlaga se, da se Evropsko komisijo pooblasti za pripravo delegiranih aktov, s katerimi bo mogoče hitro posodabljati priloge (npr. hitri testi, nadzor, specifični rizični material –SRM ipd.) v skladu z najnovejšimi znanstvenimi spoznanji in standardi Svetovne organizacije za zdravje živali (ang. </w:t>
      </w:r>
      <w:proofErr w:type="spellStart"/>
      <w:r w:rsidRPr="00E50548">
        <w:rPr>
          <w:rFonts w:cs="Arial"/>
          <w:i/>
          <w:iCs/>
          <w:szCs w:val="20"/>
          <w:lang w:val="sl-SI"/>
        </w:rPr>
        <w:t>World</w:t>
      </w:r>
      <w:proofErr w:type="spellEnd"/>
      <w:r w:rsidRPr="00E50548">
        <w:rPr>
          <w:rFonts w:cs="Arial"/>
          <w:i/>
          <w:iCs/>
          <w:szCs w:val="20"/>
          <w:lang w:val="sl-SI"/>
        </w:rPr>
        <w:t xml:space="preserve"> </w:t>
      </w:r>
      <w:proofErr w:type="spellStart"/>
      <w:r w:rsidRPr="00E50548">
        <w:rPr>
          <w:rFonts w:cs="Arial"/>
          <w:i/>
          <w:iCs/>
          <w:szCs w:val="20"/>
          <w:lang w:val="sl-SI"/>
        </w:rPr>
        <w:t>Organisation</w:t>
      </w:r>
      <w:proofErr w:type="spellEnd"/>
      <w:r w:rsidRPr="00E50548">
        <w:rPr>
          <w:rFonts w:cs="Arial"/>
          <w:i/>
          <w:iCs/>
          <w:szCs w:val="20"/>
          <w:lang w:val="sl-SI"/>
        </w:rPr>
        <w:t xml:space="preserve"> </w:t>
      </w:r>
      <w:proofErr w:type="spellStart"/>
      <w:r w:rsidRPr="00E50548">
        <w:rPr>
          <w:rFonts w:cs="Arial"/>
          <w:i/>
          <w:iCs/>
          <w:szCs w:val="20"/>
          <w:lang w:val="sl-SI"/>
        </w:rPr>
        <w:t>for</w:t>
      </w:r>
      <w:proofErr w:type="spellEnd"/>
      <w:r w:rsidRPr="00E50548">
        <w:rPr>
          <w:rFonts w:cs="Arial"/>
          <w:i/>
          <w:iCs/>
          <w:szCs w:val="20"/>
          <w:lang w:val="sl-SI"/>
        </w:rPr>
        <w:t xml:space="preserve"> </w:t>
      </w:r>
      <w:proofErr w:type="spellStart"/>
      <w:r w:rsidRPr="00E50548">
        <w:rPr>
          <w:rFonts w:cs="Arial"/>
          <w:i/>
          <w:iCs/>
          <w:szCs w:val="20"/>
          <w:lang w:val="sl-SI"/>
        </w:rPr>
        <w:t>Animal</w:t>
      </w:r>
      <w:proofErr w:type="spellEnd"/>
      <w:r w:rsidRPr="00E50548">
        <w:rPr>
          <w:rFonts w:cs="Arial"/>
          <w:i/>
          <w:iCs/>
          <w:szCs w:val="20"/>
          <w:lang w:val="sl-SI"/>
        </w:rPr>
        <w:t xml:space="preserve"> </w:t>
      </w:r>
      <w:proofErr w:type="spellStart"/>
      <w:r w:rsidRPr="00E50548">
        <w:rPr>
          <w:rFonts w:cs="Arial"/>
          <w:i/>
          <w:iCs/>
          <w:szCs w:val="20"/>
          <w:lang w:val="sl-SI"/>
        </w:rPr>
        <w:t>Health</w:t>
      </w:r>
      <w:proofErr w:type="spellEnd"/>
      <w:r w:rsidRPr="00E50548">
        <w:rPr>
          <w:rFonts w:cs="Arial"/>
          <w:i/>
          <w:iCs/>
          <w:szCs w:val="20"/>
          <w:lang w:val="sl-SI"/>
        </w:rPr>
        <w:t xml:space="preserve"> – WOAH).</w:t>
      </w:r>
    </w:p>
    <w:p w14:paraId="309F2472" w14:textId="77777777" w:rsidR="00EE252E" w:rsidRPr="00E50548" w:rsidRDefault="00EE252E" w:rsidP="00CF3C1F">
      <w:pPr>
        <w:spacing w:before="20" w:after="20"/>
        <w:jc w:val="both"/>
        <w:rPr>
          <w:rFonts w:cs="Arial"/>
          <w:i/>
          <w:iCs/>
          <w:szCs w:val="20"/>
          <w:lang w:val="sl-SI"/>
        </w:rPr>
      </w:pPr>
    </w:p>
    <w:p w14:paraId="6445F9BC"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Odpravijo se zastarele omejitve za kolagen/želatino iz kosti prežvekovalcev.</w:t>
      </w:r>
    </w:p>
    <w:p w14:paraId="6B8A96B5" w14:textId="77777777" w:rsidR="00EE252E" w:rsidRPr="00E50548" w:rsidRDefault="00EE252E" w:rsidP="00CF3C1F">
      <w:pPr>
        <w:spacing w:before="20" w:after="20"/>
        <w:jc w:val="both"/>
        <w:rPr>
          <w:rFonts w:cs="Arial"/>
          <w:i/>
          <w:iCs/>
          <w:szCs w:val="20"/>
          <w:lang w:val="sl-SI"/>
        </w:rPr>
      </w:pPr>
    </w:p>
    <w:p w14:paraId="3EC48FCC"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 Slovenija pozdravlja posodobitev in poenostavitev zakonodaje na področju TSE, saj je večina držav članic v zadnjem desetletju pridobila status držav z zanemarljivim tveganjem za TSE. Trenutni ukrepi, ki veljajo v EU za države z zanemarljivim tveganjem, odstopajo od pravil, ki jih morajo glede TSE izvajati države zunaj EU, kar pomeni, da pravila niso usklajena s standardi WOAH, slednje pa lahko predstavlja omejitev in povzroča nekonkurenčnost proizvajalcev iz EU na svetovnem trgu.</w:t>
      </w:r>
    </w:p>
    <w:p w14:paraId="15CD4A45" w14:textId="77777777" w:rsidR="00EE252E" w:rsidRPr="00E50548" w:rsidRDefault="00EE252E" w:rsidP="00CF3C1F">
      <w:pPr>
        <w:spacing w:before="20" w:after="20"/>
        <w:jc w:val="both"/>
        <w:rPr>
          <w:rFonts w:cs="Arial"/>
          <w:i/>
          <w:iCs/>
          <w:szCs w:val="20"/>
          <w:lang w:val="sl-SI"/>
        </w:rPr>
      </w:pPr>
    </w:p>
    <w:p w14:paraId="7FA705A4" w14:textId="66AE0C43" w:rsidR="00EE252E" w:rsidRPr="00E50548" w:rsidRDefault="00D12D52" w:rsidP="00CF3C1F">
      <w:pPr>
        <w:spacing w:before="20" w:after="20"/>
        <w:jc w:val="both"/>
        <w:rPr>
          <w:rFonts w:cs="Arial"/>
          <w:i/>
          <w:iCs/>
          <w:szCs w:val="20"/>
          <w:lang w:val="sl-SI"/>
        </w:rPr>
      </w:pPr>
      <w:r>
        <w:rPr>
          <w:rFonts w:cs="Arial"/>
          <w:i/>
          <w:iCs/>
          <w:szCs w:val="20"/>
          <w:lang w:val="sl-SI"/>
        </w:rPr>
        <w:t xml:space="preserve">Slovenija se strinja, da se </w:t>
      </w:r>
      <w:r w:rsidR="00EE252E" w:rsidRPr="00E50548">
        <w:rPr>
          <w:rFonts w:cs="Arial"/>
          <w:i/>
          <w:iCs/>
          <w:szCs w:val="20"/>
          <w:lang w:val="sl-SI"/>
        </w:rPr>
        <w:t xml:space="preserve">Komisiji </w:t>
      </w:r>
      <w:r w:rsidRPr="00E50548">
        <w:rPr>
          <w:rFonts w:cs="Arial"/>
          <w:i/>
          <w:iCs/>
          <w:szCs w:val="20"/>
          <w:lang w:val="sl-SI"/>
        </w:rPr>
        <w:t>podeli pooblastil</w:t>
      </w:r>
      <w:r>
        <w:rPr>
          <w:rFonts w:cs="Arial"/>
          <w:i/>
          <w:iCs/>
          <w:szCs w:val="20"/>
          <w:lang w:val="sl-SI"/>
        </w:rPr>
        <w:t>o</w:t>
      </w:r>
      <w:r w:rsidRPr="00E50548">
        <w:rPr>
          <w:rFonts w:cs="Arial"/>
          <w:i/>
          <w:iCs/>
          <w:szCs w:val="20"/>
          <w:lang w:val="sl-SI"/>
        </w:rPr>
        <w:t xml:space="preserve"> </w:t>
      </w:r>
      <w:r w:rsidR="00EE252E" w:rsidRPr="00E50548">
        <w:rPr>
          <w:rFonts w:cs="Arial"/>
          <w:i/>
          <w:iCs/>
          <w:szCs w:val="20"/>
          <w:lang w:val="sl-SI"/>
        </w:rPr>
        <w:t>za sprejem delegiranih aktov, s katerimi se lahko spreminjajo priloge k Uredbi (ES) št. 999/2001, izpostavlja</w:t>
      </w:r>
      <w:r>
        <w:rPr>
          <w:rFonts w:cs="Arial"/>
          <w:i/>
          <w:iCs/>
          <w:szCs w:val="20"/>
          <w:lang w:val="sl-SI"/>
        </w:rPr>
        <w:t xml:space="preserve">mo pa </w:t>
      </w:r>
      <w:r w:rsidR="00EE252E" w:rsidRPr="00E50548">
        <w:rPr>
          <w:rFonts w:cs="Arial"/>
          <w:i/>
          <w:iCs/>
          <w:szCs w:val="20"/>
          <w:lang w:val="sl-SI"/>
        </w:rPr>
        <w:t xml:space="preserve">, da mora vsaka sprememba </w:t>
      </w:r>
      <w:r>
        <w:rPr>
          <w:rFonts w:cs="Arial"/>
          <w:i/>
          <w:iCs/>
          <w:szCs w:val="20"/>
          <w:lang w:val="sl-SI"/>
        </w:rPr>
        <w:t xml:space="preserve">Priloge k Uredbi (ES) št, 999/2001 </w:t>
      </w:r>
      <w:r w:rsidR="00EE252E" w:rsidRPr="00E50548">
        <w:rPr>
          <w:rFonts w:cs="Arial"/>
          <w:i/>
          <w:iCs/>
          <w:szCs w:val="20"/>
          <w:lang w:val="sl-SI"/>
        </w:rPr>
        <w:t>temeljiti na ustrezni oceni tveganja EFSA. Določeni ukrepi za preprečitev morebitnega ponovnega pojava klasične BSE, kot je na primer popolna prepoved krmljenja prežvekovalcev s predelanimi živalskimi proteini, pa morajo ostati v veljavi.</w:t>
      </w:r>
    </w:p>
    <w:p w14:paraId="459056D8" w14:textId="77777777" w:rsidR="00EE252E" w:rsidRPr="00E50548" w:rsidRDefault="00EE252E" w:rsidP="00CF3C1F">
      <w:pPr>
        <w:spacing w:before="20" w:after="20"/>
        <w:jc w:val="both"/>
        <w:rPr>
          <w:rFonts w:cs="Arial"/>
          <w:i/>
          <w:iCs/>
          <w:szCs w:val="20"/>
          <w:lang w:val="sl-SI"/>
        </w:rPr>
      </w:pPr>
    </w:p>
    <w:p w14:paraId="08AD461E" w14:textId="6E6BC095" w:rsidR="00EE252E" w:rsidRPr="00E50548" w:rsidRDefault="00EE252E" w:rsidP="00CF3C1F">
      <w:pPr>
        <w:spacing w:before="20" w:after="20"/>
        <w:jc w:val="both"/>
        <w:rPr>
          <w:rFonts w:cs="Arial"/>
          <w:i/>
          <w:iCs/>
          <w:szCs w:val="20"/>
          <w:lang w:val="sl-SI"/>
        </w:rPr>
      </w:pPr>
      <w:r w:rsidRPr="00E50548">
        <w:rPr>
          <w:rFonts w:cs="Arial"/>
          <w:i/>
          <w:iCs/>
          <w:szCs w:val="20"/>
          <w:u w:val="single"/>
          <w:lang w:val="sl-SI"/>
        </w:rPr>
        <w:t xml:space="preserve">Sprememba Uredbe (EU) 2017/625 o </w:t>
      </w:r>
      <w:proofErr w:type="spellStart"/>
      <w:r w:rsidR="00D12D52" w:rsidRPr="00D12D52">
        <w:rPr>
          <w:rFonts w:cs="Arial"/>
          <w:i/>
          <w:iCs/>
          <w:szCs w:val="20"/>
          <w:u w:val="single"/>
          <w:lang w:val="sl-SI"/>
        </w:rPr>
        <w:t>o</w:t>
      </w:r>
      <w:proofErr w:type="spellEnd"/>
      <w:r w:rsidR="00D12D52" w:rsidRPr="00D12D52">
        <w:rPr>
          <w:rFonts w:cs="Arial"/>
          <w:i/>
          <w:iCs/>
          <w:szCs w:val="20"/>
          <w:u w:val="single"/>
          <w:lang w:val="sl-SI"/>
        </w:rPr>
        <w:t xml:space="preserve"> izvajanju uradnega nadzora in drugih uradnih dejavnosti, da se zagotovi uporaba zakonodaje o živilih in krmi, pravil o zdravju in dobrobiti živali ter zdravju rastlin in fitofarmacevtskih sredstvih</w:t>
      </w:r>
    </w:p>
    <w:p w14:paraId="31EA7A8F" w14:textId="77777777" w:rsidR="00C730BB" w:rsidRDefault="00C730BB" w:rsidP="00CF3C1F">
      <w:pPr>
        <w:spacing w:before="20" w:after="20"/>
        <w:jc w:val="both"/>
        <w:rPr>
          <w:rFonts w:cs="Arial"/>
          <w:i/>
          <w:iCs/>
          <w:szCs w:val="20"/>
          <w:lang w:val="sl-SI"/>
        </w:rPr>
      </w:pPr>
    </w:p>
    <w:p w14:paraId="7A6797AE" w14:textId="455A3D32" w:rsidR="00EE252E" w:rsidRPr="00E50548" w:rsidRDefault="00EE252E" w:rsidP="00CF3C1F">
      <w:pPr>
        <w:spacing w:before="20" w:after="20"/>
        <w:jc w:val="both"/>
        <w:rPr>
          <w:rFonts w:cs="Arial"/>
          <w:i/>
          <w:iCs/>
          <w:szCs w:val="20"/>
          <w:lang w:val="sl-SI"/>
        </w:rPr>
      </w:pPr>
      <w:r w:rsidRPr="00E50548">
        <w:rPr>
          <w:rFonts w:cs="Arial"/>
          <w:i/>
          <w:iCs/>
          <w:szCs w:val="20"/>
          <w:lang w:val="sl-SI"/>
        </w:rPr>
        <w:t>1) Uvedba možnosti delnega carinjenja pošiljk rastlin in rastlinskih proizvodov na mejnih kontrolnih točkah, s sprostitvijo že pregledanih delov pošiljke pred zaključkom uradnega nadzora nad celoto.</w:t>
      </w:r>
    </w:p>
    <w:p w14:paraId="7332E38C" w14:textId="77777777" w:rsidR="00EE252E" w:rsidRPr="00E50548" w:rsidRDefault="00EE252E" w:rsidP="00CF3C1F">
      <w:pPr>
        <w:spacing w:before="20" w:after="20"/>
        <w:jc w:val="both"/>
        <w:rPr>
          <w:rFonts w:cs="Arial"/>
          <w:i/>
          <w:iCs/>
          <w:szCs w:val="20"/>
          <w:lang w:val="sl-SI"/>
        </w:rPr>
      </w:pPr>
    </w:p>
    <w:p w14:paraId="02505D16"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Tretji odstavek 50. člena Uredbe (EU) 2017/625 določa, da pošiljk, ki vstopajo v Unijo in so predložene v uradni nadzor na mejnih kontrolnih točkah (MKT), ni mogoče razdeliti, dokler niso opravljeni predpisani nadzori za celotno pošiljko. To pomeni, da mejni kontrolni točki ne smejo </w:t>
      </w:r>
      <w:r w:rsidRPr="00E50548">
        <w:rPr>
          <w:rFonts w:cs="Arial"/>
          <w:i/>
          <w:iCs/>
          <w:szCs w:val="20"/>
          <w:lang w:val="sl-SI"/>
        </w:rPr>
        <w:lastRenderedPageBreak/>
        <w:t>sprostiti skladnega dela pošiljke, če je za drug del še vedno potreben nadaljnji pregled, kot je npr. laboratorijsko testiranje.</w:t>
      </w:r>
    </w:p>
    <w:p w14:paraId="600FC5C5" w14:textId="77777777" w:rsidR="00EE252E" w:rsidRPr="00E50548" w:rsidRDefault="00EE252E" w:rsidP="00CF3C1F">
      <w:pPr>
        <w:spacing w:before="20" w:after="20"/>
        <w:jc w:val="both"/>
        <w:rPr>
          <w:rFonts w:cs="Arial"/>
          <w:i/>
          <w:iCs/>
          <w:szCs w:val="20"/>
          <w:lang w:val="sl-SI"/>
        </w:rPr>
      </w:pPr>
    </w:p>
    <w:p w14:paraId="5822F9EC" w14:textId="30814DFA"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Ta zahteva </w:t>
      </w:r>
      <w:r w:rsidR="00B51F53">
        <w:rPr>
          <w:rFonts w:cs="Arial"/>
          <w:i/>
          <w:iCs/>
          <w:szCs w:val="20"/>
          <w:lang w:val="sl-SI"/>
        </w:rPr>
        <w:t xml:space="preserve">v obstoječi ureditvi </w:t>
      </w:r>
      <w:r w:rsidRPr="00E50548">
        <w:rPr>
          <w:rFonts w:cs="Arial"/>
          <w:i/>
          <w:iCs/>
          <w:szCs w:val="20"/>
          <w:lang w:val="sl-SI"/>
        </w:rPr>
        <w:t>je še posebej problematična za sektor zdravja rastlin, kjer lahko fitosanitarna spričevala zajemajo pošiljke, ki so sestavljene iz več serij različnih rastlin in rastlinskih proizvodov, pri čemer vsaka posamezna serija zahteva drugačno vrsto nadzora in analiz različnega trajanja. Pri pokvarljivih proizvodih z omejenim rokom uporabnosti lahko te zamude povzročijo kvarjenje ali celo popolno izgubo proizvodov, ki niso bili predmet laboratorijske analize. Da bi se izognili nepotrebnim zamudam in velikim finančnim posledicam za izvajalce, se predlaga uvedba možnosti delnega carinjenja za pošiljke rastlin in rastlinskih proizvodov. S spremembo tretjega odstavka 50. člena Uredbe (EU) 2017/625 bi pristojnim organom na mejnih kontrolnih točkah omogočili razdelitev pošiljk rastlin in rastlinskih proizvodov, preden se zaključi uradni nadzor nad celotno pošiljko in da se sprostijo deli, za katere je bil uradni nadzor že zaključen.</w:t>
      </w:r>
    </w:p>
    <w:p w14:paraId="50DABE08" w14:textId="77777777" w:rsidR="00EE252E" w:rsidRPr="00E50548" w:rsidRDefault="00EE252E" w:rsidP="00CF3C1F">
      <w:pPr>
        <w:spacing w:before="20" w:after="20"/>
        <w:jc w:val="both"/>
        <w:rPr>
          <w:rFonts w:cs="Arial"/>
          <w:i/>
          <w:iCs/>
          <w:szCs w:val="20"/>
          <w:lang w:val="sl-SI"/>
        </w:rPr>
      </w:pPr>
    </w:p>
    <w:p w14:paraId="72B916F0"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Opredelitev: Slovenija podpira predlagano ureditev, saj omogoča, da se pošiljke rastlin in rastlinskih proizvodov na mejnih kontrolnih točkah delijo in že pregledani deli sprostijo v promet. Takšna ureditev je bila na področju zdravja rastlin urejena že prej, vendar se ni prenesla v takratno novo uredbo o uradnem nadzoru.</w:t>
      </w:r>
    </w:p>
    <w:p w14:paraId="41B1F3D1" w14:textId="77777777" w:rsidR="00EE252E" w:rsidRPr="00E50548" w:rsidRDefault="00EE252E" w:rsidP="00CF3C1F">
      <w:pPr>
        <w:spacing w:before="20" w:after="20"/>
        <w:jc w:val="both"/>
        <w:rPr>
          <w:rFonts w:cs="Arial"/>
          <w:i/>
          <w:iCs/>
          <w:szCs w:val="20"/>
          <w:lang w:val="sl-SI"/>
        </w:rPr>
      </w:pPr>
    </w:p>
    <w:p w14:paraId="62E371DD"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2) Odstopanje od obvezne akreditacije vseh laboratorijskih metod tudi za EU in nacionalne referenčne laboratorije ter priznavanje akreditacije po drugih primerljivih standardih (npr. ISO 15189)</w:t>
      </w:r>
    </w:p>
    <w:p w14:paraId="4A941C6D" w14:textId="77777777" w:rsidR="00EE252E" w:rsidRPr="00E50548" w:rsidRDefault="00EE252E" w:rsidP="00CF3C1F">
      <w:pPr>
        <w:spacing w:before="20" w:after="20"/>
        <w:jc w:val="both"/>
        <w:rPr>
          <w:rFonts w:cs="Arial"/>
          <w:i/>
          <w:iCs/>
          <w:szCs w:val="20"/>
          <w:lang w:val="sl-SI"/>
        </w:rPr>
      </w:pPr>
    </w:p>
    <w:p w14:paraId="2F136614"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Uredba (EU) 2017/625 določa, da morajo EU referenčni laboratoriji in nacionalni referenčni laboratoriji imeti v obsegu akreditacije vse laboratorijske metode. V praksi to povzroča znatne težave, saj morajo laboratoriji pridobiti akreditacijo za zelo veliko število kombinacij metod in </w:t>
      </w:r>
      <w:proofErr w:type="spellStart"/>
      <w:r w:rsidRPr="00E50548">
        <w:rPr>
          <w:rFonts w:cs="Arial"/>
          <w:i/>
          <w:iCs/>
          <w:szCs w:val="20"/>
          <w:lang w:val="sl-SI"/>
        </w:rPr>
        <w:t>matriksov</w:t>
      </w:r>
      <w:proofErr w:type="spellEnd"/>
      <w:r w:rsidRPr="00E50548">
        <w:rPr>
          <w:rFonts w:cs="Arial"/>
          <w:i/>
          <w:iCs/>
          <w:szCs w:val="20"/>
          <w:lang w:val="sl-SI"/>
        </w:rPr>
        <w:t xml:space="preserve">, tudi v primerih, ko se metode uporabljajo le redko. Postopek akreditacije je zapleten, dolgotrajen in finančno zahteven. Akreditacija vseh možnih kombinacij metod in </w:t>
      </w:r>
      <w:proofErr w:type="spellStart"/>
      <w:r w:rsidRPr="00E50548">
        <w:rPr>
          <w:rFonts w:cs="Arial"/>
          <w:i/>
          <w:iCs/>
          <w:szCs w:val="20"/>
          <w:lang w:val="sl-SI"/>
        </w:rPr>
        <w:t>matriksov</w:t>
      </w:r>
      <w:proofErr w:type="spellEnd"/>
      <w:r w:rsidRPr="00E50548">
        <w:rPr>
          <w:rFonts w:cs="Arial"/>
          <w:i/>
          <w:iCs/>
          <w:szCs w:val="20"/>
          <w:lang w:val="sl-SI"/>
        </w:rPr>
        <w:t xml:space="preserve"> na področij, kot so zdravje rastlin, materiali v stiku z živili, krmni dodatki in aditivi za živila, encimi in arome, predstavlja veliko kadrovsko, finančno in administrativno breme za laboratorije. </w:t>
      </w:r>
    </w:p>
    <w:p w14:paraId="163FD6FF" w14:textId="77777777" w:rsidR="00EE252E" w:rsidRPr="00E50548" w:rsidRDefault="00EE252E" w:rsidP="00CF3C1F">
      <w:pPr>
        <w:spacing w:before="20" w:after="20"/>
        <w:jc w:val="both"/>
        <w:rPr>
          <w:rFonts w:cs="Arial"/>
          <w:i/>
          <w:iCs/>
          <w:szCs w:val="20"/>
          <w:lang w:val="sl-SI"/>
        </w:rPr>
      </w:pPr>
    </w:p>
    <w:p w14:paraId="2A27C44A"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Člen 41 Uredbe (EU) 2017/625 že sedaj omogoča, da Komisija sprejme določena odstopanja od akreditacije vseh metod za uradne laboratorije, medtem ko za EU referenčne laboratorije in nacionalne referenčne laboratorije tako odstopanje ni predvideno. Z namenom zmanjšanja stroškov akreditacije ter kadrovskih in administrativnih bremen je smiselno tudi za EU referenčne laboratorije in nacionalne referenčne laboratorije omogočiti odstopanja od akreditacije vseh metod pod določenimi pogoji.</w:t>
      </w:r>
    </w:p>
    <w:p w14:paraId="52A20194" w14:textId="77777777" w:rsidR="00EE252E" w:rsidRPr="00E50548" w:rsidRDefault="00EE252E" w:rsidP="00CF3C1F">
      <w:pPr>
        <w:spacing w:before="20" w:after="20"/>
        <w:jc w:val="both"/>
        <w:rPr>
          <w:rFonts w:cs="Arial"/>
          <w:i/>
          <w:iCs/>
          <w:szCs w:val="20"/>
          <w:lang w:val="sl-SI"/>
        </w:rPr>
      </w:pPr>
    </w:p>
    <w:p w14:paraId="2C237B89"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Uredba (EU) 2017/625 določa tudi, da morajo EU in nacionalni uradni in referenčni laboratoriji delovati v skladu s standardom EN ISO/IEC 17025. Določene analize, zlasti pri bioloških tveganjih, pa lahko opravljajo tudi laboratoriji, ki niso akreditirani po EN ISO/IEC 17025, temveč po drugih standardih. Da se prepreči podvajanje akreditacij, predlagana sprememba omogoča možnost akreditacije tudi po drugih primerljivih laboratorijskih standardih (na primer namesto EN ISO/IEC 17025 je laboratorij lahko akreditiran po ISO 15189).</w:t>
      </w:r>
    </w:p>
    <w:p w14:paraId="6846F868" w14:textId="77777777" w:rsidR="00EE252E" w:rsidRPr="00E50548" w:rsidRDefault="00EE252E" w:rsidP="00CF3C1F">
      <w:pPr>
        <w:spacing w:before="20" w:after="20"/>
        <w:jc w:val="both"/>
        <w:rPr>
          <w:rFonts w:cs="Arial"/>
          <w:i/>
          <w:iCs/>
          <w:szCs w:val="20"/>
          <w:lang w:val="sl-SI"/>
        </w:rPr>
      </w:pPr>
    </w:p>
    <w:p w14:paraId="05B48C1F" w14:textId="77777777" w:rsidR="00EE252E" w:rsidRPr="00E50548" w:rsidRDefault="00EE252E" w:rsidP="00CF3C1F">
      <w:pPr>
        <w:spacing w:before="20" w:after="20"/>
        <w:jc w:val="both"/>
        <w:rPr>
          <w:rFonts w:cs="Arial"/>
          <w:i/>
          <w:iCs/>
          <w:szCs w:val="20"/>
          <w:lang w:val="sl-SI"/>
        </w:rPr>
      </w:pPr>
      <w:r w:rsidRPr="00E50548">
        <w:rPr>
          <w:rFonts w:cs="Arial"/>
          <w:i/>
          <w:iCs/>
          <w:szCs w:val="20"/>
          <w:lang w:val="sl-SI"/>
        </w:rPr>
        <w:t xml:space="preserve">Opredelitev: Slovenija se strinja, da se tudi za EU in nacionalne referenčne laboratorije omogoči odstopanja od obvezne akreditacije vseh metod in/ali </w:t>
      </w:r>
      <w:proofErr w:type="spellStart"/>
      <w:r w:rsidRPr="00E50548">
        <w:rPr>
          <w:rFonts w:cs="Arial"/>
          <w:i/>
          <w:iCs/>
          <w:szCs w:val="20"/>
          <w:lang w:val="sl-SI"/>
        </w:rPr>
        <w:t>matriksov</w:t>
      </w:r>
      <w:proofErr w:type="spellEnd"/>
      <w:r w:rsidRPr="00E50548">
        <w:rPr>
          <w:rFonts w:cs="Arial"/>
          <w:i/>
          <w:iCs/>
          <w:szCs w:val="20"/>
          <w:lang w:val="sl-SI"/>
        </w:rPr>
        <w:t xml:space="preserve">. Slovenija se tudi strinja, da se za EU in nacionalne referenčne laboratorije  omogoči akreditacija tudi po drugih standardih, ki so primerljivi z ISO 17025. </w:t>
      </w:r>
    </w:p>
    <w:p w14:paraId="7A7028AC" w14:textId="77777777" w:rsidR="00EE252E" w:rsidRPr="00E50548" w:rsidRDefault="00EE252E" w:rsidP="00CF3C1F">
      <w:pPr>
        <w:spacing w:before="20" w:after="20"/>
        <w:jc w:val="both"/>
        <w:rPr>
          <w:rFonts w:cs="Arial"/>
          <w:iCs/>
          <w:szCs w:val="20"/>
          <w:lang w:val="sl-SI"/>
        </w:rPr>
      </w:pPr>
    </w:p>
    <w:p w14:paraId="3BD53D27" w14:textId="77777777" w:rsidR="00EE252E" w:rsidRPr="00E50548" w:rsidRDefault="00EE252E" w:rsidP="00CF3C1F">
      <w:pPr>
        <w:spacing w:before="20" w:after="20"/>
        <w:jc w:val="both"/>
        <w:rPr>
          <w:rFonts w:cs="Arial"/>
          <w:iCs/>
          <w:szCs w:val="20"/>
          <w:lang w:val="sl-SI"/>
        </w:rPr>
      </w:pPr>
      <w:r w:rsidRPr="00E50548">
        <w:rPr>
          <w:rFonts w:cs="Arial"/>
          <w:b/>
          <w:iCs/>
          <w:szCs w:val="20"/>
          <w:lang w:val="sl-SI"/>
        </w:rPr>
        <w:t>OCENA VPLIVOV IN POSLEDIC PREDLOGA ZADEVE EU</w:t>
      </w:r>
      <w:r w:rsidRPr="00E50548">
        <w:rPr>
          <w:rFonts w:cs="Arial"/>
          <w:iCs/>
          <w:szCs w:val="20"/>
          <w:lang w:val="sl-SI"/>
        </w:rPr>
        <w:t xml:space="preserve">: </w:t>
      </w:r>
    </w:p>
    <w:p w14:paraId="7E97E5F1" w14:textId="77777777" w:rsidR="00EE252E" w:rsidRPr="00E50548" w:rsidRDefault="00EE252E" w:rsidP="00CF3C1F">
      <w:pPr>
        <w:spacing w:before="20" w:after="20"/>
        <w:jc w:val="both"/>
        <w:rPr>
          <w:rFonts w:cs="Arial"/>
          <w:i/>
          <w:szCs w:val="20"/>
          <w:lang w:val="sl-SI"/>
        </w:rPr>
      </w:pPr>
    </w:p>
    <w:p w14:paraId="245D5A85" w14:textId="77777777" w:rsidR="00EE252E" w:rsidRPr="00E50548" w:rsidRDefault="00EE252E" w:rsidP="00CF3C1F">
      <w:pPr>
        <w:spacing w:before="20" w:after="20"/>
        <w:jc w:val="both"/>
        <w:rPr>
          <w:rFonts w:cs="Arial"/>
          <w:szCs w:val="20"/>
          <w:lang w:val="sl-SI"/>
        </w:rPr>
      </w:pPr>
      <w:r w:rsidRPr="00E50548">
        <w:rPr>
          <w:rFonts w:cs="Arial"/>
          <w:szCs w:val="20"/>
          <w:lang w:val="sl-SI"/>
        </w:rPr>
        <w:t>Vpliv na pravni red</w:t>
      </w:r>
    </w:p>
    <w:p w14:paraId="2C665F7C" w14:textId="77777777" w:rsidR="00EE252E" w:rsidRPr="00E50548" w:rsidRDefault="00EE252E" w:rsidP="00CF3C1F">
      <w:pPr>
        <w:spacing w:before="20" w:after="20"/>
        <w:jc w:val="both"/>
        <w:rPr>
          <w:rFonts w:cs="Arial"/>
          <w:i/>
          <w:szCs w:val="20"/>
          <w:lang w:val="sl-SI"/>
        </w:rPr>
      </w:pPr>
    </w:p>
    <w:p w14:paraId="6E69D03E" w14:textId="77777777" w:rsidR="00EE252E" w:rsidRPr="00E50548" w:rsidRDefault="00EE252E" w:rsidP="00CF3C1F">
      <w:pPr>
        <w:spacing w:before="20" w:after="20"/>
        <w:jc w:val="both"/>
        <w:rPr>
          <w:rFonts w:cs="Arial"/>
          <w:i/>
          <w:szCs w:val="20"/>
          <w:lang w:val="sl-SI"/>
        </w:rPr>
      </w:pPr>
      <w:r w:rsidRPr="00E50548">
        <w:rPr>
          <w:rFonts w:cs="Arial"/>
          <w:i/>
          <w:szCs w:val="20"/>
          <w:lang w:val="sl-SI"/>
        </w:rPr>
        <w:tab/>
        <w:t>Sprememba obstoječih aktov</w:t>
      </w:r>
    </w:p>
    <w:p w14:paraId="6C66BD34" w14:textId="77777777" w:rsidR="00EE252E" w:rsidRPr="00E50548" w:rsidRDefault="00EE252E" w:rsidP="00CF3C1F">
      <w:pPr>
        <w:spacing w:before="20" w:after="20"/>
        <w:jc w:val="both"/>
        <w:rPr>
          <w:rFonts w:cs="Arial"/>
          <w:i/>
          <w:szCs w:val="20"/>
          <w:lang w:val="sl-SI"/>
        </w:rPr>
      </w:pPr>
      <w:r w:rsidRPr="00E50548">
        <w:rPr>
          <w:rFonts w:cs="Arial"/>
          <w:i/>
          <w:szCs w:val="20"/>
          <w:lang w:val="sl-SI"/>
        </w:rPr>
        <w:tab/>
        <w:t>Pričakovati je prilagoditev sekundarne zakonodaje EU ter nacionalnih predpisov, ki urejajo področje fitofarmacevtskih sredstev, hrane in krme ter uradnega nadzora..</w:t>
      </w:r>
    </w:p>
    <w:p w14:paraId="3C755646" w14:textId="77777777" w:rsidR="00EE252E" w:rsidRPr="00E50548" w:rsidRDefault="00EE252E" w:rsidP="00CF3C1F">
      <w:pPr>
        <w:spacing w:before="20" w:after="20"/>
        <w:jc w:val="both"/>
        <w:rPr>
          <w:rFonts w:cs="Arial"/>
          <w:i/>
          <w:szCs w:val="20"/>
          <w:lang w:val="sl-SI"/>
        </w:rPr>
      </w:pPr>
    </w:p>
    <w:p w14:paraId="7C7B81EF" w14:textId="77777777" w:rsidR="00EE252E" w:rsidRPr="00E50548" w:rsidRDefault="00EE252E" w:rsidP="00CF3C1F">
      <w:pPr>
        <w:spacing w:before="20" w:after="20"/>
        <w:jc w:val="both"/>
        <w:rPr>
          <w:rFonts w:cs="Arial"/>
          <w:i/>
          <w:szCs w:val="20"/>
          <w:lang w:val="sl-SI"/>
        </w:rPr>
      </w:pPr>
      <w:r w:rsidRPr="00E50548">
        <w:rPr>
          <w:rFonts w:cs="Arial"/>
          <w:i/>
          <w:szCs w:val="20"/>
          <w:lang w:val="sl-SI"/>
        </w:rPr>
        <w:tab/>
        <w:t>Priprava novih aktov</w:t>
      </w:r>
    </w:p>
    <w:p w14:paraId="2934AB1B" w14:textId="77777777" w:rsidR="00EE252E" w:rsidRPr="00E50548" w:rsidRDefault="00EE252E" w:rsidP="00CF3C1F">
      <w:pPr>
        <w:spacing w:before="20" w:after="20"/>
        <w:jc w:val="both"/>
        <w:rPr>
          <w:rFonts w:cs="Arial"/>
          <w:i/>
          <w:szCs w:val="20"/>
          <w:lang w:val="sl-SI"/>
        </w:rPr>
      </w:pPr>
      <w:r w:rsidRPr="00E50548">
        <w:rPr>
          <w:rFonts w:cs="Arial"/>
          <w:i/>
          <w:szCs w:val="20"/>
          <w:lang w:val="sl-SI"/>
        </w:rPr>
        <w:tab/>
        <w:t>/</w:t>
      </w:r>
    </w:p>
    <w:p w14:paraId="6494F942" w14:textId="77777777" w:rsidR="00EE252E" w:rsidRPr="00E50548" w:rsidRDefault="00EE252E" w:rsidP="00CF3C1F">
      <w:pPr>
        <w:spacing w:before="20" w:after="20"/>
        <w:jc w:val="both"/>
        <w:rPr>
          <w:rFonts w:cs="Arial"/>
          <w:i/>
          <w:szCs w:val="20"/>
          <w:lang w:val="sl-SI"/>
        </w:rPr>
      </w:pPr>
    </w:p>
    <w:p w14:paraId="422B39A2" w14:textId="77777777" w:rsidR="00EE252E" w:rsidRPr="00E50548" w:rsidRDefault="00EE252E" w:rsidP="00CF3C1F">
      <w:pPr>
        <w:spacing w:before="20" w:after="20"/>
        <w:jc w:val="both"/>
        <w:rPr>
          <w:rFonts w:cs="Arial"/>
          <w:szCs w:val="20"/>
          <w:lang w:val="sl-SI"/>
        </w:rPr>
      </w:pPr>
      <w:r w:rsidRPr="00E50548">
        <w:rPr>
          <w:rFonts w:cs="Arial"/>
          <w:szCs w:val="20"/>
          <w:lang w:val="sl-SI"/>
        </w:rPr>
        <w:t>Posledice za proračun</w:t>
      </w:r>
    </w:p>
    <w:p w14:paraId="0F4EE1D5" w14:textId="77777777" w:rsidR="00EE252E" w:rsidRPr="00E50548" w:rsidRDefault="00E50548" w:rsidP="00CF3C1F">
      <w:pPr>
        <w:spacing w:before="20" w:after="20"/>
        <w:jc w:val="both"/>
        <w:rPr>
          <w:rFonts w:cs="Arial"/>
          <w:i/>
          <w:szCs w:val="20"/>
          <w:lang w:val="sl-SI"/>
        </w:rPr>
      </w:pPr>
      <w:r>
        <w:rPr>
          <w:rFonts w:cs="Arial"/>
          <w:i/>
          <w:szCs w:val="20"/>
          <w:lang w:val="sl-SI"/>
        </w:rPr>
        <w:t>P</w:t>
      </w:r>
      <w:r w:rsidR="00EE252E" w:rsidRPr="00E50548">
        <w:rPr>
          <w:rFonts w:cs="Arial"/>
          <w:i/>
          <w:szCs w:val="20"/>
          <w:lang w:val="sl-SI"/>
        </w:rPr>
        <w:t>redlagani akt ne bo imel neposrednih proračunskih posledic za Slovenijo ali proračun Evropske unije. Spremembe ne uvajajo novih finančnih obveznosti niti dodatnega financiranja za izvajanje nadzora ali administrativnih postopkov. Poenostavitve pravil in zmanjšanje administrativnih bremen lahko sicer posredno zmanjšajo stroške nacionalnih organov pri nadzoru in upravljanju, vendar brez vpliva na proračunske prihodke ali odhodke.</w:t>
      </w:r>
    </w:p>
    <w:p w14:paraId="603A6405" w14:textId="77777777" w:rsidR="00EE252E" w:rsidRPr="00E50548" w:rsidRDefault="00EE252E" w:rsidP="00CF3C1F">
      <w:pPr>
        <w:spacing w:before="20" w:after="20"/>
        <w:jc w:val="both"/>
        <w:rPr>
          <w:rFonts w:cs="Arial"/>
          <w:szCs w:val="20"/>
          <w:lang w:val="sl-SI"/>
        </w:rPr>
      </w:pPr>
    </w:p>
    <w:p w14:paraId="3B1C0422" w14:textId="77777777" w:rsidR="00EE252E" w:rsidRPr="00E50548" w:rsidRDefault="00EE252E" w:rsidP="00CF3C1F">
      <w:pPr>
        <w:spacing w:before="20" w:after="20"/>
        <w:jc w:val="both"/>
        <w:rPr>
          <w:rFonts w:cs="Arial"/>
          <w:szCs w:val="20"/>
          <w:lang w:val="sl-SI"/>
        </w:rPr>
      </w:pPr>
      <w:r w:rsidRPr="00E50548">
        <w:rPr>
          <w:rFonts w:cs="Arial"/>
          <w:szCs w:val="20"/>
          <w:lang w:val="sl-SI"/>
        </w:rPr>
        <w:t>Vpliv na gospodarstvo</w:t>
      </w:r>
    </w:p>
    <w:p w14:paraId="3CD770E8" w14:textId="68C3A581" w:rsidR="00EE252E" w:rsidRPr="00E50548" w:rsidRDefault="00EE252E" w:rsidP="00CF3C1F">
      <w:pPr>
        <w:spacing w:before="20" w:after="20"/>
        <w:jc w:val="both"/>
        <w:rPr>
          <w:rFonts w:cs="Arial"/>
          <w:i/>
          <w:szCs w:val="20"/>
          <w:lang w:val="sl-SI"/>
        </w:rPr>
      </w:pPr>
      <w:r w:rsidRPr="00E50548">
        <w:rPr>
          <w:rFonts w:cs="Arial"/>
          <w:i/>
          <w:szCs w:val="20"/>
          <w:lang w:val="sl-SI"/>
        </w:rPr>
        <w:t xml:space="preserve">Pričakuje se pozitiven vpliv na gospodarstvo, saj se poenostavljajo in pospešujejo postopki odobritve fitofarmacevtskih sredstev, </w:t>
      </w:r>
      <w:proofErr w:type="spellStart"/>
      <w:r w:rsidRPr="00E50548">
        <w:rPr>
          <w:rFonts w:cs="Arial"/>
          <w:i/>
          <w:szCs w:val="20"/>
          <w:lang w:val="sl-SI"/>
        </w:rPr>
        <w:t>biokontrolnih</w:t>
      </w:r>
      <w:proofErr w:type="spellEnd"/>
      <w:r w:rsidRPr="00E50548">
        <w:rPr>
          <w:rFonts w:cs="Arial"/>
          <w:i/>
          <w:szCs w:val="20"/>
          <w:lang w:val="sl-SI"/>
        </w:rPr>
        <w:t xml:space="preserve"> aktivnih snovi, krmnih dodatkov in gensko spremenjenih proizvodov, kar omogoča hitrejši dostop do inovativnih in trajnostnih rešitev. Zmanjšanje administrativnih zahtev, enotne definicije, »tihi pristanek« in vzajemno priznavanje zmanjšujejo stroške podjetij ter olajšujejo trgovanje v EU. Hkrati ukrepi spodbujajo uporabo okolju prijaznih alternativ, kar krepi konkurenčnost evropskega kmetijstva ter kmetijsko–živilske industrije, omogoča bolj trajnostno proizvodnjo ter zmanjšuje tveganja za uvoz snovi, ki niso odobrene v EU, kar zagotavlja stabilnejše in bolj predvidljivo poslovno okolj</w:t>
      </w:r>
      <w:r w:rsidR="00B51F53">
        <w:rPr>
          <w:rFonts w:cs="Arial"/>
          <w:i/>
          <w:szCs w:val="20"/>
          <w:lang w:val="sl-SI"/>
        </w:rPr>
        <w:t>e.</w:t>
      </w:r>
    </w:p>
    <w:p w14:paraId="301344FB" w14:textId="77777777" w:rsidR="00EE252E" w:rsidRPr="00E50548" w:rsidRDefault="00EE252E" w:rsidP="00CF3C1F">
      <w:pPr>
        <w:spacing w:before="20" w:after="20"/>
        <w:jc w:val="both"/>
        <w:rPr>
          <w:rFonts w:cs="Arial"/>
          <w:szCs w:val="20"/>
          <w:lang w:val="sl-SI"/>
        </w:rPr>
      </w:pPr>
    </w:p>
    <w:p w14:paraId="6E4A1CB5" w14:textId="77777777" w:rsidR="00EE252E" w:rsidRPr="00E50548" w:rsidRDefault="00EE252E" w:rsidP="00CF3C1F">
      <w:pPr>
        <w:spacing w:before="20" w:after="20"/>
        <w:jc w:val="both"/>
        <w:rPr>
          <w:rFonts w:cs="Arial"/>
          <w:szCs w:val="20"/>
          <w:lang w:val="sl-SI"/>
        </w:rPr>
      </w:pPr>
      <w:r w:rsidRPr="00E50548">
        <w:rPr>
          <w:rFonts w:cs="Arial"/>
          <w:szCs w:val="20"/>
          <w:lang w:val="sl-SI"/>
        </w:rPr>
        <w:t>Vpliv na javno upravo</w:t>
      </w:r>
    </w:p>
    <w:p w14:paraId="2C3C4F8E" w14:textId="77777777" w:rsidR="00EE252E" w:rsidRPr="00E50548" w:rsidRDefault="00EE252E" w:rsidP="00CF3C1F">
      <w:pPr>
        <w:spacing w:before="20" w:after="20"/>
        <w:jc w:val="both"/>
        <w:rPr>
          <w:rFonts w:cs="Arial"/>
          <w:i/>
          <w:szCs w:val="20"/>
          <w:lang w:val="sl-SI"/>
        </w:rPr>
      </w:pPr>
      <w:r w:rsidRPr="00E50548">
        <w:rPr>
          <w:rFonts w:cs="Arial"/>
          <w:i/>
          <w:szCs w:val="20"/>
          <w:lang w:val="sl-SI"/>
        </w:rPr>
        <w:t>Predlagane spremembe bodo imele predvsem pozitiven vpliv na javno upravo, saj zmanjšujejo administrativno breme, prispevajo k poenotenju postopkov in skrajšujejo roke odločanja. Uvedba enotnih definicij, enotnih con ter digitaliziranih postopkov (npr. TRIS, digitalno označevanje krmnih dodatkov) omogoča učinkovitejše delo organov, zmanjšuje podvajanje aktivnosti in poenostavlja nadzor nad FFS, krmnimi dodatki in krmo. Hkrati ostajajo zagotovljene varovalke za varnost ljudi, živali in okolja, saj se ohranja strokovni nadzor, EFSA podprte ocene tveganja in selektivni postopki obnov, kar omogoča racionalnejšo razporeditev kadrovskih in finančnih virov.</w:t>
      </w:r>
    </w:p>
    <w:p w14:paraId="20C4C18C" w14:textId="18AED676" w:rsidR="00EE252E" w:rsidRPr="00E50548" w:rsidRDefault="00EE252E" w:rsidP="00CF3C1F">
      <w:pPr>
        <w:spacing w:before="20" w:after="20"/>
        <w:jc w:val="both"/>
        <w:rPr>
          <w:rFonts w:cs="Arial"/>
          <w:i/>
          <w:szCs w:val="20"/>
          <w:lang w:val="sl-SI"/>
        </w:rPr>
      </w:pPr>
      <w:r w:rsidRPr="00C730BB">
        <w:rPr>
          <w:rFonts w:cs="Arial"/>
          <w:i/>
          <w:szCs w:val="20"/>
          <w:lang w:val="sl-SI"/>
        </w:rPr>
        <w:t>Hkrati pričakujemo, da bodo predlagane poenostavitve pri fermentacijskih proizvodih povečale administrativne obremenitve pristojnih organov, predvsem inšpekcijskih služb, in finančno obremenitev</w:t>
      </w:r>
      <w:r w:rsidR="002A0212">
        <w:rPr>
          <w:rFonts w:cs="Arial"/>
          <w:i/>
          <w:szCs w:val="20"/>
          <w:lang w:val="sl-SI"/>
        </w:rPr>
        <w:t>,</w:t>
      </w:r>
      <w:r w:rsidRPr="00C730BB">
        <w:rPr>
          <w:rFonts w:cs="Arial"/>
          <w:i/>
          <w:szCs w:val="20"/>
          <w:lang w:val="sl-SI"/>
        </w:rPr>
        <w:t xml:space="preserve"> povezano z nadzorom in laboratorijskimi analizami.</w:t>
      </w:r>
    </w:p>
    <w:p w14:paraId="3741CBDC" w14:textId="77777777" w:rsidR="00EE252E" w:rsidRPr="00E50548" w:rsidRDefault="00EE252E" w:rsidP="00CF3C1F">
      <w:pPr>
        <w:spacing w:before="20" w:after="20"/>
        <w:jc w:val="both"/>
        <w:rPr>
          <w:rFonts w:cs="Arial"/>
          <w:szCs w:val="20"/>
          <w:lang w:val="sl-SI"/>
        </w:rPr>
      </w:pPr>
    </w:p>
    <w:p w14:paraId="72369302" w14:textId="77777777" w:rsidR="00EE252E" w:rsidRPr="00E50548" w:rsidRDefault="00EE252E" w:rsidP="00CF3C1F">
      <w:pPr>
        <w:spacing w:before="20" w:after="20"/>
        <w:jc w:val="both"/>
        <w:rPr>
          <w:rFonts w:cs="Arial"/>
          <w:szCs w:val="20"/>
          <w:lang w:val="sl-SI"/>
        </w:rPr>
      </w:pPr>
      <w:r w:rsidRPr="00E50548">
        <w:rPr>
          <w:rFonts w:cs="Arial"/>
          <w:szCs w:val="20"/>
          <w:lang w:val="sl-SI"/>
        </w:rPr>
        <w:t>Vpliv na okolje</w:t>
      </w:r>
    </w:p>
    <w:p w14:paraId="32B296A2" w14:textId="77777777" w:rsidR="00EE252E" w:rsidRPr="00E50548" w:rsidRDefault="00EE252E" w:rsidP="00CF3C1F">
      <w:pPr>
        <w:spacing w:before="20" w:after="20"/>
        <w:jc w:val="both"/>
        <w:rPr>
          <w:rFonts w:cs="Arial"/>
          <w:i/>
          <w:szCs w:val="20"/>
          <w:lang w:val="sl-SI"/>
        </w:rPr>
      </w:pPr>
      <w:r w:rsidRPr="00E50548">
        <w:rPr>
          <w:rFonts w:cs="Arial"/>
          <w:i/>
          <w:szCs w:val="20"/>
          <w:lang w:val="sl-SI"/>
        </w:rPr>
        <w:t xml:space="preserve">S predlagani ukrepi se spodbuja prehod na trajnostne in varnejše prakse v kmetijstvu in prehranski verigi. Pospešitev uvajanja </w:t>
      </w:r>
      <w:proofErr w:type="spellStart"/>
      <w:r w:rsidRPr="00E50548">
        <w:rPr>
          <w:rFonts w:cs="Arial"/>
          <w:i/>
          <w:szCs w:val="20"/>
          <w:lang w:val="sl-SI"/>
        </w:rPr>
        <w:t>biokontrolnih</w:t>
      </w:r>
      <w:proofErr w:type="spellEnd"/>
      <w:r w:rsidRPr="00E50548">
        <w:rPr>
          <w:rFonts w:cs="Arial"/>
          <w:i/>
          <w:szCs w:val="20"/>
          <w:lang w:val="sl-SI"/>
        </w:rPr>
        <w:t xml:space="preserve"> aktivnih snovi in </w:t>
      </w:r>
      <w:proofErr w:type="spellStart"/>
      <w:r w:rsidRPr="00E50548">
        <w:rPr>
          <w:rFonts w:cs="Arial"/>
          <w:i/>
          <w:szCs w:val="20"/>
          <w:lang w:val="sl-SI"/>
        </w:rPr>
        <w:t>nizkotveganih</w:t>
      </w:r>
      <w:proofErr w:type="spellEnd"/>
      <w:r w:rsidRPr="00E50548">
        <w:rPr>
          <w:rFonts w:cs="Arial"/>
          <w:i/>
          <w:szCs w:val="20"/>
          <w:lang w:val="sl-SI"/>
        </w:rPr>
        <w:t xml:space="preserve"> snovi zmanjšuje uporabo sintetičnih pesticidov ter tveganja za talne, vodne in </w:t>
      </w:r>
      <w:proofErr w:type="spellStart"/>
      <w:r w:rsidRPr="00E50548">
        <w:rPr>
          <w:rFonts w:cs="Arial"/>
          <w:i/>
          <w:szCs w:val="20"/>
          <w:lang w:val="sl-SI"/>
        </w:rPr>
        <w:t>neciljne</w:t>
      </w:r>
      <w:proofErr w:type="spellEnd"/>
      <w:r w:rsidRPr="00E50548">
        <w:rPr>
          <w:rFonts w:cs="Arial"/>
          <w:i/>
          <w:szCs w:val="20"/>
          <w:lang w:val="sl-SI"/>
        </w:rPr>
        <w:t xml:space="preserve"> organizme. Poenotenje postopkov, prednostna obravnava registracij, začasne odobritve in zmanjšanje administrativnih ovir olajšujejo širšo uporabo okolju prijaznih sredstev ter krepijo </w:t>
      </w:r>
      <w:proofErr w:type="spellStart"/>
      <w:r w:rsidRPr="00E50548">
        <w:rPr>
          <w:rFonts w:cs="Arial"/>
          <w:i/>
          <w:szCs w:val="20"/>
          <w:lang w:val="sl-SI"/>
        </w:rPr>
        <w:t>biodiverziteto</w:t>
      </w:r>
      <w:proofErr w:type="spellEnd"/>
      <w:r w:rsidRPr="00E50548">
        <w:rPr>
          <w:rFonts w:cs="Arial"/>
          <w:i/>
          <w:szCs w:val="20"/>
          <w:lang w:val="sl-SI"/>
        </w:rPr>
        <w:t>, kakovost tal in vode. Hkrati spremembe v nadzoru krmnih dodatkov in največja dovoljena količina ostankov pesticidov zagotavljajo varnost in sledljivost ter preprečujejo vnos nevarnih snovi v okolje. Ob ustreznem nadzoru in jasnih kriterijih ukrepi prispevajo k trajnostnemu razvoju, večji odpornosti ekosistemov in podnebnim ciljem EU.</w:t>
      </w:r>
    </w:p>
    <w:p w14:paraId="084995B4" w14:textId="77777777" w:rsidR="00EE252E" w:rsidRPr="00E50548" w:rsidRDefault="00EE252E" w:rsidP="00CF3C1F">
      <w:pPr>
        <w:spacing w:before="20" w:after="20"/>
        <w:jc w:val="both"/>
        <w:rPr>
          <w:rFonts w:cs="Arial"/>
          <w:szCs w:val="20"/>
          <w:lang w:val="sl-SI"/>
        </w:rPr>
      </w:pPr>
    </w:p>
    <w:p w14:paraId="0A00CD7F" w14:textId="77777777" w:rsidR="00EE252E" w:rsidRPr="00E50548" w:rsidRDefault="00EE252E" w:rsidP="00CF3C1F">
      <w:pPr>
        <w:spacing w:before="20" w:after="20"/>
        <w:jc w:val="both"/>
        <w:rPr>
          <w:rFonts w:cs="Arial"/>
          <w:szCs w:val="20"/>
          <w:lang w:val="sl-SI"/>
        </w:rPr>
      </w:pPr>
      <w:r w:rsidRPr="00E50548">
        <w:rPr>
          <w:rFonts w:cs="Arial"/>
          <w:szCs w:val="20"/>
          <w:lang w:val="sl-SI"/>
        </w:rPr>
        <w:t>Drugo</w:t>
      </w:r>
    </w:p>
    <w:p w14:paraId="5BD82FF7" w14:textId="77777777" w:rsidR="00EE252E" w:rsidRPr="00E50548" w:rsidRDefault="00EE252E" w:rsidP="00CF3C1F">
      <w:pPr>
        <w:spacing w:before="20" w:after="20"/>
        <w:jc w:val="both"/>
        <w:rPr>
          <w:rFonts w:cs="Arial"/>
          <w:i/>
          <w:szCs w:val="20"/>
          <w:lang w:val="sl-SI"/>
        </w:rPr>
      </w:pPr>
    </w:p>
    <w:p w14:paraId="2E831FEC" w14:textId="0B359C5A" w:rsidR="00EE252E" w:rsidRPr="00E50548" w:rsidRDefault="00EE252E" w:rsidP="00CF3C1F">
      <w:pPr>
        <w:spacing w:before="20" w:after="20"/>
        <w:jc w:val="both"/>
        <w:rPr>
          <w:rFonts w:cs="Arial"/>
          <w:b/>
          <w:szCs w:val="20"/>
          <w:lang w:val="sl-SI"/>
        </w:rPr>
      </w:pPr>
      <w:r w:rsidRPr="00E50548">
        <w:rPr>
          <w:rFonts w:cs="Arial"/>
          <w:b/>
          <w:bCs/>
          <w:i/>
          <w:szCs w:val="20"/>
          <w:lang w:val="sl-SI"/>
        </w:rPr>
        <w:t xml:space="preserve"> </w:t>
      </w:r>
      <w:r w:rsidRPr="00E50548">
        <w:rPr>
          <w:rFonts w:cs="Arial"/>
          <w:b/>
          <w:szCs w:val="20"/>
          <w:lang w:val="sl-SI"/>
        </w:rPr>
        <w:t>C)</w:t>
      </w:r>
    </w:p>
    <w:p w14:paraId="776C7E18" w14:textId="77777777" w:rsidR="00EE252E" w:rsidRPr="00E50548" w:rsidRDefault="00EE252E" w:rsidP="00CF3C1F">
      <w:pPr>
        <w:spacing w:before="20" w:after="20"/>
        <w:jc w:val="both"/>
        <w:rPr>
          <w:rFonts w:cs="Arial"/>
          <w:b/>
          <w:iCs/>
          <w:szCs w:val="20"/>
          <w:lang w:val="sl-SI"/>
        </w:rPr>
      </w:pPr>
      <w:r w:rsidRPr="00E50548">
        <w:rPr>
          <w:rFonts w:cs="Arial"/>
          <w:b/>
          <w:iCs/>
          <w:szCs w:val="20"/>
          <w:lang w:val="sl-SI"/>
        </w:rPr>
        <w:t>Predstavniki RS, ki bodo zastopali stališče RS v institucijah EU</w:t>
      </w:r>
      <w:r w:rsidRPr="00E50548">
        <w:rPr>
          <w:rFonts w:cs="Arial"/>
          <w:iCs/>
          <w:szCs w:val="20"/>
          <w:lang w:val="sl-SI"/>
        </w:rPr>
        <w:t>:</w:t>
      </w:r>
      <w:r w:rsidRPr="00E50548">
        <w:rPr>
          <w:rFonts w:cs="Arial"/>
          <w:b/>
          <w:iCs/>
          <w:szCs w:val="20"/>
          <w:lang w:val="sl-SI"/>
        </w:rPr>
        <w:t xml:space="preserve"> </w:t>
      </w:r>
    </w:p>
    <w:p w14:paraId="713D11DF" w14:textId="1E6459DB" w:rsidR="007D75CF" w:rsidRPr="00E50548" w:rsidRDefault="00EE252E" w:rsidP="00B80D38">
      <w:pPr>
        <w:spacing w:before="20" w:after="20"/>
        <w:jc w:val="both"/>
        <w:rPr>
          <w:lang w:val="sl-SI"/>
        </w:rPr>
      </w:pPr>
      <w:r w:rsidRPr="00E50548">
        <w:rPr>
          <w:rFonts w:cs="Arial"/>
          <w:b/>
          <w:i/>
          <w:iCs/>
          <w:szCs w:val="20"/>
          <w:lang w:val="sl-SI"/>
        </w:rPr>
        <w:t>Simona Perme, Marko Potočnik, SPBR</w:t>
      </w:r>
      <w:bookmarkStart w:id="0" w:name="_GoBack"/>
      <w:bookmarkEnd w:id="0"/>
    </w:p>
    <w:sectPr w:rsidR="007D75CF" w:rsidRPr="00E50548" w:rsidSect="00431D47">
      <w:headerReference w:type="even" r:id="rId8"/>
      <w:headerReference w:type="default" r:id="rId9"/>
      <w:footerReference w:type="even" r:id="rId10"/>
      <w:footerReference w:type="default" r:id="rId11"/>
      <w:headerReference w:type="first" r:id="rId12"/>
      <w:footerReference w:type="first" r:id="rId13"/>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06C41" w14:textId="77777777" w:rsidR="00CE1A37" w:rsidRDefault="00CE1A37">
      <w:r>
        <w:separator/>
      </w:r>
    </w:p>
  </w:endnote>
  <w:endnote w:type="continuationSeparator" w:id="0">
    <w:p w14:paraId="7B1D9A7E" w14:textId="77777777" w:rsidR="00CE1A37" w:rsidRDefault="00CE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EE"/>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1556D" w14:textId="77777777" w:rsidR="00EE252E" w:rsidRDefault="00EE252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1C089" w14:textId="77777777" w:rsidR="00EE252E" w:rsidRDefault="00EE252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289C" w14:textId="77777777" w:rsidR="00EE252E" w:rsidRDefault="00EE252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AF0E5" w14:textId="77777777" w:rsidR="00CE1A37" w:rsidRDefault="00CE1A37">
      <w:r>
        <w:separator/>
      </w:r>
    </w:p>
  </w:footnote>
  <w:footnote w:type="continuationSeparator" w:id="0">
    <w:p w14:paraId="6E406369" w14:textId="77777777" w:rsidR="00CE1A37" w:rsidRDefault="00CE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EEFD2" w14:textId="77777777" w:rsidR="00EE252E" w:rsidRDefault="00EE252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76DF" w14:textId="77777777"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14:paraId="0E3E004A" w14:textId="77777777">
      <w:trPr>
        <w:cantSplit/>
        <w:trHeight w:hRule="exact" w:val="847"/>
      </w:trPr>
      <w:tc>
        <w:tcPr>
          <w:tcW w:w="567" w:type="dxa"/>
        </w:tcPr>
        <w:p w14:paraId="4063F961" w14:textId="77777777" w:rsidR="00530285" w:rsidRPr="00963ADE" w:rsidRDefault="00364710"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14:anchorId="129FBB7E" wp14:editId="14E89DCD">
                <wp:extent cx="248285" cy="29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7815"/>
                        </a:xfrm>
                        <a:prstGeom prst="rect">
                          <a:avLst/>
                        </a:prstGeom>
                        <a:noFill/>
                        <a:ln>
                          <a:noFill/>
                        </a:ln>
                      </pic:spPr>
                    </pic:pic>
                  </a:graphicData>
                </a:graphic>
              </wp:inline>
            </w:drawing>
          </w:r>
        </w:p>
        <w:p w14:paraId="5662C4E3" w14:textId="77777777" w:rsidR="006D42D9" w:rsidRPr="006D42D9" w:rsidRDefault="006D42D9" w:rsidP="0024718A">
          <w:pPr>
            <w:autoSpaceDE w:val="0"/>
            <w:autoSpaceDN w:val="0"/>
            <w:adjustRightInd w:val="0"/>
            <w:spacing w:line="240" w:lineRule="auto"/>
            <w:rPr>
              <w:rFonts w:ascii="Republika" w:hAnsi="Republika"/>
              <w:sz w:val="60"/>
              <w:szCs w:val="60"/>
              <w:lang w:val="sl-SI"/>
            </w:rPr>
          </w:pPr>
        </w:p>
        <w:p w14:paraId="26280E09" w14:textId="77777777" w:rsidR="006D42D9" w:rsidRPr="006D42D9" w:rsidRDefault="006D42D9" w:rsidP="006D42D9">
          <w:pPr>
            <w:rPr>
              <w:rFonts w:ascii="Republika" w:hAnsi="Republika"/>
              <w:sz w:val="60"/>
              <w:szCs w:val="60"/>
              <w:lang w:val="sl-SI"/>
            </w:rPr>
          </w:pPr>
        </w:p>
        <w:p w14:paraId="69AF3361" w14:textId="77777777" w:rsidR="006D42D9" w:rsidRPr="006D42D9" w:rsidRDefault="006D42D9" w:rsidP="006D42D9">
          <w:pPr>
            <w:rPr>
              <w:rFonts w:ascii="Republika" w:hAnsi="Republika"/>
              <w:sz w:val="60"/>
              <w:szCs w:val="60"/>
              <w:lang w:val="sl-SI"/>
            </w:rPr>
          </w:pPr>
        </w:p>
        <w:p w14:paraId="0152EE5A" w14:textId="77777777" w:rsidR="006D42D9" w:rsidRPr="006D42D9" w:rsidRDefault="006D42D9" w:rsidP="006D42D9">
          <w:pPr>
            <w:rPr>
              <w:rFonts w:ascii="Republika" w:hAnsi="Republika"/>
              <w:sz w:val="60"/>
              <w:szCs w:val="60"/>
              <w:lang w:val="sl-SI"/>
            </w:rPr>
          </w:pPr>
        </w:p>
        <w:p w14:paraId="658EAB90" w14:textId="77777777" w:rsidR="006D42D9" w:rsidRPr="006D42D9" w:rsidRDefault="006D42D9" w:rsidP="006D42D9">
          <w:pPr>
            <w:rPr>
              <w:rFonts w:ascii="Republika" w:hAnsi="Republika"/>
              <w:sz w:val="60"/>
              <w:szCs w:val="60"/>
              <w:lang w:val="sl-SI"/>
            </w:rPr>
          </w:pPr>
        </w:p>
        <w:p w14:paraId="2D58AE59" w14:textId="77777777" w:rsidR="006D42D9" w:rsidRPr="006D42D9" w:rsidRDefault="006D42D9" w:rsidP="006D42D9">
          <w:pPr>
            <w:rPr>
              <w:rFonts w:ascii="Republika" w:hAnsi="Republika"/>
              <w:sz w:val="60"/>
              <w:szCs w:val="60"/>
              <w:lang w:val="sl-SI"/>
            </w:rPr>
          </w:pPr>
        </w:p>
        <w:p w14:paraId="3E255503" w14:textId="77777777" w:rsidR="006D42D9" w:rsidRPr="006D42D9" w:rsidRDefault="006D42D9" w:rsidP="006D42D9">
          <w:pPr>
            <w:rPr>
              <w:rFonts w:ascii="Republika" w:hAnsi="Republika"/>
              <w:sz w:val="60"/>
              <w:szCs w:val="60"/>
              <w:lang w:val="sl-SI"/>
            </w:rPr>
          </w:pPr>
        </w:p>
        <w:p w14:paraId="393B3546" w14:textId="77777777" w:rsidR="006D42D9" w:rsidRPr="006D42D9" w:rsidRDefault="006D42D9" w:rsidP="006D42D9">
          <w:pPr>
            <w:rPr>
              <w:rFonts w:ascii="Republika" w:hAnsi="Republika"/>
              <w:sz w:val="60"/>
              <w:szCs w:val="60"/>
              <w:lang w:val="sl-SI"/>
            </w:rPr>
          </w:pPr>
        </w:p>
        <w:p w14:paraId="2F778876" w14:textId="77777777" w:rsidR="006D42D9" w:rsidRPr="006D42D9" w:rsidRDefault="006D42D9" w:rsidP="006D42D9">
          <w:pPr>
            <w:rPr>
              <w:rFonts w:ascii="Republika" w:hAnsi="Republika"/>
              <w:sz w:val="60"/>
              <w:szCs w:val="60"/>
              <w:lang w:val="sl-SI"/>
            </w:rPr>
          </w:pPr>
        </w:p>
        <w:p w14:paraId="17BADC07" w14:textId="77777777" w:rsidR="006D42D9" w:rsidRPr="006D42D9" w:rsidRDefault="006D42D9" w:rsidP="006D42D9">
          <w:pPr>
            <w:rPr>
              <w:rFonts w:ascii="Republika" w:hAnsi="Republika"/>
              <w:sz w:val="60"/>
              <w:szCs w:val="60"/>
              <w:lang w:val="sl-SI"/>
            </w:rPr>
          </w:pPr>
        </w:p>
        <w:p w14:paraId="7697C51E" w14:textId="77777777" w:rsidR="006D42D9" w:rsidRPr="006D42D9" w:rsidRDefault="006D42D9" w:rsidP="006D42D9">
          <w:pPr>
            <w:rPr>
              <w:rFonts w:ascii="Republika" w:hAnsi="Republika"/>
              <w:sz w:val="60"/>
              <w:szCs w:val="60"/>
              <w:lang w:val="sl-SI"/>
            </w:rPr>
          </w:pPr>
        </w:p>
        <w:p w14:paraId="3772022A" w14:textId="77777777" w:rsidR="006D42D9" w:rsidRPr="006D42D9" w:rsidRDefault="006D42D9" w:rsidP="006D42D9">
          <w:pPr>
            <w:rPr>
              <w:rFonts w:ascii="Republika" w:hAnsi="Republika"/>
              <w:sz w:val="60"/>
              <w:szCs w:val="60"/>
              <w:lang w:val="sl-SI"/>
            </w:rPr>
          </w:pPr>
        </w:p>
        <w:p w14:paraId="2BC9DF40" w14:textId="77777777" w:rsidR="006D42D9" w:rsidRPr="006D42D9" w:rsidRDefault="006D42D9" w:rsidP="006D42D9">
          <w:pPr>
            <w:rPr>
              <w:rFonts w:ascii="Republika" w:hAnsi="Republika"/>
              <w:sz w:val="60"/>
              <w:szCs w:val="60"/>
              <w:lang w:val="sl-SI"/>
            </w:rPr>
          </w:pPr>
        </w:p>
        <w:p w14:paraId="7A86537E" w14:textId="77777777" w:rsidR="00DC6A71" w:rsidRPr="006D42D9" w:rsidRDefault="00DC6A71" w:rsidP="006D42D9">
          <w:pPr>
            <w:rPr>
              <w:rFonts w:ascii="Republika" w:hAnsi="Republika"/>
              <w:sz w:val="60"/>
              <w:szCs w:val="60"/>
              <w:lang w:val="sl-SI"/>
            </w:rPr>
          </w:pPr>
        </w:p>
      </w:tc>
    </w:tr>
  </w:tbl>
  <w:p w14:paraId="7B9DBF91" w14:textId="77777777" w:rsidR="00DC6A71" w:rsidRPr="008F3500" w:rsidRDefault="00364710"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14:anchorId="3AFA90D3" wp14:editId="3992AFD7">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11507A"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14:paraId="6DCB0FB7" w14:textId="77777777"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14:paraId="2226CB01" w14:textId="77777777"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14:paraId="4546B204" w14:textId="77777777"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14:paraId="44281653" w14:textId="77777777"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14:paraId="50ED43F2" w14:textId="77777777"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14:paraId="395473EE" w14:textId="77777777"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25D55"/>
    <w:rsid w:val="00054CA1"/>
    <w:rsid w:val="000A7238"/>
    <w:rsid w:val="000B3152"/>
    <w:rsid w:val="000B5651"/>
    <w:rsid w:val="000C407D"/>
    <w:rsid w:val="000D2FE7"/>
    <w:rsid w:val="001357B2"/>
    <w:rsid w:val="001E45EF"/>
    <w:rsid w:val="00202A77"/>
    <w:rsid w:val="0024718A"/>
    <w:rsid w:val="00271CE5"/>
    <w:rsid w:val="00282020"/>
    <w:rsid w:val="002A0212"/>
    <w:rsid w:val="002F1672"/>
    <w:rsid w:val="00360AC6"/>
    <w:rsid w:val="003636BF"/>
    <w:rsid w:val="00364710"/>
    <w:rsid w:val="0037479F"/>
    <w:rsid w:val="003845B4"/>
    <w:rsid w:val="00387B1A"/>
    <w:rsid w:val="003C3208"/>
    <w:rsid w:val="003E1C74"/>
    <w:rsid w:val="0041392D"/>
    <w:rsid w:val="00431D47"/>
    <w:rsid w:val="004B276A"/>
    <w:rsid w:val="004F25B5"/>
    <w:rsid w:val="0052073D"/>
    <w:rsid w:val="00526246"/>
    <w:rsid w:val="00530285"/>
    <w:rsid w:val="00567106"/>
    <w:rsid w:val="005E1D3C"/>
    <w:rsid w:val="006051E1"/>
    <w:rsid w:val="00632253"/>
    <w:rsid w:val="00642714"/>
    <w:rsid w:val="006455CE"/>
    <w:rsid w:val="006C491D"/>
    <w:rsid w:val="006D3DFE"/>
    <w:rsid w:val="006D42D9"/>
    <w:rsid w:val="006F08CA"/>
    <w:rsid w:val="00733017"/>
    <w:rsid w:val="007761EA"/>
    <w:rsid w:val="00783310"/>
    <w:rsid w:val="007A4A6D"/>
    <w:rsid w:val="007D1BCF"/>
    <w:rsid w:val="007D75CF"/>
    <w:rsid w:val="007E6DC5"/>
    <w:rsid w:val="00876443"/>
    <w:rsid w:val="0088043C"/>
    <w:rsid w:val="008906C9"/>
    <w:rsid w:val="008C5738"/>
    <w:rsid w:val="008D04F0"/>
    <w:rsid w:val="008F3500"/>
    <w:rsid w:val="00924E3C"/>
    <w:rsid w:val="009612BB"/>
    <w:rsid w:val="009D4258"/>
    <w:rsid w:val="00A125C5"/>
    <w:rsid w:val="00A21E7F"/>
    <w:rsid w:val="00A35903"/>
    <w:rsid w:val="00A456D8"/>
    <w:rsid w:val="00A5039D"/>
    <w:rsid w:val="00A65EE7"/>
    <w:rsid w:val="00A70133"/>
    <w:rsid w:val="00AE5D6C"/>
    <w:rsid w:val="00B02B18"/>
    <w:rsid w:val="00B17141"/>
    <w:rsid w:val="00B31575"/>
    <w:rsid w:val="00B51F53"/>
    <w:rsid w:val="00B80D38"/>
    <w:rsid w:val="00B8547D"/>
    <w:rsid w:val="00B866EE"/>
    <w:rsid w:val="00C250D5"/>
    <w:rsid w:val="00C5062F"/>
    <w:rsid w:val="00C730BB"/>
    <w:rsid w:val="00C92898"/>
    <w:rsid w:val="00CE1A37"/>
    <w:rsid w:val="00CE7514"/>
    <w:rsid w:val="00CF3C1F"/>
    <w:rsid w:val="00D04605"/>
    <w:rsid w:val="00D12D52"/>
    <w:rsid w:val="00D248DE"/>
    <w:rsid w:val="00D8542D"/>
    <w:rsid w:val="00DB6F30"/>
    <w:rsid w:val="00DC6A71"/>
    <w:rsid w:val="00DD0CA2"/>
    <w:rsid w:val="00DE5B46"/>
    <w:rsid w:val="00E0357D"/>
    <w:rsid w:val="00E24EC2"/>
    <w:rsid w:val="00E50548"/>
    <w:rsid w:val="00EE252E"/>
    <w:rsid w:val="00F00DC0"/>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3B9CE7C7"/>
  <w15:chartTrackingRefBased/>
  <w15:docId w15:val="{E30D5671-4EB0-42F4-9697-A0E60B0E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Revizija">
    <w:name w:val="Revision"/>
    <w:hidden/>
    <w:uiPriority w:val="99"/>
    <w:semiHidden/>
    <w:rsid w:val="00D12D52"/>
    <w:rPr>
      <w:rFonts w:ascii="Arial" w:hAnsi="Arial"/>
      <w:szCs w:val="24"/>
      <w:lang w:val="en-US" w:eastAsia="en-US" w:bidi="ar-SA"/>
    </w:rPr>
  </w:style>
  <w:style w:type="paragraph" w:styleId="Besedilooblaka">
    <w:name w:val="Balloon Text"/>
    <w:basedOn w:val="Navaden"/>
    <w:link w:val="BesedilooblakaZnak"/>
    <w:rsid w:val="006F08C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F08CA"/>
    <w:rPr>
      <w:rFonts w:ascii="Segoe UI"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2DE86-5CC4-4C21-9562-71527189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13</Pages>
  <Words>5671</Words>
  <Characters>35993</Characters>
  <Application>Microsoft Office Word</Application>
  <DocSecurity>0</DocSecurity>
  <Lines>299</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41581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11</cp:revision>
  <cp:lastPrinted>2010-07-05T09:38:00Z</cp:lastPrinted>
  <dcterms:created xsi:type="dcterms:W3CDTF">2026-03-09T08:59:00Z</dcterms:created>
  <dcterms:modified xsi:type="dcterms:W3CDTF">2026-03-31T09:39:00Z</dcterms:modified>
</cp:coreProperties>
</file>