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E044" w14:textId="721E89D1" w:rsidR="009132AF" w:rsidRPr="000E6ABF" w:rsidRDefault="009132AF" w:rsidP="00B85254">
      <w:pPr>
        <w:spacing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89A164E" w14:textId="77777777" w:rsidR="00825459" w:rsidRPr="000E6ABF" w:rsidRDefault="00825459" w:rsidP="00B85254">
      <w:pPr>
        <w:spacing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00E26" w:rsidRPr="000E6ABF" w14:paraId="551AB48D" w14:textId="77777777" w:rsidTr="00EE592D">
        <w:trPr>
          <w:gridAfter w:val="2"/>
          <w:wAfter w:w="3067" w:type="dxa"/>
        </w:trPr>
        <w:tc>
          <w:tcPr>
            <w:tcW w:w="6096" w:type="dxa"/>
            <w:gridSpan w:val="2"/>
            <w:shd w:val="clear" w:color="auto" w:fill="auto"/>
          </w:tcPr>
          <w:p w14:paraId="0F94A8C1" w14:textId="432537CF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943F1B"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013-</w:t>
            </w:r>
            <w:r w:rsidR="007906B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32/2024-3130</w:t>
            </w:r>
            <w:r w:rsidR="009607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</w:t>
            </w:r>
            <w:r w:rsidR="002738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</w:tc>
      </w:tr>
      <w:tr w:rsidR="00100E26" w:rsidRPr="000E6ABF" w14:paraId="57BB2C84" w14:textId="77777777" w:rsidTr="000321D2">
        <w:trPr>
          <w:gridAfter w:val="2"/>
          <w:wAfter w:w="3067" w:type="dxa"/>
        </w:trPr>
        <w:tc>
          <w:tcPr>
            <w:tcW w:w="6096" w:type="dxa"/>
            <w:gridSpan w:val="2"/>
            <w:shd w:val="clear" w:color="auto" w:fill="auto"/>
          </w:tcPr>
          <w:p w14:paraId="7C8D6727" w14:textId="67563EB8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1E37DB"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738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16. 4. 2025</w:t>
            </w:r>
          </w:p>
        </w:tc>
      </w:tr>
      <w:tr w:rsidR="00100E26" w:rsidRPr="000E6ABF" w14:paraId="359C2C8E" w14:textId="77777777" w:rsidTr="009266A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2A7ACC7" w14:textId="470E6564" w:rsidR="00B85254" w:rsidRPr="000E6ABF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</w:p>
        </w:tc>
      </w:tr>
      <w:tr w:rsidR="00100E26" w:rsidRPr="000E6ABF" w14:paraId="45137FF6" w14:textId="77777777" w:rsidTr="009266A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660A65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A9911E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031103A" w14:textId="77777777" w:rsidR="00B85254" w:rsidRPr="000E6ABF" w:rsidRDefault="00000000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B85254" w:rsidRPr="000E6ABF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Gp.gs@gov.si</w:t>
              </w:r>
            </w:hyperlink>
          </w:p>
          <w:p w14:paraId="0548633B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0E6ABF" w14:paraId="3FBED0A9" w14:textId="77777777" w:rsidTr="009266AE">
        <w:tc>
          <w:tcPr>
            <w:tcW w:w="9163" w:type="dxa"/>
            <w:gridSpan w:val="4"/>
          </w:tcPr>
          <w:p w14:paraId="1820DCAE" w14:textId="624A6889" w:rsidR="00B85254" w:rsidRPr="000E6ABF" w:rsidRDefault="00B85254" w:rsidP="00C3187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="007A1969"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Poročilo Inšpekcijskega sveta za leto 202</w:t>
            </w:r>
            <w:r w:rsidR="007906B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7A1969"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</w:t>
            </w:r>
            <w:r w:rsidR="00A43E30"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PREDLOG ZA OBRAVNAVO</w:t>
            </w:r>
          </w:p>
        </w:tc>
      </w:tr>
      <w:tr w:rsidR="00100E26" w:rsidRPr="000E6ABF" w14:paraId="3BD03D54" w14:textId="77777777" w:rsidTr="009266AE">
        <w:tc>
          <w:tcPr>
            <w:tcW w:w="9163" w:type="dxa"/>
            <w:gridSpan w:val="4"/>
          </w:tcPr>
          <w:p w14:paraId="1657A7E2" w14:textId="77777777" w:rsidR="00B85254" w:rsidRPr="000E6ABF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100E26" w:rsidRPr="000E6ABF" w14:paraId="5F4789BE" w14:textId="77777777" w:rsidTr="009266AE">
        <w:tc>
          <w:tcPr>
            <w:tcW w:w="9163" w:type="dxa"/>
            <w:gridSpan w:val="4"/>
          </w:tcPr>
          <w:p w14:paraId="6E3983FB" w14:textId="6BBC8567" w:rsidR="00E12B57" w:rsidRPr="00846AB2" w:rsidRDefault="00E12B57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B2">
              <w:rPr>
                <w:rFonts w:ascii="Arial" w:hAnsi="Arial" w:cs="Arial"/>
                <w:sz w:val="20"/>
                <w:szCs w:val="20"/>
              </w:rPr>
              <w:t xml:space="preserve">Na podlagi </w:t>
            </w:r>
            <w:r w:rsidR="00A305FF" w:rsidRPr="00846AB2">
              <w:rPr>
                <w:rFonts w:ascii="Arial" w:hAnsi="Arial" w:cs="Arial"/>
                <w:sz w:val="20"/>
                <w:szCs w:val="20"/>
              </w:rPr>
              <w:t>šestega</w:t>
            </w:r>
            <w:r w:rsidRPr="00846AB2">
              <w:rPr>
                <w:rFonts w:ascii="Arial" w:hAnsi="Arial" w:cs="Arial"/>
                <w:sz w:val="20"/>
                <w:szCs w:val="20"/>
              </w:rPr>
              <w:t xml:space="preserve"> odstavka 21. člena Zakona o Vladi Republike Slovenije </w:t>
            </w:r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(Uradni list RS, št. </w:t>
            </w:r>
            <w:hyperlink r:id="rId9" w:tgtFrame="_blank" w:tooltip="Zakon o Vladi Republike Slovenije (uradno prečiščeno besedilo)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24/05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0" w:tgtFrame="_blank" w:tooltip="Zakon o dopolnitvi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109/08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tgtFrame="_blank" w:tooltip="Zakon o upravljanju kapitalskih naložb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38/10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 – ZUKN, </w:t>
            </w:r>
            <w:hyperlink r:id="rId12" w:tgtFrame="_blank" w:tooltip="Zakon o spremembah in dopolnitvah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8/12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tgtFrame="_blank" w:tooltip="Zakon o spremembah in dopolnitvah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21/13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tgtFrame="_blank" w:tooltip="Zakon o spremembah in dopolnitvah Zakona o državni upravi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47/13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 – ZDU-1G, </w:t>
            </w:r>
            <w:hyperlink r:id="rId15" w:tgtFrame="_blank" w:tooltip="Zakon o spremembah in dopolnitvah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65/14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tgtFrame="_blank" w:tooltip="Zakon o spremembi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55/17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17" w:tgtFrame="_blank" w:tooltip="Zakon o spremembah Zakona o Vladi Republike Slovenije" w:history="1">
              <w:r w:rsidR="00846AB2" w:rsidRPr="00846AB2">
                <w:rPr>
                  <w:rFonts w:ascii="Arial" w:hAnsi="Arial" w:cs="Arial"/>
                  <w:sz w:val="20"/>
                  <w:szCs w:val="20"/>
                </w:rPr>
                <w:t>163/22</w:t>
              </w:r>
            </w:hyperlink>
            <w:r w:rsidR="00846AB2" w:rsidRPr="00846AB2">
              <w:rPr>
                <w:rFonts w:ascii="Arial" w:hAnsi="Arial" w:cs="Arial"/>
                <w:sz w:val="20"/>
                <w:szCs w:val="20"/>
              </w:rPr>
              <w:t>)</w:t>
            </w:r>
            <w:r w:rsidR="00042921" w:rsidRPr="00846AB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B6BEF">
              <w:rPr>
                <w:rFonts w:ascii="Arial" w:hAnsi="Arial" w:cs="Arial"/>
                <w:bCs/>
                <w:sz w:val="20"/>
                <w:szCs w:val="20"/>
              </w:rPr>
              <w:t xml:space="preserve"> v zvezi s petim odstavkom</w:t>
            </w:r>
            <w:r w:rsidRPr="00846A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F4A4B" w:rsidRPr="00846AB2">
              <w:rPr>
                <w:rFonts w:ascii="Arial" w:hAnsi="Arial" w:cs="Arial"/>
                <w:bCs/>
                <w:sz w:val="20"/>
                <w:szCs w:val="20"/>
              </w:rPr>
              <w:t>11. člena Zakona o inšpekcijskem nadzoru (Uradni list RS, št. 43/07 – uradno prečiščeno besedilo in 40/14)</w:t>
            </w:r>
            <w:r w:rsidR="00042921" w:rsidRPr="00846AB2">
              <w:rPr>
                <w:rFonts w:ascii="Arial" w:hAnsi="Arial" w:cs="Arial"/>
                <w:bCs/>
                <w:sz w:val="20"/>
                <w:szCs w:val="20"/>
              </w:rPr>
              <w:t xml:space="preserve"> in v </w:t>
            </w:r>
            <w:r w:rsidR="004B6BEF">
              <w:rPr>
                <w:rFonts w:ascii="Arial" w:hAnsi="Arial" w:cs="Arial"/>
                <w:bCs/>
                <w:sz w:val="20"/>
                <w:szCs w:val="20"/>
              </w:rPr>
              <w:t>zvezi</w:t>
            </w:r>
            <w:r w:rsidR="00042921" w:rsidRPr="00846AB2">
              <w:rPr>
                <w:rFonts w:ascii="Arial" w:hAnsi="Arial" w:cs="Arial"/>
                <w:bCs/>
                <w:sz w:val="20"/>
                <w:szCs w:val="20"/>
              </w:rPr>
              <w:t xml:space="preserve"> z drugim odstavkom 1</w:t>
            </w:r>
            <w:r w:rsidR="007B673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42921" w:rsidRPr="00846AB2">
              <w:rPr>
                <w:rFonts w:ascii="Arial" w:hAnsi="Arial" w:cs="Arial"/>
                <w:bCs/>
                <w:sz w:val="20"/>
                <w:szCs w:val="20"/>
              </w:rPr>
              <w:t>. člena Poslovnika Inšpekcijskega sveta</w:t>
            </w:r>
            <w:r w:rsidR="00DF4A4B" w:rsidRPr="00846A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6AB2">
              <w:rPr>
                <w:rFonts w:ascii="Arial" w:hAnsi="Arial" w:cs="Arial"/>
                <w:sz w:val="20"/>
                <w:szCs w:val="20"/>
              </w:rPr>
              <w:t xml:space="preserve">je Vlada Republike Slovenije na …..…… seji dne ………... </w:t>
            </w:r>
            <w:r w:rsidR="00571143" w:rsidRPr="00846AB2">
              <w:rPr>
                <w:rFonts w:ascii="Arial" w:hAnsi="Arial" w:cs="Arial"/>
                <w:sz w:val="20"/>
                <w:szCs w:val="20"/>
              </w:rPr>
              <w:t>pod točko……..</w:t>
            </w:r>
            <w:r w:rsidRPr="00846AB2">
              <w:rPr>
                <w:rFonts w:ascii="Arial" w:hAnsi="Arial" w:cs="Arial"/>
                <w:sz w:val="20"/>
                <w:szCs w:val="20"/>
              </w:rPr>
              <w:t xml:space="preserve">sprejela naslednji </w:t>
            </w:r>
          </w:p>
          <w:p w14:paraId="3094B378" w14:textId="77777777" w:rsidR="002A38C8" w:rsidRPr="000E6ABF" w:rsidRDefault="002A38C8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7DB95E" w14:textId="77777777" w:rsidR="00E12B57" w:rsidRPr="000E6ABF" w:rsidRDefault="00E12B57" w:rsidP="00E12B57">
            <w:pPr>
              <w:spacing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BF">
              <w:rPr>
                <w:rFonts w:ascii="Arial" w:hAnsi="Arial" w:cs="Arial"/>
                <w:b/>
                <w:sz w:val="20"/>
                <w:szCs w:val="20"/>
              </w:rPr>
              <w:t>SKLEP:</w:t>
            </w:r>
          </w:p>
          <w:p w14:paraId="0E362BEB" w14:textId="77777777" w:rsidR="00B57083" w:rsidRPr="000E6ABF" w:rsidRDefault="00B57083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3D16D4" w14:textId="6A6412F4" w:rsidR="00E12B57" w:rsidRPr="000E6ABF" w:rsidRDefault="00C30DDB" w:rsidP="00C30D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AB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12B57" w:rsidRPr="000E6ABF">
              <w:rPr>
                <w:rFonts w:ascii="Arial" w:hAnsi="Arial" w:cs="Arial"/>
                <w:sz w:val="20"/>
                <w:szCs w:val="20"/>
              </w:rPr>
              <w:t>Vlada Republike Slovenije</w:t>
            </w:r>
            <w:r w:rsidR="00767171" w:rsidRPr="000E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9E2">
              <w:rPr>
                <w:rFonts w:ascii="Arial" w:hAnsi="Arial" w:cs="Arial"/>
                <w:sz w:val="20"/>
                <w:szCs w:val="20"/>
              </w:rPr>
              <w:t>se je seznanila s</w:t>
            </w:r>
            <w:r w:rsidR="00403F4D" w:rsidRPr="000E6ABF">
              <w:rPr>
                <w:rFonts w:ascii="Arial" w:hAnsi="Arial" w:cs="Arial"/>
                <w:sz w:val="20"/>
                <w:szCs w:val="20"/>
              </w:rPr>
              <w:t xml:space="preserve"> Poročilo</w:t>
            </w:r>
            <w:r w:rsidR="006659E2">
              <w:rPr>
                <w:rFonts w:ascii="Arial" w:hAnsi="Arial" w:cs="Arial"/>
                <w:sz w:val="20"/>
                <w:szCs w:val="20"/>
              </w:rPr>
              <w:t>m</w:t>
            </w:r>
            <w:r w:rsidR="00403F4D" w:rsidRPr="000E6ABF">
              <w:rPr>
                <w:rFonts w:ascii="Arial" w:hAnsi="Arial" w:cs="Arial"/>
                <w:sz w:val="20"/>
                <w:szCs w:val="20"/>
              </w:rPr>
              <w:t xml:space="preserve"> Inšpekcijskega sveta za leto 202</w:t>
            </w:r>
            <w:r w:rsidR="007906B1">
              <w:rPr>
                <w:rFonts w:ascii="Arial" w:hAnsi="Arial" w:cs="Arial"/>
                <w:sz w:val="20"/>
                <w:szCs w:val="20"/>
              </w:rPr>
              <w:t>4, ki je v prilogi tega sklepa</w:t>
            </w:r>
            <w:r w:rsidR="00696140" w:rsidRPr="000E6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A262F1" w14:textId="77777777" w:rsidR="00C30DDB" w:rsidRPr="000E6ABF" w:rsidRDefault="00C30DDB" w:rsidP="00C30DDB">
            <w:pPr>
              <w:overflowPunct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3BBC4563" w14:textId="35C63827" w:rsidR="00C30DDB" w:rsidRPr="000E6ABF" w:rsidRDefault="00C30DDB" w:rsidP="00C30DDB">
            <w:pPr>
              <w:overflowPunct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2. </w:t>
            </w:r>
            <w:r w:rsidR="00F737FF"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Pristojna ministrstva v postopke priprave predpisov vključijo </w:t>
            </w: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tudi inšpekcijske organe, predvsem v delu, ki se nanaša na pristojnosti in nove obveznosti inšpekcijskih organov.</w:t>
            </w:r>
          </w:p>
          <w:p w14:paraId="31DC5076" w14:textId="77777777" w:rsidR="00C30DDB" w:rsidRPr="000E6ABF" w:rsidRDefault="00C30DDB" w:rsidP="00C30DDB">
            <w:pPr>
              <w:overflowPunct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40BEC320" w14:textId="021191B4" w:rsidR="00C30DDB" w:rsidRPr="000E6ABF" w:rsidRDefault="00C30DDB" w:rsidP="00C30DDB">
            <w:pPr>
              <w:overflowPunct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3. </w:t>
            </w:r>
            <w:r w:rsidR="00F737FF"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Pristojna ministrstva</w:t>
            </w: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proučijo predloge za spremembe predpisov, ki jih v </w:t>
            </w:r>
            <w:r w:rsidR="00F737FF"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poročilu iz </w:t>
            </w:r>
            <w:r w:rsidR="00EA5A3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1.</w:t>
            </w:r>
            <w:r w:rsidR="00F737FF"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točke tega sklepa</w:t>
            </w: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navajajo posamezni inšpekcijski organi, ter o svojih stališčih obvestijo </w:t>
            </w:r>
            <w:r w:rsidR="00E0345A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inšpekcijske organe</w:t>
            </w:r>
            <w:r w:rsidRPr="000E6ABF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48A18806" w14:textId="77777777" w:rsidR="00E12B57" w:rsidRPr="000E6ABF" w:rsidRDefault="00E12B57" w:rsidP="00E12B57">
            <w:p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D7EDD6" w14:textId="77777777" w:rsidR="00D11AF5" w:rsidRPr="000E6ABF" w:rsidRDefault="00D11AF5" w:rsidP="00F07660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C332E" w14:textId="6C941F28" w:rsidR="00E12B57" w:rsidRPr="000E6ABF" w:rsidRDefault="00E12B57" w:rsidP="00F07660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ABF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40414E" w:rsidRPr="000E6AB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7A4E0B" w:rsidRPr="000E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414E" w:rsidRPr="000E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A3D">
              <w:rPr>
                <w:rFonts w:ascii="Arial" w:hAnsi="Arial" w:cs="Arial"/>
                <w:sz w:val="20"/>
                <w:szCs w:val="20"/>
              </w:rPr>
              <w:t>Barbara Kolenko Helbl</w:t>
            </w:r>
          </w:p>
          <w:p w14:paraId="3B746638" w14:textId="58FDECF4" w:rsidR="00E12B57" w:rsidRPr="000E6ABF" w:rsidRDefault="00E12B57" w:rsidP="00F07660">
            <w:pPr>
              <w:spacing w:line="240" w:lineRule="atLeast"/>
              <w:ind w:left="288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AB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A4E0B" w:rsidRPr="000E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E6A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4E0B" w:rsidRPr="000E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A5A3D">
              <w:rPr>
                <w:rFonts w:ascii="Arial" w:hAnsi="Arial" w:cs="Arial"/>
                <w:sz w:val="20"/>
                <w:szCs w:val="20"/>
              </w:rPr>
              <w:t xml:space="preserve">  GENERALNA SEKRETARKA</w:t>
            </w:r>
          </w:p>
          <w:p w14:paraId="7B824B94" w14:textId="77777777" w:rsidR="00E12B57" w:rsidRPr="000E6ABF" w:rsidRDefault="00E12B57" w:rsidP="00E12B57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A79C8" w14:textId="09978E94" w:rsidR="00E12B57" w:rsidRPr="000E6ABF" w:rsidRDefault="00E12B57" w:rsidP="00E12B57">
            <w:p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ABF">
              <w:rPr>
                <w:rFonts w:ascii="Arial" w:hAnsi="Arial" w:cs="Arial"/>
                <w:sz w:val="20"/>
                <w:szCs w:val="20"/>
              </w:rPr>
              <w:t>P</w:t>
            </w:r>
            <w:r w:rsidR="0036097D">
              <w:rPr>
                <w:rFonts w:ascii="Arial" w:hAnsi="Arial" w:cs="Arial"/>
                <w:sz w:val="20"/>
                <w:szCs w:val="20"/>
              </w:rPr>
              <w:t>rejmejo</w:t>
            </w:r>
            <w:r w:rsidRPr="000E6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0CF482" w14:textId="512DEAB8" w:rsidR="006C0D7C" w:rsidRPr="00EA5A3D" w:rsidRDefault="006C0D7C" w:rsidP="00EA5A3D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A5A3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ministrstva</w:t>
            </w:r>
          </w:p>
          <w:p w14:paraId="5C2EA031" w14:textId="37688C7A" w:rsidR="00EA5A3D" w:rsidRPr="00EA5A3D" w:rsidRDefault="00EA5A3D" w:rsidP="00EA5A3D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vladne službe</w:t>
            </w:r>
          </w:p>
          <w:p w14:paraId="0F4182E7" w14:textId="38DB1756" w:rsidR="00EF4E48" w:rsidRPr="00EA5A3D" w:rsidRDefault="00A43E30" w:rsidP="00D643A4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mag. Franc Props</w:t>
            </w:r>
            <w:r w:rsidR="006C0D7C" w:rsidRPr="00EA5A3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predsedni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 </w:t>
            </w:r>
            <w:r w:rsidR="006C0D7C" w:rsidRPr="00EA5A3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Inšpekcijskega sveta</w:t>
            </w:r>
            <w:r w:rsidR="00D643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100E26" w:rsidRPr="000E6ABF" w14:paraId="76387694" w14:textId="77777777" w:rsidTr="009266AE">
        <w:tc>
          <w:tcPr>
            <w:tcW w:w="9163" w:type="dxa"/>
            <w:gridSpan w:val="4"/>
          </w:tcPr>
          <w:p w14:paraId="567C3635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100E26" w:rsidRPr="000E6ABF" w14:paraId="38203D30" w14:textId="77777777" w:rsidTr="009266AE">
        <w:tc>
          <w:tcPr>
            <w:tcW w:w="9163" w:type="dxa"/>
            <w:gridSpan w:val="4"/>
          </w:tcPr>
          <w:p w14:paraId="6F29F81C" w14:textId="77777777" w:rsidR="00B85254" w:rsidRPr="000E6ABF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00E26" w:rsidRPr="000E6ABF" w14:paraId="4B51E55D" w14:textId="77777777" w:rsidTr="009266AE">
        <w:tc>
          <w:tcPr>
            <w:tcW w:w="9163" w:type="dxa"/>
            <w:gridSpan w:val="4"/>
          </w:tcPr>
          <w:p w14:paraId="47D82D62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00E26" w:rsidRPr="000E6ABF" w14:paraId="7FAC3B4D" w14:textId="77777777" w:rsidTr="009266AE">
        <w:tc>
          <w:tcPr>
            <w:tcW w:w="9163" w:type="dxa"/>
            <w:gridSpan w:val="4"/>
          </w:tcPr>
          <w:p w14:paraId="1FD8F5AE" w14:textId="1C7B2E6B" w:rsidR="00B85254" w:rsidRPr="000E6ABF" w:rsidRDefault="00A43E30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Franc Props</w:t>
            </w:r>
            <w:r w:rsidR="005577B7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er</w:t>
            </w:r>
            <w:r w:rsidR="00BE5AA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javno upravo</w:t>
            </w:r>
          </w:p>
          <w:p w14:paraId="6155E655" w14:textId="7339F5F0" w:rsidR="00A47349" w:rsidRPr="000E6ABF" w:rsidRDefault="00A43E30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Mojca Ramšak Pešec</w:t>
            </w:r>
            <w:r w:rsidR="00EA5A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EA5A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sekretar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ka</w:t>
            </w:r>
          </w:p>
          <w:p w14:paraId="377227B7" w14:textId="61D5999B" w:rsidR="005577B7" w:rsidRDefault="0084764E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Pogačar</w:t>
            </w:r>
            <w:r w:rsidR="005577B7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F0766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generalni direktor</w:t>
            </w:r>
            <w:r w:rsidR="005577B7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Direktorata za javni sektor</w:t>
            </w:r>
            <w:r w:rsidR="00BE5AA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javno upravo</w:t>
            </w:r>
          </w:p>
          <w:p w14:paraId="5A72C41F" w14:textId="54C017E8" w:rsidR="007E0EC6" w:rsidRPr="000E6ABF" w:rsidRDefault="007E0EC6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Barbara Koželj Sladič, vodja Sektorja za organizacijo javnega sektorja in za uslužbenski sistem, Direktorat za javni sektor, Ministrstvo za javno upravo</w:t>
            </w:r>
          </w:p>
          <w:p w14:paraId="5BD7C4F8" w14:textId="27348114" w:rsidR="00434BEB" w:rsidRPr="000E6ABF" w:rsidRDefault="00434BEB" w:rsidP="002202D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Melita Nikše, sekretarka</w:t>
            </w:r>
            <w:r w:rsidR="00BE5AA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Direktorat za javni sektor, Ministrstvo za javno upravo</w:t>
            </w:r>
          </w:p>
        </w:tc>
      </w:tr>
      <w:tr w:rsidR="00100E26" w:rsidRPr="000E6ABF" w14:paraId="020987AF" w14:textId="77777777" w:rsidTr="009266AE">
        <w:tc>
          <w:tcPr>
            <w:tcW w:w="9163" w:type="dxa"/>
            <w:gridSpan w:val="4"/>
          </w:tcPr>
          <w:p w14:paraId="0D6BF7AE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100E26" w:rsidRPr="000E6ABF" w14:paraId="79976B42" w14:textId="77777777" w:rsidTr="009266AE">
        <w:tc>
          <w:tcPr>
            <w:tcW w:w="9163" w:type="dxa"/>
            <w:gridSpan w:val="4"/>
          </w:tcPr>
          <w:p w14:paraId="1C5B6752" w14:textId="117DE4D1" w:rsidR="00B85254" w:rsidRPr="000E6ABF" w:rsidRDefault="005577B7" w:rsidP="002202D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Zunanji strokovnjaki niso sodelovali</w:t>
            </w:r>
            <w:r w:rsidR="00DE1095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pri pripravi gradiva.</w:t>
            </w:r>
          </w:p>
        </w:tc>
      </w:tr>
      <w:tr w:rsidR="00100E26" w:rsidRPr="000E6ABF" w14:paraId="6F6C2A0A" w14:textId="77777777" w:rsidTr="009266AE">
        <w:tc>
          <w:tcPr>
            <w:tcW w:w="9163" w:type="dxa"/>
            <w:gridSpan w:val="4"/>
          </w:tcPr>
          <w:p w14:paraId="40FAC534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100E26" w:rsidRPr="000E6ABF" w14:paraId="401244E8" w14:textId="77777777" w:rsidTr="009266AE">
        <w:tc>
          <w:tcPr>
            <w:tcW w:w="9163" w:type="dxa"/>
            <w:gridSpan w:val="4"/>
          </w:tcPr>
          <w:p w14:paraId="2395ACC8" w14:textId="77777777" w:rsidR="00B85254" w:rsidRPr="000E6ABF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00E26" w:rsidRPr="000E6ABF" w14:paraId="10B3FF96" w14:textId="77777777" w:rsidTr="009266AE">
        <w:tc>
          <w:tcPr>
            <w:tcW w:w="9163" w:type="dxa"/>
            <w:gridSpan w:val="4"/>
          </w:tcPr>
          <w:p w14:paraId="17EA405D" w14:textId="77777777" w:rsidR="00B85254" w:rsidRPr="000E6ABF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5. Kratek povzetek gradiva:</w:t>
            </w:r>
          </w:p>
        </w:tc>
      </w:tr>
      <w:tr w:rsidR="00100E26" w:rsidRPr="000E6ABF" w14:paraId="0624708F" w14:textId="77777777" w:rsidTr="009C3484">
        <w:tc>
          <w:tcPr>
            <w:tcW w:w="9163" w:type="dxa"/>
            <w:gridSpan w:val="4"/>
            <w:shd w:val="clear" w:color="auto" w:fill="auto"/>
          </w:tcPr>
          <w:p w14:paraId="451232ED" w14:textId="198D0AA6" w:rsidR="001E6F9F" w:rsidRPr="000E6ABF" w:rsidRDefault="001E6F9F" w:rsidP="001E6F9F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Inšpekcijski svet deluje v skladu z Z</w:t>
            </w:r>
            <w:r w:rsidR="00605FCB"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akonom o inšpekcijskem nadzoru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="00FC6F87" w:rsidRPr="000E6ABF">
              <w:rPr>
                <w:rFonts w:ascii="Arial" w:hAnsi="Arial" w:cs="Arial"/>
                <w:bCs/>
                <w:sz w:val="20"/>
                <w:szCs w:val="20"/>
              </w:rPr>
              <w:t xml:space="preserve">(Uradni list RS, št. 43/07 – uradno prečiščeno besedilo in 40/14) 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kot stalno medresorsko delovno telo, ki ga vodi minister, pristojen za upravo, ali oseba, ki jo minister pooblasti. Namenjen je medsebojni koordinaciji dela in s tem doseganju večje učinkovitosti različnih inšpekcijskih organov. Člani Inšpekcijskega sveta so glavni inšpektorji in predstojniki organov oziroma poslovodni organi oseb javnega prava, v katerih deluje inšpekcija, oziroma osebe, ki jih predstojnik oziroma poslovodni organ pooblasti, torej praviloma osebe, ki so najbolj odgovorne za delovanje posameznih inšpekcijskih organov. </w:t>
            </w:r>
          </w:p>
          <w:p w14:paraId="52DE48E3" w14:textId="349F0A5A" w:rsidR="006C6980" w:rsidRPr="000E6ABF" w:rsidRDefault="006C6980" w:rsidP="001E6F9F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14:paraId="545CE906" w14:textId="35FCFD9A" w:rsidR="006C6980" w:rsidRDefault="006C6980" w:rsidP="001E6F9F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Inšpekcijski svet opravlja naloge, povezane z doseganjem večje učinkovitosti in usklajenosti delovanja inšpekcijskih organov, tako da usklajuje skupno izvajanje nalog inšpekcijskega nadzora različnih inšpekcijskih organov, obravnava skupna vprašanja glede delovanja inšpekcijskih organov, obravnava vprašanja, povezana z usposabljanjem v inšpekcijskih organih, obravnava in usklajuje oziroma načrtuje ukrepe za zagotovitev informacijske podpore inšpekcijskim organom.</w:t>
            </w:r>
          </w:p>
          <w:p w14:paraId="66389738" w14:textId="77777777" w:rsidR="001E6F9F" w:rsidRPr="000E6ABF" w:rsidRDefault="001E6F9F" w:rsidP="001E6F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020195A" w14:textId="121C6F18" w:rsidR="0012536E" w:rsidRPr="008D14C7" w:rsidRDefault="001E6F9F" w:rsidP="0012536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Upoštevaje navedene pristojnosti so v tem letnem poročilu Inšpekcijskega sveta zajeti statistični podatki o opravljenem delu, ki kažejo, da je bilo v letu 202</w:t>
            </w:r>
            <w:r w:rsidR="004325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3F0099"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skupaj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izrečenih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40.845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upravnih in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30.840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prekrškovnih ukrepov, torej skupaj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71.685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ukrep</w:t>
            </w:r>
            <w:r w:rsid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medtem ko je bilo </w:t>
            </w:r>
            <w:r w:rsidR="00BE6F93"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letu 20</w:t>
            </w:r>
            <w:r w:rsidR="008D14C7"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4325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3F0099"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skupaj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izrečenih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44.950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upravnih in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30.122 </w:t>
            </w:r>
            <w:r w:rsidRPr="00FC2E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prekrškovnih ukrepov, torej skupaj </w:t>
            </w:r>
            <w:r w:rsidR="00D727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75.072 </w:t>
            </w:r>
            <w:r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vseh ukrepov. </w:t>
            </w:r>
            <w:r w:rsidR="00BA19D3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>Tako je bilo v letu 202</w:t>
            </w:r>
            <w:r w:rsidR="00432572">
              <w:rPr>
                <w:rFonts w:ascii="Arial" w:eastAsia="Calibri" w:hAnsi="Arial" w:cs="Arial"/>
                <w:sz w:val="20"/>
                <w:szCs w:val="20"/>
                <w:lang w:eastAsia="sl-SI"/>
              </w:rPr>
              <w:t>4</w:t>
            </w:r>
            <w:r w:rsidR="00BA19D3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iz</w:t>
            </w:r>
            <w:r w:rsidR="00FB5BD2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>rečenih</w:t>
            </w:r>
            <w:r w:rsid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="00432572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nekoliko </w:t>
            </w:r>
            <w:r w:rsidR="00A43E30">
              <w:rPr>
                <w:rFonts w:ascii="Arial" w:eastAsia="Calibri" w:hAnsi="Arial" w:cs="Arial"/>
                <w:sz w:val="20"/>
                <w:szCs w:val="20"/>
                <w:lang w:eastAsia="sl-SI"/>
              </w:rPr>
              <w:t>manj</w:t>
            </w:r>
            <w:r w:rsid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upravnih ukrepov </w:t>
            </w:r>
            <w:r w:rsidR="00BA19D3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in </w:t>
            </w:r>
            <w:r w:rsidR="00432572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nekoliko </w:t>
            </w:r>
            <w:r w:rsidR="00A43E30">
              <w:rPr>
                <w:rFonts w:ascii="Arial" w:eastAsia="Calibri" w:hAnsi="Arial" w:cs="Arial"/>
                <w:sz w:val="20"/>
                <w:szCs w:val="20"/>
                <w:lang w:eastAsia="sl-SI"/>
              </w:rPr>
              <w:t>več</w:t>
            </w:r>
            <w:r w:rsid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prekrškovnih ukrepov </w:t>
            </w:r>
            <w:r w:rsidR="00BA19D3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>glede na leto</w:t>
            </w:r>
            <w:r w:rsidR="006C6E92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202</w:t>
            </w:r>
            <w:r w:rsidR="00432572">
              <w:rPr>
                <w:rFonts w:ascii="Arial" w:eastAsia="Calibri" w:hAnsi="Arial" w:cs="Arial"/>
                <w:sz w:val="20"/>
                <w:szCs w:val="20"/>
                <w:lang w:eastAsia="sl-SI"/>
              </w:rPr>
              <w:t>3</w:t>
            </w:r>
            <w:r w:rsidR="00BA19D3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>.</w:t>
            </w:r>
            <w:r w:rsidR="003D4E04" w:rsidRPr="00FC2EA6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52660D7B" w14:textId="77777777" w:rsidR="0012536E" w:rsidRPr="000F3622" w:rsidRDefault="0012536E" w:rsidP="001E6F9F">
            <w:pPr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sl-SI"/>
              </w:rPr>
            </w:pPr>
          </w:p>
          <w:p w14:paraId="6A6BF7D4" w14:textId="7863F63F" w:rsidR="003F58A3" w:rsidRDefault="00C30DDB" w:rsidP="003F58A3">
            <w:pPr>
              <w:shd w:val="clear" w:color="auto" w:fill="FFFFFF"/>
              <w:spacing w:after="160" w:line="240" w:lineRule="atLeast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>Poročilo vsebuje tudi vsebinsko predstavitev problematike, s katero se srečujejo posamezni inšpekcijski organi pri svojem delu, od predpisov do kadrovskih</w:t>
            </w:r>
            <w:r w:rsidR="00331B5F"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, 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finančnih </w:t>
            </w:r>
            <w:r w:rsidR="00331B5F"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>in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drugih težav. Na dan 31. 12. 20</w:t>
            </w:r>
            <w:r w:rsidR="00BC76CF"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>2</w:t>
            </w:r>
            <w:r w:rsidR="00A160E8">
              <w:rPr>
                <w:rFonts w:ascii="Arial" w:eastAsia="Calibri" w:hAnsi="Arial" w:cs="Arial"/>
                <w:sz w:val="20"/>
                <w:szCs w:val="20"/>
                <w:lang w:eastAsia="sl-SI"/>
              </w:rPr>
              <w:t>4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je bilo v inšpekcijskih organih skupaj zaposlenih 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5.33</w:t>
            </w:r>
            <w:r w:rsidR="00352930">
              <w:rPr>
                <w:rFonts w:ascii="Arial" w:eastAsia="Calibri" w:hAnsi="Arial" w:cs="Arial"/>
                <w:sz w:val="20"/>
                <w:szCs w:val="20"/>
                <w:lang w:eastAsia="sl-SI"/>
              </w:rPr>
              <w:t>3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="00031A19">
              <w:rPr>
                <w:rFonts w:ascii="Arial" w:eastAsia="Calibri" w:hAnsi="Arial" w:cs="Arial"/>
                <w:sz w:val="20"/>
                <w:szCs w:val="20"/>
                <w:lang w:eastAsia="sl-SI"/>
              </w:rPr>
              <w:t>javnih uslužbencev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, od tega 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1.477</w:t>
            </w:r>
            <w:r w:rsidR="002B1EE7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>inšpektorjev (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27,7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% inšpektorjev med vsemi zaposlenimi) in 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3</w:t>
            </w:r>
            <w:r w:rsidR="002B1EE7">
              <w:rPr>
                <w:rFonts w:ascii="Arial" w:eastAsia="Calibri" w:hAnsi="Arial" w:cs="Arial"/>
                <w:sz w:val="20"/>
                <w:szCs w:val="20"/>
                <w:lang w:eastAsia="sl-SI"/>
              </w:rPr>
              <w:t>.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85</w:t>
            </w:r>
            <w:r w:rsidR="00352930">
              <w:rPr>
                <w:rFonts w:ascii="Arial" w:eastAsia="Calibri" w:hAnsi="Arial" w:cs="Arial"/>
                <w:sz w:val="20"/>
                <w:szCs w:val="20"/>
                <w:lang w:eastAsia="sl-SI"/>
              </w:rPr>
              <w:t>6</w:t>
            </w:r>
            <w:r w:rsidRP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ostalih javnih uslužbencev. </w:t>
            </w:r>
            <w:r w:rsid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>Glede na leto 202</w:t>
            </w:r>
            <w:r w:rsidR="00A160E8">
              <w:rPr>
                <w:rFonts w:ascii="Arial" w:eastAsia="Calibri" w:hAnsi="Arial" w:cs="Arial"/>
                <w:sz w:val="20"/>
                <w:szCs w:val="20"/>
                <w:lang w:eastAsia="sl-SI"/>
              </w:rPr>
              <w:t>3</w:t>
            </w:r>
            <w:r w:rsidR="003F58A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se je število vseh inšpektorjev </w:t>
            </w:r>
            <w:r w:rsidR="00031A19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zmanjšalo za </w:t>
            </w:r>
            <w:r w:rsidR="009B48E1">
              <w:rPr>
                <w:rFonts w:ascii="Arial" w:eastAsia="Calibri" w:hAnsi="Arial" w:cs="Arial"/>
                <w:sz w:val="20"/>
                <w:szCs w:val="20"/>
                <w:lang w:eastAsia="sl-SI"/>
              </w:rPr>
              <w:t>2.</w:t>
            </w:r>
          </w:p>
          <w:p w14:paraId="73CFCE26" w14:textId="0B8E8F82" w:rsidR="00257BA2" w:rsidRPr="000E6ABF" w:rsidRDefault="001E6F9F" w:rsidP="00FC633F">
            <w:pPr>
              <w:shd w:val="clear" w:color="auto" w:fill="FFFFFF"/>
              <w:spacing w:after="160" w:line="24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Predstavljen</w:t>
            </w:r>
            <w:r w:rsidR="009E31FA">
              <w:rPr>
                <w:rFonts w:ascii="Arial" w:eastAsia="Calibri" w:hAnsi="Arial" w:cs="Arial"/>
                <w:sz w:val="20"/>
                <w:szCs w:val="20"/>
                <w:lang w:eastAsia="sl-SI"/>
              </w:rPr>
              <w:t>e so tudi aktivnosti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="006C30F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in problematika </w:t>
            </w:r>
            <w:r w:rsidR="00373D9C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osmih 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regijskih koordinacij inšpektorjev</w:t>
            </w:r>
            <w:r w:rsidR="00CA3503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in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delo </w:t>
            </w:r>
            <w:r w:rsidR="00373D9C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štirih </w:t>
            </w:r>
            <w:r w:rsidRPr="000E6ABF">
              <w:rPr>
                <w:rFonts w:ascii="Arial" w:eastAsia="Calibri" w:hAnsi="Arial" w:cs="Arial"/>
                <w:sz w:val="20"/>
                <w:szCs w:val="20"/>
                <w:lang w:eastAsia="sl-SI"/>
              </w:rPr>
              <w:t>odborov, ki delujejo pri Inšpekcijskem svetu</w:t>
            </w:r>
            <w:r w:rsidR="0010227B">
              <w:rPr>
                <w:rFonts w:ascii="Arial" w:eastAsia="Calibri" w:hAnsi="Arial" w:cs="Arial"/>
                <w:sz w:val="20"/>
                <w:szCs w:val="20"/>
                <w:lang w:eastAsia="sl-SI"/>
              </w:rPr>
              <w:t>.</w:t>
            </w:r>
            <w:r w:rsidR="006862BC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100E26" w:rsidRPr="000E6ABF" w14:paraId="50591868" w14:textId="77777777" w:rsidTr="009266AE">
        <w:tc>
          <w:tcPr>
            <w:tcW w:w="9163" w:type="dxa"/>
            <w:gridSpan w:val="4"/>
          </w:tcPr>
          <w:p w14:paraId="3EFECF07" w14:textId="77777777" w:rsidR="00B85254" w:rsidRPr="000E6ABF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100E26" w:rsidRPr="000E6ABF" w14:paraId="495D85FC" w14:textId="77777777" w:rsidTr="009266AE">
        <w:tc>
          <w:tcPr>
            <w:tcW w:w="1448" w:type="dxa"/>
          </w:tcPr>
          <w:p w14:paraId="050A37F5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7411743D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CA537E0" w14:textId="72FDB988" w:rsidR="00B85254" w:rsidRPr="000E6ABF" w:rsidRDefault="00075F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1E79970F" w14:textId="77777777" w:rsidTr="009266AE">
        <w:tc>
          <w:tcPr>
            <w:tcW w:w="1448" w:type="dxa"/>
          </w:tcPr>
          <w:p w14:paraId="23E9E6D2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5F48CAB2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69508A7" w14:textId="33368CF3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6C020F4B" w14:textId="77777777" w:rsidTr="009266AE">
        <w:tc>
          <w:tcPr>
            <w:tcW w:w="1448" w:type="dxa"/>
          </w:tcPr>
          <w:p w14:paraId="39A4CA41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01EFF51C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D9AF050" w14:textId="5976FAC4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604BB3C1" w14:textId="77777777" w:rsidTr="009266AE">
        <w:tc>
          <w:tcPr>
            <w:tcW w:w="1448" w:type="dxa"/>
          </w:tcPr>
          <w:p w14:paraId="2611A61C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0E1E4F60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BD7C920" w14:textId="16291C2F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17F8AC9C" w14:textId="77777777" w:rsidTr="009266AE">
        <w:tc>
          <w:tcPr>
            <w:tcW w:w="1448" w:type="dxa"/>
          </w:tcPr>
          <w:p w14:paraId="533BD8DD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9FB89C0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01E06112" w14:textId="60C77BBC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0D44ACA2" w14:textId="77777777" w:rsidTr="009266AE">
        <w:tc>
          <w:tcPr>
            <w:tcW w:w="1448" w:type="dxa"/>
          </w:tcPr>
          <w:p w14:paraId="3A029193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F978807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34A1CEE" w14:textId="73BC7014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407A4D7E" w14:textId="77777777" w:rsidTr="009266AE">
        <w:tc>
          <w:tcPr>
            <w:tcW w:w="1448" w:type="dxa"/>
            <w:tcBorders>
              <w:bottom w:val="single" w:sz="4" w:space="0" w:color="auto"/>
            </w:tcBorders>
          </w:tcPr>
          <w:p w14:paraId="1E9F71FC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5E48DB0" w14:textId="77777777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0C1C7B2C" w14:textId="77777777" w:rsidR="00B85254" w:rsidRPr="000E6ABF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BADFF7B" w14:textId="77777777" w:rsidR="00B85254" w:rsidRPr="000E6ABF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D2EE9E0" w14:textId="77777777" w:rsidR="00B85254" w:rsidRPr="000E6ABF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BCF0833" w14:textId="68C11F60" w:rsidR="00B85254" w:rsidRPr="000E6ABF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85254" w:rsidRPr="000E6ABF" w14:paraId="390CA81E" w14:textId="77777777" w:rsidTr="00C2097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0C2" w14:textId="2FC893D3" w:rsidR="00B85254" w:rsidRPr="000E6ABF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0652FEFB" w14:textId="22E8AB21" w:rsidR="00B85254" w:rsidRPr="000E6ABF" w:rsidRDefault="002F1258" w:rsidP="00617A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14:paraId="359A64EF" w14:textId="77777777" w:rsidR="00B85254" w:rsidRPr="000E6ABF" w:rsidRDefault="00B85254" w:rsidP="00B85254">
      <w:pPr>
        <w:spacing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100E26" w:rsidRPr="000E6ABF" w14:paraId="62E03425" w14:textId="77777777" w:rsidTr="009266A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EFD16" w14:textId="77777777" w:rsidR="00B85254" w:rsidRPr="000E6ABF" w:rsidRDefault="00B85254" w:rsidP="009266AE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00E26" w:rsidRPr="000E6ABF" w14:paraId="072E9AE0" w14:textId="77777777" w:rsidTr="009266AE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2B9" w14:textId="77777777" w:rsidR="00B85254" w:rsidRPr="000E6ABF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089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CA1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38F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AF8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100E26" w:rsidRPr="000E6ABF" w14:paraId="5F4FC8BB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3BE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849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53C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0B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024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38E369BA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E1B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211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8C1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EE5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9C50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1F2D4CE9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D50C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3FB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DFC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24E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84C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0E6ABF" w14:paraId="462F3EDE" w14:textId="77777777" w:rsidTr="009266AE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D32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3A2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07BB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E86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B923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0E6ABF" w14:paraId="2C57DCD7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B9C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6ABF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4C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7A2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D4E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FC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7C786A5A" w14:textId="77777777" w:rsidTr="009266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BFF720" w14:textId="77777777" w:rsidR="00B85254" w:rsidRPr="000E6ABF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00E26" w:rsidRPr="000E6ABF" w14:paraId="17A7BF07" w14:textId="77777777" w:rsidTr="009266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94F5D5" w14:textId="77777777" w:rsidR="00B85254" w:rsidRPr="000E6ABF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00E26" w:rsidRPr="000E6ABF" w14:paraId="3F92D4E3" w14:textId="77777777" w:rsidTr="009266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06F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156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73B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FF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FD5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00E26" w:rsidRPr="000E6ABF" w14:paraId="699A47F5" w14:textId="77777777" w:rsidTr="009266AE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F61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10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075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F29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CC0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58870186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369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215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86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B4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A4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694A695D" w14:textId="77777777" w:rsidTr="009266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5004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73B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AB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605F3985" w14:textId="77777777" w:rsidTr="009266A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B8F36B" w14:textId="77777777" w:rsidR="00B85254" w:rsidRPr="000E6ABF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00E26" w:rsidRPr="000E6ABF" w14:paraId="0CAA5B9D" w14:textId="77777777" w:rsidTr="009266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180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F1B4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6F1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1925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FC2" w14:textId="77777777" w:rsidR="00B85254" w:rsidRPr="000E6ABF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00E26" w:rsidRPr="000E6ABF" w14:paraId="468C58D4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1B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739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B01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498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763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43AC487A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64B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697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34D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FA6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282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6DD98F8B" w14:textId="77777777" w:rsidTr="009266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373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888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683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06FE2170" w14:textId="77777777" w:rsidTr="009266A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4AAED" w14:textId="77777777" w:rsidR="00B85254" w:rsidRPr="000E6ABF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00E26" w:rsidRPr="000E6ABF" w14:paraId="0F36C505" w14:textId="77777777" w:rsidTr="009266AE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945" w14:textId="77777777" w:rsidR="00B85254" w:rsidRPr="000E6ABF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621" w14:textId="77777777" w:rsidR="00B85254" w:rsidRPr="000E6ABF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F58" w14:textId="77777777" w:rsidR="00B85254" w:rsidRPr="000E6ABF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00E26" w:rsidRPr="000E6ABF" w14:paraId="50814E51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052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9C6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E8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1B89DFA3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660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867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B63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6CE43D5F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C4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01A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D145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110D222E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8B7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A0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00F" w14:textId="77777777" w:rsidR="00B85254" w:rsidRPr="000E6ABF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0E6ABF" w14:paraId="16B6286A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FE5080F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72EB5F" w14:textId="77777777" w:rsidR="00B85254" w:rsidRPr="000E6ABF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63BC7B6B" w14:textId="77777777" w:rsidR="00B85254" w:rsidRPr="000E6ABF" w:rsidRDefault="00B85254" w:rsidP="00B85254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50D7A4E4" w14:textId="77777777" w:rsidR="00B85254" w:rsidRPr="000E6ABF" w:rsidRDefault="00B85254" w:rsidP="009266AE">
            <w:pPr>
              <w:widowControl w:val="0"/>
              <w:spacing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BDDA3AE" w14:textId="77777777" w:rsidR="00B85254" w:rsidRPr="000E6ABF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00DD36C9" w14:textId="77777777" w:rsidR="00B85254" w:rsidRPr="000E6ABF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418B7823" w14:textId="77777777" w:rsidR="00B85254" w:rsidRPr="000E6ABF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1E8CBC9F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2CDFE7" w14:textId="77777777" w:rsidR="00B85254" w:rsidRPr="000E6ABF" w:rsidRDefault="00B85254" w:rsidP="00B85254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0C9666FB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0F9584B" w14:textId="77777777" w:rsidR="00B85254" w:rsidRPr="000E6ABF" w:rsidRDefault="00B85254" w:rsidP="009266AE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8BCF60E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4387BDD" w14:textId="77777777" w:rsidR="00B85254" w:rsidRPr="000E6ABF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05F48735" w14:textId="77777777" w:rsidR="00B85254" w:rsidRPr="000E6ABF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0F3BF65" w14:textId="77777777" w:rsidR="00B85254" w:rsidRPr="000E6ABF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2022F93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8E808D8" w14:textId="77777777" w:rsidR="00B85254" w:rsidRPr="000E6ABF" w:rsidRDefault="00B85254" w:rsidP="009266AE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8A83CC8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930973A" w14:textId="77777777" w:rsidR="00B85254" w:rsidRPr="000E6ABF" w:rsidRDefault="00B85254" w:rsidP="009266AE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8266C5A" w14:textId="77777777" w:rsidR="00B85254" w:rsidRPr="000E6ABF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517A232" w14:textId="77777777" w:rsidR="00B85254" w:rsidRPr="000E6ABF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100E26" w:rsidRPr="000E6ABF" w14:paraId="3B4D87E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3296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5E569AA7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3B77E3AB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0165D949" w14:textId="3514E4E3" w:rsidR="00B85254" w:rsidRPr="000E6ABF" w:rsidRDefault="00CC7AEF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</w:rPr>
              <w:t>Gradivo nima finančnih posledic.</w:t>
            </w:r>
          </w:p>
        </w:tc>
      </w:tr>
      <w:tr w:rsidR="00100E26" w:rsidRPr="000E6ABF" w14:paraId="11FA2BCC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A693" w14:textId="77777777" w:rsidR="00B85254" w:rsidRPr="000E6ABF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100E26" w:rsidRPr="000E6ABF" w14:paraId="18391D0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56EF525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4CBF6395" w14:textId="77777777" w:rsidR="00B85254" w:rsidRPr="000E6ABF" w:rsidRDefault="00B85254" w:rsidP="00B85254">
            <w:pPr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655C2E7B" w14:textId="77777777" w:rsidR="00B85254" w:rsidRPr="000E6ABF" w:rsidRDefault="00B85254" w:rsidP="00B85254">
            <w:pPr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C701F58" w14:textId="77777777" w:rsidR="00B85254" w:rsidRPr="000E6ABF" w:rsidRDefault="00B85254" w:rsidP="00B85254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146F33B6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91F7E33" w14:textId="03AFC358" w:rsidR="00B85254" w:rsidRPr="000E6ABF" w:rsidRDefault="00771293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69843DE5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21B7FB7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3FF7814" w14:textId="67B491AB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</w:t>
            </w:r>
            <w:r w:rsidR="00726CE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nosti občin Slovenije SOS: </w:t>
            </w:r>
            <w:r w:rsidR="00465D18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0AAE86FD" w14:textId="0F09F76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</w:t>
            </w:r>
            <w:r w:rsidR="00726CE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ženju občin Slovenije ZOS: </w:t>
            </w:r>
            <w:r w:rsidR="00465D18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647D44B7" w14:textId="5EAD75E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</w:t>
            </w:r>
            <w:r w:rsidR="00726CE0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tnih občin Slovenije ZMOS: </w:t>
            </w:r>
            <w:r w:rsidR="00465D18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34C21226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43F0457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50962A7D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2BE8CFAF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1D7430FC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D88072C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niso bili upoštevani.</w:t>
            </w:r>
          </w:p>
          <w:p w14:paraId="3687CB5F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91D1AF" w14:textId="29CBEF23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</w:t>
            </w:r>
            <w:r w:rsidR="00D839A2"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…</w:t>
            </w:r>
          </w:p>
          <w:p w14:paraId="7F25D5B3" w14:textId="77777777" w:rsidR="00B85254" w:rsidRPr="000E6ABF" w:rsidRDefault="00B85254" w:rsidP="00271D2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0E6ABF" w14:paraId="79B17A17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11475C6D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100E26" w:rsidRPr="000E6ABF" w14:paraId="19C03A6E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8A5C2E9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A33368A" w14:textId="05B6028C" w:rsidR="00B85254" w:rsidRPr="000E6ABF" w:rsidRDefault="00767171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34991E8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E8E4FD2" w14:textId="396CF798" w:rsidR="00B85254" w:rsidRPr="003D2FD2" w:rsidRDefault="003D2FD2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D2FD2">
              <w:rPr>
                <w:rFonts w:ascii="Arial" w:hAnsi="Arial" w:cs="Arial"/>
                <w:iCs/>
                <w:sz w:val="20"/>
                <w:szCs w:val="20"/>
              </w:rPr>
              <w:t xml:space="preserve">Gradivo ni bilo predhodno objavljeno na spletni strani predlagatelja na podlagi 11. točke prvega odstavka 6. člena Zakona o dostopu do informacij javnega značaja </w:t>
            </w:r>
            <w:r w:rsidRPr="003D2FD2">
              <w:rPr>
                <w:rFonts w:ascii="Arial" w:hAnsi="Arial" w:cs="Arial"/>
                <w:sz w:val="20"/>
                <w:szCs w:val="20"/>
              </w:rPr>
              <w:t xml:space="preserve">(Uradni list RS, št. </w:t>
            </w:r>
            <w:hyperlink r:id="rId18" w:tgtFrame="_blank" w:tooltip="Zakon o dostopu do informacij javnega značaja (uradno prečiščeno besedilo)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51/06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9" w:tgtFrame="_blank" w:tooltip="Zakon o davčnem postopku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117/06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 xml:space="preserve"> – ZDavP-2, </w:t>
            </w:r>
            <w:hyperlink r:id="rId20" w:tgtFrame="_blank" w:tooltip="Zakon o spremembah in dopolnitvah Zakona o dostopu do informacij javnega značaja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23/14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tgtFrame="_blank" w:tooltip="Zakon o spremembah in dopolnitvah Zakona o dostopu do informacij javnega značaja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50/14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19/15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 xml:space="preserve"> – odl. US, </w:t>
            </w:r>
            <w:hyperlink r:id="rId23" w:tgtFrame="_blank" w:tooltip="Zakon o spremembah in dopolnitvah Zakona o dostopu do informacij javnega značaja" w:history="1">
              <w:r w:rsidRPr="003D2FD2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102/15</w:t>
              </w:r>
            </w:hyperlink>
            <w:r w:rsidRPr="003D2FD2">
              <w:rPr>
                <w:rFonts w:ascii="Arial" w:hAnsi="Arial" w:cs="Arial"/>
                <w:sz w:val="20"/>
                <w:szCs w:val="20"/>
              </w:rPr>
              <w:t>, 7/18 in 141/22).</w:t>
            </w:r>
          </w:p>
        </w:tc>
      </w:tr>
      <w:tr w:rsidR="00100E26" w:rsidRPr="000E6ABF" w14:paraId="1297239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13508F7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1AA5E976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69FA25E9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3C8D57E0" w14:textId="7777777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15710C5C" w14:textId="7777777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2CF3F30D" w14:textId="7777777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25BFF418" w14:textId="77777777" w:rsidR="00B85254" w:rsidRPr="000E6ABF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5004034D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44FF7EDC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421E049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72A60C9C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673EB06F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B038496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1026EC6" w14:textId="77777777" w:rsidR="00B85254" w:rsidRPr="000E6ABF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55605435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B8B4A85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59B6D0BE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572EFC0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356473B7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9B7FA96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521534CB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0E6ABF" w14:paraId="12672B50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B3D3B82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720DA66" w14:textId="5B14F452" w:rsidR="00B85254" w:rsidRPr="000E6ABF" w:rsidRDefault="00A65FA0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0E6ABF" w14:paraId="7AD1EB89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AF54EA4" w14:textId="77777777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FD6B45B" w14:textId="1FECC44D" w:rsidR="00B85254" w:rsidRPr="000E6ABF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6A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85254" w:rsidRPr="000E6ABF" w14:paraId="2420EADF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6DC" w14:textId="77777777" w:rsidR="00B85254" w:rsidRPr="000E6ABF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50ABEF" w14:textId="60DD3F83" w:rsidR="00B85254" w:rsidRPr="00A40609" w:rsidRDefault="00A84F72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                                 </w:t>
            </w:r>
            <w:r w:rsidR="00EB3531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</w:t>
            </w:r>
            <w:r w:rsidR="00CF65D2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</w:t>
            </w:r>
            <w:r w:rsidR="00A40609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mag. Franc Props</w:t>
            </w:r>
          </w:p>
          <w:p w14:paraId="450AC77A" w14:textId="13ED74B7" w:rsidR="00A84F72" w:rsidRPr="00A40609" w:rsidRDefault="00A84F72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                                           </w:t>
            </w:r>
            <w:r w:rsidR="00F06963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</w:t>
            </w:r>
            <w:r w:rsidR="00A40609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</w:t>
            </w:r>
            <w:r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A40609" w:rsidRPr="00A4060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MINISTER</w:t>
            </w:r>
          </w:p>
          <w:p w14:paraId="2DE0CCE3" w14:textId="77777777" w:rsidR="00B85254" w:rsidRPr="000E6ABF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1DDF2EA7" w14:textId="77777777" w:rsidR="00B85254" w:rsidRPr="000E6ABF" w:rsidRDefault="00B85254" w:rsidP="00B85254">
      <w:pPr>
        <w:rPr>
          <w:rFonts w:ascii="Arial" w:hAnsi="Arial" w:cs="Arial"/>
          <w:sz w:val="20"/>
          <w:szCs w:val="20"/>
        </w:rPr>
      </w:pPr>
    </w:p>
    <w:p w14:paraId="160D74A4" w14:textId="77777777" w:rsidR="00B85254" w:rsidRPr="000E6ABF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1D40855B" w14:textId="77777777" w:rsidR="00B85254" w:rsidRPr="000E6ABF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F48BC5D" w14:textId="77777777" w:rsidR="00B85254" w:rsidRPr="000E6ABF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46F207D" w14:textId="77777777" w:rsidR="00B85254" w:rsidRPr="000E6ABF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263E3A0C" w14:textId="5AEF0DDE" w:rsidR="00B85254" w:rsidRPr="000E6ABF" w:rsidRDefault="00816B85" w:rsidP="000E3F41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 w:rsidRPr="000E6ABF">
        <w:rPr>
          <w:rFonts w:ascii="Arial" w:hAnsi="Arial" w:cs="Arial"/>
          <w:sz w:val="20"/>
          <w:szCs w:val="20"/>
          <w:lang w:val="sl-SI"/>
        </w:rPr>
        <w:t>Prilog</w:t>
      </w:r>
      <w:r w:rsidR="00C322FC">
        <w:rPr>
          <w:rFonts w:ascii="Arial" w:hAnsi="Arial" w:cs="Arial"/>
          <w:sz w:val="20"/>
          <w:szCs w:val="20"/>
          <w:lang w:val="sl-SI"/>
        </w:rPr>
        <w:t>e</w:t>
      </w:r>
      <w:r w:rsidRPr="000E6ABF">
        <w:rPr>
          <w:rFonts w:ascii="Arial" w:hAnsi="Arial" w:cs="Arial"/>
          <w:sz w:val="20"/>
          <w:szCs w:val="20"/>
          <w:lang w:val="sl-SI"/>
        </w:rPr>
        <w:t>:</w:t>
      </w:r>
    </w:p>
    <w:p w14:paraId="0CF5D7C0" w14:textId="77777777" w:rsidR="00C322FC" w:rsidRDefault="00816B85" w:rsidP="000E3F41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 w:rsidRPr="000E6ABF">
        <w:rPr>
          <w:rFonts w:ascii="Arial" w:hAnsi="Arial" w:cs="Arial"/>
          <w:sz w:val="20"/>
          <w:szCs w:val="20"/>
          <w:lang w:val="sl-SI"/>
        </w:rPr>
        <w:t xml:space="preserve">- </w:t>
      </w:r>
      <w:r w:rsidR="00536EFD">
        <w:rPr>
          <w:rFonts w:ascii="Arial" w:hAnsi="Arial" w:cs="Arial"/>
          <w:sz w:val="20"/>
          <w:szCs w:val="20"/>
          <w:lang w:val="sl-SI"/>
        </w:rPr>
        <w:t xml:space="preserve">sklep </w:t>
      </w:r>
      <w:r w:rsidR="000D67E6">
        <w:rPr>
          <w:rFonts w:ascii="Arial" w:hAnsi="Arial" w:cs="Arial"/>
          <w:sz w:val="20"/>
          <w:szCs w:val="20"/>
          <w:lang w:val="sl-SI"/>
        </w:rPr>
        <w:t>vlade</w:t>
      </w:r>
      <w:r w:rsidR="00536EFD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50ED5A6F" w14:textId="25C99FEF" w:rsidR="00536EFD" w:rsidRDefault="00C322FC" w:rsidP="000E3F41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 w:rsidR="00536EFD">
        <w:rPr>
          <w:rFonts w:ascii="Arial" w:hAnsi="Arial" w:cs="Arial"/>
          <w:sz w:val="20"/>
          <w:szCs w:val="20"/>
          <w:lang w:val="sl-SI"/>
        </w:rPr>
        <w:t>obrazložit</w:t>
      </w:r>
      <w:r>
        <w:rPr>
          <w:rFonts w:ascii="Arial" w:hAnsi="Arial" w:cs="Arial"/>
          <w:sz w:val="20"/>
          <w:szCs w:val="20"/>
          <w:lang w:val="sl-SI"/>
        </w:rPr>
        <w:t>e</w:t>
      </w:r>
      <w:r w:rsidR="00536EFD">
        <w:rPr>
          <w:rFonts w:ascii="Arial" w:hAnsi="Arial" w:cs="Arial"/>
          <w:sz w:val="20"/>
          <w:szCs w:val="20"/>
          <w:lang w:val="sl-SI"/>
        </w:rPr>
        <w:t>v</w:t>
      </w:r>
    </w:p>
    <w:p w14:paraId="7EEB59BD" w14:textId="1E6FBCF2" w:rsidR="00CC21D5" w:rsidRPr="000E6ABF" w:rsidRDefault="00536EFD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 w:rsidR="00336B37" w:rsidRPr="000E6ABF">
        <w:rPr>
          <w:rFonts w:ascii="Arial" w:hAnsi="Arial" w:cs="Arial"/>
          <w:sz w:val="20"/>
          <w:szCs w:val="20"/>
          <w:lang w:val="sl-SI"/>
        </w:rPr>
        <w:t>Poročilo Inšpekcijskega sveta za leto 202</w:t>
      </w:r>
      <w:r w:rsidR="002F32EF">
        <w:rPr>
          <w:rFonts w:ascii="Arial" w:hAnsi="Arial" w:cs="Arial"/>
          <w:sz w:val="20"/>
          <w:szCs w:val="20"/>
          <w:lang w:val="sl-SI"/>
        </w:rPr>
        <w:t>4</w:t>
      </w:r>
      <w:r w:rsidR="008C2D5E">
        <w:rPr>
          <w:rFonts w:ascii="Arial" w:hAnsi="Arial" w:cs="Arial"/>
          <w:sz w:val="20"/>
          <w:szCs w:val="20"/>
          <w:lang w:val="sl-SI"/>
        </w:rPr>
        <w:t xml:space="preserve">  </w:t>
      </w:r>
    </w:p>
    <w:p w14:paraId="6BD48445" w14:textId="52E32F05" w:rsidR="00CC21D5" w:rsidRPr="000E6ABF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08FB8A4" w14:textId="54AB6603" w:rsidR="00CC21D5" w:rsidRPr="000E6ABF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E75536F" w14:textId="060EBB12" w:rsidR="00CC21D5" w:rsidRPr="000E6ABF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E2B4AAC" w14:textId="5DDC9DF8" w:rsidR="00CC21D5" w:rsidRPr="000E6ABF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sectPr w:rsidR="00CC21D5" w:rsidRPr="000E6ABF" w:rsidSect="001640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A3D3" w14:textId="77777777" w:rsidR="003F7A47" w:rsidRDefault="003F7A47">
      <w:r>
        <w:separator/>
      </w:r>
    </w:p>
  </w:endnote>
  <w:endnote w:type="continuationSeparator" w:id="0">
    <w:p w14:paraId="23A13F69" w14:textId="77777777" w:rsidR="003F7A47" w:rsidRDefault="003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1225" w14:textId="77777777" w:rsidR="005F1868" w:rsidRDefault="005F18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10587"/>
      <w:docPartObj>
        <w:docPartGallery w:val="Page Numbers (Bottom of Page)"/>
        <w:docPartUnique/>
      </w:docPartObj>
    </w:sdtPr>
    <w:sdtContent>
      <w:p w14:paraId="63B0D564" w14:textId="403ECAD9" w:rsidR="005F1868" w:rsidRDefault="005F18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B83A07D" w14:textId="77777777" w:rsidR="005F1868" w:rsidRDefault="005F186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999751"/>
      <w:docPartObj>
        <w:docPartGallery w:val="Page Numbers (Bottom of Page)"/>
        <w:docPartUnique/>
      </w:docPartObj>
    </w:sdtPr>
    <w:sdtContent>
      <w:p w14:paraId="6AAE5333" w14:textId="62D0131E" w:rsidR="005F1868" w:rsidRDefault="005F18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E53062" w14:textId="77777777" w:rsidR="005F1868" w:rsidRDefault="005F18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73A0" w14:textId="77777777" w:rsidR="003F7A47" w:rsidRDefault="003F7A47">
      <w:r>
        <w:separator/>
      </w:r>
    </w:p>
  </w:footnote>
  <w:footnote w:type="continuationSeparator" w:id="0">
    <w:p w14:paraId="7D2A0173" w14:textId="77777777" w:rsidR="003F7A47" w:rsidRDefault="003F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B0C3" w14:textId="77777777" w:rsidR="005F1868" w:rsidRDefault="005F18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ED9" w14:textId="77777777" w:rsidR="005F1868" w:rsidRDefault="005F18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E952" w14:textId="77777777" w:rsidR="005F1868" w:rsidRPr="007E5A15" w:rsidRDefault="005F186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7873E8D" wp14:editId="7588FC6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0406FA" wp14:editId="0F601EC4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71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Pr="007E5A15">
      <w:rPr>
        <w:rFonts w:ascii="Arial" w:hAnsi="Arial" w:cs="Arial"/>
        <w:sz w:val="20"/>
        <w:szCs w:val="20"/>
      </w:rPr>
      <w:t>T: 01 478 83 30</w:t>
    </w:r>
  </w:p>
  <w:p w14:paraId="03DEEFAB" w14:textId="77777777" w:rsidR="005F1868" w:rsidRPr="007E5A15" w:rsidRDefault="005F1868" w:rsidP="00134D6C">
    <w:pPr>
      <w:pStyle w:val="Glava"/>
      <w:tabs>
        <w:tab w:val="clear" w:pos="4320"/>
        <w:tab w:val="clear" w:pos="8640"/>
        <w:tab w:val="left" w:pos="5112"/>
        <w:tab w:val="left" w:pos="7095"/>
      </w:tabs>
      <w:spacing w:line="240" w:lineRule="exact"/>
      <w:rPr>
        <w:rFonts w:ascii="Arial" w:hAnsi="Arial" w:cs="Arial"/>
        <w:sz w:val="20"/>
        <w:szCs w:val="20"/>
      </w:rPr>
    </w:pPr>
    <w:r w:rsidRPr="007E5A15">
      <w:rPr>
        <w:rFonts w:ascii="Arial" w:hAnsi="Arial" w:cs="Arial"/>
        <w:sz w:val="20"/>
        <w:szCs w:val="20"/>
      </w:rPr>
      <w:tab/>
      <w:t>E: gp.mju@gov.si</w:t>
    </w:r>
    <w:r>
      <w:rPr>
        <w:rFonts w:ascii="Arial" w:hAnsi="Arial" w:cs="Arial"/>
        <w:sz w:val="20"/>
        <w:szCs w:val="20"/>
      </w:rPr>
      <w:tab/>
    </w:r>
  </w:p>
  <w:p w14:paraId="1A9D36C9" w14:textId="77777777" w:rsidR="005F1868" w:rsidRPr="007E5A15" w:rsidRDefault="005F18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20"/>
        <w:szCs w:val="20"/>
      </w:rPr>
    </w:pPr>
    <w:r w:rsidRPr="007E5A15">
      <w:rPr>
        <w:rFonts w:ascii="Arial" w:hAnsi="Arial" w:cs="Arial"/>
        <w:sz w:val="20"/>
        <w:szCs w:val="20"/>
      </w:rPr>
      <w:tab/>
      <w:t>www.mju.gov.si</w:t>
    </w:r>
  </w:p>
  <w:p w14:paraId="1C4B7152" w14:textId="77777777" w:rsidR="005F1868" w:rsidRPr="008F3500" w:rsidRDefault="005F186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442"/>
    <w:multiLevelType w:val="hybridMultilevel"/>
    <w:tmpl w:val="C5527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724"/>
    <w:multiLevelType w:val="hybridMultilevel"/>
    <w:tmpl w:val="1AB4B4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CD4"/>
    <w:multiLevelType w:val="hybridMultilevel"/>
    <w:tmpl w:val="AD40EE28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3017E"/>
    <w:multiLevelType w:val="hybridMultilevel"/>
    <w:tmpl w:val="DE04EEA8"/>
    <w:lvl w:ilvl="0" w:tplc="A596D5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1419"/>
    <w:multiLevelType w:val="hybridMultilevel"/>
    <w:tmpl w:val="4F78383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D6B1E"/>
    <w:multiLevelType w:val="hybridMultilevel"/>
    <w:tmpl w:val="3F52C1C4"/>
    <w:lvl w:ilvl="0" w:tplc="9886E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17BF3"/>
    <w:multiLevelType w:val="hybridMultilevel"/>
    <w:tmpl w:val="B9A803BA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62C"/>
    <w:multiLevelType w:val="hybridMultilevel"/>
    <w:tmpl w:val="C37012C8"/>
    <w:lvl w:ilvl="0" w:tplc="AFC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91882"/>
    <w:multiLevelType w:val="hybridMultilevel"/>
    <w:tmpl w:val="D50E13DE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0221B"/>
    <w:multiLevelType w:val="hybridMultilevel"/>
    <w:tmpl w:val="2D0A47EC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341F0"/>
    <w:multiLevelType w:val="hybridMultilevel"/>
    <w:tmpl w:val="44A015FE"/>
    <w:lvl w:ilvl="0" w:tplc="AAB69C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D5F38"/>
    <w:multiLevelType w:val="hybridMultilevel"/>
    <w:tmpl w:val="7D64DA24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D6D91"/>
    <w:multiLevelType w:val="hybridMultilevel"/>
    <w:tmpl w:val="62828D64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1615B6">
      <w:numFmt w:val="bullet"/>
      <w:lvlText w:val="-"/>
      <w:lvlJc w:val="left"/>
      <w:pPr>
        <w:ind w:left="2310" w:hanging="51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3DB9"/>
    <w:multiLevelType w:val="hybridMultilevel"/>
    <w:tmpl w:val="1C06644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1615B6">
      <w:numFmt w:val="bullet"/>
      <w:lvlText w:val="-"/>
      <w:lvlJc w:val="left"/>
      <w:pPr>
        <w:ind w:left="2310" w:hanging="51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3F7C4D"/>
    <w:multiLevelType w:val="hybridMultilevel"/>
    <w:tmpl w:val="CD7234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F92C33"/>
    <w:multiLevelType w:val="hybridMultilevel"/>
    <w:tmpl w:val="C1D20FF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221877"/>
    <w:multiLevelType w:val="hybridMultilevel"/>
    <w:tmpl w:val="6BB0C7F8"/>
    <w:lvl w:ilvl="0" w:tplc="E0CEF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D7F7B"/>
    <w:multiLevelType w:val="hybridMultilevel"/>
    <w:tmpl w:val="ABE27ED8"/>
    <w:lvl w:ilvl="0" w:tplc="121615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E213B"/>
    <w:multiLevelType w:val="hybridMultilevel"/>
    <w:tmpl w:val="FB54840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1E545E"/>
    <w:multiLevelType w:val="hybridMultilevel"/>
    <w:tmpl w:val="A6AC9396"/>
    <w:lvl w:ilvl="0" w:tplc="8A50C74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BB54BFD"/>
    <w:multiLevelType w:val="hybridMultilevel"/>
    <w:tmpl w:val="E5FC8B5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265CC4">
      <w:start w:val="9"/>
      <w:numFmt w:val="bullet"/>
      <w:lvlText w:val="−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51277"/>
    <w:multiLevelType w:val="hybridMultilevel"/>
    <w:tmpl w:val="45E0FF52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EF3AFE"/>
    <w:multiLevelType w:val="hybridMultilevel"/>
    <w:tmpl w:val="E71EFFA4"/>
    <w:lvl w:ilvl="0" w:tplc="9886E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6412"/>
    <w:multiLevelType w:val="hybridMultilevel"/>
    <w:tmpl w:val="1708CDCA"/>
    <w:lvl w:ilvl="0" w:tplc="B6C07A3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35" w:hanging="360"/>
      </w:pPr>
    </w:lvl>
    <w:lvl w:ilvl="2" w:tplc="0424001B" w:tentative="1">
      <w:start w:val="1"/>
      <w:numFmt w:val="lowerRoman"/>
      <w:lvlText w:val="%3."/>
      <w:lvlJc w:val="right"/>
      <w:pPr>
        <w:ind w:left="2355" w:hanging="180"/>
      </w:pPr>
    </w:lvl>
    <w:lvl w:ilvl="3" w:tplc="0424000F" w:tentative="1">
      <w:start w:val="1"/>
      <w:numFmt w:val="decimal"/>
      <w:lvlText w:val="%4."/>
      <w:lvlJc w:val="left"/>
      <w:pPr>
        <w:ind w:left="3075" w:hanging="360"/>
      </w:pPr>
    </w:lvl>
    <w:lvl w:ilvl="4" w:tplc="04240019" w:tentative="1">
      <w:start w:val="1"/>
      <w:numFmt w:val="lowerLetter"/>
      <w:lvlText w:val="%5."/>
      <w:lvlJc w:val="left"/>
      <w:pPr>
        <w:ind w:left="3795" w:hanging="360"/>
      </w:pPr>
    </w:lvl>
    <w:lvl w:ilvl="5" w:tplc="0424001B" w:tentative="1">
      <w:start w:val="1"/>
      <w:numFmt w:val="lowerRoman"/>
      <w:lvlText w:val="%6."/>
      <w:lvlJc w:val="right"/>
      <w:pPr>
        <w:ind w:left="4515" w:hanging="180"/>
      </w:pPr>
    </w:lvl>
    <w:lvl w:ilvl="6" w:tplc="0424000F" w:tentative="1">
      <w:start w:val="1"/>
      <w:numFmt w:val="decimal"/>
      <w:lvlText w:val="%7."/>
      <w:lvlJc w:val="left"/>
      <w:pPr>
        <w:ind w:left="5235" w:hanging="360"/>
      </w:pPr>
    </w:lvl>
    <w:lvl w:ilvl="7" w:tplc="04240019" w:tentative="1">
      <w:start w:val="1"/>
      <w:numFmt w:val="lowerLetter"/>
      <w:lvlText w:val="%8."/>
      <w:lvlJc w:val="left"/>
      <w:pPr>
        <w:ind w:left="5955" w:hanging="360"/>
      </w:pPr>
    </w:lvl>
    <w:lvl w:ilvl="8" w:tplc="0424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35944864">
    <w:abstractNumId w:val="32"/>
  </w:num>
  <w:num w:numId="2" w16cid:durableId="104424772">
    <w:abstractNumId w:val="10"/>
  </w:num>
  <w:num w:numId="3" w16cid:durableId="1166824973">
    <w:abstractNumId w:val="19"/>
  </w:num>
  <w:num w:numId="4" w16cid:durableId="938757460">
    <w:abstractNumId w:val="3"/>
  </w:num>
  <w:num w:numId="5" w16cid:durableId="1379932713">
    <w:abstractNumId w:val="4"/>
  </w:num>
  <w:num w:numId="6" w16cid:durableId="1336344820">
    <w:abstractNumId w:val="26"/>
  </w:num>
  <w:num w:numId="7" w16cid:durableId="1712725519">
    <w:abstractNumId w:val="6"/>
  </w:num>
  <w:num w:numId="8" w16cid:durableId="380253673">
    <w:abstractNumId w:val="31"/>
  </w:num>
  <w:num w:numId="9" w16cid:durableId="174728573">
    <w:abstractNumId w:val="28"/>
  </w:num>
  <w:num w:numId="10" w16cid:durableId="143084617">
    <w:abstractNumId w:val="33"/>
  </w:num>
  <w:num w:numId="11" w16cid:durableId="1740130659">
    <w:abstractNumId w:val="38"/>
  </w:num>
  <w:num w:numId="12" w16cid:durableId="757601602">
    <w:abstractNumId w:val="18"/>
  </w:num>
  <w:num w:numId="13" w16cid:durableId="1120959154">
    <w:abstractNumId w:val="9"/>
  </w:num>
  <w:num w:numId="14" w16cid:durableId="1556887624">
    <w:abstractNumId w:val="22"/>
  </w:num>
  <w:num w:numId="15" w16cid:durableId="1257901819">
    <w:abstractNumId w:val="13"/>
  </w:num>
  <w:num w:numId="16" w16cid:durableId="1391735042">
    <w:abstractNumId w:val="23"/>
  </w:num>
  <w:num w:numId="17" w16cid:durableId="369497717">
    <w:abstractNumId w:val="34"/>
  </w:num>
  <w:num w:numId="18" w16cid:durableId="1242712987">
    <w:abstractNumId w:val="1"/>
  </w:num>
  <w:num w:numId="19" w16cid:durableId="66593823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2101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825061">
    <w:abstractNumId w:val="30"/>
  </w:num>
  <w:num w:numId="22" w16cid:durableId="720178564">
    <w:abstractNumId w:val="29"/>
  </w:num>
  <w:num w:numId="23" w16cid:durableId="189682310">
    <w:abstractNumId w:val="0"/>
  </w:num>
  <w:num w:numId="24" w16cid:durableId="1801458133">
    <w:abstractNumId w:val="24"/>
  </w:num>
  <w:num w:numId="25" w16cid:durableId="821000495">
    <w:abstractNumId w:val="21"/>
  </w:num>
  <w:num w:numId="26" w16cid:durableId="1656956645">
    <w:abstractNumId w:val="27"/>
  </w:num>
  <w:num w:numId="27" w16cid:durableId="1592738783">
    <w:abstractNumId w:val="20"/>
  </w:num>
  <w:num w:numId="28" w16cid:durableId="1450860248">
    <w:abstractNumId w:val="15"/>
  </w:num>
  <w:num w:numId="29" w16cid:durableId="1111897692">
    <w:abstractNumId w:val="7"/>
  </w:num>
  <w:num w:numId="30" w16cid:durableId="2140219940">
    <w:abstractNumId w:val="11"/>
  </w:num>
  <w:num w:numId="31" w16cid:durableId="479151541">
    <w:abstractNumId w:val="35"/>
  </w:num>
  <w:num w:numId="32" w16cid:durableId="654183166">
    <w:abstractNumId w:val="36"/>
  </w:num>
  <w:num w:numId="33" w16cid:durableId="391318544">
    <w:abstractNumId w:val="2"/>
  </w:num>
  <w:num w:numId="34" w16cid:durableId="230502777">
    <w:abstractNumId w:val="25"/>
  </w:num>
  <w:num w:numId="35" w16cid:durableId="1131291172">
    <w:abstractNumId w:val="16"/>
  </w:num>
  <w:num w:numId="36" w16cid:durableId="1469937701">
    <w:abstractNumId w:val="12"/>
  </w:num>
  <w:num w:numId="37" w16cid:durableId="1520193800">
    <w:abstractNumId w:val="39"/>
  </w:num>
  <w:num w:numId="38" w16cid:durableId="401177335">
    <w:abstractNumId w:val="17"/>
  </w:num>
  <w:num w:numId="39" w16cid:durableId="1853835191">
    <w:abstractNumId w:val="37"/>
  </w:num>
  <w:num w:numId="40" w16cid:durableId="307904977">
    <w:abstractNumId w:val="8"/>
  </w:num>
  <w:num w:numId="41" w16cid:durableId="12288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EA"/>
    <w:rsid w:val="000003FD"/>
    <w:rsid w:val="000006AF"/>
    <w:rsid w:val="000016BA"/>
    <w:rsid w:val="00003372"/>
    <w:rsid w:val="00004B38"/>
    <w:rsid w:val="000053B6"/>
    <w:rsid w:val="000102AB"/>
    <w:rsid w:val="00010492"/>
    <w:rsid w:val="00011E9E"/>
    <w:rsid w:val="00012CEB"/>
    <w:rsid w:val="000152B9"/>
    <w:rsid w:val="000154E9"/>
    <w:rsid w:val="00022707"/>
    <w:rsid w:val="00023A88"/>
    <w:rsid w:val="00024B49"/>
    <w:rsid w:val="000272F6"/>
    <w:rsid w:val="00030220"/>
    <w:rsid w:val="00031A19"/>
    <w:rsid w:val="000321D2"/>
    <w:rsid w:val="00033F77"/>
    <w:rsid w:val="000373C6"/>
    <w:rsid w:val="00040AA3"/>
    <w:rsid w:val="00042921"/>
    <w:rsid w:val="00047476"/>
    <w:rsid w:val="00050037"/>
    <w:rsid w:val="00050298"/>
    <w:rsid w:val="000505C9"/>
    <w:rsid w:val="00052BD1"/>
    <w:rsid w:val="000579CB"/>
    <w:rsid w:val="0006084D"/>
    <w:rsid w:val="00063A94"/>
    <w:rsid w:val="0006445C"/>
    <w:rsid w:val="00064FDB"/>
    <w:rsid w:val="00065160"/>
    <w:rsid w:val="00065BBD"/>
    <w:rsid w:val="0006606E"/>
    <w:rsid w:val="00066B10"/>
    <w:rsid w:val="00070097"/>
    <w:rsid w:val="00070CC0"/>
    <w:rsid w:val="00071EE1"/>
    <w:rsid w:val="0007486B"/>
    <w:rsid w:val="00074B14"/>
    <w:rsid w:val="0007592C"/>
    <w:rsid w:val="00075FB7"/>
    <w:rsid w:val="00076253"/>
    <w:rsid w:val="000805F5"/>
    <w:rsid w:val="000811E6"/>
    <w:rsid w:val="0008301F"/>
    <w:rsid w:val="0008391F"/>
    <w:rsid w:val="00083C88"/>
    <w:rsid w:val="00090C12"/>
    <w:rsid w:val="00092A9D"/>
    <w:rsid w:val="0009307C"/>
    <w:rsid w:val="000945E1"/>
    <w:rsid w:val="00094A22"/>
    <w:rsid w:val="00095E22"/>
    <w:rsid w:val="0009652F"/>
    <w:rsid w:val="000965BF"/>
    <w:rsid w:val="0009695B"/>
    <w:rsid w:val="000A1187"/>
    <w:rsid w:val="000A5867"/>
    <w:rsid w:val="000A5DF0"/>
    <w:rsid w:val="000A6401"/>
    <w:rsid w:val="000A71AC"/>
    <w:rsid w:val="000A7238"/>
    <w:rsid w:val="000A7243"/>
    <w:rsid w:val="000B034C"/>
    <w:rsid w:val="000B04B5"/>
    <w:rsid w:val="000C1FE8"/>
    <w:rsid w:val="000C3B2F"/>
    <w:rsid w:val="000C6B9F"/>
    <w:rsid w:val="000C7A83"/>
    <w:rsid w:val="000D67E6"/>
    <w:rsid w:val="000D6899"/>
    <w:rsid w:val="000D745A"/>
    <w:rsid w:val="000E1055"/>
    <w:rsid w:val="000E1E75"/>
    <w:rsid w:val="000E2B23"/>
    <w:rsid w:val="000E3CBF"/>
    <w:rsid w:val="000E3F41"/>
    <w:rsid w:val="000E440F"/>
    <w:rsid w:val="000E6ABF"/>
    <w:rsid w:val="000F0463"/>
    <w:rsid w:val="000F09D9"/>
    <w:rsid w:val="000F1393"/>
    <w:rsid w:val="000F261D"/>
    <w:rsid w:val="000F29C5"/>
    <w:rsid w:val="000F31FE"/>
    <w:rsid w:val="000F3622"/>
    <w:rsid w:val="000F5943"/>
    <w:rsid w:val="00100311"/>
    <w:rsid w:val="00100E26"/>
    <w:rsid w:val="0010227B"/>
    <w:rsid w:val="00102F7B"/>
    <w:rsid w:val="00103C59"/>
    <w:rsid w:val="00104853"/>
    <w:rsid w:val="00104A74"/>
    <w:rsid w:val="00104DD2"/>
    <w:rsid w:val="001069B4"/>
    <w:rsid w:val="00106F37"/>
    <w:rsid w:val="00107DB9"/>
    <w:rsid w:val="001121EC"/>
    <w:rsid w:val="0011409C"/>
    <w:rsid w:val="00114FB0"/>
    <w:rsid w:val="00115D22"/>
    <w:rsid w:val="00123B99"/>
    <w:rsid w:val="001252F2"/>
    <w:rsid w:val="0012536E"/>
    <w:rsid w:val="00126126"/>
    <w:rsid w:val="00126472"/>
    <w:rsid w:val="00127170"/>
    <w:rsid w:val="00127B86"/>
    <w:rsid w:val="00131ADC"/>
    <w:rsid w:val="001320DD"/>
    <w:rsid w:val="0013377F"/>
    <w:rsid w:val="00134D6C"/>
    <w:rsid w:val="001357B2"/>
    <w:rsid w:val="00141B22"/>
    <w:rsid w:val="001468A8"/>
    <w:rsid w:val="0015237E"/>
    <w:rsid w:val="00156AEC"/>
    <w:rsid w:val="00160C35"/>
    <w:rsid w:val="00160C72"/>
    <w:rsid w:val="00161731"/>
    <w:rsid w:val="00162821"/>
    <w:rsid w:val="00164064"/>
    <w:rsid w:val="00172A78"/>
    <w:rsid w:val="00172CB2"/>
    <w:rsid w:val="0017478F"/>
    <w:rsid w:val="001756B0"/>
    <w:rsid w:val="001762FB"/>
    <w:rsid w:val="00177C7E"/>
    <w:rsid w:val="001800F2"/>
    <w:rsid w:val="001832DF"/>
    <w:rsid w:val="00183E2B"/>
    <w:rsid w:val="00184A54"/>
    <w:rsid w:val="001941F0"/>
    <w:rsid w:val="001A1963"/>
    <w:rsid w:val="001A2001"/>
    <w:rsid w:val="001A3601"/>
    <w:rsid w:val="001A3715"/>
    <w:rsid w:val="001A40BE"/>
    <w:rsid w:val="001A7149"/>
    <w:rsid w:val="001B107F"/>
    <w:rsid w:val="001B2097"/>
    <w:rsid w:val="001B32A5"/>
    <w:rsid w:val="001B3F20"/>
    <w:rsid w:val="001B715A"/>
    <w:rsid w:val="001B7D76"/>
    <w:rsid w:val="001C199E"/>
    <w:rsid w:val="001C37D0"/>
    <w:rsid w:val="001C39A2"/>
    <w:rsid w:val="001C475E"/>
    <w:rsid w:val="001C738B"/>
    <w:rsid w:val="001C79D4"/>
    <w:rsid w:val="001C7EA4"/>
    <w:rsid w:val="001C7F86"/>
    <w:rsid w:val="001D145F"/>
    <w:rsid w:val="001D38C1"/>
    <w:rsid w:val="001D50D7"/>
    <w:rsid w:val="001D6271"/>
    <w:rsid w:val="001D712B"/>
    <w:rsid w:val="001E0456"/>
    <w:rsid w:val="001E37DB"/>
    <w:rsid w:val="001E58C5"/>
    <w:rsid w:val="001E597A"/>
    <w:rsid w:val="001E6F9F"/>
    <w:rsid w:val="001F16C9"/>
    <w:rsid w:val="001F23AD"/>
    <w:rsid w:val="001F43D8"/>
    <w:rsid w:val="001F4FBA"/>
    <w:rsid w:val="001F6A41"/>
    <w:rsid w:val="001F6C5F"/>
    <w:rsid w:val="00201932"/>
    <w:rsid w:val="00202A77"/>
    <w:rsid w:val="00202F85"/>
    <w:rsid w:val="0020589A"/>
    <w:rsid w:val="0020647D"/>
    <w:rsid w:val="00210FCD"/>
    <w:rsid w:val="0021280D"/>
    <w:rsid w:val="00212B15"/>
    <w:rsid w:val="00212DAD"/>
    <w:rsid w:val="00213B81"/>
    <w:rsid w:val="0021486A"/>
    <w:rsid w:val="002162B3"/>
    <w:rsid w:val="002202DD"/>
    <w:rsid w:val="00221421"/>
    <w:rsid w:val="00222641"/>
    <w:rsid w:val="00227DFE"/>
    <w:rsid w:val="00232357"/>
    <w:rsid w:val="00233861"/>
    <w:rsid w:val="002350CA"/>
    <w:rsid w:val="00235A63"/>
    <w:rsid w:val="00236ED3"/>
    <w:rsid w:val="00240C4F"/>
    <w:rsid w:val="002423A5"/>
    <w:rsid w:val="00243A93"/>
    <w:rsid w:val="00246D74"/>
    <w:rsid w:val="00246E7F"/>
    <w:rsid w:val="00247599"/>
    <w:rsid w:val="00250C1F"/>
    <w:rsid w:val="00251E3C"/>
    <w:rsid w:val="0025648C"/>
    <w:rsid w:val="0025696B"/>
    <w:rsid w:val="00257457"/>
    <w:rsid w:val="00257BA2"/>
    <w:rsid w:val="00261518"/>
    <w:rsid w:val="00263169"/>
    <w:rsid w:val="0026640C"/>
    <w:rsid w:val="00266448"/>
    <w:rsid w:val="0026713B"/>
    <w:rsid w:val="00267C14"/>
    <w:rsid w:val="00267D02"/>
    <w:rsid w:val="00267E56"/>
    <w:rsid w:val="0027024C"/>
    <w:rsid w:val="00271CE5"/>
    <w:rsid w:val="00271D29"/>
    <w:rsid w:val="00273847"/>
    <w:rsid w:val="00274A5F"/>
    <w:rsid w:val="002757F4"/>
    <w:rsid w:val="002805C4"/>
    <w:rsid w:val="00282020"/>
    <w:rsid w:val="00283198"/>
    <w:rsid w:val="00283C7B"/>
    <w:rsid w:val="00283E73"/>
    <w:rsid w:val="00283FA1"/>
    <w:rsid w:val="002840C9"/>
    <w:rsid w:val="002855E9"/>
    <w:rsid w:val="00287087"/>
    <w:rsid w:val="00293811"/>
    <w:rsid w:val="00293E8E"/>
    <w:rsid w:val="0029403F"/>
    <w:rsid w:val="00297551"/>
    <w:rsid w:val="002A0914"/>
    <w:rsid w:val="002A212E"/>
    <w:rsid w:val="002A2B69"/>
    <w:rsid w:val="002A38C8"/>
    <w:rsid w:val="002A3C8E"/>
    <w:rsid w:val="002A40B9"/>
    <w:rsid w:val="002A4496"/>
    <w:rsid w:val="002A551C"/>
    <w:rsid w:val="002A7B48"/>
    <w:rsid w:val="002B1EE7"/>
    <w:rsid w:val="002B325D"/>
    <w:rsid w:val="002B470A"/>
    <w:rsid w:val="002B519D"/>
    <w:rsid w:val="002B6AB0"/>
    <w:rsid w:val="002B712B"/>
    <w:rsid w:val="002C160A"/>
    <w:rsid w:val="002C238E"/>
    <w:rsid w:val="002C3409"/>
    <w:rsid w:val="002C3631"/>
    <w:rsid w:val="002C4A9F"/>
    <w:rsid w:val="002C579B"/>
    <w:rsid w:val="002C57B8"/>
    <w:rsid w:val="002C6A26"/>
    <w:rsid w:val="002D04F4"/>
    <w:rsid w:val="002D08B3"/>
    <w:rsid w:val="002D1F21"/>
    <w:rsid w:val="002D211D"/>
    <w:rsid w:val="002D28EC"/>
    <w:rsid w:val="002D2C15"/>
    <w:rsid w:val="002D2EAD"/>
    <w:rsid w:val="002D2ECC"/>
    <w:rsid w:val="002D2FDC"/>
    <w:rsid w:val="002D31E3"/>
    <w:rsid w:val="002D3C86"/>
    <w:rsid w:val="002E087C"/>
    <w:rsid w:val="002E237E"/>
    <w:rsid w:val="002E28A2"/>
    <w:rsid w:val="002E3D7C"/>
    <w:rsid w:val="002E73A1"/>
    <w:rsid w:val="002F1258"/>
    <w:rsid w:val="002F32EF"/>
    <w:rsid w:val="002F6F5C"/>
    <w:rsid w:val="002F7F8B"/>
    <w:rsid w:val="0030119E"/>
    <w:rsid w:val="00302CFD"/>
    <w:rsid w:val="00303503"/>
    <w:rsid w:val="00305202"/>
    <w:rsid w:val="003113E6"/>
    <w:rsid w:val="00311633"/>
    <w:rsid w:val="0031187C"/>
    <w:rsid w:val="003144E6"/>
    <w:rsid w:val="00316E6F"/>
    <w:rsid w:val="0032173B"/>
    <w:rsid w:val="00321D3E"/>
    <w:rsid w:val="00321DEE"/>
    <w:rsid w:val="003238FA"/>
    <w:rsid w:val="00324325"/>
    <w:rsid w:val="0032433F"/>
    <w:rsid w:val="00324AA6"/>
    <w:rsid w:val="00325A73"/>
    <w:rsid w:val="0032665A"/>
    <w:rsid w:val="00326D8D"/>
    <w:rsid w:val="003305AF"/>
    <w:rsid w:val="00331618"/>
    <w:rsid w:val="00331B5F"/>
    <w:rsid w:val="0033337A"/>
    <w:rsid w:val="003337A4"/>
    <w:rsid w:val="003356D6"/>
    <w:rsid w:val="00336353"/>
    <w:rsid w:val="00336826"/>
    <w:rsid w:val="00336B37"/>
    <w:rsid w:val="00336FD4"/>
    <w:rsid w:val="00340F5A"/>
    <w:rsid w:val="00341778"/>
    <w:rsid w:val="003417F3"/>
    <w:rsid w:val="00344DB2"/>
    <w:rsid w:val="0034546F"/>
    <w:rsid w:val="00345599"/>
    <w:rsid w:val="00345729"/>
    <w:rsid w:val="00347F54"/>
    <w:rsid w:val="003528EF"/>
    <w:rsid w:val="00352930"/>
    <w:rsid w:val="00355D3D"/>
    <w:rsid w:val="003574D2"/>
    <w:rsid w:val="0036097D"/>
    <w:rsid w:val="003611AA"/>
    <w:rsid w:val="00361416"/>
    <w:rsid w:val="003636BF"/>
    <w:rsid w:val="00367286"/>
    <w:rsid w:val="00371442"/>
    <w:rsid w:val="003727E1"/>
    <w:rsid w:val="00373D9C"/>
    <w:rsid w:val="00376A8C"/>
    <w:rsid w:val="003831DE"/>
    <w:rsid w:val="003839BC"/>
    <w:rsid w:val="00383E42"/>
    <w:rsid w:val="003845B4"/>
    <w:rsid w:val="00385D24"/>
    <w:rsid w:val="00387B1A"/>
    <w:rsid w:val="0039035E"/>
    <w:rsid w:val="00393D64"/>
    <w:rsid w:val="00395B8F"/>
    <w:rsid w:val="0039677A"/>
    <w:rsid w:val="003967E1"/>
    <w:rsid w:val="00397B3E"/>
    <w:rsid w:val="003A1350"/>
    <w:rsid w:val="003A35DE"/>
    <w:rsid w:val="003A3C21"/>
    <w:rsid w:val="003A6A7F"/>
    <w:rsid w:val="003A6C1D"/>
    <w:rsid w:val="003B19C3"/>
    <w:rsid w:val="003B21F5"/>
    <w:rsid w:val="003B24A9"/>
    <w:rsid w:val="003B3ED8"/>
    <w:rsid w:val="003B4BFC"/>
    <w:rsid w:val="003B552F"/>
    <w:rsid w:val="003B787B"/>
    <w:rsid w:val="003C1393"/>
    <w:rsid w:val="003C2AA2"/>
    <w:rsid w:val="003C3C72"/>
    <w:rsid w:val="003C428F"/>
    <w:rsid w:val="003C4C83"/>
    <w:rsid w:val="003C5EE5"/>
    <w:rsid w:val="003C7441"/>
    <w:rsid w:val="003D2FD2"/>
    <w:rsid w:val="003D4E04"/>
    <w:rsid w:val="003D5AE5"/>
    <w:rsid w:val="003D69D7"/>
    <w:rsid w:val="003E045E"/>
    <w:rsid w:val="003E04BD"/>
    <w:rsid w:val="003E1580"/>
    <w:rsid w:val="003E1C74"/>
    <w:rsid w:val="003E449F"/>
    <w:rsid w:val="003E654A"/>
    <w:rsid w:val="003E7C46"/>
    <w:rsid w:val="003F0095"/>
    <w:rsid w:val="003F0099"/>
    <w:rsid w:val="003F2363"/>
    <w:rsid w:val="003F3AB9"/>
    <w:rsid w:val="003F58A3"/>
    <w:rsid w:val="003F6760"/>
    <w:rsid w:val="003F68B2"/>
    <w:rsid w:val="003F7A47"/>
    <w:rsid w:val="004028F6"/>
    <w:rsid w:val="0040311F"/>
    <w:rsid w:val="00403F4D"/>
    <w:rsid w:val="004040D8"/>
    <w:rsid w:val="0040414E"/>
    <w:rsid w:val="00404312"/>
    <w:rsid w:val="00404C98"/>
    <w:rsid w:val="00404FBD"/>
    <w:rsid w:val="00407B32"/>
    <w:rsid w:val="00414ABA"/>
    <w:rsid w:val="00414B27"/>
    <w:rsid w:val="004150E9"/>
    <w:rsid w:val="004151B4"/>
    <w:rsid w:val="00416FB1"/>
    <w:rsid w:val="00417F6A"/>
    <w:rsid w:val="00420D5D"/>
    <w:rsid w:val="0042443B"/>
    <w:rsid w:val="00426449"/>
    <w:rsid w:val="00427257"/>
    <w:rsid w:val="00427F4B"/>
    <w:rsid w:val="0043106F"/>
    <w:rsid w:val="00432572"/>
    <w:rsid w:val="00433194"/>
    <w:rsid w:val="004336D7"/>
    <w:rsid w:val="004336E9"/>
    <w:rsid w:val="004340B3"/>
    <w:rsid w:val="004343A0"/>
    <w:rsid w:val="00434BEB"/>
    <w:rsid w:val="00436124"/>
    <w:rsid w:val="00436294"/>
    <w:rsid w:val="00441E16"/>
    <w:rsid w:val="00442F46"/>
    <w:rsid w:val="004440CB"/>
    <w:rsid w:val="00446A97"/>
    <w:rsid w:val="00447293"/>
    <w:rsid w:val="00450700"/>
    <w:rsid w:val="00451AE9"/>
    <w:rsid w:val="004543D6"/>
    <w:rsid w:val="00455273"/>
    <w:rsid w:val="004555F0"/>
    <w:rsid w:val="0045605D"/>
    <w:rsid w:val="00456E91"/>
    <w:rsid w:val="004602A6"/>
    <w:rsid w:val="00460926"/>
    <w:rsid w:val="00460AC2"/>
    <w:rsid w:val="00463993"/>
    <w:rsid w:val="0046448A"/>
    <w:rsid w:val="0046480B"/>
    <w:rsid w:val="004657EE"/>
    <w:rsid w:val="00465C96"/>
    <w:rsid w:val="00465D18"/>
    <w:rsid w:val="00466DA1"/>
    <w:rsid w:val="0047003B"/>
    <w:rsid w:val="0047037E"/>
    <w:rsid w:val="00472FDE"/>
    <w:rsid w:val="004734C9"/>
    <w:rsid w:val="00473EAC"/>
    <w:rsid w:val="004748E2"/>
    <w:rsid w:val="004768B4"/>
    <w:rsid w:val="00482CD0"/>
    <w:rsid w:val="00482FF5"/>
    <w:rsid w:val="00484457"/>
    <w:rsid w:val="00486F51"/>
    <w:rsid w:val="00492CC7"/>
    <w:rsid w:val="00494A48"/>
    <w:rsid w:val="00494CD1"/>
    <w:rsid w:val="0049659E"/>
    <w:rsid w:val="004A081B"/>
    <w:rsid w:val="004A1756"/>
    <w:rsid w:val="004A52B2"/>
    <w:rsid w:val="004A5A45"/>
    <w:rsid w:val="004A5D49"/>
    <w:rsid w:val="004A6A0E"/>
    <w:rsid w:val="004B611E"/>
    <w:rsid w:val="004B6BEF"/>
    <w:rsid w:val="004B7209"/>
    <w:rsid w:val="004C0393"/>
    <w:rsid w:val="004C0AA7"/>
    <w:rsid w:val="004C226B"/>
    <w:rsid w:val="004C5368"/>
    <w:rsid w:val="004C6695"/>
    <w:rsid w:val="004D2120"/>
    <w:rsid w:val="004D370F"/>
    <w:rsid w:val="004D39D2"/>
    <w:rsid w:val="004D5B94"/>
    <w:rsid w:val="004E2054"/>
    <w:rsid w:val="004E27B9"/>
    <w:rsid w:val="004E3AF9"/>
    <w:rsid w:val="004E482A"/>
    <w:rsid w:val="004E61FE"/>
    <w:rsid w:val="004E6B3A"/>
    <w:rsid w:val="004E72ED"/>
    <w:rsid w:val="004E7AC5"/>
    <w:rsid w:val="004F3E59"/>
    <w:rsid w:val="004F4E09"/>
    <w:rsid w:val="004F5A68"/>
    <w:rsid w:val="004F6095"/>
    <w:rsid w:val="004F6F94"/>
    <w:rsid w:val="004F7123"/>
    <w:rsid w:val="004F79E0"/>
    <w:rsid w:val="005006A9"/>
    <w:rsid w:val="00501AEA"/>
    <w:rsid w:val="00501BAB"/>
    <w:rsid w:val="0050256D"/>
    <w:rsid w:val="00503762"/>
    <w:rsid w:val="0050401C"/>
    <w:rsid w:val="0050780D"/>
    <w:rsid w:val="00511A61"/>
    <w:rsid w:val="00514750"/>
    <w:rsid w:val="00515DAD"/>
    <w:rsid w:val="005168D6"/>
    <w:rsid w:val="005207C5"/>
    <w:rsid w:val="00522747"/>
    <w:rsid w:val="005237ED"/>
    <w:rsid w:val="00526246"/>
    <w:rsid w:val="00527711"/>
    <w:rsid w:val="00527A4F"/>
    <w:rsid w:val="00532575"/>
    <w:rsid w:val="00532AF4"/>
    <w:rsid w:val="005340C7"/>
    <w:rsid w:val="00534BD2"/>
    <w:rsid w:val="00536EFD"/>
    <w:rsid w:val="00540793"/>
    <w:rsid w:val="00542025"/>
    <w:rsid w:val="00550571"/>
    <w:rsid w:val="0055208B"/>
    <w:rsid w:val="00554E17"/>
    <w:rsid w:val="005555A8"/>
    <w:rsid w:val="00557364"/>
    <w:rsid w:val="005577B7"/>
    <w:rsid w:val="00560B07"/>
    <w:rsid w:val="005624CB"/>
    <w:rsid w:val="00562DF6"/>
    <w:rsid w:val="00562ECD"/>
    <w:rsid w:val="00563BB8"/>
    <w:rsid w:val="00563EE6"/>
    <w:rsid w:val="00564B92"/>
    <w:rsid w:val="00567106"/>
    <w:rsid w:val="00570349"/>
    <w:rsid w:val="00571143"/>
    <w:rsid w:val="00573219"/>
    <w:rsid w:val="005737D5"/>
    <w:rsid w:val="00575B79"/>
    <w:rsid w:val="00576B34"/>
    <w:rsid w:val="00577262"/>
    <w:rsid w:val="0058146E"/>
    <w:rsid w:val="00583207"/>
    <w:rsid w:val="00584091"/>
    <w:rsid w:val="00585694"/>
    <w:rsid w:val="00585B3B"/>
    <w:rsid w:val="00585B3D"/>
    <w:rsid w:val="0058730D"/>
    <w:rsid w:val="005929D1"/>
    <w:rsid w:val="0059357E"/>
    <w:rsid w:val="005941EA"/>
    <w:rsid w:val="00595CAE"/>
    <w:rsid w:val="00595FCF"/>
    <w:rsid w:val="0059778C"/>
    <w:rsid w:val="00597D06"/>
    <w:rsid w:val="005A177E"/>
    <w:rsid w:val="005A48DF"/>
    <w:rsid w:val="005A6828"/>
    <w:rsid w:val="005A78DF"/>
    <w:rsid w:val="005A7AA0"/>
    <w:rsid w:val="005B5E84"/>
    <w:rsid w:val="005B6038"/>
    <w:rsid w:val="005B7056"/>
    <w:rsid w:val="005C2959"/>
    <w:rsid w:val="005C2F3E"/>
    <w:rsid w:val="005C3407"/>
    <w:rsid w:val="005C3AD6"/>
    <w:rsid w:val="005C4459"/>
    <w:rsid w:val="005D033D"/>
    <w:rsid w:val="005D19D6"/>
    <w:rsid w:val="005D1BF9"/>
    <w:rsid w:val="005D3E98"/>
    <w:rsid w:val="005E0288"/>
    <w:rsid w:val="005E1D3C"/>
    <w:rsid w:val="005E717C"/>
    <w:rsid w:val="005F1868"/>
    <w:rsid w:val="005F69A2"/>
    <w:rsid w:val="005F7C5F"/>
    <w:rsid w:val="00602CFE"/>
    <w:rsid w:val="00604932"/>
    <w:rsid w:val="00605FCB"/>
    <w:rsid w:val="00610096"/>
    <w:rsid w:val="006105DD"/>
    <w:rsid w:val="00610C20"/>
    <w:rsid w:val="0061170B"/>
    <w:rsid w:val="00612A0A"/>
    <w:rsid w:val="00613428"/>
    <w:rsid w:val="00617AD5"/>
    <w:rsid w:val="00621224"/>
    <w:rsid w:val="00621287"/>
    <w:rsid w:val="00625AE6"/>
    <w:rsid w:val="00626077"/>
    <w:rsid w:val="00627CB9"/>
    <w:rsid w:val="00632253"/>
    <w:rsid w:val="00633BF9"/>
    <w:rsid w:val="00635968"/>
    <w:rsid w:val="00636A0F"/>
    <w:rsid w:val="00636B16"/>
    <w:rsid w:val="00637A4A"/>
    <w:rsid w:val="00640873"/>
    <w:rsid w:val="00642714"/>
    <w:rsid w:val="006435E8"/>
    <w:rsid w:val="00644786"/>
    <w:rsid w:val="00644F1E"/>
    <w:rsid w:val="006455CE"/>
    <w:rsid w:val="006465EA"/>
    <w:rsid w:val="0064671F"/>
    <w:rsid w:val="00646F92"/>
    <w:rsid w:val="0065007C"/>
    <w:rsid w:val="00650DA9"/>
    <w:rsid w:val="006522CC"/>
    <w:rsid w:val="00652B02"/>
    <w:rsid w:val="00654E97"/>
    <w:rsid w:val="00655841"/>
    <w:rsid w:val="00655E20"/>
    <w:rsid w:val="00655E2C"/>
    <w:rsid w:val="006560F7"/>
    <w:rsid w:val="0066024D"/>
    <w:rsid w:val="006642B6"/>
    <w:rsid w:val="00664568"/>
    <w:rsid w:val="006648F6"/>
    <w:rsid w:val="00665983"/>
    <w:rsid w:val="006659E2"/>
    <w:rsid w:val="00665E24"/>
    <w:rsid w:val="00666175"/>
    <w:rsid w:val="00667162"/>
    <w:rsid w:val="00667307"/>
    <w:rsid w:val="00667BE5"/>
    <w:rsid w:val="006708FD"/>
    <w:rsid w:val="00672472"/>
    <w:rsid w:val="00672ACD"/>
    <w:rsid w:val="00672FD9"/>
    <w:rsid w:val="00674F1C"/>
    <w:rsid w:val="00683723"/>
    <w:rsid w:val="0068533F"/>
    <w:rsid w:val="00685DEE"/>
    <w:rsid w:val="006862BC"/>
    <w:rsid w:val="00687C6B"/>
    <w:rsid w:val="00693490"/>
    <w:rsid w:val="00694156"/>
    <w:rsid w:val="00696140"/>
    <w:rsid w:val="0069754A"/>
    <w:rsid w:val="006A296E"/>
    <w:rsid w:val="006A47B4"/>
    <w:rsid w:val="006A68FF"/>
    <w:rsid w:val="006A69FE"/>
    <w:rsid w:val="006A7647"/>
    <w:rsid w:val="006B06A3"/>
    <w:rsid w:val="006B0B7D"/>
    <w:rsid w:val="006B1F16"/>
    <w:rsid w:val="006B29F4"/>
    <w:rsid w:val="006B6FE4"/>
    <w:rsid w:val="006B736B"/>
    <w:rsid w:val="006B76C8"/>
    <w:rsid w:val="006B7ADD"/>
    <w:rsid w:val="006B7EE9"/>
    <w:rsid w:val="006C0D7C"/>
    <w:rsid w:val="006C30F1"/>
    <w:rsid w:val="006C52AD"/>
    <w:rsid w:val="006C6980"/>
    <w:rsid w:val="006C6E92"/>
    <w:rsid w:val="006C6FB3"/>
    <w:rsid w:val="006C7518"/>
    <w:rsid w:val="006D087F"/>
    <w:rsid w:val="006D77BD"/>
    <w:rsid w:val="006E506F"/>
    <w:rsid w:val="006E69E8"/>
    <w:rsid w:val="006E707D"/>
    <w:rsid w:val="006F003A"/>
    <w:rsid w:val="006F033D"/>
    <w:rsid w:val="006F115A"/>
    <w:rsid w:val="006F3DD2"/>
    <w:rsid w:val="006F4C59"/>
    <w:rsid w:val="006F6C09"/>
    <w:rsid w:val="007007FC"/>
    <w:rsid w:val="0070497C"/>
    <w:rsid w:val="007063B6"/>
    <w:rsid w:val="0070664F"/>
    <w:rsid w:val="00706E6D"/>
    <w:rsid w:val="00706F53"/>
    <w:rsid w:val="00711530"/>
    <w:rsid w:val="007124BF"/>
    <w:rsid w:val="007175C1"/>
    <w:rsid w:val="00717DD4"/>
    <w:rsid w:val="00717FF2"/>
    <w:rsid w:val="007205A7"/>
    <w:rsid w:val="0072141B"/>
    <w:rsid w:val="00721E27"/>
    <w:rsid w:val="007237F4"/>
    <w:rsid w:val="00723CB5"/>
    <w:rsid w:val="00726C1F"/>
    <w:rsid w:val="00726CE0"/>
    <w:rsid w:val="00727656"/>
    <w:rsid w:val="00730A6B"/>
    <w:rsid w:val="007328F9"/>
    <w:rsid w:val="00733017"/>
    <w:rsid w:val="00736A59"/>
    <w:rsid w:val="00736CF7"/>
    <w:rsid w:val="00737493"/>
    <w:rsid w:val="007374D3"/>
    <w:rsid w:val="007421B6"/>
    <w:rsid w:val="00743527"/>
    <w:rsid w:val="007450DA"/>
    <w:rsid w:val="00745683"/>
    <w:rsid w:val="00745EE2"/>
    <w:rsid w:val="007467DE"/>
    <w:rsid w:val="0074683C"/>
    <w:rsid w:val="00752B67"/>
    <w:rsid w:val="00754E3F"/>
    <w:rsid w:val="007552B4"/>
    <w:rsid w:val="00755C62"/>
    <w:rsid w:val="00760A26"/>
    <w:rsid w:val="00760A30"/>
    <w:rsid w:val="00763869"/>
    <w:rsid w:val="007641AA"/>
    <w:rsid w:val="00764508"/>
    <w:rsid w:val="00766697"/>
    <w:rsid w:val="00766D95"/>
    <w:rsid w:val="00767171"/>
    <w:rsid w:val="007675FB"/>
    <w:rsid w:val="00767850"/>
    <w:rsid w:val="00771006"/>
    <w:rsid w:val="00771293"/>
    <w:rsid w:val="0077361E"/>
    <w:rsid w:val="00773E19"/>
    <w:rsid w:val="00773F89"/>
    <w:rsid w:val="00774CA1"/>
    <w:rsid w:val="00774D45"/>
    <w:rsid w:val="00775584"/>
    <w:rsid w:val="00775A47"/>
    <w:rsid w:val="00776674"/>
    <w:rsid w:val="00776E7A"/>
    <w:rsid w:val="00777DC5"/>
    <w:rsid w:val="00782493"/>
    <w:rsid w:val="007831D7"/>
    <w:rsid w:val="00783310"/>
    <w:rsid w:val="007835DE"/>
    <w:rsid w:val="007847CA"/>
    <w:rsid w:val="00785A01"/>
    <w:rsid w:val="00785CD7"/>
    <w:rsid w:val="007878EF"/>
    <w:rsid w:val="00790287"/>
    <w:rsid w:val="0079032F"/>
    <w:rsid w:val="007906B1"/>
    <w:rsid w:val="00790BAF"/>
    <w:rsid w:val="00791B01"/>
    <w:rsid w:val="00792128"/>
    <w:rsid w:val="00793DC3"/>
    <w:rsid w:val="00794084"/>
    <w:rsid w:val="00795567"/>
    <w:rsid w:val="00795653"/>
    <w:rsid w:val="007A0476"/>
    <w:rsid w:val="007A1969"/>
    <w:rsid w:val="007A2449"/>
    <w:rsid w:val="007A4090"/>
    <w:rsid w:val="007A4A6D"/>
    <w:rsid w:val="007A4E0B"/>
    <w:rsid w:val="007A6FE0"/>
    <w:rsid w:val="007B04B2"/>
    <w:rsid w:val="007B44F1"/>
    <w:rsid w:val="007B4E61"/>
    <w:rsid w:val="007B5656"/>
    <w:rsid w:val="007B5A88"/>
    <w:rsid w:val="007B62C7"/>
    <w:rsid w:val="007B65D9"/>
    <w:rsid w:val="007B6737"/>
    <w:rsid w:val="007B75E9"/>
    <w:rsid w:val="007B7839"/>
    <w:rsid w:val="007C1D65"/>
    <w:rsid w:val="007C276A"/>
    <w:rsid w:val="007C3BA0"/>
    <w:rsid w:val="007C6E0E"/>
    <w:rsid w:val="007C6F32"/>
    <w:rsid w:val="007D1BCF"/>
    <w:rsid w:val="007D2296"/>
    <w:rsid w:val="007D2C32"/>
    <w:rsid w:val="007D2C55"/>
    <w:rsid w:val="007D41D1"/>
    <w:rsid w:val="007D49F1"/>
    <w:rsid w:val="007D63F7"/>
    <w:rsid w:val="007D75CF"/>
    <w:rsid w:val="007E0440"/>
    <w:rsid w:val="007E0EC6"/>
    <w:rsid w:val="007E2257"/>
    <w:rsid w:val="007E3618"/>
    <w:rsid w:val="007E3ED2"/>
    <w:rsid w:val="007E3FC9"/>
    <w:rsid w:val="007E44FF"/>
    <w:rsid w:val="007E50AD"/>
    <w:rsid w:val="007E5A15"/>
    <w:rsid w:val="007E5BD4"/>
    <w:rsid w:val="007E6000"/>
    <w:rsid w:val="007E6DC5"/>
    <w:rsid w:val="007F0FDB"/>
    <w:rsid w:val="007F329B"/>
    <w:rsid w:val="007F4B84"/>
    <w:rsid w:val="007F5A2E"/>
    <w:rsid w:val="007F5C34"/>
    <w:rsid w:val="00801E6C"/>
    <w:rsid w:val="0080266B"/>
    <w:rsid w:val="008032C0"/>
    <w:rsid w:val="00807E48"/>
    <w:rsid w:val="00807F25"/>
    <w:rsid w:val="00810AF9"/>
    <w:rsid w:val="00810BC2"/>
    <w:rsid w:val="00811794"/>
    <w:rsid w:val="00812BA8"/>
    <w:rsid w:val="008134EF"/>
    <w:rsid w:val="00813BFB"/>
    <w:rsid w:val="00816B85"/>
    <w:rsid w:val="00817FC3"/>
    <w:rsid w:val="00820334"/>
    <w:rsid w:val="008205DE"/>
    <w:rsid w:val="008208D7"/>
    <w:rsid w:val="00820C71"/>
    <w:rsid w:val="00823BFD"/>
    <w:rsid w:val="0082440B"/>
    <w:rsid w:val="00824666"/>
    <w:rsid w:val="00825459"/>
    <w:rsid w:val="008260F9"/>
    <w:rsid w:val="00826541"/>
    <w:rsid w:val="008276E8"/>
    <w:rsid w:val="00827E1D"/>
    <w:rsid w:val="00830165"/>
    <w:rsid w:val="008315B0"/>
    <w:rsid w:val="008329EF"/>
    <w:rsid w:val="008355E8"/>
    <w:rsid w:val="00837FB6"/>
    <w:rsid w:val="0084136A"/>
    <w:rsid w:val="008435F0"/>
    <w:rsid w:val="00844E4C"/>
    <w:rsid w:val="0084569A"/>
    <w:rsid w:val="00845D3A"/>
    <w:rsid w:val="00846AB2"/>
    <w:rsid w:val="008472E7"/>
    <w:rsid w:val="0084764E"/>
    <w:rsid w:val="0085326E"/>
    <w:rsid w:val="008605DB"/>
    <w:rsid w:val="0086184A"/>
    <w:rsid w:val="00861C1C"/>
    <w:rsid w:val="00861F1B"/>
    <w:rsid w:val="00862968"/>
    <w:rsid w:val="00864B33"/>
    <w:rsid w:val="00864E18"/>
    <w:rsid w:val="0086607A"/>
    <w:rsid w:val="00866770"/>
    <w:rsid w:val="00866E80"/>
    <w:rsid w:val="00867455"/>
    <w:rsid w:val="00867D40"/>
    <w:rsid w:val="00870CEF"/>
    <w:rsid w:val="008715B1"/>
    <w:rsid w:val="00875A49"/>
    <w:rsid w:val="0087668A"/>
    <w:rsid w:val="00877FFC"/>
    <w:rsid w:val="0088043C"/>
    <w:rsid w:val="00881DB5"/>
    <w:rsid w:val="00881FB1"/>
    <w:rsid w:val="00882EE7"/>
    <w:rsid w:val="008838AD"/>
    <w:rsid w:val="008846F6"/>
    <w:rsid w:val="00884889"/>
    <w:rsid w:val="00884DC8"/>
    <w:rsid w:val="0088531F"/>
    <w:rsid w:val="008857E3"/>
    <w:rsid w:val="00885BFB"/>
    <w:rsid w:val="00890396"/>
    <w:rsid w:val="008906C9"/>
    <w:rsid w:val="00891BC4"/>
    <w:rsid w:val="00894198"/>
    <w:rsid w:val="008949A9"/>
    <w:rsid w:val="00894ED1"/>
    <w:rsid w:val="008A0F11"/>
    <w:rsid w:val="008A1EB6"/>
    <w:rsid w:val="008A32BB"/>
    <w:rsid w:val="008A337E"/>
    <w:rsid w:val="008A3ACD"/>
    <w:rsid w:val="008A46D6"/>
    <w:rsid w:val="008A60D9"/>
    <w:rsid w:val="008B1788"/>
    <w:rsid w:val="008B46A6"/>
    <w:rsid w:val="008B59DA"/>
    <w:rsid w:val="008B6B2A"/>
    <w:rsid w:val="008C0194"/>
    <w:rsid w:val="008C1D5E"/>
    <w:rsid w:val="008C2D5E"/>
    <w:rsid w:val="008C39F4"/>
    <w:rsid w:val="008C49B8"/>
    <w:rsid w:val="008C509A"/>
    <w:rsid w:val="008C5738"/>
    <w:rsid w:val="008D01E2"/>
    <w:rsid w:val="008D04F0"/>
    <w:rsid w:val="008D14C7"/>
    <w:rsid w:val="008D2986"/>
    <w:rsid w:val="008D4761"/>
    <w:rsid w:val="008D69B8"/>
    <w:rsid w:val="008D7F23"/>
    <w:rsid w:val="008E3E76"/>
    <w:rsid w:val="008E43CF"/>
    <w:rsid w:val="008E65EB"/>
    <w:rsid w:val="008E680A"/>
    <w:rsid w:val="008E6A0A"/>
    <w:rsid w:val="008F08DF"/>
    <w:rsid w:val="008F271F"/>
    <w:rsid w:val="008F2D62"/>
    <w:rsid w:val="008F3500"/>
    <w:rsid w:val="008F3F89"/>
    <w:rsid w:val="008F503A"/>
    <w:rsid w:val="008F55DB"/>
    <w:rsid w:val="0090327A"/>
    <w:rsid w:val="00903E0A"/>
    <w:rsid w:val="00912D73"/>
    <w:rsid w:val="009132AF"/>
    <w:rsid w:val="00914EC4"/>
    <w:rsid w:val="00915671"/>
    <w:rsid w:val="00915C0D"/>
    <w:rsid w:val="009163F2"/>
    <w:rsid w:val="009164C9"/>
    <w:rsid w:val="009175E1"/>
    <w:rsid w:val="00917ECA"/>
    <w:rsid w:val="00921F94"/>
    <w:rsid w:val="00922CAE"/>
    <w:rsid w:val="00924596"/>
    <w:rsid w:val="00924E3C"/>
    <w:rsid w:val="00926596"/>
    <w:rsid w:val="009266AE"/>
    <w:rsid w:val="009307A4"/>
    <w:rsid w:val="00930F7F"/>
    <w:rsid w:val="00931A29"/>
    <w:rsid w:val="00931C54"/>
    <w:rsid w:val="00932680"/>
    <w:rsid w:val="00935671"/>
    <w:rsid w:val="00941F86"/>
    <w:rsid w:val="00943F1B"/>
    <w:rsid w:val="009451F1"/>
    <w:rsid w:val="009470C6"/>
    <w:rsid w:val="00950003"/>
    <w:rsid w:val="00950CC2"/>
    <w:rsid w:val="00950D1A"/>
    <w:rsid w:val="009523C0"/>
    <w:rsid w:val="00954932"/>
    <w:rsid w:val="00960738"/>
    <w:rsid w:val="00960D24"/>
    <w:rsid w:val="009612BB"/>
    <w:rsid w:val="0096263B"/>
    <w:rsid w:val="0096382C"/>
    <w:rsid w:val="009665EC"/>
    <w:rsid w:val="00967C23"/>
    <w:rsid w:val="0097261B"/>
    <w:rsid w:val="0097299B"/>
    <w:rsid w:val="00975D19"/>
    <w:rsid w:val="009836F0"/>
    <w:rsid w:val="0098463A"/>
    <w:rsid w:val="00984F6E"/>
    <w:rsid w:val="00987A36"/>
    <w:rsid w:val="00992375"/>
    <w:rsid w:val="0099390C"/>
    <w:rsid w:val="0099437B"/>
    <w:rsid w:val="0099747D"/>
    <w:rsid w:val="009A00E3"/>
    <w:rsid w:val="009A1E36"/>
    <w:rsid w:val="009A2C38"/>
    <w:rsid w:val="009A5D4D"/>
    <w:rsid w:val="009A65F3"/>
    <w:rsid w:val="009A75DD"/>
    <w:rsid w:val="009B3060"/>
    <w:rsid w:val="009B4104"/>
    <w:rsid w:val="009B48E1"/>
    <w:rsid w:val="009B4B25"/>
    <w:rsid w:val="009B5611"/>
    <w:rsid w:val="009B5CBE"/>
    <w:rsid w:val="009C1596"/>
    <w:rsid w:val="009C2E4F"/>
    <w:rsid w:val="009C334E"/>
    <w:rsid w:val="009C3484"/>
    <w:rsid w:val="009C3E97"/>
    <w:rsid w:val="009C3FD1"/>
    <w:rsid w:val="009C4D57"/>
    <w:rsid w:val="009C7117"/>
    <w:rsid w:val="009C740A"/>
    <w:rsid w:val="009D0E7F"/>
    <w:rsid w:val="009D0F98"/>
    <w:rsid w:val="009D6AA5"/>
    <w:rsid w:val="009E1774"/>
    <w:rsid w:val="009E31FA"/>
    <w:rsid w:val="009E3413"/>
    <w:rsid w:val="009E4257"/>
    <w:rsid w:val="009E4419"/>
    <w:rsid w:val="009E68F0"/>
    <w:rsid w:val="009E6D9B"/>
    <w:rsid w:val="009E7BA1"/>
    <w:rsid w:val="009F0B9C"/>
    <w:rsid w:val="009F3039"/>
    <w:rsid w:val="009F3991"/>
    <w:rsid w:val="009F49A1"/>
    <w:rsid w:val="009F6D5E"/>
    <w:rsid w:val="009F7A22"/>
    <w:rsid w:val="00A01007"/>
    <w:rsid w:val="00A033A5"/>
    <w:rsid w:val="00A04B90"/>
    <w:rsid w:val="00A04C79"/>
    <w:rsid w:val="00A05BB6"/>
    <w:rsid w:val="00A06960"/>
    <w:rsid w:val="00A07107"/>
    <w:rsid w:val="00A0720B"/>
    <w:rsid w:val="00A11060"/>
    <w:rsid w:val="00A125C5"/>
    <w:rsid w:val="00A14231"/>
    <w:rsid w:val="00A14D42"/>
    <w:rsid w:val="00A15C97"/>
    <w:rsid w:val="00A160E8"/>
    <w:rsid w:val="00A16C14"/>
    <w:rsid w:val="00A2251F"/>
    <w:rsid w:val="00A229A5"/>
    <w:rsid w:val="00A23CC9"/>
    <w:rsid w:val="00A24207"/>
    <w:rsid w:val="00A2451C"/>
    <w:rsid w:val="00A24D64"/>
    <w:rsid w:val="00A25BEB"/>
    <w:rsid w:val="00A260FA"/>
    <w:rsid w:val="00A26FAE"/>
    <w:rsid w:val="00A305FF"/>
    <w:rsid w:val="00A307B3"/>
    <w:rsid w:val="00A3126E"/>
    <w:rsid w:val="00A31F0A"/>
    <w:rsid w:val="00A328D5"/>
    <w:rsid w:val="00A32AEB"/>
    <w:rsid w:val="00A36F56"/>
    <w:rsid w:val="00A40548"/>
    <w:rsid w:val="00A40609"/>
    <w:rsid w:val="00A419DB"/>
    <w:rsid w:val="00A43AF5"/>
    <w:rsid w:val="00A43E30"/>
    <w:rsid w:val="00A44948"/>
    <w:rsid w:val="00A47349"/>
    <w:rsid w:val="00A51D6D"/>
    <w:rsid w:val="00A56BA6"/>
    <w:rsid w:val="00A574AD"/>
    <w:rsid w:val="00A6531A"/>
    <w:rsid w:val="00A65EE7"/>
    <w:rsid w:val="00A65FA0"/>
    <w:rsid w:val="00A66A08"/>
    <w:rsid w:val="00A67692"/>
    <w:rsid w:val="00A67706"/>
    <w:rsid w:val="00A70133"/>
    <w:rsid w:val="00A72F95"/>
    <w:rsid w:val="00A75DA7"/>
    <w:rsid w:val="00A770A6"/>
    <w:rsid w:val="00A80118"/>
    <w:rsid w:val="00A80277"/>
    <w:rsid w:val="00A80586"/>
    <w:rsid w:val="00A80BDA"/>
    <w:rsid w:val="00A813B1"/>
    <w:rsid w:val="00A84F72"/>
    <w:rsid w:val="00A873C5"/>
    <w:rsid w:val="00A87916"/>
    <w:rsid w:val="00A91308"/>
    <w:rsid w:val="00A9154B"/>
    <w:rsid w:val="00A9159A"/>
    <w:rsid w:val="00A92559"/>
    <w:rsid w:val="00A93E28"/>
    <w:rsid w:val="00A96E4E"/>
    <w:rsid w:val="00AA14DE"/>
    <w:rsid w:val="00AA1AD5"/>
    <w:rsid w:val="00AA25E7"/>
    <w:rsid w:val="00AA346D"/>
    <w:rsid w:val="00AA4CE0"/>
    <w:rsid w:val="00AA7E17"/>
    <w:rsid w:val="00AB012E"/>
    <w:rsid w:val="00AB1654"/>
    <w:rsid w:val="00AB1CB6"/>
    <w:rsid w:val="00AB36C4"/>
    <w:rsid w:val="00AC0480"/>
    <w:rsid w:val="00AC0D35"/>
    <w:rsid w:val="00AC12E6"/>
    <w:rsid w:val="00AC32B2"/>
    <w:rsid w:val="00AC47A4"/>
    <w:rsid w:val="00AC49C1"/>
    <w:rsid w:val="00AC4D58"/>
    <w:rsid w:val="00AD217D"/>
    <w:rsid w:val="00AD430C"/>
    <w:rsid w:val="00AD442A"/>
    <w:rsid w:val="00AD47E6"/>
    <w:rsid w:val="00AD5436"/>
    <w:rsid w:val="00AE1545"/>
    <w:rsid w:val="00AE4030"/>
    <w:rsid w:val="00AE4F25"/>
    <w:rsid w:val="00AE51BA"/>
    <w:rsid w:val="00AE5760"/>
    <w:rsid w:val="00AE69C3"/>
    <w:rsid w:val="00AF051B"/>
    <w:rsid w:val="00AF075F"/>
    <w:rsid w:val="00AF1FF7"/>
    <w:rsid w:val="00AF77D3"/>
    <w:rsid w:val="00B0127F"/>
    <w:rsid w:val="00B027A2"/>
    <w:rsid w:val="00B07F5C"/>
    <w:rsid w:val="00B106AA"/>
    <w:rsid w:val="00B14884"/>
    <w:rsid w:val="00B17141"/>
    <w:rsid w:val="00B17D7D"/>
    <w:rsid w:val="00B21D4F"/>
    <w:rsid w:val="00B2286F"/>
    <w:rsid w:val="00B23C7B"/>
    <w:rsid w:val="00B2588F"/>
    <w:rsid w:val="00B31575"/>
    <w:rsid w:val="00B31E4C"/>
    <w:rsid w:val="00B346A1"/>
    <w:rsid w:val="00B34882"/>
    <w:rsid w:val="00B40665"/>
    <w:rsid w:val="00B44512"/>
    <w:rsid w:val="00B44600"/>
    <w:rsid w:val="00B452AA"/>
    <w:rsid w:val="00B455D7"/>
    <w:rsid w:val="00B50216"/>
    <w:rsid w:val="00B51527"/>
    <w:rsid w:val="00B51C2B"/>
    <w:rsid w:val="00B57083"/>
    <w:rsid w:val="00B64FC9"/>
    <w:rsid w:val="00B6564F"/>
    <w:rsid w:val="00B676DB"/>
    <w:rsid w:val="00B70C74"/>
    <w:rsid w:val="00B72D46"/>
    <w:rsid w:val="00B75525"/>
    <w:rsid w:val="00B75BB1"/>
    <w:rsid w:val="00B75BFB"/>
    <w:rsid w:val="00B7612B"/>
    <w:rsid w:val="00B778A7"/>
    <w:rsid w:val="00B81094"/>
    <w:rsid w:val="00B8152B"/>
    <w:rsid w:val="00B81DC5"/>
    <w:rsid w:val="00B82F17"/>
    <w:rsid w:val="00B84525"/>
    <w:rsid w:val="00B85254"/>
    <w:rsid w:val="00B8547D"/>
    <w:rsid w:val="00B85E11"/>
    <w:rsid w:val="00B91C74"/>
    <w:rsid w:val="00BA01ED"/>
    <w:rsid w:val="00BA19D3"/>
    <w:rsid w:val="00BA22E3"/>
    <w:rsid w:val="00BA2EC2"/>
    <w:rsid w:val="00BA3437"/>
    <w:rsid w:val="00BA3B71"/>
    <w:rsid w:val="00BA4415"/>
    <w:rsid w:val="00BA5E1A"/>
    <w:rsid w:val="00BA6C04"/>
    <w:rsid w:val="00BA7BBC"/>
    <w:rsid w:val="00BB0364"/>
    <w:rsid w:val="00BB1754"/>
    <w:rsid w:val="00BB3337"/>
    <w:rsid w:val="00BB4402"/>
    <w:rsid w:val="00BC1E94"/>
    <w:rsid w:val="00BC3BC2"/>
    <w:rsid w:val="00BC48A5"/>
    <w:rsid w:val="00BC76CF"/>
    <w:rsid w:val="00BD0FCE"/>
    <w:rsid w:val="00BD1C4A"/>
    <w:rsid w:val="00BD57D3"/>
    <w:rsid w:val="00BD60E4"/>
    <w:rsid w:val="00BD688C"/>
    <w:rsid w:val="00BD72C7"/>
    <w:rsid w:val="00BD74AB"/>
    <w:rsid w:val="00BD7814"/>
    <w:rsid w:val="00BE0A18"/>
    <w:rsid w:val="00BE3965"/>
    <w:rsid w:val="00BE535F"/>
    <w:rsid w:val="00BE5AA0"/>
    <w:rsid w:val="00BE6F93"/>
    <w:rsid w:val="00BF1B89"/>
    <w:rsid w:val="00BF3647"/>
    <w:rsid w:val="00BF3718"/>
    <w:rsid w:val="00BF53D2"/>
    <w:rsid w:val="00BF796A"/>
    <w:rsid w:val="00BF7C67"/>
    <w:rsid w:val="00C04482"/>
    <w:rsid w:val="00C0651D"/>
    <w:rsid w:val="00C07CFA"/>
    <w:rsid w:val="00C10379"/>
    <w:rsid w:val="00C123C4"/>
    <w:rsid w:val="00C12529"/>
    <w:rsid w:val="00C13145"/>
    <w:rsid w:val="00C145DD"/>
    <w:rsid w:val="00C2097A"/>
    <w:rsid w:val="00C213F0"/>
    <w:rsid w:val="00C22EB8"/>
    <w:rsid w:val="00C235E0"/>
    <w:rsid w:val="00C237B2"/>
    <w:rsid w:val="00C250D5"/>
    <w:rsid w:val="00C25378"/>
    <w:rsid w:val="00C25CCE"/>
    <w:rsid w:val="00C30598"/>
    <w:rsid w:val="00C30DDB"/>
    <w:rsid w:val="00C31872"/>
    <w:rsid w:val="00C322FC"/>
    <w:rsid w:val="00C34C97"/>
    <w:rsid w:val="00C35666"/>
    <w:rsid w:val="00C35925"/>
    <w:rsid w:val="00C35FC8"/>
    <w:rsid w:val="00C400D0"/>
    <w:rsid w:val="00C40450"/>
    <w:rsid w:val="00C40E3C"/>
    <w:rsid w:val="00C44A89"/>
    <w:rsid w:val="00C44AD0"/>
    <w:rsid w:val="00C44DC3"/>
    <w:rsid w:val="00C45DF5"/>
    <w:rsid w:val="00C614BE"/>
    <w:rsid w:val="00C6508C"/>
    <w:rsid w:val="00C7090E"/>
    <w:rsid w:val="00C71699"/>
    <w:rsid w:val="00C72860"/>
    <w:rsid w:val="00C7288C"/>
    <w:rsid w:val="00C74BDA"/>
    <w:rsid w:val="00C809DB"/>
    <w:rsid w:val="00C820B7"/>
    <w:rsid w:val="00C851C2"/>
    <w:rsid w:val="00C87B26"/>
    <w:rsid w:val="00C903DF"/>
    <w:rsid w:val="00C92898"/>
    <w:rsid w:val="00C929D9"/>
    <w:rsid w:val="00C934D3"/>
    <w:rsid w:val="00C96EC2"/>
    <w:rsid w:val="00C97421"/>
    <w:rsid w:val="00C97BB9"/>
    <w:rsid w:val="00CA0C18"/>
    <w:rsid w:val="00CA225C"/>
    <w:rsid w:val="00CA3503"/>
    <w:rsid w:val="00CA3597"/>
    <w:rsid w:val="00CA4340"/>
    <w:rsid w:val="00CA5EF0"/>
    <w:rsid w:val="00CA5F9F"/>
    <w:rsid w:val="00CA6D73"/>
    <w:rsid w:val="00CA7E47"/>
    <w:rsid w:val="00CB0242"/>
    <w:rsid w:val="00CB08E5"/>
    <w:rsid w:val="00CB1ADC"/>
    <w:rsid w:val="00CB370E"/>
    <w:rsid w:val="00CB398C"/>
    <w:rsid w:val="00CB4F59"/>
    <w:rsid w:val="00CB4FEA"/>
    <w:rsid w:val="00CB54AB"/>
    <w:rsid w:val="00CB54E6"/>
    <w:rsid w:val="00CB596A"/>
    <w:rsid w:val="00CB71FE"/>
    <w:rsid w:val="00CC102F"/>
    <w:rsid w:val="00CC21D5"/>
    <w:rsid w:val="00CC6774"/>
    <w:rsid w:val="00CC68B1"/>
    <w:rsid w:val="00CC7AEF"/>
    <w:rsid w:val="00CD3490"/>
    <w:rsid w:val="00CD5FDC"/>
    <w:rsid w:val="00CD6D27"/>
    <w:rsid w:val="00CD7039"/>
    <w:rsid w:val="00CD7C18"/>
    <w:rsid w:val="00CD7CEC"/>
    <w:rsid w:val="00CE2CAE"/>
    <w:rsid w:val="00CE3564"/>
    <w:rsid w:val="00CE3DD4"/>
    <w:rsid w:val="00CE495B"/>
    <w:rsid w:val="00CE5238"/>
    <w:rsid w:val="00CE74D0"/>
    <w:rsid w:val="00CE7514"/>
    <w:rsid w:val="00CE76BB"/>
    <w:rsid w:val="00CF0E37"/>
    <w:rsid w:val="00CF65D2"/>
    <w:rsid w:val="00D00606"/>
    <w:rsid w:val="00D05D10"/>
    <w:rsid w:val="00D068EE"/>
    <w:rsid w:val="00D06950"/>
    <w:rsid w:val="00D073FB"/>
    <w:rsid w:val="00D11AF5"/>
    <w:rsid w:val="00D11EE0"/>
    <w:rsid w:val="00D15BC7"/>
    <w:rsid w:val="00D21471"/>
    <w:rsid w:val="00D22187"/>
    <w:rsid w:val="00D227BE"/>
    <w:rsid w:val="00D2433D"/>
    <w:rsid w:val="00D24388"/>
    <w:rsid w:val="00D248DE"/>
    <w:rsid w:val="00D24977"/>
    <w:rsid w:val="00D252B0"/>
    <w:rsid w:val="00D2634D"/>
    <w:rsid w:val="00D27B7A"/>
    <w:rsid w:val="00D301E5"/>
    <w:rsid w:val="00D303F6"/>
    <w:rsid w:val="00D3229F"/>
    <w:rsid w:val="00D33D22"/>
    <w:rsid w:val="00D35CB3"/>
    <w:rsid w:val="00D35FB5"/>
    <w:rsid w:val="00D370D4"/>
    <w:rsid w:val="00D40377"/>
    <w:rsid w:val="00D40CFA"/>
    <w:rsid w:val="00D42808"/>
    <w:rsid w:val="00D432BA"/>
    <w:rsid w:val="00D43357"/>
    <w:rsid w:val="00D43996"/>
    <w:rsid w:val="00D439ED"/>
    <w:rsid w:val="00D43F49"/>
    <w:rsid w:val="00D466C7"/>
    <w:rsid w:val="00D52778"/>
    <w:rsid w:val="00D52E2D"/>
    <w:rsid w:val="00D6036A"/>
    <w:rsid w:val="00D603F3"/>
    <w:rsid w:val="00D643A4"/>
    <w:rsid w:val="00D65270"/>
    <w:rsid w:val="00D6569A"/>
    <w:rsid w:val="00D65AA0"/>
    <w:rsid w:val="00D67C8D"/>
    <w:rsid w:val="00D70D24"/>
    <w:rsid w:val="00D70DC9"/>
    <w:rsid w:val="00D72767"/>
    <w:rsid w:val="00D72852"/>
    <w:rsid w:val="00D7573A"/>
    <w:rsid w:val="00D80637"/>
    <w:rsid w:val="00D8094B"/>
    <w:rsid w:val="00D81507"/>
    <w:rsid w:val="00D828EE"/>
    <w:rsid w:val="00D829BD"/>
    <w:rsid w:val="00D839A2"/>
    <w:rsid w:val="00D84223"/>
    <w:rsid w:val="00D8542D"/>
    <w:rsid w:val="00D86B82"/>
    <w:rsid w:val="00D87814"/>
    <w:rsid w:val="00D907DC"/>
    <w:rsid w:val="00D90A0D"/>
    <w:rsid w:val="00D92EAA"/>
    <w:rsid w:val="00D93FD9"/>
    <w:rsid w:val="00D96415"/>
    <w:rsid w:val="00D96CCA"/>
    <w:rsid w:val="00DA3DAD"/>
    <w:rsid w:val="00DA6322"/>
    <w:rsid w:val="00DB350C"/>
    <w:rsid w:val="00DB3A12"/>
    <w:rsid w:val="00DB3B64"/>
    <w:rsid w:val="00DB3F8D"/>
    <w:rsid w:val="00DB4655"/>
    <w:rsid w:val="00DB4A4C"/>
    <w:rsid w:val="00DC12EB"/>
    <w:rsid w:val="00DC1363"/>
    <w:rsid w:val="00DC14C3"/>
    <w:rsid w:val="00DC1C9B"/>
    <w:rsid w:val="00DC283C"/>
    <w:rsid w:val="00DC344E"/>
    <w:rsid w:val="00DC64CA"/>
    <w:rsid w:val="00DC6A71"/>
    <w:rsid w:val="00DC6AEF"/>
    <w:rsid w:val="00DD1366"/>
    <w:rsid w:val="00DD3023"/>
    <w:rsid w:val="00DD4162"/>
    <w:rsid w:val="00DD7C28"/>
    <w:rsid w:val="00DE04D0"/>
    <w:rsid w:val="00DE1095"/>
    <w:rsid w:val="00DE376C"/>
    <w:rsid w:val="00DE5F80"/>
    <w:rsid w:val="00DE6F55"/>
    <w:rsid w:val="00DE70CE"/>
    <w:rsid w:val="00DF1F8A"/>
    <w:rsid w:val="00DF2FA5"/>
    <w:rsid w:val="00DF4A4B"/>
    <w:rsid w:val="00DF66C1"/>
    <w:rsid w:val="00E003FF"/>
    <w:rsid w:val="00E00574"/>
    <w:rsid w:val="00E00A6E"/>
    <w:rsid w:val="00E0170F"/>
    <w:rsid w:val="00E0345A"/>
    <w:rsid w:val="00E0357D"/>
    <w:rsid w:val="00E03C8C"/>
    <w:rsid w:val="00E05635"/>
    <w:rsid w:val="00E06348"/>
    <w:rsid w:val="00E07B59"/>
    <w:rsid w:val="00E07F75"/>
    <w:rsid w:val="00E110F7"/>
    <w:rsid w:val="00E12413"/>
    <w:rsid w:val="00E124C9"/>
    <w:rsid w:val="00E1277F"/>
    <w:rsid w:val="00E12B57"/>
    <w:rsid w:val="00E12CEE"/>
    <w:rsid w:val="00E16505"/>
    <w:rsid w:val="00E177D1"/>
    <w:rsid w:val="00E206AC"/>
    <w:rsid w:val="00E22DD2"/>
    <w:rsid w:val="00E2496E"/>
    <w:rsid w:val="00E2522A"/>
    <w:rsid w:val="00E264C8"/>
    <w:rsid w:val="00E3087B"/>
    <w:rsid w:val="00E36705"/>
    <w:rsid w:val="00E37169"/>
    <w:rsid w:val="00E374C5"/>
    <w:rsid w:val="00E40BF8"/>
    <w:rsid w:val="00E41C1D"/>
    <w:rsid w:val="00E4283B"/>
    <w:rsid w:val="00E43D37"/>
    <w:rsid w:val="00E479AE"/>
    <w:rsid w:val="00E517F9"/>
    <w:rsid w:val="00E526FB"/>
    <w:rsid w:val="00E56DDD"/>
    <w:rsid w:val="00E579DE"/>
    <w:rsid w:val="00E57F6C"/>
    <w:rsid w:val="00E57FC0"/>
    <w:rsid w:val="00E600B9"/>
    <w:rsid w:val="00E6343F"/>
    <w:rsid w:val="00E668B9"/>
    <w:rsid w:val="00E700DE"/>
    <w:rsid w:val="00E70F5C"/>
    <w:rsid w:val="00E71219"/>
    <w:rsid w:val="00E71398"/>
    <w:rsid w:val="00E71564"/>
    <w:rsid w:val="00E72735"/>
    <w:rsid w:val="00E74CF8"/>
    <w:rsid w:val="00E76A2E"/>
    <w:rsid w:val="00E7738F"/>
    <w:rsid w:val="00E81897"/>
    <w:rsid w:val="00E81AD0"/>
    <w:rsid w:val="00E83F77"/>
    <w:rsid w:val="00E84485"/>
    <w:rsid w:val="00E85CB0"/>
    <w:rsid w:val="00E862F6"/>
    <w:rsid w:val="00E91F1A"/>
    <w:rsid w:val="00E92B40"/>
    <w:rsid w:val="00E93C2A"/>
    <w:rsid w:val="00E94400"/>
    <w:rsid w:val="00E94481"/>
    <w:rsid w:val="00EA0413"/>
    <w:rsid w:val="00EA19E2"/>
    <w:rsid w:val="00EA48BD"/>
    <w:rsid w:val="00EA5A3D"/>
    <w:rsid w:val="00EA635A"/>
    <w:rsid w:val="00EA758D"/>
    <w:rsid w:val="00EB0666"/>
    <w:rsid w:val="00EB1CEE"/>
    <w:rsid w:val="00EB228B"/>
    <w:rsid w:val="00EB2822"/>
    <w:rsid w:val="00EB2F09"/>
    <w:rsid w:val="00EB32EE"/>
    <w:rsid w:val="00EB3531"/>
    <w:rsid w:val="00EB39C2"/>
    <w:rsid w:val="00EC089E"/>
    <w:rsid w:val="00EC10E0"/>
    <w:rsid w:val="00EC2C18"/>
    <w:rsid w:val="00EC6692"/>
    <w:rsid w:val="00EC7724"/>
    <w:rsid w:val="00ED1C3E"/>
    <w:rsid w:val="00ED21A0"/>
    <w:rsid w:val="00ED553F"/>
    <w:rsid w:val="00ED6177"/>
    <w:rsid w:val="00ED6779"/>
    <w:rsid w:val="00ED6E21"/>
    <w:rsid w:val="00EE0546"/>
    <w:rsid w:val="00EE092B"/>
    <w:rsid w:val="00EE289F"/>
    <w:rsid w:val="00EE3C04"/>
    <w:rsid w:val="00EE3FD6"/>
    <w:rsid w:val="00EE592D"/>
    <w:rsid w:val="00EE6427"/>
    <w:rsid w:val="00EE767F"/>
    <w:rsid w:val="00EF2CB9"/>
    <w:rsid w:val="00EF3179"/>
    <w:rsid w:val="00EF4951"/>
    <w:rsid w:val="00EF4E48"/>
    <w:rsid w:val="00EF752A"/>
    <w:rsid w:val="00F00363"/>
    <w:rsid w:val="00F01668"/>
    <w:rsid w:val="00F01927"/>
    <w:rsid w:val="00F03617"/>
    <w:rsid w:val="00F054C1"/>
    <w:rsid w:val="00F06963"/>
    <w:rsid w:val="00F07635"/>
    <w:rsid w:val="00F07660"/>
    <w:rsid w:val="00F10239"/>
    <w:rsid w:val="00F10CA7"/>
    <w:rsid w:val="00F10FF4"/>
    <w:rsid w:val="00F14578"/>
    <w:rsid w:val="00F153F3"/>
    <w:rsid w:val="00F240BB"/>
    <w:rsid w:val="00F24309"/>
    <w:rsid w:val="00F24C2A"/>
    <w:rsid w:val="00F32BB8"/>
    <w:rsid w:val="00F3551A"/>
    <w:rsid w:val="00F4092A"/>
    <w:rsid w:val="00F40C0B"/>
    <w:rsid w:val="00F429A6"/>
    <w:rsid w:val="00F42B4B"/>
    <w:rsid w:val="00F42BDF"/>
    <w:rsid w:val="00F44DD8"/>
    <w:rsid w:val="00F45690"/>
    <w:rsid w:val="00F5446E"/>
    <w:rsid w:val="00F55CB4"/>
    <w:rsid w:val="00F57FED"/>
    <w:rsid w:val="00F60D08"/>
    <w:rsid w:val="00F6411D"/>
    <w:rsid w:val="00F67363"/>
    <w:rsid w:val="00F737FF"/>
    <w:rsid w:val="00F755A4"/>
    <w:rsid w:val="00F81E1E"/>
    <w:rsid w:val="00F8236F"/>
    <w:rsid w:val="00F8353E"/>
    <w:rsid w:val="00F83569"/>
    <w:rsid w:val="00F83846"/>
    <w:rsid w:val="00F84A0D"/>
    <w:rsid w:val="00F850F8"/>
    <w:rsid w:val="00F85BCD"/>
    <w:rsid w:val="00F86518"/>
    <w:rsid w:val="00F86F61"/>
    <w:rsid w:val="00F91658"/>
    <w:rsid w:val="00F93498"/>
    <w:rsid w:val="00F93661"/>
    <w:rsid w:val="00F966AB"/>
    <w:rsid w:val="00F97284"/>
    <w:rsid w:val="00F97396"/>
    <w:rsid w:val="00FA01BB"/>
    <w:rsid w:val="00FA1A20"/>
    <w:rsid w:val="00FA1F9A"/>
    <w:rsid w:val="00FA6234"/>
    <w:rsid w:val="00FA7BDF"/>
    <w:rsid w:val="00FB3F78"/>
    <w:rsid w:val="00FB5888"/>
    <w:rsid w:val="00FB5BD2"/>
    <w:rsid w:val="00FC0D65"/>
    <w:rsid w:val="00FC12CF"/>
    <w:rsid w:val="00FC2EA6"/>
    <w:rsid w:val="00FC4EC3"/>
    <w:rsid w:val="00FC618F"/>
    <w:rsid w:val="00FC633F"/>
    <w:rsid w:val="00FC6F87"/>
    <w:rsid w:val="00FD04F9"/>
    <w:rsid w:val="00FD0848"/>
    <w:rsid w:val="00FD14D0"/>
    <w:rsid w:val="00FD17BE"/>
    <w:rsid w:val="00FD4A97"/>
    <w:rsid w:val="00FD4E05"/>
    <w:rsid w:val="00FD55F1"/>
    <w:rsid w:val="00FD6616"/>
    <w:rsid w:val="00FD6CE6"/>
    <w:rsid w:val="00FD78BB"/>
    <w:rsid w:val="00FE0194"/>
    <w:rsid w:val="00FE0263"/>
    <w:rsid w:val="00FE0B97"/>
    <w:rsid w:val="00FE1786"/>
    <w:rsid w:val="00FE35A9"/>
    <w:rsid w:val="00FE79E7"/>
    <w:rsid w:val="00FF2FD5"/>
    <w:rsid w:val="00FF32B5"/>
    <w:rsid w:val="00FF348A"/>
    <w:rsid w:val="00FF43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6F9CEFE"/>
  <w15:chartTrackingRefBased/>
  <w15:docId w15:val="{F0B47D98-3D87-4501-B633-17D0328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852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Omemba">
    <w:name w:val="Mention"/>
    <w:basedOn w:val="Privzetapisavaodstavka"/>
    <w:uiPriority w:val="99"/>
    <w:semiHidden/>
    <w:unhideWhenUsed/>
    <w:rsid w:val="00FD17BE"/>
    <w:rPr>
      <w:color w:val="2B579A"/>
      <w:shd w:val="clear" w:color="auto" w:fill="E6E6E6"/>
    </w:rPr>
  </w:style>
  <w:style w:type="paragraph" w:customStyle="1" w:styleId="Vrstapredpisa">
    <w:name w:val="Vrsta predpisa"/>
    <w:basedOn w:val="Navaden"/>
    <w:link w:val="VrstapredpisaZnak"/>
    <w:qFormat/>
    <w:rsid w:val="00B8525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B85254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B85254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B85254"/>
    <w:rPr>
      <w:rFonts w:ascii="Arial" w:hAnsi="Arial" w:cs="Arial"/>
      <w:b/>
      <w:sz w:val="22"/>
      <w:szCs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B8525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B85254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B85254"/>
    <w:pPr>
      <w:numPr>
        <w:numId w:val="15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B8525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B85254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B85254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8533F"/>
    <w:pPr>
      <w:ind w:left="720"/>
      <w:contextualSpacing/>
    </w:pPr>
  </w:style>
  <w:style w:type="character" w:styleId="Pripombasklic">
    <w:name w:val="annotation reference"/>
    <w:basedOn w:val="Privzetapisavaodstavka"/>
    <w:rsid w:val="00AA1AD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A1A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A1AD5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A1A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A1AD5"/>
    <w:rPr>
      <w:rFonts w:asciiTheme="minorHAnsi" w:eastAsiaTheme="minorHAnsi" w:hAnsiTheme="minorHAnsi" w:cstheme="minorBidi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A1A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A1AD5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5A177E"/>
  </w:style>
  <w:style w:type="paragraph" w:customStyle="1" w:styleId="Default">
    <w:name w:val="Default"/>
    <w:rsid w:val="005A177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5A177E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5A177E"/>
    <w:rPr>
      <w:rFonts w:ascii="Consolas" w:eastAsiaTheme="minorHAnsi" w:hAnsi="Consolas" w:cstheme="minorBidi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5A1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104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">
    <w:name w:val="odstavek"/>
    <w:basedOn w:val="Navaden"/>
    <w:rsid w:val="00C065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D35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D35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EC089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089E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rsid w:val="00EC089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B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://www.uradni-list.si/1/objava.jsp?sop=2013-01-0787" TargetMode="External"/><Relationship Id="rId18" Type="http://schemas.openxmlformats.org/officeDocument/2006/relationships/hyperlink" Target="http://www.uradni-list.si/1/objava.jsp?sop=2006-01-218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4-01-20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22-01-419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2521" TargetMode="External"/><Relationship Id="rId20" Type="http://schemas.openxmlformats.org/officeDocument/2006/relationships/hyperlink" Target="http://www.uradni-list.si/1/objava.jsp?sop=2014-01-087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184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4-01-2739" TargetMode="External"/><Relationship Id="rId23" Type="http://schemas.openxmlformats.org/officeDocument/2006/relationships/hyperlink" Target="http://www.uradni-list.si/1/objava.jsp?sop=2015-01-4086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uradni-list.si/1/objava.jsp?sop=2008-01-4694" TargetMode="External"/><Relationship Id="rId19" Type="http://schemas.openxmlformats.org/officeDocument/2006/relationships/hyperlink" Target="http://www.uradni-list.si/1/objava.jsp?sop=2006-01-501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0823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yperlink" Target="http://www.uradni-list.si/1/objava.jsp?sop=2015-01-072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13BF5-1CF3-4DA5-886C-E04B3FD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Nikše</dc:creator>
  <cp:keywords/>
  <cp:lastModifiedBy>Melita Nikše</cp:lastModifiedBy>
  <cp:revision>21</cp:revision>
  <cp:lastPrinted>2019-10-14T06:34:00Z</cp:lastPrinted>
  <dcterms:created xsi:type="dcterms:W3CDTF">2025-03-19T10:36:00Z</dcterms:created>
  <dcterms:modified xsi:type="dcterms:W3CDTF">2025-04-16T04:26:00Z</dcterms:modified>
</cp:coreProperties>
</file>