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BB97" w14:textId="14788E74" w:rsidR="003D39F8" w:rsidRDefault="009C7425" w:rsidP="003D39F8">
      <w:pPr>
        <w:spacing w:line="240" w:lineRule="atLeast"/>
        <w:rPr>
          <w:rFonts w:cs="Arial"/>
          <w:iCs/>
          <w:sz w:val="22"/>
          <w:szCs w:val="22"/>
        </w:rPr>
      </w:pPr>
      <w:r>
        <w:rPr>
          <w:noProof/>
          <w:lang w:eastAsia="sl-SI"/>
        </w:rPr>
        <w:drawing>
          <wp:anchor distT="0" distB="0" distL="114300" distR="114300" simplePos="0" relativeHeight="251658240" behindDoc="0" locked="0" layoutInCell="1" allowOverlap="1" wp14:anchorId="4FFF861A" wp14:editId="5413BE4E">
            <wp:simplePos x="0" y="0"/>
            <wp:positionH relativeFrom="page">
              <wp:posOffset>0</wp:posOffset>
            </wp:positionH>
            <wp:positionV relativeFrom="page">
              <wp:posOffset>0</wp:posOffset>
            </wp:positionV>
            <wp:extent cx="4321810" cy="1193800"/>
            <wp:effectExtent l="0" t="0" r="0" b="0"/>
            <wp:wrapSquare wrapText="bothSides"/>
            <wp:docPr id="2" name="Picture 2"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C8EEF" w14:textId="77777777" w:rsidR="003D39F8" w:rsidRDefault="003D39F8" w:rsidP="003D39F8">
      <w:pPr>
        <w:spacing w:line="240" w:lineRule="atLeast"/>
        <w:rPr>
          <w:rFonts w:cs="Arial"/>
          <w:iCs/>
          <w:sz w:val="22"/>
          <w:szCs w:val="22"/>
        </w:rPr>
      </w:pPr>
    </w:p>
    <w:p w14:paraId="25044310" w14:textId="77777777" w:rsidR="003D39F8" w:rsidRDefault="003D39F8" w:rsidP="003D39F8">
      <w:pPr>
        <w:spacing w:line="240" w:lineRule="atLeast"/>
        <w:rPr>
          <w:rFonts w:cs="Arial"/>
          <w:iCs/>
          <w:sz w:val="22"/>
          <w:szCs w:val="22"/>
        </w:rPr>
      </w:pPr>
    </w:p>
    <w:p w14:paraId="2F8D874B" w14:textId="77777777" w:rsidR="003D39F8" w:rsidRDefault="003D39F8" w:rsidP="003D39F8">
      <w:pPr>
        <w:spacing w:line="240" w:lineRule="atLeast"/>
        <w:rPr>
          <w:rFonts w:cs="Arial"/>
          <w:iCs/>
          <w:sz w:val="22"/>
          <w:szCs w:val="22"/>
        </w:rPr>
      </w:pPr>
    </w:p>
    <w:p w14:paraId="638C10DA" w14:textId="77777777" w:rsidR="003D39F8" w:rsidRDefault="003D39F8" w:rsidP="003D39F8">
      <w:pPr>
        <w:spacing w:line="240" w:lineRule="atLeast"/>
        <w:rPr>
          <w:rFonts w:cs="Arial"/>
          <w:iCs/>
          <w:sz w:val="22"/>
          <w:szCs w:val="22"/>
        </w:rPr>
      </w:pPr>
    </w:p>
    <w:p w14:paraId="0F6F556A" w14:textId="0D17745C" w:rsidR="003D39F8" w:rsidRPr="00414390" w:rsidRDefault="009C7425" w:rsidP="003D39F8">
      <w:pPr>
        <w:pStyle w:val="Glava"/>
        <w:tabs>
          <w:tab w:val="left" w:pos="5112"/>
        </w:tabs>
        <w:spacing w:before="120" w:line="240" w:lineRule="exact"/>
        <w:ind w:firstLine="284"/>
        <w:rPr>
          <w:rFonts w:ascii="Arial" w:hAnsi="Arial" w:cs="Arial"/>
          <w:sz w:val="16"/>
        </w:rPr>
      </w:pPr>
      <w:r>
        <w:rPr>
          <w:noProof/>
          <w:lang w:eastAsia="sl-SI"/>
        </w:rPr>
        <w:drawing>
          <wp:anchor distT="0" distB="0" distL="114300" distR="114300" simplePos="0" relativeHeight="251658241" behindDoc="0" locked="0" layoutInCell="1" allowOverlap="1" wp14:anchorId="18C86857" wp14:editId="55D2A52C">
            <wp:simplePos x="0" y="0"/>
            <wp:positionH relativeFrom="page">
              <wp:posOffset>0</wp:posOffset>
            </wp:positionH>
            <wp:positionV relativeFrom="page">
              <wp:posOffset>0</wp:posOffset>
            </wp:positionV>
            <wp:extent cx="4321810" cy="1193800"/>
            <wp:effectExtent l="0" t="0" r="0" b="0"/>
            <wp:wrapSquare wrapText="bothSides"/>
            <wp:docPr id="3" name="Picture 3"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9F8" w:rsidRPr="00414390">
        <w:rPr>
          <w:rFonts w:ascii="Arial" w:hAnsi="Arial" w:cs="Arial"/>
          <w:sz w:val="16"/>
        </w:rPr>
        <w:t xml:space="preserve">Župančičeva 3, </w:t>
      </w:r>
      <w:proofErr w:type="spellStart"/>
      <w:r w:rsidR="003D39F8" w:rsidRPr="00414390">
        <w:rPr>
          <w:rFonts w:ascii="Arial" w:hAnsi="Arial" w:cs="Arial"/>
          <w:sz w:val="16"/>
        </w:rPr>
        <w:t>p.p</w:t>
      </w:r>
      <w:proofErr w:type="spellEnd"/>
      <w:r w:rsidR="003D39F8" w:rsidRPr="00414390">
        <w:rPr>
          <w:rFonts w:ascii="Arial" w:hAnsi="Arial" w:cs="Arial"/>
          <w:sz w:val="16"/>
        </w:rPr>
        <w:t>. 644a, 1001 Ljubljana</w:t>
      </w:r>
      <w:r w:rsidR="003D39F8" w:rsidRPr="00414390">
        <w:rPr>
          <w:rFonts w:ascii="Arial" w:hAnsi="Arial" w:cs="Arial"/>
          <w:sz w:val="16"/>
        </w:rPr>
        <w:tab/>
      </w:r>
      <w:r w:rsidR="003D39F8" w:rsidRPr="00414390">
        <w:rPr>
          <w:rFonts w:ascii="Arial" w:hAnsi="Arial" w:cs="Arial"/>
          <w:sz w:val="16"/>
        </w:rPr>
        <w:tab/>
        <w:t>T: 01 369 66 00</w:t>
      </w:r>
    </w:p>
    <w:p w14:paraId="3D2C6B4C" w14:textId="77777777" w:rsidR="003D39F8" w:rsidRPr="00414390" w:rsidRDefault="003D39F8" w:rsidP="003D39F8">
      <w:pPr>
        <w:pStyle w:val="Glava"/>
        <w:tabs>
          <w:tab w:val="left" w:pos="5112"/>
        </w:tabs>
        <w:spacing w:line="240" w:lineRule="exact"/>
        <w:rPr>
          <w:rFonts w:ascii="Arial" w:hAnsi="Arial" w:cs="Arial"/>
          <w:sz w:val="16"/>
        </w:rPr>
      </w:pPr>
      <w:r w:rsidRPr="00414390">
        <w:rPr>
          <w:rFonts w:ascii="Arial" w:hAnsi="Arial" w:cs="Arial"/>
          <w:sz w:val="16"/>
        </w:rPr>
        <w:tab/>
      </w:r>
      <w:r w:rsidRPr="00414390">
        <w:rPr>
          <w:rFonts w:ascii="Arial" w:hAnsi="Arial" w:cs="Arial"/>
          <w:sz w:val="16"/>
        </w:rPr>
        <w:tab/>
        <w:t xml:space="preserve">F: 01 369 66 09 </w:t>
      </w:r>
    </w:p>
    <w:p w14:paraId="6C1D0764" w14:textId="77777777" w:rsidR="003D39F8" w:rsidRDefault="003D39F8" w:rsidP="003D39F8">
      <w:pPr>
        <w:pStyle w:val="Glava"/>
        <w:tabs>
          <w:tab w:val="left" w:pos="5112"/>
        </w:tabs>
        <w:spacing w:line="240" w:lineRule="exact"/>
        <w:rPr>
          <w:rFonts w:ascii="Arial" w:hAnsi="Arial" w:cs="Arial"/>
          <w:sz w:val="16"/>
        </w:rPr>
      </w:pPr>
      <w:r w:rsidRPr="00414390">
        <w:rPr>
          <w:rFonts w:ascii="Arial" w:hAnsi="Arial" w:cs="Arial"/>
          <w:sz w:val="16"/>
        </w:rPr>
        <w:tab/>
      </w:r>
      <w:r w:rsidRPr="00414390">
        <w:rPr>
          <w:rFonts w:ascii="Arial" w:hAnsi="Arial" w:cs="Arial"/>
          <w:sz w:val="16"/>
        </w:rPr>
        <w:tab/>
        <w:t xml:space="preserve">E: </w:t>
      </w:r>
      <w:hyperlink r:id="rId12" w:history="1">
        <w:r w:rsidRPr="00DA4410">
          <w:rPr>
            <w:rStyle w:val="Hiperpovezava"/>
            <w:rFonts w:ascii="Arial" w:hAnsi="Arial" w:cs="Arial"/>
            <w:sz w:val="16"/>
          </w:rPr>
          <w:t>gp.mf@gov.si</w:t>
        </w:r>
      </w:hyperlink>
    </w:p>
    <w:p w14:paraId="30B17DCB" w14:textId="77777777" w:rsidR="003D39F8" w:rsidRDefault="003D39F8" w:rsidP="003D39F8">
      <w:pPr>
        <w:pStyle w:val="Odstavekseznama1"/>
        <w:spacing w:line="260" w:lineRule="exact"/>
        <w:rPr>
          <w:rFonts w:ascii="Arial" w:hAnsi="Arial" w:cs="Arial"/>
          <w:b/>
          <w:sz w:val="20"/>
          <w:szCs w:val="2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4"/>
        <w:gridCol w:w="4044"/>
        <w:gridCol w:w="404"/>
        <w:gridCol w:w="2680"/>
      </w:tblGrid>
      <w:tr w:rsidR="003D39F8" w14:paraId="690078BD" w14:textId="77777777" w:rsidTr="00A31A32">
        <w:trPr>
          <w:gridAfter w:val="2"/>
          <w:wAfter w:w="3084" w:type="dxa"/>
        </w:trPr>
        <w:tc>
          <w:tcPr>
            <w:tcW w:w="6096" w:type="dxa"/>
            <w:gridSpan w:val="3"/>
            <w:shd w:val="clear" w:color="auto" w:fill="auto"/>
          </w:tcPr>
          <w:p w14:paraId="24338EF8" w14:textId="43A6BB9F" w:rsidR="003D39F8" w:rsidRPr="00411126" w:rsidRDefault="003D39F8" w:rsidP="007C44FE">
            <w:pPr>
              <w:pStyle w:val="Neotevilenodstavek"/>
              <w:spacing w:before="0" w:after="0" w:line="260" w:lineRule="exact"/>
              <w:jc w:val="left"/>
              <w:rPr>
                <w:rFonts w:cs="Arial"/>
                <w:color w:val="FF0000"/>
                <w:lang w:eastAsia="en-US"/>
              </w:rPr>
            </w:pPr>
            <w:r w:rsidRPr="00416432">
              <w:rPr>
                <w:rFonts w:cs="Arial"/>
                <w:lang w:eastAsia="en-US"/>
              </w:rPr>
              <w:t xml:space="preserve">Številka: </w:t>
            </w:r>
            <w:r w:rsidR="00030BAE" w:rsidRPr="00416432">
              <w:rPr>
                <w:rFonts w:cs="Arial"/>
              </w:rPr>
              <w:t xml:space="preserve">IPP </w:t>
            </w:r>
            <w:r w:rsidR="009E11AD" w:rsidRPr="009E11AD">
              <w:rPr>
                <w:rFonts w:cs="Arial"/>
              </w:rPr>
              <w:t>007-983/2024</w:t>
            </w:r>
          </w:p>
        </w:tc>
      </w:tr>
      <w:tr w:rsidR="003D39F8" w14:paraId="696A9EF6" w14:textId="77777777" w:rsidTr="00A31A32">
        <w:trPr>
          <w:gridAfter w:val="2"/>
          <w:wAfter w:w="3084" w:type="dxa"/>
        </w:trPr>
        <w:tc>
          <w:tcPr>
            <w:tcW w:w="6096" w:type="dxa"/>
            <w:gridSpan w:val="3"/>
            <w:shd w:val="clear" w:color="auto" w:fill="auto"/>
          </w:tcPr>
          <w:p w14:paraId="5224D0C9" w14:textId="248D9A3E" w:rsidR="003D39F8" w:rsidRPr="00411126" w:rsidRDefault="00416432" w:rsidP="00A34718">
            <w:pPr>
              <w:pStyle w:val="Neotevilenodstavek"/>
              <w:spacing w:before="0" w:after="0" w:line="260" w:lineRule="exact"/>
              <w:jc w:val="left"/>
              <w:rPr>
                <w:rFonts w:cs="Arial"/>
                <w:color w:val="FF0000"/>
                <w:lang w:eastAsia="en-US"/>
              </w:rPr>
            </w:pPr>
            <w:r w:rsidRPr="009F3D5F">
              <w:rPr>
                <w:rFonts w:cs="Arial"/>
              </w:rPr>
              <w:t xml:space="preserve">Ljubljana, </w:t>
            </w:r>
            <w:r w:rsidR="001175FC">
              <w:rPr>
                <w:rFonts w:cs="Arial"/>
              </w:rPr>
              <w:t>15</w:t>
            </w:r>
            <w:r w:rsidR="002E39EF">
              <w:rPr>
                <w:rFonts w:cs="Arial"/>
              </w:rPr>
              <w:t xml:space="preserve">. </w:t>
            </w:r>
            <w:r w:rsidR="009E11AD">
              <w:rPr>
                <w:rFonts w:cs="Arial"/>
              </w:rPr>
              <w:t>4</w:t>
            </w:r>
            <w:r w:rsidR="002E39EF">
              <w:rPr>
                <w:rFonts w:cs="Arial"/>
              </w:rPr>
              <w:t>. 2025</w:t>
            </w:r>
            <w:r>
              <w:rPr>
                <w:rFonts w:cs="Arial"/>
              </w:rPr>
              <w:t xml:space="preserve"> </w:t>
            </w:r>
          </w:p>
        </w:tc>
      </w:tr>
      <w:tr w:rsidR="003D39F8" w14:paraId="3CCC735B" w14:textId="77777777" w:rsidTr="00A31A32">
        <w:trPr>
          <w:gridAfter w:val="2"/>
          <w:wAfter w:w="3084" w:type="dxa"/>
        </w:trPr>
        <w:tc>
          <w:tcPr>
            <w:tcW w:w="6096" w:type="dxa"/>
            <w:gridSpan w:val="3"/>
            <w:shd w:val="clear" w:color="auto" w:fill="auto"/>
          </w:tcPr>
          <w:p w14:paraId="3A612B71" w14:textId="49481616" w:rsidR="003D39F8" w:rsidRPr="00411126" w:rsidRDefault="003D39F8" w:rsidP="00A31A32">
            <w:pPr>
              <w:pStyle w:val="Neotevilenodstavek"/>
              <w:spacing w:before="0" w:after="0" w:line="260" w:lineRule="exact"/>
              <w:jc w:val="left"/>
              <w:rPr>
                <w:rFonts w:cs="Arial"/>
                <w:color w:val="FF0000"/>
                <w:lang w:eastAsia="en-US"/>
              </w:rPr>
            </w:pPr>
            <w:r w:rsidRPr="00416432">
              <w:rPr>
                <w:rFonts w:cs="Arial"/>
                <w:iCs/>
                <w:lang w:eastAsia="en-US"/>
              </w:rPr>
              <w:t>EVA</w:t>
            </w:r>
            <w:r w:rsidR="00CD1D12" w:rsidRPr="00416432">
              <w:rPr>
                <w:rFonts w:cs="Arial"/>
                <w:iCs/>
                <w:lang w:eastAsia="en-US"/>
              </w:rPr>
              <w:t xml:space="preserve">: </w:t>
            </w:r>
            <w:r w:rsidRPr="00416432">
              <w:rPr>
                <w:rFonts w:cs="Arial"/>
                <w:iCs/>
                <w:lang w:eastAsia="en-US"/>
              </w:rPr>
              <w:t xml:space="preserve"> </w:t>
            </w:r>
            <w:r w:rsidR="009E11AD" w:rsidRPr="009E11AD">
              <w:rPr>
                <w:rFonts w:cs="Arial"/>
              </w:rPr>
              <w:t>2024-1611-0109</w:t>
            </w:r>
          </w:p>
        </w:tc>
      </w:tr>
      <w:tr w:rsidR="003D39F8" w14:paraId="5A36BC29" w14:textId="77777777" w:rsidTr="00A31A32">
        <w:tc>
          <w:tcPr>
            <w:tcW w:w="9180" w:type="dxa"/>
            <w:gridSpan w:val="5"/>
            <w:shd w:val="clear" w:color="auto" w:fill="auto"/>
          </w:tcPr>
          <w:p w14:paraId="0A7233B7" w14:textId="3C1B3297" w:rsidR="003D39F8" w:rsidRPr="00F51F10" w:rsidRDefault="003D39F8" w:rsidP="00F51F10">
            <w:pPr>
              <w:pStyle w:val="Neotevilenodstavek"/>
              <w:spacing w:before="0" w:after="0" w:line="260" w:lineRule="exact"/>
              <w:jc w:val="left"/>
              <w:rPr>
                <w:rFonts w:cs="Arial"/>
                <w:b/>
                <w:bCs/>
              </w:rPr>
            </w:pPr>
            <w:r w:rsidRPr="00F51F10">
              <w:rPr>
                <w:rFonts w:cs="Arial"/>
                <w:b/>
                <w:bCs/>
              </w:rPr>
              <w:t xml:space="preserve">ZADEVA: </w:t>
            </w:r>
            <w:r w:rsidR="00B410C7" w:rsidRPr="00B410C7">
              <w:rPr>
                <w:rFonts w:cs="Arial"/>
                <w:b/>
                <w:bCs/>
              </w:rPr>
              <w:t>Popravek gradiva št. 1</w:t>
            </w:r>
            <w:r w:rsidR="00B410C7">
              <w:rPr>
                <w:rFonts w:cs="Arial"/>
                <w:b/>
                <w:bCs/>
              </w:rPr>
              <w:t xml:space="preserve"> - </w:t>
            </w:r>
            <w:r w:rsidR="00B410C7" w:rsidRPr="00B410C7">
              <w:rPr>
                <w:rFonts w:cs="Arial"/>
                <w:b/>
              </w:rPr>
              <w:t>Predlog Zakon</w:t>
            </w:r>
            <w:r w:rsidR="00B410C7">
              <w:rPr>
                <w:rFonts w:cs="Arial"/>
                <w:b/>
              </w:rPr>
              <w:t>a</w:t>
            </w:r>
            <w:r w:rsidR="00B410C7" w:rsidRPr="00B410C7">
              <w:rPr>
                <w:rFonts w:cs="Arial"/>
                <w:b/>
              </w:rPr>
              <w:t xml:space="preserve"> o individualnih naložbenih računih</w:t>
            </w:r>
          </w:p>
        </w:tc>
      </w:tr>
      <w:tr w:rsidR="0080704E" w:rsidRPr="00A31A32" w14:paraId="45A2934B" w14:textId="77777777" w:rsidTr="00A31A32">
        <w:tc>
          <w:tcPr>
            <w:tcW w:w="9180" w:type="dxa"/>
            <w:gridSpan w:val="5"/>
            <w:shd w:val="clear" w:color="auto" w:fill="auto"/>
          </w:tcPr>
          <w:p w14:paraId="00DD5215" w14:textId="77777777" w:rsidR="0080704E" w:rsidRPr="00A31A32" w:rsidRDefault="0080704E" w:rsidP="00A31A32">
            <w:pPr>
              <w:pStyle w:val="Naslovpredpisa"/>
              <w:spacing w:before="0" w:after="0" w:line="260" w:lineRule="exact"/>
              <w:jc w:val="both"/>
              <w:rPr>
                <w:rFonts w:cs="Arial"/>
                <w:lang w:eastAsia="en-US"/>
              </w:rPr>
            </w:pPr>
          </w:p>
        </w:tc>
      </w:tr>
      <w:tr w:rsidR="003D39F8" w:rsidRPr="008D1759" w14:paraId="690D509B" w14:textId="77777777" w:rsidTr="00A31A32">
        <w:tc>
          <w:tcPr>
            <w:tcW w:w="9180" w:type="dxa"/>
            <w:gridSpan w:val="5"/>
            <w:shd w:val="clear" w:color="auto" w:fill="auto"/>
          </w:tcPr>
          <w:p w14:paraId="08F98FC6" w14:textId="77777777" w:rsidR="003D39F8" w:rsidRPr="008D1759" w:rsidRDefault="003D39F8" w:rsidP="00A31A32">
            <w:pPr>
              <w:pStyle w:val="Oddelek"/>
              <w:numPr>
                <w:ilvl w:val="0"/>
                <w:numId w:val="0"/>
              </w:numPr>
              <w:spacing w:before="0" w:after="0" w:line="260" w:lineRule="exact"/>
              <w:jc w:val="left"/>
            </w:pPr>
            <w:r>
              <w:t>1. Zahteva predlagatelja za:</w:t>
            </w:r>
          </w:p>
        </w:tc>
      </w:tr>
      <w:tr w:rsidR="003D39F8" w:rsidRPr="008D1759" w14:paraId="62483CBF" w14:textId="77777777" w:rsidTr="00A31A32">
        <w:tc>
          <w:tcPr>
            <w:tcW w:w="1448" w:type="dxa"/>
            <w:shd w:val="clear" w:color="auto" w:fill="auto"/>
          </w:tcPr>
          <w:p w14:paraId="3EDA348F" w14:textId="77777777" w:rsidR="003D39F8" w:rsidRPr="00A31A32" w:rsidRDefault="003D39F8" w:rsidP="00A31A32">
            <w:pPr>
              <w:pStyle w:val="Neotevilenodstavek"/>
              <w:spacing w:before="0" w:after="0" w:line="260" w:lineRule="exact"/>
              <w:ind w:left="360"/>
              <w:rPr>
                <w:iCs/>
              </w:rPr>
            </w:pPr>
            <w:r w:rsidRPr="00A31A32">
              <w:rPr>
                <w:iCs/>
              </w:rPr>
              <w:t>a)</w:t>
            </w:r>
          </w:p>
        </w:tc>
        <w:tc>
          <w:tcPr>
            <w:tcW w:w="5052" w:type="dxa"/>
            <w:gridSpan w:val="3"/>
            <w:shd w:val="clear" w:color="auto" w:fill="auto"/>
          </w:tcPr>
          <w:p w14:paraId="541F1B27" w14:textId="77777777" w:rsidR="003D39F8" w:rsidRPr="00A31A32" w:rsidRDefault="003D39F8" w:rsidP="00A31A32">
            <w:pPr>
              <w:pStyle w:val="Neotevilenodstavek"/>
              <w:spacing w:before="0" w:after="0" w:line="260" w:lineRule="exact"/>
              <w:rPr>
                <w:bCs/>
              </w:rPr>
            </w:pPr>
            <w:r w:rsidRPr="00A31A32">
              <w:rPr>
                <w:bCs/>
              </w:rPr>
              <w:t>obravnavo neusklajenega gradiva</w:t>
            </w:r>
          </w:p>
        </w:tc>
        <w:tc>
          <w:tcPr>
            <w:tcW w:w="2680" w:type="dxa"/>
            <w:shd w:val="clear" w:color="auto" w:fill="auto"/>
          </w:tcPr>
          <w:p w14:paraId="486192C4" w14:textId="4ADD45AA" w:rsidR="003D39F8" w:rsidRPr="00A31A32" w:rsidRDefault="00D17F27" w:rsidP="00A31A32">
            <w:pPr>
              <w:pStyle w:val="Neotevilenodstavek"/>
              <w:spacing w:before="0" w:after="0" w:line="260" w:lineRule="exact"/>
              <w:jc w:val="center"/>
              <w:rPr>
                <w:iCs/>
              </w:rPr>
            </w:pPr>
            <w:r>
              <w:t>NE</w:t>
            </w:r>
          </w:p>
        </w:tc>
      </w:tr>
      <w:tr w:rsidR="003D39F8" w:rsidRPr="008D1759" w14:paraId="3265CCAF" w14:textId="77777777" w:rsidTr="00A31A32">
        <w:tc>
          <w:tcPr>
            <w:tcW w:w="1448" w:type="dxa"/>
            <w:shd w:val="clear" w:color="auto" w:fill="auto"/>
          </w:tcPr>
          <w:p w14:paraId="084F5989" w14:textId="77777777" w:rsidR="003D39F8" w:rsidRPr="00A31A32" w:rsidRDefault="003D39F8" w:rsidP="00A31A32">
            <w:pPr>
              <w:pStyle w:val="Neotevilenodstavek"/>
              <w:spacing w:before="0" w:after="0" w:line="260" w:lineRule="exact"/>
              <w:ind w:left="360"/>
              <w:rPr>
                <w:iCs/>
              </w:rPr>
            </w:pPr>
            <w:r w:rsidRPr="00A31A32">
              <w:rPr>
                <w:iCs/>
              </w:rPr>
              <w:t>b)</w:t>
            </w:r>
          </w:p>
        </w:tc>
        <w:tc>
          <w:tcPr>
            <w:tcW w:w="5052" w:type="dxa"/>
            <w:gridSpan w:val="3"/>
            <w:shd w:val="clear" w:color="auto" w:fill="auto"/>
          </w:tcPr>
          <w:p w14:paraId="672A90B1" w14:textId="77777777" w:rsidR="003D39F8" w:rsidRPr="00A31A32" w:rsidRDefault="003D39F8" w:rsidP="00A31A32">
            <w:pPr>
              <w:pStyle w:val="Neotevilenodstavek"/>
              <w:spacing w:before="0" w:after="0" w:line="260" w:lineRule="exact"/>
              <w:rPr>
                <w:bCs/>
              </w:rPr>
            </w:pPr>
            <w:r w:rsidRPr="00A31A32">
              <w:rPr>
                <w:bCs/>
              </w:rPr>
              <w:t>nujnost obravnave</w:t>
            </w:r>
          </w:p>
        </w:tc>
        <w:tc>
          <w:tcPr>
            <w:tcW w:w="2680" w:type="dxa"/>
            <w:shd w:val="clear" w:color="auto" w:fill="auto"/>
          </w:tcPr>
          <w:p w14:paraId="66FDD1C8" w14:textId="2384602F" w:rsidR="003D39F8" w:rsidRPr="00AB5E97" w:rsidRDefault="00054B70" w:rsidP="00A31A32">
            <w:pPr>
              <w:pStyle w:val="Neotevilenodstavek"/>
              <w:spacing w:before="0" w:after="0" w:line="260" w:lineRule="exact"/>
              <w:jc w:val="center"/>
            </w:pPr>
            <w:r>
              <w:t>DA</w:t>
            </w:r>
          </w:p>
        </w:tc>
      </w:tr>
      <w:tr w:rsidR="003D39F8" w:rsidRPr="008D1759" w14:paraId="5B65CF53" w14:textId="77777777" w:rsidTr="00A31A32">
        <w:tc>
          <w:tcPr>
            <w:tcW w:w="1448" w:type="dxa"/>
            <w:shd w:val="clear" w:color="auto" w:fill="auto"/>
          </w:tcPr>
          <w:p w14:paraId="066A260D" w14:textId="77777777" w:rsidR="003D39F8" w:rsidRPr="00A31A32" w:rsidRDefault="003D39F8" w:rsidP="00A31A32">
            <w:pPr>
              <w:pStyle w:val="Neotevilenodstavek"/>
              <w:spacing w:before="0" w:after="0" w:line="260" w:lineRule="exact"/>
              <w:ind w:left="360"/>
              <w:rPr>
                <w:iCs/>
              </w:rPr>
            </w:pPr>
            <w:r w:rsidRPr="00A31A32">
              <w:rPr>
                <w:iCs/>
              </w:rPr>
              <w:t xml:space="preserve">c) </w:t>
            </w:r>
          </w:p>
        </w:tc>
        <w:tc>
          <w:tcPr>
            <w:tcW w:w="5052" w:type="dxa"/>
            <w:gridSpan w:val="3"/>
            <w:shd w:val="clear" w:color="auto" w:fill="auto"/>
          </w:tcPr>
          <w:p w14:paraId="31427759" w14:textId="77777777" w:rsidR="003D39F8" w:rsidRPr="00A31A32" w:rsidRDefault="003D39F8" w:rsidP="00A31A32">
            <w:pPr>
              <w:pStyle w:val="Neotevilenodstavek"/>
              <w:spacing w:before="0" w:after="0" w:line="260" w:lineRule="exact"/>
              <w:rPr>
                <w:bCs/>
              </w:rPr>
            </w:pPr>
            <w:r w:rsidRPr="00A31A32">
              <w:rPr>
                <w:bCs/>
              </w:rPr>
              <w:t>obravnavo gradiva brez sodelovanja javnosti</w:t>
            </w:r>
          </w:p>
        </w:tc>
        <w:tc>
          <w:tcPr>
            <w:tcW w:w="2680" w:type="dxa"/>
            <w:shd w:val="clear" w:color="auto" w:fill="auto"/>
          </w:tcPr>
          <w:p w14:paraId="5DE954C4" w14:textId="77777777" w:rsidR="003D39F8" w:rsidRPr="00AB5E97" w:rsidRDefault="003328A4" w:rsidP="00CD1D12">
            <w:pPr>
              <w:pStyle w:val="Neotevilenodstavek"/>
              <w:spacing w:before="0" w:after="0" w:line="260" w:lineRule="exact"/>
              <w:jc w:val="center"/>
            </w:pPr>
            <w:r>
              <w:t>NE</w:t>
            </w:r>
          </w:p>
        </w:tc>
      </w:tr>
      <w:tr w:rsidR="003D39F8" w:rsidRPr="008D1759" w14:paraId="129906D6" w14:textId="77777777" w:rsidTr="00A31A32">
        <w:tc>
          <w:tcPr>
            <w:tcW w:w="9180" w:type="dxa"/>
            <w:gridSpan w:val="5"/>
            <w:shd w:val="clear" w:color="auto" w:fill="auto"/>
          </w:tcPr>
          <w:p w14:paraId="6BCF811C" w14:textId="77777777" w:rsidR="003D39F8" w:rsidRPr="008D1759" w:rsidRDefault="003D39F8" w:rsidP="00A31A32">
            <w:pPr>
              <w:pStyle w:val="Oddelek"/>
              <w:numPr>
                <w:ilvl w:val="0"/>
                <w:numId w:val="0"/>
              </w:numPr>
              <w:spacing w:before="0" w:after="0" w:line="260" w:lineRule="exact"/>
              <w:jc w:val="left"/>
            </w:pPr>
            <w:r>
              <w:t>2.</w:t>
            </w:r>
            <w:r w:rsidRPr="008D1759">
              <w:t xml:space="preserve"> Predlog za skrajšanje poslovniških rokov z obrazložitvijo razlogov:</w:t>
            </w:r>
          </w:p>
        </w:tc>
      </w:tr>
      <w:tr w:rsidR="003D39F8" w:rsidRPr="008D1759" w14:paraId="2DA33796" w14:textId="77777777" w:rsidTr="00A31A32">
        <w:tc>
          <w:tcPr>
            <w:tcW w:w="9180" w:type="dxa"/>
            <w:gridSpan w:val="5"/>
            <w:shd w:val="clear" w:color="auto" w:fill="auto"/>
          </w:tcPr>
          <w:p w14:paraId="13A7F65E" w14:textId="6FAACB98" w:rsidR="003D39F8" w:rsidRPr="00A31A32" w:rsidRDefault="009E11AD" w:rsidP="00A31A32">
            <w:pPr>
              <w:pStyle w:val="Neotevilenodstavek"/>
              <w:spacing w:before="0" w:after="0" w:line="260" w:lineRule="exact"/>
              <w:rPr>
                <w:iCs/>
              </w:rPr>
            </w:pPr>
            <w:r w:rsidRPr="009E11AD">
              <w:rPr>
                <w:iCs/>
              </w:rPr>
              <w:t>S predlogom zakona se predvidevajo ukrepi, ki so pomembni za okrepitev slovenskega trga kapitala in dolgoročno usmerjeno nalaganje denarnih sredstev prebivalstva v finančne instrumente, kar pomeni pomemben prispevek k stabilnosti finančnega sistema, večji dostopnosti virov financiranja za gospodarstvo ter učinkovitejšemu vlaganju fizičnih oseb, pri čemer zakon uvaja rešitev, ki posamezniku omogoča novo naložbeno priložnost z enostavno uporabo, preglednostjo in minimalnimi administrativnimi obremenitvami. Upoštevajoč</w:t>
            </w:r>
            <w:r w:rsidR="006E47A6">
              <w:rPr>
                <w:iCs/>
              </w:rPr>
              <w:t>, da predlog zakona uvaja nov institut, ki je predvsem pomemben za male vlagatelje in jim daje možnost za razpršitev prihrankov, je pomembno, da je zakon na Vladi obravnavan čim prej, da se omogoči sprejem zakona do poletja.</w:t>
            </w:r>
          </w:p>
        </w:tc>
      </w:tr>
      <w:tr w:rsidR="003D39F8" w:rsidRPr="008D1759" w14:paraId="18B0BCEB" w14:textId="77777777" w:rsidTr="00A31A32">
        <w:tc>
          <w:tcPr>
            <w:tcW w:w="6500" w:type="dxa"/>
            <w:gridSpan w:val="4"/>
            <w:shd w:val="clear" w:color="auto" w:fill="auto"/>
          </w:tcPr>
          <w:p w14:paraId="69983B40" w14:textId="77777777" w:rsidR="003D39F8" w:rsidRPr="00A31A32" w:rsidRDefault="003D39F8" w:rsidP="00A31A32">
            <w:pPr>
              <w:pStyle w:val="Vrstapredpisa"/>
              <w:spacing w:before="0" w:line="260" w:lineRule="exact"/>
              <w:jc w:val="both"/>
              <w:rPr>
                <w:color w:val="auto"/>
              </w:rPr>
            </w:pPr>
            <w:r w:rsidRPr="00A31A32">
              <w:rPr>
                <w:bCs w:val="0"/>
                <w:color w:val="auto"/>
                <w:spacing w:val="0"/>
              </w:rPr>
              <w:t>3. Gradivo se sme objaviti na svetovnem spletu:</w:t>
            </w:r>
          </w:p>
        </w:tc>
        <w:tc>
          <w:tcPr>
            <w:tcW w:w="2680" w:type="dxa"/>
            <w:shd w:val="clear" w:color="auto" w:fill="auto"/>
          </w:tcPr>
          <w:p w14:paraId="1025E437" w14:textId="77777777" w:rsidR="003D39F8" w:rsidRPr="008D1759" w:rsidRDefault="003D39F8" w:rsidP="00A31A32">
            <w:pPr>
              <w:pStyle w:val="Neotevilenodstavek"/>
              <w:spacing w:line="240" w:lineRule="exact"/>
            </w:pPr>
            <w:r>
              <w:t xml:space="preserve">                   DA</w:t>
            </w:r>
          </w:p>
        </w:tc>
      </w:tr>
      <w:tr w:rsidR="003D39F8" w:rsidRPr="008D1759" w14:paraId="5597AE27" w14:textId="77777777" w:rsidTr="00A31A32">
        <w:tc>
          <w:tcPr>
            <w:tcW w:w="6500" w:type="dxa"/>
            <w:gridSpan w:val="4"/>
            <w:shd w:val="clear" w:color="auto" w:fill="auto"/>
          </w:tcPr>
          <w:p w14:paraId="51A00C27" w14:textId="77777777" w:rsidR="003D39F8" w:rsidRDefault="003D39F8" w:rsidP="00502BC0">
            <w:pPr>
              <w:pStyle w:val="Oddelek"/>
              <w:numPr>
                <w:ilvl w:val="0"/>
                <w:numId w:val="0"/>
              </w:numPr>
              <w:spacing w:before="0" w:after="0" w:line="260" w:lineRule="exact"/>
              <w:jc w:val="left"/>
            </w:pPr>
            <w:r>
              <w:t>4</w:t>
            </w:r>
            <w:r w:rsidRPr="008D1759">
              <w:t>. Gradivo je lektorirano</w:t>
            </w:r>
            <w:r>
              <w:t>:</w:t>
            </w:r>
          </w:p>
          <w:p w14:paraId="4F4C39EB" w14:textId="62BFF960" w:rsidR="006E47A6" w:rsidRPr="00C94430" w:rsidRDefault="006E47A6" w:rsidP="00502BC0">
            <w:pPr>
              <w:pStyle w:val="Oddelek"/>
              <w:numPr>
                <w:ilvl w:val="0"/>
                <w:numId w:val="0"/>
              </w:numPr>
              <w:spacing w:before="0" w:after="0" w:line="260" w:lineRule="exact"/>
              <w:jc w:val="left"/>
              <w:rPr>
                <w:b w:val="0"/>
                <w:bCs/>
              </w:rPr>
            </w:pPr>
            <w:r w:rsidRPr="00C94430">
              <w:rPr>
                <w:b w:val="0"/>
                <w:bCs/>
              </w:rPr>
              <w:t>Gradivo je bilo poslano v lekturo, ki pa bo lahko opravljena šele do 18.</w:t>
            </w:r>
            <w:r w:rsidR="00D93AB1">
              <w:rPr>
                <w:b w:val="0"/>
                <w:bCs/>
              </w:rPr>
              <w:t xml:space="preserve"> </w:t>
            </w:r>
            <w:r w:rsidRPr="00C94430">
              <w:rPr>
                <w:b w:val="0"/>
                <w:bCs/>
              </w:rPr>
              <w:t>4.</w:t>
            </w:r>
            <w:r w:rsidR="00D93AB1">
              <w:rPr>
                <w:b w:val="0"/>
                <w:bCs/>
              </w:rPr>
              <w:t xml:space="preserve"> 2025.</w:t>
            </w:r>
            <w:r w:rsidRPr="00C94430">
              <w:rPr>
                <w:b w:val="0"/>
                <w:bCs/>
              </w:rPr>
              <w:t xml:space="preserve"> Lektorske popravke, s katerimi ne bomo spremenili vsebine zakona in </w:t>
            </w:r>
            <w:proofErr w:type="spellStart"/>
            <w:r w:rsidRPr="00C94430">
              <w:rPr>
                <w:b w:val="0"/>
                <w:bCs/>
              </w:rPr>
              <w:t>nomotehnike</w:t>
            </w:r>
            <w:proofErr w:type="spellEnd"/>
            <w:r w:rsidRPr="00C94430">
              <w:rPr>
                <w:b w:val="0"/>
                <w:bCs/>
              </w:rPr>
              <w:t>, bi vključili v čistopis zakona po seji vlade.</w:t>
            </w:r>
          </w:p>
        </w:tc>
        <w:tc>
          <w:tcPr>
            <w:tcW w:w="2680" w:type="dxa"/>
            <w:shd w:val="clear" w:color="auto" w:fill="auto"/>
          </w:tcPr>
          <w:p w14:paraId="3A56CF34" w14:textId="632A3111" w:rsidR="003F3FAF" w:rsidRDefault="00D93AB1" w:rsidP="00157E83">
            <w:pPr>
              <w:pStyle w:val="Oddelek"/>
              <w:numPr>
                <w:ilvl w:val="0"/>
                <w:numId w:val="0"/>
              </w:numPr>
              <w:spacing w:before="0" w:after="0" w:line="260" w:lineRule="exact"/>
              <w:rPr>
                <w:b w:val="0"/>
              </w:rPr>
            </w:pPr>
            <w:r>
              <w:rPr>
                <w:b w:val="0"/>
              </w:rPr>
              <w:t>NE</w:t>
            </w:r>
          </w:p>
          <w:p w14:paraId="2F57C7C5" w14:textId="598A43EF" w:rsidR="00C67E92" w:rsidRPr="00A31A32" w:rsidRDefault="00C67E92" w:rsidP="00CD4EED">
            <w:pPr>
              <w:pStyle w:val="Oddelek"/>
              <w:numPr>
                <w:ilvl w:val="0"/>
                <w:numId w:val="0"/>
              </w:numPr>
              <w:spacing w:before="0" w:after="0" w:line="260" w:lineRule="exact"/>
              <w:rPr>
                <w:b w:val="0"/>
              </w:rPr>
            </w:pPr>
          </w:p>
        </w:tc>
      </w:tr>
      <w:tr w:rsidR="003D39F8" w:rsidRPr="008D1759" w14:paraId="3810CF10" w14:textId="77777777" w:rsidTr="00A31A32">
        <w:tc>
          <w:tcPr>
            <w:tcW w:w="9180" w:type="dxa"/>
            <w:gridSpan w:val="5"/>
            <w:shd w:val="clear" w:color="auto" w:fill="auto"/>
          </w:tcPr>
          <w:p w14:paraId="3700E2FD" w14:textId="77777777" w:rsidR="003D39F8" w:rsidRPr="008D1759" w:rsidRDefault="004E191D" w:rsidP="00CD1D12">
            <w:pPr>
              <w:pStyle w:val="Oddelek"/>
              <w:numPr>
                <w:ilvl w:val="0"/>
                <w:numId w:val="0"/>
              </w:numPr>
              <w:spacing w:before="0" w:after="0" w:line="260" w:lineRule="exact"/>
              <w:jc w:val="left"/>
            </w:pPr>
            <w:r>
              <w:t>5</w:t>
            </w:r>
            <w:r w:rsidRPr="008D1759">
              <w:t>. Gradivo je pripravljeno na podlagi sklepa vlade št. … z dne …</w:t>
            </w:r>
          </w:p>
        </w:tc>
      </w:tr>
      <w:tr w:rsidR="003D39F8" w:rsidRPr="008D1759" w14:paraId="1320560F" w14:textId="77777777" w:rsidTr="00A31A32">
        <w:tc>
          <w:tcPr>
            <w:tcW w:w="9180" w:type="dxa"/>
            <w:gridSpan w:val="5"/>
            <w:shd w:val="clear" w:color="auto" w:fill="auto"/>
          </w:tcPr>
          <w:p w14:paraId="77E479C4" w14:textId="77777777" w:rsidR="003D39F8" w:rsidRPr="008D1759" w:rsidRDefault="003D39F8" w:rsidP="00A31A32">
            <w:pPr>
              <w:pStyle w:val="Oddelek"/>
              <w:numPr>
                <w:ilvl w:val="0"/>
                <w:numId w:val="0"/>
              </w:numPr>
              <w:spacing w:before="0" w:after="0" w:line="260" w:lineRule="exact"/>
              <w:jc w:val="left"/>
            </w:pPr>
            <w:r>
              <w:t>6</w:t>
            </w:r>
            <w:r w:rsidRPr="008D1759">
              <w:t>. Predstavitev medresorskega usklajevanja</w:t>
            </w:r>
            <w:r>
              <w:t xml:space="preserve">: </w:t>
            </w:r>
          </w:p>
        </w:tc>
      </w:tr>
      <w:tr w:rsidR="003D39F8" w:rsidRPr="008D1759" w14:paraId="342F93FF" w14:textId="77777777" w:rsidTr="00A31A32">
        <w:tc>
          <w:tcPr>
            <w:tcW w:w="9180" w:type="dxa"/>
            <w:gridSpan w:val="5"/>
            <w:shd w:val="clear" w:color="auto" w:fill="auto"/>
          </w:tcPr>
          <w:p w14:paraId="62F9C702" w14:textId="77777777" w:rsidR="00F51F10" w:rsidRPr="00030BAE" w:rsidRDefault="003D39F8" w:rsidP="00D51556">
            <w:pPr>
              <w:pStyle w:val="Neotevilenodstavek"/>
              <w:spacing w:before="0" w:after="0" w:line="260" w:lineRule="exact"/>
              <w:rPr>
                <w:color w:val="FF0000"/>
              </w:rPr>
            </w:pPr>
            <w:r w:rsidRPr="00BD3E5F">
              <w:t>Gradivo je bilo poslano v medresorsko usklajevanje:</w:t>
            </w:r>
            <w:r w:rsidR="00D51556" w:rsidRPr="00BD3E5F">
              <w:t xml:space="preserve"> </w:t>
            </w:r>
          </w:p>
          <w:p w14:paraId="7A0641F8" w14:textId="432D9972" w:rsidR="00E93225" w:rsidRDefault="00531289" w:rsidP="00B720C6">
            <w:pPr>
              <w:pStyle w:val="Neotevilenodstavek"/>
              <w:numPr>
                <w:ilvl w:val="0"/>
                <w:numId w:val="18"/>
              </w:numPr>
              <w:spacing w:before="0" w:after="0" w:line="260" w:lineRule="exact"/>
            </w:pPr>
            <w:r>
              <w:t>6</w:t>
            </w:r>
            <w:r w:rsidR="00F51F10" w:rsidRPr="00B720C6">
              <w:t xml:space="preserve">. </w:t>
            </w:r>
            <w:r>
              <w:t>3</w:t>
            </w:r>
            <w:r w:rsidR="00F51F10" w:rsidRPr="00B720C6">
              <w:t>. 202</w:t>
            </w:r>
            <w:r>
              <w:t>5</w:t>
            </w:r>
            <w:r w:rsidR="00F51F10" w:rsidRPr="00B720C6">
              <w:t xml:space="preserve">: </w:t>
            </w:r>
            <w:r w:rsidR="00B720C6">
              <w:t xml:space="preserve">vsa ministrstva, </w:t>
            </w:r>
          </w:p>
          <w:p w14:paraId="04E2DEBE" w14:textId="67520F7E" w:rsidR="006A09AA" w:rsidRPr="00B720C6" w:rsidRDefault="00531289" w:rsidP="00B720C6">
            <w:pPr>
              <w:pStyle w:val="Neotevilenodstavek"/>
              <w:numPr>
                <w:ilvl w:val="0"/>
                <w:numId w:val="18"/>
              </w:numPr>
              <w:spacing w:before="0" w:after="0" w:line="260" w:lineRule="exact"/>
            </w:pPr>
            <w:r>
              <w:t>7</w:t>
            </w:r>
            <w:r w:rsidRPr="00B720C6">
              <w:t xml:space="preserve">. </w:t>
            </w:r>
            <w:r>
              <w:t>3</w:t>
            </w:r>
            <w:r w:rsidRPr="00B720C6">
              <w:t>. 202</w:t>
            </w:r>
            <w:r>
              <w:t>5</w:t>
            </w:r>
            <w:r w:rsidR="00E93225">
              <w:t xml:space="preserve">: </w:t>
            </w:r>
            <w:r w:rsidR="00B720C6">
              <w:t>informacijski pooblaščenec</w:t>
            </w:r>
            <w:r w:rsidR="00E93225">
              <w:t xml:space="preserve"> in</w:t>
            </w:r>
            <w:r w:rsidR="00B720C6">
              <w:t xml:space="preserve"> KPK</w:t>
            </w:r>
            <w:r w:rsidR="00E93225">
              <w:t>,</w:t>
            </w:r>
          </w:p>
          <w:p w14:paraId="2A4F5E1F" w14:textId="77777777" w:rsidR="006E47A6" w:rsidRDefault="00531289" w:rsidP="00531289">
            <w:pPr>
              <w:pStyle w:val="Neotevilenodstavek"/>
              <w:numPr>
                <w:ilvl w:val="0"/>
                <w:numId w:val="18"/>
              </w:numPr>
              <w:spacing w:before="0" w:after="0" w:line="260" w:lineRule="exact"/>
            </w:pPr>
            <w:r>
              <w:t>7</w:t>
            </w:r>
            <w:r w:rsidRPr="00B720C6">
              <w:t xml:space="preserve">. </w:t>
            </w:r>
            <w:r>
              <w:t>3</w:t>
            </w:r>
            <w:r w:rsidRPr="00B720C6">
              <w:t>. 202</w:t>
            </w:r>
            <w:r>
              <w:t>5</w:t>
            </w:r>
            <w:r w:rsidR="00E93225">
              <w:t xml:space="preserve">: </w:t>
            </w:r>
            <w:r w:rsidR="009230AE" w:rsidRPr="00B720C6">
              <w:t xml:space="preserve"> </w:t>
            </w:r>
            <w:r w:rsidR="00B720C6" w:rsidRPr="00B720C6">
              <w:t>Služba Vlade RS za zakonodajo</w:t>
            </w:r>
            <w:r w:rsidR="006E47A6">
              <w:t>,</w:t>
            </w:r>
          </w:p>
          <w:p w14:paraId="5A9228AE" w14:textId="275609BD" w:rsidR="004E2A0D" w:rsidRPr="008D1759" w:rsidRDefault="006E47A6" w:rsidP="00531289">
            <w:pPr>
              <w:pStyle w:val="Neotevilenodstavek"/>
              <w:numPr>
                <w:ilvl w:val="0"/>
                <w:numId w:val="18"/>
              </w:numPr>
              <w:spacing w:before="0" w:after="0" w:line="260" w:lineRule="exact"/>
            </w:pPr>
            <w:r>
              <w:t>14.</w:t>
            </w:r>
            <w:r w:rsidR="005944D9">
              <w:t xml:space="preserve"> </w:t>
            </w:r>
            <w:r>
              <w:t>4. 2025: Služba Vlade RS za zakonodajo.</w:t>
            </w:r>
          </w:p>
        </w:tc>
      </w:tr>
      <w:tr w:rsidR="003D39F8" w:rsidRPr="008D1759" w14:paraId="55CDE1EC" w14:textId="77777777" w:rsidTr="00A31A32">
        <w:tc>
          <w:tcPr>
            <w:tcW w:w="9180" w:type="dxa"/>
            <w:gridSpan w:val="5"/>
            <w:shd w:val="clear" w:color="auto" w:fill="auto"/>
          </w:tcPr>
          <w:p w14:paraId="204D6FFC" w14:textId="7049C217" w:rsidR="003D39F8" w:rsidRPr="00AB5E97" w:rsidRDefault="003D39F8" w:rsidP="00CD4EED">
            <w:pPr>
              <w:pStyle w:val="Neotevilenodstavek"/>
              <w:spacing w:before="0" w:after="0" w:line="260" w:lineRule="exact"/>
            </w:pPr>
          </w:p>
        </w:tc>
      </w:tr>
      <w:tr w:rsidR="003D39F8" w:rsidRPr="008D1759" w14:paraId="7B335542" w14:textId="77777777" w:rsidTr="00B80D26">
        <w:trPr>
          <w:trHeight w:val="225"/>
        </w:trPr>
        <w:tc>
          <w:tcPr>
            <w:tcW w:w="2052" w:type="dxa"/>
            <w:gridSpan w:val="2"/>
            <w:vMerge w:val="restart"/>
            <w:shd w:val="clear" w:color="auto" w:fill="auto"/>
          </w:tcPr>
          <w:p w14:paraId="31DF466D" w14:textId="3AF99347" w:rsidR="00285E79" w:rsidRPr="00BD3E5F" w:rsidRDefault="00F02540" w:rsidP="00F02540">
            <w:pPr>
              <w:pStyle w:val="Neotevilenodstavek"/>
              <w:spacing w:before="0" w:after="0" w:line="260" w:lineRule="exact"/>
              <w:rPr>
                <w:rFonts w:cs="Arial"/>
                <w:szCs w:val="22"/>
              </w:rPr>
            </w:pPr>
            <w:r w:rsidRPr="00BD3E5F">
              <w:rPr>
                <w:rFonts w:cs="Arial"/>
                <w:szCs w:val="22"/>
              </w:rPr>
              <w:t>Gradivo s SVZ</w:t>
            </w:r>
            <w:r w:rsidR="00CE7B93">
              <w:rPr>
                <w:rFonts w:cs="Arial"/>
                <w:szCs w:val="22"/>
              </w:rPr>
              <w:t xml:space="preserve">, </w:t>
            </w:r>
            <w:r w:rsidR="009A1D83">
              <w:rPr>
                <w:rFonts w:cs="Arial"/>
                <w:szCs w:val="22"/>
              </w:rPr>
              <w:t>M</w:t>
            </w:r>
            <w:r w:rsidR="00CE7B93">
              <w:rPr>
                <w:rFonts w:cs="Arial"/>
                <w:szCs w:val="22"/>
              </w:rPr>
              <w:t>P, MDDSZ</w:t>
            </w:r>
            <w:r w:rsidR="009A1D83">
              <w:rPr>
                <w:rFonts w:cs="Arial"/>
                <w:szCs w:val="22"/>
              </w:rPr>
              <w:t>, IP</w:t>
            </w:r>
            <w:r w:rsidRPr="00BD3E5F">
              <w:rPr>
                <w:rFonts w:cs="Arial"/>
                <w:szCs w:val="22"/>
              </w:rPr>
              <w:t xml:space="preserve"> ni usklajeno:</w:t>
            </w:r>
          </w:p>
          <w:p w14:paraId="66B2145E" w14:textId="04CE15B5" w:rsidR="00B123A9" w:rsidRPr="00CD4EED" w:rsidRDefault="00B123A9" w:rsidP="006A09AA">
            <w:pPr>
              <w:pStyle w:val="Neotevilenodstavek"/>
              <w:spacing w:before="0" w:after="0" w:line="260" w:lineRule="exact"/>
              <w:rPr>
                <w:rFonts w:cs="Arial"/>
                <w:szCs w:val="22"/>
              </w:rPr>
            </w:pPr>
          </w:p>
        </w:tc>
        <w:tc>
          <w:tcPr>
            <w:tcW w:w="7128" w:type="dxa"/>
            <w:gridSpan w:val="3"/>
            <w:shd w:val="clear" w:color="auto" w:fill="auto"/>
          </w:tcPr>
          <w:p w14:paraId="58C43BB4" w14:textId="77777777" w:rsidR="003D39F8" w:rsidRPr="00F94583" w:rsidRDefault="003D39F8" w:rsidP="00A31A32">
            <w:pPr>
              <w:pStyle w:val="Neotevilenodstavek"/>
              <w:spacing w:before="0" w:after="0" w:line="260" w:lineRule="exact"/>
            </w:pPr>
            <w:r w:rsidRPr="003735FE">
              <w:t>v celoti</w:t>
            </w:r>
            <w:r w:rsidRPr="00F94583">
              <w:t>/</w:t>
            </w:r>
            <w:r w:rsidRPr="00C94430">
              <w:rPr>
                <w:b/>
                <w:bCs/>
              </w:rPr>
              <w:t>večinoma</w:t>
            </w:r>
            <w:r w:rsidRPr="00F94583">
              <w:t>/</w:t>
            </w:r>
            <w:r w:rsidRPr="00C94430">
              <w:t>delno</w:t>
            </w:r>
          </w:p>
        </w:tc>
      </w:tr>
      <w:tr w:rsidR="003D39F8" w:rsidRPr="008D1759" w14:paraId="534A65C0" w14:textId="77777777" w:rsidTr="00B80D26">
        <w:trPr>
          <w:trHeight w:val="323"/>
        </w:trPr>
        <w:tc>
          <w:tcPr>
            <w:tcW w:w="2052" w:type="dxa"/>
            <w:gridSpan w:val="2"/>
            <w:vMerge/>
            <w:shd w:val="clear" w:color="auto" w:fill="auto"/>
          </w:tcPr>
          <w:p w14:paraId="7B5AC241" w14:textId="77777777" w:rsidR="003D39F8" w:rsidRPr="008D1759" w:rsidRDefault="003D39F8" w:rsidP="00A31A32">
            <w:pPr>
              <w:pStyle w:val="Neotevilenodstavek"/>
              <w:spacing w:before="0" w:after="0" w:line="260" w:lineRule="exact"/>
            </w:pPr>
          </w:p>
        </w:tc>
        <w:tc>
          <w:tcPr>
            <w:tcW w:w="7128" w:type="dxa"/>
            <w:gridSpan w:val="3"/>
            <w:shd w:val="clear" w:color="auto" w:fill="auto"/>
          </w:tcPr>
          <w:p w14:paraId="63DB2C6D" w14:textId="26EE82D9" w:rsidR="003D39F8" w:rsidRDefault="003D39F8" w:rsidP="00A31A32">
            <w:pPr>
              <w:pStyle w:val="Neotevilenodstavek"/>
              <w:spacing w:before="0" w:after="0" w:line="260" w:lineRule="exact"/>
            </w:pPr>
            <w:r>
              <w:t>Bistvena neusklajena</w:t>
            </w:r>
            <w:r w:rsidRPr="008D1759">
              <w:t xml:space="preserve"> vprašanja</w:t>
            </w:r>
            <w:r>
              <w:t xml:space="preserve"> in razlogi za </w:t>
            </w:r>
            <w:r w:rsidR="002930EE">
              <w:t>neusklajenost s SVZ</w:t>
            </w:r>
            <w:r w:rsidRPr="008D1759">
              <w:t>:</w:t>
            </w:r>
            <w:r w:rsidR="00CD1D12">
              <w:t xml:space="preserve">  </w:t>
            </w:r>
          </w:p>
          <w:p w14:paraId="4305DAD8" w14:textId="77777777" w:rsidR="00FC292B" w:rsidRDefault="00FC292B" w:rsidP="00A31A32">
            <w:pPr>
              <w:pStyle w:val="Neotevilenodstavek"/>
              <w:spacing w:before="0" w:after="0" w:line="260" w:lineRule="exact"/>
            </w:pPr>
          </w:p>
          <w:p w14:paraId="6A133DDA" w14:textId="4442AA53" w:rsidR="00FC292B" w:rsidRDefault="00FC292B" w:rsidP="00A31A32">
            <w:pPr>
              <w:pStyle w:val="Neotevilenodstavek"/>
              <w:spacing w:before="0" w:after="0" w:line="260" w:lineRule="exact"/>
            </w:pPr>
            <w:r>
              <w:t>Na prvo mnenje SVZ z dne 21.</w:t>
            </w:r>
            <w:r w:rsidR="00C94430">
              <w:t xml:space="preserve"> </w:t>
            </w:r>
            <w:r>
              <w:t>3.</w:t>
            </w:r>
            <w:r w:rsidR="00C94430">
              <w:t xml:space="preserve"> </w:t>
            </w:r>
            <w:r>
              <w:t>2025 je ministrstvo podalo odgovor s pojasnili, zakaj ni mogoče upoštevati določenih pripomb ter priložilo popravljeno gradivo, iz katerega je razvidno, katere pripombe SVZ so bile upoštevane. SVZ je v odgovoru z dne 11.</w:t>
            </w:r>
            <w:r w:rsidR="00C94430">
              <w:t xml:space="preserve"> </w:t>
            </w:r>
            <w:r>
              <w:t>4.</w:t>
            </w:r>
            <w:r w:rsidR="00C94430">
              <w:t xml:space="preserve"> </w:t>
            </w:r>
            <w:r>
              <w:t xml:space="preserve">2025 uvodoma ugotovila, da </w:t>
            </w:r>
            <w:r w:rsidRPr="007955D4">
              <w:rPr>
                <w:rFonts w:cs="Arial"/>
              </w:rPr>
              <w:t xml:space="preserve">so </w:t>
            </w:r>
            <w:r>
              <w:rPr>
                <w:rFonts w:cs="Arial"/>
              </w:rPr>
              <w:t>bile njene</w:t>
            </w:r>
            <w:r w:rsidRPr="007955D4">
              <w:rPr>
                <w:rFonts w:cs="Arial"/>
              </w:rPr>
              <w:t xml:space="preserve"> pripombe upoštevane oziroma njihovo neupoštevanje po vsebinski presoji ustrezno pojasnjeno.</w:t>
            </w:r>
            <w:r>
              <w:rPr>
                <w:rFonts w:cs="Arial"/>
              </w:rPr>
              <w:t xml:space="preserve"> Izpostavila pa je še vedno določbe, ki jih argumentiramo v nadaljevanju in smo glede njih podali dodatna pojasnila </w:t>
            </w:r>
            <w:r w:rsidR="002E6E76">
              <w:rPr>
                <w:rFonts w:cs="Arial"/>
              </w:rPr>
              <w:t xml:space="preserve">v odgovoru </w:t>
            </w:r>
            <w:r>
              <w:rPr>
                <w:rFonts w:cs="Arial"/>
              </w:rPr>
              <w:t>SVZ z dne 14.</w:t>
            </w:r>
            <w:r w:rsidR="00C94430">
              <w:rPr>
                <w:rFonts w:cs="Arial"/>
              </w:rPr>
              <w:t xml:space="preserve"> </w:t>
            </w:r>
            <w:r>
              <w:rPr>
                <w:rFonts w:cs="Arial"/>
              </w:rPr>
              <w:t>4.</w:t>
            </w:r>
            <w:r w:rsidR="00C94430">
              <w:rPr>
                <w:rFonts w:cs="Arial"/>
              </w:rPr>
              <w:t xml:space="preserve"> </w:t>
            </w:r>
            <w:r>
              <w:rPr>
                <w:rFonts w:cs="Arial"/>
              </w:rPr>
              <w:t>2025. Dodatne redakcijske popravke SVZ ter pripombo glede podzakonskega akta pa smo upoštevali in tudi to pojasnili v odgovoru SVZ z dne 14.</w:t>
            </w:r>
            <w:r w:rsidR="00C94430">
              <w:rPr>
                <w:rFonts w:cs="Arial"/>
              </w:rPr>
              <w:t xml:space="preserve"> </w:t>
            </w:r>
            <w:r>
              <w:rPr>
                <w:rFonts w:cs="Arial"/>
              </w:rPr>
              <w:t>4.</w:t>
            </w:r>
            <w:r w:rsidR="00C94430">
              <w:rPr>
                <w:rFonts w:cs="Arial"/>
              </w:rPr>
              <w:t xml:space="preserve"> </w:t>
            </w:r>
            <w:r>
              <w:rPr>
                <w:rFonts w:cs="Arial"/>
              </w:rPr>
              <w:t>2025.</w:t>
            </w:r>
          </w:p>
          <w:p w14:paraId="594E7386" w14:textId="77777777" w:rsidR="00B80D26" w:rsidRDefault="00B80D26" w:rsidP="00CE4819">
            <w:pPr>
              <w:pStyle w:val="Neotevilenodstavek"/>
              <w:spacing w:before="0" w:after="0" w:line="260" w:lineRule="exact"/>
              <w:rPr>
                <w:b/>
                <w:bCs/>
              </w:rPr>
            </w:pPr>
          </w:p>
          <w:p w14:paraId="656CA864" w14:textId="11613582" w:rsidR="00EA7023" w:rsidRDefault="00B80D26" w:rsidP="00CE4819">
            <w:pPr>
              <w:pStyle w:val="Neotevilenodstavek"/>
              <w:spacing w:before="0" w:after="0" w:line="260" w:lineRule="exact"/>
            </w:pPr>
            <w:r w:rsidRPr="00B80D26">
              <w:rPr>
                <w:b/>
                <w:bCs/>
              </w:rPr>
              <w:t>v zvezi s spreminjanjem vsebinskih določb zakona z drugim zakonom</w:t>
            </w:r>
            <w:r>
              <w:t xml:space="preserve"> - </w:t>
            </w:r>
            <w:r w:rsidRPr="00B80D26">
              <w:t xml:space="preserve">pojasnjujemo, da je tak pristop v obravnavanem primeru utemeljen z načeloma ekonomičnosti in sorazmernosti, saj omogoča učinkovito in pravočasno uveljavitev sprememb brez nepotrebnega podaljševanja zakonodajnega postopka. </w:t>
            </w:r>
            <w:r>
              <w:t>Z</w:t>
            </w:r>
            <w:r w:rsidRPr="00B80D26">
              <w:t>agotovljena</w:t>
            </w:r>
            <w:r>
              <w:t xml:space="preserve"> je</w:t>
            </w:r>
            <w:r w:rsidRPr="00B80D26">
              <w:t xml:space="preserve"> jasnost, določnost in pravna predvidljivost predpisov, saj bodo spremembe objavljene v Uradnem listu in postale del zakonov, ki jih spreminjajo. Celovita ureditev vseh vprašanj glede individualnega naložbenega računa v enem zakonu je preglednejša in bolj smiselna</w:t>
            </w:r>
            <w:r>
              <w:t xml:space="preserve">. </w:t>
            </w:r>
            <w:r w:rsidRPr="00B80D26">
              <w:t>Predlagani pristop ne posega v sistemsko logiko pravnega reda in zagotavlja usklajenost ter koherentnost zakonodajne ureditve.</w:t>
            </w:r>
          </w:p>
          <w:p w14:paraId="1CB20BA7" w14:textId="77777777" w:rsidR="00CE4819" w:rsidRDefault="00CE4819" w:rsidP="00CE4819">
            <w:pPr>
              <w:pStyle w:val="Neotevilenodstavek"/>
              <w:spacing w:before="0" w:after="0" w:line="260" w:lineRule="exact"/>
            </w:pPr>
          </w:p>
          <w:p w14:paraId="226F5EBB" w14:textId="2BDF44C7" w:rsidR="00614FC4" w:rsidRDefault="00614FC4" w:rsidP="00CE4819">
            <w:pPr>
              <w:pStyle w:val="Neotevilenodstavek"/>
              <w:spacing w:before="0" w:after="0" w:line="260" w:lineRule="exact"/>
            </w:pPr>
            <w:r w:rsidRPr="00614FC4">
              <w:rPr>
                <w:b/>
                <w:bCs/>
              </w:rPr>
              <w:t xml:space="preserve">v </w:t>
            </w:r>
            <w:r w:rsidR="00B430D2">
              <w:rPr>
                <w:b/>
                <w:bCs/>
              </w:rPr>
              <w:t xml:space="preserve">zvezi s </w:t>
            </w:r>
            <w:r w:rsidR="00B430D2" w:rsidRPr="00B430D2">
              <w:rPr>
                <w:b/>
                <w:bCs/>
              </w:rPr>
              <w:t>prizadeva</w:t>
            </w:r>
            <w:r w:rsidR="00B430D2">
              <w:rPr>
                <w:b/>
                <w:bCs/>
              </w:rPr>
              <w:t>nji SDH, da izvede</w:t>
            </w:r>
            <w:r w:rsidR="00B430D2" w:rsidRPr="00B430D2">
              <w:rPr>
                <w:b/>
                <w:bCs/>
              </w:rPr>
              <w:t xml:space="preserve"> prodajo deležev v delniških družbah v državni lasti s prvo ponudbo delnic javnosti oz. da uvrsti delnice družb v državni lasti na borzni trg</w:t>
            </w:r>
            <w:r>
              <w:t xml:space="preserve"> – </w:t>
            </w:r>
            <w:r w:rsidRPr="00614FC4">
              <w:t>določba</w:t>
            </w:r>
            <w:r>
              <w:t xml:space="preserve"> je</w:t>
            </w:r>
            <w:r w:rsidRPr="00614FC4">
              <w:t xml:space="preserve"> utemeljena z enim od dveh osnovnih ciljev predloga zakona – krepitvijo in razvojem slovenskega kapitalskega trga. Čeprav status in delovanje SDH ureja Zakon o Slovenskem državnem holdingu (ZSDH-1), ta določba ne posega v temeljno ureditev SDH, temveč zgolj poudarja smiselnost njegove vloge pri razvoju kapitalskega trga. Namen te določbe je zagotoviti večjo likvidnost in dostopnost delnic podjetij v državni lasti širšemu krogu vlagateljev, kar bi prispevalo k večji dinamiki slovenskega borznega trga in s tem povečalo konkurenčnost slovenskega trga kapitala.</w:t>
            </w:r>
          </w:p>
          <w:p w14:paraId="489CDE06" w14:textId="65E3C26E" w:rsidR="007D4353" w:rsidRDefault="007D4353" w:rsidP="00A31A32">
            <w:pPr>
              <w:pStyle w:val="Neotevilenodstavek"/>
              <w:spacing w:before="0" w:after="0" w:line="260" w:lineRule="exact"/>
            </w:pPr>
          </w:p>
          <w:p w14:paraId="554BAD76" w14:textId="77777777" w:rsidR="003D39F8" w:rsidRPr="002B3051" w:rsidRDefault="003D39F8" w:rsidP="00CD1D12">
            <w:pPr>
              <w:pStyle w:val="Alineazaodstavkom"/>
              <w:numPr>
                <w:ilvl w:val="0"/>
                <w:numId w:val="0"/>
              </w:numPr>
              <w:spacing w:line="260" w:lineRule="exact"/>
              <w:ind w:left="1080"/>
            </w:pPr>
          </w:p>
        </w:tc>
      </w:tr>
      <w:tr w:rsidR="00CE7B93" w:rsidRPr="008D1759" w14:paraId="5A47E139" w14:textId="77777777" w:rsidTr="00B80D26">
        <w:trPr>
          <w:trHeight w:val="323"/>
        </w:trPr>
        <w:tc>
          <w:tcPr>
            <w:tcW w:w="2052" w:type="dxa"/>
            <w:gridSpan w:val="2"/>
            <w:vMerge/>
            <w:shd w:val="clear" w:color="auto" w:fill="auto"/>
          </w:tcPr>
          <w:p w14:paraId="7E317A53" w14:textId="77777777" w:rsidR="00CE7B93" w:rsidRPr="008D1759" w:rsidRDefault="00CE7B93" w:rsidP="00A31A32">
            <w:pPr>
              <w:pStyle w:val="Neotevilenodstavek"/>
              <w:spacing w:before="0" w:after="0" w:line="260" w:lineRule="exact"/>
            </w:pPr>
          </w:p>
        </w:tc>
        <w:tc>
          <w:tcPr>
            <w:tcW w:w="7128" w:type="dxa"/>
            <w:gridSpan w:val="3"/>
            <w:shd w:val="clear" w:color="auto" w:fill="auto"/>
          </w:tcPr>
          <w:p w14:paraId="4B2EB7A4" w14:textId="734E5261" w:rsidR="00CE7B93" w:rsidRPr="004F5943" w:rsidRDefault="00CE7B93" w:rsidP="004F5943">
            <w:pPr>
              <w:pStyle w:val="Neotevilenodstavek"/>
              <w:spacing w:before="0" w:after="0" w:line="260" w:lineRule="exact"/>
            </w:pPr>
            <w:r w:rsidRPr="003735FE">
              <w:t>v celoti</w:t>
            </w:r>
            <w:r w:rsidRPr="00F94583">
              <w:t>/večinoma/</w:t>
            </w:r>
            <w:r w:rsidRPr="003735FE">
              <w:rPr>
                <w:b/>
                <w:bCs/>
              </w:rPr>
              <w:t>delno</w:t>
            </w:r>
          </w:p>
        </w:tc>
      </w:tr>
      <w:tr w:rsidR="00CE7B93" w:rsidRPr="008D1759" w14:paraId="4CE838DC" w14:textId="77777777" w:rsidTr="00B80D26">
        <w:trPr>
          <w:trHeight w:val="323"/>
        </w:trPr>
        <w:tc>
          <w:tcPr>
            <w:tcW w:w="2052" w:type="dxa"/>
            <w:gridSpan w:val="2"/>
            <w:vMerge/>
            <w:shd w:val="clear" w:color="auto" w:fill="auto"/>
          </w:tcPr>
          <w:p w14:paraId="22A6AB49" w14:textId="77777777" w:rsidR="00CE7B93" w:rsidRPr="008D1759" w:rsidRDefault="00CE7B93" w:rsidP="00A31A32">
            <w:pPr>
              <w:pStyle w:val="Neotevilenodstavek"/>
              <w:spacing w:before="0" w:after="0" w:line="260" w:lineRule="exact"/>
            </w:pPr>
          </w:p>
        </w:tc>
        <w:tc>
          <w:tcPr>
            <w:tcW w:w="7128" w:type="dxa"/>
            <w:gridSpan w:val="3"/>
            <w:shd w:val="clear" w:color="auto" w:fill="auto"/>
          </w:tcPr>
          <w:p w14:paraId="03DA2891" w14:textId="04106600" w:rsidR="00CE7B93" w:rsidRDefault="00CE7B93" w:rsidP="00CE7B93">
            <w:pPr>
              <w:pStyle w:val="Neotevilenodstavek"/>
              <w:spacing w:before="0" w:after="0" w:line="260" w:lineRule="exact"/>
            </w:pPr>
            <w:r w:rsidRPr="004F5943">
              <w:t xml:space="preserve">Bistvena neusklajena vprašanja in razlogi za neusklajenost z </w:t>
            </w:r>
            <w:r>
              <w:t>M</w:t>
            </w:r>
            <w:r w:rsidRPr="004F5943">
              <w:t>P:</w:t>
            </w:r>
            <w:r>
              <w:t xml:space="preserve">  </w:t>
            </w:r>
          </w:p>
          <w:p w14:paraId="6352F194" w14:textId="77777777" w:rsidR="00CE7B93" w:rsidRDefault="00CE7B93" w:rsidP="00CE7B93">
            <w:pPr>
              <w:pStyle w:val="Neotevilenodstavek"/>
              <w:spacing w:before="0" w:after="0" w:line="260" w:lineRule="exact"/>
            </w:pPr>
          </w:p>
          <w:p w14:paraId="4CA94564" w14:textId="7F50D557" w:rsidR="00CE7B93" w:rsidRDefault="00CE7B93" w:rsidP="00CE7B93">
            <w:pPr>
              <w:pStyle w:val="Neotevilenodstavek"/>
              <w:spacing w:before="0" w:after="0" w:line="260" w:lineRule="exact"/>
            </w:pPr>
            <w:r w:rsidRPr="00AE03BD">
              <w:rPr>
                <w:b/>
                <w:bCs/>
              </w:rPr>
              <w:t>v zvezi</w:t>
            </w:r>
            <w:r w:rsidR="00AE03BD" w:rsidRPr="00AE03BD">
              <w:rPr>
                <w:b/>
                <w:bCs/>
              </w:rPr>
              <w:t xml:space="preserve"> združitvijo 16. in 18. člena predloga zakona v smislu skupne določbe za upravni nadzor ter pristojnost za vodenje in odločanje v </w:t>
            </w:r>
            <w:proofErr w:type="spellStart"/>
            <w:r w:rsidR="00AE03BD" w:rsidRPr="00AE03BD">
              <w:rPr>
                <w:b/>
                <w:bCs/>
              </w:rPr>
              <w:t>prekrškovnem</w:t>
            </w:r>
            <w:proofErr w:type="spellEnd"/>
            <w:r w:rsidR="00AE03BD" w:rsidRPr="00AE03BD">
              <w:rPr>
                <w:b/>
                <w:bCs/>
              </w:rPr>
              <w:t xml:space="preserve"> postopku</w:t>
            </w:r>
            <w:r w:rsidR="00B37B2A">
              <w:rPr>
                <w:b/>
                <w:bCs/>
              </w:rPr>
              <w:t xml:space="preserve"> </w:t>
            </w:r>
            <w:r w:rsidR="00B37B2A">
              <w:t>–</w:t>
            </w:r>
            <w:r w:rsidR="00B37B2A" w:rsidRPr="00B37B2A">
              <w:t xml:space="preserve"> </w:t>
            </w:r>
            <w:r w:rsidR="00B37B2A">
              <w:t xml:space="preserve">z </w:t>
            </w:r>
            <w:r w:rsidR="00B37B2A" w:rsidRPr="00124B6B">
              <w:t>vidika preglednosti in sistemske določnosti</w:t>
            </w:r>
            <w:r w:rsidR="00B37B2A">
              <w:t xml:space="preserve"> je</w:t>
            </w:r>
            <w:r w:rsidR="00B37B2A" w:rsidRPr="00124B6B">
              <w:t xml:space="preserve"> primerno, da sta navedeni določbi ločeni in kategorizirani v obliki dveh členov, tako da 16. člen predloga zakona ureja izvajanje nadzora nad poslovanjem v zvezi z INR in ponudniki INR, 18. člen predloga zakona pa določa pristojnost Agencije kot </w:t>
            </w:r>
            <w:proofErr w:type="spellStart"/>
            <w:r w:rsidR="00B37B2A" w:rsidRPr="00124B6B">
              <w:t>prekrškovnega</w:t>
            </w:r>
            <w:proofErr w:type="spellEnd"/>
            <w:r w:rsidR="00B37B2A" w:rsidRPr="00124B6B">
              <w:t xml:space="preserve"> organa. Navedeni način urejanja obeh pristojnosti Agencije je utemeljen tudi v načinu zapisa in oblikovanju istovrstnih določb v ZTFI-1, pri čemer so določbe ZTFI-1 vključno z njihovim oblikovanjem, skladno z zadevnim predlogom zakona osrednja in hkrati subsidiarna pravna podlaga za urejanje materije individualnih naložbenih računov v vse obsegajočem smislu. Glede na navedeno neločljivo povezanost predloga zakona z ZTFI-1 je obstoječi zapis oblikovanja določb za upravni nadzor </w:t>
            </w:r>
            <w:r w:rsidR="00B37B2A">
              <w:t>ter</w:t>
            </w:r>
            <w:r w:rsidR="00B37B2A" w:rsidRPr="00124B6B">
              <w:t xml:space="preserve"> vodenje in odločanje v </w:t>
            </w:r>
            <w:proofErr w:type="spellStart"/>
            <w:r w:rsidR="00B37B2A" w:rsidRPr="00124B6B">
              <w:t>prekrškovnem</w:t>
            </w:r>
            <w:proofErr w:type="spellEnd"/>
            <w:r w:rsidR="00B37B2A" w:rsidRPr="00124B6B">
              <w:t xml:space="preserve"> postopku, primeren in pravilen</w:t>
            </w:r>
            <w:r w:rsidR="00B37B2A">
              <w:t>.</w:t>
            </w:r>
          </w:p>
          <w:p w14:paraId="2661B515" w14:textId="77777777" w:rsidR="009A4DEE" w:rsidRDefault="009A4DEE" w:rsidP="00CE7B93">
            <w:pPr>
              <w:pStyle w:val="Neotevilenodstavek"/>
              <w:spacing w:before="0" w:after="0" w:line="260" w:lineRule="exact"/>
            </w:pPr>
          </w:p>
          <w:p w14:paraId="1B71E332" w14:textId="1AF7BF60" w:rsidR="009A4DEE" w:rsidRDefault="009A4DEE" w:rsidP="00CE7B93">
            <w:pPr>
              <w:pStyle w:val="Neotevilenodstavek"/>
              <w:spacing w:before="0" w:after="0" w:line="260" w:lineRule="exact"/>
            </w:pPr>
            <w:r w:rsidRPr="00B37B2A">
              <w:rPr>
                <w:b/>
                <w:bCs/>
              </w:rPr>
              <w:t xml:space="preserve">z </w:t>
            </w:r>
            <w:r>
              <w:rPr>
                <w:b/>
                <w:bCs/>
              </w:rPr>
              <w:t>z</w:t>
            </w:r>
            <w:r w:rsidRPr="00B37B2A">
              <w:rPr>
                <w:b/>
                <w:bCs/>
              </w:rPr>
              <w:t>v</w:t>
            </w:r>
            <w:r>
              <w:rPr>
                <w:b/>
                <w:bCs/>
              </w:rPr>
              <w:t>ezi</w:t>
            </w:r>
            <w:r w:rsidRPr="00B37B2A">
              <w:rPr>
                <w:b/>
                <w:bCs/>
              </w:rPr>
              <w:t xml:space="preserve"> z opredelitvijo pravnoorganizacijskih oblik pravnih oseb, ki bodo lahko ponudniki INR po 14. členu v povezavi z 12. členom predloga zakona</w:t>
            </w:r>
            <w:r>
              <w:rPr>
                <w:b/>
                <w:bCs/>
              </w:rPr>
              <w:t xml:space="preserve"> </w:t>
            </w:r>
            <w:r w:rsidRPr="00B37B2A">
              <w:t xml:space="preserve">- </w:t>
            </w:r>
            <w:r w:rsidRPr="00B4562C">
              <w:t>v 14. členu predloga zakona</w:t>
            </w:r>
            <w:r w:rsidR="00EC7F72">
              <w:t xml:space="preserve"> je</w:t>
            </w:r>
            <w:r w:rsidRPr="00B4562C">
              <w:t xml:space="preserve"> ustrezno in dovolj določno opredeljeno kdo je lahko ponudnik INR in katere pogoje mora izpolnjevati. Ponudnik INR je tako lahko le oseba, ki je po zadnjem zapisu definicije, upravičena v Republiki Sloveniji na podlagi dovoljenja Agencije oziroma v primeru osebe iz druge države članice na podlagi ustanovitve podružnice v Republiki Sloveniji ali na podlagi upravičenosti do neposrednega opravljanja storitev v Republiki Sloveniji skladno s predpisi s področja trga finančnih instrumentov, opravljati investicijske storitve sprejemanja in posredovanja naročil v zvezi z enim ali več finančnimi instrumenti ali investicijske storitve izvrševanja naročil za račun strank ali gospodarjenja s finančnimi instrumenti. Hkrati mora biti ta oseba </w:t>
            </w:r>
            <w:r w:rsidRPr="00B4562C">
              <w:lastRenderedPageBreak/>
              <w:t xml:space="preserve">vpisana tudi v register ponudnikov INR iz 15. člena predloga zakona. Ponudnik INR je obenem opredeljen še z navedbo pravne podlage v 3. členu predloga zakona, </w:t>
            </w:r>
            <w:r w:rsidR="00EC7F72">
              <w:t>po kateri se</w:t>
            </w:r>
            <w:r w:rsidRPr="00B4562C">
              <w:t xml:space="preserve"> na področju INR podredno uporabljajo tudi predpisi, ki urejajo trg finančnih instrumentov. V 20. členu ZTFI-1 je tako z navedbo »pravne osebe« posameznih ponudnikov INR podana še neposredna opredelitev, s čimer je pojem ponudnika INR obravnavan in določen širše, dodatno, v smislu upoštevanja določb </w:t>
            </w:r>
            <w:proofErr w:type="spellStart"/>
            <w:r w:rsidRPr="00B4562C">
              <w:t>MiFID</w:t>
            </w:r>
            <w:proofErr w:type="spellEnd"/>
            <w:r w:rsidRPr="00B4562C">
              <w:t xml:space="preserve"> II in potrebe po pravni varnosti vseh vključenih ponudnikov INR, s čimer se utemeljuje tudi eden izmed glavnih postulatov prava EU, prost pretok kapitala in unija kapitalskih trgov</w:t>
            </w:r>
            <w:r>
              <w:t>.</w:t>
            </w:r>
          </w:p>
          <w:p w14:paraId="25AD8F2F" w14:textId="77777777" w:rsidR="009A4DEE" w:rsidRDefault="009A4DEE" w:rsidP="00CE7B93">
            <w:pPr>
              <w:pStyle w:val="Neotevilenodstavek"/>
              <w:spacing w:before="0" w:after="0" w:line="260" w:lineRule="exact"/>
            </w:pPr>
          </w:p>
          <w:p w14:paraId="4D596658" w14:textId="0F12E520" w:rsidR="009A4DEE" w:rsidRDefault="009A4DEE" w:rsidP="00CE7B93">
            <w:pPr>
              <w:pStyle w:val="Neotevilenodstavek"/>
              <w:spacing w:before="0" w:after="0" w:line="260" w:lineRule="exact"/>
            </w:pPr>
            <w:r w:rsidRPr="003E6956">
              <w:rPr>
                <w:b/>
                <w:bCs/>
              </w:rPr>
              <w:t>v zvezi z vprašanjem izločitvene pravice in sistema jamstva za terjatve vlagateljev</w:t>
            </w:r>
            <w:r>
              <w:t xml:space="preserve"> - </w:t>
            </w:r>
            <w:r w:rsidRPr="009A4DEE">
              <w:t xml:space="preserve"> oba pravna insti</w:t>
            </w:r>
            <w:r>
              <w:t>tuta</w:t>
            </w:r>
            <w:r w:rsidRPr="009A4DEE">
              <w:t xml:space="preserve"> izločitvene pravice v postopku stečaja ter sistem jamstva za terjatve imetnikov INR </w:t>
            </w:r>
            <w:r>
              <w:t xml:space="preserve">sta </w:t>
            </w:r>
            <w:r w:rsidRPr="009A4DEE">
              <w:t>v predlogu zakona že</w:t>
            </w:r>
            <w:r>
              <w:t xml:space="preserve"> ustrezno</w:t>
            </w:r>
            <w:r w:rsidRPr="009A4DEE">
              <w:t xml:space="preserve"> vključena in sicer na podlagi sklica na subsidiarno uporabo predpisov o trgu finančnih instrumentov, določeno v 3. členu predloga zakona. V ZTFI-1 so te vsebinske določbe v celoti že urejene, za stečaj v 188. členu do 193. členu ZTFI-1, za sistem jamstva pa v 450. členu do 462. členu ZTFI-1. Slednje je imela v okviru pregleda obravnavnega vladnega gradiva v obziru tudi Agencija kot nadzorni organ, ki je hkrati upoštevala tudi vse zadevne določbe po ZISDU-3 . Z namenom celovite obravnave vseh potencialnih ponudnikov INR </w:t>
            </w:r>
            <w:r w:rsidR="00403D78">
              <w:t>je bilo</w:t>
            </w:r>
            <w:r w:rsidRPr="009A4DEE">
              <w:t xml:space="preserve"> slednje </w:t>
            </w:r>
            <w:r w:rsidR="00403D78">
              <w:t>v okviru medresorskega usklajevanja</w:t>
            </w:r>
            <w:r w:rsidRPr="009A4DEE">
              <w:t xml:space="preserve"> še dodatno in ponovno prever</w:t>
            </w:r>
            <w:r w:rsidR="00403D78">
              <w:t>jeno</w:t>
            </w:r>
            <w:r w:rsidRPr="009A4DEE">
              <w:t xml:space="preserve"> pri Agenciji, ki je ustrezni umeščenosti režima stečajnih postopkov in sistema jamstva po ZTFI-1 na področju fiduciarnih razmerij med ponudniki INR in imetniki INR, v predlogu zakona v celoti pritrdila</w:t>
            </w:r>
            <w:r w:rsidR="00403D78">
              <w:t>.</w:t>
            </w:r>
          </w:p>
          <w:p w14:paraId="227723D5" w14:textId="77777777" w:rsidR="003E6956" w:rsidRDefault="003E6956" w:rsidP="00CE7B93">
            <w:pPr>
              <w:pStyle w:val="Neotevilenodstavek"/>
              <w:spacing w:before="0" w:after="0" w:line="260" w:lineRule="exact"/>
            </w:pPr>
          </w:p>
          <w:p w14:paraId="2775C37D" w14:textId="77DAD90E" w:rsidR="009C7A6F" w:rsidRDefault="009C7A6F" w:rsidP="003E6956">
            <w:pPr>
              <w:pStyle w:val="Neotevilenodstavek"/>
              <w:spacing w:line="260" w:lineRule="exact"/>
            </w:pPr>
            <w:r w:rsidRPr="009C7A6F">
              <w:rPr>
                <w:b/>
                <w:bCs/>
              </w:rPr>
              <w:t>v</w:t>
            </w:r>
            <w:r w:rsidR="003E6956" w:rsidRPr="009C7A6F">
              <w:rPr>
                <w:b/>
                <w:bCs/>
              </w:rPr>
              <w:t xml:space="preserve"> zvezi z vprašanjem prekrškov po določbah 17. in 17.a (zdaj 18.) člena predloga zakona</w:t>
            </w:r>
            <w:r w:rsidR="003E6956">
              <w:t xml:space="preserve"> </w:t>
            </w:r>
            <w:r>
              <w:t>–</w:t>
            </w:r>
            <w:r w:rsidR="003E6956">
              <w:t xml:space="preserve"> </w:t>
            </w:r>
          </w:p>
          <w:p w14:paraId="16CFD245" w14:textId="77777777" w:rsidR="009C7A6F" w:rsidRDefault="003E6956" w:rsidP="009C7A6F">
            <w:pPr>
              <w:pStyle w:val="Neotevilenodstavek"/>
              <w:numPr>
                <w:ilvl w:val="0"/>
                <w:numId w:val="21"/>
              </w:numPr>
              <w:spacing w:line="260" w:lineRule="exact"/>
            </w:pPr>
            <w:r w:rsidRPr="00CD2BBD">
              <w:rPr>
                <w:u w:val="single"/>
              </w:rPr>
              <w:t>glede kategorije storilca</w:t>
            </w:r>
            <w:r w:rsidR="009C7A6F" w:rsidRPr="00CD2BBD">
              <w:rPr>
                <w:u w:val="single"/>
              </w:rPr>
              <w:t>:</w:t>
            </w:r>
            <w:r>
              <w:t xml:space="preserve"> gre za ponudnika INR, ki skladno s predpisi s področja trga finančnih instrumentov pomeni pravno osebo, ki izpolnjuje vse pogoje iz 20. člena ZTFI-1 in 14. člena predloga zakona</w:t>
            </w:r>
            <w:r w:rsidR="009C7A6F">
              <w:t>.</w:t>
            </w:r>
          </w:p>
          <w:p w14:paraId="21A1B1DA" w14:textId="5DB9E368" w:rsidR="003E6956" w:rsidRDefault="009C7A6F" w:rsidP="009C7A6F">
            <w:pPr>
              <w:pStyle w:val="Neotevilenodstavek"/>
              <w:numPr>
                <w:ilvl w:val="0"/>
                <w:numId w:val="21"/>
              </w:numPr>
              <w:spacing w:line="260" w:lineRule="exact"/>
            </w:pPr>
            <w:r w:rsidRPr="00CD2BBD">
              <w:rPr>
                <w:u w:val="single"/>
              </w:rPr>
              <w:t>g</w:t>
            </w:r>
            <w:r w:rsidR="003E6956" w:rsidRPr="00CD2BBD">
              <w:rPr>
                <w:u w:val="single"/>
              </w:rPr>
              <w:t>lede pripombe, da prekrški 17. a (zdaj 18.) člena niso določeni kot hujši prekrški</w:t>
            </w:r>
            <w:r>
              <w:t>:</w:t>
            </w:r>
            <w:r w:rsidR="003E6956">
              <w:t xml:space="preserve"> v šestem odstavku 17. člena ZP-1 </w:t>
            </w:r>
            <w:r>
              <w:t>je</w:t>
            </w:r>
            <w:r w:rsidR="003E6956">
              <w:t xml:space="preserve"> med dodatno varovanimi materialnimi dobrinami za primere hujših kršitev obravnavano tudi področje varovanja financ, kamor pričakovano umeščamo tudi vsebine individualnih naložbenih računov</w:t>
            </w:r>
            <w:r>
              <w:t>, kar je razlog, da se prekrški in sankcije 17.a (zdaj 18.) člena lahko obravnavajo kot hujši prekrški.</w:t>
            </w:r>
          </w:p>
          <w:p w14:paraId="1197C4B9" w14:textId="586D1F09" w:rsidR="003E6956" w:rsidRDefault="009C7A6F" w:rsidP="003E6956">
            <w:pPr>
              <w:pStyle w:val="Neotevilenodstavek"/>
              <w:numPr>
                <w:ilvl w:val="0"/>
                <w:numId w:val="21"/>
              </w:numPr>
              <w:spacing w:line="260" w:lineRule="exact"/>
            </w:pPr>
            <w:r w:rsidRPr="00CD2BBD">
              <w:rPr>
                <w:u w:val="single"/>
              </w:rPr>
              <w:t xml:space="preserve">glede </w:t>
            </w:r>
            <w:r w:rsidR="003E6956" w:rsidRPr="00CD2BBD">
              <w:rPr>
                <w:u w:val="single"/>
              </w:rPr>
              <w:t>oblikovne zasnove prekrškov, ki so zapisani v dveh členih in ločeni v dve skupini</w:t>
            </w:r>
            <w:r>
              <w:t xml:space="preserve">: razporeditev </w:t>
            </w:r>
            <w:r w:rsidR="003E6956">
              <w:t>posameznih določb</w:t>
            </w:r>
            <w:r>
              <w:t xml:space="preserve"> v dveh členih</w:t>
            </w:r>
            <w:r w:rsidR="003E6956">
              <w:t>, v obliki lažjih in hujših prekrškov</w:t>
            </w:r>
            <w:r>
              <w:t xml:space="preserve"> je</w:t>
            </w:r>
            <w:r w:rsidR="003E6956">
              <w:t xml:space="preserve"> povzet</w:t>
            </w:r>
            <w:r>
              <w:t>a</w:t>
            </w:r>
            <w:r w:rsidR="003E6956">
              <w:t xml:space="preserve"> po ZTFI-1, </w:t>
            </w:r>
            <w:r>
              <w:t>kar je</w:t>
            </w:r>
            <w:r w:rsidR="003E6956">
              <w:t xml:space="preserve"> z vidika sistemske povezanosti</w:t>
            </w:r>
            <w:r>
              <w:t xml:space="preserve"> predloga zakona in ZTFI-1</w:t>
            </w:r>
            <w:r w:rsidR="003E6956">
              <w:t xml:space="preserve"> najustreznejši zakonski vzor</w:t>
            </w:r>
            <w:r>
              <w:t>.</w:t>
            </w:r>
          </w:p>
          <w:p w14:paraId="3EDDF1F5" w14:textId="60DC77E1" w:rsidR="009C7A6F" w:rsidRDefault="009C7A6F" w:rsidP="009C7A6F">
            <w:pPr>
              <w:pStyle w:val="Neotevilenodstavek"/>
              <w:numPr>
                <w:ilvl w:val="0"/>
                <w:numId w:val="21"/>
              </w:numPr>
              <w:spacing w:line="260" w:lineRule="exact"/>
            </w:pPr>
            <w:r w:rsidRPr="00CD2BBD">
              <w:rPr>
                <w:u w:val="single"/>
              </w:rPr>
              <w:t>g</w:t>
            </w:r>
            <w:r w:rsidR="003E6956" w:rsidRPr="00CD2BBD">
              <w:rPr>
                <w:u w:val="single"/>
              </w:rPr>
              <w:t>lede pripomb</w:t>
            </w:r>
            <w:r w:rsidRPr="00CD2BBD">
              <w:rPr>
                <w:u w:val="single"/>
              </w:rPr>
              <w:t>e o</w:t>
            </w:r>
            <w:r w:rsidR="003E6956" w:rsidRPr="00CD2BBD">
              <w:rPr>
                <w:u w:val="single"/>
              </w:rPr>
              <w:t xml:space="preserve"> izjemno visok</w:t>
            </w:r>
            <w:r w:rsidRPr="00CD2BBD">
              <w:rPr>
                <w:u w:val="single"/>
              </w:rPr>
              <w:t>ih</w:t>
            </w:r>
            <w:r w:rsidR="003E6956" w:rsidRPr="00CD2BBD">
              <w:rPr>
                <w:u w:val="single"/>
              </w:rPr>
              <w:t xml:space="preserve"> glob</w:t>
            </w:r>
            <w:r w:rsidRPr="00CD2BBD">
              <w:rPr>
                <w:u w:val="single"/>
              </w:rPr>
              <w:t>ah</w:t>
            </w:r>
            <w:r w:rsidR="003E6956" w:rsidRPr="00CD2BBD">
              <w:rPr>
                <w:u w:val="single"/>
              </w:rPr>
              <w:t xml:space="preserve"> za prekrške</w:t>
            </w:r>
            <w:r>
              <w:t xml:space="preserve">: </w:t>
            </w:r>
            <w:r w:rsidR="003E6956">
              <w:t>slednje</w:t>
            </w:r>
            <w:r>
              <w:t xml:space="preserve"> so</w:t>
            </w:r>
            <w:r w:rsidR="003E6956">
              <w:t xml:space="preserve"> oblikovane tako, da upoštevajo vse potrebne vsebinske predpostavke, pri čemer osrednjo vlogo predstavlja zagotovitev pravne varnosti pravno šibkejše stranke, imetnika INR, kar je še posebej pomembno v primeru malih vlagateljev, ki se bodo v mnogih primerih prvič soočali s takšnim načinom razpršitve prihrankov. Sočasno s tem dejstvom ni zanemarljivo, da so bile višine glob oblikovane v okviru delovne skupine, ki so jo sestavljali tudi predstavniki ponudnikov INR, pri čemer slednji v razpravi na predpisano višino kazni za protipravno ravnanje ponudnikov, niso imeli nobenih pripomb, nasprotno, področju urejanja </w:t>
            </w:r>
            <w:proofErr w:type="spellStart"/>
            <w:r w:rsidR="003E6956">
              <w:t>prekrškovnih</w:t>
            </w:r>
            <w:proofErr w:type="spellEnd"/>
            <w:r w:rsidR="003E6956">
              <w:t xml:space="preserve"> določb so tako materialno kot sistemsko pritrdili. </w:t>
            </w:r>
            <w:r>
              <w:lastRenderedPageBreak/>
              <w:t>Navedeno je verjetno</w:t>
            </w:r>
            <w:r w:rsidR="003E6956">
              <w:t xml:space="preserve"> posledica tega, da se ponudniki INR zavedajo tudi koristi, ki jih bodo deležni v okviru obravnavane davčno spodbujene sheme, s čimer je utemeljeno tudi načelo sorazmernosti. Zasledovani cilj prepovedanega ravnanja v smislu varstva pravno šibkejše stranke je tako uravnotežen in skladen z zastavljenim okvirom pravnih sankcij.</w:t>
            </w:r>
          </w:p>
          <w:p w14:paraId="6F05CF22" w14:textId="2BFE0576" w:rsidR="00AE03BD" w:rsidRPr="00AE03BD" w:rsidRDefault="00AE03BD" w:rsidP="00CE7B93">
            <w:pPr>
              <w:pStyle w:val="Neotevilenodstavek"/>
              <w:spacing w:before="0" w:after="0" w:line="260" w:lineRule="exact"/>
              <w:rPr>
                <w:b/>
                <w:bCs/>
              </w:rPr>
            </w:pPr>
          </w:p>
        </w:tc>
      </w:tr>
      <w:tr w:rsidR="00AE03BD" w:rsidRPr="008D1759" w14:paraId="0FC88CFF" w14:textId="77777777" w:rsidTr="00B80D26">
        <w:trPr>
          <w:trHeight w:val="323"/>
        </w:trPr>
        <w:tc>
          <w:tcPr>
            <w:tcW w:w="2052" w:type="dxa"/>
            <w:gridSpan w:val="2"/>
            <w:vMerge/>
            <w:shd w:val="clear" w:color="auto" w:fill="auto"/>
          </w:tcPr>
          <w:p w14:paraId="396C15A4" w14:textId="77777777" w:rsidR="00AE03BD" w:rsidRPr="008D1759" w:rsidRDefault="00AE03BD" w:rsidP="00A31A32">
            <w:pPr>
              <w:pStyle w:val="Neotevilenodstavek"/>
              <w:spacing w:before="0" w:after="0" w:line="260" w:lineRule="exact"/>
            </w:pPr>
            <w:bookmarkStart w:id="0" w:name="_Hlk195089393"/>
          </w:p>
        </w:tc>
        <w:tc>
          <w:tcPr>
            <w:tcW w:w="7128" w:type="dxa"/>
            <w:gridSpan w:val="3"/>
            <w:shd w:val="clear" w:color="auto" w:fill="auto"/>
          </w:tcPr>
          <w:p w14:paraId="0286FDF0" w14:textId="1E172E2D" w:rsidR="009A1D83" w:rsidRPr="009A1D83" w:rsidRDefault="00AE03BD" w:rsidP="00CE7B93">
            <w:pPr>
              <w:pStyle w:val="Neotevilenodstavek"/>
              <w:spacing w:before="0" w:after="0" w:line="260" w:lineRule="exact"/>
              <w:rPr>
                <w:b/>
                <w:bCs/>
              </w:rPr>
            </w:pPr>
            <w:r w:rsidRPr="003735FE">
              <w:t>v celoti</w:t>
            </w:r>
            <w:r w:rsidRPr="00F94583">
              <w:t>/</w:t>
            </w:r>
            <w:r w:rsidRPr="00C30E39">
              <w:t>večinoma/</w:t>
            </w:r>
            <w:r w:rsidRPr="00C30E39">
              <w:rPr>
                <w:b/>
                <w:bCs/>
              </w:rPr>
              <w:t>delno</w:t>
            </w:r>
          </w:p>
        </w:tc>
      </w:tr>
      <w:tr w:rsidR="009A1D83" w:rsidRPr="008D1759" w14:paraId="50B2165D" w14:textId="77777777" w:rsidTr="00B80D26">
        <w:trPr>
          <w:trHeight w:val="323"/>
        </w:trPr>
        <w:tc>
          <w:tcPr>
            <w:tcW w:w="2052" w:type="dxa"/>
            <w:gridSpan w:val="2"/>
            <w:vMerge/>
            <w:shd w:val="clear" w:color="auto" w:fill="auto"/>
          </w:tcPr>
          <w:p w14:paraId="7C98870D" w14:textId="77777777" w:rsidR="009A1D83" w:rsidRPr="008D1759" w:rsidRDefault="009A1D83" w:rsidP="00A31A32">
            <w:pPr>
              <w:pStyle w:val="Neotevilenodstavek"/>
              <w:spacing w:before="0" w:after="0" w:line="260" w:lineRule="exact"/>
            </w:pPr>
          </w:p>
        </w:tc>
        <w:tc>
          <w:tcPr>
            <w:tcW w:w="7128" w:type="dxa"/>
            <w:gridSpan w:val="3"/>
            <w:shd w:val="clear" w:color="auto" w:fill="auto"/>
          </w:tcPr>
          <w:p w14:paraId="17C96DB2" w14:textId="77777777" w:rsidR="009A1D83" w:rsidRDefault="009A1D83" w:rsidP="009A1D83">
            <w:pPr>
              <w:pStyle w:val="Neotevilenodstavek"/>
              <w:spacing w:before="0" w:after="0" w:line="260" w:lineRule="exact"/>
            </w:pPr>
            <w:r w:rsidRPr="004F5943">
              <w:t xml:space="preserve">Bistvena neusklajena vprašanja in razlogi za neusklajenost z </w:t>
            </w:r>
            <w:r>
              <w:t>MDDSZ:</w:t>
            </w:r>
          </w:p>
          <w:p w14:paraId="25821337" w14:textId="77777777" w:rsidR="009A1D83" w:rsidRDefault="009A1D83" w:rsidP="009A1D83">
            <w:pPr>
              <w:pStyle w:val="Neotevilenodstavek"/>
              <w:spacing w:before="0" w:after="0" w:line="260" w:lineRule="exact"/>
            </w:pPr>
          </w:p>
          <w:p w14:paraId="0A27FEC0" w14:textId="1C8C2E87" w:rsidR="009A1D83" w:rsidRDefault="009A1D83" w:rsidP="009A1D83">
            <w:pPr>
              <w:pStyle w:val="Neotevilenodstavek"/>
              <w:spacing w:before="0" w:after="0" w:line="260" w:lineRule="exact"/>
            </w:pPr>
            <w:r w:rsidRPr="009C7A6F">
              <w:rPr>
                <w:b/>
                <w:bCs/>
              </w:rPr>
              <w:t xml:space="preserve">v zvezi z vprašanjem </w:t>
            </w:r>
            <w:r>
              <w:rPr>
                <w:b/>
                <w:bCs/>
              </w:rPr>
              <w:t xml:space="preserve">enotne informatizirane zbirke, ki bo vsebovala tako podatke o imetnikih INR kot podatke o stanju na INR - </w:t>
            </w:r>
            <w:r w:rsidR="00C30E39">
              <w:rPr>
                <w:b/>
                <w:bCs/>
              </w:rPr>
              <w:t>o</w:t>
            </w:r>
            <w:r w:rsidRPr="00BB49E2">
              <w:t>b upoštevanju</w:t>
            </w:r>
            <w:r w:rsidRPr="003E1C7C">
              <w:t xml:space="preserve"> pravn</w:t>
            </w:r>
            <w:r w:rsidRPr="00BB49E2">
              <w:t>ega</w:t>
            </w:r>
            <w:r w:rsidRPr="003E1C7C">
              <w:t xml:space="preserve"> okvir</w:t>
            </w:r>
            <w:r w:rsidRPr="00BB49E2">
              <w:t>a</w:t>
            </w:r>
            <w:r w:rsidRPr="003E1C7C">
              <w:t xml:space="preserve"> individualnih naložbenih računov in davčn</w:t>
            </w:r>
            <w:r w:rsidRPr="00BB49E2">
              <w:t>e</w:t>
            </w:r>
            <w:r w:rsidRPr="003E1C7C">
              <w:t xml:space="preserve"> obravnav</w:t>
            </w:r>
            <w:r w:rsidRPr="00BB49E2">
              <w:t>e</w:t>
            </w:r>
            <w:r w:rsidRPr="003E1C7C">
              <w:t xml:space="preserve"> dohodkov </w:t>
            </w:r>
            <w:r>
              <w:t>i</w:t>
            </w:r>
            <w:r w:rsidRPr="003E1C7C">
              <w:t>z INR</w:t>
            </w:r>
            <w:r>
              <w:t xml:space="preserve">, veljavna </w:t>
            </w:r>
            <w:r w:rsidRPr="003E1C7C">
              <w:t>pravna podlaga</w:t>
            </w:r>
            <w:r>
              <w:t xml:space="preserve"> v drugem odstavku 51. člena ZUPJS</w:t>
            </w:r>
            <w:r w:rsidRPr="003E1C7C">
              <w:t xml:space="preserve">, ki je </w:t>
            </w:r>
            <w:r>
              <w:t xml:space="preserve">že </w:t>
            </w:r>
            <w:r w:rsidRPr="003E1C7C">
              <w:t>vzpostavljena za pridobivanje podatkov iz evidenc FURS, zadostuje tudi za pridobivanje</w:t>
            </w:r>
            <w:r>
              <w:t xml:space="preserve"> podatkov </w:t>
            </w:r>
            <w:r w:rsidRPr="003E1C7C">
              <w:t xml:space="preserve">o dohodku </w:t>
            </w:r>
            <w:r w:rsidRPr="00BB49E2">
              <w:t>i</w:t>
            </w:r>
            <w:r w:rsidRPr="003E1C7C">
              <w:t xml:space="preserve">z INR. Dohodek </w:t>
            </w:r>
            <w:r w:rsidRPr="00BB49E2">
              <w:t>i</w:t>
            </w:r>
            <w:r w:rsidRPr="003E1C7C">
              <w:t>z INR</w:t>
            </w:r>
            <w:r>
              <w:t xml:space="preserve"> tako</w:t>
            </w:r>
            <w:r w:rsidRPr="003E1C7C">
              <w:t xml:space="preserve"> predstavlja</w:t>
            </w:r>
            <w:r>
              <w:t xml:space="preserve"> le</w:t>
            </w:r>
            <w:r w:rsidRPr="003E1C7C">
              <w:t xml:space="preserve"> novo obliko dohodka iz kapitala po zakonu, ki ureja dohodnino.</w:t>
            </w:r>
            <w:r>
              <w:t xml:space="preserve"> </w:t>
            </w:r>
          </w:p>
          <w:p w14:paraId="3B64B017" w14:textId="77777777" w:rsidR="009A1D83" w:rsidRDefault="009A1D83" w:rsidP="009A1D83">
            <w:pPr>
              <w:pStyle w:val="Neotevilenodstavek"/>
              <w:spacing w:before="0" w:after="0" w:line="260" w:lineRule="exact"/>
            </w:pPr>
          </w:p>
          <w:p w14:paraId="20C43FDE" w14:textId="77777777" w:rsidR="009A1D83" w:rsidRDefault="009A1D83" w:rsidP="009A1D83">
            <w:pPr>
              <w:pStyle w:val="Neotevilenodstavek"/>
              <w:spacing w:before="0" w:after="0" w:line="260" w:lineRule="exact"/>
            </w:pPr>
            <w:r w:rsidRPr="00CD2BBD">
              <w:t>Od upravljalcev, ki izvorno vodijo evidence o nekem premoženju, je potrebno pridobivati tudi drugo skupino potrebnih podatkov, podatkov o premoženju. Ker je INR po svoji vsebini nova oblika trgovalnega računa, so tako za poročanje o premoženju (sredstvih) na računu imetnika INR v skladu s šestim odstavkom 14. člena predloga zakona, v zvezi s posebno evidenco sredstev INR, zadolženi ponudniki INR, pri čemer je to evidenco</w:t>
            </w:r>
            <w:r>
              <w:t>, ki jo vzpostavijo posamezni ponudniki INR</w:t>
            </w:r>
            <w:r w:rsidRPr="00CD2BBD">
              <w:t xml:space="preserve"> potrebno ločiti od evidence INR po 13. členu predloga zakona</w:t>
            </w:r>
            <w:r>
              <w:t>, ki jo vodi FURS</w:t>
            </w:r>
            <w:r w:rsidRPr="00CD2BBD">
              <w:t>.</w:t>
            </w:r>
          </w:p>
          <w:p w14:paraId="23D2F580" w14:textId="77777777" w:rsidR="009A1D83" w:rsidRDefault="009A1D83" w:rsidP="009A1D83">
            <w:pPr>
              <w:pStyle w:val="Neotevilenodstavek"/>
              <w:spacing w:before="0" w:after="0" w:line="260" w:lineRule="exact"/>
            </w:pPr>
          </w:p>
          <w:p w14:paraId="6F20FEC6" w14:textId="36A6A5BC" w:rsidR="009A1D83" w:rsidRPr="00CD2BBD" w:rsidRDefault="009A1D83" w:rsidP="009A1D83">
            <w:pPr>
              <w:pStyle w:val="Neotevilenodstavek"/>
              <w:spacing w:before="0" w:after="0" w:line="260" w:lineRule="exact"/>
            </w:pPr>
            <w:r w:rsidRPr="00CD2BBD">
              <w:t xml:space="preserve">Skladno z 51. členom ZUPJS so v zvezi s podatki o premoženju nekateri ponudniki INR na podlagi trenutne določbe 51. člena ZUPJS že zavezani za dajanje podatkov, vendar ne vsi in ne za vse premoženje oziroma sredstva na INR računu. Glede na to </w:t>
            </w:r>
            <w:r>
              <w:t>se je</w:t>
            </w:r>
            <w:r w:rsidRPr="00CD2BBD">
              <w:t xml:space="preserve"> za ponudnike INR oziroma sredstva INR v 51. členu ZUPJS v okviru medresorskega usklajevanja določil</w:t>
            </w:r>
            <w:r>
              <w:t>a</w:t>
            </w:r>
            <w:r w:rsidRPr="00CD2BBD">
              <w:t xml:space="preserve"> še posebn</w:t>
            </w:r>
            <w:r>
              <w:t>a</w:t>
            </w:r>
            <w:r w:rsidRPr="00CD2BBD">
              <w:t xml:space="preserve"> pravn</w:t>
            </w:r>
            <w:r>
              <w:t>a</w:t>
            </w:r>
            <w:r w:rsidRPr="00CD2BBD">
              <w:t xml:space="preserve"> podlag</w:t>
            </w:r>
            <w:r>
              <w:t>a</w:t>
            </w:r>
            <w:r w:rsidRPr="00CD2BBD">
              <w:t xml:space="preserve"> za dajanje podatkov o premoženju oziroma sredstvih na INR, tako </w:t>
            </w:r>
            <w:r>
              <w:t xml:space="preserve">da je bil </w:t>
            </w:r>
            <w:r w:rsidRPr="00CD2BBD">
              <w:t xml:space="preserve">v novem III. poglavju z naslovom Zakon o uveljavljanju pravic iz javnih sredstev, III. dela predloga zakona Spremembe in dopolnitve zakonov, v zvezi s spremembami ZUPJS </w:t>
            </w:r>
            <w:r>
              <w:t>dodan nov člen glede dopolnitve drugega</w:t>
            </w:r>
            <w:r w:rsidRPr="00CD2BBD">
              <w:t xml:space="preserve"> </w:t>
            </w:r>
            <w:r>
              <w:t>odstavka</w:t>
            </w:r>
            <w:r w:rsidRPr="00CD2BBD">
              <w:t xml:space="preserve"> 51. člen</w:t>
            </w:r>
            <w:r>
              <w:t>a</w:t>
            </w:r>
            <w:r w:rsidRPr="00CD2BBD">
              <w:t xml:space="preserve"> ZUPJS</w:t>
            </w:r>
            <w:r>
              <w:t xml:space="preserve">, v katerem se je k upravljalcem zbirk podatkov dodalo tudi </w:t>
            </w:r>
            <w:r w:rsidRPr="00CD2BBD">
              <w:t>ponudnik</w:t>
            </w:r>
            <w:r>
              <w:t>e</w:t>
            </w:r>
            <w:r w:rsidRPr="00CD2BBD">
              <w:t xml:space="preserve"> </w:t>
            </w:r>
            <w:r>
              <w:t>INR</w:t>
            </w:r>
            <w:r w:rsidRPr="00CD2BBD">
              <w:t xml:space="preserve"> po zakonu, ki ureja individualne naložbene račune</w:t>
            </w:r>
            <w:r>
              <w:t>, ter</w:t>
            </w:r>
            <w:r w:rsidRPr="00CD2BBD">
              <w:t xml:space="preserve"> podatke iz posebne evidence sredstev INR o imetniku</w:t>
            </w:r>
            <w:r>
              <w:t xml:space="preserve"> INR in</w:t>
            </w:r>
            <w:r w:rsidRPr="00CD2BBD">
              <w:t xml:space="preserve"> sredstvih na tem računu.</w:t>
            </w:r>
          </w:p>
          <w:p w14:paraId="5FDAD283" w14:textId="77777777" w:rsidR="009A1D83" w:rsidRDefault="009A1D83" w:rsidP="009A1D83">
            <w:pPr>
              <w:pStyle w:val="Neotevilenodstavek"/>
              <w:spacing w:before="0" w:after="0" w:line="260" w:lineRule="exact"/>
            </w:pPr>
          </w:p>
          <w:p w14:paraId="6F6BDB50" w14:textId="1493A6EE" w:rsidR="009A1D83" w:rsidRDefault="009A1D83" w:rsidP="009A1D83">
            <w:pPr>
              <w:pStyle w:val="Neotevilenodstavek"/>
              <w:spacing w:before="0" w:after="0" w:line="260" w:lineRule="exact"/>
            </w:pPr>
            <w:r>
              <w:t xml:space="preserve">Navedeni način pridobivanja podatkov iz </w:t>
            </w:r>
            <w:proofErr w:type="spellStart"/>
            <w:r>
              <w:t>večih</w:t>
            </w:r>
            <w:proofErr w:type="spellEnd"/>
            <w:r>
              <w:t xml:space="preserve"> informatiziranih zbirk podatkov,  iz evidence FURS in evidenc posameznih ponudnikov INR, predstavlja tehnično in vsebinsko celovito in najustreznejš</w:t>
            </w:r>
            <w:r w:rsidR="00C30E39">
              <w:t>o</w:t>
            </w:r>
            <w:r>
              <w:t xml:space="preserve"> obliko pridobivanja vseh potrebnih podatkov v zvezi z dohodki iz INR in premoženjem posameznih imetnikov INR.</w:t>
            </w:r>
            <w:r>
              <w:tab/>
            </w:r>
          </w:p>
          <w:p w14:paraId="028202CD" w14:textId="66D4881F" w:rsidR="009A1D83" w:rsidRPr="003735FE" w:rsidRDefault="009A1D83" w:rsidP="009A1D83">
            <w:pPr>
              <w:pStyle w:val="Neotevilenodstavek"/>
              <w:tabs>
                <w:tab w:val="left" w:pos="1557"/>
              </w:tabs>
              <w:spacing w:before="0" w:after="0" w:line="260" w:lineRule="exact"/>
            </w:pPr>
          </w:p>
        </w:tc>
      </w:tr>
      <w:tr w:rsidR="009A1D83" w:rsidRPr="008D1759" w14:paraId="05BF5CAF" w14:textId="77777777" w:rsidTr="00B80D26">
        <w:trPr>
          <w:trHeight w:val="323"/>
        </w:trPr>
        <w:tc>
          <w:tcPr>
            <w:tcW w:w="2052" w:type="dxa"/>
            <w:gridSpan w:val="2"/>
            <w:vMerge/>
            <w:shd w:val="clear" w:color="auto" w:fill="auto"/>
          </w:tcPr>
          <w:p w14:paraId="18081F78" w14:textId="77777777" w:rsidR="009A1D83" w:rsidRPr="008D1759" w:rsidRDefault="009A1D83" w:rsidP="00A31A32">
            <w:pPr>
              <w:pStyle w:val="Neotevilenodstavek"/>
              <w:spacing w:before="0" w:after="0" w:line="260" w:lineRule="exact"/>
            </w:pPr>
          </w:p>
        </w:tc>
        <w:tc>
          <w:tcPr>
            <w:tcW w:w="7128" w:type="dxa"/>
            <w:gridSpan w:val="3"/>
            <w:shd w:val="clear" w:color="auto" w:fill="auto"/>
          </w:tcPr>
          <w:p w14:paraId="0AAC0EC5" w14:textId="2CA9039D" w:rsidR="009A1D83" w:rsidRPr="003735FE" w:rsidRDefault="009A1D83" w:rsidP="00CE7B93">
            <w:pPr>
              <w:pStyle w:val="Neotevilenodstavek"/>
              <w:spacing w:before="0" w:after="0" w:line="260" w:lineRule="exact"/>
            </w:pPr>
            <w:r w:rsidRPr="003735FE">
              <w:t>v celoti</w:t>
            </w:r>
            <w:r w:rsidRPr="00F94583">
              <w:t>/večinoma/</w:t>
            </w:r>
            <w:r w:rsidRPr="003735FE">
              <w:rPr>
                <w:b/>
                <w:bCs/>
              </w:rPr>
              <w:t>delno</w:t>
            </w:r>
          </w:p>
        </w:tc>
      </w:tr>
      <w:bookmarkEnd w:id="0"/>
      <w:tr w:rsidR="009A1D83" w:rsidRPr="008D1759" w14:paraId="17062CB5" w14:textId="77777777" w:rsidTr="00B80D26">
        <w:trPr>
          <w:trHeight w:val="323"/>
        </w:trPr>
        <w:tc>
          <w:tcPr>
            <w:tcW w:w="2052" w:type="dxa"/>
            <w:gridSpan w:val="2"/>
            <w:vMerge/>
            <w:shd w:val="clear" w:color="auto" w:fill="auto"/>
          </w:tcPr>
          <w:p w14:paraId="637D842B" w14:textId="77777777" w:rsidR="009A1D83" w:rsidRPr="008D1759" w:rsidRDefault="009A1D83" w:rsidP="009A1D83">
            <w:pPr>
              <w:pStyle w:val="Neotevilenodstavek"/>
              <w:spacing w:before="0" w:after="0" w:line="260" w:lineRule="exact"/>
            </w:pPr>
          </w:p>
        </w:tc>
        <w:tc>
          <w:tcPr>
            <w:tcW w:w="7128" w:type="dxa"/>
            <w:gridSpan w:val="3"/>
            <w:shd w:val="clear" w:color="auto" w:fill="auto"/>
          </w:tcPr>
          <w:p w14:paraId="7725641D" w14:textId="77777777" w:rsidR="009A1D83" w:rsidRDefault="009A1D83" w:rsidP="009A1D83">
            <w:pPr>
              <w:pStyle w:val="Neotevilenodstavek"/>
              <w:spacing w:before="0" w:after="0" w:line="260" w:lineRule="exact"/>
            </w:pPr>
            <w:r w:rsidRPr="004F5943">
              <w:t>Bistvena neusklajena vprašanja in razlogi za neusklajenost z IP:</w:t>
            </w:r>
            <w:r>
              <w:t xml:space="preserve"> </w:t>
            </w:r>
          </w:p>
          <w:p w14:paraId="707EA3D2" w14:textId="77777777" w:rsidR="009A1D83" w:rsidRDefault="009A1D83" w:rsidP="009A1D83">
            <w:pPr>
              <w:pStyle w:val="Neotevilenodstavek"/>
              <w:spacing w:before="0" w:after="0" w:line="260" w:lineRule="exact"/>
            </w:pPr>
          </w:p>
          <w:p w14:paraId="455F8FB9" w14:textId="101AE1F1" w:rsidR="009A1D83" w:rsidRDefault="009A1D83" w:rsidP="009A1D83">
            <w:pPr>
              <w:pStyle w:val="Neotevilenodstavek"/>
              <w:spacing w:before="0" w:after="0" w:line="260" w:lineRule="exact"/>
            </w:pPr>
            <w:r w:rsidRPr="009A4DEE">
              <w:rPr>
                <w:b/>
                <w:bCs/>
              </w:rPr>
              <w:t>v zvezi z zahtevo glede priprave ocene učinka v zvezi z varstvom osebnih podatkov in predhodnim posvetovanjem po 35. in 36. členu Splošne uredbe</w:t>
            </w:r>
            <w:r w:rsidRPr="009A4DEE">
              <w:t xml:space="preserve"> - v zvezi z evidenco INR so predvideni le tisti osebni podatki, s katerimi Finančna uprava RS dejansko že razpolaga in le tisti namen zbiranja podatkov, ki ga Finančna uprava RS že izvaja, pri čemer gre hkrati za sistem zbiranja </w:t>
            </w:r>
            <w:r w:rsidRPr="009A4DEE">
              <w:lastRenderedPageBreak/>
              <w:t>osebnih podatkov, ki se zbirajo tudi v postopkih pri navadnih trgovalnih računih. Ker  povezovanje z evidenco INR ne vodi k novim namenom obdelave, ne vključuje obdelave posebnih kategorij podatkov v velikem obsegu, bistveno ne povečuje obsega obdelave in ne vpliva na posameznike na način, ki bi predstavljal visoko tveganje za pravice in svoboščine posameznikov, izvedba postopkov po 35. členu in 36. členu Splošne uredbe glede vprašanja ocene učinka v zvezi z varstvom osebnih podatkov in predhodnega posvetovanja,</w:t>
            </w:r>
            <w:r w:rsidR="00C30E39">
              <w:t xml:space="preserve"> </w:t>
            </w:r>
            <w:r w:rsidRPr="009A4DEE">
              <w:t>ni potrebna.</w:t>
            </w:r>
          </w:p>
          <w:p w14:paraId="61445F3A" w14:textId="77777777" w:rsidR="009A1D83" w:rsidRPr="004F5943" w:rsidRDefault="009A1D83" w:rsidP="009A1D83">
            <w:pPr>
              <w:pStyle w:val="Neotevilenodstavek"/>
              <w:spacing w:before="0" w:after="0" w:line="260" w:lineRule="exact"/>
            </w:pPr>
          </w:p>
        </w:tc>
      </w:tr>
    </w:tbl>
    <w:p w14:paraId="7C6B5464" w14:textId="77777777" w:rsidR="003D39F8" w:rsidRDefault="003D39F8" w:rsidP="003D39F8"/>
    <w:p w14:paraId="3C917285" w14:textId="796B76A2" w:rsidR="003D39F8" w:rsidRDefault="00157F61" w:rsidP="003D39F8">
      <w:pPr>
        <w:rPr>
          <w:rFonts w:ascii="Arial" w:hAnsi="Arial" w:cs="Arial"/>
          <w:sz w:val="20"/>
        </w:rPr>
      </w:pPr>
      <w:r>
        <w:rPr>
          <w:rFonts w:ascii="Arial" w:hAnsi="Arial" w:cs="Arial"/>
          <w:sz w:val="20"/>
        </w:rPr>
        <w:t>PRILOGA:</w:t>
      </w:r>
      <w:r w:rsidR="00970269">
        <w:rPr>
          <w:rFonts w:ascii="Arial" w:hAnsi="Arial" w:cs="Arial"/>
          <w:sz w:val="20"/>
        </w:rPr>
        <w:t xml:space="preserve"> </w:t>
      </w:r>
    </w:p>
    <w:p w14:paraId="20FDBD7D" w14:textId="7A339ABE" w:rsidR="00727B65" w:rsidRPr="00E82073" w:rsidRDefault="00F14792" w:rsidP="00F02540">
      <w:pPr>
        <w:pStyle w:val="Odstavekseznama"/>
        <w:numPr>
          <w:ilvl w:val="0"/>
          <w:numId w:val="18"/>
        </w:numPr>
        <w:rPr>
          <w:rFonts w:ascii="Arial" w:hAnsi="Arial" w:cs="Arial"/>
          <w:sz w:val="20"/>
        </w:rPr>
      </w:pPr>
      <w:r w:rsidRPr="00E82073">
        <w:rPr>
          <w:rFonts w:ascii="Arial" w:hAnsi="Arial" w:cs="Arial"/>
          <w:sz w:val="20"/>
        </w:rPr>
        <w:t xml:space="preserve">Mnenje SVZ št. </w:t>
      </w:r>
      <w:r w:rsidR="004E0CE3" w:rsidRPr="00E82073">
        <w:rPr>
          <w:rFonts w:ascii="Arial" w:hAnsi="Arial" w:cs="Arial"/>
          <w:sz w:val="20"/>
        </w:rPr>
        <w:t>410</w:t>
      </w:r>
      <w:r w:rsidR="00E95F0F" w:rsidRPr="00E82073">
        <w:rPr>
          <w:rFonts w:ascii="Arial" w:hAnsi="Arial" w:cs="Arial"/>
          <w:sz w:val="20"/>
        </w:rPr>
        <w:t>-</w:t>
      </w:r>
      <w:r w:rsidR="00CE4819" w:rsidRPr="00E82073">
        <w:rPr>
          <w:rFonts w:ascii="Arial" w:hAnsi="Arial" w:cs="Arial"/>
          <w:sz w:val="20"/>
        </w:rPr>
        <w:t>30</w:t>
      </w:r>
      <w:r w:rsidR="00E95F0F" w:rsidRPr="00E82073">
        <w:rPr>
          <w:rFonts w:ascii="Arial" w:hAnsi="Arial" w:cs="Arial"/>
          <w:sz w:val="20"/>
        </w:rPr>
        <w:t>/202</w:t>
      </w:r>
      <w:r w:rsidR="004E0CE3" w:rsidRPr="00E82073">
        <w:rPr>
          <w:rFonts w:ascii="Arial" w:hAnsi="Arial" w:cs="Arial"/>
          <w:sz w:val="20"/>
        </w:rPr>
        <w:t>5</w:t>
      </w:r>
      <w:r w:rsidR="00E95F0F" w:rsidRPr="00E82073">
        <w:rPr>
          <w:rFonts w:ascii="Arial" w:hAnsi="Arial" w:cs="Arial"/>
          <w:sz w:val="20"/>
        </w:rPr>
        <w:t>/2</w:t>
      </w:r>
      <w:r w:rsidRPr="00E82073">
        <w:rPr>
          <w:rFonts w:ascii="Arial" w:hAnsi="Arial" w:cs="Arial"/>
          <w:sz w:val="20"/>
        </w:rPr>
        <w:t xml:space="preserve"> z dne </w:t>
      </w:r>
      <w:r w:rsidR="00CE4819" w:rsidRPr="00E82073">
        <w:rPr>
          <w:rFonts w:ascii="Arial" w:hAnsi="Arial" w:cs="Arial"/>
          <w:sz w:val="20"/>
        </w:rPr>
        <w:t>21</w:t>
      </w:r>
      <w:r w:rsidR="004E0CE3" w:rsidRPr="00E82073">
        <w:rPr>
          <w:rFonts w:ascii="Arial" w:hAnsi="Arial" w:cs="Arial"/>
          <w:sz w:val="20"/>
        </w:rPr>
        <w:t xml:space="preserve">. </w:t>
      </w:r>
      <w:r w:rsidR="00CE4819" w:rsidRPr="00E82073">
        <w:rPr>
          <w:rFonts w:ascii="Arial" w:hAnsi="Arial" w:cs="Arial"/>
          <w:sz w:val="20"/>
        </w:rPr>
        <w:t>3</w:t>
      </w:r>
      <w:r w:rsidR="004E0CE3" w:rsidRPr="00E82073">
        <w:rPr>
          <w:rFonts w:ascii="Arial" w:hAnsi="Arial" w:cs="Arial"/>
          <w:sz w:val="20"/>
        </w:rPr>
        <w:t>. 2025</w:t>
      </w:r>
      <w:r w:rsidR="00CD68A5">
        <w:rPr>
          <w:rFonts w:ascii="Arial" w:hAnsi="Arial" w:cs="Arial"/>
          <w:sz w:val="20"/>
        </w:rPr>
        <w:t>;</w:t>
      </w:r>
    </w:p>
    <w:p w14:paraId="5A01A2A7" w14:textId="28C45965" w:rsidR="00CE4819" w:rsidRPr="00E82073" w:rsidRDefault="00CE4819" w:rsidP="00CE4819">
      <w:pPr>
        <w:pStyle w:val="Odstavekseznama"/>
        <w:numPr>
          <w:ilvl w:val="0"/>
          <w:numId w:val="18"/>
        </w:numPr>
        <w:rPr>
          <w:rFonts w:ascii="Arial" w:hAnsi="Arial" w:cs="Arial"/>
          <w:sz w:val="20"/>
        </w:rPr>
      </w:pPr>
      <w:r w:rsidRPr="00E82073">
        <w:rPr>
          <w:rFonts w:ascii="Arial" w:hAnsi="Arial" w:cs="Arial"/>
          <w:sz w:val="20"/>
        </w:rPr>
        <w:t xml:space="preserve">Mnenje </w:t>
      </w:r>
      <w:r w:rsidR="00B37B2A" w:rsidRPr="00E82073">
        <w:rPr>
          <w:rFonts w:ascii="Arial" w:hAnsi="Arial" w:cs="Arial"/>
          <w:sz w:val="20"/>
        </w:rPr>
        <w:t>MP</w:t>
      </w:r>
      <w:r w:rsidR="00E82073" w:rsidRPr="00E82073">
        <w:rPr>
          <w:rFonts w:ascii="Arial" w:hAnsi="Arial" w:cs="Arial"/>
          <w:sz w:val="20"/>
        </w:rPr>
        <w:t xml:space="preserve"> št. 007-40/2025/6 z dne 21. 3. 2025</w:t>
      </w:r>
      <w:r w:rsidR="00CD68A5">
        <w:rPr>
          <w:rFonts w:ascii="Arial" w:hAnsi="Arial" w:cs="Arial"/>
          <w:sz w:val="20"/>
        </w:rPr>
        <w:t>;</w:t>
      </w:r>
    </w:p>
    <w:p w14:paraId="0F2CCC1D" w14:textId="0FA6409A" w:rsidR="00B37B2A" w:rsidRPr="00E82073" w:rsidRDefault="00B37B2A" w:rsidP="00CE4819">
      <w:pPr>
        <w:pStyle w:val="Odstavekseznama"/>
        <w:numPr>
          <w:ilvl w:val="0"/>
          <w:numId w:val="18"/>
        </w:numPr>
        <w:rPr>
          <w:rFonts w:ascii="Arial" w:hAnsi="Arial" w:cs="Arial"/>
          <w:sz w:val="20"/>
        </w:rPr>
      </w:pPr>
      <w:r w:rsidRPr="00E82073">
        <w:rPr>
          <w:rFonts w:ascii="Arial" w:hAnsi="Arial" w:cs="Arial"/>
          <w:sz w:val="20"/>
        </w:rPr>
        <w:t>Mnenje MDDSZ št.</w:t>
      </w:r>
      <w:r w:rsidR="00E82073" w:rsidRPr="00E82073">
        <w:rPr>
          <w:rFonts w:ascii="Arial" w:hAnsi="Arial" w:cs="Arial"/>
          <w:sz w:val="20"/>
        </w:rPr>
        <w:t xml:space="preserve"> 007-47/2025/5 z dne 24. 3. 2025</w:t>
      </w:r>
      <w:r w:rsidR="00CD68A5">
        <w:rPr>
          <w:rFonts w:ascii="Arial" w:hAnsi="Arial" w:cs="Arial"/>
          <w:sz w:val="20"/>
        </w:rPr>
        <w:t>;</w:t>
      </w:r>
    </w:p>
    <w:p w14:paraId="6F83396E" w14:textId="77777777" w:rsidR="006E47A6" w:rsidRDefault="00E82073" w:rsidP="00CE4819">
      <w:pPr>
        <w:pStyle w:val="Odstavekseznama"/>
        <w:numPr>
          <w:ilvl w:val="0"/>
          <w:numId w:val="18"/>
        </w:numPr>
        <w:rPr>
          <w:rFonts w:ascii="Arial" w:hAnsi="Arial" w:cs="Arial"/>
          <w:sz w:val="20"/>
        </w:rPr>
      </w:pPr>
      <w:r w:rsidRPr="00E82073">
        <w:rPr>
          <w:rFonts w:ascii="Arial" w:hAnsi="Arial" w:cs="Arial"/>
          <w:sz w:val="20"/>
        </w:rPr>
        <w:t>Mnenje IP št. 007-23/2025/3 z dne 24. 3. 2025</w:t>
      </w:r>
      <w:r w:rsidR="006E47A6">
        <w:rPr>
          <w:rFonts w:ascii="Arial" w:hAnsi="Arial" w:cs="Arial"/>
          <w:sz w:val="20"/>
        </w:rPr>
        <w:t>;</w:t>
      </w:r>
    </w:p>
    <w:p w14:paraId="0CA74602" w14:textId="4B50BCEC" w:rsidR="006E47A6" w:rsidRDefault="006E47A6" w:rsidP="00CE4819">
      <w:pPr>
        <w:pStyle w:val="Odstavekseznama"/>
        <w:numPr>
          <w:ilvl w:val="0"/>
          <w:numId w:val="18"/>
        </w:numPr>
        <w:rPr>
          <w:rFonts w:ascii="Arial" w:hAnsi="Arial" w:cs="Arial"/>
          <w:sz w:val="20"/>
        </w:rPr>
      </w:pPr>
      <w:r>
        <w:rPr>
          <w:rFonts w:ascii="Arial" w:hAnsi="Arial" w:cs="Arial"/>
          <w:sz w:val="20"/>
        </w:rPr>
        <w:t>Odgovor SVZ-ju št</w:t>
      </w:r>
      <w:r w:rsidR="00540BE8">
        <w:rPr>
          <w:rFonts w:ascii="Arial" w:hAnsi="Arial" w:cs="Arial"/>
          <w:sz w:val="20"/>
        </w:rPr>
        <w:t>.</w:t>
      </w:r>
      <w:r w:rsidR="00540BE8" w:rsidRPr="00540BE8">
        <w:t xml:space="preserve"> </w:t>
      </w:r>
      <w:r w:rsidR="00540BE8" w:rsidRPr="00540BE8">
        <w:rPr>
          <w:rFonts w:ascii="Arial" w:hAnsi="Arial" w:cs="Arial"/>
          <w:sz w:val="20"/>
        </w:rPr>
        <w:t>007-983/2024/75</w:t>
      </w:r>
      <w:r w:rsidR="00540BE8">
        <w:rPr>
          <w:rFonts w:ascii="Arial" w:hAnsi="Arial" w:cs="Arial"/>
          <w:sz w:val="20"/>
        </w:rPr>
        <w:t xml:space="preserve"> z dne 9. 4. 2025;</w:t>
      </w:r>
    </w:p>
    <w:p w14:paraId="40458C87" w14:textId="12EBE141" w:rsidR="00427CE1" w:rsidRDefault="00427CE1" w:rsidP="00CE4819">
      <w:pPr>
        <w:pStyle w:val="Odstavekseznama"/>
        <w:numPr>
          <w:ilvl w:val="0"/>
          <w:numId w:val="18"/>
        </w:numPr>
        <w:rPr>
          <w:rFonts w:ascii="Arial" w:hAnsi="Arial" w:cs="Arial"/>
          <w:sz w:val="20"/>
        </w:rPr>
      </w:pPr>
      <w:r w:rsidRPr="00E82073">
        <w:rPr>
          <w:rFonts w:ascii="Arial" w:hAnsi="Arial" w:cs="Arial"/>
          <w:sz w:val="20"/>
        </w:rPr>
        <w:t>Mnenje SVZ št. 410-30/2025/</w:t>
      </w:r>
      <w:r w:rsidR="00F165DF">
        <w:rPr>
          <w:rFonts w:ascii="Arial" w:hAnsi="Arial" w:cs="Arial"/>
          <w:sz w:val="20"/>
        </w:rPr>
        <w:t>4</w:t>
      </w:r>
      <w:r w:rsidRPr="00E82073">
        <w:rPr>
          <w:rFonts w:ascii="Arial" w:hAnsi="Arial" w:cs="Arial"/>
          <w:sz w:val="20"/>
        </w:rPr>
        <w:t xml:space="preserve"> z dne </w:t>
      </w:r>
      <w:r w:rsidR="00F165DF">
        <w:rPr>
          <w:rFonts w:ascii="Arial" w:hAnsi="Arial" w:cs="Arial"/>
          <w:sz w:val="20"/>
        </w:rPr>
        <w:t>11</w:t>
      </w:r>
      <w:r w:rsidRPr="00E82073">
        <w:rPr>
          <w:rFonts w:ascii="Arial" w:hAnsi="Arial" w:cs="Arial"/>
          <w:sz w:val="20"/>
        </w:rPr>
        <w:t xml:space="preserve">. </w:t>
      </w:r>
      <w:r w:rsidR="00F165DF">
        <w:rPr>
          <w:rFonts w:ascii="Arial" w:hAnsi="Arial" w:cs="Arial"/>
          <w:sz w:val="20"/>
        </w:rPr>
        <w:t>4</w:t>
      </w:r>
      <w:r w:rsidRPr="00E82073">
        <w:rPr>
          <w:rFonts w:ascii="Arial" w:hAnsi="Arial" w:cs="Arial"/>
          <w:sz w:val="20"/>
        </w:rPr>
        <w:t>. 2025</w:t>
      </w:r>
      <w:r w:rsidR="006E2E5C">
        <w:rPr>
          <w:rFonts w:ascii="Arial" w:hAnsi="Arial" w:cs="Arial"/>
          <w:sz w:val="20"/>
        </w:rPr>
        <w:t>;</w:t>
      </w:r>
    </w:p>
    <w:p w14:paraId="27665274" w14:textId="77777777" w:rsidR="00B410C7" w:rsidRDefault="006E47A6" w:rsidP="00CE4819">
      <w:pPr>
        <w:pStyle w:val="Odstavekseznama"/>
        <w:numPr>
          <w:ilvl w:val="0"/>
          <w:numId w:val="18"/>
        </w:numPr>
        <w:rPr>
          <w:rFonts w:ascii="Arial" w:hAnsi="Arial" w:cs="Arial"/>
          <w:sz w:val="20"/>
        </w:rPr>
      </w:pPr>
      <w:r>
        <w:rPr>
          <w:rFonts w:ascii="Arial" w:hAnsi="Arial" w:cs="Arial"/>
          <w:sz w:val="20"/>
        </w:rPr>
        <w:t xml:space="preserve">Odgovor SVZ-ju </w:t>
      </w:r>
      <w:r w:rsidR="00540BE8">
        <w:rPr>
          <w:rFonts w:ascii="Arial" w:hAnsi="Arial" w:cs="Arial"/>
          <w:sz w:val="20"/>
        </w:rPr>
        <w:t>š</w:t>
      </w:r>
      <w:r>
        <w:rPr>
          <w:rFonts w:ascii="Arial" w:hAnsi="Arial" w:cs="Arial"/>
          <w:sz w:val="20"/>
        </w:rPr>
        <w:t>t</w:t>
      </w:r>
      <w:r w:rsidR="00540BE8">
        <w:rPr>
          <w:rFonts w:ascii="Arial" w:hAnsi="Arial" w:cs="Arial"/>
          <w:sz w:val="20"/>
        </w:rPr>
        <w:t xml:space="preserve"> </w:t>
      </w:r>
      <w:r w:rsidR="00540BE8" w:rsidRPr="00540BE8">
        <w:rPr>
          <w:rFonts w:ascii="Arial" w:hAnsi="Arial" w:cs="Arial"/>
          <w:sz w:val="20"/>
        </w:rPr>
        <w:t>007-983/</w:t>
      </w:r>
      <w:r w:rsidR="00540BE8" w:rsidRPr="00571FE1">
        <w:rPr>
          <w:rFonts w:ascii="Arial" w:hAnsi="Arial" w:cs="Arial"/>
          <w:sz w:val="20"/>
        </w:rPr>
        <w:t>2024/</w:t>
      </w:r>
      <w:r w:rsidR="00132453" w:rsidRPr="00571FE1">
        <w:rPr>
          <w:rFonts w:ascii="Arial" w:hAnsi="Arial" w:cs="Arial"/>
          <w:sz w:val="20"/>
        </w:rPr>
        <w:t>8</w:t>
      </w:r>
      <w:r w:rsidR="00132453">
        <w:rPr>
          <w:rFonts w:ascii="Arial" w:hAnsi="Arial" w:cs="Arial"/>
          <w:sz w:val="20"/>
        </w:rPr>
        <w:t>1</w:t>
      </w:r>
      <w:r w:rsidR="00132453" w:rsidRPr="00571FE1">
        <w:rPr>
          <w:rFonts w:ascii="Arial" w:hAnsi="Arial" w:cs="Arial"/>
          <w:sz w:val="20"/>
        </w:rPr>
        <w:t xml:space="preserve"> </w:t>
      </w:r>
      <w:r w:rsidR="00540BE8" w:rsidRPr="00571FE1">
        <w:rPr>
          <w:rFonts w:ascii="Arial" w:hAnsi="Arial" w:cs="Arial"/>
          <w:sz w:val="20"/>
        </w:rPr>
        <w:t>z</w:t>
      </w:r>
      <w:r w:rsidR="00540BE8" w:rsidRPr="00540BE8">
        <w:rPr>
          <w:rFonts w:ascii="Arial" w:hAnsi="Arial" w:cs="Arial"/>
          <w:sz w:val="20"/>
        </w:rPr>
        <w:t xml:space="preserve"> dne </w:t>
      </w:r>
      <w:r w:rsidR="00540BE8">
        <w:rPr>
          <w:rFonts w:ascii="Arial" w:hAnsi="Arial" w:cs="Arial"/>
          <w:sz w:val="20"/>
        </w:rPr>
        <w:t>14</w:t>
      </w:r>
      <w:r w:rsidR="00540BE8" w:rsidRPr="00540BE8">
        <w:rPr>
          <w:rFonts w:ascii="Arial" w:hAnsi="Arial" w:cs="Arial"/>
          <w:sz w:val="20"/>
        </w:rPr>
        <w:t>. 4. 2025</w:t>
      </w:r>
      <w:r w:rsidR="00B410C7">
        <w:rPr>
          <w:rFonts w:ascii="Arial" w:hAnsi="Arial" w:cs="Arial"/>
          <w:sz w:val="20"/>
        </w:rPr>
        <w:t>;</w:t>
      </w:r>
    </w:p>
    <w:p w14:paraId="671825A3" w14:textId="233FE136" w:rsidR="00E82073" w:rsidRPr="00E82073" w:rsidRDefault="00B410C7" w:rsidP="00CE4819">
      <w:pPr>
        <w:pStyle w:val="Odstavekseznama"/>
        <w:numPr>
          <w:ilvl w:val="0"/>
          <w:numId w:val="18"/>
        </w:numPr>
        <w:rPr>
          <w:rFonts w:ascii="Arial" w:hAnsi="Arial" w:cs="Arial"/>
          <w:sz w:val="20"/>
        </w:rPr>
      </w:pPr>
      <w:r>
        <w:rPr>
          <w:rFonts w:ascii="Arial" w:hAnsi="Arial" w:cs="Arial"/>
          <w:sz w:val="20"/>
        </w:rPr>
        <w:t xml:space="preserve">MSP test z dne </w:t>
      </w:r>
      <w:r w:rsidRPr="00B410C7">
        <w:rPr>
          <w:rFonts w:ascii="Arial" w:hAnsi="Arial" w:cs="Arial"/>
          <w:sz w:val="20"/>
        </w:rPr>
        <w:t>26.</w:t>
      </w:r>
      <w:r>
        <w:rPr>
          <w:rFonts w:ascii="Arial" w:hAnsi="Arial" w:cs="Arial"/>
          <w:sz w:val="20"/>
        </w:rPr>
        <w:t xml:space="preserve"> </w:t>
      </w:r>
      <w:r w:rsidRPr="00B410C7">
        <w:rPr>
          <w:rFonts w:ascii="Arial" w:hAnsi="Arial" w:cs="Arial"/>
          <w:sz w:val="20"/>
        </w:rPr>
        <w:t>2.</w:t>
      </w:r>
      <w:r>
        <w:rPr>
          <w:rFonts w:ascii="Arial" w:hAnsi="Arial" w:cs="Arial"/>
          <w:sz w:val="20"/>
        </w:rPr>
        <w:t xml:space="preserve"> </w:t>
      </w:r>
      <w:r w:rsidRPr="00B410C7">
        <w:rPr>
          <w:rFonts w:ascii="Arial" w:hAnsi="Arial" w:cs="Arial"/>
          <w:sz w:val="20"/>
        </w:rPr>
        <w:t>2025</w:t>
      </w:r>
      <w:r w:rsidR="00540BE8">
        <w:rPr>
          <w:rFonts w:ascii="Arial" w:hAnsi="Arial" w:cs="Arial"/>
          <w:sz w:val="20"/>
        </w:rPr>
        <w:t>.</w:t>
      </w:r>
    </w:p>
    <w:p w14:paraId="3DEC154C" w14:textId="32EED969" w:rsidR="009230AE" w:rsidRPr="00030BAE" w:rsidRDefault="009230AE" w:rsidP="001F4B51">
      <w:pPr>
        <w:pStyle w:val="Odstavekseznama"/>
        <w:rPr>
          <w:rFonts w:ascii="Arial" w:hAnsi="Arial" w:cs="Arial"/>
          <w:color w:val="FF0000"/>
          <w:sz w:val="20"/>
        </w:rPr>
      </w:pPr>
    </w:p>
    <w:sectPr w:rsidR="009230AE" w:rsidRPr="00030BAE" w:rsidSect="003D39F8">
      <w:footerReference w:type="defaul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5073" w14:textId="77777777" w:rsidR="00500F56" w:rsidRDefault="00500F56">
      <w:r>
        <w:separator/>
      </w:r>
    </w:p>
  </w:endnote>
  <w:endnote w:type="continuationSeparator" w:id="0">
    <w:p w14:paraId="6E7500A1" w14:textId="77777777" w:rsidR="00500F56" w:rsidRDefault="00500F56">
      <w:r>
        <w:continuationSeparator/>
      </w:r>
    </w:p>
  </w:endnote>
  <w:endnote w:type="continuationNotice" w:id="1">
    <w:p w14:paraId="6AC04028" w14:textId="77777777" w:rsidR="00B774CC" w:rsidRDefault="00B77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51F1" w14:textId="77777777" w:rsidR="00A76A31" w:rsidRPr="001941EA" w:rsidRDefault="00A76A31">
    <w:pPr>
      <w:pStyle w:val="Noga"/>
      <w:jc w:val="right"/>
      <w:rPr>
        <w:rFonts w:ascii="Arial" w:hAnsi="Arial" w:cs="Arial"/>
        <w:sz w:val="20"/>
      </w:rPr>
    </w:pPr>
    <w:r w:rsidRPr="001941EA">
      <w:rPr>
        <w:rFonts w:ascii="Arial" w:hAnsi="Arial" w:cs="Arial"/>
        <w:sz w:val="20"/>
      </w:rPr>
      <w:fldChar w:fldCharType="begin"/>
    </w:r>
    <w:r w:rsidRPr="001941EA">
      <w:rPr>
        <w:rFonts w:ascii="Arial" w:hAnsi="Arial" w:cs="Arial"/>
        <w:sz w:val="20"/>
      </w:rPr>
      <w:instrText>PAGE   \* MERGEFORMAT</w:instrText>
    </w:r>
    <w:r w:rsidRPr="001941EA">
      <w:rPr>
        <w:rFonts w:ascii="Arial" w:hAnsi="Arial" w:cs="Arial"/>
        <w:sz w:val="20"/>
      </w:rPr>
      <w:fldChar w:fldCharType="separate"/>
    </w:r>
    <w:r w:rsidR="0064061C">
      <w:rPr>
        <w:rFonts w:ascii="Arial" w:hAnsi="Arial" w:cs="Arial"/>
        <w:noProof/>
        <w:sz w:val="20"/>
      </w:rPr>
      <w:t>1</w:t>
    </w:r>
    <w:r w:rsidRPr="001941EA">
      <w:rPr>
        <w:rFonts w:ascii="Arial" w:hAnsi="Arial" w:cs="Arial"/>
        <w:sz w:val="20"/>
      </w:rPr>
      <w:fldChar w:fldCharType="end"/>
    </w:r>
  </w:p>
  <w:p w14:paraId="3DAF7660" w14:textId="77777777" w:rsidR="00A76A31" w:rsidRDefault="00A76A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C572" w14:textId="77777777" w:rsidR="00500F56" w:rsidRDefault="00500F56">
      <w:r>
        <w:separator/>
      </w:r>
    </w:p>
  </w:footnote>
  <w:footnote w:type="continuationSeparator" w:id="0">
    <w:p w14:paraId="5D6B866F" w14:textId="77777777" w:rsidR="00500F56" w:rsidRDefault="00500F56">
      <w:r>
        <w:continuationSeparator/>
      </w:r>
    </w:p>
  </w:footnote>
  <w:footnote w:type="continuationNotice" w:id="1">
    <w:p w14:paraId="2826E664" w14:textId="77777777" w:rsidR="00B774CC" w:rsidRDefault="00B774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41E6"/>
    <w:lvl w:ilvl="0">
      <w:start w:val="1"/>
      <w:numFmt w:val="decimal"/>
      <w:pStyle w:val="Alineazatoko"/>
      <w:lvlText w:val="%1."/>
      <w:lvlJc w:val="left"/>
      <w:pPr>
        <w:tabs>
          <w:tab w:val="num" w:pos="1492"/>
        </w:tabs>
        <w:ind w:left="1492" w:hanging="360"/>
      </w:pPr>
      <w:rPr>
        <w:rFonts w:cs="Times New Roman"/>
      </w:rPr>
    </w:lvl>
  </w:abstractNum>
  <w:abstractNum w:abstractNumId="1" w15:restartNumberingAfterBreak="0">
    <w:nsid w:val="0D9F3783"/>
    <w:multiLevelType w:val="hybridMultilevel"/>
    <w:tmpl w:val="91468C7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B622AB2"/>
    <w:multiLevelType w:val="hybridMultilevel"/>
    <w:tmpl w:val="B2EA5A20"/>
    <w:lvl w:ilvl="0" w:tplc="6BAE8174">
      <w:start w:val="2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21A979FF"/>
    <w:multiLevelType w:val="hybridMultilevel"/>
    <w:tmpl w:val="C8E4736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1102DE"/>
    <w:multiLevelType w:val="hybridMultilevel"/>
    <w:tmpl w:val="FCB8E98C"/>
    <w:lvl w:ilvl="0" w:tplc="B5CAB36E">
      <w:start w:val="3"/>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0126EF9"/>
    <w:multiLevelType w:val="hybridMultilevel"/>
    <w:tmpl w:val="AD9CC0CA"/>
    <w:lvl w:ilvl="0" w:tplc="CF48AEA6">
      <w:start w:val="1"/>
      <w:numFmt w:val="bullet"/>
      <w:lvlText w:val="-"/>
      <w:lvlJc w:val="left"/>
      <w:pPr>
        <w:tabs>
          <w:tab w:val="num" w:pos="1080"/>
        </w:tabs>
        <w:ind w:left="1080" w:hanging="360"/>
      </w:pPr>
      <w:rPr>
        <w:rFonts w:ascii="Arial" w:eastAsia="Times New Roman" w:hAnsi="Arial"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9C32F4C"/>
    <w:multiLevelType w:val="hybridMultilevel"/>
    <w:tmpl w:val="AC62B9A4"/>
    <w:lvl w:ilvl="0" w:tplc="076E7B82">
      <w:start w:val="6"/>
      <w:numFmt w:val="bullet"/>
      <w:lvlText w:val="-"/>
      <w:lvlJc w:val="left"/>
      <w:pPr>
        <w:ind w:left="502"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hint="default"/>
      </w:rPr>
    </w:lvl>
    <w:lvl w:ilvl="1" w:tplc="04240003">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50883961"/>
    <w:multiLevelType w:val="hybridMultilevel"/>
    <w:tmpl w:val="82B28A76"/>
    <w:lvl w:ilvl="0" w:tplc="D038A5EA">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50C6AB6"/>
    <w:multiLevelType w:val="hybridMultilevel"/>
    <w:tmpl w:val="3C2A73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EDF2F9D"/>
    <w:multiLevelType w:val="hybridMultilevel"/>
    <w:tmpl w:val="0B588514"/>
    <w:lvl w:ilvl="0" w:tplc="3C4EEFAA">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3314FF"/>
    <w:multiLevelType w:val="hybridMultilevel"/>
    <w:tmpl w:val="3C24C2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734257">
    <w:abstractNumId w:val="8"/>
  </w:num>
  <w:num w:numId="2" w16cid:durableId="852494709">
    <w:abstractNumId w:val="15"/>
  </w:num>
  <w:num w:numId="3" w16cid:durableId="1046642124">
    <w:abstractNumId w:val="16"/>
  </w:num>
  <w:num w:numId="4" w16cid:durableId="1449591312">
    <w:abstractNumId w:val="19"/>
  </w:num>
  <w:num w:numId="5" w16cid:durableId="915819588">
    <w:abstractNumId w:val="10"/>
  </w:num>
  <w:num w:numId="6" w16cid:durableId="1907451223">
    <w:abstractNumId w:val="6"/>
  </w:num>
  <w:num w:numId="7" w16cid:durableId="1575820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5765681">
    <w:abstractNumId w:val="7"/>
  </w:num>
  <w:num w:numId="9" w16cid:durableId="789932699">
    <w:abstractNumId w:val="14"/>
  </w:num>
  <w:num w:numId="10" w16cid:durableId="615791259">
    <w:abstractNumId w:val="5"/>
  </w:num>
  <w:num w:numId="11" w16cid:durableId="712273321">
    <w:abstractNumId w:val="0"/>
  </w:num>
  <w:num w:numId="12" w16cid:durableId="769155515">
    <w:abstractNumId w:val="11"/>
  </w:num>
  <w:num w:numId="13" w16cid:durableId="626735857">
    <w:abstractNumId w:val="2"/>
  </w:num>
  <w:num w:numId="14" w16cid:durableId="1221601403">
    <w:abstractNumId w:val="3"/>
  </w:num>
  <w:num w:numId="15" w16cid:durableId="1824196002">
    <w:abstractNumId w:val="13"/>
  </w:num>
  <w:num w:numId="16" w16cid:durableId="1572036483">
    <w:abstractNumId w:val="17"/>
  </w:num>
  <w:num w:numId="17" w16cid:durableId="1323461809">
    <w:abstractNumId w:val="12"/>
  </w:num>
  <w:num w:numId="18" w16cid:durableId="162857969">
    <w:abstractNumId w:val="9"/>
  </w:num>
  <w:num w:numId="19" w16cid:durableId="1406218832">
    <w:abstractNumId w:val="18"/>
  </w:num>
  <w:num w:numId="20" w16cid:durableId="1027146474">
    <w:abstractNumId w:val="1"/>
  </w:num>
  <w:num w:numId="21" w16cid:durableId="937177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F8"/>
    <w:rsid w:val="00013D71"/>
    <w:rsid w:val="00013E94"/>
    <w:rsid w:val="00030BAE"/>
    <w:rsid w:val="000375B6"/>
    <w:rsid w:val="0004409C"/>
    <w:rsid w:val="00054B70"/>
    <w:rsid w:val="0006150F"/>
    <w:rsid w:val="00073D00"/>
    <w:rsid w:val="0008621A"/>
    <w:rsid w:val="000A27B6"/>
    <w:rsid w:val="000C00D6"/>
    <w:rsid w:val="00104970"/>
    <w:rsid w:val="0011431C"/>
    <w:rsid w:val="001175FC"/>
    <w:rsid w:val="001210E9"/>
    <w:rsid w:val="001259A9"/>
    <w:rsid w:val="00132453"/>
    <w:rsid w:val="00157E83"/>
    <w:rsid w:val="00157F61"/>
    <w:rsid w:val="001729E7"/>
    <w:rsid w:val="001F4B51"/>
    <w:rsid w:val="00235991"/>
    <w:rsid w:val="002569ED"/>
    <w:rsid w:val="00262A33"/>
    <w:rsid w:val="00262FEA"/>
    <w:rsid w:val="002736C2"/>
    <w:rsid w:val="00285E79"/>
    <w:rsid w:val="002930EE"/>
    <w:rsid w:val="002D6F28"/>
    <w:rsid w:val="002E34E0"/>
    <w:rsid w:val="002E39EF"/>
    <w:rsid w:val="002E6E76"/>
    <w:rsid w:val="003328A4"/>
    <w:rsid w:val="003735FE"/>
    <w:rsid w:val="00390E1A"/>
    <w:rsid w:val="003B0C51"/>
    <w:rsid w:val="003C6289"/>
    <w:rsid w:val="003D39F8"/>
    <w:rsid w:val="003E1317"/>
    <w:rsid w:val="003E5599"/>
    <w:rsid w:val="003E6956"/>
    <w:rsid w:val="003E792C"/>
    <w:rsid w:val="003F3FAF"/>
    <w:rsid w:val="00403D78"/>
    <w:rsid w:val="00411126"/>
    <w:rsid w:val="00416432"/>
    <w:rsid w:val="00423CE7"/>
    <w:rsid w:val="00427CE1"/>
    <w:rsid w:val="004400D3"/>
    <w:rsid w:val="004544CC"/>
    <w:rsid w:val="0047021A"/>
    <w:rsid w:val="004975D5"/>
    <w:rsid w:val="004E0CE3"/>
    <w:rsid w:val="004E191D"/>
    <w:rsid w:val="004E2A0D"/>
    <w:rsid w:val="004E3298"/>
    <w:rsid w:val="004F5943"/>
    <w:rsid w:val="00500F56"/>
    <w:rsid w:val="00501F01"/>
    <w:rsid w:val="00502BC0"/>
    <w:rsid w:val="005204AB"/>
    <w:rsid w:val="00530C1E"/>
    <w:rsid w:val="00531289"/>
    <w:rsid w:val="005370CC"/>
    <w:rsid w:val="00540BE8"/>
    <w:rsid w:val="0054582B"/>
    <w:rsid w:val="00571FE1"/>
    <w:rsid w:val="005731F1"/>
    <w:rsid w:val="00582284"/>
    <w:rsid w:val="005944D9"/>
    <w:rsid w:val="005B30E8"/>
    <w:rsid w:val="005B538E"/>
    <w:rsid w:val="005D5EDC"/>
    <w:rsid w:val="005F52F7"/>
    <w:rsid w:val="00614FC4"/>
    <w:rsid w:val="0061501E"/>
    <w:rsid w:val="0064061C"/>
    <w:rsid w:val="006438E3"/>
    <w:rsid w:val="006569D1"/>
    <w:rsid w:val="00664A47"/>
    <w:rsid w:val="006861D0"/>
    <w:rsid w:val="006A0256"/>
    <w:rsid w:val="006A09AA"/>
    <w:rsid w:val="006C5337"/>
    <w:rsid w:val="006E2E5C"/>
    <w:rsid w:val="006E47A6"/>
    <w:rsid w:val="00715F17"/>
    <w:rsid w:val="00727B65"/>
    <w:rsid w:val="007420F5"/>
    <w:rsid w:val="007621CF"/>
    <w:rsid w:val="007801D5"/>
    <w:rsid w:val="007A5091"/>
    <w:rsid w:val="007C44FE"/>
    <w:rsid w:val="007D2D37"/>
    <w:rsid w:val="007D4353"/>
    <w:rsid w:val="007D4A9E"/>
    <w:rsid w:val="007E76FC"/>
    <w:rsid w:val="007F10BA"/>
    <w:rsid w:val="0080704E"/>
    <w:rsid w:val="00844914"/>
    <w:rsid w:val="00862ED1"/>
    <w:rsid w:val="00886695"/>
    <w:rsid w:val="009230AE"/>
    <w:rsid w:val="00947261"/>
    <w:rsid w:val="00955477"/>
    <w:rsid w:val="00970269"/>
    <w:rsid w:val="009820FF"/>
    <w:rsid w:val="009941E9"/>
    <w:rsid w:val="009A1D83"/>
    <w:rsid w:val="009A4DEE"/>
    <w:rsid w:val="009B2EDF"/>
    <w:rsid w:val="009C7425"/>
    <w:rsid w:val="009C7A6F"/>
    <w:rsid w:val="009D22BF"/>
    <w:rsid w:val="009E11AD"/>
    <w:rsid w:val="009E712D"/>
    <w:rsid w:val="00A31A32"/>
    <w:rsid w:val="00A34718"/>
    <w:rsid w:val="00A3529E"/>
    <w:rsid w:val="00A515B9"/>
    <w:rsid w:val="00A61DC7"/>
    <w:rsid w:val="00A76A31"/>
    <w:rsid w:val="00A8150F"/>
    <w:rsid w:val="00A8513A"/>
    <w:rsid w:val="00A93961"/>
    <w:rsid w:val="00A94D06"/>
    <w:rsid w:val="00A96842"/>
    <w:rsid w:val="00AB0C10"/>
    <w:rsid w:val="00AE03BD"/>
    <w:rsid w:val="00B04B9E"/>
    <w:rsid w:val="00B123A9"/>
    <w:rsid w:val="00B37B2A"/>
    <w:rsid w:val="00B410C7"/>
    <w:rsid w:val="00B430D2"/>
    <w:rsid w:val="00B45494"/>
    <w:rsid w:val="00B720C6"/>
    <w:rsid w:val="00B774CC"/>
    <w:rsid w:val="00B80D26"/>
    <w:rsid w:val="00B86632"/>
    <w:rsid w:val="00B924E4"/>
    <w:rsid w:val="00BB0A18"/>
    <w:rsid w:val="00BD3B9B"/>
    <w:rsid w:val="00BD3E5F"/>
    <w:rsid w:val="00C01E65"/>
    <w:rsid w:val="00C0668E"/>
    <w:rsid w:val="00C30E39"/>
    <w:rsid w:val="00C470EA"/>
    <w:rsid w:val="00C60368"/>
    <w:rsid w:val="00C67003"/>
    <w:rsid w:val="00C67E92"/>
    <w:rsid w:val="00C94430"/>
    <w:rsid w:val="00C94D0C"/>
    <w:rsid w:val="00CD1026"/>
    <w:rsid w:val="00CD1D12"/>
    <w:rsid w:val="00CD2BBD"/>
    <w:rsid w:val="00CD4EED"/>
    <w:rsid w:val="00CD68A5"/>
    <w:rsid w:val="00CE4819"/>
    <w:rsid w:val="00CE7B93"/>
    <w:rsid w:val="00D1585D"/>
    <w:rsid w:val="00D17F27"/>
    <w:rsid w:val="00D27C05"/>
    <w:rsid w:val="00D33EBE"/>
    <w:rsid w:val="00D51556"/>
    <w:rsid w:val="00D66E2A"/>
    <w:rsid w:val="00D731ED"/>
    <w:rsid w:val="00D82CF7"/>
    <w:rsid w:val="00D93AB1"/>
    <w:rsid w:val="00DB7499"/>
    <w:rsid w:val="00DD1F62"/>
    <w:rsid w:val="00DD2170"/>
    <w:rsid w:val="00E2790C"/>
    <w:rsid w:val="00E312E7"/>
    <w:rsid w:val="00E43609"/>
    <w:rsid w:val="00E53CE5"/>
    <w:rsid w:val="00E71990"/>
    <w:rsid w:val="00E82073"/>
    <w:rsid w:val="00E93225"/>
    <w:rsid w:val="00E95F0F"/>
    <w:rsid w:val="00EA7023"/>
    <w:rsid w:val="00EB4884"/>
    <w:rsid w:val="00EC1E6E"/>
    <w:rsid w:val="00EC7F72"/>
    <w:rsid w:val="00ED32D7"/>
    <w:rsid w:val="00EE1778"/>
    <w:rsid w:val="00F02540"/>
    <w:rsid w:val="00F03AD3"/>
    <w:rsid w:val="00F05A70"/>
    <w:rsid w:val="00F13D03"/>
    <w:rsid w:val="00F14792"/>
    <w:rsid w:val="00F165DF"/>
    <w:rsid w:val="00F21B21"/>
    <w:rsid w:val="00F505C8"/>
    <w:rsid w:val="00F51F10"/>
    <w:rsid w:val="00F705F8"/>
    <w:rsid w:val="00F94583"/>
    <w:rsid w:val="00F95921"/>
    <w:rsid w:val="00FA2E4B"/>
    <w:rsid w:val="00FC2346"/>
    <w:rsid w:val="00FC2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FB92C"/>
  <w15:chartTrackingRefBased/>
  <w15:docId w15:val="{84E7FFF5-EB5A-407C-914E-6CD0471B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39F8"/>
    <w:pPr>
      <w:overflowPunct w:val="0"/>
      <w:autoSpaceDE w:val="0"/>
      <w:autoSpaceDN w:val="0"/>
      <w:adjustRightInd w:val="0"/>
      <w:jc w:val="both"/>
      <w:textAlignment w:val="baseline"/>
    </w:pPr>
    <w:rPr>
      <w:rFonts w:eastAsia="Calibri"/>
      <w:sz w:val="24"/>
      <w:lang w:eastAsia="en-US"/>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NASLOV"/>
    <w:basedOn w:val="Navaden"/>
    <w:next w:val="Navaden"/>
    <w:link w:val="Naslov1Znak"/>
    <w:qFormat/>
    <w:rsid w:val="003D39F8"/>
    <w:pPr>
      <w:keepNext/>
      <w:spacing w:before="240" w:after="60"/>
      <w:outlineLvl w:val="0"/>
    </w:pPr>
    <w:rPr>
      <w:rFonts w:ascii="Arial" w:hAnsi="Arial"/>
      <w:b/>
      <w:bCs/>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NASLOV Znak"/>
    <w:link w:val="Naslov1"/>
    <w:locked/>
    <w:rsid w:val="003D39F8"/>
    <w:rPr>
      <w:rFonts w:ascii="Arial" w:eastAsia="Calibri" w:hAnsi="Arial"/>
      <w:b/>
      <w:bCs/>
      <w:kern w:val="32"/>
      <w:sz w:val="32"/>
      <w:szCs w:val="32"/>
      <w:lang w:val="sl-SI" w:eastAsia="sl-SI" w:bidi="ar-SA"/>
    </w:rPr>
  </w:style>
  <w:style w:type="character" w:styleId="Hiperpovezava">
    <w:name w:val="Hyperlink"/>
    <w:rsid w:val="003D39F8"/>
    <w:rPr>
      <w:color w:val="0000FF"/>
      <w:u w:val="single"/>
    </w:rPr>
  </w:style>
  <w:style w:type="paragraph" w:customStyle="1" w:styleId="Vrstapredpisa">
    <w:name w:val="Vrsta predpisa"/>
    <w:basedOn w:val="Navaden"/>
    <w:link w:val="VrstapredpisaZnak"/>
    <w:rsid w:val="003D39F8"/>
    <w:pPr>
      <w:suppressAutoHyphens/>
      <w:spacing w:before="360" w:line="220" w:lineRule="exact"/>
      <w:jc w:val="center"/>
    </w:pPr>
    <w:rPr>
      <w:rFonts w:ascii="Arial" w:hAnsi="Arial"/>
      <w:b/>
      <w:bCs/>
      <w:color w:val="000000"/>
      <w:spacing w:val="40"/>
      <w:sz w:val="20"/>
      <w:lang w:eastAsia="sl-SI"/>
    </w:rPr>
  </w:style>
  <w:style w:type="character" w:customStyle="1" w:styleId="VrstapredpisaZnak">
    <w:name w:val="Vrsta predpisa Znak"/>
    <w:link w:val="Vrstapredpisa"/>
    <w:locked/>
    <w:rsid w:val="003D39F8"/>
    <w:rPr>
      <w:rFonts w:ascii="Arial" w:eastAsia="Calibri" w:hAnsi="Arial"/>
      <w:b/>
      <w:bCs/>
      <w:color w:val="000000"/>
      <w:spacing w:val="40"/>
      <w:lang w:val="sl-SI" w:eastAsia="sl-SI" w:bidi="ar-SA"/>
    </w:rPr>
  </w:style>
  <w:style w:type="paragraph" w:customStyle="1" w:styleId="Naslovpredpisa">
    <w:name w:val="Naslov_predpisa"/>
    <w:basedOn w:val="Navaden"/>
    <w:link w:val="NaslovpredpisaZnak"/>
    <w:rsid w:val="003D39F8"/>
    <w:pPr>
      <w:suppressAutoHyphens/>
      <w:spacing w:before="120" w:after="160" w:line="200" w:lineRule="exact"/>
      <w:jc w:val="center"/>
    </w:pPr>
    <w:rPr>
      <w:rFonts w:ascii="Arial" w:hAnsi="Arial"/>
      <w:b/>
      <w:sz w:val="20"/>
      <w:lang w:eastAsia="sl-SI"/>
    </w:rPr>
  </w:style>
  <w:style w:type="character" w:customStyle="1" w:styleId="NaslovpredpisaZnak">
    <w:name w:val="Naslov_predpisa Znak"/>
    <w:link w:val="Naslovpredpisa"/>
    <w:locked/>
    <w:rsid w:val="003D39F8"/>
    <w:rPr>
      <w:rFonts w:ascii="Arial" w:eastAsia="Calibri" w:hAnsi="Arial"/>
      <w:b/>
      <w:lang w:val="sl-SI" w:eastAsia="sl-SI" w:bidi="ar-SA"/>
    </w:rPr>
  </w:style>
  <w:style w:type="paragraph" w:customStyle="1" w:styleId="Poglavje">
    <w:name w:val="Poglavje"/>
    <w:basedOn w:val="Navaden"/>
    <w:rsid w:val="003D39F8"/>
    <w:pPr>
      <w:suppressAutoHyphens/>
      <w:spacing w:before="360" w:after="60" w:line="200" w:lineRule="exact"/>
      <w:jc w:val="center"/>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uiPriority w:val="99"/>
    <w:rsid w:val="003D39F8"/>
    <w:pPr>
      <w:spacing w:before="60" w:after="60" w:line="200" w:lineRule="exact"/>
    </w:pPr>
    <w:rPr>
      <w:rFonts w:ascii="Arial" w:hAnsi="Arial"/>
      <w:sz w:val="20"/>
      <w:lang w:eastAsia="sl-SI"/>
    </w:rPr>
  </w:style>
  <w:style w:type="character" w:customStyle="1" w:styleId="NeotevilenodstavekZnak">
    <w:name w:val="Neoštevilčen odstavek Znak"/>
    <w:link w:val="Neotevilenodstavek"/>
    <w:uiPriority w:val="99"/>
    <w:locked/>
    <w:rsid w:val="003D39F8"/>
    <w:rPr>
      <w:rFonts w:ascii="Arial" w:eastAsia="Calibri" w:hAnsi="Arial"/>
      <w:lang w:val="sl-SI" w:eastAsia="sl-SI" w:bidi="ar-SA"/>
    </w:rPr>
  </w:style>
  <w:style w:type="paragraph" w:customStyle="1" w:styleId="Oddelek">
    <w:name w:val="Oddelek"/>
    <w:basedOn w:val="Navaden"/>
    <w:link w:val="OddelekZnak1"/>
    <w:rsid w:val="003D39F8"/>
    <w:pPr>
      <w:numPr>
        <w:numId w:val="1"/>
      </w:numPr>
      <w:suppressAutoHyphens/>
      <w:spacing w:before="280" w:after="60" w:line="200" w:lineRule="exact"/>
      <w:ind w:left="0" w:firstLine="0"/>
      <w:jc w:val="center"/>
      <w:outlineLvl w:val="3"/>
    </w:pPr>
    <w:rPr>
      <w:rFonts w:ascii="Arial" w:hAnsi="Arial"/>
      <w:b/>
      <w:sz w:val="20"/>
      <w:lang w:eastAsia="sl-SI"/>
    </w:rPr>
  </w:style>
  <w:style w:type="character" w:customStyle="1" w:styleId="OddelekZnak1">
    <w:name w:val="Oddelek Znak1"/>
    <w:link w:val="Oddelek"/>
    <w:locked/>
    <w:rsid w:val="003D39F8"/>
    <w:rPr>
      <w:rFonts w:ascii="Arial" w:eastAsia="Calibri" w:hAnsi="Arial"/>
      <w:b/>
      <w:lang w:val="sl-SI" w:eastAsia="sl-SI" w:bidi="ar-SA"/>
    </w:rPr>
  </w:style>
  <w:style w:type="paragraph" w:styleId="Glava">
    <w:name w:val="header"/>
    <w:basedOn w:val="Navaden"/>
    <w:link w:val="GlavaZnak"/>
    <w:rsid w:val="003D39F8"/>
    <w:pPr>
      <w:tabs>
        <w:tab w:val="center" w:pos="4536"/>
        <w:tab w:val="right" w:pos="9072"/>
      </w:tabs>
    </w:pPr>
    <w:rPr>
      <w:rFonts w:ascii="Calibri" w:eastAsia="Times New Roman" w:hAnsi="Calibri"/>
    </w:rPr>
  </w:style>
  <w:style w:type="character" w:customStyle="1" w:styleId="GlavaZnak">
    <w:name w:val="Glava Znak"/>
    <w:link w:val="Glava"/>
    <w:locked/>
    <w:rsid w:val="003D39F8"/>
    <w:rPr>
      <w:rFonts w:ascii="Calibri" w:hAnsi="Calibri"/>
      <w:sz w:val="24"/>
      <w:lang w:val="sl-SI" w:eastAsia="en-US" w:bidi="ar-SA"/>
    </w:rPr>
  </w:style>
  <w:style w:type="paragraph" w:customStyle="1" w:styleId="podpisi">
    <w:name w:val="podpisi"/>
    <w:basedOn w:val="Navaden"/>
    <w:rsid w:val="003D39F8"/>
    <w:pPr>
      <w:tabs>
        <w:tab w:val="left" w:pos="3402"/>
      </w:tabs>
      <w:overflowPunct/>
      <w:autoSpaceDE/>
      <w:autoSpaceDN/>
      <w:adjustRightInd/>
      <w:spacing w:line="260" w:lineRule="atLeast"/>
      <w:jc w:val="left"/>
      <w:textAlignment w:val="auto"/>
    </w:pPr>
    <w:rPr>
      <w:rFonts w:ascii="Arial" w:hAnsi="Arial"/>
      <w:sz w:val="20"/>
      <w:szCs w:val="24"/>
      <w:lang w:val="it-IT"/>
    </w:rPr>
  </w:style>
  <w:style w:type="paragraph" w:styleId="Noga">
    <w:name w:val="footer"/>
    <w:basedOn w:val="Navaden"/>
    <w:link w:val="NogaZnak"/>
    <w:rsid w:val="003D39F8"/>
    <w:pPr>
      <w:tabs>
        <w:tab w:val="center" w:pos="4536"/>
        <w:tab w:val="right" w:pos="9072"/>
      </w:tabs>
    </w:pPr>
  </w:style>
  <w:style w:type="character" w:customStyle="1" w:styleId="NogaZnak">
    <w:name w:val="Noga Znak"/>
    <w:link w:val="Noga"/>
    <w:locked/>
    <w:rsid w:val="003D39F8"/>
    <w:rPr>
      <w:rFonts w:eastAsia="Calibri"/>
      <w:sz w:val="24"/>
      <w:lang w:val="sl-SI" w:eastAsia="en-US" w:bidi="ar-SA"/>
    </w:rPr>
  </w:style>
  <w:style w:type="paragraph" w:customStyle="1" w:styleId="Odstavekseznama1">
    <w:name w:val="Odstavek seznama1"/>
    <w:basedOn w:val="Navaden"/>
    <w:rsid w:val="003D39F8"/>
    <w:pPr>
      <w:overflowPunct/>
      <w:autoSpaceDE/>
      <w:autoSpaceDN/>
      <w:adjustRightInd/>
      <w:ind w:left="720"/>
      <w:contextualSpacing/>
      <w:jc w:val="left"/>
      <w:textAlignment w:val="auto"/>
    </w:pPr>
    <w:rPr>
      <w:szCs w:val="24"/>
      <w:lang w:eastAsia="sl-SI"/>
    </w:rPr>
  </w:style>
  <w:style w:type="paragraph" w:styleId="Telobesedila">
    <w:name w:val="Body Text"/>
    <w:basedOn w:val="Navaden"/>
    <w:link w:val="TelobesedilaZnak"/>
    <w:rsid w:val="003D39F8"/>
    <w:pPr>
      <w:overflowPunct/>
      <w:autoSpaceDE/>
      <w:autoSpaceDN/>
      <w:adjustRightInd/>
      <w:textAlignment w:val="auto"/>
    </w:pPr>
    <w:rPr>
      <w:rFonts w:ascii="Arial" w:eastAsia="Times New Roman" w:hAnsi="Arial" w:cs="Arial"/>
      <w:sz w:val="22"/>
      <w:szCs w:val="24"/>
    </w:rPr>
  </w:style>
  <w:style w:type="character" w:customStyle="1" w:styleId="TelobesedilaZnak">
    <w:name w:val="Telo besedila Znak"/>
    <w:link w:val="Telobesedila"/>
    <w:locked/>
    <w:rsid w:val="003D39F8"/>
    <w:rPr>
      <w:rFonts w:ascii="Arial" w:hAnsi="Arial" w:cs="Arial"/>
      <w:sz w:val="22"/>
      <w:szCs w:val="24"/>
      <w:lang w:val="sl-SI" w:eastAsia="en-US" w:bidi="ar-SA"/>
    </w:rPr>
  </w:style>
  <w:style w:type="paragraph" w:customStyle="1" w:styleId="Alineazatoko">
    <w:name w:val="Alinea za točko"/>
    <w:basedOn w:val="Navaden"/>
    <w:rsid w:val="003D39F8"/>
    <w:pPr>
      <w:numPr>
        <w:numId w:val="11"/>
      </w:numPr>
      <w:spacing w:line="200" w:lineRule="exact"/>
    </w:pPr>
    <w:rPr>
      <w:rFonts w:ascii="Arial" w:eastAsia="Times New Roman" w:hAnsi="Arial" w:cs="Arial"/>
      <w:sz w:val="22"/>
      <w:szCs w:val="22"/>
      <w:lang w:eastAsia="sl-SI"/>
    </w:rPr>
  </w:style>
  <w:style w:type="paragraph" w:customStyle="1" w:styleId="Alineazaodstavkom">
    <w:name w:val="Alinea za odstavkom"/>
    <w:basedOn w:val="Alineazatoko"/>
    <w:link w:val="AlineazaodstavkomZnak"/>
    <w:rsid w:val="003D39F8"/>
    <w:pPr>
      <w:ind w:left="709" w:hanging="284"/>
    </w:pPr>
    <w:rPr>
      <w:rFonts w:eastAsia="Calibri" w:cs="Times New Roman"/>
      <w:sz w:val="20"/>
      <w:szCs w:val="20"/>
    </w:rPr>
  </w:style>
  <w:style w:type="character" w:customStyle="1" w:styleId="AlineazaodstavkomZnak">
    <w:name w:val="Alinea za odstavkom Znak"/>
    <w:link w:val="Alineazaodstavkom"/>
    <w:locked/>
    <w:rsid w:val="003D39F8"/>
    <w:rPr>
      <w:rFonts w:ascii="Arial" w:eastAsia="Calibri" w:hAnsi="Arial"/>
      <w:lang w:val="sl-SI" w:eastAsia="sl-SI" w:bidi="ar-SA"/>
    </w:rPr>
  </w:style>
  <w:style w:type="table" w:styleId="Tabelamrea">
    <w:name w:val="Table Grid"/>
    <w:basedOn w:val="Navadnatabela"/>
    <w:rsid w:val="0080704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rsid w:val="00D51556"/>
    <w:rPr>
      <w:sz w:val="16"/>
      <w:szCs w:val="16"/>
    </w:rPr>
  </w:style>
  <w:style w:type="paragraph" w:styleId="Pripombabesedilo">
    <w:name w:val="annotation text"/>
    <w:basedOn w:val="Navaden"/>
    <w:link w:val="PripombabesediloZnak"/>
    <w:uiPriority w:val="99"/>
    <w:rsid w:val="00D51556"/>
    <w:pPr>
      <w:overflowPunct/>
      <w:autoSpaceDE/>
      <w:autoSpaceDN/>
      <w:adjustRightInd/>
      <w:spacing w:line="260" w:lineRule="exact"/>
      <w:jc w:val="left"/>
      <w:textAlignment w:val="auto"/>
    </w:pPr>
    <w:rPr>
      <w:rFonts w:ascii="Arial" w:eastAsia="Times New Roman" w:hAnsi="Arial"/>
      <w:sz w:val="20"/>
      <w:lang w:val="en-US"/>
    </w:rPr>
  </w:style>
  <w:style w:type="character" w:customStyle="1" w:styleId="CommentTextChar">
    <w:name w:val="Comment Text Char"/>
    <w:rsid w:val="00D51556"/>
    <w:rPr>
      <w:rFonts w:eastAsia="Calibri"/>
      <w:lang w:eastAsia="en-US"/>
    </w:rPr>
  </w:style>
  <w:style w:type="character" w:customStyle="1" w:styleId="PripombabesediloZnak">
    <w:name w:val="Pripomba – besedilo Znak"/>
    <w:link w:val="Pripombabesedilo"/>
    <w:uiPriority w:val="99"/>
    <w:rsid w:val="00D51556"/>
    <w:rPr>
      <w:rFonts w:ascii="Arial" w:hAnsi="Arial"/>
      <w:lang w:val="en-US" w:eastAsia="en-US"/>
    </w:rPr>
  </w:style>
  <w:style w:type="paragraph" w:styleId="Besedilooblaka">
    <w:name w:val="Balloon Text"/>
    <w:basedOn w:val="Navaden"/>
    <w:link w:val="BesedilooblakaZnak"/>
    <w:rsid w:val="00D51556"/>
    <w:rPr>
      <w:rFonts w:ascii="Tahoma" w:hAnsi="Tahoma" w:cs="Tahoma"/>
      <w:sz w:val="16"/>
      <w:szCs w:val="16"/>
    </w:rPr>
  </w:style>
  <w:style w:type="character" w:customStyle="1" w:styleId="BesedilooblakaZnak">
    <w:name w:val="Besedilo oblačka Znak"/>
    <w:link w:val="Besedilooblaka"/>
    <w:rsid w:val="00D51556"/>
    <w:rPr>
      <w:rFonts w:ascii="Tahoma" w:eastAsia="Calibri" w:hAnsi="Tahoma" w:cs="Tahoma"/>
      <w:sz w:val="16"/>
      <w:szCs w:val="16"/>
      <w:lang w:eastAsia="en-US"/>
    </w:rPr>
  </w:style>
  <w:style w:type="paragraph" w:styleId="Zadevapripombe">
    <w:name w:val="annotation subject"/>
    <w:basedOn w:val="Pripombabesedilo"/>
    <w:next w:val="Pripombabesedilo"/>
    <w:link w:val="ZadevapripombeZnak"/>
    <w:rsid w:val="004E3298"/>
    <w:pPr>
      <w:overflowPunct w:val="0"/>
      <w:autoSpaceDE w:val="0"/>
      <w:autoSpaceDN w:val="0"/>
      <w:adjustRightInd w:val="0"/>
      <w:spacing w:line="240" w:lineRule="auto"/>
      <w:jc w:val="both"/>
      <w:textAlignment w:val="baseline"/>
    </w:pPr>
    <w:rPr>
      <w:rFonts w:ascii="Times New Roman" w:eastAsia="Calibri" w:hAnsi="Times New Roman"/>
      <w:b/>
      <w:bCs/>
      <w:lang w:val="sl-SI"/>
    </w:rPr>
  </w:style>
  <w:style w:type="character" w:customStyle="1" w:styleId="ZadevapripombeZnak">
    <w:name w:val="Zadeva pripombe Znak"/>
    <w:link w:val="Zadevapripombe"/>
    <w:rsid w:val="004E3298"/>
    <w:rPr>
      <w:rFonts w:ascii="Arial" w:eastAsia="Calibri" w:hAnsi="Arial"/>
      <w:b/>
      <w:bCs/>
      <w:lang w:val="en-US" w:eastAsia="en-US"/>
    </w:rPr>
  </w:style>
  <w:style w:type="paragraph" w:styleId="Odstavekseznama">
    <w:name w:val="List Paragraph"/>
    <w:basedOn w:val="Navaden"/>
    <w:uiPriority w:val="34"/>
    <w:qFormat/>
    <w:rsid w:val="00013D71"/>
    <w:pPr>
      <w:ind w:left="720"/>
      <w:contextualSpacing/>
    </w:pPr>
  </w:style>
  <w:style w:type="paragraph" w:customStyle="1" w:styleId="datumtevilka">
    <w:name w:val="datum številka"/>
    <w:basedOn w:val="Navaden"/>
    <w:qFormat/>
    <w:rsid w:val="00C94D0C"/>
    <w:pPr>
      <w:tabs>
        <w:tab w:val="left" w:pos="1701"/>
      </w:tabs>
      <w:overflowPunct/>
      <w:autoSpaceDE/>
      <w:autoSpaceDN/>
      <w:adjustRightInd/>
      <w:spacing w:line="260" w:lineRule="atLeast"/>
      <w:jc w:val="left"/>
      <w:textAlignment w:val="auto"/>
    </w:pPr>
    <w:rPr>
      <w:rFonts w:ascii="Arial" w:eastAsia="Times New Roman" w:hAnsi="Arial" w:cs="Arial"/>
      <w:sz w:val="20"/>
      <w:lang w:eastAsia="sl-SI"/>
    </w:rPr>
  </w:style>
  <w:style w:type="paragraph" w:styleId="Revizija">
    <w:name w:val="Revision"/>
    <w:hidden/>
    <w:uiPriority w:val="99"/>
    <w:semiHidden/>
    <w:rsid w:val="00F94583"/>
    <w:rPr>
      <w:rFonts w:eastAsia="Calibri"/>
      <w:sz w:val="24"/>
      <w:lang w:eastAsia="en-US"/>
    </w:rPr>
  </w:style>
  <w:style w:type="paragraph" w:styleId="Sprotnaopomba-besedilo">
    <w:name w:val="footnote text"/>
    <w:basedOn w:val="Navaden"/>
    <w:link w:val="Sprotnaopomba-besediloZnak"/>
    <w:rsid w:val="00B37B2A"/>
    <w:pPr>
      <w:overflowPunct/>
      <w:autoSpaceDE/>
      <w:autoSpaceDN/>
      <w:adjustRightInd/>
      <w:spacing w:line="260" w:lineRule="atLeast"/>
      <w:jc w:val="left"/>
      <w:textAlignment w:val="auto"/>
    </w:pPr>
    <w:rPr>
      <w:rFonts w:ascii="Arial" w:eastAsia="Times New Roman" w:hAnsi="Arial"/>
      <w:sz w:val="20"/>
      <w:lang w:val="en-US"/>
    </w:rPr>
  </w:style>
  <w:style w:type="character" w:customStyle="1" w:styleId="Sprotnaopomba-besediloZnak">
    <w:name w:val="Sprotna opomba - besedilo Znak"/>
    <w:basedOn w:val="Privzetapisavaodstavka"/>
    <w:link w:val="Sprotnaopomba-besedilo"/>
    <w:rsid w:val="00B37B2A"/>
    <w:rPr>
      <w:rFonts w:ascii="Arial" w:hAnsi="Arial"/>
      <w:lang w:val="en-US" w:eastAsia="en-US"/>
    </w:rPr>
  </w:style>
  <w:style w:type="character" w:styleId="Sprotnaopomba-sklic">
    <w:name w:val="footnote reference"/>
    <w:basedOn w:val="Privzetapisavaodstavka"/>
    <w:rsid w:val="00B37B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2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mf@gov.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7A7E6561E108F4F8A4FBEBE24469AE6" ma:contentTypeVersion="2" ma:contentTypeDescription="Ustvari nov dokument." ma:contentTypeScope="" ma:versionID="4bd608e0ccb92a5e77f9d49492452c62">
  <xsd:schema xmlns:xsd="http://www.w3.org/2001/XMLSchema" xmlns:xs="http://www.w3.org/2001/XMLSchema" xmlns:p="http://schemas.microsoft.com/office/2006/metadata/properties" xmlns:ns2="151a32cb-68d4-46e2-8990-209d00cbea1a" xmlns:ns3="5e3a6384-3b6b-49ae-bcf7-b979de823623" targetNamespace="http://schemas.microsoft.com/office/2006/metadata/properties" ma:root="true" ma:fieldsID="b2566c72db5190d614a1ad4ee8095677" ns2:_="" ns3:_="">
    <xsd:import namespace="151a32cb-68d4-46e2-8990-209d00cbea1a"/>
    <xsd:import namespace="5e3a6384-3b6b-49ae-bcf7-b979de8236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3a6384-3b6b-49ae-bcf7-b979de823623"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73F56-B433-4F3A-9098-C7457DCFD795}">
  <ds:schemaRefs>
    <ds:schemaRef ds:uri="http://purl.org/dc/terms/"/>
    <ds:schemaRef ds:uri="http://www.w3.org/XML/1998/namespace"/>
    <ds:schemaRef ds:uri="http://schemas.microsoft.com/office/2006/documentManagement/types"/>
    <ds:schemaRef ds:uri="http://schemas.openxmlformats.org/package/2006/metadata/core-properties"/>
    <ds:schemaRef ds:uri="151a32cb-68d4-46e2-8990-209d00cbea1a"/>
    <ds:schemaRef ds:uri="http://purl.org/dc/dcmitype/"/>
    <ds:schemaRef ds:uri="http://schemas.microsoft.com/office/infopath/2007/PartnerControls"/>
    <ds:schemaRef ds:uri="5e3a6384-3b6b-49ae-bcf7-b979de82362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7226D05-F98C-4E84-9099-4492FACD0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5e3a6384-3b6b-49ae-bcf7-b979de82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4913A-579E-404A-B8A5-283881E50BB1}">
  <ds:schemaRefs>
    <ds:schemaRef ds:uri="http://schemas.microsoft.com/sharepoint/events"/>
  </ds:schemaRefs>
</ds:datastoreItem>
</file>

<file path=customXml/itemProps4.xml><?xml version="1.0" encoding="utf-8"?>
<ds:datastoreItem xmlns:ds="http://schemas.openxmlformats.org/officeDocument/2006/customXml" ds:itemID="{33C3EA18-8A23-4A37-966B-FFDF00863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2064</Words>
  <Characters>11700</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13737</CharactersWithSpaces>
  <SharedDoc>false</SharedDoc>
  <HLinks>
    <vt:vector size="6" baseType="variant">
      <vt:variant>
        <vt:i4>3080278</vt:i4>
      </vt:variant>
      <vt:variant>
        <vt:i4>0</vt:i4>
      </vt:variant>
      <vt:variant>
        <vt:i4>0</vt:i4>
      </vt:variant>
      <vt:variant>
        <vt:i4>5</vt:i4>
      </vt:variant>
      <vt:variant>
        <vt:lpwstr>mailto:gp.mf@gov.si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Leon Brčina</cp:lastModifiedBy>
  <cp:revision>9</cp:revision>
  <cp:lastPrinted>2019-03-19T11:19:00Z</cp:lastPrinted>
  <dcterms:created xsi:type="dcterms:W3CDTF">2025-04-14T12:25:00Z</dcterms:created>
  <dcterms:modified xsi:type="dcterms:W3CDTF">2025-04-15T12:17:00Z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0x010100A7A7E6561E108F4F8A4FBEBE24469AE6</vt:lpwstr>
  </property>
</Properties>
</file>