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E4EF" w14:textId="59BBB413" w:rsidR="00F325C2" w:rsidRPr="000079D5" w:rsidRDefault="00F325C2" w:rsidP="000079D5">
      <w:pPr>
        <w:widowControl w:val="0"/>
        <w:suppressAutoHyphens/>
        <w:spacing w:after="360" w:line="360" w:lineRule="auto"/>
        <w:ind w:firstLine="709"/>
        <w:outlineLvl w:val="0"/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</w:pPr>
      <w:r w:rsidRPr="000079D5"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  <w:t xml:space="preserve">Priloga </w:t>
      </w:r>
      <w:r w:rsidR="00252F11" w:rsidRPr="000079D5"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  <w:t>1</w:t>
      </w:r>
      <w:r w:rsidR="00975AC9" w:rsidRPr="000079D5"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  <w:t>1</w:t>
      </w:r>
    </w:p>
    <w:p w14:paraId="735A7332" w14:textId="77777777" w:rsidR="00F325C2" w:rsidRPr="00F325C2" w:rsidRDefault="00F325C2" w:rsidP="00F325C2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Seznam meril za presojo sprejema </w:t>
      </w: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br/>
        <w:t>v akutno bolnišnično obravnavo</w:t>
      </w:r>
    </w:p>
    <w:p w14:paraId="70024537" w14:textId="77777777" w:rsidR="00F325C2" w:rsidRPr="00F325C2" w:rsidRDefault="00F325C2" w:rsidP="00F325C2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sl-SI"/>
        </w:rPr>
      </w:pPr>
    </w:p>
    <w:p w14:paraId="22263928" w14:textId="77777777" w:rsidR="00F325C2" w:rsidRPr="00F325C2" w:rsidRDefault="00F325C2" w:rsidP="00F325C2">
      <w:pPr>
        <w:tabs>
          <w:tab w:val="num" w:pos="568"/>
        </w:tabs>
        <w:spacing w:before="120" w:after="240" w:line="240" w:lineRule="auto"/>
        <w:ind w:left="851" w:hanging="567"/>
        <w:jc w:val="center"/>
        <w:rPr>
          <w:rFonts w:ascii="Arial Narrow" w:eastAsia="Times New Roman" w:hAnsi="Arial Narrow" w:cs="Tahoma"/>
          <w:b/>
          <w:bCs/>
          <w:spacing w:val="40"/>
          <w:sz w:val="24"/>
          <w:szCs w:val="24"/>
          <w:lang w:eastAsia="sl-SI"/>
        </w:rPr>
      </w:pPr>
      <w:r w:rsidRPr="00F325C2">
        <w:rPr>
          <w:rFonts w:ascii="Arial Narrow" w:eastAsia="Times New Roman" w:hAnsi="Arial Narrow" w:cs="Tahoma"/>
          <w:b/>
          <w:bCs/>
          <w:spacing w:val="40"/>
          <w:sz w:val="24"/>
          <w:szCs w:val="24"/>
          <w:lang w:eastAsia="sl-SI"/>
        </w:rPr>
        <w:t>Seznam meril za bolnike stare nad 19 let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"/>
        <w:gridCol w:w="3704"/>
        <w:gridCol w:w="5580"/>
      </w:tblGrid>
      <w:tr w:rsidR="00F325C2" w:rsidRPr="00F325C2" w14:paraId="376BD6CA" w14:textId="77777777" w:rsidTr="00FB3906">
        <w:trPr>
          <w:trHeight w:val="284"/>
          <w:tblHeader/>
          <w:jc w:val="center"/>
        </w:trPr>
        <w:tc>
          <w:tcPr>
            <w:tcW w:w="3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2F6B75D8" w14:textId="77777777" w:rsidR="00F325C2" w:rsidRPr="00F325C2" w:rsidRDefault="00F325C2" w:rsidP="00F325C2">
            <w:pPr>
              <w:spacing w:after="0" w:line="240" w:lineRule="auto"/>
              <w:ind w:left="170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sl-SI"/>
              </w:rPr>
            </w:pPr>
          </w:p>
        </w:tc>
        <w:tc>
          <w:tcPr>
            <w:tcW w:w="3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4894AFCB" w14:textId="77777777" w:rsidR="00F325C2" w:rsidRPr="00F325C2" w:rsidRDefault="00F325C2" w:rsidP="00F325C2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0B28CDCD" w14:textId="77777777" w:rsidR="00F325C2" w:rsidRPr="00F325C2" w:rsidRDefault="00F325C2" w:rsidP="00F325C2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  <w:t>OPOMBE</w:t>
            </w:r>
          </w:p>
        </w:tc>
      </w:tr>
      <w:tr w:rsidR="00F325C2" w:rsidRPr="00F325C2" w14:paraId="43A8FD58" w14:textId="77777777" w:rsidTr="00FB3906">
        <w:trPr>
          <w:jc w:val="center"/>
        </w:trPr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3F1BC864" w14:textId="77777777" w:rsidR="00F325C2" w:rsidRPr="00F325C2" w:rsidRDefault="00F325C2" w:rsidP="00F325C2">
            <w:pPr>
              <w:tabs>
                <w:tab w:val="left" w:pos="720"/>
              </w:tabs>
              <w:spacing w:before="20" w:after="20" w:line="240" w:lineRule="auto"/>
              <w:ind w:left="170"/>
              <w:jc w:val="both"/>
              <w:rPr>
                <w:rFonts w:ascii="Arial Narrow" w:eastAsia="Times New Roman" w:hAnsi="Arial Narrow" w:cs="Arial Narrow"/>
                <w:sz w:val="2"/>
                <w:szCs w:val="2"/>
                <w:lang w:eastAsia="sl-SI"/>
              </w:rPr>
            </w:pPr>
          </w:p>
        </w:tc>
        <w:tc>
          <w:tcPr>
            <w:tcW w:w="3704" w:type="dxa"/>
            <w:tcBorders>
              <w:top w:val="single" w:sz="12" w:space="0" w:color="auto"/>
              <w:bottom w:val="single" w:sz="2" w:space="0" w:color="auto"/>
            </w:tcBorders>
          </w:tcPr>
          <w:p w14:paraId="27E38955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"/>
                <w:szCs w:val="2"/>
                <w:lang w:eastAsia="sl-SI"/>
              </w:rPr>
            </w:pP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F18560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"/>
                <w:szCs w:val="2"/>
                <w:lang w:eastAsia="sl-SI"/>
              </w:rPr>
            </w:pPr>
          </w:p>
        </w:tc>
      </w:tr>
      <w:tr w:rsidR="00F325C2" w:rsidRPr="00F325C2" w14:paraId="5AF82188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F8A7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F6C8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Nenadna nezavest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47E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Vključuje komo ali neodzivnost, ki predstavlja nenadno spremembo bolnikovega normalnega stanja. Vključuje izgubo zavesti zaradi poškodbe, ki je nastala v času hospitalizacije. Izključuje dezorientacijo ali zmedenost.</w:t>
            </w:r>
          </w:p>
        </w:tc>
      </w:tr>
      <w:tr w:rsidR="00F325C2" w:rsidRPr="00F325C2" w14:paraId="27C360A1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5158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8F3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Zelo visok ali nizek srčni utrip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CAC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Frekvenca srčnega utripa pod 50/minuto ali nad 140/minuto zabeleženo vsaj dvakrat v pet minutnem razmaku.</w:t>
            </w:r>
          </w:p>
        </w:tc>
      </w:tr>
      <w:tr w:rsidR="00F325C2" w:rsidRPr="00F325C2" w14:paraId="1840C7B9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D1A4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293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Zelo visok ali nizek krvni pritisk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018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Sistolni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krvni tlak pod 90 ali nad 200 mm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Hg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in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diastolni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krvni tlak pod 60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mmHg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(7,9 kPa) ali nad 120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mmHg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(15,9 kPa).</w:t>
            </w:r>
          </w:p>
        </w:tc>
      </w:tr>
      <w:tr w:rsidR="00F325C2" w:rsidRPr="00F325C2" w14:paraId="52FDA737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C27A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739F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Nenadna izguba motorične sposobnosti pomembnejših delov telesa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888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resne poškodbe (zlomljena medenica, paraliza, poškodbe cele noge ali roke, zlom vratnega dela hrbtenice s tveganjem poškodbe vratnega dela hrbtenjače, akutna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disfagija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s tveganjem aspiracije). Izključuje izolirano poškodbo stopala ali dlani.</w:t>
            </w:r>
          </w:p>
        </w:tc>
      </w:tr>
      <w:tr w:rsidR="00F325C2" w:rsidRPr="00F325C2" w14:paraId="3CC184B0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D2B4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288C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Dlje časa trajajoča povišana telesna temperatura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3E94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Štiri ali več dni prisotna povišana telesna temperatura višja od 38°C.</w:t>
            </w:r>
          </w:p>
        </w:tc>
      </w:tr>
      <w:tr w:rsidR="00F325C2" w:rsidRPr="00F325C2" w14:paraId="0E6E2A55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345E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F195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Aktivna krvavitev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CF80" w14:textId="684D2EB9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krvavitve na katerem koli delu telesa, ki je ni mogoče oskrbeti na urgentnem oddelku. Vključuje tudi sum notranje krvavitve in nevarnost krvavitve pri motnjah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hemostaze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in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trombocitopenijah</w:t>
            </w:r>
            <w:proofErr w:type="spellEnd"/>
            <w:r w:rsidR="00DF3365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.</w:t>
            </w:r>
          </w:p>
        </w:tc>
      </w:tr>
      <w:tr w:rsidR="00F325C2" w:rsidRPr="00F325C2" w14:paraId="46C0E19B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C7A3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7A0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Hude spremembe v ravnovesju elektrolitov ali plinov v krvi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3E45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Meritev opravljena ob prihodu na urgentni oddelek:</w:t>
            </w:r>
          </w:p>
          <w:p w14:paraId="1FF3C8F7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Natrij &lt; 125 ali &gt; 156 mmol/l;</w:t>
            </w:r>
          </w:p>
          <w:p w14:paraId="667174C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Kalij &lt; 3.0 ali &gt; 6,0 mmol/l;</w:t>
            </w:r>
          </w:p>
          <w:p w14:paraId="299A20AE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Bikarbonat &lt; 20 ali &gt; 36 mmol/l;</w:t>
            </w:r>
          </w:p>
          <w:p w14:paraId="18E48F0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Serumski Ca &gt; 3 mmol/l;</w:t>
            </w:r>
          </w:p>
          <w:p w14:paraId="134EBA0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Plinska analiza arterijske krvi:</w:t>
            </w:r>
          </w:p>
          <w:p w14:paraId="4E43A63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pH &lt; 7,3 ali &gt; 7,45,</w:t>
            </w:r>
          </w:p>
          <w:p w14:paraId="144D4A2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pCO2 &gt; 50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mmHg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(6,6 kPa),</w:t>
            </w:r>
          </w:p>
          <w:p w14:paraId="742190E7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pO2 &lt; 60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mmHg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(8,0 kPa).</w:t>
            </w:r>
          </w:p>
        </w:tc>
      </w:tr>
      <w:tr w:rsidR="00F325C2" w:rsidRPr="00F325C2" w14:paraId="6C1E7020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E287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527A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Spremembe  elektrokardiograma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C87F" w14:textId="690462BF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EKG ob sprejemu nakazuje akutno ishemijo srčne mišice</w:t>
            </w:r>
            <w:r w:rsidR="00DF3365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.</w:t>
            </w:r>
          </w:p>
        </w:tc>
      </w:tr>
      <w:tr w:rsidR="00F325C2" w:rsidRPr="00F325C2" w14:paraId="2AB54815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5A1C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D6E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Sum na akutno ishemijo srca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9FD3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Ocena akutne ishemije srčne mišice brez prisotnosti EKG sprememb ali sprememb biokemičnih encimov.</w:t>
            </w:r>
          </w:p>
        </w:tc>
      </w:tr>
      <w:tr w:rsidR="00F325C2" w:rsidRPr="00F325C2" w14:paraId="4186E88E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0CB9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C66F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Bolečina, ki pacienta onesposobi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772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Huda bolečina, ki nakazuje na medicinsko urgenco, ki je ni mogoče opredeliti ali primerno zdraviti na urgentnem oddelku.</w:t>
            </w:r>
          </w:p>
        </w:tc>
      </w:tr>
      <w:tr w:rsidR="00F325C2" w:rsidRPr="00F325C2" w14:paraId="21FF2C93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78EF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518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Parenteralno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zdravljenje in/ali nadomeščanje tekočin in/ali krvnih pripravkov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6BE5" w14:textId="10F826DB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i.v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.,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i.m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. i.t. in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i.a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. aplikacijo terapije vsaj na 12 ur. Prav tako vključuje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parenteralno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prehrano  vsaj na 12 ur. Vključuje tudi stabilizacijo z inzulinom pri mlajših pacientih z nestabilno obliko sladkorne bolezni. Izključuje samo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vdrževanje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venskega kanala. </w:t>
            </w:r>
          </w:p>
        </w:tc>
      </w:tr>
      <w:tr w:rsidR="00F325C2" w:rsidRPr="00F325C2" w14:paraId="73388C55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CAF5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04C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Pomembni postopki v 24 urah po sprejemu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1B3B" w14:textId="74065A4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“Pomemben” pomeni potrebo po uporabi splošne ali regionalne anestezije in obravnavo v specializiranih prostorih (npr. operacijska dvorana) in za ambulantno težko dosegljive diagnostične metode</w:t>
            </w:r>
            <w:r w:rsidR="00DF3365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.</w:t>
            </w:r>
          </w:p>
        </w:tc>
      </w:tr>
      <w:tr w:rsidR="00F325C2" w:rsidRPr="00F325C2" w14:paraId="423F0E4C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9A47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8A4E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Potreba po bolnišnični negi, ki je dostopna le v akutni bolnišnici Potreba po bolnišnični negi, ki je dostopna le v bolnišnici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BD7C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Nega, ki zahteva uporabo opreme ali pripomočkov oziroma izvedbo postopka, ki ga omogoča le zdravljenje v bolnišnici.</w:t>
            </w:r>
          </w:p>
        </w:tc>
      </w:tr>
      <w:tr w:rsidR="00F325C2" w:rsidRPr="00F325C2" w14:paraId="7DE774CA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41B2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F31A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Opazovanje vitalnih funkcij vsaj na vsaki dve uri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F115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telesno temperaturo, srčni utrip, frekvenco dihanja, krvni tlak,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nevrolško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oceno po Glasgow lestvici, telemetrijo ali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monitoriranje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v postelji. Vključuje tudi nadzor medicinskih tehnikov po navodilih zdravnika vsaj pet krat dnevno za bolnike s komo, hudo bolečino v trebuhu ali sumom na notranjo krvavitev v anamnezi.</w:t>
            </w:r>
          </w:p>
        </w:tc>
      </w:tr>
      <w:tr w:rsidR="00F325C2" w:rsidRPr="00F325C2" w14:paraId="4CE53FD8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5222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B9CB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Starejši, oslabel in dispnoičen bolnik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799D" w14:textId="32C2454A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Gre za kombinacijo oslabelosti in klinične diagnoze</w:t>
            </w:r>
            <w:r w:rsidR="00DF3365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.</w:t>
            </w:r>
          </w:p>
        </w:tc>
      </w:tr>
      <w:tr w:rsidR="00F325C2" w:rsidRPr="00F325C2" w14:paraId="118C1EF7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2A12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BDE5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Huda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dispnoe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zaradi bronhialne astme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oz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hudo poslabšanje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dispnoe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pri kroničnih pljučnih bolnikih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CD5C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bolnike z astmo pri katerih se FEV 1 po terapiji ne dvigne na 70 % normalne vrednosti. </w:t>
            </w:r>
          </w:p>
          <w:p w14:paraId="3C653417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bolnike s KOPB in boleznimi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intersticija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pri katerih poslabšanje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dispnoe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ambulantno ni mogoče opredeliti in/ali zdraviti.</w:t>
            </w:r>
          </w:p>
        </w:tc>
      </w:tr>
      <w:tr w:rsidR="00F325C2" w:rsidRPr="00F325C2" w14:paraId="35EA46CD" w14:textId="77777777" w:rsidTr="00FB3906">
        <w:trPr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9D95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2B47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Nezanesljivo domače okolje, brez drugačne možnosti za oskrbo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2DF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Vključuje bojazen pred zlorabo otrok ali žensk in starejše bolnike.</w:t>
            </w:r>
          </w:p>
        </w:tc>
      </w:tr>
      <w:tr w:rsidR="00F325C2" w:rsidRPr="00F325C2" w14:paraId="390F5D0E" w14:textId="77777777" w:rsidTr="00FB3906">
        <w:trPr>
          <w:trHeight w:val="410"/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EE8D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8D6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Ostali neizogibni razlogi za sprejem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D3A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Lahko vključujejo stanja zmedenosti, ki predstavljajo možnost samopoškodbe ali škode za okolico.</w:t>
            </w:r>
          </w:p>
        </w:tc>
      </w:tr>
      <w:tr w:rsidR="00F325C2" w:rsidRPr="00F325C2" w14:paraId="3993E778" w14:textId="77777777" w:rsidTr="00FB3906">
        <w:trPr>
          <w:trHeight w:val="182"/>
          <w:jc w:val="center"/>
        </w:trPr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A752" w14:textId="77777777" w:rsidR="00F325C2" w:rsidRPr="00F325C2" w:rsidRDefault="00F325C2" w:rsidP="00F325C2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C85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Sum na pljučno embolijo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530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Klinični sum na pljučno embolijo ali pljučni infarkt  brez povednih laboratorijskih izvidov.  </w:t>
            </w:r>
          </w:p>
        </w:tc>
      </w:tr>
    </w:tbl>
    <w:p w14:paraId="7A23BBB6" w14:textId="77777777" w:rsidR="00F325C2" w:rsidRPr="00F325C2" w:rsidRDefault="00F325C2" w:rsidP="00F325C2">
      <w:pPr>
        <w:spacing w:after="0" w:line="240" w:lineRule="auto"/>
        <w:jc w:val="both"/>
        <w:rPr>
          <w:rFonts w:ascii="Arial Narrow" w:eastAsia="Times New Roman" w:hAnsi="Arial Narrow" w:cs="Arial Narrow"/>
          <w:szCs w:val="24"/>
          <w:lang w:eastAsia="sl-SI"/>
        </w:rPr>
      </w:pPr>
    </w:p>
    <w:p w14:paraId="47E51C25" w14:textId="77777777" w:rsidR="00F325C2" w:rsidRPr="00F325C2" w:rsidRDefault="00F325C2" w:rsidP="00F325C2">
      <w:pPr>
        <w:spacing w:after="0" w:line="240" w:lineRule="auto"/>
        <w:jc w:val="both"/>
        <w:rPr>
          <w:rFonts w:ascii="Arial Narrow" w:eastAsia="Times New Roman" w:hAnsi="Arial Narrow" w:cs="Arial Narrow"/>
          <w:szCs w:val="24"/>
          <w:lang w:eastAsia="sl-SI"/>
        </w:rPr>
      </w:pPr>
    </w:p>
    <w:p w14:paraId="3B7587FD" w14:textId="77777777" w:rsidR="00F325C2" w:rsidRPr="00F325C2" w:rsidRDefault="00F325C2" w:rsidP="00F325C2">
      <w:pPr>
        <w:tabs>
          <w:tab w:val="num" w:pos="568"/>
        </w:tabs>
        <w:spacing w:after="360" w:line="240" w:lineRule="auto"/>
        <w:ind w:left="851" w:hanging="567"/>
        <w:jc w:val="both"/>
        <w:rPr>
          <w:rFonts w:ascii="Arial Narrow" w:eastAsia="Times New Roman" w:hAnsi="Arial Narrow" w:cs="Tahoma"/>
          <w:b/>
          <w:bCs/>
          <w:spacing w:val="40"/>
          <w:sz w:val="24"/>
          <w:szCs w:val="24"/>
          <w:lang w:eastAsia="sl-SI"/>
        </w:rPr>
      </w:pPr>
      <w:r w:rsidRPr="00F325C2">
        <w:rPr>
          <w:rFonts w:ascii="Arial Narrow" w:eastAsia="Times New Roman" w:hAnsi="Arial Narrow" w:cs="Tahoma"/>
          <w:b/>
          <w:bCs/>
          <w:spacing w:val="40"/>
          <w:sz w:val="24"/>
          <w:szCs w:val="24"/>
          <w:lang w:eastAsia="sl-SI"/>
        </w:rPr>
        <w:t xml:space="preserve">Seznam meril za bolnike s starostjo pod 19 let brez </w:t>
      </w:r>
      <w:proofErr w:type="spellStart"/>
      <w:r w:rsidRPr="00F325C2">
        <w:rPr>
          <w:rFonts w:ascii="Arial Narrow" w:eastAsia="Times New Roman" w:hAnsi="Arial Narrow" w:cs="Tahoma"/>
          <w:b/>
          <w:bCs/>
          <w:spacing w:val="40"/>
          <w:sz w:val="24"/>
          <w:szCs w:val="24"/>
          <w:lang w:eastAsia="sl-SI"/>
        </w:rPr>
        <w:t>neonatologije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630"/>
        <w:gridCol w:w="5189"/>
      </w:tblGrid>
      <w:tr w:rsidR="00F325C2" w:rsidRPr="00F325C2" w14:paraId="4FDB90B9" w14:textId="77777777" w:rsidTr="00FB3906"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</w:tcPr>
          <w:p w14:paraId="26EED8DE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sl-SI"/>
              </w:rPr>
            </w:pP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</w:tcPr>
          <w:p w14:paraId="34027BF7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51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</w:tcPr>
          <w:p w14:paraId="5E5A78D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sl-SI"/>
              </w:rPr>
              <w:t>OPOMBE</w:t>
            </w:r>
          </w:p>
        </w:tc>
      </w:tr>
      <w:tr w:rsidR="00F325C2" w:rsidRPr="00F325C2" w14:paraId="729893C6" w14:textId="77777777" w:rsidTr="00FB3906"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EC43" w14:textId="77777777" w:rsidR="00F325C2" w:rsidRPr="00F325C2" w:rsidRDefault="00F325C2" w:rsidP="00F325C2">
            <w:pPr>
              <w:tabs>
                <w:tab w:val="left" w:pos="643"/>
              </w:tabs>
              <w:spacing w:before="20" w:after="20" w:line="240" w:lineRule="auto"/>
              <w:ind w:left="170"/>
              <w:jc w:val="both"/>
              <w:rPr>
                <w:rFonts w:ascii="Arial Narrow" w:eastAsia="Times New Roman" w:hAnsi="Arial Narrow" w:cs="Arial Narrow"/>
                <w:sz w:val="2"/>
                <w:szCs w:val="2"/>
                <w:lang w:eastAsia="sl-SI"/>
              </w:rPr>
            </w:pP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A52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"/>
                <w:szCs w:val="2"/>
                <w:lang w:eastAsia="sl-SI"/>
              </w:rPr>
            </w:pPr>
          </w:p>
        </w:tc>
        <w:tc>
          <w:tcPr>
            <w:tcW w:w="51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8DD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"/>
                <w:szCs w:val="2"/>
                <w:lang w:eastAsia="sl-SI"/>
              </w:rPr>
            </w:pPr>
          </w:p>
        </w:tc>
      </w:tr>
      <w:tr w:rsidR="00F325C2" w:rsidRPr="00F325C2" w14:paraId="034F6AB8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F9E1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1CC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Motnje stanja zavesti (koma, dezorientacija, zmedenost in neodzivnost, … )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072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558492B7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B883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3EC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Nenadna motnja vida, sluha ali ravnotežja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2F55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32099FA3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5138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A9E8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Nenadna ali postopna izguba motorične sposobnosti ali drugi pomembnejši izpadi v nevrološkem statusu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1DF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373D2D36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F812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ABC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Dlje časa trajajoča povišana telesna temperatura ali stanje zvišane temperature nepojasnjenega vzroka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821C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4CF36342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5492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4AB8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Krvavitev in sum na krvavitev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3AFB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Vključuje krvavitve na katerem koli delu telesa, ki je ni mogoče oskrbeti na urgentnem oddelku. Vključuje tudi sum na notranjo krvavitev.</w:t>
            </w:r>
          </w:p>
        </w:tc>
      </w:tr>
      <w:tr w:rsidR="00F325C2" w:rsidRPr="00F325C2" w14:paraId="166094A0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BE08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6</w:t>
            </w: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17B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Hude spremembe v elektrolitskem,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acidobaznem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ravnovesju krvi ali nizkem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Hb</w:t>
            </w:r>
            <w:proofErr w:type="spellEnd"/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B28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Vključuje pomembna odstopanja od vrednosti, ki so normalne za določeno starostno obdobje.</w:t>
            </w:r>
          </w:p>
        </w:tc>
      </w:tr>
      <w:tr w:rsidR="00F325C2" w:rsidRPr="00F325C2" w14:paraId="35029718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7EB7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FBFC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Srčni utrip izven vrednosti, specifičnih za starost 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D3A8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2FD93A95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3D00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F535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Krvni pritisk izven vrednosti, specifičnih za starost 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9B5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0CA46322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3CE5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9</w:t>
            </w: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041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Stanja, ki jih ni mogoče obvladati v okviru ambulantne obravnave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E914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280D42E7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D20A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966F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Nezanesljivo domače okolje (neupoštevanje osnovnih priporočil zdravljenja) ali zloraba, trpinčenje in zanemarjanje otrok ali sum nanj in ostali neizogibni razlogi za sprejem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012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tudi zmedenost starša ali skrbnika otroka. Lahko vključujejo stanja zmedenosti otroka/mladostnika, ki predstavljajo možnost samopoškodbe ali škode za okolico. </w:t>
            </w:r>
          </w:p>
        </w:tc>
      </w:tr>
      <w:tr w:rsidR="00F325C2" w:rsidRPr="00F325C2" w14:paraId="05A4B431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71AF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1148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Kirurški ali drugi pomembni postopki v prvih 24-ih urah po sprejemu 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AE4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33F542D4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7054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06A8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Potreba po aparaturah dosegljivih le v bolnišnicah 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211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77E0AC27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7FD4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C66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Obravnava v intenzivni enoti in/ali občasna ali stalna uporaba respiratorja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1858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68E02572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3940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1</w:t>
            </w: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0114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Opazovanje vitalnih funkcij vsake 4 ure ali pogosteje po zdravnikovih napotkih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11E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2080FF61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6A24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DE37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Parenteralno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zdravljenje in/ali nadomeščanje tekočin 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B6A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Vključuje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i.v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.,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i.m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. i.t. in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i.a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. aplikacijo terapije. Prav tako vključuje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parenteralno</w:t>
            </w:r>
            <w:proofErr w:type="spellEnd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 prehrano. Vključuje tudi stabilizacijo z inzulinom pri mlajših pacientih z nestabilno obliko sladkorne bolezni. Izključuje samo vzdrževanje venskega kanala.</w:t>
            </w:r>
          </w:p>
        </w:tc>
      </w:tr>
      <w:tr w:rsidR="00F325C2" w:rsidRPr="00F325C2" w14:paraId="0FCAD168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EB42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ED3D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 xml:space="preserve">Potreba po stalnem nadzoru ob kemoterapiji, antibiotični terapiji in </w:t>
            </w:r>
            <w:proofErr w:type="spellStart"/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imunoterapiji</w:t>
            </w:r>
            <w:proofErr w:type="spellEnd"/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01B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6E03E7F8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39EB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1</w:t>
            </w: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D15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Diagnostični in terapevtski postopki, ki zahtevajo opazovanje bolnika in meritve (odvzemi materialov...)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B42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7F3D45CC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05B6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1</w:t>
            </w: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F14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Huda bolečina, ki zahteva nujne diagnostične in terapevtske postopke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382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2AD280A9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9932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F732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Povečano dihalno delo ali mejna saturacija ali PEF pod 60 %.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FF8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668C5541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AA16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EDE7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Nepojasnjeno vročinsko stanje z izpuščaji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7D93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567028F6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8B56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2B39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Sum na infekcijo centralnega živčnega sistema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006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2FEF138B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5264" w14:textId="77777777" w:rsidR="00F325C2" w:rsidRPr="00F325C2" w:rsidRDefault="00F325C2" w:rsidP="00F325C2">
            <w:pPr>
              <w:numPr>
                <w:ilvl w:val="0"/>
                <w:numId w:val="2"/>
              </w:numPr>
              <w:tabs>
                <w:tab w:val="left" w:pos="643"/>
              </w:tabs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2</w:t>
            </w: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ab/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84D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  <w:r w:rsidRPr="00F325C2"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  <w:t>Sum na tropsko bolezen ali bolezen, ki zahteva popolno osamitev ali karanteno</w:t>
            </w: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3280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  <w:tr w:rsidR="00F325C2" w:rsidRPr="00F325C2" w14:paraId="7C2C815E" w14:textId="77777777" w:rsidTr="00FB3906"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9A6F" w14:textId="77777777" w:rsidR="00F325C2" w:rsidRPr="00F325C2" w:rsidRDefault="00F325C2" w:rsidP="00F325C2">
            <w:pPr>
              <w:tabs>
                <w:tab w:val="left" w:pos="643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  <w:p w14:paraId="47AA4D1F" w14:textId="77777777" w:rsidR="00F325C2" w:rsidRPr="00F325C2" w:rsidRDefault="00F325C2" w:rsidP="00F325C2">
            <w:pPr>
              <w:tabs>
                <w:tab w:val="left" w:pos="643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6BF6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  <w:tc>
          <w:tcPr>
            <w:tcW w:w="5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B11" w14:textId="77777777" w:rsidR="00F325C2" w:rsidRPr="00F325C2" w:rsidRDefault="00F325C2" w:rsidP="00F325C2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17"/>
                <w:szCs w:val="17"/>
                <w:lang w:eastAsia="sl-SI"/>
              </w:rPr>
            </w:pPr>
          </w:p>
        </w:tc>
      </w:tr>
    </w:tbl>
    <w:p w14:paraId="526BFFA3" w14:textId="77777777" w:rsidR="00F325C2" w:rsidRPr="00F325C2" w:rsidRDefault="00F325C2" w:rsidP="00F325C2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sl-SI"/>
        </w:rPr>
        <w:sectPr w:rsidR="00F325C2" w:rsidRPr="00F325C2" w:rsidSect="00ED14C1">
          <w:headerReference w:type="even" r:id="rId10"/>
          <w:headerReference w:type="default" r:id="rId11"/>
          <w:pgSz w:w="11906" w:h="16838" w:code="9"/>
          <w:pgMar w:top="1418" w:right="1418" w:bottom="993" w:left="1418" w:header="709" w:footer="595" w:gutter="0"/>
          <w:cols w:space="708"/>
          <w:docGrid w:linePitch="360"/>
        </w:sectPr>
      </w:pPr>
    </w:p>
    <w:p w14:paraId="4C872F58" w14:textId="77777777" w:rsidR="0012141D" w:rsidRDefault="0012141D" w:rsidP="00BD5228">
      <w:pPr>
        <w:widowControl w:val="0"/>
        <w:tabs>
          <w:tab w:val="left" w:pos="920"/>
          <w:tab w:val="right" w:pos="9070"/>
        </w:tabs>
        <w:suppressAutoHyphens/>
        <w:spacing w:after="360" w:line="360" w:lineRule="auto"/>
        <w:outlineLvl w:val="0"/>
      </w:pPr>
    </w:p>
    <w:sectPr w:rsidR="0012141D" w:rsidSect="00BD5228">
      <w:headerReference w:type="even" r:id="rId12"/>
      <w:headerReference w:type="default" r:id="rId13"/>
      <w:type w:val="continuous"/>
      <w:pgSz w:w="11906" w:h="16838" w:code="9"/>
      <w:pgMar w:top="1418" w:right="1418" w:bottom="1134" w:left="1418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D119" w14:textId="77777777" w:rsidR="00672FD5" w:rsidRDefault="00672FD5" w:rsidP="00672FD5">
      <w:pPr>
        <w:spacing w:after="0" w:line="240" w:lineRule="auto"/>
      </w:pPr>
      <w:r>
        <w:separator/>
      </w:r>
    </w:p>
  </w:endnote>
  <w:endnote w:type="continuationSeparator" w:id="0">
    <w:p w14:paraId="307224EA" w14:textId="77777777" w:rsidR="00672FD5" w:rsidRDefault="00672FD5" w:rsidP="0067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1D12" w14:textId="77777777" w:rsidR="00672FD5" w:rsidRDefault="00672FD5" w:rsidP="00672FD5">
      <w:pPr>
        <w:spacing w:after="0" w:line="240" w:lineRule="auto"/>
      </w:pPr>
      <w:r>
        <w:separator/>
      </w:r>
    </w:p>
  </w:footnote>
  <w:footnote w:type="continuationSeparator" w:id="0">
    <w:p w14:paraId="7AE2548A" w14:textId="77777777" w:rsidR="00672FD5" w:rsidRDefault="00672FD5" w:rsidP="0067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D4E3" w14:textId="77777777" w:rsidR="009301FA" w:rsidRPr="00E20C0B" w:rsidRDefault="00672FD5">
    <w:pPr>
      <w:pStyle w:val="Glava"/>
      <w:rPr>
        <w:b/>
        <w:i/>
        <w:spacing w:val="20"/>
      </w:rPr>
    </w:pPr>
    <w:r w:rsidRPr="00E20C0B">
      <w:rPr>
        <w:b/>
        <w:i/>
        <w:spacing w:val="20"/>
        <w:sz w:val="18"/>
      </w:rPr>
      <w:t>Priloga BOL</w:t>
    </w:r>
    <w:r>
      <w:rPr>
        <w:b/>
        <w:i/>
        <w:spacing w:val="20"/>
        <w:sz w:val="18"/>
      </w:rPr>
      <w:t>-3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43D8" w14:textId="687B78E7" w:rsidR="009301FA" w:rsidRPr="00E20C0B" w:rsidRDefault="009301FA" w:rsidP="00E20C0B">
    <w:pPr>
      <w:pStyle w:val="Glava"/>
      <w:jc w:val="right"/>
      <w:rPr>
        <w:b/>
        <w:i/>
        <w:spacing w:val="2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18AC" w14:textId="77777777" w:rsidR="009301FA" w:rsidRPr="00E20C0B" w:rsidRDefault="00672FD5">
    <w:pPr>
      <w:pStyle w:val="Glava"/>
      <w:rPr>
        <w:b/>
        <w:i/>
        <w:spacing w:val="20"/>
      </w:rPr>
    </w:pPr>
    <w:r w:rsidRPr="00E20C0B">
      <w:rPr>
        <w:b/>
        <w:i/>
        <w:spacing w:val="20"/>
        <w:sz w:val="18"/>
      </w:rPr>
      <w:t>Priloga BOL</w:t>
    </w:r>
    <w:r>
      <w:rPr>
        <w:b/>
        <w:i/>
        <w:spacing w:val="20"/>
        <w:sz w:val="18"/>
      </w:rPr>
      <w:t>-4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4008" w14:textId="7EE081F7" w:rsidR="009301FA" w:rsidRPr="00672FD5" w:rsidRDefault="009301FA" w:rsidP="00672F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747"/>
    <w:multiLevelType w:val="hybridMultilevel"/>
    <w:tmpl w:val="D5BE766C"/>
    <w:lvl w:ilvl="0" w:tplc="2620F0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0C73"/>
    <w:multiLevelType w:val="hybridMultilevel"/>
    <w:tmpl w:val="06AAE072"/>
    <w:lvl w:ilvl="0" w:tplc="2620F09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2796E"/>
    <w:multiLevelType w:val="hybridMultilevel"/>
    <w:tmpl w:val="6E9CF1A4"/>
    <w:lvl w:ilvl="0" w:tplc="FFFFFFFF">
      <w:start w:val="1"/>
      <w:numFmt w:val="decimal"/>
      <w:lvlText w:val="%1."/>
      <w:lvlJc w:val="right"/>
      <w:pPr>
        <w:tabs>
          <w:tab w:val="num" w:pos="-56"/>
        </w:tabs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F1261"/>
    <w:multiLevelType w:val="hybridMultilevel"/>
    <w:tmpl w:val="DA64E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83088"/>
    <w:multiLevelType w:val="hybridMultilevel"/>
    <w:tmpl w:val="33E08A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0E73C2"/>
    <w:multiLevelType w:val="hybridMultilevel"/>
    <w:tmpl w:val="72CA1BE2"/>
    <w:lvl w:ilvl="0" w:tplc="5B5A09F6">
      <w:start w:val="1"/>
      <w:numFmt w:val="decimal"/>
      <w:lvlText w:val="%1."/>
      <w:lvlJc w:val="right"/>
      <w:pPr>
        <w:tabs>
          <w:tab w:val="num" w:pos="0"/>
        </w:tabs>
        <w:ind w:left="0" w:firstLine="1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672736">
    <w:abstractNumId w:val="2"/>
  </w:num>
  <w:num w:numId="2" w16cid:durableId="1194225367">
    <w:abstractNumId w:val="5"/>
  </w:num>
  <w:num w:numId="3" w16cid:durableId="1442799395">
    <w:abstractNumId w:val="1"/>
  </w:num>
  <w:num w:numId="4" w16cid:durableId="1153138547">
    <w:abstractNumId w:val="3"/>
  </w:num>
  <w:num w:numId="5" w16cid:durableId="1942058697">
    <w:abstractNumId w:val="4"/>
  </w:num>
  <w:num w:numId="6" w16cid:durableId="1516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C2"/>
    <w:rsid w:val="000079D5"/>
    <w:rsid w:val="0012141D"/>
    <w:rsid w:val="001C0E1F"/>
    <w:rsid w:val="00252F11"/>
    <w:rsid w:val="00672FD5"/>
    <w:rsid w:val="00721C0A"/>
    <w:rsid w:val="009301FA"/>
    <w:rsid w:val="00975AC9"/>
    <w:rsid w:val="009F7D7F"/>
    <w:rsid w:val="00AD6DD4"/>
    <w:rsid w:val="00BD5228"/>
    <w:rsid w:val="00D33D5B"/>
    <w:rsid w:val="00DF3365"/>
    <w:rsid w:val="00E37573"/>
    <w:rsid w:val="00EC3172"/>
    <w:rsid w:val="00F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C468"/>
  <w15:chartTrackingRefBased/>
  <w15:docId w15:val="{A06C9450-5C41-4410-94CA-489C1C6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F325C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25C2"/>
    <w:rPr>
      <w:rFonts w:ascii="Arial Narrow" w:eastAsia="Times New Roman" w:hAnsi="Arial Narrow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7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2FD5"/>
  </w:style>
  <w:style w:type="paragraph" w:styleId="Revizija">
    <w:name w:val="Revision"/>
    <w:hidden/>
    <w:uiPriority w:val="99"/>
    <w:semiHidden/>
    <w:rsid w:val="00975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D69F6-EF75-4208-8BBE-AF0483D0E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319E8-3DC0-4F4D-B926-35BCBABD7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F3A07-6D95-463D-B4E2-A9C8D2E1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5515</Characters>
  <Application>Microsoft Office Word</Application>
  <DocSecurity>4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Jeromen</dc:creator>
  <cp:keywords/>
  <dc:description/>
  <cp:lastModifiedBy>Tomaž Bregar Horvat</cp:lastModifiedBy>
  <cp:revision>2</cp:revision>
  <dcterms:created xsi:type="dcterms:W3CDTF">2025-01-10T13:39:00Z</dcterms:created>
  <dcterms:modified xsi:type="dcterms:W3CDTF">2025-01-10T13:39:00Z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