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A19D" w14:textId="77777777" w:rsidR="002F331D" w:rsidRPr="00BD6A1D" w:rsidRDefault="002F331D" w:rsidP="002F331D">
      <w:pPr>
        <w:pStyle w:val="Glava"/>
        <w:tabs>
          <w:tab w:val="left" w:pos="5103"/>
        </w:tabs>
        <w:spacing w:line="240" w:lineRule="exact"/>
        <w:ind w:left="5103" w:hanging="4819"/>
        <w:rPr>
          <w:rFonts w:ascii="Arial" w:hAnsi="Arial" w:cs="Arial"/>
          <w:sz w:val="16"/>
          <w:szCs w:val="16"/>
        </w:rPr>
      </w:pPr>
      <w:r w:rsidRPr="005628CE">
        <w:rPr>
          <w:rFonts w:ascii="Arial" w:hAnsi="Arial" w:cs="Arial"/>
          <w:sz w:val="16"/>
          <w:szCs w:val="16"/>
        </w:rPr>
        <w:t>Štukljeva cesta 44</w:t>
      </w:r>
      <w:r w:rsidRPr="00BD6A1D">
        <w:rPr>
          <w:rFonts w:ascii="Arial" w:hAnsi="Arial" w:cs="Arial"/>
          <w:sz w:val="16"/>
          <w:szCs w:val="16"/>
        </w:rPr>
        <w:t>, 1000 Ljubljana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D6A1D">
        <w:rPr>
          <w:rFonts w:ascii="Arial" w:hAnsi="Arial" w:cs="Arial"/>
          <w:sz w:val="16"/>
          <w:szCs w:val="16"/>
        </w:rPr>
        <w:t>T: 01 369 77 00</w:t>
      </w:r>
    </w:p>
    <w:p w14:paraId="3DEEFDCB" w14:textId="77777777" w:rsidR="002F331D" w:rsidRPr="00BD6A1D" w:rsidRDefault="002F331D" w:rsidP="002F331D">
      <w:pPr>
        <w:pStyle w:val="Glava"/>
        <w:tabs>
          <w:tab w:val="left" w:pos="5112"/>
        </w:tabs>
        <w:spacing w:line="240" w:lineRule="exact"/>
        <w:ind w:left="5103"/>
        <w:rPr>
          <w:rFonts w:ascii="Arial" w:hAnsi="Arial" w:cs="Arial"/>
          <w:sz w:val="16"/>
          <w:szCs w:val="16"/>
        </w:rPr>
      </w:pPr>
      <w:r w:rsidRPr="00BD6A1D">
        <w:rPr>
          <w:rFonts w:ascii="Arial" w:hAnsi="Arial" w:cs="Arial"/>
          <w:sz w:val="16"/>
          <w:szCs w:val="16"/>
        </w:rPr>
        <w:t xml:space="preserve">F: 01 369 78 32 </w:t>
      </w:r>
    </w:p>
    <w:p w14:paraId="148B3508" w14:textId="77777777" w:rsidR="002F331D" w:rsidRDefault="002F331D" w:rsidP="002F331D">
      <w:pPr>
        <w:pStyle w:val="Glava"/>
        <w:tabs>
          <w:tab w:val="left" w:pos="5112"/>
        </w:tabs>
        <w:spacing w:line="240" w:lineRule="exact"/>
        <w:ind w:left="5103"/>
        <w:rPr>
          <w:rFonts w:ascii="Arial" w:hAnsi="Arial" w:cs="Arial"/>
          <w:sz w:val="16"/>
          <w:szCs w:val="16"/>
        </w:rPr>
      </w:pPr>
      <w:r w:rsidRPr="00BD6A1D">
        <w:rPr>
          <w:rFonts w:ascii="Arial" w:hAnsi="Arial" w:cs="Arial"/>
          <w:sz w:val="16"/>
          <w:szCs w:val="16"/>
        </w:rPr>
        <w:tab/>
        <w:t xml:space="preserve">E: </w:t>
      </w:r>
      <w:proofErr w:type="spellStart"/>
      <w:r w:rsidRPr="00BD6A1D">
        <w:rPr>
          <w:rFonts w:ascii="Arial" w:hAnsi="Arial" w:cs="Arial"/>
          <w:sz w:val="16"/>
          <w:szCs w:val="16"/>
        </w:rPr>
        <w:t>gp.mddsz@gov.si</w:t>
      </w:r>
      <w:proofErr w:type="spellEnd"/>
      <w:r w:rsidRPr="00BD6A1D">
        <w:rPr>
          <w:rFonts w:ascii="Arial" w:hAnsi="Arial" w:cs="Arial"/>
          <w:sz w:val="16"/>
          <w:szCs w:val="16"/>
        </w:rPr>
        <w:t xml:space="preserve"> </w:t>
      </w:r>
      <w:hyperlink r:id="rId7" w:history="1">
        <w:r w:rsidRPr="004E715C">
          <w:rPr>
            <w:rStyle w:val="Hiperpovezava"/>
            <w:rFonts w:ascii="Arial" w:hAnsi="Arial" w:cs="Arial"/>
            <w:sz w:val="16"/>
            <w:szCs w:val="16"/>
          </w:rPr>
          <w:t>www.mddsz.gov.si</w:t>
        </w:r>
      </w:hyperlink>
    </w:p>
    <w:p w14:paraId="3B7E370B" w14:textId="77777777" w:rsidR="002F331D" w:rsidRPr="00BD6A1D" w:rsidRDefault="002F331D" w:rsidP="002F331D">
      <w:pPr>
        <w:pStyle w:val="Glava"/>
        <w:tabs>
          <w:tab w:val="left" w:pos="5112"/>
        </w:tabs>
        <w:spacing w:line="240" w:lineRule="exact"/>
        <w:ind w:left="5103"/>
        <w:rPr>
          <w:rFonts w:ascii="Arial" w:hAnsi="Arial" w:cs="Arial"/>
          <w:sz w:val="16"/>
          <w:szCs w:val="16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2F331D" w:rsidRPr="00AE1F83" w14:paraId="028F45F9" w14:textId="77777777" w:rsidTr="00A9071C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412713E" w14:textId="77777777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Številka: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0121-1/2024</w:t>
            </w:r>
          </w:p>
        </w:tc>
      </w:tr>
      <w:tr w:rsidR="002F331D" w:rsidRPr="00AE1F83" w14:paraId="2AC07792" w14:textId="77777777" w:rsidTr="00A9071C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D7C0B0B" w14:textId="63AEF3D4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Ljubljana, </w:t>
            </w:r>
            <w:r w:rsidR="003774D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. </w:t>
            </w:r>
            <w:r w:rsidR="00033B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202</w:t>
            </w:r>
            <w:r w:rsidR="00033B0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2F331D" w:rsidRPr="00AE1F83" w14:paraId="0F0A79CE" w14:textId="77777777" w:rsidTr="00A9071C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34B7ECF6" w14:textId="77777777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F331D" w:rsidRPr="00AE1F83" w14:paraId="1CD088D7" w14:textId="77777777" w:rsidTr="00A9071C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FEF7E8C" w14:textId="77777777" w:rsidR="002F331D" w:rsidRPr="00AE1F83" w:rsidRDefault="002F331D" w:rsidP="00A9071C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D688DE" w14:textId="77777777" w:rsidR="002F331D" w:rsidRPr="00AE1F83" w:rsidRDefault="002F331D" w:rsidP="00A9071C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GENERALNI SEKRETARIAT VLADE REPUBLIKE SLOVENIJE</w:t>
            </w:r>
          </w:p>
          <w:p w14:paraId="5E4D757A" w14:textId="77777777" w:rsidR="002F331D" w:rsidRPr="00AE1F83" w:rsidRDefault="00ED19AB" w:rsidP="00A9071C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hyperlink r:id="rId8" w:history="1">
              <w:r w:rsidR="002F331D" w:rsidRPr="00AE1F83">
                <w:rPr>
                  <w:rFonts w:ascii="Arial" w:eastAsia="Times New Roman" w:hAnsi="Arial" w:cs="Times New Roman"/>
                  <w:color w:val="0000FF"/>
                  <w:sz w:val="20"/>
                  <w:szCs w:val="20"/>
                  <w:u w:val="single"/>
                </w:rPr>
                <w:t>Gp.gs@gov.si</w:t>
              </w:r>
            </w:hyperlink>
          </w:p>
          <w:p w14:paraId="5CA0B870" w14:textId="77777777" w:rsidR="002F331D" w:rsidRPr="00AE1F83" w:rsidRDefault="002F331D" w:rsidP="00A9071C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331D" w:rsidRPr="00AE1F83" w14:paraId="343C6CFD" w14:textId="77777777" w:rsidTr="00A9071C">
        <w:tc>
          <w:tcPr>
            <w:tcW w:w="9163" w:type="dxa"/>
            <w:gridSpan w:val="4"/>
          </w:tcPr>
          <w:p w14:paraId="071E6604" w14:textId="0AD51751" w:rsidR="002F331D" w:rsidRPr="00AE1F83" w:rsidRDefault="002F331D" w:rsidP="00A9071C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ZADEVA: </w:t>
            </w:r>
            <w:r w:rsidRPr="00183BB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Poročilo o delu Komisije za odpravljanje posledic dela z azbestom za leto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202</w:t>
            </w:r>
            <w:r w:rsidR="00033B0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</w:t>
            </w:r>
            <w:r w:rsidRPr="00183BB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– predlog za obravnavo</w:t>
            </w:r>
          </w:p>
        </w:tc>
      </w:tr>
      <w:tr w:rsidR="002F331D" w:rsidRPr="00AE1F83" w14:paraId="36355764" w14:textId="77777777" w:rsidTr="00A9071C">
        <w:tc>
          <w:tcPr>
            <w:tcW w:w="9163" w:type="dxa"/>
            <w:gridSpan w:val="4"/>
          </w:tcPr>
          <w:p w14:paraId="0D2DEEF8" w14:textId="77777777" w:rsidR="002F331D" w:rsidRPr="00AE1F83" w:rsidRDefault="002F331D" w:rsidP="00A9071C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sklepov vlade:</w:t>
            </w:r>
          </w:p>
        </w:tc>
      </w:tr>
      <w:tr w:rsidR="002F331D" w:rsidRPr="00AE1F83" w14:paraId="69AD6B54" w14:textId="77777777" w:rsidTr="00A9071C">
        <w:tc>
          <w:tcPr>
            <w:tcW w:w="9163" w:type="dxa"/>
            <w:gridSpan w:val="4"/>
          </w:tcPr>
          <w:p w14:paraId="3766731E" w14:textId="77777777" w:rsidR="002F331D" w:rsidRPr="00691DD4" w:rsidRDefault="002F331D" w:rsidP="00A9071C">
            <w:pPr>
              <w:pStyle w:val="Neotevilenodstavek"/>
              <w:spacing w:before="0" w:after="0" w:line="260" w:lineRule="exact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691DD4">
              <w:rPr>
                <w:rFonts w:cs="Arial"/>
                <w:iCs/>
                <w:sz w:val="20"/>
                <w:szCs w:val="20"/>
                <w:lang w:eastAsia="sl-SI"/>
              </w:rPr>
              <w:t xml:space="preserve">Na podlagi šestega odstavka 21. člena Zakona o Vladi Republike Slovenije </w:t>
            </w:r>
            <w:r w:rsidRPr="004658EC">
              <w:rPr>
                <w:rFonts w:cs="Arial"/>
                <w:iCs/>
                <w:sz w:val="20"/>
                <w:szCs w:val="20"/>
                <w:lang w:eastAsia="sl-SI"/>
              </w:rPr>
              <w:t>(Uradni list RS, št. 24/05 - uradno prečiščeno besedilo, 109/08, 38/10-ZUKN, 8/12, 21/13, 47/13 – ZDU-1G, 65/14</w:t>
            </w:r>
            <w:r>
              <w:rPr>
                <w:rFonts w:cs="Arial"/>
                <w:iCs/>
                <w:sz w:val="20"/>
                <w:szCs w:val="20"/>
                <w:lang w:eastAsia="sl-SI"/>
              </w:rPr>
              <w:t xml:space="preserve">, </w:t>
            </w:r>
            <w:r w:rsidRPr="004658EC">
              <w:rPr>
                <w:rFonts w:cs="Arial"/>
                <w:iCs/>
                <w:sz w:val="20"/>
                <w:szCs w:val="20"/>
                <w:lang w:eastAsia="sl-SI"/>
              </w:rPr>
              <w:t>55/17</w:t>
            </w:r>
            <w:r>
              <w:rPr>
                <w:rFonts w:cs="Arial"/>
                <w:iCs/>
                <w:sz w:val="20"/>
                <w:szCs w:val="20"/>
                <w:lang w:eastAsia="sl-SI"/>
              </w:rPr>
              <w:t xml:space="preserve"> in 163/22</w:t>
            </w:r>
            <w:r w:rsidRPr="004658EC">
              <w:rPr>
                <w:rFonts w:cs="Arial"/>
                <w:iCs/>
                <w:sz w:val="20"/>
                <w:szCs w:val="20"/>
                <w:lang w:eastAsia="sl-SI"/>
              </w:rPr>
              <w:t xml:space="preserve">) </w:t>
            </w:r>
            <w:r w:rsidRPr="00691DD4">
              <w:rPr>
                <w:rFonts w:cs="Arial"/>
                <w:iCs/>
                <w:sz w:val="20"/>
                <w:szCs w:val="20"/>
                <w:lang w:eastAsia="sl-SI"/>
              </w:rPr>
              <w:t xml:space="preserve">in </w:t>
            </w:r>
            <w:r>
              <w:rPr>
                <w:rFonts w:cs="Arial"/>
                <w:iCs/>
                <w:sz w:val="20"/>
                <w:szCs w:val="20"/>
                <w:lang w:eastAsia="sl-SI"/>
              </w:rPr>
              <w:t>prvega odstavka 12. člena Odloka o medresorski komisiji za odpravljanje posledic dela z azbestom (Uradni list RS, št. 3/20)</w:t>
            </w:r>
            <w:r w:rsidRPr="00691DD4">
              <w:rPr>
                <w:rFonts w:cs="Arial"/>
                <w:iCs/>
                <w:sz w:val="20"/>
                <w:szCs w:val="20"/>
                <w:lang w:eastAsia="sl-SI"/>
              </w:rPr>
              <w:t xml:space="preserve">, je Vlada Republike Slovenije na … seji dne … sprejela naslednji </w:t>
            </w:r>
          </w:p>
          <w:p w14:paraId="705B0CEE" w14:textId="77777777" w:rsidR="002F331D" w:rsidRPr="00691DD4" w:rsidRDefault="002F331D" w:rsidP="00A9071C">
            <w:pPr>
              <w:pStyle w:val="Neotevilenodstavek"/>
              <w:spacing w:before="0" w:after="0" w:line="260" w:lineRule="exact"/>
              <w:rPr>
                <w:rFonts w:cs="Arial"/>
                <w:iCs/>
                <w:sz w:val="20"/>
                <w:szCs w:val="20"/>
                <w:lang w:eastAsia="sl-SI"/>
              </w:rPr>
            </w:pPr>
          </w:p>
          <w:p w14:paraId="700BE7CA" w14:textId="77777777" w:rsidR="002F331D" w:rsidRPr="00691DD4" w:rsidRDefault="002F331D" w:rsidP="00A9071C">
            <w:pPr>
              <w:pStyle w:val="Neotevilenodstavek"/>
              <w:spacing w:before="0" w:after="0" w:line="260" w:lineRule="exact"/>
              <w:rPr>
                <w:rFonts w:cs="Arial"/>
                <w:iCs/>
                <w:sz w:val="20"/>
                <w:szCs w:val="20"/>
                <w:lang w:eastAsia="sl-SI"/>
              </w:rPr>
            </w:pPr>
          </w:p>
          <w:p w14:paraId="13C82ECA" w14:textId="61E58421" w:rsidR="002F331D" w:rsidRPr="00691DD4" w:rsidRDefault="002F331D" w:rsidP="00A9071C">
            <w:pPr>
              <w:pStyle w:val="Neotevilenodstavek"/>
              <w:spacing w:before="0" w:after="0" w:line="260" w:lineRule="exact"/>
              <w:jc w:val="center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691DD4">
              <w:rPr>
                <w:rFonts w:cs="Arial"/>
                <w:iCs/>
                <w:sz w:val="20"/>
                <w:szCs w:val="20"/>
                <w:lang w:eastAsia="sl-SI"/>
              </w:rPr>
              <w:t>SKLEP</w:t>
            </w:r>
            <w:r>
              <w:rPr>
                <w:rFonts w:cs="Arial"/>
                <w:iCs/>
                <w:sz w:val="20"/>
                <w:szCs w:val="20"/>
                <w:lang w:eastAsia="sl-SI"/>
              </w:rPr>
              <w:t>:</w:t>
            </w:r>
          </w:p>
          <w:p w14:paraId="01B7BF59" w14:textId="77777777" w:rsidR="002F331D" w:rsidRPr="00691DD4" w:rsidRDefault="002F331D" w:rsidP="00A9071C">
            <w:pPr>
              <w:pStyle w:val="Neotevilenodstavek"/>
              <w:spacing w:before="0" w:after="0" w:line="260" w:lineRule="exact"/>
              <w:rPr>
                <w:rFonts w:cs="Arial"/>
                <w:iCs/>
                <w:sz w:val="20"/>
                <w:szCs w:val="20"/>
                <w:lang w:eastAsia="sl-SI"/>
              </w:rPr>
            </w:pPr>
          </w:p>
          <w:p w14:paraId="01346325" w14:textId="20ECA974" w:rsidR="002F331D" w:rsidRDefault="002F331D" w:rsidP="00A9071C">
            <w:pPr>
              <w:pStyle w:val="Neotevilenodstavek"/>
              <w:spacing w:before="0" w:after="0" w:line="260" w:lineRule="exact"/>
              <w:rPr>
                <w:rFonts w:cs="Arial"/>
                <w:sz w:val="20"/>
                <w:szCs w:val="20"/>
                <w:lang w:eastAsia="sl-SI"/>
              </w:rPr>
            </w:pPr>
            <w:r w:rsidRPr="00691DD4">
              <w:rPr>
                <w:rFonts w:cs="Arial"/>
                <w:iCs/>
                <w:sz w:val="20"/>
                <w:szCs w:val="20"/>
                <w:lang w:eastAsia="sl-SI"/>
              </w:rPr>
              <w:t xml:space="preserve">Vlada Republike Slovenije se je seznanila s Poročilom o </w:t>
            </w:r>
            <w:r w:rsidRPr="00691DD4">
              <w:rPr>
                <w:rFonts w:cs="Arial"/>
                <w:sz w:val="20"/>
                <w:szCs w:val="20"/>
                <w:lang w:eastAsia="sl-SI"/>
              </w:rPr>
              <w:t xml:space="preserve">delu Komisije za odpravljanje posledic dela z azbestom za leto </w:t>
            </w:r>
            <w:r>
              <w:rPr>
                <w:rFonts w:cs="Arial"/>
                <w:sz w:val="20"/>
                <w:szCs w:val="20"/>
                <w:lang w:eastAsia="sl-SI"/>
              </w:rPr>
              <w:t>202</w:t>
            </w:r>
            <w:r w:rsidR="00033B09">
              <w:rPr>
                <w:rFonts w:cs="Arial"/>
                <w:sz w:val="20"/>
                <w:szCs w:val="20"/>
                <w:lang w:eastAsia="sl-SI"/>
              </w:rPr>
              <w:t>4</w:t>
            </w:r>
            <w:r w:rsidRPr="00691DD4">
              <w:rPr>
                <w:rFonts w:cs="Arial"/>
                <w:sz w:val="20"/>
                <w:szCs w:val="20"/>
                <w:lang w:eastAsia="sl-SI"/>
              </w:rPr>
              <w:t>.</w:t>
            </w:r>
          </w:p>
          <w:p w14:paraId="51CC438E" w14:textId="77777777" w:rsidR="002F331D" w:rsidRDefault="002F331D" w:rsidP="00A9071C">
            <w:pPr>
              <w:pStyle w:val="Neotevilenodstavek"/>
              <w:spacing w:before="0" w:after="0" w:line="260" w:lineRule="exact"/>
              <w:rPr>
                <w:rFonts w:cs="Arial"/>
                <w:sz w:val="20"/>
                <w:szCs w:val="20"/>
                <w:lang w:eastAsia="sl-SI"/>
              </w:rPr>
            </w:pPr>
          </w:p>
          <w:p w14:paraId="24488981" w14:textId="77777777" w:rsidR="002F331D" w:rsidRDefault="002F331D" w:rsidP="00A9071C">
            <w:pPr>
              <w:pStyle w:val="Neotevilenodstavek"/>
              <w:spacing w:before="0" w:after="0" w:line="260" w:lineRule="exact"/>
              <w:rPr>
                <w:rFonts w:cs="Arial"/>
                <w:sz w:val="20"/>
                <w:szCs w:val="20"/>
                <w:lang w:eastAsia="sl-SI"/>
              </w:rPr>
            </w:pPr>
          </w:p>
          <w:p w14:paraId="0DCFE851" w14:textId="77777777" w:rsidR="002F331D" w:rsidRPr="00287DD3" w:rsidRDefault="002F331D" w:rsidP="00A9071C">
            <w:pPr>
              <w:pStyle w:val="Naslov3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930F69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                                                                                  </w:t>
            </w: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      </w:t>
            </w:r>
            <w:r w:rsidRPr="00F512E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Barbara Kolenko Helbl</w:t>
            </w:r>
          </w:p>
          <w:p w14:paraId="7C1025B7" w14:textId="77777777" w:rsidR="002F331D" w:rsidRPr="00930F69" w:rsidRDefault="002F331D" w:rsidP="00A9071C">
            <w:pPr>
              <w:pStyle w:val="Neotevilenodstavek"/>
              <w:spacing w:before="0" w:after="0" w:line="240" w:lineRule="auto"/>
              <w:rPr>
                <w:rFonts w:cs="Arial"/>
                <w:iCs/>
                <w:sz w:val="20"/>
                <w:szCs w:val="20"/>
                <w:lang w:eastAsia="sl-SI"/>
              </w:rPr>
            </w:pPr>
            <w:r>
              <w:rPr>
                <w:rFonts w:cs="Arial"/>
                <w:iCs/>
                <w:sz w:val="20"/>
                <w:szCs w:val="20"/>
                <w:lang w:eastAsia="sl-SI"/>
              </w:rPr>
              <w:t xml:space="preserve">                                                                                            generalna sekretarka</w:t>
            </w:r>
          </w:p>
          <w:p w14:paraId="0D61BCD3" w14:textId="77777777" w:rsidR="002F331D" w:rsidRDefault="002F331D" w:rsidP="00A9071C">
            <w:pPr>
              <w:pStyle w:val="Neotevilenodstavek"/>
              <w:spacing w:before="0" w:after="0" w:line="240" w:lineRule="auto"/>
              <w:ind w:left="206"/>
              <w:rPr>
                <w:rFonts w:cs="Arial"/>
                <w:sz w:val="20"/>
                <w:szCs w:val="20"/>
                <w:lang w:eastAsia="sl-SI"/>
              </w:rPr>
            </w:pPr>
          </w:p>
          <w:p w14:paraId="1283E9D3" w14:textId="4DA350DB" w:rsidR="002F331D" w:rsidRPr="00930F69" w:rsidRDefault="002F331D" w:rsidP="00A9071C">
            <w:pPr>
              <w:pStyle w:val="Neotevilenodstavek"/>
              <w:spacing w:before="0" w:after="0" w:line="240" w:lineRule="auto"/>
              <w:ind w:left="206"/>
              <w:rPr>
                <w:rFonts w:cs="Arial"/>
                <w:iCs/>
                <w:sz w:val="20"/>
                <w:szCs w:val="20"/>
                <w:lang w:eastAsia="sl-SI"/>
              </w:rPr>
            </w:pPr>
            <w:r>
              <w:rPr>
                <w:rFonts w:cs="Arial"/>
                <w:sz w:val="20"/>
                <w:szCs w:val="20"/>
                <w:lang w:eastAsia="sl-SI"/>
              </w:rPr>
              <w:t>Priloga:</w:t>
            </w:r>
          </w:p>
          <w:p w14:paraId="69ADFF5E" w14:textId="5CB257D5" w:rsidR="002F331D" w:rsidRPr="00067C28" w:rsidRDefault="002F331D" w:rsidP="002F331D">
            <w:pPr>
              <w:pStyle w:val="Neotevilenodstavek"/>
              <w:numPr>
                <w:ilvl w:val="0"/>
                <w:numId w:val="10"/>
              </w:numPr>
              <w:spacing w:before="0" w:after="0" w:line="260" w:lineRule="exact"/>
              <w:rPr>
                <w:rFonts w:cs="Arial"/>
                <w:sz w:val="20"/>
                <w:szCs w:val="20"/>
                <w:lang w:eastAsia="sl-SI"/>
              </w:rPr>
            </w:pPr>
            <w:r w:rsidRPr="00067C28">
              <w:rPr>
                <w:rFonts w:cs="Arial"/>
                <w:sz w:val="20"/>
                <w:szCs w:val="20"/>
                <w:lang w:eastAsia="sl-SI"/>
              </w:rPr>
              <w:t>Poročilo o delu Komisije za odpravljanje posledic dela z</w:t>
            </w:r>
            <w:r>
              <w:rPr>
                <w:rFonts w:cs="Arial"/>
                <w:sz w:val="20"/>
                <w:szCs w:val="20"/>
                <w:lang w:eastAsia="sl-SI"/>
              </w:rPr>
              <w:t xml:space="preserve"> azbestom za leto 202</w:t>
            </w:r>
            <w:r w:rsidR="00C254D8">
              <w:rPr>
                <w:rFonts w:cs="Arial"/>
                <w:sz w:val="20"/>
                <w:szCs w:val="20"/>
                <w:lang w:eastAsia="sl-SI"/>
              </w:rPr>
              <w:t>4</w:t>
            </w:r>
          </w:p>
          <w:p w14:paraId="532AB06F" w14:textId="77777777" w:rsidR="002F331D" w:rsidRPr="00067C28" w:rsidRDefault="002F331D" w:rsidP="00A9071C">
            <w:pPr>
              <w:pStyle w:val="Neotevilenodstavek"/>
              <w:spacing w:before="0" w:after="0" w:line="260" w:lineRule="exact"/>
              <w:ind w:left="206"/>
              <w:rPr>
                <w:rFonts w:cs="Arial"/>
                <w:sz w:val="20"/>
                <w:szCs w:val="20"/>
                <w:lang w:eastAsia="sl-SI"/>
              </w:rPr>
            </w:pPr>
          </w:p>
          <w:p w14:paraId="27BF72C2" w14:textId="77777777" w:rsidR="002F331D" w:rsidRPr="00691DD4" w:rsidRDefault="002F331D" w:rsidP="008740BA">
            <w:pPr>
              <w:pStyle w:val="Neotevilenodstavek"/>
              <w:spacing w:before="0" w:after="0" w:line="260" w:lineRule="exact"/>
              <w:ind w:firstLine="201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691DD4">
              <w:rPr>
                <w:rFonts w:cs="Arial"/>
                <w:iCs/>
                <w:sz w:val="20"/>
                <w:szCs w:val="20"/>
                <w:lang w:eastAsia="sl-SI"/>
              </w:rPr>
              <w:t>Prejmejo:</w:t>
            </w:r>
          </w:p>
          <w:p w14:paraId="76A24D8C" w14:textId="77777777" w:rsidR="002F331D" w:rsidRPr="00691DD4" w:rsidRDefault="002F331D" w:rsidP="00A9071C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691DD4">
              <w:rPr>
                <w:rFonts w:cs="Arial"/>
                <w:iCs/>
                <w:sz w:val="20"/>
                <w:szCs w:val="20"/>
                <w:lang w:eastAsia="sl-SI"/>
              </w:rPr>
              <w:t>Komisija za odpravljanje posledic dela z azbestom</w:t>
            </w:r>
          </w:p>
          <w:p w14:paraId="4B85E23A" w14:textId="77777777" w:rsidR="002F331D" w:rsidRPr="00691DD4" w:rsidRDefault="002F331D" w:rsidP="00A9071C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691DD4">
              <w:rPr>
                <w:rFonts w:cs="Arial"/>
                <w:iCs/>
                <w:sz w:val="20"/>
                <w:szCs w:val="20"/>
                <w:lang w:eastAsia="sl-SI"/>
              </w:rPr>
              <w:t>Ministrstvo za delo, družino, socialne zadeve in enake možnosti</w:t>
            </w:r>
          </w:p>
          <w:p w14:paraId="6A44BA56" w14:textId="77777777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72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2F331D" w:rsidRPr="00AE1F83" w14:paraId="11A71625" w14:textId="77777777" w:rsidTr="00A9071C">
        <w:tc>
          <w:tcPr>
            <w:tcW w:w="9163" w:type="dxa"/>
            <w:gridSpan w:val="4"/>
          </w:tcPr>
          <w:p w14:paraId="3CFB598C" w14:textId="77777777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2F331D" w:rsidRPr="00AE1F83" w14:paraId="49A07BF4" w14:textId="77777777" w:rsidTr="00A9071C">
        <w:tc>
          <w:tcPr>
            <w:tcW w:w="9163" w:type="dxa"/>
            <w:gridSpan w:val="4"/>
          </w:tcPr>
          <w:p w14:paraId="52094B74" w14:textId="77777777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2F331D" w:rsidRPr="00AE1F83" w14:paraId="6178CB86" w14:textId="77777777" w:rsidTr="00A9071C">
        <w:tc>
          <w:tcPr>
            <w:tcW w:w="9163" w:type="dxa"/>
            <w:gridSpan w:val="4"/>
          </w:tcPr>
          <w:p w14:paraId="2CC01F2D" w14:textId="77777777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proofErr w:type="spellStart"/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3.a</w:t>
            </w:r>
            <w:proofErr w:type="spellEnd"/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Osebe, odgovorne za strokovno pripravo in usklajenost gradiva:</w:t>
            </w:r>
          </w:p>
        </w:tc>
      </w:tr>
      <w:tr w:rsidR="002F331D" w:rsidRPr="00AE1F83" w14:paraId="08DEA26B" w14:textId="77777777" w:rsidTr="00A9071C">
        <w:tc>
          <w:tcPr>
            <w:tcW w:w="9163" w:type="dxa"/>
            <w:gridSpan w:val="4"/>
          </w:tcPr>
          <w:p w14:paraId="7224CD23" w14:textId="77777777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Mag. Petra Bechibani, Sektor za varnost in zdravje pri delu, Ministrstvo za delo, družino, socialne zadeve in enake možnosti</w:t>
            </w:r>
          </w:p>
        </w:tc>
      </w:tr>
      <w:tr w:rsidR="002F331D" w:rsidRPr="00AE1F83" w14:paraId="68DFBCC3" w14:textId="77777777" w:rsidTr="00A9071C">
        <w:tc>
          <w:tcPr>
            <w:tcW w:w="9163" w:type="dxa"/>
            <w:gridSpan w:val="4"/>
          </w:tcPr>
          <w:p w14:paraId="60098928" w14:textId="77777777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proofErr w:type="spellStart"/>
            <w:r w:rsidRPr="00AE1F8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>3.b</w:t>
            </w:r>
            <w:proofErr w:type="spellEnd"/>
            <w:r w:rsidRPr="00AE1F8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 Zunanji strokovnjaki, ki so </w:t>
            </w: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2F331D" w:rsidRPr="00AE1F83" w14:paraId="06B68FA8" w14:textId="77777777" w:rsidTr="00A9071C">
        <w:tc>
          <w:tcPr>
            <w:tcW w:w="9163" w:type="dxa"/>
            <w:gridSpan w:val="4"/>
          </w:tcPr>
          <w:p w14:paraId="6A5980FE" w14:textId="77777777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2F331D" w:rsidRPr="00AE1F83" w14:paraId="53D581DD" w14:textId="77777777" w:rsidTr="00A9071C">
        <w:tc>
          <w:tcPr>
            <w:tcW w:w="9163" w:type="dxa"/>
            <w:gridSpan w:val="4"/>
          </w:tcPr>
          <w:p w14:paraId="24B1CB6B" w14:textId="77777777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2F331D" w:rsidRPr="00AE1F83" w14:paraId="02D8173F" w14:textId="77777777" w:rsidTr="00A9071C">
        <w:tc>
          <w:tcPr>
            <w:tcW w:w="9163" w:type="dxa"/>
            <w:gridSpan w:val="4"/>
          </w:tcPr>
          <w:p w14:paraId="40E3EBC1" w14:textId="77777777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2F331D" w:rsidRPr="00AE1F83" w14:paraId="26880277" w14:textId="77777777" w:rsidTr="00A9071C">
        <w:tc>
          <w:tcPr>
            <w:tcW w:w="9163" w:type="dxa"/>
            <w:gridSpan w:val="4"/>
          </w:tcPr>
          <w:p w14:paraId="37006DFB" w14:textId="77777777" w:rsidR="002F331D" w:rsidRPr="00AE1F83" w:rsidRDefault="002F331D" w:rsidP="00A9071C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2F331D" w:rsidRPr="00AE1F83" w14:paraId="28A129AC" w14:textId="77777777" w:rsidTr="00A9071C">
        <w:tc>
          <w:tcPr>
            <w:tcW w:w="9163" w:type="dxa"/>
            <w:gridSpan w:val="4"/>
          </w:tcPr>
          <w:p w14:paraId="4AD35643" w14:textId="77777777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2F331D" w:rsidRPr="00AE1F83" w14:paraId="2C67B60F" w14:textId="77777777" w:rsidTr="00A9071C">
        <w:tc>
          <w:tcPr>
            <w:tcW w:w="9163" w:type="dxa"/>
            <w:gridSpan w:val="4"/>
          </w:tcPr>
          <w:p w14:paraId="49C88373" w14:textId="77777777" w:rsidR="002F331D" w:rsidRPr="00AE1F83" w:rsidRDefault="002F331D" w:rsidP="00A9071C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 Presoja posledic za:</w:t>
            </w:r>
          </w:p>
        </w:tc>
      </w:tr>
      <w:tr w:rsidR="002F331D" w:rsidRPr="00AE1F83" w14:paraId="0D55CE30" w14:textId="77777777" w:rsidTr="00A9071C">
        <w:tc>
          <w:tcPr>
            <w:tcW w:w="1448" w:type="dxa"/>
          </w:tcPr>
          <w:p w14:paraId="21C02AC7" w14:textId="77777777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6435D926" w14:textId="77777777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00D8843D" w14:textId="77777777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2F331D" w:rsidRPr="00AE1F83" w14:paraId="16C33C80" w14:textId="77777777" w:rsidTr="00A9071C">
        <w:tc>
          <w:tcPr>
            <w:tcW w:w="1448" w:type="dxa"/>
          </w:tcPr>
          <w:p w14:paraId="2FD3B97E" w14:textId="77777777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lastRenderedPageBreak/>
              <w:t>b)</w:t>
            </w:r>
          </w:p>
        </w:tc>
        <w:tc>
          <w:tcPr>
            <w:tcW w:w="5444" w:type="dxa"/>
            <w:gridSpan w:val="2"/>
          </w:tcPr>
          <w:p w14:paraId="687FE2A3" w14:textId="77777777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0D2670D4" w14:textId="77777777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2F331D" w:rsidRPr="00AE1F83" w14:paraId="4373AF29" w14:textId="77777777" w:rsidTr="00A9071C">
        <w:tc>
          <w:tcPr>
            <w:tcW w:w="1448" w:type="dxa"/>
          </w:tcPr>
          <w:p w14:paraId="5AF4B8EA" w14:textId="77777777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7966CE9B" w14:textId="77777777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78111C32" w14:textId="77777777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2F331D" w:rsidRPr="00AE1F83" w14:paraId="31905F42" w14:textId="77777777" w:rsidTr="00A9071C">
        <w:tc>
          <w:tcPr>
            <w:tcW w:w="1448" w:type="dxa"/>
          </w:tcPr>
          <w:p w14:paraId="4813A19E" w14:textId="77777777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342C0F8D" w14:textId="77777777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AE1F8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195D764E" w14:textId="77777777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2F331D" w:rsidRPr="00AE1F83" w14:paraId="707F5986" w14:textId="77777777" w:rsidTr="00A9071C">
        <w:tc>
          <w:tcPr>
            <w:tcW w:w="1448" w:type="dxa"/>
          </w:tcPr>
          <w:p w14:paraId="0AA3476A" w14:textId="77777777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34F75838" w14:textId="77777777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1000245A" w14:textId="77777777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2F331D" w:rsidRPr="00AE1F83" w14:paraId="377ED8AD" w14:textId="77777777" w:rsidTr="00A9071C">
        <w:tc>
          <w:tcPr>
            <w:tcW w:w="1448" w:type="dxa"/>
          </w:tcPr>
          <w:p w14:paraId="609A58CC" w14:textId="77777777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1C4D7256" w14:textId="77777777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62281A1E" w14:textId="77777777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2F331D" w:rsidRPr="00AE1F83" w14:paraId="34CAC59C" w14:textId="77777777" w:rsidTr="00A9071C">
        <w:tc>
          <w:tcPr>
            <w:tcW w:w="1448" w:type="dxa"/>
            <w:tcBorders>
              <w:bottom w:val="single" w:sz="4" w:space="0" w:color="auto"/>
            </w:tcBorders>
          </w:tcPr>
          <w:p w14:paraId="184B2E48" w14:textId="77777777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173B33EF" w14:textId="77777777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55441F01" w14:textId="77777777" w:rsidR="002F331D" w:rsidRPr="00AE1F83" w:rsidRDefault="002F331D" w:rsidP="00A9071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316658A2" w14:textId="77777777" w:rsidR="002F331D" w:rsidRPr="00AE1F83" w:rsidRDefault="002F331D" w:rsidP="00A9071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3E630E93" w14:textId="77777777" w:rsidR="002F331D" w:rsidRPr="00AE1F83" w:rsidRDefault="002F331D" w:rsidP="00A9071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7933016E" w14:textId="77777777" w:rsidR="002F331D" w:rsidRPr="00AE1F83" w:rsidRDefault="002F331D" w:rsidP="00A9071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2F331D" w:rsidRPr="00AE1F83" w14:paraId="4D295847" w14:textId="77777777" w:rsidTr="00A9071C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B3D5" w14:textId="77777777" w:rsidR="002F331D" w:rsidRPr="00AE1F83" w:rsidRDefault="002F331D" w:rsidP="00A9071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</w:t>
            </w:r>
            <w:proofErr w:type="spellEnd"/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Predstavitev ocene finančnih posledic nad 40.000 EUR:</w:t>
            </w:r>
          </w:p>
          <w:p w14:paraId="75FEDB20" w14:textId="77777777" w:rsidR="002F331D" w:rsidRPr="00AE1F83" w:rsidRDefault="002F331D" w:rsidP="00A9071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(Samo če izberete DA pod točko 6.a.)</w:t>
            </w:r>
          </w:p>
        </w:tc>
      </w:tr>
    </w:tbl>
    <w:p w14:paraId="462C8D29" w14:textId="77777777" w:rsidR="002F331D" w:rsidRPr="00AE1F83" w:rsidRDefault="002F331D" w:rsidP="002F331D">
      <w:pPr>
        <w:spacing w:after="0" w:line="260" w:lineRule="exact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2F331D" w:rsidRPr="00AE1F83" w14:paraId="71D164BC" w14:textId="77777777" w:rsidTr="00A9071C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63030EA" w14:textId="77777777" w:rsidR="002F331D" w:rsidRPr="00AE1F83" w:rsidRDefault="002F331D" w:rsidP="00A9071C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2F331D" w:rsidRPr="00AE1F83" w14:paraId="05C6FA91" w14:textId="77777777" w:rsidTr="00A9071C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7770" w14:textId="77777777" w:rsidR="002F331D" w:rsidRPr="00AE1F83" w:rsidRDefault="002F331D" w:rsidP="00A9071C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AFF9" w14:textId="77777777" w:rsidR="002F331D" w:rsidRPr="00AE1F83" w:rsidRDefault="002F331D" w:rsidP="00A9071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A458" w14:textId="77777777" w:rsidR="002F331D" w:rsidRPr="00AE1F83" w:rsidRDefault="002F331D" w:rsidP="00A9071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A959" w14:textId="77777777" w:rsidR="002F331D" w:rsidRPr="00AE1F83" w:rsidRDefault="002F331D" w:rsidP="00A9071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8BF5" w14:textId="77777777" w:rsidR="002F331D" w:rsidRPr="00AE1F83" w:rsidRDefault="002F331D" w:rsidP="00A9071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t + 3</w:t>
            </w:r>
          </w:p>
        </w:tc>
      </w:tr>
      <w:tr w:rsidR="002F331D" w:rsidRPr="00AE1F83" w14:paraId="4958C858" w14:textId="77777777" w:rsidTr="00A9071C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47DF" w14:textId="77777777" w:rsidR="002F331D" w:rsidRPr="00AE1F83" w:rsidRDefault="002F331D" w:rsidP="00A9071C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AE1F83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AE1F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FC86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513B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393F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069F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2F331D" w:rsidRPr="00AE1F83" w14:paraId="471AB297" w14:textId="77777777" w:rsidTr="00A9071C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B5DA" w14:textId="77777777" w:rsidR="002F331D" w:rsidRPr="00AE1F83" w:rsidRDefault="002F331D" w:rsidP="00A9071C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AE1F83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AE1F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5CE4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5180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5798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2F9F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2F331D" w:rsidRPr="00AE1F83" w14:paraId="39C69A67" w14:textId="77777777" w:rsidTr="00A9071C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1DCD" w14:textId="77777777" w:rsidR="002F331D" w:rsidRPr="00AE1F83" w:rsidRDefault="002F331D" w:rsidP="00A9071C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AE1F83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AE1F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1E3D" w14:textId="77777777" w:rsidR="002F331D" w:rsidRPr="00AE1F83" w:rsidRDefault="002F331D" w:rsidP="00A9071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B8B1" w14:textId="77777777" w:rsidR="002F331D" w:rsidRPr="00AE1F83" w:rsidRDefault="002F331D" w:rsidP="00A9071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306C" w14:textId="77777777" w:rsidR="002F331D" w:rsidRPr="00AE1F83" w:rsidRDefault="002F331D" w:rsidP="00A9071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7C11" w14:textId="77777777" w:rsidR="002F331D" w:rsidRPr="00AE1F83" w:rsidRDefault="002F331D" w:rsidP="00A9071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331D" w:rsidRPr="00AE1F83" w14:paraId="2E6883B4" w14:textId="77777777" w:rsidTr="00A9071C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2F92" w14:textId="77777777" w:rsidR="002F331D" w:rsidRPr="00AE1F83" w:rsidRDefault="002F331D" w:rsidP="00A9071C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AE1F83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AE1F83">
              <w:rPr>
                <w:rFonts w:ascii="Arial" w:eastAsia="Times New Roman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B8D4" w14:textId="77777777" w:rsidR="002F331D" w:rsidRPr="00AE1F83" w:rsidRDefault="002F331D" w:rsidP="00A9071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46BF" w14:textId="77777777" w:rsidR="002F331D" w:rsidRPr="00AE1F83" w:rsidRDefault="002F331D" w:rsidP="00A9071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1442" w14:textId="77777777" w:rsidR="002F331D" w:rsidRPr="00AE1F83" w:rsidRDefault="002F331D" w:rsidP="00A9071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0005" w14:textId="77777777" w:rsidR="002F331D" w:rsidRPr="00AE1F83" w:rsidRDefault="002F331D" w:rsidP="00A9071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331D" w:rsidRPr="00AE1F83" w14:paraId="066A9C66" w14:textId="77777777" w:rsidTr="00A9071C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5998" w14:textId="77777777" w:rsidR="002F331D" w:rsidRPr="00AE1F83" w:rsidRDefault="002F331D" w:rsidP="00A9071C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AE1F83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AE1F83">
              <w:rPr>
                <w:rFonts w:ascii="Arial" w:eastAsia="Times New Roman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07D1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B079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D9BD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01F2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2F331D" w:rsidRPr="00AE1F83" w14:paraId="408E2451" w14:textId="77777777" w:rsidTr="00A9071C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FEB5B8" w14:textId="77777777" w:rsidR="002F331D" w:rsidRPr="00AE1F83" w:rsidRDefault="002F331D" w:rsidP="00A9071C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 Finančne posledice za državni proračun</w:t>
            </w:r>
          </w:p>
        </w:tc>
      </w:tr>
      <w:tr w:rsidR="002F331D" w:rsidRPr="00AE1F83" w14:paraId="255FE9F2" w14:textId="77777777" w:rsidTr="00A9071C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14146A" w14:textId="77777777" w:rsidR="002F331D" w:rsidRPr="00AE1F83" w:rsidRDefault="002F331D" w:rsidP="00A9071C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AE1F8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II.a</w:t>
            </w:r>
            <w:proofErr w:type="spellEnd"/>
            <w:r w:rsidRPr="00AE1F8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2F331D" w:rsidRPr="00AE1F83" w14:paraId="32149329" w14:textId="77777777" w:rsidTr="00A9071C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AEAC" w14:textId="77777777" w:rsidR="002F331D" w:rsidRPr="00AE1F83" w:rsidRDefault="002F331D" w:rsidP="00A9071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DA72" w14:textId="77777777" w:rsidR="002F331D" w:rsidRPr="00AE1F83" w:rsidRDefault="002F331D" w:rsidP="00A9071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18DD" w14:textId="77777777" w:rsidR="002F331D" w:rsidRPr="00AE1F83" w:rsidRDefault="002F331D" w:rsidP="00A9071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9AC6" w14:textId="77777777" w:rsidR="002F331D" w:rsidRPr="00AE1F83" w:rsidRDefault="002F331D" w:rsidP="00A9071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5228" w14:textId="77777777" w:rsidR="002F331D" w:rsidRPr="00AE1F83" w:rsidRDefault="002F331D" w:rsidP="00A9071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2F331D" w:rsidRPr="00AE1F83" w14:paraId="37F11E0F" w14:textId="77777777" w:rsidTr="00A9071C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626F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34A8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064C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4F6C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DCD0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2F331D" w:rsidRPr="00AE1F83" w14:paraId="27FD5429" w14:textId="77777777" w:rsidTr="00A9071C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0116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8873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8D5B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8CFD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90D6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2F331D" w:rsidRPr="00AE1F83" w14:paraId="5C3ED75F" w14:textId="77777777" w:rsidTr="00A9071C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6A62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0200" w14:textId="77777777" w:rsidR="002F331D" w:rsidRPr="00AE1F83" w:rsidRDefault="002F331D" w:rsidP="00A9071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9005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2F331D" w:rsidRPr="00AE1F83" w14:paraId="36F61C76" w14:textId="77777777" w:rsidTr="00A9071C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D94342" w14:textId="77777777" w:rsidR="002F331D" w:rsidRPr="00AE1F83" w:rsidRDefault="002F331D" w:rsidP="00A9071C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AE1F8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II.b</w:t>
            </w:r>
            <w:proofErr w:type="spellEnd"/>
            <w:r w:rsidRPr="00AE1F8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2F331D" w:rsidRPr="00AE1F83" w14:paraId="2A04B352" w14:textId="77777777" w:rsidTr="00A9071C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9A7C" w14:textId="77777777" w:rsidR="002F331D" w:rsidRPr="00AE1F83" w:rsidRDefault="002F331D" w:rsidP="00A9071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42B1" w14:textId="77777777" w:rsidR="002F331D" w:rsidRPr="00AE1F83" w:rsidRDefault="002F331D" w:rsidP="00A9071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4A41" w14:textId="77777777" w:rsidR="002F331D" w:rsidRPr="00AE1F83" w:rsidRDefault="002F331D" w:rsidP="00A9071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842B" w14:textId="77777777" w:rsidR="002F331D" w:rsidRPr="00AE1F83" w:rsidRDefault="002F331D" w:rsidP="00A9071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3653" w14:textId="77777777" w:rsidR="002F331D" w:rsidRPr="00AE1F83" w:rsidRDefault="002F331D" w:rsidP="00A9071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2F331D" w:rsidRPr="00AE1F83" w14:paraId="33C66378" w14:textId="77777777" w:rsidTr="00A9071C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07DD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702B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F505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7AAA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87ED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2F331D" w:rsidRPr="00AE1F83" w14:paraId="6DDDB8AF" w14:textId="77777777" w:rsidTr="00A9071C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D14D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6798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E5EB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4EF2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8D4F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2F331D" w:rsidRPr="00AE1F83" w14:paraId="7CA1AD6D" w14:textId="77777777" w:rsidTr="00A9071C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F91F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1BAB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16E8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2F331D" w:rsidRPr="00AE1F83" w14:paraId="1C180942" w14:textId="77777777" w:rsidTr="00A9071C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1873C0F" w14:textId="77777777" w:rsidR="002F331D" w:rsidRPr="00AE1F83" w:rsidRDefault="002F331D" w:rsidP="00A9071C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AE1F8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II.c</w:t>
            </w:r>
            <w:proofErr w:type="spellEnd"/>
            <w:r w:rsidRPr="00AE1F8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2F331D" w:rsidRPr="00AE1F83" w14:paraId="58EB173B" w14:textId="77777777" w:rsidTr="00A9071C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DB7A" w14:textId="77777777" w:rsidR="002F331D" w:rsidRPr="00AE1F83" w:rsidRDefault="002F331D" w:rsidP="00A9071C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C17E" w14:textId="77777777" w:rsidR="002F331D" w:rsidRPr="00AE1F83" w:rsidRDefault="002F331D" w:rsidP="00A9071C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760" w14:textId="77777777" w:rsidR="002F331D" w:rsidRPr="00AE1F83" w:rsidRDefault="002F331D" w:rsidP="00A9071C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2F331D" w:rsidRPr="00AE1F83" w14:paraId="1D7146EC" w14:textId="77777777" w:rsidTr="00A9071C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059A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D69D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0D91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2F331D" w:rsidRPr="00AE1F83" w14:paraId="4B3AAAFE" w14:textId="77777777" w:rsidTr="00A9071C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9E02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7723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4D55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2F331D" w:rsidRPr="00AE1F83" w14:paraId="1AA8E63C" w14:textId="77777777" w:rsidTr="00A9071C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A871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CC8B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D400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2F331D" w:rsidRPr="00AE1F83" w14:paraId="0A31258E" w14:textId="77777777" w:rsidTr="00A9071C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444B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C96F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9F83" w14:textId="77777777" w:rsidR="002F331D" w:rsidRPr="00AE1F83" w:rsidRDefault="002F331D" w:rsidP="00A9071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2F331D" w:rsidRPr="00AE1F83" w14:paraId="64E4FEC6" w14:textId="77777777" w:rsidTr="00A907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1A7A7E92" w14:textId="77777777" w:rsidR="002F331D" w:rsidRPr="00AE1F83" w:rsidRDefault="002F331D" w:rsidP="00A9071C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856738A" w14:textId="77777777" w:rsidR="002F331D" w:rsidRPr="00AE1F83" w:rsidRDefault="002F331D" w:rsidP="00A9071C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</w:rPr>
              <w:t>OBRAZLOŽITEV:</w:t>
            </w:r>
          </w:p>
          <w:p w14:paraId="579B606E" w14:textId="77777777" w:rsidR="002F331D" w:rsidRPr="00AE1F83" w:rsidRDefault="002F331D" w:rsidP="00A9071C">
            <w:pPr>
              <w:widowControl w:val="0"/>
              <w:numPr>
                <w:ilvl w:val="0"/>
                <w:numId w:val="1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7ECF39FE" w14:textId="77777777" w:rsidR="002F331D" w:rsidRPr="00AE1F83" w:rsidRDefault="002F331D" w:rsidP="00A9071C">
            <w:pPr>
              <w:widowControl w:val="0"/>
              <w:spacing w:after="0" w:line="260" w:lineRule="exact"/>
              <w:ind w:left="360" w:hanging="76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6EF0C3E6" w14:textId="77777777" w:rsidR="002F331D" w:rsidRPr="00AE1F83" w:rsidRDefault="002F331D" w:rsidP="00A9071C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25984DDC" w14:textId="77777777" w:rsidR="002F331D" w:rsidRPr="00AE1F83" w:rsidRDefault="002F331D" w:rsidP="00A9071C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5EEFBBC6" w14:textId="77777777" w:rsidR="002F331D" w:rsidRPr="00AE1F83" w:rsidRDefault="002F331D" w:rsidP="00A9071C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obveznosti za druga javnofinančna sredstva (drugi viri), ki niso načrtovana na ukrepih oziroma projektih sprejetih proračunov.</w:t>
            </w:r>
          </w:p>
          <w:p w14:paraId="2E038661" w14:textId="77777777" w:rsidR="002F331D" w:rsidRPr="00AE1F83" w:rsidRDefault="002F331D" w:rsidP="00A9071C">
            <w:pPr>
              <w:widowControl w:val="0"/>
              <w:spacing w:after="0" w:line="260" w:lineRule="exact"/>
              <w:ind w:left="2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846FCD8" w14:textId="77777777" w:rsidR="002F331D" w:rsidRPr="00AE1F83" w:rsidRDefault="002F331D" w:rsidP="00A9071C">
            <w:pPr>
              <w:widowControl w:val="0"/>
              <w:numPr>
                <w:ilvl w:val="0"/>
                <w:numId w:val="1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365EE0DB" w14:textId="77777777" w:rsidR="002F331D" w:rsidRPr="00AE1F83" w:rsidRDefault="002F331D" w:rsidP="00A9071C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70E50B18" w14:textId="77777777" w:rsidR="002F331D" w:rsidRPr="00AE1F83" w:rsidRDefault="002F331D" w:rsidP="00A9071C">
            <w:pPr>
              <w:widowControl w:val="0"/>
              <w:suppressAutoHyphens/>
              <w:spacing w:after="0" w:line="260" w:lineRule="exact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1DE79A3F" w14:textId="77777777" w:rsidR="002F331D" w:rsidRPr="00AE1F83" w:rsidRDefault="002F331D" w:rsidP="00A9071C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5915268C" w14:textId="77777777" w:rsidR="002F331D" w:rsidRPr="00AE1F83" w:rsidRDefault="002F331D" w:rsidP="00A9071C">
            <w:pPr>
              <w:widowControl w:val="0"/>
              <w:numPr>
                <w:ilvl w:val="0"/>
                <w:numId w:val="5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1B74A386" w14:textId="77777777" w:rsidR="002F331D" w:rsidRPr="00AE1F83" w:rsidRDefault="002F331D" w:rsidP="00A9071C">
            <w:pPr>
              <w:widowControl w:val="0"/>
              <w:numPr>
                <w:ilvl w:val="0"/>
                <w:numId w:val="5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64B21D46" w14:textId="77777777" w:rsidR="002F331D" w:rsidRPr="00AE1F83" w:rsidRDefault="002F331D" w:rsidP="00A9071C">
            <w:pPr>
              <w:widowControl w:val="0"/>
              <w:numPr>
                <w:ilvl w:val="0"/>
                <w:numId w:val="5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2019FF37" w14:textId="77777777" w:rsidR="002F331D" w:rsidRPr="00AE1F83" w:rsidRDefault="002F331D" w:rsidP="00A9071C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2060B354" w14:textId="77777777" w:rsidR="002F331D" w:rsidRPr="00AE1F83" w:rsidRDefault="002F331D" w:rsidP="00A9071C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38CC68E5" w14:textId="77777777" w:rsidR="002F331D" w:rsidRPr="00AE1F83" w:rsidRDefault="002F331D" w:rsidP="00A9071C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II.a.</w:t>
            </w:r>
          </w:p>
          <w:p w14:paraId="14E0E8B1" w14:textId="77777777" w:rsidR="002F331D" w:rsidRPr="00AE1F83" w:rsidRDefault="002F331D" w:rsidP="00A9071C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134B9D6E" w14:textId="77777777" w:rsidR="002F331D" w:rsidRPr="00AE1F83" w:rsidRDefault="002F331D" w:rsidP="00A9071C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56E3313E" w14:textId="77777777" w:rsidR="002F331D" w:rsidRPr="00AE1F83" w:rsidRDefault="002F331D" w:rsidP="00A9071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eastAsia="sl-SI"/>
              </w:rPr>
            </w:pPr>
          </w:p>
        </w:tc>
      </w:tr>
      <w:tr w:rsidR="002F331D" w:rsidRPr="00AE1F83" w14:paraId="30467C5B" w14:textId="77777777" w:rsidTr="00A907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D74F" w14:textId="77777777" w:rsidR="002F331D" w:rsidRPr="00AE1F83" w:rsidRDefault="002F331D" w:rsidP="00A9071C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AE1F83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7.b</w:t>
            </w:r>
            <w:proofErr w:type="spellEnd"/>
            <w:r w:rsidRPr="00AE1F8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Predstavitev ocene finančnih posledic pod 40.000 EUR:</w:t>
            </w:r>
          </w:p>
          <w:p w14:paraId="1466C253" w14:textId="77777777" w:rsidR="002F331D" w:rsidRDefault="002F331D" w:rsidP="00A9071C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539AEB6" w14:textId="776FC778" w:rsidR="002F331D" w:rsidRPr="00AE1F83" w:rsidRDefault="002F331D" w:rsidP="00A9071C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Gradivo nima finančnih posledic.</w:t>
            </w:r>
          </w:p>
          <w:p w14:paraId="50F05DAC" w14:textId="77777777" w:rsidR="002F331D" w:rsidRPr="00AE1F83" w:rsidRDefault="002F331D" w:rsidP="00A9071C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F331D" w:rsidRPr="00AE1F83" w14:paraId="56A99645" w14:textId="77777777" w:rsidTr="00A907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85FA" w14:textId="77777777" w:rsidR="002F331D" w:rsidRPr="00AE1F83" w:rsidRDefault="002F331D" w:rsidP="00A9071C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2F331D" w:rsidRPr="00AE1F83" w14:paraId="22EEEB09" w14:textId="77777777" w:rsidTr="00A907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42F6B5B9" w14:textId="77777777" w:rsidR="002F331D" w:rsidRPr="00AE1F83" w:rsidRDefault="002F331D" w:rsidP="00A907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0DA66030" w14:textId="77777777" w:rsidR="002F331D" w:rsidRPr="00AE1F83" w:rsidRDefault="002F331D" w:rsidP="002F331D">
            <w:pPr>
              <w:widowControl w:val="0"/>
              <w:numPr>
                <w:ilvl w:val="1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14:paraId="42C4CD15" w14:textId="77777777" w:rsidR="002F331D" w:rsidRPr="00AE1F83" w:rsidRDefault="002F331D" w:rsidP="002F331D">
            <w:pPr>
              <w:widowControl w:val="0"/>
              <w:numPr>
                <w:ilvl w:val="1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12FC6896" w14:textId="77777777" w:rsidR="002F331D" w:rsidRPr="00AE1F83" w:rsidRDefault="002F331D" w:rsidP="00A9071C">
            <w:pPr>
              <w:widowControl w:val="0"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  <w:p w14:paraId="784500AE" w14:textId="77777777" w:rsidR="002F331D" w:rsidRPr="00AE1F83" w:rsidRDefault="002F331D" w:rsidP="00A907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44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2431" w:type="dxa"/>
            <w:gridSpan w:val="2"/>
          </w:tcPr>
          <w:p w14:paraId="0A380A47" w14:textId="77777777" w:rsidR="002F331D" w:rsidRPr="00AE1F83" w:rsidRDefault="002F331D" w:rsidP="00A907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2F331D" w:rsidRPr="00AE1F83" w14:paraId="11051869" w14:textId="77777777" w:rsidTr="00A907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42BB764F" w14:textId="77777777" w:rsidR="002F331D" w:rsidRPr="00AE1F83" w:rsidRDefault="002F331D" w:rsidP="00A907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  <w:p w14:paraId="2CB69DD3" w14:textId="77777777" w:rsidR="002F331D" w:rsidRPr="00AE1F83" w:rsidRDefault="002F331D" w:rsidP="00A9071C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Skupnosti občin Slovenije SOS: NE</w:t>
            </w:r>
          </w:p>
          <w:p w14:paraId="74D17B6B" w14:textId="77777777" w:rsidR="002F331D" w:rsidRPr="00AE1F83" w:rsidRDefault="002F331D" w:rsidP="00A9071C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občin Slovenije ZOS: NE</w:t>
            </w:r>
          </w:p>
          <w:p w14:paraId="2378BAEC" w14:textId="77777777" w:rsidR="002F331D" w:rsidRPr="00AE1F83" w:rsidRDefault="002F331D" w:rsidP="00A9071C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mestnih občin Slovenije ZMOS: NE</w:t>
            </w:r>
          </w:p>
          <w:p w14:paraId="69A7BDBC" w14:textId="77777777" w:rsidR="002F331D" w:rsidRPr="00AE1F83" w:rsidRDefault="002F331D" w:rsidP="00A907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6326B281" w14:textId="6728C4E9" w:rsidR="002F331D" w:rsidRPr="00AE1F83" w:rsidRDefault="002F331D" w:rsidP="00A907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 pripravi gradiva sodelovanje združenj ni potrebno.</w:t>
            </w:r>
          </w:p>
          <w:p w14:paraId="5E9AFD91" w14:textId="77777777" w:rsidR="002F331D" w:rsidRPr="00AE1F83" w:rsidRDefault="002F331D" w:rsidP="00A907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7AFE836E" w14:textId="77777777" w:rsidR="002F331D" w:rsidRPr="00AE1F83" w:rsidRDefault="002F331D" w:rsidP="00A907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2F331D" w:rsidRPr="00AE1F83" w14:paraId="37906F11" w14:textId="77777777" w:rsidTr="00A907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0B863AF5" w14:textId="77777777" w:rsidR="002F331D" w:rsidRPr="00AE1F83" w:rsidRDefault="002F331D" w:rsidP="00A907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9. Predstavitev sodelovanja javnosti:</w:t>
            </w:r>
          </w:p>
        </w:tc>
      </w:tr>
      <w:tr w:rsidR="002F331D" w:rsidRPr="00AE1F83" w14:paraId="5C44ADB5" w14:textId="77777777" w:rsidTr="00A907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3B01C381" w14:textId="77777777" w:rsidR="002F331D" w:rsidRPr="00AE1F83" w:rsidRDefault="002F331D" w:rsidP="00A907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lastRenderedPageBreak/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4DB60E05" w14:textId="77777777" w:rsidR="002F331D" w:rsidRPr="00AE1F83" w:rsidRDefault="002F331D" w:rsidP="00A907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2F331D" w:rsidRPr="00AE1F83" w14:paraId="73BE6F42" w14:textId="77777777" w:rsidTr="00A907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51C8D511" w14:textId="77777777" w:rsidR="002F331D" w:rsidRDefault="002F331D" w:rsidP="00A907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20A2BEA0" w14:textId="420574A2" w:rsidR="002F331D" w:rsidRDefault="002F331D" w:rsidP="00A907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 pripravi gradiva sodelovanje javnosti ni potrebno.</w:t>
            </w:r>
          </w:p>
          <w:p w14:paraId="1E77C49D" w14:textId="77777777" w:rsidR="002F331D" w:rsidRPr="00AE1F83" w:rsidRDefault="002F331D" w:rsidP="00A907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2F331D" w:rsidRPr="00AE1F83" w14:paraId="1F6D2BA3" w14:textId="77777777" w:rsidTr="00A907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6BBF27F7" w14:textId="77777777" w:rsidR="002F331D" w:rsidRPr="00AE1F83" w:rsidRDefault="002F331D" w:rsidP="00A907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2F331D" w:rsidRPr="00AE1F83" w14:paraId="001F7F3E" w14:textId="77777777" w:rsidTr="00A907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3A2FDE43" w14:textId="77777777" w:rsidR="002F331D" w:rsidRPr="00AE1F83" w:rsidRDefault="002F331D" w:rsidP="00A907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596E8635" w14:textId="77777777" w:rsidR="002F331D" w:rsidRPr="00AE1F83" w:rsidRDefault="002F331D" w:rsidP="00A907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2F331D" w:rsidRPr="00AE1F83" w14:paraId="6A9F1814" w14:textId="77777777" w:rsidTr="00A907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536114C9" w14:textId="77777777" w:rsidR="002F331D" w:rsidRPr="00AE1F83" w:rsidRDefault="002F331D" w:rsidP="00A907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4E6743C1" w14:textId="77777777" w:rsidR="002F331D" w:rsidRPr="00AE1F83" w:rsidRDefault="002F331D" w:rsidP="00A907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1F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2F331D" w:rsidRPr="00AE1F83" w14:paraId="2BCDF5FA" w14:textId="77777777" w:rsidTr="00A907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B6B7" w14:textId="77777777" w:rsidR="002F331D" w:rsidRPr="00AE1F83" w:rsidRDefault="002F331D" w:rsidP="00A9071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4D898F" w14:textId="77777777" w:rsidR="002F331D" w:rsidRPr="00AE1F83" w:rsidRDefault="002F331D" w:rsidP="00A9071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Luka Mesec</w:t>
            </w:r>
          </w:p>
          <w:p w14:paraId="30A30F30" w14:textId="77777777" w:rsidR="002F331D" w:rsidRDefault="002F331D" w:rsidP="00A9071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MINISTER</w:t>
            </w:r>
          </w:p>
          <w:p w14:paraId="7A8A6EEA" w14:textId="77777777" w:rsidR="002F331D" w:rsidRPr="00ED7618" w:rsidRDefault="002F331D" w:rsidP="00A9071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762521D" w14:textId="77777777" w:rsidR="002F331D" w:rsidRDefault="002F331D" w:rsidP="002F331D"/>
    <w:p w14:paraId="31F4D14B" w14:textId="77777777" w:rsidR="002F331D" w:rsidRPr="00067C28" w:rsidRDefault="002F331D" w:rsidP="002F331D">
      <w:r>
        <w:rPr>
          <w:rFonts w:ascii="Arial" w:eastAsia="Times New Roman" w:hAnsi="Arial" w:cs="Arial"/>
          <w:iCs/>
          <w:sz w:val="20"/>
          <w:szCs w:val="20"/>
          <w:lang w:eastAsia="sl-SI"/>
        </w:rPr>
        <w:t>PRILOGA</w:t>
      </w:r>
      <w:r w:rsidRPr="00683778">
        <w:rPr>
          <w:rFonts w:ascii="Arial" w:eastAsia="Times New Roman" w:hAnsi="Arial" w:cs="Arial"/>
          <w:iCs/>
          <w:sz w:val="20"/>
          <w:szCs w:val="20"/>
          <w:lang w:eastAsia="sl-SI"/>
        </w:rPr>
        <w:t>:</w:t>
      </w:r>
    </w:p>
    <w:p w14:paraId="180DEAE9" w14:textId="77777777" w:rsidR="002F331D" w:rsidRPr="00683778" w:rsidRDefault="002F331D" w:rsidP="002F331D">
      <w:pPr>
        <w:numPr>
          <w:ilvl w:val="1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P</w:t>
      </w:r>
      <w:r w:rsidRPr="00683778">
        <w:rPr>
          <w:rFonts w:ascii="Arial" w:eastAsia="Times New Roman" w:hAnsi="Arial" w:cs="Arial"/>
          <w:iCs/>
          <w:sz w:val="20"/>
          <w:szCs w:val="20"/>
          <w:lang w:eastAsia="sl-SI"/>
        </w:rPr>
        <w:t>redlog sklepa Vlade Republike Slovenije</w:t>
      </w:r>
    </w:p>
    <w:p w14:paraId="68F9BD1E" w14:textId="77777777" w:rsidR="002F331D" w:rsidRPr="00683778" w:rsidRDefault="002F331D" w:rsidP="002F331D">
      <w:pPr>
        <w:pStyle w:val="Naslovpredpisa"/>
        <w:spacing w:before="0" w:after="0" w:line="260" w:lineRule="exact"/>
        <w:jc w:val="both"/>
        <w:rPr>
          <w:b w:val="0"/>
          <w:iCs/>
          <w:sz w:val="20"/>
          <w:szCs w:val="20"/>
        </w:rPr>
      </w:pPr>
    </w:p>
    <w:p w14:paraId="4FD904E2" w14:textId="77777777" w:rsidR="002F331D" w:rsidRPr="00683778" w:rsidRDefault="002F331D" w:rsidP="002F331D">
      <w:pPr>
        <w:pStyle w:val="Naslovpredpisa"/>
        <w:spacing w:before="0" w:after="0" w:line="260" w:lineRule="exact"/>
        <w:jc w:val="both"/>
        <w:rPr>
          <w:b w:val="0"/>
          <w:iCs/>
          <w:sz w:val="20"/>
          <w:szCs w:val="20"/>
        </w:rPr>
      </w:pPr>
    </w:p>
    <w:p w14:paraId="539D3BE6" w14:textId="77777777" w:rsidR="002F331D" w:rsidRPr="00683778" w:rsidRDefault="002F331D" w:rsidP="002F331D">
      <w:pPr>
        <w:pStyle w:val="Naslovpredpisa"/>
        <w:spacing w:before="0" w:after="0" w:line="260" w:lineRule="exact"/>
        <w:jc w:val="both"/>
        <w:rPr>
          <w:b w:val="0"/>
          <w:iCs/>
          <w:sz w:val="20"/>
          <w:szCs w:val="20"/>
        </w:rPr>
      </w:pPr>
    </w:p>
    <w:p w14:paraId="520FD2AD" w14:textId="77777777" w:rsidR="002F331D" w:rsidRPr="00683778" w:rsidRDefault="002F331D" w:rsidP="002F331D">
      <w:pPr>
        <w:pStyle w:val="Naslovpredpisa"/>
        <w:spacing w:before="0" w:after="0" w:line="260" w:lineRule="exact"/>
        <w:jc w:val="both"/>
        <w:rPr>
          <w:b w:val="0"/>
          <w:iCs/>
          <w:sz w:val="20"/>
          <w:szCs w:val="20"/>
        </w:rPr>
      </w:pPr>
    </w:p>
    <w:p w14:paraId="441214CF" w14:textId="77777777" w:rsidR="002F331D" w:rsidRPr="00683778" w:rsidRDefault="002F331D" w:rsidP="002F331D">
      <w:pPr>
        <w:pStyle w:val="Naslovpredpisa"/>
        <w:spacing w:before="0" w:after="0" w:line="260" w:lineRule="exact"/>
        <w:jc w:val="both"/>
        <w:rPr>
          <w:b w:val="0"/>
          <w:iCs/>
          <w:sz w:val="20"/>
          <w:szCs w:val="20"/>
        </w:rPr>
      </w:pPr>
    </w:p>
    <w:p w14:paraId="04B51A80" w14:textId="77777777" w:rsidR="002F331D" w:rsidRPr="00683778" w:rsidRDefault="002F331D" w:rsidP="002F331D">
      <w:pPr>
        <w:pStyle w:val="Naslovpredpisa"/>
        <w:spacing w:before="0" w:after="0" w:line="260" w:lineRule="exact"/>
        <w:jc w:val="both"/>
        <w:rPr>
          <w:b w:val="0"/>
          <w:iCs/>
          <w:sz w:val="20"/>
          <w:szCs w:val="20"/>
        </w:rPr>
      </w:pPr>
    </w:p>
    <w:p w14:paraId="32C6570D" w14:textId="77777777" w:rsidR="002F331D" w:rsidRPr="00683778" w:rsidRDefault="002F331D" w:rsidP="002F331D">
      <w:pPr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683778">
        <w:rPr>
          <w:rFonts w:ascii="Arial" w:eastAsia="Times New Roman" w:hAnsi="Arial" w:cs="Arial"/>
          <w:iCs/>
          <w:sz w:val="20"/>
          <w:szCs w:val="20"/>
          <w:lang w:eastAsia="sl-SI"/>
        </w:rPr>
        <w:br w:type="page"/>
      </w:r>
    </w:p>
    <w:p w14:paraId="7E064A30" w14:textId="77777777" w:rsidR="002F331D" w:rsidRPr="00683778" w:rsidRDefault="002F331D" w:rsidP="002F331D">
      <w:pPr>
        <w:pStyle w:val="Neotevilenodstavek"/>
        <w:spacing w:before="0" w:after="0" w:line="260" w:lineRule="exact"/>
        <w:rPr>
          <w:rFonts w:cs="Arial"/>
          <w:iCs/>
          <w:sz w:val="20"/>
          <w:szCs w:val="20"/>
          <w:lang w:eastAsia="sl-SI"/>
        </w:rPr>
      </w:pPr>
      <w:r w:rsidRPr="00683778">
        <w:rPr>
          <w:rFonts w:cs="Arial"/>
          <w:iCs/>
          <w:sz w:val="20"/>
          <w:szCs w:val="20"/>
          <w:lang w:eastAsia="sl-SI"/>
        </w:rPr>
        <w:lastRenderedPageBreak/>
        <w:t>Številka:</w:t>
      </w:r>
    </w:p>
    <w:p w14:paraId="525903AE" w14:textId="77777777" w:rsidR="002F331D" w:rsidRPr="00683778" w:rsidRDefault="002F331D" w:rsidP="002F331D">
      <w:pPr>
        <w:pStyle w:val="Neotevilenodstavek"/>
        <w:spacing w:before="0" w:after="0" w:line="260" w:lineRule="exact"/>
        <w:rPr>
          <w:rFonts w:cs="Arial"/>
          <w:iCs/>
          <w:sz w:val="20"/>
          <w:szCs w:val="20"/>
          <w:lang w:eastAsia="sl-SI"/>
        </w:rPr>
      </w:pPr>
    </w:p>
    <w:p w14:paraId="3BEF07F2" w14:textId="77777777" w:rsidR="002F331D" w:rsidRPr="00683778" w:rsidRDefault="002F331D" w:rsidP="002F331D">
      <w:pPr>
        <w:pStyle w:val="Neotevilenodstavek"/>
        <w:spacing w:before="0" w:after="0" w:line="260" w:lineRule="exact"/>
        <w:rPr>
          <w:rFonts w:cs="Arial"/>
          <w:iCs/>
          <w:sz w:val="20"/>
          <w:szCs w:val="20"/>
          <w:lang w:eastAsia="sl-SI"/>
        </w:rPr>
      </w:pPr>
      <w:r w:rsidRPr="00683778">
        <w:rPr>
          <w:rFonts w:cs="Arial"/>
          <w:iCs/>
          <w:sz w:val="20"/>
          <w:szCs w:val="20"/>
          <w:lang w:eastAsia="sl-SI"/>
        </w:rPr>
        <w:t xml:space="preserve">Ljubljana, dne </w:t>
      </w:r>
    </w:p>
    <w:p w14:paraId="5C10B1AB" w14:textId="77777777" w:rsidR="002F331D" w:rsidRPr="00683778" w:rsidRDefault="002F331D" w:rsidP="002F331D">
      <w:pPr>
        <w:pStyle w:val="Neotevilenodstavek"/>
        <w:spacing w:before="0" w:after="0" w:line="260" w:lineRule="exact"/>
        <w:rPr>
          <w:rFonts w:cs="Arial"/>
          <w:iCs/>
          <w:sz w:val="20"/>
          <w:szCs w:val="20"/>
          <w:lang w:eastAsia="sl-SI"/>
        </w:rPr>
      </w:pPr>
    </w:p>
    <w:p w14:paraId="077CD666" w14:textId="77777777" w:rsidR="002F331D" w:rsidRPr="00691DD4" w:rsidRDefault="002F331D" w:rsidP="002F331D">
      <w:pPr>
        <w:pStyle w:val="Neotevilenodstavek"/>
        <w:spacing w:before="0" w:after="0" w:line="260" w:lineRule="exact"/>
        <w:rPr>
          <w:rFonts w:cs="Arial"/>
          <w:iCs/>
          <w:sz w:val="20"/>
          <w:szCs w:val="20"/>
          <w:lang w:eastAsia="sl-SI"/>
        </w:rPr>
      </w:pPr>
      <w:r w:rsidRPr="00691DD4">
        <w:rPr>
          <w:rFonts w:cs="Arial"/>
          <w:iCs/>
          <w:sz w:val="20"/>
          <w:szCs w:val="20"/>
          <w:lang w:eastAsia="sl-SI"/>
        </w:rPr>
        <w:t xml:space="preserve">Na podlagi šestega odstavka 21. člena Zakona o Vladi Republike Slovenije </w:t>
      </w:r>
      <w:r w:rsidRPr="004658EC">
        <w:rPr>
          <w:rFonts w:cs="Arial"/>
          <w:iCs/>
          <w:sz w:val="20"/>
          <w:szCs w:val="20"/>
          <w:lang w:eastAsia="sl-SI"/>
        </w:rPr>
        <w:t>(Uradni list RS, št. 24/05 - uradno prečiščeno besedilo, 109/08, 38/10-ZUKN, 8/12, 21/13, 47/13 – ZDU-1G, 65/14</w:t>
      </w:r>
      <w:r>
        <w:rPr>
          <w:rFonts w:cs="Arial"/>
          <w:iCs/>
          <w:sz w:val="20"/>
          <w:szCs w:val="20"/>
          <w:lang w:eastAsia="sl-SI"/>
        </w:rPr>
        <w:t xml:space="preserve">, </w:t>
      </w:r>
      <w:r w:rsidRPr="004658EC">
        <w:rPr>
          <w:rFonts w:cs="Arial"/>
          <w:iCs/>
          <w:sz w:val="20"/>
          <w:szCs w:val="20"/>
          <w:lang w:eastAsia="sl-SI"/>
        </w:rPr>
        <w:t>55/17</w:t>
      </w:r>
      <w:r>
        <w:rPr>
          <w:rFonts w:cs="Arial"/>
          <w:iCs/>
          <w:sz w:val="20"/>
          <w:szCs w:val="20"/>
          <w:lang w:eastAsia="sl-SI"/>
        </w:rPr>
        <w:t xml:space="preserve"> in 163/22</w:t>
      </w:r>
      <w:r w:rsidRPr="004658EC">
        <w:rPr>
          <w:rFonts w:cs="Arial"/>
          <w:iCs/>
          <w:sz w:val="20"/>
          <w:szCs w:val="20"/>
          <w:lang w:eastAsia="sl-SI"/>
        </w:rPr>
        <w:t xml:space="preserve">) </w:t>
      </w:r>
      <w:r w:rsidRPr="00691DD4">
        <w:rPr>
          <w:rFonts w:cs="Arial"/>
          <w:iCs/>
          <w:sz w:val="20"/>
          <w:szCs w:val="20"/>
          <w:lang w:eastAsia="sl-SI"/>
        </w:rPr>
        <w:t xml:space="preserve">in </w:t>
      </w:r>
      <w:r>
        <w:rPr>
          <w:rFonts w:cs="Arial"/>
          <w:iCs/>
          <w:sz w:val="20"/>
          <w:szCs w:val="20"/>
          <w:lang w:eastAsia="sl-SI"/>
        </w:rPr>
        <w:t>prvega odstavka 12. člena Odloka o medresorski komisiji za odpravljanje posledic dela z azbestom (Uradni list RS, št. 3/20)</w:t>
      </w:r>
      <w:r w:rsidRPr="00691DD4">
        <w:rPr>
          <w:rFonts w:cs="Arial"/>
          <w:iCs/>
          <w:sz w:val="20"/>
          <w:szCs w:val="20"/>
          <w:lang w:eastAsia="sl-SI"/>
        </w:rPr>
        <w:t xml:space="preserve">, je Vlada Republike Slovenije na … seji dne … sprejela naslednji </w:t>
      </w:r>
    </w:p>
    <w:p w14:paraId="5B39C266" w14:textId="77777777" w:rsidR="002F331D" w:rsidRPr="00691DD4" w:rsidRDefault="002F331D" w:rsidP="002F331D">
      <w:pPr>
        <w:pStyle w:val="Neotevilenodstavek"/>
        <w:spacing w:before="0" w:after="0" w:line="260" w:lineRule="exact"/>
        <w:rPr>
          <w:rFonts w:cs="Arial"/>
          <w:iCs/>
          <w:sz w:val="20"/>
          <w:szCs w:val="20"/>
          <w:lang w:eastAsia="sl-SI"/>
        </w:rPr>
      </w:pPr>
    </w:p>
    <w:p w14:paraId="51E39780" w14:textId="77777777" w:rsidR="002F331D" w:rsidRPr="00691DD4" w:rsidRDefault="002F331D" w:rsidP="002F331D">
      <w:pPr>
        <w:pStyle w:val="Neotevilenodstavek"/>
        <w:spacing w:before="0" w:after="0" w:line="260" w:lineRule="exact"/>
        <w:rPr>
          <w:rFonts w:cs="Arial"/>
          <w:iCs/>
          <w:sz w:val="20"/>
          <w:szCs w:val="20"/>
          <w:lang w:eastAsia="sl-SI"/>
        </w:rPr>
      </w:pPr>
    </w:p>
    <w:p w14:paraId="2337D82D" w14:textId="6108C05C" w:rsidR="002F331D" w:rsidRPr="00691DD4" w:rsidRDefault="002F331D" w:rsidP="002F331D">
      <w:pPr>
        <w:pStyle w:val="Neotevilenodstavek"/>
        <w:spacing w:before="0" w:after="0" w:line="260" w:lineRule="exact"/>
        <w:jc w:val="center"/>
        <w:rPr>
          <w:rFonts w:cs="Arial"/>
          <w:iCs/>
          <w:sz w:val="20"/>
          <w:szCs w:val="20"/>
          <w:lang w:eastAsia="sl-SI"/>
        </w:rPr>
      </w:pPr>
      <w:r w:rsidRPr="00691DD4">
        <w:rPr>
          <w:rFonts w:cs="Arial"/>
          <w:iCs/>
          <w:sz w:val="20"/>
          <w:szCs w:val="20"/>
          <w:lang w:eastAsia="sl-SI"/>
        </w:rPr>
        <w:t>SKLEP</w:t>
      </w:r>
      <w:r>
        <w:rPr>
          <w:rFonts w:cs="Arial"/>
          <w:iCs/>
          <w:sz w:val="20"/>
          <w:szCs w:val="20"/>
          <w:lang w:eastAsia="sl-SI"/>
        </w:rPr>
        <w:t>:</w:t>
      </w:r>
    </w:p>
    <w:p w14:paraId="306D058C" w14:textId="77777777" w:rsidR="002F331D" w:rsidRPr="00691DD4" w:rsidRDefault="002F331D" w:rsidP="002F331D">
      <w:pPr>
        <w:pStyle w:val="Neotevilenodstavek"/>
        <w:spacing w:before="0" w:after="0" w:line="260" w:lineRule="exact"/>
        <w:rPr>
          <w:rFonts w:cs="Arial"/>
          <w:iCs/>
          <w:sz w:val="20"/>
          <w:szCs w:val="20"/>
          <w:lang w:eastAsia="sl-SI"/>
        </w:rPr>
      </w:pPr>
    </w:p>
    <w:p w14:paraId="617AA579" w14:textId="164A0B20" w:rsidR="002F331D" w:rsidRDefault="002F331D" w:rsidP="002F331D">
      <w:pPr>
        <w:pStyle w:val="Neotevilenodstavek"/>
        <w:spacing w:before="0" w:after="0" w:line="260" w:lineRule="exact"/>
        <w:rPr>
          <w:rFonts w:cs="Arial"/>
          <w:sz w:val="20"/>
          <w:szCs w:val="20"/>
          <w:lang w:eastAsia="sl-SI"/>
        </w:rPr>
      </w:pPr>
      <w:r w:rsidRPr="00691DD4">
        <w:rPr>
          <w:rFonts w:cs="Arial"/>
          <w:iCs/>
          <w:sz w:val="20"/>
          <w:szCs w:val="20"/>
          <w:lang w:eastAsia="sl-SI"/>
        </w:rPr>
        <w:t xml:space="preserve">Vlada Republike Slovenije se je seznanila s Poročilom o </w:t>
      </w:r>
      <w:r w:rsidRPr="00691DD4">
        <w:rPr>
          <w:rFonts w:cs="Arial"/>
          <w:sz w:val="20"/>
          <w:szCs w:val="20"/>
          <w:lang w:eastAsia="sl-SI"/>
        </w:rPr>
        <w:t xml:space="preserve">delu Komisije za odpravljanje posledic dela z azbestom za leto </w:t>
      </w:r>
      <w:r>
        <w:rPr>
          <w:rFonts w:cs="Arial"/>
          <w:sz w:val="20"/>
          <w:szCs w:val="20"/>
          <w:lang w:eastAsia="sl-SI"/>
        </w:rPr>
        <w:t>202</w:t>
      </w:r>
      <w:r w:rsidR="00033B09">
        <w:rPr>
          <w:rFonts w:cs="Arial"/>
          <w:sz w:val="20"/>
          <w:szCs w:val="20"/>
          <w:lang w:eastAsia="sl-SI"/>
        </w:rPr>
        <w:t>4</w:t>
      </w:r>
      <w:r w:rsidRPr="00691DD4">
        <w:rPr>
          <w:rFonts w:cs="Arial"/>
          <w:sz w:val="20"/>
          <w:szCs w:val="20"/>
          <w:lang w:eastAsia="sl-SI"/>
        </w:rPr>
        <w:t>.</w:t>
      </w:r>
    </w:p>
    <w:p w14:paraId="392AF617" w14:textId="77777777" w:rsidR="002F331D" w:rsidRDefault="002F331D" w:rsidP="002F331D">
      <w:pPr>
        <w:pStyle w:val="Neotevilenodstavek"/>
        <w:spacing w:before="0" w:after="0" w:line="260" w:lineRule="exact"/>
        <w:rPr>
          <w:rFonts w:cs="Arial"/>
          <w:sz w:val="20"/>
          <w:szCs w:val="20"/>
          <w:lang w:eastAsia="sl-SI"/>
        </w:rPr>
      </w:pPr>
    </w:p>
    <w:p w14:paraId="402F8FBF" w14:textId="77777777" w:rsidR="002F331D" w:rsidRDefault="002F331D" w:rsidP="002F331D">
      <w:pPr>
        <w:pStyle w:val="Neotevilenodstavek"/>
        <w:spacing w:before="0" w:after="0" w:line="260" w:lineRule="exact"/>
        <w:rPr>
          <w:rFonts w:cs="Arial"/>
          <w:sz w:val="20"/>
          <w:szCs w:val="20"/>
          <w:lang w:eastAsia="sl-SI"/>
        </w:rPr>
      </w:pPr>
    </w:p>
    <w:p w14:paraId="7BAA5F7C" w14:textId="77777777" w:rsidR="002F331D" w:rsidRPr="00287DD3" w:rsidRDefault="002F331D" w:rsidP="002F331D">
      <w:pPr>
        <w:pStyle w:val="Naslov3"/>
        <w:spacing w:before="0" w:beforeAutospacing="0" w:after="0" w:afterAutospacing="0"/>
        <w:ind w:left="4956"/>
        <w:textAlignment w:val="baseline"/>
        <w:rPr>
          <w:rFonts w:ascii="Arial" w:hAnsi="Arial" w:cs="Arial"/>
          <w:b w:val="0"/>
          <w:bCs w:val="0"/>
          <w:iCs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</w:t>
      </w:r>
      <w:r w:rsidRPr="00930F69">
        <w:rPr>
          <w:rFonts w:ascii="Arial" w:hAnsi="Arial" w:cs="Arial"/>
          <w:b w:val="0"/>
          <w:bCs w:val="0"/>
          <w:iCs/>
          <w:sz w:val="20"/>
          <w:szCs w:val="20"/>
        </w:rPr>
        <w:t xml:space="preserve">                                                                                   </w:t>
      </w:r>
      <w:r>
        <w:rPr>
          <w:rFonts w:ascii="Arial" w:hAnsi="Arial" w:cs="Arial"/>
          <w:b w:val="0"/>
          <w:bCs w:val="0"/>
          <w:iCs/>
          <w:sz w:val="20"/>
          <w:szCs w:val="20"/>
        </w:rPr>
        <w:t xml:space="preserve">       </w:t>
      </w:r>
      <w:r w:rsidRPr="00F512E5">
        <w:rPr>
          <w:rFonts w:ascii="Arial" w:hAnsi="Arial" w:cs="Arial"/>
          <w:b w:val="0"/>
          <w:bCs w:val="0"/>
          <w:iCs/>
          <w:sz w:val="20"/>
          <w:szCs w:val="20"/>
        </w:rPr>
        <w:t>Barbara Kolenko Helbl</w:t>
      </w:r>
    </w:p>
    <w:p w14:paraId="521E14BA" w14:textId="77777777" w:rsidR="002F331D" w:rsidRPr="00930F69" w:rsidRDefault="002F331D" w:rsidP="002F331D">
      <w:pPr>
        <w:pStyle w:val="Neotevilenodstavek"/>
        <w:spacing w:before="0" w:after="0" w:line="240" w:lineRule="auto"/>
        <w:rPr>
          <w:rFonts w:cs="Arial"/>
          <w:iCs/>
          <w:sz w:val="20"/>
          <w:szCs w:val="20"/>
          <w:lang w:eastAsia="sl-SI"/>
        </w:rPr>
      </w:pPr>
      <w:r>
        <w:rPr>
          <w:rFonts w:cs="Arial"/>
          <w:iCs/>
          <w:sz w:val="20"/>
          <w:szCs w:val="20"/>
          <w:lang w:eastAsia="sl-SI"/>
        </w:rPr>
        <w:t xml:space="preserve">                                                                               </w:t>
      </w:r>
      <w:r>
        <w:rPr>
          <w:rFonts w:cs="Arial"/>
          <w:iCs/>
          <w:sz w:val="20"/>
          <w:szCs w:val="20"/>
          <w:lang w:eastAsia="sl-SI"/>
        </w:rPr>
        <w:tab/>
        <w:t xml:space="preserve"> generalna sekretarka</w:t>
      </w:r>
    </w:p>
    <w:p w14:paraId="670E0700" w14:textId="649C3E2E" w:rsidR="002F331D" w:rsidRDefault="002F331D" w:rsidP="002F331D">
      <w:pPr>
        <w:pStyle w:val="Neotevilenodstavek"/>
        <w:spacing w:before="0" w:after="0" w:line="260" w:lineRule="exact"/>
        <w:rPr>
          <w:rFonts w:cs="Arial"/>
          <w:sz w:val="20"/>
          <w:szCs w:val="20"/>
          <w:lang w:eastAsia="sl-SI"/>
        </w:rPr>
      </w:pPr>
    </w:p>
    <w:p w14:paraId="590A4885" w14:textId="1B63F233" w:rsidR="002F331D" w:rsidRDefault="002F331D" w:rsidP="002F331D">
      <w:pPr>
        <w:pStyle w:val="Neotevilenodstavek"/>
        <w:spacing w:before="0" w:after="0" w:line="260" w:lineRule="exact"/>
        <w:rPr>
          <w:rFonts w:cs="Arial"/>
          <w:sz w:val="20"/>
          <w:szCs w:val="20"/>
          <w:lang w:eastAsia="sl-SI"/>
        </w:rPr>
      </w:pPr>
    </w:p>
    <w:p w14:paraId="644F5B07" w14:textId="2ECC3C95" w:rsidR="002F331D" w:rsidRDefault="002F331D" w:rsidP="002F331D">
      <w:pPr>
        <w:pStyle w:val="Neotevilenodstavek"/>
        <w:spacing w:before="0" w:after="0" w:line="260" w:lineRule="exact"/>
        <w:rPr>
          <w:rFonts w:cs="Arial"/>
          <w:sz w:val="20"/>
          <w:szCs w:val="20"/>
          <w:lang w:eastAsia="sl-SI"/>
        </w:rPr>
      </w:pPr>
      <w:r>
        <w:rPr>
          <w:rFonts w:cs="Arial"/>
          <w:sz w:val="20"/>
          <w:szCs w:val="20"/>
          <w:lang w:eastAsia="sl-SI"/>
        </w:rPr>
        <w:t>Priloga:</w:t>
      </w:r>
    </w:p>
    <w:p w14:paraId="202F6644" w14:textId="68CC7A03" w:rsidR="002F331D" w:rsidRDefault="002F331D" w:rsidP="002F331D">
      <w:pPr>
        <w:pStyle w:val="Neotevilenodstavek"/>
        <w:spacing w:before="0" w:after="0" w:line="260" w:lineRule="exact"/>
        <w:rPr>
          <w:rFonts w:cs="Arial"/>
          <w:iCs/>
          <w:sz w:val="20"/>
          <w:szCs w:val="20"/>
          <w:lang w:eastAsia="sl-SI"/>
        </w:rPr>
      </w:pPr>
      <w:r>
        <w:rPr>
          <w:rFonts w:cs="Arial"/>
          <w:sz w:val="20"/>
          <w:szCs w:val="20"/>
          <w:lang w:eastAsia="sl-SI"/>
        </w:rPr>
        <w:t xml:space="preserve">- </w:t>
      </w:r>
      <w:r w:rsidRPr="00067C28">
        <w:rPr>
          <w:rFonts w:cs="Arial"/>
          <w:sz w:val="20"/>
          <w:szCs w:val="20"/>
          <w:lang w:eastAsia="sl-SI"/>
        </w:rPr>
        <w:t>Poročilo o delu Komisije za odpravljanje posledic dela z</w:t>
      </w:r>
      <w:r>
        <w:rPr>
          <w:rFonts w:cs="Arial"/>
          <w:sz w:val="20"/>
          <w:szCs w:val="20"/>
          <w:lang w:eastAsia="sl-SI"/>
        </w:rPr>
        <w:t xml:space="preserve"> azbestom za leto 202</w:t>
      </w:r>
      <w:r w:rsidR="00033B09">
        <w:rPr>
          <w:rFonts w:cs="Arial"/>
          <w:sz w:val="20"/>
          <w:szCs w:val="20"/>
          <w:lang w:eastAsia="sl-SI"/>
        </w:rPr>
        <w:t>4</w:t>
      </w:r>
    </w:p>
    <w:p w14:paraId="5572FB52" w14:textId="77777777" w:rsidR="002F331D" w:rsidRDefault="002F331D" w:rsidP="002F331D">
      <w:pPr>
        <w:pStyle w:val="Neotevilenodstavek"/>
        <w:spacing w:before="0" w:after="0" w:line="260" w:lineRule="exact"/>
        <w:rPr>
          <w:rFonts w:cs="Arial"/>
          <w:iCs/>
          <w:sz w:val="20"/>
          <w:szCs w:val="20"/>
          <w:lang w:eastAsia="sl-SI"/>
        </w:rPr>
      </w:pPr>
    </w:p>
    <w:p w14:paraId="3720509B" w14:textId="77777777" w:rsidR="002F331D" w:rsidRPr="00683778" w:rsidRDefault="002F331D" w:rsidP="002F331D">
      <w:pPr>
        <w:pStyle w:val="Neotevilenodstavek"/>
        <w:spacing w:before="0" w:after="0" w:line="260" w:lineRule="exact"/>
        <w:rPr>
          <w:rFonts w:cs="Arial"/>
          <w:iCs/>
          <w:sz w:val="20"/>
          <w:szCs w:val="20"/>
          <w:lang w:eastAsia="sl-SI"/>
        </w:rPr>
      </w:pPr>
      <w:r w:rsidRPr="00683778">
        <w:rPr>
          <w:rFonts w:cs="Arial"/>
          <w:iCs/>
          <w:sz w:val="20"/>
          <w:szCs w:val="20"/>
          <w:lang w:eastAsia="sl-SI"/>
        </w:rPr>
        <w:t>Prejmejo:</w:t>
      </w:r>
    </w:p>
    <w:p w14:paraId="6DC11FA6" w14:textId="77777777" w:rsidR="002F331D" w:rsidRPr="00683778" w:rsidRDefault="002F331D" w:rsidP="002F331D">
      <w:pPr>
        <w:pStyle w:val="Neotevilenodstavek"/>
        <w:numPr>
          <w:ilvl w:val="0"/>
          <w:numId w:val="8"/>
        </w:numPr>
        <w:spacing w:before="0" w:after="0" w:line="260" w:lineRule="exact"/>
        <w:rPr>
          <w:rFonts w:cs="Arial"/>
          <w:iCs/>
          <w:sz w:val="20"/>
          <w:szCs w:val="20"/>
          <w:lang w:eastAsia="sl-SI"/>
        </w:rPr>
      </w:pPr>
      <w:r w:rsidRPr="00683778">
        <w:rPr>
          <w:rFonts w:cs="Arial"/>
          <w:iCs/>
          <w:sz w:val="20"/>
          <w:szCs w:val="20"/>
          <w:lang w:eastAsia="sl-SI"/>
        </w:rPr>
        <w:t>Komisija za odpravljanje posledic dela z azbestom</w:t>
      </w:r>
    </w:p>
    <w:p w14:paraId="24E81F3D" w14:textId="77777777" w:rsidR="002F331D" w:rsidRPr="00683778" w:rsidRDefault="002F331D" w:rsidP="002F331D">
      <w:pPr>
        <w:pStyle w:val="Neotevilenodstavek"/>
        <w:numPr>
          <w:ilvl w:val="0"/>
          <w:numId w:val="8"/>
        </w:numPr>
        <w:spacing w:before="0" w:after="0" w:line="260" w:lineRule="exact"/>
        <w:rPr>
          <w:rFonts w:cs="Arial"/>
          <w:iCs/>
          <w:sz w:val="20"/>
          <w:szCs w:val="20"/>
          <w:lang w:eastAsia="sl-SI"/>
        </w:rPr>
      </w:pPr>
      <w:r w:rsidRPr="00683778">
        <w:rPr>
          <w:rFonts w:cs="Arial"/>
          <w:iCs/>
          <w:sz w:val="20"/>
          <w:szCs w:val="20"/>
          <w:lang w:eastAsia="sl-SI"/>
        </w:rPr>
        <w:t>Ministrstvo za delo, družino, socialne zadeve in enake možnosti</w:t>
      </w:r>
    </w:p>
    <w:p w14:paraId="78032B6B" w14:textId="77777777" w:rsidR="002F331D" w:rsidRPr="00683778" w:rsidRDefault="002F331D" w:rsidP="002F331D">
      <w:pPr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683778">
        <w:rPr>
          <w:rFonts w:ascii="Arial" w:eastAsia="Times New Roman" w:hAnsi="Arial" w:cs="Arial"/>
          <w:iCs/>
          <w:sz w:val="20"/>
          <w:szCs w:val="20"/>
          <w:lang w:eastAsia="sl-SI"/>
        </w:rPr>
        <w:br w:type="page"/>
      </w:r>
    </w:p>
    <w:p w14:paraId="1D52632D" w14:textId="77777777" w:rsidR="00033B09" w:rsidRPr="00033B09" w:rsidRDefault="00033B09" w:rsidP="00033B09">
      <w:pPr>
        <w:pStyle w:val="ZADEVA"/>
        <w:spacing w:line="240" w:lineRule="auto"/>
        <w:ind w:left="0" w:firstLine="0"/>
        <w:jc w:val="both"/>
        <w:rPr>
          <w:rFonts w:cs="Arial"/>
          <w:bCs/>
          <w:iCs/>
          <w:szCs w:val="20"/>
          <w:lang w:val="sl-SI" w:eastAsia="sl-SI"/>
        </w:rPr>
      </w:pPr>
      <w:r w:rsidRPr="00033B09">
        <w:rPr>
          <w:rFonts w:cs="Arial"/>
          <w:bCs/>
          <w:iCs/>
          <w:szCs w:val="20"/>
          <w:lang w:val="sl-SI" w:eastAsia="sl-SI"/>
        </w:rPr>
        <w:lastRenderedPageBreak/>
        <w:t>Poročilo o delu Komisije za odpravljanje posledic dela z azbestom za leto 2024</w:t>
      </w:r>
    </w:p>
    <w:p w14:paraId="7CB37482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0B89A427" w14:textId="77777777" w:rsid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I. Splošno</w:t>
      </w:r>
    </w:p>
    <w:p w14:paraId="7356E0F7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</w:p>
    <w:p w14:paraId="3C02BF18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Zakon, ki ureja področje socialnega in zdravstvenega varstva »azbestnih« bolnikov, je Zakon o odpravljanju posledic dela z azbestom (Uradni list RS, 15/07 – uradno prečiščeno besedilo in 51/09: v nadaljnjem besedilu: zakon). </w:t>
      </w:r>
    </w:p>
    <w:p w14:paraId="628C9162" w14:textId="77777777" w:rsidR="00033B09" w:rsidRDefault="00033B09" w:rsidP="00033B09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07C25A29" w14:textId="148C39A8" w:rsidR="00033B09" w:rsidRPr="00033B09" w:rsidRDefault="00033B09" w:rsidP="00033B09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>Podzakonski akti zakona so:</w:t>
      </w:r>
    </w:p>
    <w:p w14:paraId="46097BAF" w14:textId="77777777" w:rsidR="00033B09" w:rsidRPr="00033B09" w:rsidRDefault="00033B09" w:rsidP="00033B09">
      <w:pPr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>Pravilnik o pogojih za določitev bolezni zaradi izpostavljenosti azbestu in merilih za določitev višine odškodnine (Uradni list RS, št. 61/07 in 92/08), ki določa postopek ugotavljanja bolezni zaradi izpostavljenosti azbesta in izračun odškodnine;</w:t>
      </w:r>
    </w:p>
    <w:p w14:paraId="74DAC987" w14:textId="77777777" w:rsidR="00033B09" w:rsidRPr="00033B09" w:rsidRDefault="00033B09" w:rsidP="00033B09">
      <w:pPr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>Uredba o merilih za znižanje deleža odškodnine, ki jo delodajalci izplačujejo zaradi posledic dela z azbestom (Uradni list RS, št. 25/10), ki ureja znižanje deleža delodajalca in daje podlago Republiki Sloveniji za izplačilo celotnega zneska odškodnine, če delodajalec ali njegov pravni naslednik ne obstaja več;</w:t>
      </w:r>
    </w:p>
    <w:p w14:paraId="087241E6" w14:textId="77777777" w:rsidR="00033B09" w:rsidRPr="00033B09" w:rsidRDefault="00033B09" w:rsidP="00033B09">
      <w:pPr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>Shema za določanje odškodnine za posamezne vrste poklicnih bolezni zaradi izpostavljenosti azbestu, v kateri se vsako leto revalorizirajo zneski odškodnin (v nadaljevanju: shema). Shema se objavi v Uradnem listu RS.</w:t>
      </w:r>
    </w:p>
    <w:p w14:paraId="2256BFCA" w14:textId="77777777" w:rsidR="00033B09" w:rsidRPr="00033B09" w:rsidRDefault="00033B09" w:rsidP="00033B09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5087ACD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>Za postopke sporazumevanja za izplačilo odškodnine in priznavanje pravice do invalidske pokojnine pod ugodnejšimi pogoji po zakonu Vlada Republike Slovenije imenuje medresorsko komisijo (v nadaljnjem besedilu: komisija).</w:t>
      </w:r>
    </w:p>
    <w:p w14:paraId="615C032E" w14:textId="77777777" w:rsidR="00033B09" w:rsidRPr="00033B09" w:rsidRDefault="00033B09" w:rsidP="00033B09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1F2ED87" w14:textId="77777777" w:rsidR="00033B09" w:rsidRPr="00033B09" w:rsidRDefault="00033B09" w:rsidP="00033B09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>Komisija ima 5 članov ter 5 namestnikov, od katerih:</w:t>
      </w:r>
    </w:p>
    <w:p w14:paraId="7F8F2A82" w14:textId="77777777" w:rsidR="00033B09" w:rsidRPr="00033B09" w:rsidRDefault="00033B09" w:rsidP="00033B09">
      <w:pPr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>1 člana in 1 namestnika  predlaga minister, pristojen za delo;</w:t>
      </w:r>
    </w:p>
    <w:p w14:paraId="325EAE98" w14:textId="77777777" w:rsidR="00033B09" w:rsidRPr="00033B09" w:rsidRDefault="00033B09" w:rsidP="00033B09">
      <w:pPr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>1 člana in 1 namestnika  predlaga minister, pristojen za zdravje;</w:t>
      </w:r>
    </w:p>
    <w:p w14:paraId="755CD050" w14:textId="77777777" w:rsidR="00033B09" w:rsidRPr="00033B09" w:rsidRDefault="00033B09" w:rsidP="00033B09">
      <w:pPr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>1 člana in 1 namestnika  predlaga minister, pristojen za gospodarstvo;</w:t>
      </w:r>
    </w:p>
    <w:p w14:paraId="04B077C4" w14:textId="77777777" w:rsidR="00033B09" w:rsidRPr="00033B09" w:rsidRDefault="00033B09" w:rsidP="00033B09">
      <w:pPr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>1 člana in 1 namestnika  predlagajo gospodarske družbe iz 2. člena zakona oziroma gospodarske družbe, ki so njihovi pravni nasledniki;</w:t>
      </w:r>
    </w:p>
    <w:p w14:paraId="00EF407F" w14:textId="77777777" w:rsidR="00033B09" w:rsidRPr="00033B09" w:rsidRDefault="00033B09" w:rsidP="00033B09">
      <w:pPr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>1 člana in 1 namestnika  predlagajo organizacije, ki zastopajo obolele zaradi izpostavljenosti azbestu.</w:t>
      </w:r>
    </w:p>
    <w:p w14:paraId="7589F4A4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97C97ED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BDD36C3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II. Poročilo o delu komisije za obdobje od 1. 1. 2024 do 31. 12. 2024</w:t>
      </w:r>
    </w:p>
    <w:p w14:paraId="708AC49B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6A5728F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Komisija je v obdobju od 1. 1. 2024 do 31. 12. 2024 zasedala osemkrat. </w:t>
      </w:r>
    </w:p>
    <w:p w14:paraId="6428A25A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05E93EB3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Komisija je v obdobju od 1. 1. 2024 do 31. 12. 2024 prejela 79 zahtevkov, iz leta 2023 pa je bilo prenesenih 9 nepopolnih zahtevkov, kar znaša skupaj 88 zahtevkov za izplačilo odškodnine iz naslova poklicne bolezni zaradi izpostavljenosti azbestu in za priznanje invalidske pokojnine pod ugodnejšimi pogoji. </w:t>
      </w:r>
    </w:p>
    <w:p w14:paraId="601710FF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6FF3FAC6" w14:textId="615D06C3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>V letu 2024 je komisija obravnavala 74 zahtevkov za izplačilo odškodnine iz naslova poklicne bolezni zaradi izpostavljenosti azbestu in za priznanje invalidske pokojnine pod ugodnejšimi pogoji. 14 zahtevkov, prejetih v letu 2024</w:t>
      </w:r>
      <w:r w:rsidR="00425D03"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je bilo nepopolnih ali oddanih po zadnji seji komisije, dne 20. 12. 2024, zato jih v letu 2024 ni bilo možno obravnavati. Le ti bodo obravnavani v letu 2025.</w:t>
      </w:r>
    </w:p>
    <w:p w14:paraId="7DE86C98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89B0E5C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Komisija je v obdobju od 1. 1. 2024 do 31. 12. 2024 tako obravnavala 74 zahtevkov. Od obravnavanih 74 zahtevkov v letu 2024 je komisija pozitivno odločila v 63 primerih, 11 zahtevkov pa je zavrgla ali zavrnila. </w:t>
      </w:r>
    </w:p>
    <w:p w14:paraId="4F82C519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66D03C93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Od 63 zahtevkov v letu 2024, v primeru katerih je komisija odločila pozitivno, je bilo 61 zahtevkov za izplačilo odškodnine zaradi poklicne ali nepoklicne bolezni (okoljski mezoteliom) zaradi izpostavljenosti azbestu in 2 zahtevka za priznanje invalidske pokojnine pod ugodnejšimi pogoji. </w:t>
      </w:r>
    </w:p>
    <w:p w14:paraId="5DB0D434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63C9B1F2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V letu 2024 je bila 61 upravičencem priznana odškodnina iz naslova poklicne ali nepoklicne bolezni zaradi izpostavljenosti azbestu. </w:t>
      </w:r>
    </w:p>
    <w:p w14:paraId="4BBC6FB3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715F741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lastRenderedPageBreak/>
        <w:t>Republika Slovenija je 47 upravičencem oziroma njihovim dedičem izplačala zakonsko predpisanih 60% zneska celotne odškodnine, 14 upravičencem pa celotno odškodnino (100%), saj delodajalec, pri katerem je bolezen nastala, ni več obstajal ali pa je bil razlog bolezni okoljski mezoteliom.</w:t>
      </w:r>
    </w:p>
    <w:p w14:paraId="40BB2831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6701C6C0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V 11 primerih je komisija ugodila izplačilu razlike odškodnine, saj so upravičenci v preteklosti, na podlagi sodb, poravnav ali sporazumov o odškodnini že prejeli odškodnino za lažje oblike bolezni – bodisi za </w:t>
      </w:r>
      <w:proofErr w:type="spellStart"/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>plake</w:t>
      </w:r>
      <w:proofErr w:type="spellEnd"/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ali azbestozo.</w:t>
      </w:r>
    </w:p>
    <w:p w14:paraId="4A32A39E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3BBC582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>V 6 primerih je komisija, na podlagi pravnomočnih sklepov o dedovanju, izplačala odškodnino dedičem upravičencev.</w:t>
      </w:r>
    </w:p>
    <w:p w14:paraId="2594CF4A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8E11329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>Komisija je 34 upravičencem odobrila tudi izplačilo stroškov pooblaščenega zdravnika.</w:t>
      </w:r>
    </w:p>
    <w:p w14:paraId="4DA8FE76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6736C44A" w14:textId="65165200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>Interdisciplinarna skupina strokovnjakov (ISS) je 61 upravičencem, ki so uveljavljali pravico do izplačila odškodnine zaradi posledic dela z azbestom</w:t>
      </w:r>
      <w:r w:rsidR="00C117BB"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verificirala: </w:t>
      </w:r>
    </w:p>
    <w:p w14:paraId="3B153967" w14:textId="77777777" w:rsidR="00033B09" w:rsidRPr="00616003" w:rsidRDefault="00033B09" w:rsidP="00033B09">
      <w:pPr>
        <w:pStyle w:val="Odstavekseznama"/>
        <w:numPr>
          <w:ilvl w:val="0"/>
          <w:numId w:val="11"/>
        </w:numPr>
        <w:spacing w:line="240" w:lineRule="auto"/>
        <w:jc w:val="both"/>
        <w:rPr>
          <w:rFonts w:cs="Arial"/>
          <w:iCs/>
          <w:szCs w:val="20"/>
          <w:lang w:val="sl-SI" w:eastAsia="sl-SI"/>
        </w:rPr>
      </w:pPr>
      <w:r>
        <w:rPr>
          <w:rFonts w:cs="Arial"/>
          <w:iCs/>
          <w:szCs w:val="20"/>
          <w:lang w:val="sl-SI" w:eastAsia="sl-SI"/>
        </w:rPr>
        <w:t>25</w:t>
      </w:r>
      <w:r w:rsidRPr="00616003">
        <w:rPr>
          <w:rFonts w:cs="Arial"/>
          <w:iCs/>
          <w:szCs w:val="20"/>
          <w:lang w:val="sl-SI" w:eastAsia="sl-SI"/>
        </w:rPr>
        <w:t xml:space="preserve"> </w:t>
      </w:r>
      <w:proofErr w:type="spellStart"/>
      <w:r w:rsidRPr="00616003">
        <w:rPr>
          <w:rFonts w:cs="Arial"/>
          <w:iCs/>
          <w:szCs w:val="20"/>
          <w:lang w:val="sl-SI" w:eastAsia="sl-SI"/>
        </w:rPr>
        <w:t>plakov</w:t>
      </w:r>
      <w:proofErr w:type="spellEnd"/>
      <w:r w:rsidRPr="00616003">
        <w:rPr>
          <w:rFonts w:cs="Arial"/>
          <w:iCs/>
          <w:szCs w:val="20"/>
          <w:lang w:val="sl-SI" w:eastAsia="sl-SI"/>
        </w:rPr>
        <w:t xml:space="preserve"> oziroma bolezni plevre (v letu 202</w:t>
      </w:r>
      <w:r>
        <w:rPr>
          <w:rFonts w:cs="Arial"/>
          <w:iCs/>
          <w:szCs w:val="20"/>
          <w:lang w:val="sl-SI" w:eastAsia="sl-SI"/>
        </w:rPr>
        <w:t>3</w:t>
      </w:r>
      <w:r w:rsidRPr="00616003">
        <w:rPr>
          <w:rFonts w:cs="Arial"/>
          <w:iCs/>
          <w:szCs w:val="20"/>
          <w:lang w:val="sl-SI" w:eastAsia="sl-SI"/>
        </w:rPr>
        <w:t xml:space="preserve"> – </w:t>
      </w:r>
      <w:r>
        <w:rPr>
          <w:rFonts w:cs="Arial"/>
          <w:iCs/>
          <w:szCs w:val="20"/>
          <w:lang w:val="sl-SI" w:eastAsia="sl-SI"/>
        </w:rPr>
        <w:t>32</w:t>
      </w:r>
      <w:r w:rsidRPr="00616003">
        <w:rPr>
          <w:rFonts w:cs="Arial"/>
          <w:iCs/>
          <w:szCs w:val="20"/>
          <w:lang w:val="sl-SI" w:eastAsia="sl-SI"/>
        </w:rPr>
        <w:t xml:space="preserve"> primerov),</w:t>
      </w:r>
    </w:p>
    <w:p w14:paraId="3847FB30" w14:textId="77777777" w:rsidR="00033B09" w:rsidRPr="00616003" w:rsidRDefault="00033B09" w:rsidP="00033B09">
      <w:pPr>
        <w:pStyle w:val="Odstavekseznama"/>
        <w:numPr>
          <w:ilvl w:val="0"/>
          <w:numId w:val="11"/>
        </w:numPr>
        <w:spacing w:line="240" w:lineRule="auto"/>
        <w:jc w:val="both"/>
        <w:rPr>
          <w:rFonts w:cs="Arial"/>
          <w:iCs/>
          <w:szCs w:val="20"/>
          <w:lang w:val="sl-SI" w:eastAsia="sl-SI"/>
        </w:rPr>
      </w:pPr>
      <w:r>
        <w:rPr>
          <w:rFonts w:cs="Arial"/>
          <w:iCs/>
          <w:szCs w:val="20"/>
          <w:lang w:val="sl-SI" w:eastAsia="sl-SI"/>
        </w:rPr>
        <w:t xml:space="preserve">17 </w:t>
      </w:r>
      <w:proofErr w:type="spellStart"/>
      <w:r w:rsidRPr="00616003">
        <w:rPr>
          <w:rFonts w:cs="Arial"/>
          <w:iCs/>
          <w:szCs w:val="20"/>
          <w:lang w:val="sl-SI" w:eastAsia="sl-SI"/>
        </w:rPr>
        <w:t>azbestoz</w:t>
      </w:r>
      <w:proofErr w:type="spellEnd"/>
      <w:r w:rsidRPr="00616003">
        <w:rPr>
          <w:rFonts w:cs="Arial"/>
          <w:iCs/>
          <w:szCs w:val="20"/>
          <w:lang w:val="sl-SI" w:eastAsia="sl-SI"/>
        </w:rPr>
        <w:t xml:space="preserve"> (v letu 202</w:t>
      </w:r>
      <w:r>
        <w:rPr>
          <w:rFonts w:cs="Arial"/>
          <w:iCs/>
          <w:szCs w:val="20"/>
          <w:lang w:val="sl-SI" w:eastAsia="sl-SI"/>
        </w:rPr>
        <w:t>3</w:t>
      </w:r>
      <w:r w:rsidRPr="00616003">
        <w:rPr>
          <w:rFonts w:cs="Arial"/>
          <w:iCs/>
          <w:szCs w:val="20"/>
          <w:lang w:val="sl-SI" w:eastAsia="sl-SI"/>
        </w:rPr>
        <w:t xml:space="preserve"> – </w:t>
      </w:r>
      <w:r>
        <w:rPr>
          <w:rFonts w:cs="Arial"/>
          <w:iCs/>
          <w:szCs w:val="20"/>
          <w:lang w:val="sl-SI" w:eastAsia="sl-SI"/>
        </w:rPr>
        <w:t>29</w:t>
      </w:r>
      <w:r w:rsidRPr="00616003">
        <w:rPr>
          <w:rFonts w:cs="Arial"/>
          <w:iCs/>
          <w:szCs w:val="20"/>
          <w:lang w:val="sl-SI" w:eastAsia="sl-SI"/>
        </w:rPr>
        <w:t xml:space="preserve"> primerov),</w:t>
      </w:r>
    </w:p>
    <w:p w14:paraId="3C7C20F4" w14:textId="12038819" w:rsidR="00033B09" w:rsidRPr="00616003" w:rsidRDefault="00033B09" w:rsidP="00033B09">
      <w:pPr>
        <w:pStyle w:val="Odstavekseznama"/>
        <w:numPr>
          <w:ilvl w:val="0"/>
          <w:numId w:val="11"/>
        </w:numPr>
        <w:spacing w:line="240" w:lineRule="auto"/>
        <w:jc w:val="both"/>
        <w:rPr>
          <w:rFonts w:cs="Arial"/>
          <w:iCs/>
          <w:szCs w:val="20"/>
          <w:lang w:val="sl-SI" w:eastAsia="sl-SI"/>
        </w:rPr>
      </w:pPr>
      <w:r>
        <w:rPr>
          <w:rFonts w:cs="Arial"/>
          <w:iCs/>
          <w:szCs w:val="20"/>
          <w:lang w:val="sl-SI" w:eastAsia="sl-SI"/>
        </w:rPr>
        <w:t>19</w:t>
      </w:r>
      <w:r w:rsidRPr="00616003">
        <w:rPr>
          <w:rFonts w:cs="Arial"/>
          <w:iCs/>
          <w:szCs w:val="20"/>
          <w:lang w:val="sl-SI" w:eastAsia="sl-SI"/>
        </w:rPr>
        <w:t xml:space="preserve"> mezoteliomov oziroma pljučnih rakov (v letu 202</w:t>
      </w:r>
      <w:r>
        <w:rPr>
          <w:rFonts w:cs="Arial"/>
          <w:iCs/>
          <w:szCs w:val="20"/>
          <w:lang w:val="sl-SI" w:eastAsia="sl-SI"/>
        </w:rPr>
        <w:t>3</w:t>
      </w:r>
      <w:r w:rsidRPr="00616003">
        <w:rPr>
          <w:rFonts w:cs="Arial"/>
          <w:iCs/>
          <w:szCs w:val="20"/>
          <w:lang w:val="sl-SI" w:eastAsia="sl-SI"/>
        </w:rPr>
        <w:t xml:space="preserve"> – </w:t>
      </w:r>
      <w:r>
        <w:rPr>
          <w:rFonts w:cs="Arial"/>
          <w:iCs/>
          <w:szCs w:val="20"/>
          <w:lang w:val="sl-SI" w:eastAsia="sl-SI"/>
        </w:rPr>
        <w:t>21</w:t>
      </w:r>
      <w:r w:rsidRPr="00616003">
        <w:rPr>
          <w:rFonts w:cs="Arial"/>
          <w:iCs/>
          <w:szCs w:val="20"/>
          <w:lang w:val="sl-SI" w:eastAsia="sl-SI"/>
        </w:rPr>
        <w:t xml:space="preserve"> primerov)</w:t>
      </w:r>
      <w:r>
        <w:rPr>
          <w:rFonts w:cs="Arial"/>
          <w:iCs/>
          <w:szCs w:val="20"/>
          <w:lang w:val="sl-SI" w:eastAsia="sl-SI"/>
        </w:rPr>
        <w:t>, od katerih je bil</w:t>
      </w:r>
      <w:r w:rsidR="00C117BB">
        <w:rPr>
          <w:rFonts w:cs="Arial"/>
          <w:iCs/>
          <w:szCs w:val="20"/>
          <w:lang w:val="sl-SI" w:eastAsia="sl-SI"/>
        </w:rPr>
        <w:t>o</w:t>
      </w:r>
      <w:r>
        <w:rPr>
          <w:rFonts w:cs="Arial"/>
          <w:iCs/>
          <w:szCs w:val="20"/>
          <w:lang w:val="sl-SI" w:eastAsia="sl-SI"/>
        </w:rPr>
        <w:t xml:space="preserve"> pet priznanih mezoteliomov okoljskih mezoteliomov</w:t>
      </w:r>
      <w:r w:rsidRPr="00616003">
        <w:rPr>
          <w:rFonts w:cs="Arial"/>
          <w:iCs/>
          <w:szCs w:val="20"/>
          <w:lang w:val="sl-SI" w:eastAsia="sl-SI"/>
        </w:rPr>
        <w:t>.</w:t>
      </w:r>
    </w:p>
    <w:p w14:paraId="0108F32E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F65EA93" w14:textId="08AFC5DF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>Upravičenci, katerim je bila priznana poklicna ali v enem primeru nepoklicna bolezen zaradi azbesta</w:t>
      </w:r>
      <w:r w:rsidR="00C117BB"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prihajajo iz naslednjih regij:</w:t>
      </w:r>
    </w:p>
    <w:p w14:paraId="13E4F275" w14:textId="77777777" w:rsidR="00033B09" w:rsidRPr="00616003" w:rsidRDefault="00033B09" w:rsidP="00033B09">
      <w:pPr>
        <w:pStyle w:val="Odstavekseznama"/>
        <w:numPr>
          <w:ilvl w:val="0"/>
          <w:numId w:val="12"/>
        </w:numPr>
        <w:spacing w:line="240" w:lineRule="auto"/>
        <w:jc w:val="both"/>
        <w:rPr>
          <w:rFonts w:cs="Arial"/>
          <w:iCs/>
          <w:szCs w:val="20"/>
          <w:lang w:val="sl-SI" w:eastAsia="sl-SI"/>
        </w:rPr>
      </w:pPr>
      <w:r>
        <w:rPr>
          <w:rFonts w:cs="Arial"/>
          <w:iCs/>
          <w:szCs w:val="20"/>
          <w:lang w:val="sl-SI" w:eastAsia="sl-SI"/>
        </w:rPr>
        <w:t>46</w:t>
      </w:r>
      <w:r w:rsidRPr="00616003">
        <w:rPr>
          <w:rFonts w:cs="Arial"/>
          <w:iCs/>
          <w:szCs w:val="20"/>
          <w:lang w:val="sl-SI" w:eastAsia="sl-SI"/>
        </w:rPr>
        <w:t xml:space="preserve"> iz goriške,</w:t>
      </w:r>
    </w:p>
    <w:p w14:paraId="51362468" w14:textId="77777777" w:rsidR="00033B09" w:rsidRPr="00616003" w:rsidRDefault="00033B09" w:rsidP="00033B09">
      <w:pPr>
        <w:pStyle w:val="Odstavekseznama"/>
        <w:numPr>
          <w:ilvl w:val="0"/>
          <w:numId w:val="12"/>
        </w:numPr>
        <w:spacing w:line="240" w:lineRule="auto"/>
        <w:jc w:val="both"/>
        <w:rPr>
          <w:rFonts w:cs="Arial"/>
          <w:iCs/>
          <w:szCs w:val="20"/>
          <w:lang w:val="sl-SI" w:eastAsia="sl-SI"/>
        </w:rPr>
      </w:pPr>
      <w:r>
        <w:rPr>
          <w:rFonts w:cs="Arial"/>
          <w:iCs/>
          <w:szCs w:val="20"/>
          <w:lang w:val="sl-SI" w:eastAsia="sl-SI"/>
        </w:rPr>
        <w:t>9</w:t>
      </w:r>
      <w:r w:rsidRPr="00616003">
        <w:rPr>
          <w:rFonts w:cs="Arial"/>
          <w:iCs/>
          <w:szCs w:val="20"/>
          <w:lang w:val="sl-SI" w:eastAsia="sl-SI"/>
        </w:rPr>
        <w:t xml:space="preserve"> iz osrednjeslovenske,</w:t>
      </w:r>
    </w:p>
    <w:p w14:paraId="251F8293" w14:textId="77777777" w:rsidR="00033B09" w:rsidRDefault="00033B09" w:rsidP="00033B09">
      <w:pPr>
        <w:pStyle w:val="Odstavekseznama"/>
        <w:numPr>
          <w:ilvl w:val="0"/>
          <w:numId w:val="12"/>
        </w:numPr>
        <w:spacing w:line="240" w:lineRule="auto"/>
        <w:jc w:val="both"/>
        <w:rPr>
          <w:rFonts w:cs="Arial"/>
          <w:iCs/>
          <w:szCs w:val="20"/>
          <w:lang w:val="sl-SI" w:eastAsia="sl-SI"/>
        </w:rPr>
      </w:pPr>
      <w:r>
        <w:rPr>
          <w:rFonts w:cs="Arial"/>
          <w:iCs/>
          <w:szCs w:val="20"/>
          <w:lang w:val="sl-SI" w:eastAsia="sl-SI"/>
        </w:rPr>
        <w:t>4</w:t>
      </w:r>
      <w:r w:rsidRPr="00616003">
        <w:rPr>
          <w:rFonts w:cs="Arial"/>
          <w:iCs/>
          <w:szCs w:val="20"/>
          <w:lang w:val="sl-SI" w:eastAsia="sl-SI"/>
        </w:rPr>
        <w:t xml:space="preserve"> iz podravske</w:t>
      </w:r>
      <w:r>
        <w:rPr>
          <w:rFonts w:cs="Arial"/>
          <w:iCs/>
          <w:szCs w:val="20"/>
          <w:lang w:val="sl-SI" w:eastAsia="sl-SI"/>
        </w:rPr>
        <w:t>,</w:t>
      </w:r>
    </w:p>
    <w:p w14:paraId="44E0FE3F" w14:textId="77777777" w:rsidR="00033B09" w:rsidRDefault="00033B09" w:rsidP="00033B09">
      <w:pPr>
        <w:pStyle w:val="Odstavekseznama"/>
        <w:numPr>
          <w:ilvl w:val="0"/>
          <w:numId w:val="12"/>
        </w:numPr>
        <w:spacing w:line="240" w:lineRule="auto"/>
        <w:jc w:val="both"/>
        <w:rPr>
          <w:rFonts w:cs="Arial"/>
          <w:iCs/>
          <w:szCs w:val="20"/>
          <w:lang w:val="sl-SI" w:eastAsia="sl-SI"/>
        </w:rPr>
      </w:pPr>
      <w:r>
        <w:rPr>
          <w:rFonts w:cs="Arial"/>
          <w:iCs/>
          <w:szCs w:val="20"/>
          <w:lang w:val="sl-SI" w:eastAsia="sl-SI"/>
        </w:rPr>
        <w:t>2 iz spodnje posavske,</w:t>
      </w:r>
    </w:p>
    <w:p w14:paraId="06867D40" w14:textId="142B3B6F" w:rsidR="00033B09" w:rsidRDefault="00033B09" w:rsidP="00033B09">
      <w:pPr>
        <w:pStyle w:val="Odstavekseznama"/>
        <w:numPr>
          <w:ilvl w:val="0"/>
          <w:numId w:val="12"/>
        </w:numPr>
        <w:spacing w:line="240" w:lineRule="auto"/>
        <w:jc w:val="both"/>
        <w:rPr>
          <w:rFonts w:cs="Arial"/>
          <w:iCs/>
          <w:szCs w:val="20"/>
          <w:lang w:val="sl-SI" w:eastAsia="sl-SI"/>
        </w:rPr>
      </w:pPr>
      <w:r>
        <w:rPr>
          <w:rFonts w:cs="Arial"/>
          <w:iCs/>
          <w:szCs w:val="20"/>
          <w:lang w:val="sl-SI" w:eastAsia="sl-SI"/>
        </w:rPr>
        <w:t>1 iz savin</w:t>
      </w:r>
      <w:r w:rsidR="00C117BB">
        <w:rPr>
          <w:rFonts w:cs="Arial"/>
          <w:iCs/>
          <w:szCs w:val="20"/>
          <w:lang w:val="sl-SI" w:eastAsia="sl-SI"/>
        </w:rPr>
        <w:t>j</w:t>
      </w:r>
      <w:r>
        <w:rPr>
          <w:rFonts w:cs="Arial"/>
          <w:iCs/>
          <w:szCs w:val="20"/>
          <w:lang w:val="sl-SI" w:eastAsia="sl-SI"/>
        </w:rPr>
        <w:t>ske in</w:t>
      </w:r>
    </w:p>
    <w:p w14:paraId="707FA2DD" w14:textId="77777777" w:rsidR="00033B09" w:rsidRPr="00616003" w:rsidRDefault="00033B09" w:rsidP="00033B09">
      <w:pPr>
        <w:pStyle w:val="Odstavekseznama"/>
        <w:numPr>
          <w:ilvl w:val="0"/>
          <w:numId w:val="12"/>
        </w:numPr>
        <w:spacing w:line="240" w:lineRule="auto"/>
        <w:jc w:val="both"/>
        <w:rPr>
          <w:rFonts w:cs="Arial"/>
          <w:iCs/>
          <w:szCs w:val="20"/>
          <w:lang w:val="sl-SI" w:eastAsia="sl-SI"/>
        </w:rPr>
      </w:pPr>
      <w:r>
        <w:rPr>
          <w:rFonts w:cs="Arial"/>
          <w:iCs/>
          <w:szCs w:val="20"/>
          <w:lang w:val="sl-SI" w:eastAsia="sl-SI"/>
        </w:rPr>
        <w:t>1 iz zasavske</w:t>
      </w:r>
      <w:r w:rsidRPr="00616003">
        <w:rPr>
          <w:rFonts w:cs="Arial"/>
          <w:iCs/>
          <w:szCs w:val="20"/>
          <w:lang w:val="sl-SI" w:eastAsia="sl-SI"/>
        </w:rPr>
        <w:t>.</w:t>
      </w:r>
    </w:p>
    <w:p w14:paraId="6B97F557" w14:textId="77777777" w:rsidR="00033B09" w:rsidRPr="00616003" w:rsidRDefault="00033B09" w:rsidP="00033B09">
      <w:pPr>
        <w:pStyle w:val="Odstavekseznama"/>
        <w:spacing w:line="240" w:lineRule="auto"/>
        <w:ind w:left="0"/>
        <w:jc w:val="both"/>
        <w:rPr>
          <w:rFonts w:cs="Arial"/>
          <w:iCs/>
          <w:szCs w:val="20"/>
          <w:lang w:val="sl-SI" w:eastAsia="sl-SI"/>
        </w:rPr>
      </w:pPr>
    </w:p>
    <w:p w14:paraId="3FABEA97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Komisija je v letu 2024 izplačala upravičencem oziroma njihovim dedičem za odškodnine in povračilo stroškov pooblaščenega zdravnika 1.257.180,74 EUR za razliko od leta 2023, ko so ti stroški znašali 1.287.181,19 EUR. </w:t>
      </w:r>
    </w:p>
    <w:p w14:paraId="4153708E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911DF4A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>Kliničnemu inštituta za medicino dela, prometa in športa je bilo za delo ISS v letu 2024 izplačanih 30.479,35 EUR, za razliko od leta 2023, ko so ti stroški znašali 27.459,41 EUR.</w:t>
      </w:r>
    </w:p>
    <w:p w14:paraId="7DAFDC57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EA4FA3A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>Tabela: Število primerov posameznih azbestnih bolezni po letih</w:t>
      </w:r>
    </w:p>
    <w:tbl>
      <w:tblPr>
        <w:tblStyle w:val="Tabelamrea"/>
        <w:tblW w:w="9631" w:type="dxa"/>
        <w:tblLayout w:type="fixed"/>
        <w:tblLook w:val="04A0" w:firstRow="1" w:lastRow="0" w:firstColumn="1" w:lastColumn="0" w:noHBand="0" w:noVBand="1"/>
      </w:tblPr>
      <w:tblGrid>
        <w:gridCol w:w="1271"/>
        <w:gridCol w:w="1045"/>
        <w:gridCol w:w="1045"/>
        <w:gridCol w:w="1045"/>
        <w:gridCol w:w="1045"/>
        <w:gridCol w:w="1045"/>
        <w:gridCol w:w="1045"/>
        <w:gridCol w:w="1045"/>
        <w:gridCol w:w="1045"/>
      </w:tblGrid>
      <w:tr w:rsidR="00033B09" w:rsidRPr="00033B09" w14:paraId="270095CA" w14:textId="77777777" w:rsidTr="00166359">
        <w:tc>
          <w:tcPr>
            <w:tcW w:w="1271" w:type="dxa"/>
          </w:tcPr>
          <w:p w14:paraId="7A207063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045" w:type="dxa"/>
          </w:tcPr>
          <w:p w14:paraId="498486B1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2017</w:t>
            </w:r>
          </w:p>
        </w:tc>
        <w:tc>
          <w:tcPr>
            <w:tcW w:w="1045" w:type="dxa"/>
          </w:tcPr>
          <w:p w14:paraId="7C301089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2018</w:t>
            </w:r>
          </w:p>
        </w:tc>
        <w:tc>
          <w:tcPr>
            <w:tcW w:w="1045" w:type="dxa"/>
          </w:tcPr>
          <w:p w14:paraId="5AF7489C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2019</w:t>
            </w:r>
          </w:p>
        </w:tc>
        <w:tc>
          <w:tcPr>
            <w:tcW w:w="1045" w:type="dxa"/>
          </w:tcPr>
          <w:p w14:paraId="5BA977CA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2020</w:t>
            </w:r>
          </w:p>
        </w:tc>
        <w:tc>
          <w:tcPr>
            <w:tcW w:w="1045" w:type="dxa"/>
          </w:tcPr>
          <w:p w14:paraId="0F656889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2021</w:t>
            </w:r>
          </w:p>
        </w:tc>
        <w:tc>
          <w:tcPr>
            <w:tcW w:w="1045" w:type="dxa"/>
          </w:tcPr>
          <w:p w14:paraId="406815AE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2022</w:t>
            </w:r>
          </w:p>
        </w:tc>
        <w:tc>
          <w:tcPr>
            <w:tcW w:w="1045" w:type="dxa"/>
          </w:tcPr>
          <w:p w14:paraId="741479BE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2023</w:t>
            </w:r>
          </w:p>
        </w:tc>
        <w:tc>
          <w:tcPr>
            <w:tcW w:w="1045" w:type="dxa"/>
          </w:tcPr>
          <w:p w14:paraId="508F5D71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2024</w:t>
            </w:r>
          </w:p>
        </w:tc>
      </w:tr>
      <w:tr w:rsidR="00033B09" w:rsidRPr="00033B09" w14:paraId="55115DC2" w14:textId="77777777" w:rsidTr="00166359">
        <w:tc>
          <w:tcPr>
            <w:tcW w:w="1271" w:type="dxa"/>
          </w:tcPr>
          <w:p w14:paraId="5C7F22C6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PRIMERI</w:t>
            </w:r>
          </w:p>
        </w:tc>
        <w:tc>
          <w:tcPr>
            <w:tcW w:w="1045" w:type="dxa"/>
          </w:tcPr>
          <w:p w14:paraId="1465EF35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37</w:t>
            </w:r>
          </w:p>
          <w:p w14:paraId="25967F99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 xml:space="preserve">(O-24 + </w:t>
            </w:r>
          </w:p>
          <w:p w14:paraId="19A9E507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P-2)</w:t>
            </w:r>
          </w:p>
        </w:tc>
        <w:tc>
          <w:tcPr>
            <w:tcW w:w="1045" w:type="dxa"/>
          </w:tcPr>
          <w:p w14:paraId="25C40C38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58</w:t>
            </w:r>
          </w:p>
          <w:p w14:paraId="6D158F8A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 xml:space="preserve">(O-57 + </w:t>
            </w:r>
          </w:p>
          <w:p w14:paraId="6F30A11C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P-1)</w:t>
            </w:r>
          </w:p>
        </w:tc>
        <w:tc>
          <w:tcPr>
            <w:tcW w:w="1045" w:type="dxa"/>
          </w:tcPr>
          <w:p w14:paraId="37A1924E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47</w:t>
            </w:r>
          </w:p>
          <w:p w14:paraId="4C7679CD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 xml:space="preserve">(O-44 + </w:t>
            </w:r>
          </w:p>
          <w:p w14:paraId="782B818A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P-3)</w:t>
            </w:r>
          </w:p>
        </w:tc>
        <w:tc>
          <w:tcPr>
            <w:tcW w:w="1045" w:type="dxa"/>
          </w:tcPr>
          <w:p w14:paraId="381583B1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75</w:t>
            </w:r>
          </w:p>
          <w:p w14:paraId="2C6A012F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 xml:space="preserve">(O-72 + </w:t>
            </w:r>
          </w:p>
          <w:p w14:paraId="79BC206B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P-3)</w:t>
            </w:r>
          </w:p>
        </w:tc>
        <w:tc>
          <w:tcPr>
            <w:tcW w:w="1045" w:type="dxa"/>
          </w:tcPr>
          <w:p w14:paraId="4134997D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58</w:t>
            </w:r>
          </w:p>
          <w:p w14:paraId="19F12A8D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 xml:space="preserve">(O-58 + </w:t>
            </w:r>
          </w:p>
          <w:p w14:paraId="53FA2A67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P-0)</w:t>
            </w:r>
          </w:p>
        </w:tc>
        <w:tc>
          <w:tcPr>
            <w:tcW w:w="1045" w:type="dxa"/>
          </w:tcPr>
          <w:p w14:paraId="3F39A0B0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66</w:t>
            </w:r>
          </w:p>
          <w:p w14:paraId="20D64FAA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 xml:space="preserve">(O-65 + </w:t>
            </w:r>
          </w:p>
          <w:p w14:paraId="58BAEA6C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P-1)</w:t>
            </w:r>
          </w:p>
        </w:tc>
        <w:tc>
          <w:tcPr>
            <w:tcW w:w="1045" w:type="dxa"/>
          </w:tcPr>
          <w:p w14:paraId="15C01DE2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91</w:t>
            </w:r>
          </w:p>
          <w:p w14:paraId="0647291E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 xml:space="preserve">(O-87 + </w:t>
            </w:r>
          </w:p>
          <w:p w14:paraId="73011858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P-4)</w:t>
            </w:r>
          </w:p>
        </w:tc>
        <w:tc>
          <w:tcPr>
            <w:tcW w:w="1045" w:type="dxa"/>
          </w:tcPr>
          <w:p w14:paraId="0C0FEDDE" w14:textId="77777777" w:rsidR="00033B09" w:rsidRPr="00033B09" w:rsidRDefault="00033B09" w:rsidP="00033B09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74</w:t>
            </w:r>
          </w:p>
          <w:p w14:paraId="5A2527E7" w14:textId="77777777" w:rsidR="00033B09" w:rsidRPr="00033B09" w:rsidRDefault="00033B09" w:rsidP="00033B09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 xml:space="preserve">(O-72 + </w:t>
            </w:r>
          </w:p>
          <w:p w14:paraId="5E78A2FB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P-2)</w:t>
            </w:r>
          </w:p>
        </w:tc>
      </w:tr>
      <w:tr w:rsidR="00033B09" w:rsidRPr="00033B09" w14:paraId="5CC04FC6" w14:textId="77777777" w:rsidTr="00166359">
        <w:tc>
          <w:tcPr>
            <w:tcW w:w="1271" w:type="dxa"/>
          </w:tcPr>
          <w:p w14:paraId="1646CEDE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Pozitivno rešeno - ODŠKODNINE</w:t>
            </w:r>
          </w:p>
        </w:tc>
        <w:tc>
          <w:tcPr>
            <w:tcW w:w="1045" w:type="dxa"/>
          </w:tcPr>
          <w:p w14:paraId="357AEA00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26</w:t>
            </w:r>
          </w:p>
        </w:tc>
        <w:tc>
          <w:tcPr>
            <w:tcW w:w="1045" w:type="dxa"/>
          </w:tcPr>
          <w:p w14:paraId="476FC330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45</w:t>
            </w:r>
          </w:p>
        </w:tc>
        <w:tc>
          <w:tcPr>
            <w:tcW w:w="1045" w:type="dxa"/>
          </w:tcPr>
          <w:p w14:paraId="259FE354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46</w:t>
            </w:r>
          </w:p>
        </w:tc>
        <w:tc>
          <w:tcPr>
            <w:tcW w:w="1045" w:type="dxa"/>
          </w:tcPr>
          <w:p w14:paraId="01E0CDA9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62</w:t>
            </w:r>
          </w:p>
        </w:tc>
        <w:tc>
          <w:tcPr>
            <w:tcW w:w="1045" w:type="dxa"/>
          </w:tcPr>
          <w:p w14:paraId="283E6C17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39</w:t>
            </w:r>
          </w:p>
        </w:tc>
        <w:tc>
          <w:tcPr>
            <w:tcW w:w="1045" w:type="dxa"/>
          </w:tcPr>
          <w:p w14:paraId="7DC581D3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57</w:t>
            </w:r>
          </w:p>
        </w:tc>
        <w:tc>
          <w:tcPr>
            <w:tcW w:w="1045" w:type="dxa"/>
          </w:tcPr>
          <w:p w14:paraId="1D1279D6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82</w:t>
            </w:r>
          </w:p>
        </w:tc>
        <w:tc>
          <w:tcPr>
            <w:tcW w:w="1045" w:type="dxa"/>
          </w:tcPr>
          <w:p w14:paraId="68D8B5B8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63</w:t>
            </w:r>
          </w:p>
        </w:tc>
      </w:tr>
      <w:tr w:rsidR="00033B09" w:rsidRPr="00033B09" w14:paraId="2E1F0DDE" w14:textId="77777777" w:rsidTr="00166359">
        <w:tc>
          <w:tcPr>
            <w:tcW w:w="1271" w:type="dxa"/>
          </w:tcPr>
          <w:p w14:paraId="58C14967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DIAGNOZE</w:t>
            </w:r>
          </w:p>
        </w:tc>
        <w:tc>
          <w:tcPr>
            <w:tcW w:w="1045" w:type="dxa"/>
          </w:tcPr>
          <w:p w14:paraId="0A29D288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24</w:t>
            </w:r>
          </w:p>
        </w:tc>
        <w:tc>
          <w:tcPr>
            <w:tcW w:w="1045" w:type="dxa"/>
          </w:tcPr>
          <w:p w14:paraId="017E6448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45</w:t>
            </w:r>
          </w:p>
        </w:tc>
        <w:tc>
          <w:tcPr>
            <w:tcW w:w="1045" w:type="dxa"/>
          </w:tcPr>
          <w:p w14:paraId="68D9CC76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44</w:t>
            </w:r>
          </w:p>
        </w:tc>
        <w:tc>
          <w:tcPr>
            <w:tcW w:w="1045" w:type="dxa"/>
          </w:tcPr>
          <w:p w14:paraId="0685AE74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59</w:t>
            </w:r>
          </w:p>
        </w:tc>
        <w:tc>
          <w:tcPr>
            <w:tcW w:w="1045" w:type="dxa"/>
          </w:tcPr>
          <w:p w14:paraId="51824014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39</w:t>
            </w:r>
          </w:p>
        </w:tc>
        <w:tc>
          <w:tcPr>
            <w:tcW w:w="1045" w:type="dxa"/>
          </w:tcPr>
          <w:p w14:paraId="0CE111FD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57</w:t>
            </w:r>
          </w:p>
        </w:tc>
        <w:tc>
          <w:tcPr>
            <w:tcW w:w="1045" w:type="dxa"/>
          </w:tcPr>
          <w:p w14:paraId="317BDEC5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82</w:t>
            </w:r>
          </w:p>
        </w:tc>
        <w:tc>
          <w:tcPr>
            <w:tcW w:w="1045" w:type="dxa"/>
          </w:tcPr>
          <w:p w14:paraId="781DE675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61</w:t>
            </w:r>
          </w:p>
        </w:tc>
      </w:tr>
      <w:tr w:rsidR="00033B09" w:rsidRPr="00033B09" w14:paraId="3A9FEF91" w14:textId="77777777" w:rsidTr="00166359">
        <w:tc>
          <w:tcPr>
            <w:tcW w:w="1271" w:type="dxa"/>
          </w:tcPr>
          <w:p w14:paraId="7863BEC2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- Plaki</w:t>
            </w:r>
          </w:p>
        </w:tc>
        <w:tc>
          <w:tcPr>
            <w:tcW w:w="1045" w:type="dxa"/>
          </w:tcPr>
          <w:p w14:paraId="259A12C3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9</w:t>
            </w:r>
          </w:p>
        </w:tc>
        <w:tc>
          <w:tcPr>
            <w:tcW w:w="1045" w:type="dxa"/>
          </w:tcPr>
          <w:p w14:paraId="22CE871A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1045" w:type="dxa"/>
          </w:tcPr>
          <w:p w14:paraId="6821B620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12</w:t>
            </w:r>
          </w:p>
        </w:tc>
        <w:tc>
          <w:tcPr>
            <w:tcW w:w="1045" w:type="dxa"/>
          </w:tcPr>
          <w:p w14:paraId="7054E6FA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14</w:t>
            </w:r>
          </w:p>
        </w:tc>
        <w:tc>
          <w:tcPr>
            <w:tcW w:w="1045" w:type="dxa"/>
          </w:tcPr>
          <w:p w14:paraId="042E009B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1045" w:type="dxa"/>
          </w:tcPr>
          <w:p w14:paraId="73D9F07B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8</w:t>
            </w:r>
          </w:p>
        </w:tc>
        <w:tc>
          <w:tcPr>
            <w:tcW w:w="1045" w:type="dxa"/>
          </w:tcPr>
          <w:p w14:paraId="0AEB850A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32</w:t>
            </w:r>
          </w:p>
        </w:tc>
        <w:tc>
          <w:tcPr>
            <w:tcW w:w="1045" w:type="dxa"/>
          </w:tcPr>
          <w:p w14:paraId="085B88E8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25</w:t>
            </w:r>
          </w:p>
        </w:tc>
      </w:tr>
      <w:tr w:rsidR="00033B09" w:rsidRPr="00033B09" w14:paraId="021D93B5" w14:textId="77777777" w:rsidTr="00166359">
        <w:tc>
          <w:tcPr>
            <w:tcW w:w="1271" w:type="dxa"/>
          </w:tcPr>
          <w:p w14:paraId="24B66BDD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- Azbestoza</w:t>
            </w:r>
          </w:p>
        </w:tc>
        <w:tc>
          <w:tcPr>
            <w:tcW w:w="1045" w:type="dxa"/>
          </w:tcPr>
          <w:p w14:paraId="0554BD21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  <w:tc>
          <w:tcPr>
            <w:tcW w:w="1045" w:type="dxa"/>
          </w:tcPr>
          <w:p w14:paraId="1EE8452D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9</w:t>
            </w:r>
          </w:p>
        </w:tc>
        <w:tc>
          <w:tcPr>
            <w:tcW w:w="1045" w:type="dxa"/>
          </w:tcPr>
          <w:p w14:paraId="4FB28CF0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12</w:t>
            </w:r>
          </w:p>
        </w:tc>
        <w:tc>
          <w:tcPr>
            <w:tcW w:w="1045" w:type="dxa"/>
          </w:tcPr>
          <w:p w14:paraId="0FD5B8DE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15</w:t>
            </w:r>
          </w:p>
        </w:tc>
        <w:tc>
          <w:tcPr>
            <w:tcW w:w="1045" w:type="dxa"/>
          </w:tcPr>
          <w:p w14:paraId="1521E2C9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13</w:t>
            </w:r>
          </w:p>
        </w:tc>
        <w:tc>
          <w:tcPr>
            <w:tcW w:w="1045" w:type="dxa"/>
          </w:tcPr>
          <w:p w14:paraId="5005ED18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23</w:t>
            </w:r>
          </w:p>
        </w:tc>
        <w:tc>
          <w:tcPr>
            <w:tcW w:w="1045" w:type="dxa"/>
          </w:tcPr>
          <w:p w14:paraId="0E6594C7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29</w:t>
            </w:r>
          </w:p>
        </w:tc>
        <w:tc>
          <w:tcPr>
            <w:tcW w:w="1045" w:type="dxa"/>
          </w:tcPr>
          <w:p w14:paraId="6A094EB6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17</w:t>
            </w:r>
          </w:p>
        </w:tc>
      </w:tr>
      <w:tr w:rsidR="00033B09" w:rsidRPr="00033B09" w14:paraId="2C95A228" w14:textId="77777777" w:rsidTr="00166359">
        <w:tc>
          <w:tcPr>
            <w:tcW w:w="1271" w:type="dxa"/>
          </w:tcPr>
          <w:p w14:paraId="43B83655" w14:textId="77777777" w:rsidR="00033B09" w:rsidRPr="00033B09" w:rsidRDefault="00033B09" w:rsidP="00033B09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iCs/>
                <w:sz w:val="16"/>
                <w:szCs w:val="16"/>
                <w:lang w:val="sl-SI"/>
              </w:rPr>
            </w:pPr>
            <w:r w:rsidRPr="00033B09">
              <w:rPr>
                <w:rFonts w:cs="Arial"/>
                <w:iCs/>
                <w:sz w:val="16"/>
                <w:szCs w:val="16"/>
                <w:lang w:val="sl-SI"/>
              </w:rPr>
              <w:t>- Plevralni izliv</w:t>
            </w:r>
          </w:p>
        </w:tc>
        <w:tc>
          <w:tcPr>
            <w:tcW w:w="1045" w:type="dxa"/>
          </w:tcPr>
          <w:p w14:paraId="0D0941D6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14:paraId="372F68E3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14:paraId="30D7A482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14:paraId="5BCED31C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14:paraId="2885C8BE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14:paraId="2F72E642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14:paraId="65F84585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14:paraId="008FED77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-</w:t>
            </w:r>
          </w:p>
        </w:tc>
      </w:tr>
      <w:tr w:rsidR="00033B09" w:rsidRPr="00033B09" w14:paraId="087AB184" w14:textId="77777777" w:rsidTr="00166359">
        <w:tc>
          <w:tcPr>
            <w:tcW w:w="1271" w:type="dxa"/>
          </w:tcPr>
          <w:p w14:paraId="037AADA8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- Mezoteliom/Rak</w:t>
            </w:r>
          </w:p>
        </w:tc>
        <w:tc>
          <w:tcPr>
            <w:tcW w:w="1045" w:type="dxa"/>
          </w:tcPr>
          <w:p w14:paraId="1464ABD6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9</w:t>
            </w:r>
          </w:p>
        </w:tc>
        <w:tc>
          <w:tcPr>
            <w:tcW w:w="1045" w:type="dxa"/>
          </w:tcPr>
          <w:p w14:paraId="7520E97F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25</w:t>
            </w:r>
          </w:p>
        </w:tc>
        <w:tc>
          <w:tcPr>
            <w:tcW w:w="1045" w:type="dxa"/>
          </w:tcPr>
          <w:p w14:paraId="0AAAB0E7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20</w:t>
            </w:r>
          </w:p>
        </w:tc>
        <w:tc>
          <w:tcPr>
            <w:tcW w:w="1045" w:type="dxa"/>
          </w:tcPr>
          <w:p w14:paraId="51513E3F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30</w:t>
            </w:r>
          </w:p>
        </w:tc>
        <w:tc>
          <w:tcPr>
            <w:tcW w:w="1045" w:type="dxa"/>
          </w:tcPr>
          <w:p w14:paraId="34CDD6CC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15</w:t>
            </w:r>
          </w:p>
        </w:tc>
        <w:tc>
          <w:tcPr>
            <w:tcW w:w="1045" w:type="dxa"/>
          </w:tcPr>
          <w:p w14:paraId="57B616C4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26</w:t>
            </w:r>
          </w:p>
        </w:tc>
        <w:tc>
          <w:tcPr>
            <w:tcW w:w="1045" w:type="dxa"/>
          </w:tcPr>
          <w:p w14:paraId="7F94420E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21</w:t>
            </w:r>
          </w:p>
        </w:tc>
        <w:tc>
          <w:tcPr>
            <w:tcW w:w="1045" w:type="dxa"/>
          </w:tcPr>
          <w:p w14:paraId="75B6FFA7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19</w:t>
            </w:r>
          </w:p>
        </w:tc>
      </w:tr>
      <w:tr w:rsidR="00033B09" w:rsidRPr="00033B09" w14:paraId="3C34312A" w14:textId="77777777" w:rsidTr="00166359">
        <w:tc>
          <w:tcPr>
            <w:tcW w:w="1271" w:type="dxa"/>
          </w:tcPr>
          <w:p w14:paraId="65F8D491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SREDSTVA RS</w:t>
            </w:r>
          </w:p>
        </w:tc>
        <w:tc>
          <w:tcPr>
            <w:tcW w:w="1045" w:type="dxa"/>
          </w:tcPr>
          <w:p w14:paraId="15FFA0AF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333.132,82</w:t>
            </w:r>
          </w:p>
        </w:tc>
        <w:tc>
          <w:tcPr>
            <w:tcW w:w="1045" w:type="dxa"/>
          </w:tcPr>
          <w:p w14:paraId="0AC42388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670.097,74</w:t>
            </w:r>
          </w:p>
        </w:tc>
        <w:tc>
          <w:tcPr>
            <w:tcW w:w="1045" w:type="dxa"/>
          </w:tcPr>
          <w:p w14:paraId="2193D699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937.775,94</w:t>
            </w:r>
          </w:p>
        </w:tc>
        <w:tc>
          <w:tcPr>
            <w:tcW w:w="1045" w:type="dxa"/>
          </w:tcPr>
          <w:p w14:paraId="3F9C7C48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1.195.571,91</w:t>
            </w:r>
          </w:p>
        </w:tc>
        <w:tc>
          <w:tcPr>
            <w:tcW w:w="1045" w:type="dxa"/>
          </w:tcPr>
          <w:p w14:paraId="7158A1AE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557.956,69</w:t>
            </w:r>
          </w:p>
        </w:tc>
        <w:tc>
          <w:tcPr>
            <w:tcW w:w="1045" w:type="dxa"/>
          </w:tcPr>
          <w:p w14:paraId="703F9402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1.267.138,57</w:t>
            </w:r>
          </w:p>
        </w:tc>
        <w:tc>
          <w:tcPr>
            <w:tcW w:w="1045" w:type="dxa"/>
          </w:tcPr>
          <w:p w14:paraId="521DFE0C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1.287.181,19</w:t>
            </w:r>
          </w:p>
        </w:tc>
        <w:tc>
          <w:tcPr>
            <w:tcW w:w="1045" w:type="dxa"/>
          </w:tcPr>
          <w:p w14:paraId="63A7ECCC" w14:textId="77777777" w:rsidR="00033B09" w:rsidRPr="00033B09" w:rsidRDefault="00033B09" w:rsidP="00033B0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33B09">
              <w:rPr>
                <w:rFonts w:ascii="Arial" w:hAnsi="Arial" w:cs="Arial"/>
                <w:iCs/>
                <w:sz w:val="16"/>
                <w:szCs w:val="16"/>
              </w:rPr>
              <w:t>1.257.180,74</w:t>
            </w:r>
          </w:p>
        </w:tc>
      </w:tr>
    </w:tbl>
    <w:p w14:paraId="394EF70B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95B644A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</w:p>
    <w:p w14:paraId="32232B79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III. Zaključek</w:t>
      </w:r>
    </w:p>
    <w:p w14:paraId="0A478A77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597B1F9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Komisija je v obdobju od 1. 1. 2024 do 31. 12. 2024 obravnavala in odločila o 74 zahtevkih, in sicer 72 zahtevkih za izplačilo odškodnine iz naslova poklicne ali nepoklicne bolezni zaradi azbesta in 2 zahtevkih za priznanje invalidske pokojnine pod ugodnejšimi pogoji. </w:t>
      </w:r>
    </w:p>
    <w:p w14:paraId="579386E1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1AA5575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lastRenderedPageBreak/>
        <w:t>Komisija opaža, da v primerjavi s prejšnjim letom število zahtevkov ne narašča, pač pa malenkost pada.</w:t>
      </w:r>
    </w:p>
    <w:p w14:paraId="0E9D3CAD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12D8427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>V letu 2024 je komisija obravnavala 19 primerov najhujše oblike bolezni – mezoteliom oziroma rak.</w:t>
      </w:r>
    </w:p>
    <w:p w14:paraId="0A3394B4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7DC6A45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>Republika Slovenija je v letu 2024 v 14 primerih krila celotno odškodnino, saj delodajalci niso več obstajali ali je šlo za diagnozo okoljski mezoteliom.</w:t>
      </w:r>
    </w:p>
    <w:p w14:paraId="5DE5D1B3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4AAAAF3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>Komisija ugotavlja, da največ delodajalcev, pri katerih je bolezen nastala, prihaja iz goriške regije.</w:t>
      </w:r>
    </w:p>
    <w:p w14:paraId="326D0DD6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CB89141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Komisija je v letu 2024 izplačala upravičencem oziroma njihovim dedičem za odškodnine in povračilo stroškov pooblaščenega zdravnika 1.257.180,74 EUR, za razliko od leta 2023, ko so ti stroški znašali 1.287.181,19 EUR. </w:t>
      </w:r>
    </w:p>
    <w:p w14:paraId="6FA91B2A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5840F12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>Republika Slovenija je v letu 2024 izplačala Kliničnemu inštitutu za medicino dela, prometa in športa za njihovo delo 30.479,35 EUR, za razliko od leta 2023, ko so ti stroški znašali 27.459,41 EUR.</w:t>
      </w:r>
    </w:p>
    <w:p w14:paraId="76430645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04547204" w14:textId="77777777" w:rsidR="00033B09" w:rsidRPr="00033B09" w:rsidRDefault="00033B09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33B09">
        <w:rPr>
          <w:rFonts w:ascii="Arial" w:eastAsia="Times New Roman" w:hAnsi="Arial" w:cs="Arial"/>
          <w:iCs/>
          <w:sz w:val="20"/>
          <w:szCs w:val="20"/>
          <w:lang w:eastAsia="sl-SI"/>
        </w:rPr>
        <w:t>Delo v komisiji poteka tekoče, prav tako pa komisija nima nobenih zaostankov.</w:t>
      </w:r>
    </w:p>
    <w:p w14:paraId="47840D21" w14:textId="77777777" w:rsidR="002F331D" w:rsidRPr="00033B09" w:rsidRDefault="002F331D" w:rsidP="00033B0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0D05FD5" w14:textId="77777777" w:rsidR="004A37A7" w:rsidRPr="00033B09" w:rsidRDefault="004A37A7" w:rsidP="00033B09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sectPr w:rsidR="004A37A7" w:rsidRPr="00033B09" w:rsidSect="00BD6A1D">
      <w:headerReference w:type="first" r:id="rId9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EAA2" w14:textId="77777777" w:rsidR="006C74C6" w:rsidRDefault="006C74C6">
      <w:pPr>
        <w:spacing w:after="0" w:line="240" w:lineRule="auto"/>
      </w:pPr>
      <w:r>
        <w:separator/>
      </w:r>
    </w:p>
  </w:endnote>
  <w:endnote w:type="continuationSeparator" w:id="0">
    <w:p w14:paraId="7C0F57F9" w14:textId="77777777" w:rsidR="006C74C6" w:rsidRDefault="006C7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6A31" w14:textId="77777777" w:rsidR="006C74C6" w:rsidRDefault="006C74C6">
      <w:pPr>
        <w:spacing w:after="0" w:line="240" w:lineRule="auto"/>
      </w:pPr>
      <w:r>
        <w:separator/>
      </w:r>
    </w:p>
  </w:footnote>
  <w:footnote w:type="continuationSeparator" w:id="0">
    <w:p w14:paraId="3694B5B5" w14:textId="77777777" w:rsidR="006C74C6" w:rsidRDefault="006C7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8B0C" w14:textId="77777777" w:rsidR="00033B09" w:rsidRPr="00BD6A1D" w:rsidRDefault="00417867" w:rsidP="00BD6A1D">
    <w:pPr>
      <w:pStyle w:val="Glava"/>
      <w:tabs>
        <w:tab w:val="left" w:pos="5112"/>
      </w:tabs>
      <w:spacing w:line="240" w:lineRule="exact"/>
      <w:ind w:left="5103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sl-SI"/>
      </w:rPr>
      <w:drawing>
        <wp:anchor distT="0" distB="0" distL="114300" distR="114300" simplePos="0" relativeHeight="251659264" behindDoc="1" locked="0" layoutInCell="1" allowOverlap="1" wp14:anchorId="6A477491" wp14:editId="524FDF7A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3343275" cy="1457325"/>
          <wp:effectExtent l="0" t="0" r="0" b="0"/>
          <wp:wrapNone/>
          <wp:docPr id="20" name="Slika 20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DDS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FB1FF3" w14:textId="77777777" w:rsidR="00033B09" w:rsidRDefault="00033B0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9F9"/>
    <w:multiLevelType w:val="hybridMultilevel"/>
    <w:tmpl w:val="15640F70"/>
    <w:lvl w:ilvl="0" w:tplc="AC305C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00CF3"/>
    <w:multiLevelType w:val="hybridMultilevel"/>
    <w:tmpl w:val="DB90C0C4"/>
    <w:lvl w:ilvl="0" w:tplc="AC305C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74463"/>
    <w:multiLevelType w:val="hybridMultilevel"/>
    <w:tmpl w:val="787CBB6C"/>
    <w:lvl w:ilvl="0" w:tplc="AC305C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2615C"/>
    <w:multiLevelType w:val="hybridMultilevel"/>
    <w:tmpl w:val="C0421AEE"/>
    <w:lvl w:ilvl="0" w:tplc="AC305C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9B3DB9"/>
    <w:multiLevelType w:val="hybridMultilevel"/>
    <w:tmpl w:val="66AAEAF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94904"/>
    <w:multiLevelType w:val="hybridMultilevel"/>
    <w:tmpl w:val="AC862DA4"/>
    <w:lvl w:ilvl="0" w:tplc="AC305C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300D9"/>
    <w:multiLevelType w:val="hybridMultilevel"/>
    <w:tmpl w:val="5308F0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E490E"/>
    <w:multiLevelType w:val="hybridMultilevel"/>
    <w:tmpl w:val="4422323A"/>
    <w:lvl w:ilvl="0" w:tplc="282A3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217128">
    <w:abstractNumId w:val="1"/>
  </w:num>
  <w:num w:numId="2" w16cid:durableId="833687516">
    <w:abstractNumId w:val="8"/>
  </w:num>
  <w:num w:numId="3" w16cid:durableId="437914177">
    <w:abstractNumId w:val="7"/>
  </w:num>
  <w:num w:numId="4" w16cid:durableId="306320499">
    <w:abstractNumId w:val="9"/>
  </w:num>
  <w:num w:numId="5" w16cid:durableId="1069307431">
    <w:abstractNumId w:val="11"/>
  </w:num>
  <w:num w:numId="6" w16cid:durableId="1509981110">
    <w:abstractNumId w:val="5"/>
  </w:num>
  <w:num w:numId="7" w16cid:durableId="1234857496">
    <w:abstractNumId w:val="6"/>
  </w:num>
  <w:num w:numId="8" w16cid:durableId="1868986956">
    <w:abstractNumId w:val="3"/>
  </w:num>
  <w:num w:numId="9" w16cid:durableId="73825320">
    <w:abstractNumId w:val="10"/>
  </w:num>
  <w:num w:numId="10" w16cid:durableId="1391921607">
    <w:abstractNumId w:val="0"/>
  </w:num>
  <w:num w:numId="11" w16cid:durableId="1256669773">
    <w:abstractNumId w:val="2"/>
  </w:num>
  <w:num w:numId="12" w16cid:durableId="1251280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1D"/>
    <w:rsid w:val="00033B09"/>
    <w:rsid w:val="000E7B66"/>
    <w:rsid w:val="0024431B"/>
    <w:rsid w:val="002F331D"/>
    <w:rsid w:val="00306BB2"/>
    <w:rsid w:val="003774DE"/>
    <w:rsid w:val="003F3A76"/>
    <w:rsid w:val="00401B5C"/>
    <w:rsid w:val="00417867"/>
    <w:rsid w:val="00425D03"/>
    <w:rsid w:val="004A37A7"/>
    <w:rsid w:val="00561271"/>
    <w:rsid w:val="006C74C6"/>
    <w:rsid w:val="008740BA"/>
    <w:rsid w:val="00B27DA7"/>
    <w:rsid w:val="00C117BB"/>
    <w:rsid w:val="00C254D8"/>
    <w:rsid w:val="00CA7CE2"/>
    <w:rsid w:val="00CB4B21"/>
    <w:rsid w:val="00CC39FC"/>
    <w:rsid w:val="00ED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DC85"/>
  <w15:chartTrackingRefBased/>
  <w15:docId w15:val="{5C97F5D7-C9C6-4C1D-A734-76F1A730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331D"/>
  </w:style>
  <w:style w:type="paragraph" w:styleId="Naslov3">
    <w:name w:val="heading 3"/>
    <w:basedOn w:val="Navaden"/>
    <w:link w:val="Naslov3Znak"/>
    <w:uiPriority w:val="9"/>
    <w:qFormat/>
    <w:rsid w:val="002F3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2F331D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Glava">
    <w:name w:val="header"/>
    <w:basedOn w:val="Navaden"/>
    <w:link w:val="GlavaZnak"/>
    <w:unhideWhenUsed/>
    <w:rsid w:val="002F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2F331D"/>
  </w:style>
  <w:style w:type="character" w:styleId="Hiperpovezava">
    <w:name w:val="Hyperlink"/>
    <w:basedOn w:val="Privzetapisavaodstavka"/>
    <w:uiPriority w:val="99"/>
    <w:unhideWhenUsed/>
    <w:rsid w:val="002F331D"/>
    <w:rPr>
      <w:color w:val="0563C1" w:themeColor="hyperlink"/>
      <w:u w:val="single"/>
    </w:rPr>
  </w:style>
  <w:style w:type="paragraph" w:customStyle="1" w:styleId="Neotevilenodstavek">
    <w:name w:val="Neoštevilčen odstavek"/>
    <w:basedOn w:val="Navaden"/>
    <w:link w:val="NeotevilenodstavekZnak"/>
    <w:qFormat/>
    <w:rsid w:val="002F331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NeotevilenodstavekZnak">
    <w:name w:val="Neoštevilčen odstavek Znak"/>
    <w:link w:val="Neotevilenodstavek"/>
    <w:rsid w:val="002F331D"/>
    <w:rPr>
      <w:rFonts w:ascii="Arial" w:eastAsia="Times New Roman" w:hAnsi="Arial" w:cs="Times New Roman"/>
    </w:rPr>
  </w:style>
  <w:style w:type="paragraph" w:customStyle="1" w:styleId="Naslovpredpisa">
    <w:name w:val="Naslov_predpisa"/>
    <w:basedOn w:val="Navaden"/>
    <w:link w:val="NaslovpredpisaZnak"/>
    <w:qFormat/>
    <w:rsid w:val="002F331D"/>
    <w:pPr>
      <w:suppressAutoHyphens/>
      <w:overflowPunct w:val="0"/>
      <w:autoSpaceDE w:val="0"/>
      <w:autoSpaceDN w:val="0"/>
      <w:adjustRightInd w:val="0"/>
      <w:spacing w:before="12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2F331D"/>
    <w:rPr>
      <w:rFonts w:ascii="Arial" w:eastAsia="Times New Roman" w:hAnsi="Arial" w:cs="Arial"/>
      <w:b/>
      <w:lang w:eastAsia="sl-SI"/>
    </w:rPr>
  </w:style>
  <w:style w:type="paragraph" w:customStyle="1" w:styleId="ZADEVA">
    <w:name w:val="ZADEVA"/>
    <w:basedOn w:val="Navaden"/>
    <w:qFormat/>
    <w:rsid w:val="002F331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table" w:styleId="Tabelamrea">
    <w:name w:val="Table Grid"/>
    <w:basedOn w:val="Navadnatabela"/>
    <w:rsid w:val="002F3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2F331D"/>
    <w:pPr>
      <w:spacing w:after="0" w:line="260" w:lineRule="exact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styleId="Revizija">
    <w:name w:val="Revision"/>
    <w:hidden/>
    <w:uiPriority w:val="99"/>
    <w:semiHidden/>
    <w:rsid w:val="002F331D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CA7CE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A7CE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A7C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A7CE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A7C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ddsz.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2284</Words>
  <Characters>13021</Characters>
  <Application>Microsoft Office Word</Application>
  <DocSecurity>4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Čibej</dc:creator>
  <cp:keywords/>
  <dc:description/>
  <cp:lastModifiedBy>Petra Bechibani</cp:lastModifiedBy>
  <cp:revision>2</cp:revision>
  <cp:lastPrinted>2025-01-13T07:39:00Z</cp:lastPrinted>
  <dcterms:created xsi:type="dcterms:W3CDTF">2025-01-20T12:44:00Z</dcterms:created>
  <dcterms:modified xsi:type="dcterms:W3CDTF">2025-01-20T12:44:00Z</dcterms:modified>
</cp:coreProperties>
</file>