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55AA" w14:textId="77777777" w:rsidR="001977A4" w:rsidRPr="00337757" w:rsidRDefault="00C301B4" w:rsidP="001977A4">
      <w:pPr>
        <w:tabs>
          <w:tab w:val="left" w:pos="5112"/>
        </w:tabs>
        <w:spacing w:before="120" w:after="0" w:line="240" w:lineRule="exact"/>
        <w:rPr>
          <w:rFonts w:ascii="Arial" w:eastAsia="Times New Roman" w:hAnsi="Arial" w:cs="Arial"/>
          <w:sz w:val="16"/>
          <w:szCs w:val="24"/>
        </w:rPr>
      </w:pPr>
      <w:bookmarkStart w:id="0" w:name="_Hlk138840927"/>
      <w:r w:rsidRPr="00C301B4">
        <w:rPr>
          <w:rFonts w:ascii="Arial" w:eastAsia="Times New Roman" w:hAnsi="Arial"/>
          <w:noProof/>
          <w:sz w:val="20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782E6814" wp14:editId="275BB3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70580" cy="758190"/>
            <wp:effectExtent l="0" t="0" r="0" b="0"/>
            <wp:wrapSquare wrapText="bothSides"/>
            <wp:docPr id="5" name="Picture 5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1B4">
        <w:rPr>
          <w:rFonts w:ascii="Arial" w:eastAsia="Times New Roman" w:hAnsi="Arial" w:cs="Arial"/>
          <w:sz w:val="16"/>
          <w:szCs w:val="24"/>
        </w:rPr>
        <w:tab/>
      </w:r>
      <w:bookmarkEnd w:id="0"/>
    </w:p>
    <w:p w14:paraId="4744282D" w14:textId="77777777" w:rsidR="001977A4" w:rsidRPr="00337757" w:rsidRDefault="001977A4" w:rsidP="001977A4">
      <w:pPr>
        <w:tabs>
          <w:tab w:val="left" w:pos="5112"/>
        </w:tabs>
        <w:spacing w:before="120" w:after="0" w:line="240" w:lineRule="exact"/>
        <w:rPr>
          <w:rFonts w:ascii="Arial" w:eastAsia="Times New Roman" w:hAnsi="Arial" w:cs="Arial"/>
          <w:sz w:val="16"/>
          <w:szCs w:val="24"/>
        </w:rPr>
      </w:pP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</w:p>
    <w:p w14:paraId="1CC62B94" w14:textId="77777777" w:rsidR="001977A4" w:rsidRPr="00337757" w:rsidRDefault="001977A4" w:rsidP="001977A4">
      <w:pPr>
        <w:spacing w:after="0" w:line="260" w:lineRule="exact"/>
        <w:ind w:left="720"/>
        <w:contextualSpacing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  <w:t>T: 01 369 63 00</w:t>
      </w:r>
    </w:p>
    <w:p w14:paraId="79828F73" w14:textId="77777777" w:rsidR="001977A4" w:rsidRPr="00337757" w:rsidRDefault="001977A4" w:rsidP="001977A4">
      <w:pPr>
        <w:spacing w:after="0" w:line="260" w:lineRule="exact"/>
        <w:ind w:left="720"/>
        <w:contextualSpacing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ab/>
        <w:t>F: 01 369 66 59</w:t>
      </w:r>
    </w:p>
    <w:p w14:paraId="20C621F2" w14:textId="77777777" w:rsidR="001977A4" w:rsidRPr="00337757" w:rsidRDefault="001977A4" w:rsidP="001977A4">
      <w:pPr>
        <w:spacing w:after="0" w:line="260" w:lineRule="exact"/>
        <w:contextualSpacing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37757">
        <w:rPr>
          <w:rFonts w:ascii="Arial" w:eastAsia="Times New Roman" w:hAnsi="Arial" w:cs="Arial"/>
          <w:sz w:val="16"/>
          <w:szCs w:val="16"/>
          <w:lang w:eastAsia="sl-SI"/>
        </w:rPr>
        <w:t xml:space="preserve">      </w:t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>Župančičeva 3, p.p.644a, 1001 Ljubljana</w:t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>E: gp.mf@gov.si</w:t>
      </w:r>
    </w:p>
    <w:p w14:paraId="6C10FB6E" w14:textId="77777777" w:rsidR="001977A4" w:rsidRPr="00337757" w:rsidRDefault="001977A4" w:rsidP="001977A4">
      <w:pPr>
        <w:spacing w:after="0" w:line="260" w:lineRule="exact"/>
        <w:ind w:left="720"/>
        <w:contextualSpacing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b/>
          <w:color w:val="808080"/>
          <w:sz w:val="20"/>
          <w:szCs w:val="20"/>
          <w:lang w:eastAsia="sl-SI"/>
        </w:rPr>
        <w:tab/>
      </w:r>
      <w:r w:rsidRPr="00337757">
        <w:rPr>
          <w:rFonts w:ascii="Arial" w:eastAsia="Times New Roman" w:hAnsi="Arial" w:cs="Arial"/>
          <w:color w:val="808080"/>
          <w:sz w:val="16"/>
          <w:szCs w:val="16"/>
          <w:lang w:eastAsia="sl-SI"/>
        </w:rPr>
        <w:t>www.mf.gov.si</w:t>
      </w:r>
    </w:p>
    <w:p w14:paraId="628AA5D7" w14:textId="77777777" w:rsidR="001977A4" w:rsidRPr="00337757" w:rsidRDefault="001977A4" w:rsidP="001977A4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C09251C" w14:textId="77777777" w:rsidR="001977A4" w:rsidRPr="00337757" w:rsidRDefault="001977A4" w:rsidP="001977A4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5E1949E" w14:textId="77777777" w:rsidR="001977A4" w:rsidRPr="00337757" w:rsidRDefault="001977A4" w:rsidP="001977A4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A0F252D" w14:textId="77777777" w:rsidR="001977A4" w:rsidRPr="00337757" w:rsidRDefault="001977A4" w:rsidP="001977A4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1" w:name="_Hlk138841223"/>
      <w:r w:rsidRPr="00337757">
        <w:rPr>
          <w:rFonts w:ascii="Arial" w:eastAsia="Times New Roman" w:hAnsi="Arial" w:cs="Arial"/>
          <w:b/>
          <w:sz w:val="20"/>
          <w:szCs w:val="20"/>
          <w:lang w:eastAsia="sl-SI"/>
        </w:rPr>
        <w:t>PRILOGA 1 (spremni dopis – 1. del):</w:t>
      </w:r>
    </w:p>
    <w:p w14:paraId="7211F687" w14:textId="77777777" w:rsidR="001977A4" w:rsidRPr="00337757" w:rsidRDefault="001977A4" w:rsidP="001977A4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977A4" w:rsidRPr="00337757" w14:paraId="3F1934DD" w14:textId="77777777" w:rsidTr="00781156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B8850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977A4" w:rsidRPr="00337757" w14:paraId="3C950DE6" w14:textId="77777777" w:rsidTr="00781156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DC6EB" w14:textId="42641862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Številka: 429-108/2023</w:t>
            </w:r>
          </w:p>
        </w:tc>
      </w:tr>
      <w:tr w:rsidR="001977A4" w:rsidRPr="00337757" w14:paraId="4C6EDED8" w14:textId="77777777" w:rsidTr="00781156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</w:tcBorders>
          </w:tcPr>
          <w:p w14:paraId="3D42F2F1" w14:textId="634753BB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977A4" w:rsidRPr="00337757" w14:paraId="2D8C481C" w14:textId="77777777" w:rsidTr="0078115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467CF65" w14:textId="69FECB7C" w:rsidR="001977A4" w:rsidRPr="00337757" w:rsidRDefault="00070937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 21. 9. 2023</w:t>
            </w:r>
          </w:p>
        </w:tc>
      </w:tr>
      <w:tr w:rsidR="001977A4" w:rsidRPr="00337757" w14:paraId="02C8049D" w14:textId="77777777" w:rsidTr="0078115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9B71BA8" w14:textId="77777777" w:rsidR="001977A4" w:rsidRPr="00337757" w:rsidRDefault="001977A4" w:rsidP="00781156">
            <w:pPr>
              <w:rPr>
                <w:rFonts w:cs="Arial"/>
                <w:szCs w:val="20"/>
              </w:rPr>
            </w:pPr>
          </w:p>
          <w:p w14:paraId="00ACF2CC" w14:textId="77777777" w:rsidR="001977A4" w:rsidRPr="00337757" w:rsidRDefault="001977A4" w:rsidP="00781156">
            <w:pPr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05EB2BD8" w14:textId="77777777" w:rsidR="001977A4" w:rsidRPr="00337757" w:rsidRDefault="00070937" w:rsidP="00781156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977A4" w:rsidRPr="0033775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29FDA5A2" w14:textId="77777777" w:rsidR="001977A4" w:rsidRPr="00337757" w:rsidRDefault="001977A4" w:rsidP="00781156">
            <w:pPr>
              <w:rPr>
                <w:rFonts w:cs="Arial"/>
                <w:szCs w:val="20"/>
              </w:rPr>
            </w:pPr>
          </w:p>
        </w:tc>
      </w:tr>
      <w:bookmarkEnd w:id="1"/>
      <w:tr w:rsidR="001977A4" w:rsidRPr="00337757" w14:paraId="3024FF56" w14:textId="77777777" w:rsidTr="00781156">
        <w:tc>
          <w:tcPr>
            <w:tcW w:w="9163" w:type="dxa"/>
            <w:gridSpan w:val="4"/>
          </w:tcPr>
          <w:p w14:paraId="4E65BD89" w14:textId="77777777" w:rsidR="001977A4" w:rsidRPr="00337757" w:rsidRDefault="001977A4" w:rsidP="0078115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ZADEVA: Poročilo o stanju in gibanju davčnega dolga po stanju na dan 31. december 2022 – predlog za obravnavo na Vladi RS</w:t>
            </w:r>
          </w:p>
        </w:tc>
      </w:tr>
      <w:tr w:rsidR="001977A4" w:rsidRPr="00337757" w14:paraId="212ED52D" w14:textId="77777777" w:rsidTr="00781156">
        <w:tc>
          <w:tcPr>
            <w:tcW w:w="9163" w:type="dxa"/>
            <w:gridSpan w:val="4"/>
          </w:tcPr>
          <w:p w14:paraId="16644EC7" w14:textId="77777777" w:rsidR="001977A4" w:rsidRPr="00337757" w:rsidRDefault="001977A4" w:rsidP="0078115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1977A4" w:rsidRPr="00337757" w14:paraId="3E296E75" w14:textId="77777777" w:rsidTr="00781156">
        <w:tc>
          <w:tcPr>
            <w:tcW w:w="9163" w:type="dxa"/>
            <w:gridSpan w:val="4"/>
          </w:tcPr>
          <w:p w14:paraId="1CB4F19F" w14:textId="77777777" w:rsidR="001977A4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 podlagi prvega odstavka 64.a člena Zakona o javnih financah (Uradni list RS, št. 11/11 – uradno prečiščeno besedilo, 14/13 – popr., 101/13, 55/15 – ZFisP in 96/15 – ZIPRS1617, 13/18, 195/20 – odl. US in 18/23 – ZDU-1O) je Vlada Republike Slovenije na ... redni seji dne ... sprejela naslednji </w:t>
            </w:r>
          </w:p>
          <w:p w14:paraId="64A6252B" w14:textId="77777777" w:rsidR="001977A4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4ECDC9A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SKLEP</w:t>
            </w: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:</w:t>
            </w:r>
          </w:p>
          <w:p w14:paraId="1DD7F510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0E1169F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Vlada Republike Slovenije se je seznanila s poročilom Finančne uprave Republike Slovenije o stanju in gibanju davčnega dolga na dan  31. december 2022 in ga pošlje Državnemu zboru Republike Slovenije</w:t>
            </w:r>
          </w:p>
          <w:p w14:paraId="562D80E4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AB68E56" w14:textId="77777777" w:rsidR="001977A4" w:rsidRPr="00337757" w:rsidRDefault="001977A4" w:rsidP="00781156">
            <w:pPr>
              <w:keepNext/>
              <w:spacing w:after="0"/>
              <w:ind w:left="5664"/>
              <w:textAlignment w:val="baseline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Barbara Kolenko Helbl</w:t>
            </w:r>
          </w:p>
          <w:p w14:paraId="387F4093" w14:textId="77777777" w:rsidR="001977A4" w:rsidRPr="00337757" w:rsidRDefault="001977A4" w:rsidP="00781156">
            <w:pPr>
              <w:spacing w:after="0" w:line="240" w:lineRule="auto"/>
              <w:ind w:left="5664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generalna sekretarka</w:t>
            </w:r>
          </w:p>
          <w:p w14:paraId="04DD1E40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</w:t>
            </w:r>
          </w:p>
          <w:p w14:paraId="31DE1E5F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Priloga:</w:t>
            </w:r>
          </w:p>
          <w:p w14:paraId="313FE0EE" w14:textId="77777777" w:rsidR="001977A4" w:rsidRPr="00337757" w:rsidRDefault="001977A4" w:rsidP="001977A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Finančne uprave Republike Slovenije o stanju in gibanju davčnega dolga po stanju na dan 31. december 2022.</w:t>
            </w:r>
          </w:p>
          <w:p w14:paraId="7AA4C9B2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Prejmejo:</w:t>
            </w:r>
          </w:p>
          <w:p w14:paraId="1EDABD8F" w14:textId="77777777" w:rsidR="001977A4" w:rsidRPr="00337757" w:rsidRDefault="001977A4" w:rsidP="001977A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ab/>
              <w:t>Generalni sekretariat Vlade Republike Slovenije,</w:t>
            </w:r>
          </w:p>
          <w:p w14:paraId="48A6CF38" w14:textId="77777777" w:rsidR="001977A4" w:rsidRPr="00337757" w:rsidRDefault="001977A4" w:rsidP="001977A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ab/>
              <w:t>Ministrstvo za finance,</w:t>
            </w:r>
          </w:p>
          <w:p w14:paraId="426880FE" w14:textId="77777777" w:rsidR="001977A4" w:rsidRPr="00337757" w:rsidRDefault="001977A4" w:rsidP="001977A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ab/>
              <w:t>Služba Vlade za zakonodajo.</w:t>
            </w:r>
          </w:p>
        </w:tc>
      </w:tr>
      <w:tr w:rsidR="001977A4" w:rsidRPr="00337757" w14:paraId="7047444D" w14:textId="77777777" w:rsidTr="00781156">
        <w:tc>
          <w:tcPr>
            <w:tcW w:w="9163" w:type="dxa"/>
            <w:gridSpan w:val="4"/>
          </w:tcPr>
          <w:p w14:paraId="567F64B4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1977A4" w:rsidRPr="00337757" w14:paraId="146666EE" w14:textId="77777777" w:rsidTr="00781156">
        <w:tc>
          <w:tcPr>
            <w:tcW w:w="9163" w:type="dxa"/>
            <w:gridSpan w:val="4"/>
          </w:tcPr>
          <w:p w14:paraId="791421ED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lastRenderedPageBreak/>
              <w:t>(Navedite razloge, razen za predlog zakona o ratifikaciji mednarodne pogodbe, ki se obravnava po nujnem postopku – 169. člen Poslovnika državnega zbora.)</w:t>
            </w:r>
          </w:p>
        </w:tc>
      </w:tr>
      <w:tr w:rsidR="001977A4" w:rsidRPr="00337757" w14:paraId="606A31B0" w14:textId="77777777" w:rsidTr="00781156">
        <w:tc>
          <w:tcPr>
            <w:tcW w:w="9163" w:type="dxa"/>
            <w:gridSpan w:val="4"/>
          </w:tcPr>
          <w:p w14:paraId="3787663E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1977A4" w:rsidRPr="00337757" w14:paraId="744E07E0" w14:textId="77777777" w:rsidTr="00781156">
        <w:tc>
          <w:tcPr>
            <w:tcW w:w="9163" w:type="dxa"/>
            <w:gridSpan w:val="4"/>
          </w:tcPr>
          <w:p w14:paraId="65010C9E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Peter Grum, generalni direktor Finančne uprave Republike Slovenije</w:t>
            </w:r>
          </w:p>
        </w:tc>
      </w:tr>
      <w:tr w:rsidR="001977A4" w:rsidRPr="00337757" w14:paraId="07C34562" w14:textId="77777777" w:rsidTr="00781156">
        <w:tc>
          <w:tcPr>
            <w:tcW w:w="9163" w:type="dxa"/>
            <w:gridSpan w:val="4"/>
          </w:tcPr>
          <w:p w14:paraId="70910D97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1977A4" w:rsidRPr="00337757" w14:paraId="3FFD0BB3" w14:textId="77777777" w:rsidTr="00781156">
        <w:tc>
          <w:tcPr>
            <w:tcW w:w="9163" w:type="dxa"/>
            <w:gridSpan w:val="4"/>
          </w:tcPr>
          <w:p w14:paraId="694966E3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</w:p>
        </w:tc>
      </w:tr>
      <w:tr w:rsidR="001977A4" w:rsidRPr="00337757" w14:paraId="1F50FC4E" w14:textId="77777777" w:rsidTr="00781156">
        <w:tc>
          <w:tcPr>
            <w:tcW w:w="9163" w:type="dxa"/>
            <w:gridSpan w:val="4"/>
          </w:tcPr>
          <w:p w14:paraId="69B6A7D1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1977A4" w:rsidRPr="00337757" w14:paraId="08BA4164" w14:textId="77777777" w:rsidTr="00781156">
        <w:tc>
          <w:tcPr>
            <w:tcW w:w="9163" w:type="dxa"/>
            <w:gridSpan w:val="4"/>
          </w:tcPr>
          <w:p w14:paraId="00EC0E16" w14:textId="3FCF8178" w:rsidR="001977A4" w:rsidRDefault="001977A4" w:rsidP="001977A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Klemen Boštjančič, minister za finance</w:t>
            </w:r>
          </w:p>
          <w:p w14:paraId="16A6BC40" w14:textId="566D4004" w:rsidR="00CE1230" w:rsidRPr="00337757" w:rsidRDefault="00320BB2" w:rsidP="001977A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</w:t>
            </w:r>
            <w:r w:rsidR="00CE123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ag. Katja Božič, državna sekretarka</w:t>
            </w:r>
          </w:p>
          <w:p w14:paraId="7AE51BFC" w14:textId="77777777" w:rsidR="001977A4" w:rsidRPr="00337757" w:rsidRDefault="001977A4" w:rsidP="001977A4">
            <w:pPr>
              <w:keepNext/>
              <w:numPr>
                <w:ilvl w:val="0"/>
                <w:numId w:val="6"/>
              </w:numPr>
              <w:spacing w:after="0"/>
              <w:textAlignment w:val="baseline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mag. Saša Jazbec, državna sekretarka</w:t>
            </w:r>
          </w:p>
          <w:p w14:paraId="426F8304" w14:textId="77777777" w:rsidR="001977A4" w:rsidRPr="00337757" w:rsidRDefault="001977A4" w:rsidP="001977A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Gordana Pipan, državna sekretarka </w:t>
            </w:r>
          </w:p>
          <w:p w14:paraId="4B020832" w14:textId="77777777" w:rsidR="001977A4" w:rsidRPr="00337757" w:rsidRDefault="001977A4" w:rsidP="001977A4">
            <w:pPr>
              <w:keepNext/>
              <w:numPr>
                <w:ilvl w:val="0"/>
                <w:numId w:val="6"/>
              </w:numPr>
              <w:spacing w:after="0"/>
              <w:textAlignment w:val="baseline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Nikolina Prah, državna sekretarka</w:t>
            </w:r>
          </w:p>
          <w:p w14:paraId="2801348A" w14:textId="77777777" w:rsidR="001977A4" w:rsidRPr="00337757" w:rsidRDefault="001977A4" w:rsidP="001977A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Peter Grum, generalni direktor FURS</w:t>
            </w:r>
          </w:p>
          <w:p w14:paraId="51496BD2" w14:textId="77777777" w:rsidR="001977A4" w:rsidRPr="00337757" w:rsidRDefault="001977A4" w:rsidP="001977A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Marta Mihelin, direktorica Uprave za prihodke FURS GFU</w:t>
            </w:r>
          </w:p>
        </w:tc>
      </w:tr>
      <w:tr w:rsidR="001977A4" w:rsidRPr="00337757" w14:paraId="6C993F0E" w14:textId="77777777" w:rsidTr="00781156">
        <w:tc>
          <w:tcPr>
            <w:tcW w:w="9163" w:type="dxa"/>
            <w:gridSpan w:val="4"/>
          </w:tcPr>
          <w:p w14:paraId="6C6B5498" w14:textId="77777777" w:rsidR="001977A4" w:rsidRPr="00337757" w:rsidRDefault="001977A4" w:rsidP="0078115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1977A4" w:rsidRPr="00337757" w14:paraId="7C573CFC" w14:textId="77777777" w:rsidTr="00781156">
        <w:trPr>
          <w:trHeight w:val="551"/>
        </w:trPr>
        <w:tc>
          <w:tcPr>
            <w:tcW w:w="9163" w:type="dxa"/>
            <w:gridSpan w:val="4"/>
          </w:tcPr>
          <w:p w14:paraId="4E14F565" w14:textId="77777777" w:rsidR="001977A4" w:rsidRPr="00337757" w:rsidRDefault="001977A4" w:rsidP="00781156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Prvi odstavek 64.a člena Zakona o javnih financah </w:t>
            </w:r>
            <w:r w:rsidRPr="00337757">
              <w:rPr>
                <w:rFonts w:ascii="Arial" w:hAnsi="Arial" w:cs="Arial"/>
                <w:iCs/>
                <w:sz w:val="20"/>
                <w:szCs w:val="20"/>
              </w:rPr>
              <w:t xml:space="preserve">(Uradni list RS, št. 11/11 – uradno prečiščeno besedilo, 14/13 – popr., 101/13, 55/15 – ZFisP, 96/15 – ZIPRS1617, 13/18, 195/20 – odl. US in </w:t>
            </w:r>
            <w:hyperlink r:id="rId7" w:tgtFrame="_blank" w:tooltip="Zakon o spremembah in dopolnitvah Zakona o državni upravi" w:history="1">
              <w:r w:rsidRPr="00337757">
                <w:rPr>
                  <w:rFonts w:ascii="Arial" w:hAnsi="Arial" w:cs="Arial"/>
                  <w:sz w:val="20"/>
                  <w:szCs w:val="20"/>
                </w:rPr>
                <w:t>18/23</w:t>
              </w:r>
            </w:hyperlink>
            <w:r w:rsidRPr="00337757">
              <w:rPr>
                <w:rFonts w:ascii="Arial" w:hAnsi="Arial" w:cs="Arial"/>
                <w:sz w:val="20"/>
                <w:szCs w:val="20"/>
              </w:rPr>
              <w:t xml:space="preserve"> – ZDU-1O</w:t>
            </w:r>
            <w:r w:rsidRPr="00337757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33775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določa obveznost Vlade RS, da državnemu zboru hkrati z zaključnim računom državnega proračuna za posamezno leto predloži podatke o stanju in gibanju davčnega dolga v preteklem letu.</w:t>
            </w:r>
          </w:p>
          <w:p w14:paraId="15170088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</w:rPr>
              <w:t xml:space="preserve">Čeprav je to poročilo predloženo hkrati z zaključnim računom državnega proračuna, pa se poročilo o prihodkih in davčnem dolgu nanaša na vse štiri javnofinančne blagajne za katere FURS pobira dajatve: proračun države, Zavod za pokojninsko in invalidsko zavarovanje (v nadaljnjem besedilu: ZPIZ), Zavod za zdravstveno zavarovanje (v nadaljnjem besedilu: ZZZS) in proračune občin. </w:t>
            </w:r>
          </w:p>
          <w:p w14:paraId="2E7C16E8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69879048" w14:textId="77777777" w:rsidR="001977A4" w:rsidRPr="00337757" w:rsidRDefault="001977A4" w:rsidP="00781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41854282"/>
            <w:r w:rsidRPr="00337757">
              <w:rPr>
                <w:rFonts w:ascii="Arial" w:hAnsi="Arial" w:cs="Arial"/>
                <w:sz w:val="20"/>
                <w:szCs w:val="20"/>
              </w:rPr>
              <w:t>V letu 2022 je FURS pobral neto 21.038.828.085 EUR prihodkov za vse štiri blagajne javnega financiranja, kar je za 1.833.334.101 EUR oziroma 9,5 odstotkov več kot v letu 2021</w:t>
            </w:r>
            <w:bookmarkEnd w:id="2"/>
            <w:r w:rsidRPr="00337757">
              <w:rPr>
                <w:rFonts w:ascii="Arial" w:hAnsi="Arial" w:cs="Arial"/>
                <w:sz w:val="20"/>
                <w:szCs w:val="20"/>
              </w:rPr>
              <w:t xml:space="preserve">. Po letu 2020, ki </w:t>
            </w:r>
            <w:r>
              <w:rPr>
                <w:rFonts w:ascii="Arial" w:hAnsi="Arial" w:cs="Arial"/>
                <w:sz w:val="20"/>
                <w:szCs w:val="20"/>
              </w:rPr>
              <w:t xml:space="preserve">sta 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ga je zaznamovala epidemija </w:t>
            </w:r>
            <w:r w:rsidRPr="00337757">
              <w:rPr>
                <w:rFonts w:ascii="Arial" w:hAnsi="Arial" w:cs="Arial"/>
                <w:sz w:val="18"/>
                <w:szCs w:val="18"/>
              </w:rPr>
              <w:t>covid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3775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9 in </w:t>
            </w:r>
            <w:r>
              <w:rPr>
                <w:rFonts w:ascii="Arial" w:hAnsi="Arial" w:cs="Arial"/>
                <w:sz w:val="20"/>
                <w:szCs w:val="20"/>
              </w:rPr>
              <w:t>zaradi tega tudi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zmanjšanje pobranih prihodkov, se je že v letu 2021 trend obrnil in pobrani prihodki so občutno presegli prihodke iz predkoronskega leta 2019. Podobno je tudi leto 2022 zaznamovala rast pobranih prihodkov. Zviševanje pobranih prihodkov se z izjemo »kovidnega« leta 2020, nadaljuje že devet let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d ustanovitve FURS v letu 2014 skupni prirast prihodkov znaša 7.437.741.938 EUR oziroma 54,6 odstotka. V letu 2022 se je nadaljeval vpliv interventne zakonodaje, vendar so bili učinki na prihodke manjši kot v preteklih dveh letih, saj se zneski zapadlosti obročnih in odloženih terjatev postopoma znižujejo, v letu 2023 pa se bodo v celoti iztekli. Zaradi odobritve plačilnih ugodnosti v skupnem znesku 472 mio EUR, in sicer po 7. členu Zakona o interventnih ukrepih na javnofinančnem področju (Uradni list RS, št. </w:t>
            </w:r>
            <w:hyperlink r:id="rId8" w:tgtFrame="_blank" w:tooltip="Zakon o interventnih ukrepih na javnofinančnem področju (ZIUJP)" w:history="1">
              <w:r w:rsidRPr="00337757">
                <w:rPr>
                  <w:rFonts w:ascii="Arial" w:hAnsi="Arial" w:cs="Arial"/>
                  <w:sz w:val="20"/>
                  <w:szCs w:val="20"/>
                </w:rPr>
                <w:t>36/20</w:t>
              </w:r>
            </w:hyperlink>
            <w:r w:rsidRPr="00337757">
              <w:rPr>
                <w:rFonts w:ascii="Arial" w:hAnsi="Arial" w:cs="Arial"/>
                <w:sz w:val="20"/>
                <w:szCs w:val="20"/>
              </w:rPr>
              <w:t>;</w:t>
            </w:r>
            <w:r w:rsidRPr="00337757">
              <w:t xml:space="preserve"> 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v nadaljnem besedilu: ZIUJP) in 67. členu Zakona o interventnih ukrepih za omilitev posledic drugega vala epidemije COVID-19 (Uradni list RS, št. </w:t>
            </w:r>
            <w:hyperlink r:id="rId9" w:tgtFrame="_blank" w:tooltip="Zakon o interventnih ukrepih za omilitev posledic drugega vala epidemije COVID-19 (ZIUOPDVE)" w:history="1">
              <w:r w:rsidRPr="00337757">
                <w:rPr>
                  <w:rFonts w:ascii="Arial" w:hAnsi="Arial" w:cs="Arial"/>
                  <w:sz w:val="20"/>
                  <w:szCs w:val="20"/>
                </w:rPr>
                <w:t>175/20</w:t>
              </w:r>
            </w:hyperlink>
            <w:r w:rsidRPr="00337757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tgtFrame="_blank" w:tooltip="Zakon o interventnih ukrepih za pomoč pri omilitvi posledic drugega vala epidemije COVID-19" w:history="1">
              <w:r w:rsidRPr="00337757">
                <w:rPr>
                  <w:rFonts w:ascii="Arial" w:hAnsi="Arial" w:cs="Arial"/>
                  <w:sz w:val="20"/>
                  <w:szCs w:val="20"/>
                </w:rPr>
                <w:t>203/20</w:t>
              </w:r>
            </w:hyperlink>
            <w:r w:rsidRPr="00337757">
              <w:rPr>
                <w:rFonts w:ascii="Arial" w:hAnsi="Arial" w:cs="Arial"/>
                <w:sz w:val="20"/>
                <w:szCs w:val="20"/>
              </w:rPr>
              <w:t xml:space="preserve"> – ZIUPOPDVE, </w:t>
            </w:r>
            <w:hyperlink r:id="rId11" w:tgtFrame="_blank" w:tooltip="Zakon o dodatnih ukrepih za omilitev posledic COVID-19 " w:history="1">
              <w:r w:rsidRPr="00337757">
                <w:rPr>
                  <w:rFonts w:ascii="Arial" w:hAnsi="Arial" w:cs="Arial"/>
                  <w:sz w:val="20"/>
                  <w:szCs w:val="20"/>
                </w:rPr>
                <w:t>15/21</w:t>
              </w:r>
            </w:hyperlink>
            <w:r w:rsidRPr="00337757">
              <w:rPr>
                <w:rFonts w:ascii="Arial" w:hAnsi="Arial" w:cs="Arial"/>
                <w:sz w:val="20"/>
                <w:szCs w:val="20"/>
              </w:rPr>
              <w:t xml:space="preserve"> – ZDUOP, </w:t>
            </w:r>
            <w:hyperlink r:id="rId12" w:tgtFrame="_blank" w:tooltip="Zakon o spremembah in dopolnitvah Zakona o zdravstvenem varstvu in zdravstvenem zavarovanju" w:history="1">
              <w:r w:rsidRPr="00337757">
                <w:rPr>
                  <w:rFonts w:ascii="Arial" w:hAnsi="Arial" w:cs="Arial"/>
                  <w:sz w:val="20"/>
                  <w:szCs w:val="20"/>
                </w:rPr>
                <w:t>51/21</w:t>
              </w:r>
            </w:hyperlink>
            <w:r w:rsidRPr="00337757">
              <w:rPr>
                <w:rFonts w:ascii="Arial" w:hAnsi="Arial" w:cs="Arial"/>
                <w:sz w:val="20"/>
                <w:szCs w:val="20"/>
              </w:rPr>
              <w:t xml:space="preserve"> – ZZVZZ-O, </w:t>
            </w:r>
            <w:hyperlink r:id="rId13" w:tgtFrame="_blank" w:tooltip="Odločba o razveljavitvi 52. člena Zakona o interventnih ukrepih za omilitev posledic drugega vala epidemije COVID-19 v zvezi z 38. členom Zakona o spremembah in dopolnitvah Zakona o visokem šolstvu" w:history="1">
              <w:r w:rsidRPr="00337757">
                <w:rPr>
                  <w:rFonts w:ascii="Arial" w:hAnsi="Arial" w:cs="Arial"/>
                  <w:sz w:val="20"/>
                  <w:szCs w:val="20"/>
                </w:rPr>
                <w:t>57/21</w:t>
              </w:r>
            </w:hyperlink>
            <w:r w:rsidRPr="00337757">
              <w:rPr>
                <w:rFonts w:ascii="Arial" w:hAnsi="Arial" w:cs="Arial"/>
                <w:sz w:val="20"/>
                <w:szCs w:val="20"/>
              </w:rPr>
              <w:t xml:space="preserve"> – odl. US in </w:t>
            </w:r>
            <w:hyperlink r:id="rId14" w:tgtFrame="_blank" w:tooltip="Zakon o interventnih ukrepih za pomoč gospodarstvu in turizmu pri omilitvi posledic epidemije COVID-19" w:history="1">
              <w:r w:rsidRPr="00337757">
                <w:rPr>
                  <w:rFonts w:ascii="Arial" w:hAnsi="Arial" w:cs="Arial"/>
                  <w:sz w:val="20"/>
                  <w:szCs w:val="20"/>
                </w:rPr>
                <w:t>112/21</w:t>
              </w:r>
            </w:hyperlink>
            <w:r w:rsidRPr="00337757">
              <w:rPr>
                <w:rFonts w:ascii="Arial" w:hAnsi="Arial" w:cs="Arial"/>
                <w:sz w:val="20"/>
                <w:szCs w:val="20"/>
              </w:rPr>
              <w:t xml:space="preserve"> – ZIUPGT; v nadaljnjem besedilu: ZIUOPDVE), je bilo v letu 2022 plačanih za 82.805.481 EUR odloženih terjatev, v letu 2023 pa jih v plačilo zapade še</w:t>
            </w:r>
            <w:r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17.099.712 EUR.</w:t>
            </w:r>
          </w:p>
          <w:p w14:paraId="10B6F75F" w14:textId="6E796909" w:rsidR="001977A4" w:rsidRPr="00337757" w:rsidRDefault="001977A4" w:rsidP="00781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 xml:space="preserve">Na dan 31. </w:t>
            </w: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2022 je znašal davčni dolg za vse blagajne javnega financiranja 896.349.990 EUR. V letu 2022 se je davčni dolg znižal za 22.157.984 EUR oziroma 2,4 odstotka. </w:t>
            </w:r>
            <w:bookmarkStart w:id="3" w:name="_Hlk141854172"/>
            <w:r w:rsidRPr="00337757">
              <w:rPr>
                <w:rFonts w:ascii="Arial" w:hAnsi="Arial" w:cs="Arial"/>
                <w:sz w:val="20"/>
                <w:szCs w:val="20"/>
              </w:rPr>
              <w:t>Zniževanj</w:t>
            </w:r>
            <w:r w:rsidR="00A50D63">
              <w:rPr>
                <w:rFonts w:ascii="Arial" w:hAnsi="Arial" w:cs="Arial"/>
                <w:sz w:val="20"/>
                <w:szCs w:val="20"/>
              </w:rPr>
              <w:t>e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davčnega dolga se nadaljuje že devet let, od ustanovitve FURS v letu 2014, saj se je skupaj znižal za 601.475.383 EUR oziroma 40,2 odstotka</w:t>
            </w:r>
            <w:bookmarkEnd w:id="3"/>
            <w:r w:rsidRPr="00337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3CA97D" w14:textId="77777777" w:rsidR="001977A4" w:rsidRPr="00337757" w:rsidRDefault="001977A4" w:rsidP="00781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 xml:space="preserve">Pri spremljanju gibanja davčnega dolga je poleg znižanja absolutnega zneska davčnega dolga v primerjavi s predhodnim obdobjem treba upoštevati tudi gibanje deleža dolga glede na letno pobrane javnofinančne prihodke FURS. Delež davčnega dolga za vse javnofinančne blagajne v vseh letno pobranih javnofinančnih prihodkih FURS je v letu 2022 zdrsnil na 4,3 odstotka, v letu 2014, ko je bil ustanovljen FURS, je znašal 10,4 odstotka. </w:t>
            </w:r>
          </w:p>
          <w:p w14:paraId="703F002A" w14:textId="77777777" w:rsidR="001977A4" w:rsidRPr="00337757" w:rsidRDefault="001977A4" w:rsidP="0078115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lastRenderedPageBreak/>
              <w:t xml:space="preserve">Če se v povezavi z obravnavo zaključnega računa, osredotočimo samo na nastali in zapadli dolg v letu 2022, je po stanju 31. </w:t>
            </w:r>
            <w:r>
              <w:rPr>
                <w:rFonts w:ascii="Arial" w:hAnsi="Arial" w:cs="Arial"/>
                <w:sz w:val="20"/>
                <w:szCs w:val="20"/>
              </w:rPr>
              <w:t>decembra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2022 znašal za vse javnofinančne blagajne 207.221.208 EUR. Ob pripravi tega poročila, se je po stanju na dan</w:t>
            </w:r>
            <w:r w:rsidRPr="003377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28. </w:t>
            </w:r>
            <w:r>
              <w:rPr>
                <w:rFonts w:ascii="Arial" w:hAnsi="Arial" w:cs="Arial"/>
                <w:sz w:val="20"/>
                <w:szCs w:val="20"/>
              </w:rPr>
              <w:t>februar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2023, v letu 2022 nastali dolg,</w:t>
            </w:r>
            <w:r w:rsidRPr="003377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37757">
              <w:rPr>
                <w:rFonts w:ascii="Arial" w:hAnsi="Arial" w:cs="Arial"/>
                <w:sz w:val="20"/>
                <w:szCs w:val="20"/>
              </w:rPr>
              <w:t>že znižal na 116.666.312  EUR. Obseg dajatev, plačanih po zapadlosti z do eno mesečno zamudo, se giblje od 60 do 80 mio EUR mesečno, hkrati pa so že bili realizirani dodatni ukrepi izterjave.</w:t>
            </w:r>
            <w:r w:rsidRPr="0033775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14:paraId="3BF650B5" w14:textId="77777777" w:rsidR="001977A4" w:rsidRPr="00337757" w:rsidRDefault="001977A4" w:rsidP="00781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 xml:space="preserve">S ciljem obvladovanja davčnega dolga je FURS izvajal številne ukrepe  za spodbujanje prostovoljnega plačevanja in izterjave: opominjanje, pobote obveznosti z zapadlimi terjatvami, unovčitve predloženih zavarovanj, davčno izvršbo, druge zahtevnejše ukrepe uveljavljanja davčnega dolga in predlagal stečaje ali izbrise. </w:t>
            </w:r>
          </w:p>
          <w:p w14:paraId="7382F68F" w14:textId="77777777" w:rsidR="001977A4" w:rsidRPr="00337757" w:rsidRDefault="001977A4" w:rsidP="007811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 xml:space="preserve">Davčni dolg po stanju 31. </w:t>
            </w:r>
            <w:r>
              <w:rPr>
                <w:rFonts w:ascii="Arial" w:hAnsi="Arial" w:cs="Arial"/>
                <w:sz w:val="20"/>
                <w:szCs w:val="20"/>
              </w:rPr>
              <w:t>decembra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2022 je glede na možnosti izterjave razdeljen na aktivni dolg v višini 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439.625.363 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EUR (49 odstotkov) in pogojno izterljivi dolg v višini 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456.724.627 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EUR (51 odstotkov). 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>FURS je pri izterjavi znatnega dela davčnega dolga zelo omejen. Če sodišče odloči, da se zoper dolžnika začne postopek zaradi insolventnosti, se za dolg ne sme voditi postop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k izvršbe niti zavarovanja. Po stanju 31.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decembra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 2022 je bil obseg pogojno izterljivega dolga prijavljenega  v insolvenčne postopke 277,3 milijon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 EUR, kar obsega 30,8 odstotka davčnega dolga. </w:t>
            </w:r>
          </w:p>
          <w:p w14:paraId="0239BEBE" w14:textId="77777777" w:rsidR="001977A4" w:rsidRPr="00337757" w:rsidRDefault="001977A4" w:rsidP="0078115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V letu 2022 je FURS poslal dolžnikom 985.229 opominov in 30.920 pozivov za plačilo in predložitev seznama premoženja ter izdal 305.944 sklepov o davčni izvršbi za novo nastale davčne in nedavčne obveznosti ali kot nov ukrep izterjave v skupnem znesku 1.346.699.684 EUR. Z izvedenimi ukrepi je bilo izterjan</w:t>
            </w:r>
            <w:r>
              <w:rPr>
                <w:rFonts w:ascii="Arial" w:hAnsi="Arial" w:cs="Arial"/>
                <w:sz w:val="20"/>
                <w:szCs w:val="20"/>
              </w:rPr>
              <w:t>ih</w:t>
            </w:r>
            <w:r w:rsidRPr="00337757">
              <w:rPr>
                <w:rFonts w:ascii="Arial" w:hAnsi="Arial" w:cs="Arial"/>
                <w:sz w:val="20"/>
                <w:szCs w:val="20"/>
              </w:rPr>
              <w:t xml:space="preserve"> 614.678.853 EUR dolga. 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V primerjavi 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predhodnim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 letom je bilo v letu 2022 izterjanega za 161.974.930 EUR več dolga. </w:t>
            </w:r>
            <w:r w:rsidRPr="00A1221F">
              <w:rPr>
                <w:rFonts w:ascii="Arial" w:hAnsi="Arial" w:cs="Arial"/>
                <w:bCs/>
                <w:sz w:val="20"/>
                <w:szCs w:val="20"/>
              </w:rPr>
              <w:t xml:space="preserve">Navedeno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lahko</w:t>
            </w:r>
            <w:r w:rsidRPr="00A1221F">
              <w:rPr>
                <w:rFonts w:ascii="Arial" w:hAnsi="Arial" w:cs="Arial"/>
                <w:bCs/>
                <w:sz w:val="20"/>
                <w:szCs w:val="20"/>
              </w:rPr>
              <w:t xml:space="preserve"> pripi</w:t>
            </w:r>
            <w:r>
              <w:rPr>
                <w:rFonts w:ascii="Arial" w:hAnsi="Arial" w:cs="Arial"/>
                <w:bCs/>
                <w:sz w:val="20"/>
                <w:szCs w:val="20"/>
              </w:rPr>
              <w:t>šemo</w:t>
            </w:r>
            <w:r w:rsidRPr="00A122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povečanju</w:t>
            </w:r>
            <w:r w:rsidRPr="00A1221F">
              <w:rPr>
                <w:rFonts w:ascii="Arial" w:hAnsi="Arial" w:cs="Arial"/>
                <w:bCs/>
                <w:sz w:val="20"/>
                <w:szCs w:val="20"/>
              </w:rPr>
              <w:t xml:space="preserve"> aktivnosti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 na področju opominjanja in pozivanja dolžnikov k prostovoljnemu plačevanju neporavnanih obveznosti ter boljši realizaciji izvedenih ukrepov izterjave. </w:t>
            </w:r>
          </w:p>
        </w:tc>
      </w:tr>
      <w:tr w:rsidR="001977A4" w:rsidRPr="00337757" w14:paraId="5295B325" w14:textId="77777777" w:rsidTr="00781156">
        <w:tc>
          <w:tcPr>
            <w:tcW w:w="9163" w:type="dxa"/>
            <w:gridSpan w:val="4"/>
          </w:tcPr>
          <w:p w14:paraId="39CB9812" w14:textId="77777777" w:rsidR="001977A4" w:rsidRPr="00337757" w:rsidRDefault="001977A4" w:rsidP="0078115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1977A4" w:rsidRPr="00337757" w14:paraId="2EBB2A06" w14:textId="77777777" w:rsidTr="00781156">
        <w:tc>
          <w:tcPr>
            <w:tcW w:w="1448" w:type="dxa"/>
          </w:tcPr>
          <w:p w14:paraId="54066CA7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1583372F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65E8CADB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5D2FA7ED" w14:textId="77777777" w:rsidTr="00781156">
        <w:tc>
          <w:tcPr>
            <w:tcW w:w="1448" w:type="dxa"/>
          </w:tcPr>
          <w:p w14:paraId="5D47E253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29C26232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213DDC0D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02112859" w14:textId="77777777" w:rsidTr="00781156">
        <w:tc>
          <w:tcPr>
            <w:tcW w:w="1448" w:type="dxa"/>
          </w:tcPr>
          <w:p w14:paraId="084A1AB3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1DEEF236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2CEC965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/NE</w:t>
            </w:r>
          </w:p>
        </w:tc>
      </w:tr>
      <w:tr w:rsidR="001977A4" w:rsidRPr="00337757" w14:paraId="4D06D885" w14:textId="77777777" w:rsidTr="00781156">
        <w:tc>
          <w:tcPr>
            <w:tcW w:w="1448" w:type="dxa"/>
          </w:tcPr>
          <w:p w14:paraId="67458D29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72454BE4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3377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77D4D2E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0B3C0E2D" w14:textId="77777777" w:rsidTr="00781156">
        <w:tc>
          <w:tcPr>
            <w:tcW w:w="1448" w:type="dxa"/>
          </w:tcPr>
          <w:p w14:paraId="1AAD34FE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01D6C37A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715D293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41575178" w14:textId="77777777" w:rsidTr="00781156">
        <w:tc>
          <w:tcPr>
            <w:tcW w:w="1448" w:type="dxa"/>
          </w:tcPr>
          <w:p w14:paraId="19F88461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6DFB4145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B03F192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26A3B7C3" w14:textId="77777777" w:rsidTr="00781156">
        <w:tc>
          <w:tcPr>
            <w:tcW w:w="1448" w:type="dxa"/>
            <w:tcBorders>
              <w:bottom w:val="single" w:sz="4" w:space="0" w:color="auto"/>
            </w:tcBorders>
          </w:tcPr>
          <w:p w14:paraId="4DDD43DB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C810B8A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3DA484F3" w14:textId="77777777" w:rsidR="001977A4" w:rsidRPr="00337757" w:rsidRDefault="001977A4" w:rsidP="001977A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6B8D339E" w14:textId="77777777" w:rsidR="001977A4" w:rsidRPr="00337757" w:rsidRDefault="001977A4" w:rsidP="001977A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23023055" w14:textId="77777777" w:rsidR="001977A4" w:rsidRPr="00337757" w:rsidRDefault="001977A4" w:rsidP="001977A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604F124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2E3088A6" w14:textId="77777777" w:rsidTr="0078115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AD4" w14:textId="77777777" w:rsidR="001977A4" w:rsidRPr="00337757" w:rsidRDefault="001977A4" w:rsidP="007811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7553E2CB" w14:textId="77777777" w:rsidR="001977A4" w:rsidRPr="00337757" w:rsidRDefault="001977A4" w:rsidP="007811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color w:val="A6A6A6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16F7085F" w14:textId="77777777" w:rsidR="001977A4" w:rsidRPr="00337757" w:rsidRDefault="001977A4" w:rsidP="001977A4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1977A4" w:rsidRPr="00337757" w14:paraId="56106289" w14:textId="77777777" w:rsidTr="0078115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08E39B" w14:textId="77777777" w:rsidR="001977A4" w:rsidRPr="00337757" w:rsidRDefault="001977A4" w:rsidP="00781156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1977A4" w:rsidRPr="00337757" w14:paraId="01518B1E" w14:textId="77777777" w:rsidTr="00781156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0892" w14:textId="77777777" w:rsidR="001977A4" w:rsidRPr="00337757" w:rsidRDefault="001977A4" w:rsidP="0078115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AF9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571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38BB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07F8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1977A4" w:rsidRPr="00337757" w14:paraId="21A37B9E" w14:textId="77777777" w:rsidTr="0078115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F18" w14:textId="77777777" w:rsidR="001977A4" w:rsidRPr="00337757" w:rsidRDefault="001977A4" w:rsidP="0078115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775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3775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211A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F6D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7D42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624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22F13BD9" w14:textId="77777777" w:rsidTr="0078115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1A25" w14:textId="77777777" w:rsidR="001977A4" w:rsidRPr="00337757" w:rsidRDefault="001977A4" w:rsidP="0078115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775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3775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B55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8710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330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460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4CC54014" w14:textId="77777777" w:rsidTr="0078115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A690" w14:textId="77777777" w:rsidR="001977A4" w:rsidRPr="00337757" w:rsidRDefault="001977A4" w:rsidP="0078115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775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3775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4AA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19FF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61E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580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A4" w:rsidRPr="00337757" w14:paraId="4D0D8B6F" w14:textId="77777777" w:rsidTr="00781156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D6A" w14:textId="77777777" w:rsidR="001977A4" w:rsidRPr="00337757" w:rsidRDefault="001977A4" w:rsidP="0078115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775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3775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86A7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B20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191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4D20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A4" w:rsidRPr="00337757" w14:paraId="4C248AA2" w14:textId="77777777" w:rsidTr="0078115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DC1" w14:textId="77777777" w:rsidR="001977A4" w:rsidRPr="00337757" w:rsidRDefault="001977A4" w:rsidP="0078115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3775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3775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3775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C315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B86B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F21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AF0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3582D49E" w14:textId="77777777" w:rsidTr="0078115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E753B3" w14:textId="77777777" w:rsidR="001977A4" w:rsidRPr="00337757" w:rsidRDefault="001977A4" w:rsidP="0078115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1977A4" w:rsidRPr="00337757" w14:paraId="2759EF16" w14:textId="77777777" w:rsidTr="0078115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237C06" w14:textId="77777777" w:rsidR="001977A4" w:rsidRPr="00337757" w:rsidRDefault="001977A4" w:rsidP="0078115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1977A4" w:rsidRPr="00337757" w14:paraId="2C90F9D2" w14:textId="77777777" w:rsidTr="0078115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F10A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27F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287C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ABE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917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1977A4" w:rsidRPr="00337757" w14:paraId="29A625F0" w14:textId="77777777" w:rsidTr="00781156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A52F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E93E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251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FB64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D7C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5A48D965" w14:textId="77777777" w:rsidTr="0078115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447F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B3F3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35C4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546F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CA97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223715C9" w14:textId="77777777" w:rsidTr="0078115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F007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0B72" w14:textId="77777777" w:rsidR="001977A4" w:rsidRPr="00337757" w:rsidRDefault="001977A4" w:rsidP="00781156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D228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092A2ED6" w14:textId="77777777" w:rsidTr="0078115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4B7DE9" w14:textId="77777777" w:rsidR="001977A4" w:rsidRPr="00337757" w:rsidRDefault="001977A4" w:rsidP="0078115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1977A4" w:rsidRPr="00337757" w14:paraId="6EC7CA80" w14:textId="77777777" w:rsidTr="0078115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D64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144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A2AD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7994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D51E" w14:textId="77777777" w:rsidR="001977A4" w:rsidRPr="00337757" w:rsidRDefault="001977A4" w:rsidP="007811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1977A4" w:rsidRPr="00337757" w14:paraId="78437CAE" w14:textId="77777777" w:rsidTr="0078115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46B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058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1801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CED4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8D82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2B2242D0" w14:textId="77777777" w:rsidTr="0078115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11DA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AEBE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AA1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7C0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F4DB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7B7BD4FA" w14:textId="77777777" w:rsidTr="0078115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374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454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688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050F8F69" w14:textId="77777777" w:rsidTr="0078115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A67627" w14:textId="77777777" w:rsidR="001977A4" w:rsidRPr="00337757" w:rsidRDefault="001977A4" w:rsidP="0078115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1977A4" w:rsidRPr="00337757" w14:paraId="0132F362" w14:textId="77777777" w:rsidTr="00781156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6F6F" w14:textId="77777777" w:rsidR="001977A4" w:rsidRPr="00337757" w:rsidRDefault="001977A4" w:rsidP="0078115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C951" w14:textId="77777777" w:rsidR="001977A4" w:rsidRPr="00337757" w:rsidRDefault="001977A4" w:rsidP="0078115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1A04" w14:textId="77777777" w:rsidR="001977A4" w:rsidRPr="00337757" w:rsidRDefault="001977A4" w:rsidP="0078115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5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1977A4" w:rsidRPr="00337757" w14:paraId="4BDA1369" w14:textId="77777777" w:rsidTr="0078115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79B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734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3FB1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36D0B51D" w14:textId="77777777" w:rsidTr="0078115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8022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BC9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1A25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65F54816" w14:textId="77777777" w:rsidTr="0078115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F1CC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E44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D3A0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78112112" w14:textId="77777777" w:rsidTr="0078115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F38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383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CF5" w14:textId="77777777" w:rsidR="001977A4" w:rsidRPr="00337757" w:rsidRDefault="001977A4" w:rsidP="0078115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977A4" w:rsidRPr="00337757" w14:paraId="24AF558E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442EA939" w14:textId="77777777" w:rsidR="001977A4" w:rsidRPr="00337757" w:rsidRDefault="001977A4" w:rsidP="007811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37757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4D1EC8F2" w14:textId="77777777" w:rsidR="001977A4" w:rsidRPr="00337757" w:rsidRDefault="001977A4" w:rsidP="001977A4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310FD291" w14:textId="77777777" w:rsidR="001977A4" w:rsidRPr="00337757" w:rsidRDefault="001977A4" w:rsidP="00781156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470DD8AC" w14:textId="77777777" w:rsidR="001977A4" w:rsidRPr="00337757" w:rsidRDefault="001977A4" w:rsidP="001977A4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793E09B6" w14:textId="77777777" w:rsidR="001977A4" w:rsidRPr="00337757" w:rsidRDefault="001977A4" w:rsidP="00781156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  <w:p w14:paraId="5C07730B" w14:textId="77777777" w:rsidR="001977A4" w:rsidRPr="00337757" w:rsidRDefault="001977A4" w:rsidP="00781156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  <w:p w14:paraId="24D54470" w14:textId="77777777" w:rsidR="001977A4" w:rsidRPr="00337757" w:rsidRDefault="001977A4" w:rsidP="00781156">
            <w:pPr>
              <w:widowControl w:val="0"/>
              <w:suppressAutoHyphens/>
              <w:ind w:left="714"/>
              <w:jc w:val="both"/>
              <w:rPr>
                <w:sz w:val="20"/>
                <w:szCs w:val="20"/>
              </w:rPr>
            </w:pPr>
            <w:r w:rsidRPr="0033775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1977A4" w:rsidRPr="00337757" w14:paraId="0398519B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EC65" w14:textId="77777777" w:rsidR="001977A4" w:rsidRPr="00337757" w:rsidRDefault="001977A4" w:rsidP="00781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757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2E86C74B" w14:textId="77777777" w:rsidR="001977A4" w:rsidRPr="00337757" w:rsidRDefault="001977A4" w:rsidP="00781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757">
              <w:rPr>
                <w:rFonts w:ascii="Arial" w:hAnsi="Arial" w:cs="Arial"/>
                <w:b/>
                <w:sz w:val="20"/>
                <w:szCs w:val="20"/>
              </w:rPr>
              <w:t>Kratka obrazložitev</w:t>
            </w:r>
          </w:p>
        </w:tc>
      </w:tr>
      <w:tr w:rsidR="001977A4" w:rsidRPr="00337757" w14:paraId="00CACE35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541F" w14:textId="77777777" w:rsidR="001977A4" w:rsidRPr="00337757" w:rsidRDefault="001977A4" w:rsidP="00781156">
            <w:pPr>
              <w:rPr>
                <w:rFonts w:cs="Arial"/>
                <w:b/>
                <w:szCs w:val="20"/>
              </w:rPr>
            </w:pPr>
            <w:r w:rsidRPr="00337757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1977A4" w:rsidRPr="00337757" w14:paraId="49B3F72C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7F55696B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0ABA277C" w14:textId="77777777" w:rsidR="001977A4" w:rsidRPr="00337757" w:rsidRDefault="001977A4" w:rsidP="001977A4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22897792" w14:textId="77777777" w:rsidR="001977A4" w:rsidRPr="00337757" w:rsidRDefault="001977A4" w:rsidP="001977A4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0EBCE65F" w14:textId="77777777" w:rsidR="001977A4" w:rsidRPr="00337757" w:rsidRDefault="001977A4" w:rsidP="001977A4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7FDE852D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16A8182B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5F514274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81E2CC0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58A78C74" w14:textId="77777777" w:rsidR="001977A4" w:rsidRPr="00337757" w:rsidRDefault="001977A4" w:rsidP="001977A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DA/NE</w:t>
            </w:r>
          </w:p>
          <w:p w14:paraId="2EC41BA7" w14:textId="77777777" w:rsidR="001977A4" w:rsidRPr="00337757" w:rsidRDefault="001977A4" w:rsidP="001977A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DA/NE</w:t>
            </w:r>
          </w:p>
          <w:p w14:paraId="3465A385" w14:textId="77777777" w:rsidR="001977A4" w:rsidRPr="00337757" w:rsidRDefault="001977A4" w:rsidP="001977A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DA/NE</w:t>
            </w:r>
          </w:p>
          <w:p w14:paraId="3A3EF497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C3A2571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7DBB18B1" w14:textId="77777777" w:rsidR="001977A4" w:rsidRPr="00337757" w:rsidRDefault="001977A4" w:rsidP="001977A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v celoti,</w:t>
            </w:r>
          </w:p>
          <w:p w14:paraId="0DAF4ACB" w14:textId="77777777" w:rsidR="001977A4" w:rsidRPr="00337757" w:rsidRDefault="001977A4" w:rsidP="001977A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večinoma,</w:t>
            </w:r>
          </w:p>
          <w:p w14:paraId="18D51767" w14:textId="77777777" w:rsidR="001977A4" w:rsidRPr="00337757" w:rsidRDefault="001977A4" w:rsidP="001977A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delno,</w:t>
            </w:r>
          </w:p>
          <w:p w14:paraId="41EF9319" w14:textId="77777777" w:rsidR="001977A4" w:rsidRPr="00337757" w:rsidRDefault="001977A4" w:rsidP="001977A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niso bili upoštevani.</w:t>
            </w:r>
          </w:p>
          <w:p w14:paraId="1EEB0744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98285BC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Bistveni predlogi in pripombe, ki niso bili upoštevani.</w:t>
            </w:r>
          </w:p>
        </w:tc>
      </w:tr>
      <w:tr w:rsidR="001977A4" w:rsidRPr="00337757" w14:paraId="0839A489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4B6F4F15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1977A4" w:rsidRPr="00337757" w14:paraId="6631323A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669CF52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443556E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0519B181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860D009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Če je odgovor NE, navedite, zakaj ni bilo objavljeno:</w:t>
            </w:r>
            <w:r w:rsidRPr="00337757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Gre za poročilo Vlade RS o stanju in gibanju davčnega dolga, ki ga mora le-ta posredovati Državnemu zboru RS, in ne za predlog predpisa Vlade RS, zato sodelovanje javnosti ni potrebno.</w:t>
            </w:r>
          </w:p>
        </w:tc>
      </w:tr>
      <w:tr w:rsidR="001977A4" w:rsidRPr="00337757" w14:paraId="1D7CAEC2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45BB593C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(Če je odgovor DA, navedite:</w:t>
            </w:r>
          </w:p>
          <w:p w14:paraId="3F5B358D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29224B80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23B728D8" w14:textId="77777777" w:rsidR="001977A4" w:rsidRPr="00337757" w:rsidRDefault="001977A4" w:rsidP="001977A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 xml:space="preserve">nevladne organizacije, </w:t>
            </w:r>
          </w:p>
          <w:p w14:paraId="44A6BAEA" w14:textId="77777777" w:rsidR="001977A4" w:rsidRPr="00337757" w:rsidRDefault="001977A4" w:rsidP="001977A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predstavniki zainteresirane javnosti,</w:t>
            </w:r>
          </w:p>
          <w:p w14:paraId="4B5D71AF" w14:textId="77777777" w:rsidR="001977A4" w:rsidRPr="00337757" w:rsidRDefault="001977A4" w:rsidP="001977A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predstavniki strokovne javnosti.</w:t>
            </w:r>
          </w:p>
          <w:p w14:paraId="5ADF15C6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B53268B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337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</w:t>
            </w:r>
            <w:r w:rsidRPr="00337757">
              <w:rPr>
                <w:rFonts w:ascii="Arial" w:eastAsia="Times New Roman" w:hAnsi="Arial" w:cs="Arial"/>
                <w:color w:val="A6A6A6"/>
                <w:sz w:val="20"/>
                <w:szCs w:val="20"/>
                <w:lang w:eastAsia="sl-SI"/>
              </w:rPr>
              <w:t>imen in priimkov fizičnih oseb, ki niso poslovni subjekti, ne navajajte</w:t>
            </w: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):</w:t>
            </w:r>
          </w:p>
          <w:p w14:paraId="7FFA859F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8E530E1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1B90F4FE" w14:textId="77777777" w:rsidR="001977A4" w:rsidRPr="00337757" w:rsidRDefault="001977A4" w:rsidP="001977A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v celoti,</w:t>
            </w:r>
          </w:p>
          <w:p w14:paraId="2313722B" w14:textId="77777777" w:rsidR="001977A4" w:rsidRPr="00337757" w:rsidRDefault="001977A4" w:rsidP="001977A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večinoma,</w:t>
            </w:r>
          </w:p>
          <w:p w14:paraId="3C0F9072" w14:textId="77777777" w:rsidR="001977A4" w:rsidRPr="00337757" w:rsidRDefault="001977A4" w:rsidP="001977A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t>delno,</w:t>
            </w:r>
          </w:p>
          <w:p w14:paraId="3C25416D" w14:textId="77777777" w:rsidR="001977A4" w:rsidRPr="00337757" w:rsidRDefault="001977A4" w:rsidP="001977A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color w:val="A6A6A6"/>
                <w:sz w:val="20"/>
                <w:szCs w:val="20"/>
                <w:lang w:eastAsia="sl-SI"/>
              </w:rPr>
              <w:lastRenderedPageBreak/>
              <w:t>niso bili upoštevani.</w:t>
            </w:r>
          </w:p>
          <w:p w14:paraId="7C4BCE88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33F32BE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2A8A55E7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80E3F36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759BBF40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304E2C6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</w:t>
            </w:r>
          </w:p>
        </w:tc>
      </w:tr>
      <w:tr w:rsidR="001977A4" w:rsidRPr="00337757" w14:paraId="33B254E5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3490072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32A3098E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/NE</w:t>
            </w:r>
          </w:p>
        </w:tc>
      </w:tr>
      <w:tr w:rsidR="001977A4" w:rsidRPr="00337757" w14:paraId="3CC41448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B6F9388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627BA70A" w14:textId="77777777" w:rsidR="001977A4" w:rsidRPr="00337757" w:rsidRDefault="001977A4" w:rsidP="007811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33775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1977A4" w:rsidRPr="00337757" w14:paraId="01A41A4A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EC57" w14:textId="77777777" w:rsidR="001977A4" w:rsidRPr="00337757" w:rsidRDefault="001977A4" w:rsidP="00781156">
            <w:pPr>
              <w:keepNext/>
              <w:spacing w:after="0"/>
              <w:ind w:left="5664"/>
              <w:jc w:val="center"/>
              <w:textAlignment w:val="baseline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A59ABCE" w14:textId="77777777" w:rsidR="001977A4" w:rsidRPr="00337757" w:rsidRDefault="001977A4" w:rsidP="00781156">
            <w:pPr>
              <w:keepNext/>
              <w:spacing w:after="0"/>
              <w:ind w:left="5664"/>
              <w:jc w:val="center"/>
              <w:textAlignment w:val="baseline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Klemen Boštjančič</w:t>
            </w:r>
          </w:p>
          <w:p w14:paraId="3D20F4BF" w14:textId="77777777" w:rsidR="001977A4" w:rsidRPr="00337757" w:rsidRDefault="001977A4" w:rsidP="00781156">
            <w:pPr>
              <w:spacing w:after="0" w:line="240" w:lineRule="auto"/>
              <w:ind w:left="566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377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minister</w:t>
            </w:r>
          </w:p>
          <w:p w14:paraId="345A2758" w14:textId="77777777" w:rsidR="001977A4" w:rsidRPr="00337757" w:rsidRDefault="001977A4" w:rsidP="00781156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ind w:left="720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977A4" w:rsidRPr="00337757" w14:paraId="4ED1691B" w14:textId="77777777" w:rsidTr="00781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28A8" w14:textId="77777777" w:rsidR="001977A4" w:rsidRPr="00337757" w:rsidRDefault="001977A4" w:rsidP="00781156">
            <w:pPr>
              <w:keepNext/>
              <w:spacing w:after="0"/>
              <w:ind w:left="5664"/>
              <w:textAlignment w:val="baseline"/>
              <w:outlineLvl w:val="2"/>
              <w:rPr>
                <w:rFonts w:ascii="Cambria" w:eastAsia="Times New Roman" w:hAnsi="Cambria"/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3AD5FF1E" w14:textId="52BA1F5D" w:rsidR="00430150" w:rsidRDefault="00430150" w:rsidP="001977A4">
      <w:pPr>
        <w:spacing w:after="0" w:line="260" w:lineRule="exact"/>
        <w:ind w:left="720"/>
        <w:contextualSpacing/>
      </w:pPr>
    </w:p>
    <w:sectPr w:rsidR="0043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5FA"/>
    <w:multiLevelType w:val="hybridMultilevel"/>
    <w:tmpl w:val="F51E04EC"/>
    <w:lvl w:ilvl="0" w:tplc="7D64DAE8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2AA4D56">
      <w:numFmt w:val="bullet"/>
      <w:lvlText w:val="•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86B36"/>
    <w:multiLevelType w:val="hybridMultilevel"/>
    <w:tmpl w:val="A976996A"/>
    <w:lvl w:ilvl="0" w:tplc="226E4734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74C33403"/>
    <w:multiLevelType w:val="hybridMultilevel"/>
    <w:tmpl w:val="C0DEA726"/>
    <w:lvl w:ilvl="0" w:tplc="91F881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9006">
    <w:abstractNumId w:val="1"/>
  </w:num>
  <w:num w:numId="2" w16cid:durableId="786435990">
    <w:abstractNumId w:val="4"/>
  </w:num>
  <w:num w:numId="3" w16cid:durableId="395519710">
    <w:abstractNumId w:val="5"/>
  </w:num>
  <w:num w:numId="4" w16cid:durableId="1165433558">
    <w:abstractNumId w:val="3"/>
  </w:num>
  <w:num w:numId="5" w16cid:durableId="1004163284">
    <w:abstractNumId w:val="2"/>
  </w:num>
  <w:num w:numId="6" w16cid:durableId="178473100">
    <w:abstractNumId w:val="7"/>
  </w:num>
  <w:num w:numId="7" w16cid:durableId="1540849148">
    <w:abstractNumId w:val="0"/>
  </w:num>
  <w:num w:numId="8" w16cid:durableId="202790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B4"/>
    <w:rsid w:val="00070937"/>
    <w:rsid w:val="001977A4"/>
    <w:rsid w:val="00320BB2"/>
    <w:rsid w:val="00430150"/>
    <w:rsid w:val="0098781D"/>
    <w:rsid w:val="00A50D63"/>
    <w:rsid w:val="00C301B4"/>
    <w:rsid w:val="00CE1230"/>
    <w:rsid w:val="00DF47B3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3EA3"/>
  <w15:chartTrackingRefBased/>
  <w15:docId w15:val="{0A5F9AEC-2CBB-479A-B057-432E944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0682" TargetMode="External"/><Relationship Id="rId13" Type="http://schemas.openxmlformats.org/officeDocument/2006/relationships/hyperlink" Target="http://www.uradni-list.si/1/objava.jsp?sop=2021-01-1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hyperlink" Target="http://www.uradni-list.si/1/objava.jsp?sop=2021-01-09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p.gs@gov.si" TargetMode="Externa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0-01-3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3096" TargetMode="External"/><Relationship Id="rId14" Type="http://schemas.openxmlformats.org/officeDocument/2006/relationships/hyperlink" Target="http://www.uradni-list.si/1/objava.jsp?sop=2021-01-245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Bevc</dc:creator>
  <cp:keywords/>
  <dc:description/>
  <cp:lastModifiedBy>Martina Verbančič</cp:lastModifiedBy>
  <cp:revision>3</cp:revision>
  <dcterms:created xsi:type="dcterms:W3CDTF">2023-09-21T11:38:00Z</dcterms:created>
  <dcterms:modified xsi:type="dcterms:W3CDTF">2023-09-21T11:39:00Z</dcterms:modified>
</cp:coreProperties>
</file>