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CAC6" w14:textId="4D7D62D5" w:rsidR="00D847F2" w:rsidRPr="008D1759" w:rsidRDefault="00D847F2" w:rsidP="00D847F2">
      <w:pPr>
        <w:pStyle w:val="Naslovpredpisa"/>
        <w:spacing w:before="0" w:after="0" w:line="260" w:lineRule="exact"/>
        <w:jc w:val="both"/>
        <w:rPr>
          <w:sz w:val="20"/>
          <w:szCs w:val="20"/>
        </w:rPr>
      </w:pPr>
      <w:r w:rsidRPr="008D1759">
        <w:rPr>
          <w:sz w:val="20"/>
          <w:szCs w:val="20"/>
        </w:rPr>
        <w:t>PRILOGA 3</w:t>
      </w:r>
      <w:r>
        <w:rPr>
          <w:sz w:val="20"/>
          <w:szCs w:val="20"/>
        </w:rPr>
        <w:t xml:space="preserve"> </w:t>
      </w:r>
      <w:r w:rsidRPr="00441D47">
        <w:rPr>
          <w:color w:val="A6A6A6"/>
          <w:sz w:val="20"/>
          <w:szCs w:val="20"/>
        </w:rPr>
        <w:t>(jedro gradiva):</w:t>
      </w:r>
    </w:p>
    <w:tbl>
      <w:tblPr>
        <w:tblW w:w="0" w:type="auto"/>
        <w:tblLook w:val="04A0" w:firstRow="1" w:lastRow="0" w:firstColumn="1" w:lastColumn="0" w:noHBand="0" w:noVBand="1"/>
      </w:tblPr>
      <w:tblGrid>
        <w:gridCol w:w="9070"/>
      </w:tblGrid>
      <w:tr w:rsidR="00D847F2" w:rsidRPr="00C5675A" w14:paraId="3ED0AA02" w14:textId="77777777" w:rsidTr="00556699">
        <w:tc>
          <w:tcPr>
            <w:tcW w:w="9213" w:type="dxa"/>
          </w:tcPr>
          <w:p w14:paraId="73350536" w14:textId="77777777" w:rsidR="00D847F2" w:rsidRPr="00C5675A" w:rsidRDefault="00D847F2" w:rsidP="00556699">
            <w:pPr>
              <w:pStyle w:val="Alineazaodstavkom"/>
              <w:numPr>
                <w:ilvl w:val="0"/>
                <w:numId w:val="0"/>
              </w:numPr>
              <w:spacing w:line="260" w:lineRule="exact"/>
              <w:ind w:left="709"/>
              <w:jc w:val="center"/>
              <w:rPr>
                <w:b/>
                <w:sz w:val="20"/>
                <w:szCs w:val="20"/>
              </w:rPr>
            </w:pPr>
          </w:p>
          <w:p w14:paraId="5415EF6A" w14:textId="53DE7EA4" w:rsidR="00D847F2" w:rsidRDefault="00D847F2" w:rsidP="00556699">
            <w:pPr>
              <w:pStyle w:val="Alineazaodstavkom"/>
              <w:numPr>
                <w:ilvl w:val="0"/>
                <w:numId w:val="0"/>
              </w:numPr>
              <w:spacing w:line="260" w:lineRule="exact"/>
              <w:ind w:left="709"/>
              <w:jc w:val="center"/>
              <w:rPr>
                <w:b/>
                <w:sz w:val="20"/>
                <w:szCs w:val="20"/>
              </w:rPr>
            </w:pPr>
            <w:r w:rsidRPr="003D3FBE">
              <w:rPr>
                <w:b/>
                <w:sz w:val="20"/>
                <w:szCs w:val="20"/>
              </w:rPr>
              <w:t xml:space="preserve">POROČILO FINANČNE UPRAVE REPUBLIKE SLOVENIJE O STANJU IN GIBANJU DAVČNEGA DOLGA </w:t>
            </w:r>
            <w:r w:rsidR="008C05B0">
              <w:rPr>
                <w:b/>
                <w:sz w:val="20"/>
                <w:szCs w:val="20"/>
              </w:rPr>
              <w:t xml:space="preserve">PO STANJU </w:t>
            </w:r>
            <w:r w:rsidRPr="003D3FBE">
              <w:rPr>
                <w:b/>
                <w:sz w:val="20"/>
                <w:szCs w:val="20"/>
              </w:rPr>
              <w:t>NA DAN 31. DECEMBER 202</w:t>
            </w:r>
            <w:r>
              <w:rPr>
                <w:b/>
                <w:sz w:val="20"/>
                <w:szCs w:val="20"/>
              </w:rPr>
              <w:t>2</w:t>
            </w:r>
          </w:p>
          <w:p w14:paraId="688E86A7" w14:textId="77777777" w:rsidR="00D847F2" w:rsidRPr="00C5675A" w:rsidRDefault="00D847F2" w:rsidP="00556699">
            <w:pPr>
              <w:pStyle w:val="Alineazaodstavkom"/>
              <w:numPr>
                <w:ilvl w:val="0"/>
                <w:numId w:val="0"/>
              </w:numPr>
              <w:spacing w:line="260" w:lineRule="exact"/>
              <w:ind w:left="709"/>
              <w:jc w:val="center"/>
              <w:rPr>
                <w:b/>
                <w:sz w:val="20"/>
                <w:szCs w:val="20"/>
              </w:rPr>
            </w:pPr>
          </w:p>
        </w:tc>
      </w:tr>
    </w:tbl>
    <w:p w14:paraId="6616D36F" w14:textId="77777777" w:rsidR="00D847F2" w:rsidRPr="00800D56" w:rsidRDefault="00D847F2" w:rsidP="00D847F2">
      <w:pPr>
        <w:jc w:val="center"/>
        <w:rPr>
          <w:rFonts w:ascii="Arial" w:hAnsi="Arial" w:cs="Arial"/>
          <w:b/>
          <w:sz w:val="20"/>
          <w:szCs w:val="20"/>
        </w:rPr>
      </w:pPr>
      <w:r w:rsidRPr="00800D56">
        <w:rPr>
          <w:rFonts w:ascii="Arial" w:hAnsi="Arial" w:cs="Arial"/>
          <w:b/>
          <w:sz w:val="20"/>
          <w:szCs w:val="20"/>
        </w:rPr>
        <w:t>Povzetek poročila</w:t>
      </w:r>
    </w:p>
    <w:p w14:paraId="14BA38D2" w14:textId="3AC2B6CE" w:rsidR="00D847F2" w:rsidRDefault="00D847F2" w:rsidP="00D847F2">
      <w:pPr>
        <w:pStyle w:val="Pripombabesedilo"/>
        <w:spacing w:line="276" w:lineRule="auto"/>
        <w:rPr>
          <w:rFonts w:ascii="Arial" w:hAnsi="Arial" w:cs="Arial"/>
        </w:rPr>
      </w:pPr>
      <w:bookmarkStart w:id="0" w:name="_Hlk129329134"/>
      <w:r w:rsidRPr="00913AAB">
        <w:rPr>
          <w:rFonts w:ascii="Arial" w:hAnsi="Arial" w:cs="Arial"/>
        </w:rPr>
        <w:t>Finančna uprava Republike Slovenije (</w:t>
      </w:r>
      <w:r w:rsidRPr="00AF4446">
        <w:rPr>
          <w:rFonts w:ascii="Arial" w:hAnsi="Arial" w:cs="Arial"/>
        </w:rPr>
        <w:t>v nadaljnjem besedilu:</w:t>
      </w:r>
      <w:r>
        <w:t xml:space="preserve"> </w:t>
      </w:r>
      <w:r w:rsidRPr="00913AAB">
        <w:rPr>
          <w:rFonts w:ascii="Arial" w:hAnsi="Arial" w:cs="Arial"/>
        </w:rPr>
        <w:t>FURS)</w:t>
      </w:r>
      <w:r>
        <w:rPr>
          <w:rFonts w:ascii="Arial" w:hAnsi="Arial" w:cs="Arial"/>
        </w:rPr>
        <w:t xml:space="preserve"> je pripravila P</w:t>
      </w:r>
      <w:r w:rsidRPr="00913AAB">
        <w:rPr>
          <w:rFonts w:ascii="Arial" w:hAnsi="Arial" w:cs="Arial"/>
        </w:rPr>
        <w:t>oročilo o stanju in gibanju davčnega dolga po stanju na dan 3</w:t>
      </w:r>
      <w:r>
        <w:rPr>
          <w:rFonts w:ascii="Arial" w:hAnsi="Arial" w:cs="Arial"/>
        </w:rPr>
        <w:t>1</w:t>
      </w:r>
      <w:r w:rsidRPr="00913AAB">
        <w:rPr>
          <w:rFonts w:ascii="Arial" w:hAnsi="Arial" w:cs="Arial"/>
        </w:rPr>
        <w:t xml:space="preserve">. </w:t>
      </w:r>
      <w:r w:rsidR="000E7DDB">
        <w:rPr>
          <w:rFonts w:ascii="Arial" w:hAnsi="Arial" w:cs="Arial"/>
        </w:rPr>
        <w:t>december</w:t>
      </w:r>
      <w:r w:rsidRPr="00913AAB">
        <w:rPr>
          <w:rFonts w:ascii="Arial" w:hAnsi="Arial" w:cs="Arial"/>
        </w:rPr>
        <w:t xml:space="preserve"> 20</w:t>
      </w:r>
      <w:r>
        <w:rPr>
          <w:rFonts w:ascii="Arial" w:hAnsi="Arial" w:cs="Arial"/>
        </w:rPr>
        <w:t>22 za namen predložitve državnemu zboru hkrati z zaključnim računom državnega proračuna za leto 2022</w:t>
      </w:r>
      <w:r w:rsidRPr="00913AAB">
        <w:rPr>
          <w:rFonts w:ascii="Arial" w:hAnsi="Arial" w:cs="Arial"/>
        </w:rPr>
        <w:t>.</w:t>
      </w:r>
      <w:r>
        <w:rPr>
          <w:rFonts w:ascii="Arial" w:hAnsi="Arial" w:cs="Arial"/>
        </w:rPr>
        <w:t xml:space="preserve"> </w:t>
      </w:r>
    </w:p>
    <w:p w14:paraId="47228E8E" w14:textId="77777777" w:rsidR="00D847F2" w:rsidRDefault="00D847F2" w:rsidP="00D847F2">
      <w:pPr>
        <w:pStyle w:val="Pripombabesedilo"/>
        <w:spacing w:line="276" w:lineRule="auto"/>
        <w:rPr>
          <w:rFonts w:ascii="Arial" w:hAnsi="Arial" w:cs="Arial"/>
        </w:rPr>
      </w:pPr>
    </w:p>
    <w:p w14:paraId="13C3B541" w14:textId="21D5C33E" w:rsidR="00D847F2" w:rsidRDefault="00D847F2" w:rsidP="00D847F2">
      <w:pPr>
        <w:pStyle w:val="Pripombabesedilo"/>
        <w:spacing w:line="276" w:lineRule="auto"/>
        <w:rPr>
          <w:rFonts w:ascii="Arial" w:hAnsi="Arial" w:cs="Arial"/>
        </w:rPr>
      </w:pPr>
      <w:r>
        <w:rPr>
          <w:rFonts w:ascii="Arial" w:hAnsi="Arial" w:cs="Arial"/>
        </w:rPr>
        <w:t>Čeprav je to poročilo predloženo hkrati z zaključnim računom državnega proračuna, pa se poročilo o prihodkih in davčnem dolgu nanaša na vse štiri javnofinančne blagajne</w:t>
      </w:r>
      <w:r w:rsidR="00F8041D">
        <w:rPr>
          <w:rFonts w:ascii="Arial" w:hAnsi="Arial" w:cs="Arial"/>
        </w:rPr>
        <w:t>,</w:t>
      </w:r>
      <w:r>
        <w:rPr>
          <w:rFonts w:ascii="Arial" w:hAnsi="Arial" w:cs="Arial"/>
        </w:rPr>
        <w:t xml:space="preserve"> za katere FURS pobira dajatve: </w:t>
      </w:r>
      <w:r w:rsidRPr="00913AAB">
        <w:rPr>
          <w:rFonts w:ascii="Arial" w:hAnsi="Arial" w:cs="Arial"/>
        </w:rPr>
        <w:t>proračun</w:t>
      </w:r>
      <w:r>
        <w:rPr>
          <w:rFonts w:ascii="Arial" w:hAnsi="Arial" w:cs="Arial"/>
        </w:rPr>
        <w:t xml:space="preserve"> države, Zavod </w:t>
      </w:r>
      <w:r w:rsidRPr="00913AAB">
        <w:rPr>
          <w:rFonts w:ascii="Arial" w:hAnsi="Arial" w:cs="Arial"/>
        </w:rPr>
        <w:t>za pokojninsko i</w:t>
      </w:r>
      <w:r>
        <w:rPr>
          <w:rFonts w:ascii="Arial" w:hAnsi="Arial" w:cs="Arial"/>
        </w:rPr>
        <w:t xml:space="preserve">n invalidsko zavarovanje </w:t>
      </w:r>
      <w:r w:rsidRPr="00531C62">
        <w:rPr>
          <w:rFonts w:ascii="Arial" w:hAnsi="Arial" w:cs="Arial"/>
        </w:rPr>
        <w:t>(v nadaljnjem besedilu: ZPIZ)</w:t>
      </w:r>
      <w:r>
        <w:rPr>
          <w:rFonts w:ascii="Arial" w:hAnsi="Arial" w:cs="Arial"/>
        </w:rPr>
        <w:t>, Zavod</w:t>
      </w:r>
      <w:r w:rsidRPr="00913AAB">
        <w:rPr>
          <w:rFonts w:ascii="Arial" w:hAnsi="Arial" w:cs="Arial"/>
        </w:rPr>
        <w:t xml:space="preserve"> za zdravstven</w:t>
      </w:r>
      <w:r>
        <w:rPr>
          <w:rFonts w:ascii="Arial" w:hAnsi="Arial" w:cs="Arial"/>
        </w:rPr>
        <w:t>o zavarovanje</w:t>
      </w:r>
      <w:r w:rsidR="00F8041D">
        <w:rPr>
          <w:rFonts w:ascii="Arial" w:hAnsi="Arial" w:cs="Arial"/>
        </w:rPr>
        <w:t xml:space="preserve"> </w:t>
      </w:r>
      <w:r w:rsidRPr="00531C62">
        <w:rPr>
          <w:rFonts w:ascii="Arial" w:hAnsi="Arial" w:cs="Arial"/>
        </w:rPr>
        <w:t>(v nadaljnjem besedilu: ZZ</w:t>
      </w:r>
      <w:r>
        <w:rPr>
          <w:rFonts w:ascii="Arial" w:hAnsi="Arial" w:cs="Arial"/>
        </w:rPr>
        <w:t>ZS</w:t>
      </w:r>
      <w:r w:rsidRPr="00531C62">
        <w:rPr>
          <w:rFonts w:ascii="Arial" w:hAnsi="Arial" w:cs="Arial"/>
        </w:rPr>
        <w:t>)</w:t>
      </w:r>
      <w:r>
        <w:rPr>
          <w:rFonts w:ascii="Arial" w:hAnsi="Arial" w:cs="Arial"/>
        </w:rPr>
        <w:t xml:space="preserve"> in proračune</w:t>
      </w:r>
      <w:r w:rsidRPr="00913AAB">
        <w:rPr>
          <w:rFonts w:ascii="Arial" w:hAnsi="Arial" w:cs="Arial"/>
        </w:rPr>
        <w:t xml:space="preserve"> občin. </w:t>
      </w:r>
    </w:p>
    <w:p w14:paraId="560D4605" w14:textId="77777777" w:rsidR="00D847F2" w:rsidRDefault="00D847F2" w:rsidP="00D847F2">
      <w:pPr>
        <w:pStyle w:val="Pripombabesedilo"/>
        <w:spacing w:line="276" w:lineRule="auto"/>
        <w:rPr>
          <w:rFonts w:ascii="Arial" w:hAnsi="Arial" w:cs="Arial"/>
        </w:rPr>
      </w:pPr>
    </w:p>
    <w:p w14:paraId="56440BA0" w14:textId="4D14D3F1" w:rsidR="00D847F2" w:rsidRPr="00E769B7" w:rsidRDefault="00D847F2" w:rsidP="00D847F2">
      <w:pPr>
        <w:jc w:val="both"/>
        <w:rPr>
          <w:rFonts w:ascii="Arial" w:hAnsi="Arial" w:cs="Arial"/>
          <w:sz w:val="20"/>
          <w:szCs w:val="20"/>
        </w:rPr>
      </w:pPr>
      <w:r w:rsidRPr="009F2DC5">
        <w:rPr>
          <w:rFonts w:ascii="Arial" w:hAnsi="Arial" w:cs="Arial"/>
          <w:sz w:val="20"/>
          <w:szCs w:val="20"/>
        </w:rPr>
        <w:t>V letu 202</w:t>
      </w:r>
      <w:r>
        <w:rPr>
          <w:rFonts w:ascii="Arial" w:hAnsi="Arial" w:cs="Arial"/>
          <w:sz w:val="20"/>
          <w:szCs w:val="20"/>
        </w:rPr>
        <w:t>2</w:t>
      </w:r>
      <w:r w:rsidRPr="009F2DC5">
        <w:rPr>
          <w:rFonts w:ascii="Arial" w:hAnsi="Arial" w:cs="Arial"/>
          <w:sz w:val="20"/>
          <w:szCs w:val="20"/>
        </w:rPr>
        <w:t xml:space="preserve"> je FURS pobral </w:t>
      </w:r>
      <w:r w:rsidRPr="0034717D">
        <w:rPr>
          <w:rFonts w:ascii="Arial" w:hAnsi="Arial" w:cs="Arial"/>
          <w:sz w:val="20"/>
          <w:szCs w:val="20"/>
        </w:rPr>
        <w:t xml:space="preserve">neto 21.038.828.085 EUR </w:t>
      </w:r>
      <w:r w:rsidRPr="009F2DC5">
        <w:rPr>
          <w:rFonts w:ascii="Arial" w:hAnsi="Arial" w:cs="Arial"/>
          <w:sz w:val="20"/>
          <w:szCs w:val="20"/>
        </w:rPr>
        <w:t xml:space="preserve">prihodkov za vse štiri </w:t>
      </w:r>
      <w:r w:rsidRPr="00E769B7">
        <w:rPr>
          <w:rFonts w:ascii="Arial" w:hAnsi="Arial" w:cs="Arial"/>
          <w:sz w:val="20"/>
          <w:szCs w:val="20"/>
        </w:rPr>
        <w:t>blagajne javnega financiranja, kar je za 1.833.334.101 EUR oziroma 9,5 odstotk</w:t>
      </w:r>
      <w:r w:rsidR="00FB3A6B">
        <w:rPr>
          <w:rFonts w:ascii="Arial" w:hAnsi="Arial" w:cs="Arial"/>
          <w:sz w:val="20"/>
          <w:szCs w:val="20"/>
        </w:rPr>
        <w:t>a</w:t>
      </w:r>
      <w:r w:rsidRPr="00E769B7">
        <w:rPr>
          <w:rFonts w:ascii="Arial" w:hAnsi="Arial" w:cs="Arial"/>
          <w:sz w:val="20"/>
          <w:szCs w:val="20"/>
        </w:rPr>
        <w:t xml:space="preserve"> več kot v letu 2021. </w:t>
      </w:r>
      <w:r w:rsidRPr="00C131FE">
        <w:rPr>
          <w:rFonts w:ascii="Arial" w:hAnsi="Arial" w:cs="Arial"/>
          <w:sz w:val="20"/>
          <w:szCs w:val="20"/>
        </w:rPr>
        <w:t xml:space="preserve">Po letu 2020, ki </w:t>
      </w:r>
      <w:r w:rsidR="00774288">
        <w:rPr>
          <w:rFonts w:ascii="Arial" w:hAnsi="Arial" w:cs="Arial"/>
          <w:sz w:val="20"/>
          <w:szCs w:val="20"/>
        </w:rPr>
        <w:t xml:space="preserve">sta </w:t>
      </w:r>
      <w:r w:rsidRPr="00C131FE">
        <w:rPr>
          <w:rFonts w:ascii="Arial" w:hAnsi="Arial" w:cs="Arial"/>
          <w:sz w:val="20"/>
          <w:szCs w:val="20"/>
        </w:rPr>
        <w:t xml:space="preserve">ga zaznamovala epidemija </w:t>
      </w:r>
      <w:r w:rsidR="00774288">
        <w:rPr>
          <w:rFonts w:ascii="Arial" w:hAnsi="Arial" w:cs="Arial"/>
          <w:sz w:val="20"/>
          <w:szCs w:val="20"/>
        </w:rPr>
        <w:t>covida</w:t>
      </w:r>
      <w:r w:rsidRPr="00C131FE">
        <w:rPr>
          <w:rFonts w:ascii="Arial" w:hAnsi="Arial" w:cs="Arial"/>
          <w:sz w:val="20"/>
          <w:szCs w:val="20"/>
        </w:rPr>
        <w:t xml:space="preserve">-19 in </w:t>
      </w:r>
      <w:r w:rsidR="00774288">
        <w:rPr>
          <w:rFonts w:ascii="Arial" w:hAnsi="Arial" w:cs="Arial"/>
          <w:sz w:val="20"/>
          <w:szCs w:val="20"/>
        </w:rPr>
        <w:t xml:space="preserve">zaradi tega tudi </w:t>
      </w:r>
      <w:r w:rsidRPr="00C131FE">
        <w:rPr>
          <w:rFonts w:ascii="Arial" w:hAnsi="Arial" w:cs="Arial"/>
          <w:sz w:val="20"/>
          <w:szCs w:val="20"/>
        </w:rPr>
        <w:t>zmanjšanje pobranih prihodkov, se je že v letu 2021 trend obrnil in pobrani prihodki so občutno presegli prihodke iz predkoronskega leta 2019. Podobno je tudi leto 2022 zaznamovala rast pobranih prihodkov</w:t>
      </w:r>
      <w:r>
        <w:rPr>
          <w:rFonts w:ascii="Arial" w:hAnsi="Arial" w:cs="Arial"/>
          <w:sz w:val="20"/>
          <w:szCs w:val="20"/>
        </w:rPr>
        <w:t>. Z</w:t>
      </w:r>
      <w:r w:rsidRPr="00E769B7">
        <w:rPr>
          <w:rFonts w:ascii="Arial" w:hAnsi="Arial" w:cs="Arial"/>
          <w:sz w:val="20"/>
          <w:szCs w:val="20"/>
        </w:rPr>
        <w:t>viševanj</w:t>
      </w:r>
      <w:r>
        <w:rPr>
          <w:rFonts w:ascii="Arial" w:hAnsi="Arial" w:cs="Arial"/>
          <w:sz w:val="20"/>
          <w:szCs w:val="20"/>
        </w:rPr>
        <w:t>e</w:t>
      </w:r>
      <w:r w:rsidRPr="00E769B7">
        <w:rPr>
          <w:rFonts w:ascii="Arial" w:hAnsi="Arial" w:cs="Arial"/>
          <w:sz w:val="20"/>
          <w:szCs w:val="20"/>
        </w:rPr>
        <w:t xml:space="preserve"> pobranih prihodkov se z izjemo »</w:t>
      </w:r>
      <w:proofErr w:type="spellStart"/>
      <w:r w:rsidRPr="00E769B7">
        <w:rPr>
          <w:rFonts w:ascii="Arial" w:hAnsi="Arial" w:cs="Arial"/>
          <w:sz w:val="20"/>
          <w:szCs w:val="20"/>
        </w:rPr>
        <w:t>kovidnega</w:t>
      </w:r>
      <w:proofErr w:type="spellEnd"/>
      <w:r w:rsidRPr="00E769B7">
        <w:rPr>
          <w:rFonts w:ascii="Arial" w:hAnsi="Arial" w:cs="Arial"/>
          <w:sz w:val="20"/>
          <w:szCs w:val="20"/>
        </w:rPr>
        <w:t>« leta 2020 nadaljuje že devet let</w:t>
      </w:r>
      <w:r>
        <w:rPr>
          <w:rFonts w:ascii="Arial" w:hAnsi="Arial" w:cs="Arial"/>
          <w:sz w:val="20"/>
          <w:szCs w:val="20"/>
        </w:rPr>
        <w:t>.</w:t>
      </w:r>
      <w:r w:rsidRPr="00E769B7">
        <w:rPr>
          <w:rFonts w:ascii="Arial" w:hAnsi="Arial" w:cs="Arial"/>
          <w:sz w:val="20"/>
          <w:szCs w:val="20"/>
        </w:rPr>
        <w:t xml:space="preserve"> </w:t>
      </w:r>
      <w:r>
        <w:rPr>
          <w:rFonts w:ascii="Arial" w:hAnsi="Arial" w:cs="Arial"/>
          <w:sz w:val="20"/>
          <w:szCs w:val="20"/>
        </w:rPr>
        <w:t>O</w:t>
      </w:r>
      <w:r w:rsidRPr="00E769B7">
        <w:rPr>
          <w:rFonts w:ascii="Arial" w:hAnsi="Arial" w:cs="Arial"/>
          <w:sz w:val="20"/>
          <w:szCs w:val="20"/>
        </w:rPr>
        <w:t>d ustanovitve FURS v letu 2014 skupni prirast prihodkov znaša 7.437.741.938 EUR oziroma 54,6 odstotka.</w:t>
      </w:r>
    </w:p>
    <w:p w14:paraId="0B7EE2DA" w14:textId="1481DF0D" w:rsidR="00D847F2" w:rsidRDefault="00D847F2" w:rsidP="00D847F2">
      <w:pPr>
        <w:jc w:val="both"/>
        <w:rPr>
          <w:rFonts w:ascii="Arial" w:hAnsi="Arial" w:cs="Arial"/>
          <w:sz w:val="20"/>
          <w:szCs w:val="20"/>
        </w:rPr>
      </w:pPr>
      <w:r w:rsidRPr="00C31D3D">
        <w:rPr>
          <w:rFonts w:ascii="Arial" w:hAnsi="Arial" w:cs="Arial"/>
          <w:sz w:val="20"/>
          <w:szCs w:val="20"/>
        </w:rPr>
        <w:t xml:space="preserve">V letu 2022 se je nadaljeval vpliv interventne zakonodaje, vendar so bili učinki na prihodke manjši kot v preteklih dveh letih, saj se zneski zapadlosti obročnih in odloženih terjatev postopoma znižujejo, v letu 2023 pa </w:t>
      </w:r>
      <w:r w:rsidRPr="00094CA5">
        <w:rPr>
          <w:rFonts w:ascii="Arial" w:hAnsi="Arial" w:cs="Arial"/>
          <w:sz w:val="20"/>
          <w:szCs w:val="20"/>
        </w:rPr>
        <w:t>se bodo v celoti iztekli. Zaradi odobritve plačilnih ugodnosti v skupnem znesku 472 mio EUR, in sicer po 7. členu Zakona o interventnih ukrepih na javnofinančnem področju (</w:t>
      </w:r>
      <w:r>
        <w:rPr>
          <w:rFonts w:ascii="Arial" w:hAnsi="Arial" w:cs="Arial"/>
          <w:sz w:val="20"/>
          <w:szCs w:val="20"/>
        </w:rPr>
        <w:t xml:space="preserve">v nadaljnjem besedilu: </w:t>
      </w:r>
      <w:r w:rsidRPr="00094CA5">
        <w:rPr>
          <w:rFonts w:ascii="Arial" w:hAnsi="Arial" w:cs="Arial"/>
          <w:sz w:val="20"/>
          <w:szCs w:val="20"/>
        </w:rPr>
        <w:t>ZIUJP)</w:t>
      </w:r>
      <w:r w:rsidRPr="00094CA5">
        <w:rPr>
          <w:rStyle w:val="Sprotnaopomba-sklic"/>
          <w:rFonts w:ascii="Arial" w:hAnsi="Arial" w:cs="Arial"/>
          <w:sz w:val="20"/>
          <w:szCs w:val="20"/>
        </w:rPr>
        <w:footnoteReference w:id="1"/>
      </w:r>
      <w:r w:rsidRPr="00094CA5">
        <w:rPr>
          <w:rFonts w:ascii="Arial" w:hAnsi="Arial" w:cs="Arial"/>
          <w:sz w:val="20"/>
          <w:szCs w:val="20"/>
        </w:rPr>
        <w:t xml:space="preserve"> in 67. členu Zakona o interventnih ukrepih za omilitev posledic drugega vala epidemije COVID-19 (</w:t>
      </w:r>
      <w:r>
        <w:rPr>
          <w:rFonts w:ascii="Arial" w:hAnsi="Arial" w:cs="Arial"/>
          <w:sz w:val="20"/>
          <w:szCs w:val="20"/>
        </w:rPr>
        <w:t xml:space="preserve">v nadaljnjem besedilu: </w:t>
      </w:r>
      <w:r w:rsidRPr="00094CA5">
        <w:rPr>
          <w:rFonts w:ascii="Arial" w:hAnsi="Arial" w:cs="Arial"/>
          <w:sz w:val="20"/>
          <w:szCs w:val="20"/>
        </w:rPr>
        <w:t>ZIUOPDVE)</w:t>
      </w:r>
      <w:r w:rsidRPr="00094CA5">
        <w:rPr>
          <w:rStyle w:val="Sprotnaopomba-sklic"/>
          <w:rFonts w:ascii="Arial" w:hAnsi="Arial" w:cs="Arial"/>
          <w:sz w:val="20"/>
          <w:szCs w:val="20"/>
        </w:rPr>
        <w:footnoteReference w:id="2"/>
      </w:r>
      <w:r w:rsidRPr="00094CA5">
        <w:rPr>
          <w:rFonts w:ascii="Arial" w:hAnsi="Arial" w:cs="Arial"/>
          <w:sz w:val="20"/>
          <w:szCs w:val="20"/>
        </w:rPr>
        <w:t>, je bilo v letu 2022 plačanih za 82.805.481</w:t>
      </w:r>
      <w:r w:rsidR="009922FF" w:rsidRPr="00094CA5">
        <w:rPr>
          <w:rFonts w:ascii="Arial" w:hAnsi="Arial" w:cs="Arial"/>
          <w:sz w:val="20"/>
          <w:szCs w:val="20"/>
        </w:rPr>
        <w:t> EUR</w:t>
      </w:r>
      <w:r w:rsidRPr="00094CA5">
        <w:rPr>
          <w:rFonts w:ascii="Arial" w:hAnsi="Arial" w:cs="Arial"/>
          <w:sz w:val="20"/>
          <w:szCs w:val="20"/>
        </w:rPr>
        <w:t xml:space="preserve"> odloženih terjatev, v letu 2023 pa jih v plačilo zapade še</w:t>
      </w:r>
      <w:r w:rsidRPr="00C31D3D">
        <w:rPr>
          <w:rFonts w:ascii="Arial" w:hAnsi="Arial" w:cs="Arial"/>
          <w:sz w:val="20"/>
          <w:szCs w:val="20"/>
        </w:rPr>
        <w:t xml:space="preserve"> </w:t>
      </w:r>
      <w:r w:rsidR="00774288">
        <w:rPr>
          <w:rFonts w:ascii="Arial" w:hAnsi="Arial" w:cs="Arial"/>
          <w:sz w:val="20"/>
          <w:szCs w:val="20"/>
        </w:rPr>
        <w:t xml:space="preserve">za </w:t>
      </w:r>
      <w:r w:rsidRPr="00C31D3D">
        <w:rPr>
          <w:rFonts w:ascii="Arial" w:hAnsi="Arial" w:cs="Arial"/>
          <w:sz w:val="20"/>
          <w:szCs w:val="20"/>
        </w:rPr>
        <w:t>17.099.712</w:t>
      </w:r>
      <w:r w:rsidR="009922FF" w:rsidRPr="00C31D3D">
        <w:rPr>
          <w:rFonts w:ascii="Arial" w:hAnsi="Arial" w:cs="Arial"/>
          <w:sz w:val="20"/>
          <w:szCs w:val="20"/>
        </w:rPr>
        <w:t> EUR</w:t>
      </w:r>
      <w:r w:rsidRPr="00C31D3D">
        <w:rPr>
          <w:rFonts w:ascii="Arial" w:hAnsi="Arial" w:cs="Arial"/>
          <w:sz w:val="20"/>
          <w:szCs w:val="20"/>
        </w:rPr>
        <w:t>.</w:t>
      </w:r>
    </w:p>
    <w:p w14:paraId="1DD183FD" w14:textId="768738E7" w:rsidR="00D847F2" w:rsidRDefault="00D847F2" w:rsidP="00D847F2">
      <w:pPr>
        <w:jc w:val="both"/>
        <w:rPr>
          <w:rFonts w:ascii="Arial" w:hAnsi="Arial" w:cs="Arial"/>
          <w:sz w:val="20"/>
          <w:szCs w:val="20"/>
        </w:rPr>
      </w:pPr>
      <w:r>
        <w:rPr>
          <w:rFonts w:ascii="Arial" w:hAnsi="Arial" w:cs="Arial"/>
          <w:sz w:val="20"/>
          <w:szCs w:val="20"/>
        </w:rPr>
        <w:t>N</w:t>
      </w:r>
      <w:r w:rsidRPr="006374C2">
        <w:rPr>
          <w:rFonts w:ascii="Arial" w:hAnsi="Arial" w:cs="Arial"/>
          <w:sz w:val="20"/>
          <w:szCs w:val="20"/>
        </w:rPr>
        <w:t xml:space="preserve">a dan 31. </w:t>
      </w:r>
      <w:r w:rsidR="000E7DDB">
        <w:rPr>
          <w:rFonts w:ascii="Arial" w:hAnsi="Arial" w:cs="Arial"/>
          <w:sz w:val="20"/>
          <w:szCs w:val="20"/>
        </w:rPr>
        <w:t>december</w:t>
      </w:r>
      <w:r w:rsidRPr="006374C2">
        <w:rPr>
          <w:rFonts w:ascii="Arial" w:hAnsi="Arial" w:cs="Arial"/>
          <w:sz w:val="20"/>
          <w:szCs w:val="20"/>
        </w:rPr>
        <w:t xml:space="preserve"> 2022 je znašal davčni dolg za vse blagajne javnega financiranja 896.349.990</w:t>
      </w:r>
      <w:r w:rsidR="009922FF" w:rsidRPr="006374C2">
        <w:rPr>
          <w:rFonts w:ascii="Arial" w:hAnsi="Arial" w:cs="Arial"/>
          <w:sz w:val="20"/>
          <w:szCs w:val="20"/>
        </w:rPr>
        <w:t> EUR</w:t>
      </w:r>
      <w:r w:rsidR="003326E1">
        <w:rPr>
          <w:rFonts w:ascii="Arial" w:hAnsi="Arial" w:cs="Arial"/>
          <w:sz w:val="20"/>
          <w:szCs w:val="20"/>
        </w:rPr>
        <w:t>.</w:t>
      </w:r>
      <w:r w:rsidRPr="006374C2">
        <w:rPr>
          <w:rStyle w:val="Sprotnaopomba-sklic"/>
          <w:rFonts w:ascii="Arial" w:hAnsi="Arial" w:cs="Arial"/>
          <w:sz w:val="20"/>
          <w:szCs w:val="20"/>
        </w:rPr>
        <w:footnoteReference w:id="3"/>
      </w:r>
      <w:r w:rsidRPr="006374C2">
        <w:rPr>
          <w:rFonts w:ascii="Arial" w:hAnsi="Arial" w:cs="Arial"/>
          <w:sz w:val="20"/>
          <w:szCs w:val="20"/>
        </w:rPr>
        <w:t xml:space="preserve"> V letu 2022 se je davčni dolg znižal za 22.157.984</w:t>
      </w:r>
      <w:r w:rsidR="009922FF" w:rsidRPr="006374C2">
        <w:rPr>
          <w:rFonts w:ascii="Arial" w:hAnsi="Arial" w:cs="Arial"/>
          <w:sz w:val="20"/>
          <w:szCs w:val="20"/>
        </w:rPr>
        <w:t> EUR</w:t>
      </w:r>
      <w:r w:rsidRPr="006374C2">
        <w:rPr>
          <w:rFonts w:ascii="Arial" w:hAnsi="Arial" w:cs="Arial"/>
          <w:sz w:val="20"/>
          <w:szCs w:val="20"/>
        </w:rPr>
        <w:t xml:space="preserve"> oziroma 2,4 odstotka. </w:t>
      </w:r>
      <w:r>
        <w:rPr>
          <w:rFonts w:ascii="Arial" w:hAnsi="Arial" w:cs="Arial"/>
          <w:sz w:val="20"/>
          <w:szCs w:val="20"/>
        </w:rPr>
        <w:t>Z</w:t>
      </w:r>
      <w:r w:rsidRPr="006374C2">
        <w:rPr>
          <w:rFonts w:ascii="Arial" w:hAnsi="Arial" w:cs="Arial"/>
          <w:sz w:val="20"/>
          <w:szCs w:val="20"/>
        </w:rPr>
        <w:t>niževanj</w:t>
      </w:r>
      <w:r>
        <w:rPr>
          <w:rFonts w:ascii="Arial" w:hAnsi="Arial" w:cs="Arial"/>
          <w:sz w:val="20"/>
          <w:szCs w:val="20"/>
        </w:rPr>
        <w:t>e</w:t>
      </w:r>
      <w:r w:rsidRPr="006374C2">
        <w:rPr>
          <w:rFonts w:ascii="Arial" w:hAnsi="Arial" w:cs="Arial"/>
          <w:sz w:val="20"/>
          <w:szCs w:val="20"/>
        </w:rPr>
        <w:t xml:space="preserve"> davčnega dolga se nadaljuje že devet let, od ustanovitve FURS v letu 2014, saj se je skupaj znižal za 601.475.383</w:t>
      </w:r>
      <w:r w:rsidR="009922FF" w:rsidRPr="006374C2">
        <w:rPr>
          <w:rFonts w:ascii="Arial" w:hAnsi="Arial" w:cs="Arial"/>
          <w:sz w:val="20"/>
          <w:szCs w:val="20"/>
        </w:rPr>
        <w:t> EUR</w:t>
      </w:r>
      <w:r w:rsidRPr="006374C2">
        <w:rPr>
          <w:rFonts w:ascii="Arial" w:hAnsi="Arial" w:cs="Arial"/>
          <w:sz w:val="20"/>
          <w:szCs w:val="20"/>
        </w:rPr>
        <w:t xml:space="preserve"> oziroma 40,2 odstotka.</w:t>
      </w:r>
    </w:p>
    <w:bookmarkEnd w:id="0"/>
    <w:p w14:paraId="09C13CA2" w14:textId="134A3DE5" w:rsidR="00D847F2" w:rsidRDefault="00D847F2" w:rsidP="00D847F2">
      <w:pPr>
        <w:jc w:val="both"/>
        <w:rPr>
          <w:rFonts w:ascii="Arial" w:hAnsi="Arial" w:cs="Arial"/>
          <w:sz w:val="20"/>
          <w:szCs w:val="20"/>
        </w:rPr>
      </w:pPr>
      <w:r w:rsidRPr="00291B2B">
        <w:rPr>
          <w:rFonts w:ascii="Arial" w:hAnsi="Arial" w:cs="Arial"/>
          <w:sz w:val="20"/>
          <w:szCs w:val="20"/>
        </w:rPr>
        <w:t>Pri spremljanju gibanja davčnega dolga</w:t>
      </w:r>
      <w:r w:rsidRPr="00664750">
        <w:rPr>
          <w:rFonts w:ascii="Arial" w:hAnsi="Arial" w:cs="Arial"/>
          <w:sz w:val="20"/>
          <w:szCs w:val="20"/>
        </w:rPr>
        <w:t xml:space="preserve"> je poleg znižanja absolutnega zneska davčnega dolga v primerjavi s predhodnim obdobjem treba upoštevati tudi gibanje deleža dolga glede na letno pobrane javnofinančne prihodke FURS</w:t>
      </w:r>
      <w:r w:rsidRPr="006374C2">
        <w:rPr>
          <w:rFonts w:ascii="Arial" w:hAnsi="Arial" w:cs="Arial"/>
          <w:sz w:val="20"/>
          <w:szCs w:val="20"/>
        </w:rPr>
        <w:t xml:space="preserve">. Delež davčnega </w:t>
      </w:r>
      <w:r w:rsidRPr="007F34ED">
        <w:rPr>
          <w:rFonts w:ascii="Arial" w:hAnsi="Arial" w:cs="Arial"/>
          <w:sz w:val="20"/>
          <w:szCs w:val="20"/>
        </w:rPr>
        <w:t>dolga za vse javnofinančne blagajne v vseh letno pobranih javnofinančnih prihodkih FURS je v letu 2022 zdrsnil na 4,3 odstotka, v letu 2014, ko je bil ustanovljen FURS, je znašal 10,4 odstotka</w:t>
      </w:r>
      <w:r>
        <w:rPr>
          <w:rFonts w:ascii="Arial" w:hAnsi="Arial" w:cs="Arial"/>
          <w:sz w:val="20"/>
          <w:szCs w:val="20"/>
        </w:rPr>
        <w:t xml:space="preserve">. </w:t>
      </w:r>
    </w:p>
    <w:p w14:paraId="553FBD69" w14:textId="77777777" w:rsidR="00D847F2" w:rsidRDefault="00D847F2" w:rsidP="00D847F2">
      <w:pPr>
        <w:jc w:val="both"/>
        <w:rPr>
          <w:rFonts w:ascii="Arial" w:hAnsi="Arial" w:cs="Arial"/>
          <w:sz w:val="20"/>
          <w:szCs w:val="20"/>
        </w:rPr>
      </w:pPr>
    </w:p>
    <w:p w14:paraId="09524595" w14:textId="77777777" w:rsidR="00D847F2" w:rsidRDefault="00D847F2" w:rsidP="00D847F2">
      <w:pPr>
        <w:jc w:val="both"/>
        <w:rPr>
          <w:rFonts w:ascii="Arial" w:hAnsi="Arial" w:cs="Arial"/>
          <w:sz w:val="20"/>
          <w:szCs w:val="20"/>
        </w:rPr>
      </w:pPr>
    </w:p>
    <w:p w14:paraId="34440FD7" w14:textId="77777777" w:rsidR="00D847F2" w:rsidRDefault="00D847F2" w:rsidP="00D847F2">
      <w:pPr>
        <w:jc w:val="both"/>
        <w:rPr>
          <w:rFonts w:ascii="Arial" w:hAnsi="Arial" w:cs="Arial"/>
          <w:sz w:val="20"/>
          <w:szCs w:val="20"/>
        </w:rPr>
      </w:pPr>
    </w:p>
    <w:p w14:paraId="3220731D" w14:textId="77777777" w:rsidR="00D847F2" w:rsidRPr="00C565B6" w:rsidRDefault="00D847F2" w:rsidP="00D847F2">
      <w:pPr>
        <w:jc w:val="both"/>
        <w:rPr>
          <w:rFonts w:ascii="Arial" w:hAnsi="Arial" w:cs="Arial"/>
          <w:sz w:val="20"/>
          <w:szCs w:val="20"/>
        </w:rPr>
      </w:pPr>
    </w:p>
    <w:p w14:paraId="21ECE85E" w14:textId="77777777" w:rsidR="00D847F2" w:rsidRDefault="00D847F2" w:rsidP="00D847F2">
      <w:pPr>
        <w:jc w:val="both"/>
        <w:rPr>
          <w:rFonts w:ascii="Arial" w:hAnsi="Arial" w:cs="Arial"/>
          <w:sz w:val="20"/>
          <w:szCs w:val="20"/>
        </w:rPr>
      </w:pPr>
      <w:bookmarkStart w:id="2" w:name="_Hlk129329172"/>
      <w:r w:rsidRPr="001715DF">
        <w:rPr>
          <w:rFonts w:ascii="Arial" w:hAnsi="Arial" w:cs="Arial"/>
          <w:sz w:val="20"/>
          <w:szCs w:val="20"/>
        </w:rPr>
        <w:t>Slika</w:t>
      </w:r>
      <w:r>
        <w:rPr>
          <w:rFonts w:ascii="Arial" w:hAnsi="Arial" w:cs="Arial"/>
          <w:sz w:val="20"/>
          <w:szCs w:val="20"/>
        </w:rPr>
        <w:t xml:space="preserve"> 1</w:t>
      </w:r>
      <w:r w:rsidRPr="001715DF">
        <w:rPr>
          <w:rFonts w:ascii="Arial" w:hAnsi="Arial" w:cs="Arial"/>
          <w:sz w:val="20"/>
          <w:szCs w:val="20"/>
        </w:rPr>
        <w:t>:</w:t>
      </w:r>
      <w:r>
        <w:rPr>
          <w:rFonts w:ascii="Arial" w:hAnsi="Arial" w:cs="Arial"/>
          <w:sz w:val="20"/>
          <w:szCs w:val="20"/>
        </w:rPr>
        <w:t xml:space="preserve"> Gibanje </w:t>
      </w:r>
      <w:r w:rsidRPr="001715DF">
        <w:rPr>
          <w:rFonts w:ascii="Arial" w:hAnsi="Arial" w:cs="Arial"/>
          <w:sz w:val="20"/>
          <w:szCs w:val="20"/>
        </w:rPr>
        <w:t xml:space="preserve">javnofinančnih prihodkov in </w:t>
      </w:r>
      <w:r>
        <w:rPr>
          <w:rFonts w:ascii="Arial" w:hAnsi="Arial" w:cs="Arial"/>
          <w:sz w:val="20"/>
          <w:szCs w:val="20"/>
        </w:rPr>
        <w:t>d</w:t>
      </w:r>
      <w:r w:rsidRPr="001715DF">
        <w:rPr>
          <w:rFonts w:ascii="Arial" w:hAnsi="Arial" w:cs="Arial"/>
          <w:sz w:val="20"/>
          <w:szCs w:val="20"/>
        </w:rPr>
        <w:t>avčnega dolga od leta 2015</w:t>
      </w:r>
      <w:r>
        <w:rPr>
          <w:rFonts w:ascii="Arial" w:hAnsi="Arial" w:cs="Arial"/>
          <w:sz w:val="20"/>
          <w:szCs w:val="20"/>
        </w:rPr>
        <w:t xml:space="preserve"> do 2022</w:t>
      </w:r>
    </w:p>
    <w:p w14:paraId="189B26E8" w14:textId="77777777" w:rsidR="00D847F2" w:rsidRDefault="00D847F2" w:rsidP="00D847F2">
      <w:pPr>
        <w:jc w:val="both"/>
        <w:rPr>
          <w:rFonts w:ascii="Arial" w:hAnsi="Arial" w:cs="Arial"/>
          <w:sz w:val="20"/>
          <w:szCs w:val="20"/>
        </w:rPr>
      </w:pPr>
      <w:r>
        <w:rPr>
          <w:noProof/>
          <w:lang w:eastAsia="sl-SI"/>
        </w:rPr>
        <w:drawing>
          <wp:inline distT="0" distB="0" distL="0" distR="0" wp14:anchorId="3049FBB2" wp14:editId="2149B62E">
            <wp:extent cx="5137490" cy="204480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9658" cy="2057603"/>
                    </a:xfrm>
                    <a:prstGeom prst="rect">
                      <a:avLst/>
                    </a:prstGeom>
                  </pic:spPr>
                </pic:pic>
              </a:graphicData>
            </a:graphic>
          </wp:inline>
        </w:drawing>
      </w:r>
    </w:p>
    <w:p w14:paraId="13305412" w14:textId="76FC64E6" w:rsidR="00D847F2" w:rsidRPr="003B3C02" w:rsidRDefault="00D847F2" w:rsidP="00D847F2">
      <w:pPr>
        <w:rPr>
          <w:rFonts w:ascii="Arial" w:hAnsi="Arial" w:cs="Arial"/>
          <w:i/>
          <w:sz w:val="20"/>
          <w:szCs w:val="20"/>
        </w:rPr>
      </w:pPr>
      <w:r w:rsidRPr="003B3C02">
        <w:rPr>
          <w:rFonts w:ascii="Arial" w:hAnsi="Arial" w:cs="Arial"/>
          <w:i/>
          <w:sz w:val="20"/>
          <w:szCs w:val="20"/>
        </w:rPr>
        <w:t>Vir: FURS</w:t>
      </w:r>
      <w:r w:rsidR="003326E1">
        <w:rPr>
          <w:rFonts w:ascii="Arial" w:hAnsi="Arial" w:cs="Arial"/>
          <w:i/>
          <w:sz w:val="20"/>
          <w:szCs w:val="20"/>
        </w:rPr>
        <w:t>.</w:t>
      </w:r>
    </w:p>
    <w:p w14:paraId="4015FC73" w14:textId="3B1798C0" w:rsidR="00D847F2" w:rsidRPr="009861E4" w:rsidRDefault="00D847F2" w:rsidP="00D847F2">
      <w:pPr>
        <w:jc w:val="both"/>
        <w:rPr>
          <w:rFonts w:ascii="Arial" w:hAnsi="Arial" w:cs="Arial"/>
          <w:color w:val="FF0000"/>
          <w:sz w:val="20"/>
          <w:szCs w:val="20"/>
        </w:rPr>
      </w:pPr>
      <w:bookmarkStart w:id="3" w:name="_Hlk141855111"/>
      <w:bookmarkStart w:id="4" w:name="_Hlk129329502"/>
      <w:bookmarkEnd w:id="2"/>
      <w:r w:rsidRPr="005D3225">
        <w:rPr>
          <w:rFonts w:ascii="Arial" w:hAnsi="Arial" w:cs="Arial"/>
          <w:sz w:val="20"/>
          <w:szCs w:val="20"/>
        </w:rPr>
        <w:t>Če se v povezavi z obravnavo zaključnega računa osredotočimo samo na dolg</w:t>
      </w:r>
      <w:r>
        <w:rPr>
          <w:rFonts w:ascii="Arial" w:hAnsi="Arial" w:cs="Arial"/>
          <w:sz w:val="20"/>
          <w:szCs w:val="20"/>
        </w:rPr>
        <w:t>, nastal</w:t>
      </w:r>
      <w:r w:rsidR="003326E1">
        <w:rPr>
          <w:rFonts w:ascii="Arial" w:hAnsi="Arial" w:cs="Arial"/>
          <w:sz w:val="20"/>
          <w:szCs w:val="20"/>
        </w:rPr>
        <w:t>i</w:t>
      </w:r>
      <w:r>
        <w:rPr>
          <w:rFonts w:ascii="Arial" w:hAnsi="Arial" w:cs="Arial"/>
          <w:sz w:val="20"/>
          <w:szCs w:val="20"/>
        </w:rPr>
        <w:t xml:space="preserve"> in zapadl</w:t>
      </w:r>
      <w:r w:rsidR="003326E1">
        <w:rPr>
          <w:rFonts w:ascii="Arial" w:hAnsi="Arial" w:cs="Arial"/>
          <w:sz w:val="20"/>
          <w:szCs w:val="20"/>
        </w:rPr>
        <w:t>i</w:t>
      </w:r>
      <w:r w:rsidR="00992912">
        <w:rPr>
          <w:rFonts w:ascii="Arial" w:hAnsi="Arial" w:cs="Arial"/>
          <w:sz w:val="20"/>
          <w:szCs w:val="20"/>
        </w:rPr>
        <w:t xml:space="preserve"> </w:t>
      </w:r>
      <w:r w:rsidRPr="005D3225">
        <w:rPr>
          <w:rFonts w:ascii="Arial" w:hAnsi="Arial" w:cs="Arial"/>
          <w:sz w:val="20"/>
          <w:szCs w:val="20"/>
        </w:rPr>
        <w:t xml:space="preserve">v letu 2022, je po stanju 31. </w:t>
      </w:r>
      <w:r w:rsidR="000E7DDB">
        <w:rPr>
          <w:rFonts w:ascii="Arial" w:hAnsi="Arial" w:cs="Arial"/>
          <w:sz w:val="20"/>
          <w:szCs w:val="20"/>
        </w:rPr>
        <w:t>decembra</w:t>
      </w:r>
      <w:r w:rsidRPr="005D3225">
        <w:rPr>
          <w:rFonts w:ascii="Arial" w:hAnsi="Arial" w:cs="Arial"/>
          <w:sz w:val="20"/>
          <w:szCs w:val="20"/>
        </w:rPr>
        <w:t xml:space="preserve"> 2022 znašal za vse javnofinančne blagajne 207.221.208</w:t>
      </w:r>
      <w:r w:rsidR="009922FF" w:rsidRPr="005D3225">
        <w:rPr>
          <w:rFonts w:ascii="Arial" w:hAnsi="Arial" w:cs="Arial"/>
          <w:sz w:val="20"/>
          <w:szCs w:val="20"/>
        </w:rPr>
        <w:t> EUR</w:t>
      </w:r>
      <w:r w:rsidRPr="005D3225">
        <w:rPr>
          <w:rFonts w:ascii="Arial" w:hAnsi="Arial" w:cs="Arial"/>
          <w:sz w:val="20"/>
          <w:szCs w:val="20"/>
        </w:rPr>
        <w:t xml:space="preserve">. </w:t>
      </w:r>
      <w:r w:rsidRPr="000434D7">
        <w:rPr>
          <w:rFonts w:ascii="Arial" w:hAnsi="Arial" w:cs="Arial"/>
          <w:sz w:val="20"/>
          <w:szCs w:val="20"/>
        </w:rPr>
        <w:t>Ob sestavi tega poročila se je po stanju na dan</w:t>
      </w:r>
      <w:r w:rsidRPr="000434D7">
        <w:rPr>
          <w:rFonts w:ascii="Arial" w:hAnsi="Arial" w:cs="Arial"/>
          <w:color w:val="FF0000"/>
          <w:sz w:val="20"/>
          <w:szCs w:val="20"/>
        </w:rPr>
        <w:t xml:space="preserve"> </w:t>
      </w:r>
      <w:r w:rsidRPr="000434D7">
        <w:rPr>
          <w:rFonts w:ascii="Arial" w:hAnsi="Arial" w:cs="Arial"/>
          <w:sz w:val="20"/>
          <w:szCs w:val="20"/>
        </w:rPr>
        <w:t xml:space="preserve">28. </w:t>
      </w:r>
      <w:r w:rsidR="000E7DDB">
        <w:rPr>
          <w:rFonts w:ascii="Arial" w:hAnsi="Arial" w:cs="Arial"/>
          <w:sz w:val="20"/>
          <w:szCs w:val="20"/>
        </w:rPr>
        <w:t>februar</w:t>
      </w:r>
      <w:r w:rsidRPr="000434D7">
        <w:rPr>
          <w:rFonts w:ascii="Arial" w:hAnsi="Arial" w:cs="Arial"/>
          <w:sz w:val="20"/>
          <w:szCs w:val="20"/>
        </w:rPr>
        <w:t xml:space="preserve"> 2023 v letu 2022 nastali dolg</w:t>
      </w:r>
      <w:r w:rsidRPr="000434D7">
        <w:rPr>
          <w:rFonts w:ascii="Arial" w:hAnsi="Arial" w:cs="Arial"/>
          <w:color w:val="FF0000"/>
          <w:sz w:val="20"/>
          <w:szCs w:val="20"/>
        </w:rPr>
        <w:t xml:space="preserve"> </w:t>
      </w:r>
      <w:r w:rsidRPr="000434D7">
        <w:rPr>
          <w:rFonts w:ascii="Arial" w:hAnsi="Arial" w:cs="Arial"/>
          <w:sz w:val="20"/>
          <w:szCs w:val="20"/>
        </w:rPr>
        <w:t>že znižal na 116.666.312</w:t>
      </w:r>
      <w:r w:rsidR="009922FF">
        <w:rPr>
          <w:rFonts w:ascii="Arial" w:hAnsi="Arial" w:cs="Arial"/>
          <w:sz w:val="20"/>
          <w:szCs w:val="20"/>
        </w:rPr>
        <w:t> EUR</w:t>
      </w:r>
      <w:r w:rsidRPr="000434D7">
        <w:rPr>
          <w:rFonts w:ascii="Arial" w:hAnsi="Arial" w:cs="Arial"/>
          <w:sz w:val="20"/>
          <w:szCs w:val="20"/>
        </w:rPr>
        <w:t>.</w:t>
      </w:r>
      <w:bookmarkEnd w:id="3"/>
      <w:r w:rsidRPr="000434D7">
        <w:rPr>
          <w:rFonts w:ascii="Arial" w:hAnsi="Arial" w:cs="Arial"/>
          <w:sz w:val="20"/>
          <w:szCs w:val="20"/>
        </w:rPr>
        <w:t xml:space="preserve"> Obseg dajatev, plačanih po zapadlosti z do enomesečno zamudo, se giblje od 60 do 80 mio EUR mesečno, hkrati pa so že bili </w:t>
      </w:r>
      <w:r>
        <w:rPr>
          <w:rFonts w:ascii="Arial" w:hAnsi="Arial" w:cs="Arial"/>
          <w:sz w:val="20"/>
          <w:szCs w:val="20"/>
        </w:rPr>
        <w:t>izveden</w:t>
      </w:r>
      <w:r w:rsidRPr="000434D7">
        <w:rPr>
          <w:rFonts w:ascii="Arial" w:hAnsi="Arial" w:cs="Arial"/>
          <w:sz w:val="20"/>
          <w:szCs w:val="20"/>
        </w:rPr>
        <w:t>i dodatni ukrepi izterjave.</w:t>
      </w:r>
      <w:r w:rsidR="00992912">
        <w:rPr>
          <w:rFonts w:ascii="Arial" w:hAnsi="Arial" w:cs="Arial"/>
          <w:color w:val="FF0000"/>
          <w:sz w:val="20"/>
          <w:szCs w:val="20"/>
        </w:rPr>
        <w:t xml:space="preserve"> </w:t>
      </w:r>
    </w:p>
    <w:bookmarkEnd w:id="4"/>
    <w:p w14:paraId="26828D50" w14:textId="77777777" w:rsidR="00D847F2" w:rsidRPr="002B2547" w:rsidRDefault="00D847F2" w:rsidP="00D847F2">
      <w:pPr>
        <w:jc w:val="both"/>
        <w:rPr>
          <w:rFonts w:ascii="Arial" w:hAnsi="Arial" w:cs="Arial"/>
          <w:strike/>
          <w:color w:val="FF0000"/>
          <w:sz w:val="20"/>
          <w:szCs w:val="20"/>
        </w:rPr>
      </w:pPr>
      <w:r w:rsidRPr="002A6C8F">
        <w:rPr>
          <w:rFonts w:ascii="Arial" w:hAnsi="Arial" w:cs="Arial"/>
          <w:sz w:val="20"/>
          <w:szCs w:val="20"/>
        </w:rPr>
        <w:t xml:space="preserve">S ciljem obvladovanja davčnega dolga je FURS izvajal številne ukrepe za spodbujanje prostovoljnega plačevanja in izterjave: opominjanje, pobote obveznosti z zapadlimi terjatvami, unovčitve predloženih zavarovanj, davčno izvršbo, druge zahtevnejše ukrepe uveljavljanja davčnega dolga in predlagal stečaje ali izbrise. </w:t>
      </w:r>
    </w:p>
    <w:p w14:paraId="7973FF1D" w14:textId="5A68D8B6" w:rsidR="00D847F2" w:rsidRDefault="00D847F2" w:rsidP="00D847F2">
      <w:pPr>
        <w:jc w:val="both"/>
        <w:rPr>
          <w:rFonts w:ascii="Arial" w:hAnsi="Arial" w:cs="Arial"/>
          <w:sz w:val="20"/>
          <w:szCs w:val="20"/>
        </w:rPr>
      </w:pPr>
      <w:bookmarkStart w:id="5" w:name="_Hlk38114437"/>
      <w:bookmarkStart w:id="6" w:name="_Hlk129330550"/>
      <w:r w:rsidRPr="00820EDB">
        <w:rPr>
          <w:rFonts w:ascii="Arial" w:hAnsi="Arial" w:cs="Arial"/>
          <w:sz w:val="20"/>
          <w:szCs w:val="20"/>
        </w:rPr>
        <w:t xml:space="preserve">Davčni dolg po stanju 31. </w:t>
      </w:r>
      <w:r w:rsidR="000E7DDB">
        <w:rPr>
          <w:rFonts w:ascii="Arial" w:hAnsi="Arial" w:cs="Arial"/>
          <w:sz w:val="20"/>
          <w:szCs w:val="20"/>
        </w:rPr>
        <w:t>decembra</w:t>
      </w:r>
      <w:r w:rsidRPr="00820EDB">
        <w:rPr>
          <w:rFonts w:ascii="Arial" w:hAnsi="Arial" w:cs="Arial"/>
          <w:sz w:val="20"/>
          <w:szCs w:val="20"/>
        </w:rPr>
        <w:t xml:space="preserve"> 202</w:t>
      </w:r>
      <w:r>
        <w:rPr>
          <w:rFonts w:ascii="Arial" w:hAnsi="Arial" w:cs="Arial"/>
          <w:sz w:val="20"/>
          <w:szCs w:val="20"/>
        </w:rPr>
        <w:t>2</w:t>
      </w:r>
      <w:r w:rsidRPr="00820EDB">
        <w:rPr>
          <w:rFonts w:ascii="Arial" w:hAnsi="Arial" w:cs="Arial"/>
          <w:sz w:val="20"/>
          <w:szCs w:val="20"/>
        </w:rPr>
        <w:t xml:space="preserve"> je glede na možnosti izterjave razdeljen na aktivni dolg v višini </w:t>
      </w:r>
      <w:r w:rsidRPr="00820EDB">
        <w:rPr>
          <w:rFonts w:ascii="Arial" w:hAnsi="Arial" w:cs="Arial"/>
          <w:bCs/>
          <w:sz w:val="20"/>
          <w:szCs w:val="20"/>
        </w:rPr>
        <w:t>43</w:t>
      </w:r>
      <w:r>
        <w:rPr>
          <w:rFonts w:ascii="Arial" w:hAnsi="Arial" w:cs="Arial"/>
          <w:bCs/>
          <w:sz w:val="20"/>
          <w:szCs w:val="20"/>
        </w:rPr>
        <w:t>9</w:t>
      </w:r>
      <w:r w:rsidRPr="00820EDB">
        <w:rPr>
          <w:rFonts w:ascii="Arial" w:hAnsi="Arial" w:cs="Arial"/>
          <w:bCs/>
          <w:sz w:val="20"/>
          <w:szCs w:val="20"/>
        </w:rPr>
        <w:t>.</w:t>
      </w:r>
      <w:r>
        <w:rPr>
          <w:rFonts w:ascii="Arial" w:hAnsi="Arial" w:cs="Arial"/>
          <w:bCs/>
          <w:sz w:val="20"/>
          <w:szCs w:val="20"/>
        </w:rPr>
        <w:t>625</w:t>
      </w:r>
      <w:r w:rsidRPr="00820EDB">
        <w:rPr>
          <w:rFonts w:ascii="Arial" w:hAnsi="Arial" w:cs="Arial"/>
          <w:bCs/>
          <w:sz w:val="20"/>
          <w:szCs w:val="20"/>
        </w:rPr>
        <w:t>.</w:t>
      </w:r>
      <w:r>
        <w:rPr>
          <w:rFonts w:ascii="Arial" w:hAnsi="Arial" w:cs="Arial"/>
          <w:bCs/>
          <w:sz w:val="20"/>
          <w:szCs w:val="20"/>
        </w:rPr>
        <w:t>363</w:t>
      </w:r>
      <w:r w:rsidR="009922FF" w:rsidRPr="00820EDB">
        <w:rPr>
          <w:rFonts w:ascii="Arial" w:hAnsi="Arial" w:cs="Arial"/>
          <w:bCs/>
          <w:sz w:val="20"/>
          <w:szCs w:val="20"/>
        </w:rPr>
        <w:t> EUR</w:t>
      </w:r>
      <w:r w:rsidRPr="00820EDB">
        <w:rPr>
          <w:rFonts w:ascii="Arial" w:hAnsi="Arial" w:cs="Arial"/>
          <w:sz w:val="20"/>
          <w:szCs w:val="20"/>
        </w:rPr>
        <w:t xml:space="preserve"> (49 odstotk</w:t>
      </w:r>
      <w:r>
        <w:rPr>
          <w:rFonts w:ascii="Arial" w:hAnsi="Arial" w:cs="Arial"/>
          <w:sz w:val="20"/>
          <w:szCs w:val="20"/>
        </w:rPr>
        <w:t>ov</w:t>
      </w:r>
      <w:r w:rsidRPr="00820EDB">
        <w:rPr>
          <w:rFonts w:ascii="Arial" w:hAnsi="Arial" w:cs="Arial"/>
          <w:sz w:val="20"/>
          <w:szCs w:val="20"/>
        </w:rPr>
        <w:t xml:space="preserve">) in pogojno izterljivi dolg v višini </w:t>
      </w:r>
      <w:r w:rsidRPr="00820EDB">
        <w:rPr>
          <w:rFonts w:ascii="Arial" w:hAnsi="Arial" w:cs="Arial"/>
          <w:bCs/>
          <w:sz w:val="20"/>
          <w:szCs w:val="20"/>
        </w:rPr>
        <w:t>4</w:t>
      </w:r>
      <w:r>
        <w:rPr>
          <w:rFonts w:ascii="Arial" w:hAnsi="Arial" w:cs="Arial"/>
          <w:bCs/>
          <w:sz w:val="20"/>
          <w:szCs w:val="20"/>
        </w:rPr>
        <w:t>56</w:t>
      </w:r>
      <w:r w:rsidRPr="00820EDB">
        <w:rPr>
          <w:rFonts w:ascii="Arial" w:hAnsi="Arial" w:cs="Arial"/>
          <w:bCs/>
          <w:sz w:val="20"/>
          <w:szCs w:val="20"/>
        </w:rPr>
        <w:t>.</w:t>
      </w:r>
      <w:r>
        <w:rPr>
          <w:rFonts w:ascii="Arial" w:hAnsi="Arial" w:cs="Arial"/>
          <w:bCs/>
          <w:sz w:val="20"/>
          <w:szCs w:val="20"/>
        </w:rPr>
        <w:t>724</w:t>
      </w:r>
      <w:r w:rsidRPr="00820EDB">
        <w:rPr>
          <w:rFonts w:ascii="Arial" w:hAnsi="Arial" w:cs="Arial"/>
          <w:bCs/>
          <w:sz w:val="20"/>
          <w:szCs w:val="20"/>
        </w:rPr>
        <w:t>.</w:t>
      </w:r>
      <w:r>
        <w:rPr>
          <w:rFonts w:ascii="Arial" w:hAnsi="Arial" w:cs="Arial"/>
          <w:bCs/>
          <w:sz w:val="20"/>
          <w:szCs w:val="20"/>
        </w:rPr>
        <w:t>627</w:t>
      </w:r>
      <w:r w:rsidR="009922FF" w:rsidRPr="00820EDB">
        <w:rPr>
          <w:rFonts w:ascii="Arial" w:hAnsi="Arial" w:cs="Arial"/>
          <w:bCs/>
          <w:sz w:val="20"/>
          <w:szCs w:val="20"/>
        </w:rPr>
        <w:t> EUR</w:t>
      </w:r>
      <w:r w:rsidRPr="00820EDB">
        <w:rPr>
          <w:rFonts w:ascii="Arial" w:hAnsi="Arial" w:cs="Arial"/>
          <w:sz w:val="20"/>
          <w:szCs w:val="20"/>
        </w:rPr>
        <w:t xml:space="preserve"> (51 odstotk</w:t>
      </w:r>
      <w:r>
        <w:rPr>
          <w:rFonts w:ascii="Arial" w:hAnsi="Arial" w:cs="Arial"/>
          <w:sz w:val="20"/>
          <w:szCs w:val="20"/>
        </w:rPr>
        <w:t>ov</w:t>
      </w:r>
      <w:r w:rsidRPr="00820EDB">
        <w:rPr>
          <w:rFonts w:ascii="Arial" w:hAnsi="Arial" w:cs="Arial"/>
          <w:sz w:val="20"/>
          <w:szCs w:val="20"/>
        </w:rPr>
        <w:t xml:space="preserve">). </w:t>
      </w:r>
    </w:p>
    <w:bookmarkEnd w:id="5"/>
    <w:p w14:paraId="720EFF8E" w14:textId="55F98730" w:rsidR="00D847F2" w:rsidRPr="00D03BFC" w:rsidRDefault="00D847F2" w:rsidP="00D847F2">
      <w:pPr>
        <w:jc w:val="both"/>
        <w:rPr>
          <w:rFonts w:ascii="Arial" w:hAnsi="Arial" w:cs="Arial"/>
          <w:bCs/>
          <w:sz w:val="20"/>
          <w:szCs w:val="20"/>
        </w:rPr>
      </w:pPr>
      <w:r w:rsidRPr="00D03BFC">
        <w:rPr>
          <w:rFonts w:ascii="Arial" w:hAnsi="Arial" w:cs="Arial"/>
          <w:bCs/>
          <w:sz w:val="20"/>
          <w:szCs w:val="20"/>
        </w:rPr>
        <w:t>FURS je pri izterjavi znatnega dela davčnega dolga zelo omejen. Če sodišče odloči, da se zoper dolžnika začne postopek zaradi insolventnosti, se za dolg ne sme voditi postop</w:t>
      </w:r>
      <w:r w:rsidR="003326E1">
        <w:rPr>
          <w:rFonts w:ascii="Arial" w:hAnsi="Arial" w:cs="Arial"/>
          <w:bCs/>
          <w:sz w:val="20"/>
          <w:szCs w:val="20"/>
        </w:rPr>
        <w:t>e</w:t>
      </w:r>
      <w:r w:rsidRPr="00D03BFC">
        <w:rPr>
          <w:rFonts w:ascii="Arial" w:hAnsi="Arial" w:cs="Arial"/>
          <w:bCs/>
          <w:sz w:val="20"/>
          <w:szCs w:val="20"/>
        </w:rPr>
        <w:t xml:space="preserve">k izvršbe niti zavarovanja. Po stanju 31. </w:t>
      </w:r>
      <w:r w:rsidR="000E7DDB">
        <w:rPr>
          <w:rFonts w:ascii="Arial" w:hAnsi="Arial" w:cs="Arial"/>
          <w:bCs/>
          <w:sz w:val="20"/>
          <w:szCs w:val="20"/>
        </w:rPr>
        <w:t>decembra</w:t>
      </w:r>
      <w:r w:rsidRPr="00D03BFC">
        <w:rPr>
          <w:rFonts w:ascii="Arial" w:hAnsi="Arial" w:cs="Arial"/>
          <w:bCs/>
          <w:sz w:val="20"/>
          <w:szCs w:val="20"/>
        </w:rPr>
        <w:t xml:space="preserve"> 2022 je bil obseg pogojno izterljivega dolga</w:t>
      </w:r>
      <w:r>
        <w:rPr>
          <w:rFonts w:ascii="Arial" w:hAnsi="Arial" w:cs="Arial"/>
          <w:bCs/>
          <w:sz w:val="20"/>
          <w:szCs w:val="20"/>
        </w:rPr>
        <w:t>,</w:t>
      </w:r>
      <w:r w:rsidRPr="00D03BFC">
        <w:rPr>
          <w:rFonts w:ascii="Arial" w:hAnsi="Arial" w:cs="Arial"/>
          <w:bCs/>
          <w:sz w:val="20"/>
          <w:szCs w:val="20"/>
        </w:rPr>
        <w:t xml:space="preserve"> prijavljenega</w:t>
      </w:r>
      <w:r w:rsidR="00992912">
        <w:rPr>
          <w:rFonts w:ascii="Arial" w:hAnsi="Arial" w:cs="Arial"/>
          <w:bCs/>
          <w:sz w:val="20"/>
          <w:szCs w:val="20"/>
        </w:rPr>
        <w:t xml:space="preserve"> </w:t>
      </w:r>
      <w:r w:rsidRPr="00D03BFC">
        <w:rPr>
          <w:rFonts w:ascii="Arial" w:hAnsi="Arial" w:cs="Arial"/>
          <w:bCs/>
          <w:sz w:val="20"/>
          <w:szCs w:val="20"/>
        </w:rPr>
        <w:t xml:space="preserve">v </w:t>
      </w:r>
      <w:proofErr w:type="spellStart"/>
      <w:r w:rsidRPr="00D03BFC">
        <w:rPr>
          <w:rFonts w:ascii="Arial" w:hAnsi="Arial" w:cs="Arial"/>
          <w:bCs/>
          <w:sz w:val="20"/>
          <w:szCs w:val="20"/>
        </w:rPr>
        <w:t>insolvenčne</w:t>
      </w:r>
      <w:proofErr w:type="spellEnd"/>
      <w:r w:rsidRPr="00D03BFC">
        <w:rPr>
          <w:rFonts w:ascii="Arial" w:hAnsi="Arial" w:cs="Arial"/>
          <w:bCs/>
          <w:sz w:val="20"/>
          <w:szCs w:val="20"/>
        </w:rPr>
        <w:t xml:space="preserve"> postopke 277,3 milijon</w:t>
      </w:r>
      <w:r w:rsidR="003326E1">
        <w:rPr>
          <w:rFonts w:ascii="Arial" w:hAnsi="Arial" w:cs="Arial"/>
          <w:bCs/>
          <w:sz w:val="20"/>
          <w:szCs w:val="20"/>
        </w:rPr>
        <w:t>a</w:t>
      </w:r>
      <w:r w:rsidRPr="00D03BFC">
        <w:rPr>
          <w:rFonts w:ascii="Arial" w:hAnsi="Arial" w:cs="Arial"/>
          <w:bCs/>
          <w:sz w:val="20"/>
          <w:szCs w:val="20"/>
        </w:rPr>
        <w:t xml:space="preserve"> EUR, kar </w:t>
      </w:r>
      <w:r w:rsidR="003326E1">
        <w:rPr>
          <w:rFonts w:ascii="Arial" w:hAnsi="Arial" w:cs="Arial"/>
          <w:bCs/>
          <w:sz w:val="20"/>
          <w:szCs w:val="20"/>
        </w:rPr>
        <w:t>obsega</w:t>
      </w:r>
      <w:r w:rsidR="003326E1" w:rsidRPr="00D03BFC">
        <w:rPr>
          <w:rFonts w:ascii="Arial" w:hAnsi="Arial" w:cs="Arial"/>
          <w:bCs/>
          <w:sz w:val="20"/>
          <w:szCs w:val="20"/>
        </w:rPr>
        <w:t xml:space="preserve"> </w:t>
      </w:r>
      <w:r w:rsidRPr="00D03BFC">
        <w:rPr>
          <w:rFonts w:ascii="Arial" w:hAnsi="Arial" w:cs="Arial"/>
          <w:bCs/>
          <w:sz w:val="20"/>
          <w:szCs w:val="20"/>
        </w:rPr>
        <w:t xml:space="preserve">30,8 odstotka davčnega dolga. </w:t>
      </w:r>
    </w:p>
    <w:p w14:paraId="446EECE3" w14:textId="60C41FDE" w:rsidR="00D847F2" w:rsidRPr="00800D5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0"/>
          <w:szCs w:val="20"/>
        </w:rPr>
      </w:pPr>
      <w:bookmarkStart w:id="7" w:name="_Hlk38114480"/>
      <w:r w:rsidRPr="00263B83">
        <w:rPr>
          <w:rFonts w:ascii="Arial" w:hAnsi="Arial" w:cs="Arial"/>
          <w:bCs/>
          <w:sz w:val="20"/>
          <w:szCs w:val="20"/>
        </w:rPr>
        <w:t>P</w:t>
      </w:r>
      <w:r w:rsidRPr="00263B83">
        <w:rPr>
          <w:rFonts w:ascii="Arial" w:hAnsi="Arial" w:cs="Arial"/>
          <w:sz w:val="20"/>
          <w:szCs w:val="20"/>
        </w:rPr>
        <w:t xml:space="preserve">odobno kot za </w:t>
      </w:r>
      <w:proofErr w:type="spellStart"/>
      <w:r w:rsidRPr="00263B83">
        <w:rPr>
          <w:rFonts w:ascii="Arial" w:hAnsi="Arial" w:cs="Arial"/>
          <w:sz w:val="20"/>
          <w:szCs w:val="20"/>
        </w:rPr>
        <w:t>insolvenčne</w:t>
      </w:r>
      <w:proofErr w:type="spellEnd"/>
      <w:r w:rsidRPr="00263B83">
        <w:rPr>
          <w:rFonts w:ascii="Arial" w:hAnsi="Arial" w:cs="Arial"/>
          <w:sz w:val="20"/>
          <w:szCs w:val="20"/>
        </w:rPr>
        <w:t xml:space="preserve"> postopke velja tudi za davčni dolg</w:t>
      </w:r>
      <w:r>
        <w:rPr>
          <w:rFonts w:ascii="Arial" w:hAnsi="Arial" w:cs="Arial"/>
          <w:sz w:val="20"/>
          <w:szCs w:val="20"/>
        </w:rPr>
        <w:t>,</w:t>
      </w:r>
      <w:r w:rsidRPr="00263B83">
        <w:rPr>
          <w:rFonts w:ascii="Arial" w:hAnsi="Arial" w:cs="Arial"/>
          <w:sz w:val="20"/>
          <w:szCs w:val="20"/>
        </w:rPr>
        <w:t xml:space="preserve"> zavarovan z zastavno pravico na nepremičninah. Postopek prodaje nepremičnine in poplačilo upnikov vodi izvršilno sodišče, zato davčni organ </w:t>
      </w:r>
      <w:r w:rsidRPr="00263B83">
        <w:rPr>
          <w:rFonts w:ascii="Arial" w:eastAsia="Times New Roman" w:hAnsi="Arial" w:cs="Arial"/>
          <w:iCs/>
          <w:sz w:val="20"/>
          <w:szCs w:val="20"/>
        </w:rPr>
        <w:t xml:space="preserve">po podanih predlogih </w:t>
      </w:r>
      <w:r w:rsidRPr="007E64FA">
        <w:rPr>
          <w:rFonts w:ascii="Arial" w:eastAsia="Times New Roman" w:hAnsi="Arial" w:cs="Arial"/>
          <w:iCs/>
          <w:sz w:val="20"/>
          <w:szCs w:val="20"/>
        </w:rPr>
        <w:t>sodiščem v višini 36.823.217</w:t>
      </w:r>
      <w:r w:rsidR="009922FF" w:rsidRPr="007E64FA">
        <w:rPr>
          <w:rFonts w:ascii="Arial" w:eastAsia="Times New Roman" w:hAnsi="Arial" w:cs="Arial"/>
          <w:iCs/>
          <w:sz w:val="20"/>
          <w:szCs w:val="20"/>
        </w:rPr>
        <w:t> EUR</w:t>
      </w:r>
      <w:r w:rsidRPr="007E64FA">
        <w:rPr>
          <w:rFonts w:ascii="Arial" w:eastAsia="Times New Roman" w:hAnsi="Arial" w:cs="Arial"/>
          <w:iCs/>
          <w:sz w:val="20"/>
          <w:szCs w:val="20"/>
        </w:rPr>
        <w:t xml:space="preserve"> </w:t>
      </w:r>
      <w:r w:rsidRPr="007E64FA">
        <w:rPr>
          <w:rFonts w:ascii="Arial" w:hAnsi="Arial" w:cs="Arial"/>
          <w:sz w:val="20"/>
          <w:szCs w:val="20"/>
        </w:rPr>
        <w:t xml:space="preserve">na </w:t>
      </w:r>
      <w:r w:rsidRPr="00263B83">
        <w:rPr>
          <w:rFonts w:ascii="Arial" w:hAnsi="Arial" w:cs="Arial"/>
          <w:sz w:val="20"/>
          <w:szCs w:val="20"/>
        </w:rPr>
        <w:t xml:space="preserve">hitrost in višino poplačila dolga </w:t>
      </w:r>
      <w:r w:rsidRPr="00263B83">
        <w:rPr>
          <w:rFonts w:ascii="Arial" w:eastAsia="Times New Roman" w:hAnsi="Arial" w:cs="Arial"/>
          <w:iCs/>
          <w:sz w:val="20"/>
          <w:szCs w:val="20"/>
        </w:rPr>
        <w:t xml:space="preserve">nima </w:t>
      </w:r>
      <w:r w:rsidRPr="00800D56">
        <w:rPr>
          <w:rFonts w:ascii="Arial" w:eastAsia="Times New Roman" w:hAnsi="Arial" w:cs="Arial"/>
          <w:iCs/>
          <w:sz w:val="20"/>
          <w:szCs w:val="20"/>
        </w:rPr>
        <w:t xml:space="preserve">vpliva. </w:t>
      </w:r>
    </w:p>
    <w:bookmarkEnd w:id="6"/>
    <w:bookmarkEnd w:id="7"/>
    <w:p w14:paraId="6E829582" w14:textId="73AA8144" w:rsidR="00D847F2" w:rsidRPr="00800D56" w:rsidRDefault="00D847F2" w:rsidP="00D847F2">
      <w:pPr>
        <w:jc w:val="both"/>
        <w:rPr>
          <w:rFonts w:ascii="Arial" w:hAnsi="Arial" w:cs="Arial"/>
          <w:sz w:val="20"/>
          <w:szCs w:val="20"/>
        </w:rPr>
      </w:pPr>
      <w:r w:rsidRPr="00800D56">
        <w:rPr>
          <w:rFonts w:ascii="Arial" w:hAnsi="Arial" w:cs="Arial"/>
          <w:sz w:val="20"/>
          <w:szCs w:val="20"/>
        </w:rPr>
        <w:t>V letu 2022 je FURS poslal dolžnikom 985.229 opominov in 30.920 pozivov za plačilo in predložitev seznama premoženja ter izdal 305.944 sklepov o davčni izvršbi za novo nastale davčne in nedavčne obveznosti ali kot nov ukrep izterjave v skupnem znesku 1.346.699.684 EUR. Z izvedenimi ukrepi je bilo izterjan</w:t>
      </w:r>
      <w:r>
        <w:rPr>
          <w:rFonts w:ascii="Arial" w:hAnsi="Arial" w:cs="Arial"/>
          <w:sz w:val="20"/>
          <w:szCs w:val="20"/>
        </w:rPr>
        <w:t>ih</w:t>
      </w:r>
      <w:r w:rsidRPr="00800D56">
        <w:rPr>
          <w:rFonts w:ascii="Arial" w:hAnsi="Arial" w:cs="Arial"/>
          <w:sz w:val="20"/>
          <w:szCs w:val="20"/>
        </w:rPr>
        <w:t xml:space="preserve"> 614.678.853</w:t>
      </w:r>
      <w:r w:rsidR="009922FF" w:rsidRPr="00800D56">
        <w:rPr>
          <w:rFonts w:ascii="Arial" w:hAnsi="Arial" w:cs="Arial"/>
          <w:sz w:val="20"/>
          <w:szCs w:val="20"/>
        </w:rPr>
        <w:t> EUR</w:t>
      </w:r>
      <w:r w:rsidRPr="00800D56">
        <w:rPr>
          <w:rFonts w:ascii="Arial" w:hAnsi="Arial" w:cs="Arial"/>
          <w:sz w:val="20"/>
          <w:szCs w:val="20"/>
        </w:rPr>
        <w:t xml:space="preserve"> dolga.</w:t>
      </w:r>
      <w:r w:rsidR="00C70C0C">
        <w:rPr>
          <w:rFonts w:ascii="Arial" w:hAnsi="Arial" w:cs="Arial"/>
          <w:sz w:val="20"/>
          <w:szCs w:val="20"/>
        </w:rPr>
        <w:t xml:space="preserve"> </w:t>
      </w:r>
    </w:p>
    <w:p w14:paraId="22AE7C49" w14:textId="4D675371"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A1221F">
        <w:rPr>
          <w:rFonts w:ascii="Arial" w:hAnsi="Arial" w:cs="Arial"/>
          <w:bCs/>
          <w:sz w:val="20"/>
          <w:szCs w:val="20"/>
        </w:rPr>
        <w:t xml:space="preserve">V primerjavi s </w:t>
      </w:r>
      <w:r>
        <w:rPr>
          <w:rFonts w:ascii="Arial" w:hAnsi="Arial" w:cs="Arial"/>
          <w:bCs/>
          <w:sz w:val="20"/>
          <w:szCs w:val="20"/>
        </w:rPr>
        <w:t>predhodnim</w:t>
      </w:r>
      <w:r w:rsidRPr="00A1221F">
        <w:rPr>
          <w:rFonts w:ascii="Arial" w:hAnsi="Arial" w:cs="Arial"/>
          <w:bCs/>
          <w:sz w:val="20"/>
          <w:szCs w:val="20"/>
        </w:rPr>
        <w:t xml:space="preserve"> letom je bilo v letu 2022 izterjan</w:t>
      </w:r>
      <w:r w:rsidR="00C70C0C">
        <w:rPr>
          <w:rFonts w:ascii="Arial" w:hAnsi="Arial" w:cs="Arial"/>
          <w:bCs/>
          <w:sz w:val="20"/>
          <w:szCs w:val="20"/>
        </w:rPr>
        <w:t>ega</w:t>
      </w:r>
      <w:r w:rsidRPr="00A1221F">
        <w:rPr>
          <w:rFonts w:ascii="Arial" w:hAnsi="Arial" w:cs="Arial"/>
          <w:bCs/>
          <w:sz w:val="20"/>
          <w:szCs w:val="20"/>
        </w:rPr>
        <w:t xml:space="preserve"> za 161.974.930</w:t>
      </w:r>
      <w:r w:rsidR="009922FF" w:rsidRPr="00A1221F">
        <w:rPr>
          <w:rFonts w:ascii="Arial" w:hAnsi="Arial" w:cs="Arial"/>
          <w:bCs/>
          <w:sz w:val="20"/>
          <w:szCs w:val="20"/>
        </w:rPr>
        <w:t> EUR</w:t>
      </w:r>
      <w:r w:rsidRPr="00A1221F">
        <w:rPr>
          <w:rFonts w:ascii="Arial" w:hAnsi="Arial" w:cs="Arial"/>
          <w:bCs/>
          <w:sz w:val="20"/>
          <w:szCs w:val="20"/>
        </w:rPr>
        <w:t xml:space="preserve"> več dolga. Navedeno </w:t>
      </w:r>
      <w:r w:rsidR="00955F86">
        <w:rPr>
          <w:rFonts w:ascii="Arial" w:hAnsi="Arial" w:cs="Arial"/>
          <w:bCs/>
          <w:sz w:val="20"/>
          <w:szCs w:val="20"/>
        </w:rPr>
        <w:t>lahko</w:t>
      </w:r>
      <w:r w:rsidRPr="00A1221F">
        <w:rPr>
          <w:rFonts w:ascii="Arial" w:hAnsi="Arial" w:cs="Arial"/>
          <w:bCs/>
          <w:sz w:val="20"/>
          <w:szCs w:val="20"/>
        </w:rPr>
        <w:t xml:space="preserve"> pripi</w:t>
      </w:r>
      <w:r w:rsidR="00955F86">
        <w:rPr>
          <w:rFonts w:ascii="Arial" w:hAnsi="Arial" w:cs="Arial"/>
          <w:bCs/>
          <w:sz w:val="20"/>
          <w:szCs w:val="20"/>
        </w:rPr>
        <w:t>šemo</w:t>
      </w:r>
      <w:r w:rsidRPr="00A1221F">
        <w:rPr>
          <w:rFonts w:ascii="Arial" w:hAnsi="Arial" w:cs="Arial"/>
          <w:bCs/>
          <w:sz w:val="20"/>
          <w:szCs w:val="20"/>
        </w:rPr>
        <w:t xml:space="preserve"> </w:t>
      </w:r>
      <w:r>
        <w:rPr>
          <w:rFonts w:ascii="Arial" w:hAnsi="Arial" w:cs="Arial"/>
          <w:bCs/>
          <w:sz w:val="20"/>
          <w:szCs w:val="20"/>
        </w:rPr>
        <w:t>povečanju</w:t>
      </w:r>
      <w:r w:rsidRPr="00A1221F">
        <w:rPr>
          <w:rFonts w:ascii="Arial" w:hAnsi="Arial" w:cs="Arial"/>
          <w:bCs/>
          <w:sz w:val="20"/>
          <w:szCs w:val="20"/>
        </w:rPr>
        <w:t xml:space="preserve"> aktivnosti na področju opominjanja in pozivanja dolžnikov k prostovoljnemu plačevanju neporavnanih obveznosti. V letu 2022 je bilo izdan</w:t>
      </w:r>
      <w:r w:rsidR="00C70C0C">
        <w:rPr>
          <w:rFonts w:ascii="Arial" w:hAnsi="Arial" w:cs="Arial"/>
          <w:bCs/>
          <w:sz w:val="20"/>
          <w:szCs w:val="20"/>
        </w:rPr>
        <w:t>ih</w:t>
      </w:r>
      <w:r w:rsidRPr="00A1221F">
        <w:rPr>
          <w:rFonts w:ascii="Arial" w:hAnsi="Arial" w:cs="Arial"/>
          <w:bCs/>
          <w:sz w:val="20"/>
          <w:szCs w:val="20"/>
        </w:rPr>
        <w:t xml:space="preserve"> več opominov kot v letu 2021, enako velja tudi za prejeta plačila na podlagi izdanih opominov, ki jih je bilo za 104 mio več kot leto poprej. Med razlogi za povečanje plačil iz tega naslova velja </w:t>
      </w:r>
      <w:r w:rsidR="00C70C0C">
        <w:rPr>
          <w:rFonts w:ascii="Arial" w:hAnsi="Arial" w:cs="Arial"/>
          <w:bCs/>
          <w:sz w:val="20"/>
          <w:szCs w:val="20"/>
        </w:rPr>
        <w:t xml:space="preserve">poudariti </w:t>
      </w:r>
      <w:r w:rsidRPr="00A1221F">
        <w:rPr>
          <w:rFonts w:ascii="Arial" w:hAnsi="Arial" w:cs="Arial"/>
          <w:bCs/>
          <w:sz w:val="20"/>
          <w:szCs w:val="20"/>
        </w:rPr>
        <w:t xml:space="preserve">obveznosti iz naslova odloženih prispevkov za socialno varnost samozaposlenim in kmetom za marec, april in maj 2020 do 31. 3. 2022 na podlagi Zakona o interventnih ukrepih na področju plač in prispevkov </w:t>
      </w:r>
      <w:r w:rsidRPr="00CC6663">
        <w:rPr>
          <w:rFonts w:ascii="Arial" w:eastAsia="Times New Roman" w:hAnsi="Arial" w:cs="Arial"/>
          <w:sz w:val="20"/>
          <w:szCs w:val="20"/>
        </w:rPr>
        <w:t>(</w:t>
      </w:r>
      <w:r>
        <w:rPr>
          <w:rFonts w:ascii="Arial" w:eastAsia="Times New Roman" w:hAnsi="Arial" w:cs="Arial"/>
          <w:sz w:val="20"/>
          <w:szCs w:val="20"/>
        </w:rPr>
        <w:t xml:space="preserve">v nadaljnjem </w:t>
      </w:r>
      <w:r>
        <w:rPr>
          <w:rFonts w:ascii="Arial" w:eastAsia="Times New Roman" w:hAnsi="Arial" w:cs="Arial"/>
          <w:sz w:val="20"/>
          <w:szCs w:val="20"/>
        </w:rPr>
        <w:lastRenderedPageBreak/>
        <w:t xml:space="preserve">besedilu: </w:t>
      </w:r>
      <w:r w:rsidRPr="00CC6663">
        <w:rPr>
          <w:rFonts w:ascii="Arial" w:eastAsia="Times New Roman" w:hAnsi="Arial" w:cs="Arial"/>
          <w:sz w:val="20"/>
          <w:szCs w:val="20"/>
        </w:rPr>
        <w:t>ZIUPPP)</w:t>
      </w:r>
      <w:r w:rsidR="00C70C0C">
        <w:rPr>
          <w:rFonts w:ascii="Arial" w:eastAsia="Times New Roman" w:hAnsi="Arial" w:cs="Arial"/>
          <w:sz w:val="20"/>
          <w:szCs w:val="20"/>
        </w:rPr>
        <w:t>.</w:t>
      </w:r>
      <w:r w:rsidRPr="00CC6663">
        <w:rPr>
          <w:rStyle w:val="Sprotnaopomba-sklic"/>
          <w:rFonts w:ascii="Arial" w:eastAsia="Times New Roman" w:hAnsi="Arial" w:cs="Arial"/>
          <w:sz w:val="20"/>
          <w:szCs w:val="20"/>
        </w:rPr>
        <w:footnoteReference w:id="4"/>
      </w:r>
      <w:r w:rsidRPr="00A1221F">
        <w:rPr>
          <w:rFonts w:ascii="Arial" w:hAnsi="Arial" w:cs="Arial"/>
          <w:bCs/>
          <w:sz w:val="20"/>
          <w:szCs w:val="20"/>
        </w:rPr>
        <w:t xml:space="preserve"> Od druge polovice leta 2022 so se opomini za zapadle davčne obveznosti pošiljali tudi zavezancem, ki imajo naslov za vročanje v tujini. Dopolnjena je bila vsebina opomina, ki omogoča preglednejšo navedbo številke podračunov in možnost priprave plačilnega naloga s QR</w:t>
      </w:r>
      <w:r w:rsidR="00CB1E6F">
        <w:rPr>
          <w:rFonts w:ascii="Arial" w:hAnsi="Arial" w:cs="Arial"/>
          <w:bCs/>
          <w:sz w:val="20"/>
          <w:szCs w:val="20"/>
        </w:rPr>
        <w:t>-</w:t>
      </w:r>
      <w:r w:rsidRPr="00A1221F">
        <w:rPr>
          <w:rFonts w:ascii="Arial" w:hAnsi="Arial" w:cs="Arial"/>
          <w:bCs/>
          <w:sz w:val="20"/>
          <w:szCs w:val="20"/>
        </w:rPr>
        <w:t>kodo.</w:t>
      </w:r>
    </w:p>
    <w:p w14:paraId="1AE2D144" w14:textId="0FF8F597"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058C6">
        <w:rPr>
          <w:rFonts w:ascii="Arial" w:hAnsi="Arial" w:cs="Arial"/>
          <w:bCs/>
          <w:sz w:val="20"/>
          <w:szCs w:val="20"/>
        </w:rPr>
        <w:t>Prav tako je bilo v letu 2022 izdanih več sklepov o davčni izvršbi kot v letu 2021</w:t>
      </w:r>
      <w:r>
        <w:rPr>
          <w:rFonts w:ascii="Arial" w:hAnsi="Arial" w:cs="Arial"/>
          <w:bCs/>
          <w:sz w:val="20"/>
          <w:szCs w:val="20"/>
        </w:rPr>
        <w:t xml:space="preserve"> </w:t>
      </w:r>
      <w:r w:rsidRPr="00B058C6">
        <w:rPr>
          <w:rFonts w:ascii="Arial" w:hAnsi="Arial" w:cs="Arial"/>
          <w:bCs/>
          <w:sz w:val="20"/>
          <w:szCs w:val="20"/>
        </w:rPr>
        <w:t xml:space="preserve">ter </w:t>
      </w:r>
      <w:r w:rsidR="00CB1E6F">
        <w:rPr>
          <w:rFonts w:ascii="Arial" w:hAnsi="Arial" w:cs="Arial"/>
          <w:bCs/>
          <w:sz w:val="20"/>
          <w:szCs w:val="20"/>
        </w:rPr>
        <w:t>zaradi tega</w:t>
      </w:r>
      <w:r w:rsidR="00CB1E6F" w:rsidRPr="00B058C6">
        <w:rPr>
          <w:rFonts w:ascii="Arial" w:hAnsi="Arial" w:cs="Arial"/>
          <w:bCs/>
          <w:sz w:val="20"/>
          <w:szCs w:val="20"/>
        </w:rPr>
        <w:t xml:space="preserve"> </w:t>
      </w:r>
      <w:r w:rsidRPr="00B058C6">
        <w:rPr>
          <w:rFonts w:ascii="Arial" w:hAnsi="Arial" w:cs="Arial"/>
          <w:bCs/>
          <w:sz w:val="20"/>
          <w:szCs w:val="20"/>
        </w:rPr>
        <w:t xml:space="preserve">poplačanega za 58 mio </w:t>
      </w:r>
      <w:r>
        <w:rPr>
          <w:rFonts w:ascii="Arial" w:hAnsi="Arial" w:cs="Arial"/>
          <w:bCs/>
          <w:sz w:val="20"/>
          <w:szCs w:val="20"/>
        </w:rPr>
        <w:t>EUR</w:t>
      </w:r>
      <w:r w:rsidRPr="00B058C6">
        <w:rPr>
          <w:rFonts w:ascii="Arial" w:hAnsi="Arial" w:cs="Arial"/>
          <w:bCs/>
          <w:sz w:val="20"/>
          <w:szCs w:val="20"/>
        </w:rPr>
        <w:t xml:space="preserve"> več davčnega dolga. </w:t>
      </w:r>
    </w:p>
    <w:p w14:paraId="0A82E1E4" w14:textId="45A69AD8"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058C6">
        <w:rPr>
          <w:rFonts w:ascii="Arial" w:hAnsi="Arial" w:cs="Arial"/>
          <w:bCs/>
          <w:sz w:val="20"/>
          <w:szCs w:val="20"/>
        </w:rPr>
        <w:t xml:space="preserve">V letu 2022 je bilo zaznati tudi boljšo realizacijo izvedenih ukrepov izterjave kot v preteklem letu. V povprečju je bilo po opominih poplačanega 63,8 </w:t>
      </w:r>
      <w:r>
        <w:rPr>
          <w:rFonts w:ascii="Arial" w:hAnsi="Arial" w:cs="Arial"/>
          <w:bCs/>
          <w:sz w:val="20"/>
          <w:szCs w:val="20"/>
        </w:rPr>
        <w:t xml:space="preserve">odstotka </w:t>
      </w:r>
      <w:r w:rsidRPr="00B058C6">
        <w:rPr>
          <w:rFonts w:ascii="Arial" w:hAnsi="Arial" w:cs="Arial"/>
          <w:bCs/>
          <w:sz w:val="20"/>
          <w:szCs w:val="20"/>
        </w:rPr>
        <w:t>terjanega dolga</w:t>
      </w:r>
      <w:r w:rsidR="005B2D47">
        <w:rPr>
          <w:rFonts w:ascii="Arial" w:hAnsi="Arial" w:cs="Arial"/>
          <w:bCs/>
          <w:sz w:val="20"/>
          <w:szCs w:val="20"/>
        </w:rPr>
        <w:t>,</w:t>
      </w:r>
      <w:r w:rsidRPr="00B058C6">
        <w:rPr>
          <w:rFonts w:ascii="Arial" w:hAnsi="Arial" w:cs="Arial"/>
          <w:bCs/>
          <w:sz w:val="20"/>
          <w:szCs w:val="20"/>
        </w:rPr>
        <w:t xml:space="preserve"> kar je za 10,6</w:t>
      </w:r>
      <w:r>
        <w:rPr>
          <w:rFonts w:ascii="Arial" w:hAnsi="Arial" w:cs="Arial"/>
          <w:bCs/>
          <w:sz w:val="20"/>
          <w:szCs w:val="20"/>
        </w:rPr>
        <w:t>-</w:t>
      </w:r>
      <w:r w:rsidRPr="00B058C6">
        <w:rPr>
          <w:rFonts w:ascii="Arial" w:hAnsi="Arial" w:cs="Arial"/>
          <w:bCs/>
          <w:sz w:val="20"/>
          <w:szCs w:val="20"/>
        </w:rPr>
        <w:t xml:space="preserve">odstotne točke več kot v letu 2021. Realizacija po sklepih o davčni izvršbi je </w:t>
      </w:r>
      <w:r w:rsidR="00325949">
        <w:rPr>
          <w:rFonts w:ascii="Arial" w:hAnsi="Arial" w:cs="Arial"/>
          <w:bCs/>
          <w:sz w:val="20"/>
          <w:szCs w:val="20"/>
        </w:rPr>
        <w:t>bila</w:t>
      </w:r>
      <w:r w:rsidR="00325949" w:rsidRPr="00B058C6">
        <w:rPr>
          <w:rFonts w:ascii="Arial" w:hAnsi="Arial" w:cs="Arial"/>
          <w:bCs/>
          <w:sz w:val="20"/>
          <w:szCs w:val="20"/>
        </w:rPr>
        <w:t xml:space="preserve"> </w:t>
      </w:r>
      <w:r w:rsidRPr="00B058C6">
        <w:rPr>
          <w:rFonts w:ascii="Arial" w:hAnsi="Arial" w:cs="Arial"/>
          <w:bCs/>
          <w:sz w:val="20"/>
          <w:szCs w:val="20"/>
        </w:rPr>
        <w:t>31,7</w:t>
      </w:r>
      <w:r w:rsidR="00325949">
        <w:rPr>
          <w:rFonts w:ascii="Arial" w:hAnsi="Arial" w:cs="Arial"/>
          <w:bCs/>
          <w:sz w:val="20"/>
          <w:szCs w:val="20"/>
        </w:rPr>
        <w:t>-</w:t>
      </w:r>
      <w:r>
        <w:rPr>
          <w:rFonts w:ascii="Arial" w:hAnsi="Arial" w:cs="Arial"/>
          <w:bCs/>
          <w:sz w:val="20"/>
          <w:szCs w:val="20"/>
        </w:rPr>
        <w:t>odstot</w:t>
      </w:r>
      <w:r w:rsidR="00325949">
        <w:rPr>
          <w:rFonts w:ascii="Arial" w:hAnsi="Arial" w:cs="Arial"/>
          <w:bCs/>
          <w:sz w:val="20"/>
          <w:szCs w:val="20"/>
        </w:rPr>
        <w:t>n</w:t>
      </w:r>
      <w:r>
        <w:rPr>
          <w:rFonts w:ascii="Arial" w:hAnsi="Arial" w:cs="Arial"/>
          <w:bCs/>
          <w:sz w:val="20"/>
          <w:szCs w:val="20"/>
        </w:rPr>
        <w:t xml:space="preserve">a </w:t>
      </w:r>
      <w:r w:rsidRPr="00B058C6">
        <w:rPr>
          <w:rFonts w:ascii="Arial" w:hAnsi="Arial" w:cs="Arial"/>
          <w:bCs/>
          <w:sz w:val="20"/>
          <w:szCs w:val="20"/>
        </w:rPr>
        <w:t>in je bila v primerjavi z letom 2021 višja za 8,1</w:t>
      </w:r>
      <w:r w:rsidR="005B2D47">
        <w:rPr>
          <w:rFonts w:ascii="Arial" w:hAnsi="Arial" w:cs="Arial"/>
          <w:bCs/>
          <w:sz w:val="20"/>
          <w:szCs w:val="20"/>
        </w:rPr>
        <w:t xml:space="preserve"> </w:t>
      </w:r>
      <w:r w:rsidRPr="00B058C6">
        <w:rPr>
          <w:rFonts w:ascii="Arial" w:hAnsi="Arial" w:cs="Arial"/>
          <w:bCs/>
          <w:sz w:val="20"/>
          <w:szCs w:val="20"/>
        </w:rPr>
        <w:t>odstotn</w:t>
      </w:r>
      <w:r w:rsidR="005B2D47">
        <w:rPr>
          <w:rFonts w:ascii="Arial" w:hAnsi="Arial" w:cs="Arial"/>
          <w:bCs/>
          <w:sz w:val="20"/>
          <w:szCs w:val="20"/>
        </w:rPr>
        <w:t>e</w:t>
      </w:r>
      <w:r w:rsidRPr="00B058C6">
        <w:rPr>
          <w:rFonts w:ascii="Arial" w:hAnsi="Arial" w:cs="Arial"/>
          <w:bCs/>
          <w:sz w:val="20"/>
          <w:szCs w:val="20"/>
        </w:rPr>
        <w:t xml:space="preserve"> točk</w:t>
      </w:r>
      <w:r w:rsidR="005B2D47">
        <w:rPr>
          <w:rFonts w:ascii="Arial" w:hAnsi="Arial" w:cs="Arial"/>
          <w:bCs/>
          <w:sz w:val="20"/>
          <w:szCs w:val="20"/>
        </w:rPr>
        <w:t>e</w:t>
      </w:r>
      <w:r w:rsidRPr="00B058C6">
        <w:rPr>
          <w:rFonts w:ascii="Arial" w:hAnsi="Arial" w:cs="Arial"/>
          <w:bCs/>
          <w:sz w:val="20"/>
          <w:szCs w:val="20"/>
        </w:rPr>
        <w:t>.</w:t>
      </w:r>
      <w:r w:rsidR="00992912">
        <w:rPr>
          <w:rFonts w:ascii="Arial" w:hAnsi="Arial" w:cs="Arial"/>
          <w:bCs/>
          <w:sz w:val="20"/>
          <w:szCs w:val="20"/>
        </w:rPr>
        <w:t xml:space="preserve"> </w:t>
      </w:r>
      <w:r w:rsidRPr="00B058C6">
        <w:rPr>
          <w:rFonts w:ascii="Arial" w:hAnsi="Arial" w:cs="Arial"/>
          <w:bCs/>
          <w:sz w:val="20"/>
          <w:szCs w:val="20"/>
        </w:rPr>
        <w:t xml:space="preserve"> </w:t>
      </w:r>
    </w:p>
    <w:p w14:paraId="5A20A68B" w14:textId="238F1F12" w:rsidR="00D847F2" w:rsidRPr="004A77D8" w:rsidRDefault="00D847F2" w:rsidP="00D847F2">
      <w:pPr>
        <w:jc w:val="both"/>
        <w:rPr>
          <w:rFonts w:ascii="Arial" w:hAnsi="Arial" w:cs="Arial"/>
          <w:sz w:val="20"/>
          <w:szCs w:val="20"/>
        </w:rPr>
      </w:pPr>
      <w:r w:rsidRPr="004A77D8">
        <w:rPr>
          <w:rFonts w:ascii="Arial" w:hAnsi="Arial" w:cs="Arial"/>
          <w:sz w:val="20"/>
          <w:szCs w:val="20"/>
        </w:rPr>
        <w:t xml:space="preserve">Dodatno je FURS izvedel tudi pobote in unovčitve zavarovanj v višini </w:t>
      </w:r>
      <w:bookmarkStart w:id="8" w:name="_Hlk38114930"/>
      <w:r w:rsidRPr="0034392D">
        <w:rPr>
          <w:rFonts w:ascii="Arial" w:hAnsi="Arial" w:cs="Arial"/>
          <w:sz w:val="20"/>
          <w:szCs w:val="20"/>
        </w:rPr>
        <w:t>2</w:t>
      </w:r>
      <w:r>
        <w:rPr>
          <w:rFonts w:ascii="Arial" w:hAnsi="Arial" w:cs="Arial"/>
          <w:sz w:val="20"/>
          <w:szCs w:val="20"/>
        </w:rPr>
        <w:t>74</w:t>
      </w:r>
      <w:r w:rsidRPr="0034392D">
        <w:rPr>
          <w:rFonts w:ascii="Arial" w:hAnsi="Arial" w:cs="Arial"/>
          <w:sz w:val="20"/>
          <w:szCs w:val="20"/>
        </w:rPr>
        <w:t>.</w:t>
      </w:r>
      <w:r>
        <w:rPr>
          <w:rFonts w:ascii="Arial" w:hAnsi="Arial" w:cs="Arial"/>
          <w:sz w:val="20"/>
          <w:szCs w:val="20"/>
        </w:rPr>
        <w:t>771</w:t>
      </w:r>
      <w:r w:rsidRPr="0034392D">
        <w:rPr>
          <w:rFonts w:ascii="Arial" w:hAnsi="Arial" w:cs="Arial"/>
          <w:sz w:val="20"/>
          <w:szCs w:val="20"/>
        </w:rPr>
        <w:t>.</w:t>
      </w:r>
      <w:r>
        <w:rPr>
          <w:rFonts w:ascii="Arial" w:hAnsi="Arial" w:cs="Arial"/>
          <w:sz w:val="20"/>
          <w:szCs w:val="20"/>
        </w:rPr>
        <w:t>248</w:t>
      </w:r>
      <w:r w:rsidR="009922FF" w:rsidRPr="0034392D">
        <w:rPr>
          <w:rFonts w:ascii="Arial" w:hAnsi="Arial" w:cs="Arial"/>
          <w:sz w:val="20"/>
          <w:szCs w:val="20"/>
        </w:rPr>
        <w:t> EUR</w:t>
      </w:r>
      <w:r w:rsidRPr="0034392D">
        <w:rPr>
          <w:rFonts w:ascii="Arial" w:hAnsi="Arial" w:cs="Arial"/>
          <w:sz w:val="20"/>
          <w:szCs w:val="20"/>
        </w:rPr>
        <w:t>.</w:t>
      </w:r>
      <w:r w:rsidRPr="004A77D8">
        <w:rPr>
          <w:rFonts w:ascii="Arial" w:hAnsi="Arial" w:cs="Arial"/>
          <w:sz w:val="20"/>
          <w:szCs w:val="20"/>
        </w:rPr>
        <w:t xml:space="preserve"> </w:t>
      </w:r>
      <w:bookmarkEnd w:id="8"/>
    </w:p>
    <w:p w14:paraId="31A1FD9C" w14:textId="3320F3FB" w:rsidR="00D847F2" w:rsidRPr="00800D56" w:rsidRDefault="00D847F2" w:rsidP="00D847F2">
      <w:pPr>
        <w:pStyle w:val="FURSNavaden"/>
        <w:spacing w:line="260" w:lineRule="exact"/>
        <w:rPr>
          <w:rFonts w:eastAsia="Times New Roman" w:cs="Arial"/>
          <w:szCs w:val="20"/>
          <w:highlight w:val="yellow"/>
        </w:rPr>
      </w:pPr>
      <w:bookmarkStart w:id="9" w:name="_Hlk38115103"/>
      <w:r w:rsidRPr="00800D56">
        <w:rPr>
          <w:rFonts w:cs="Arial"/>
          <w:bCs/>
          <w:szCs w:val="20"/>
        </w:rPr>
        <w:t>Na podlagi izdanih sklepov o davčni izvršbi je bilo v letu 2022 izterjanega za 166.611.402</w:t>
      </w:r>
      <w:r w:rsidR="009922FF" w:rsidRPr="00800D56">
        <w:rPr>
          <w:rFonts w:cs="Arial"/>
          <w:bCs/>
          <w:szCs w:val="20"/>
        </w:rPr>
        <w:t> EUR</w:t>
      </w:r>
      <w:r w:rsidRPr="00800D56">
        <w:rPr>
          <w:rFonts w:cs="Arial"/>
          <w:bCs/>
          <w:szCs w:val="20"/>
        </w:rPr>
        <w:t xml:space="preserve"> dolga iz naslova davčnih terjatev. </w:t>
      </w:r>
      <w:r w:rsidRPr="00800D56">
        <w:rPr>
          <w:rFonts w:eastAsia="Times New Roman" w:cs="Arial"/>
          <w:szCs w:val="20"/>
        </w:rPr>
        <w:t>Najučinkovitejše sredstvo izvršbe z vidika plačil je bila izvršba na denarna sredstva dolžnika pri bankah ali hranilnicah z 71,1</w:t>
      </w:r>
      <w:r>
        <w:rPr>
          <w:rFonts w:eastAsia="Times New Roman" w:cs="Arial"/>
          <w:szCs w:val="20"/>
        </w:rPr>
        <w:t>-</w:t>
      </w:r>
      <w:r w:rsidRPr="00800D56">
        <w:rPr>
          <w:rFonts w:eastAsia="Times New Roman" w:cs="Arial"/>
          <w:szCs w:val="20"/>
        </w:rPr>
        <w:t xml:space="preserve">odstotnim deležem plačil, sledi izvršba na premično premoženje s 17,3 odstotka, 7,7 odstotka </w:t>
      </w:r>
      <w:r>
        <w:rPr>
          <w:rFonts w:eastAsia="Times New Roman" w:cs="Arial"/>
          <w:szCs w:val="20"/>
        </w:rPr>
        <w:t>zavzema</w:t>
      </w:r>
      <w:r w:rsidRPr="00800D56">
        <w:rPr>
          <w:rFonts w:eastAsia="Times New Roman" w:cs="Arial"/>
          <w:szCs w:val="20"/>
        </w:rPr>
        <w:t xml:space="preserve"> izvršba na dolžnikove denarne prejemke in 3,9 odstotka izvršba na dolžnikove denarne terjatve.</w:t>
      </w:r>
      <w:r w:rsidR="00992912">
        <w:rPr>
          <w:rFonts w:eastAsia="Times New Roman" w:cs="Arial"/>
          <w:szCs w:val="20"/>
        </w:rPr>
        <w:t xml:space="preserve"> </w:t>
      </w:r>
    </w:p>
    <w:p w14:paraId="2E8B1EB8" w14:textId="77777777" w:rsidR="00D847F2" w:rsidRPr="00ED4020" w:rsidRDefault="00D847F2" w:rsidP="00D847F2">
      <w:pPr>
        <w:pStyle w:val="FURSNavaden"/>
        <w:spacing w:line="260" w:lineRule="exact"/>
        <w:rPr>
          <w:rFonts w:eastAsia="Times New Roman" w:cs="Arial"/>
          <w:szCs w:val="20"/>
        </w:rPr>
      </w:pPr>
    </w:p>
    <w:bookmarkEnd w:id="9"/>
    <w:p w14:paraId="2A26328A" w14:textId="4AEEF4DC" w:rsidR="00D847F2" w:rsidRDefault="00D847F2" w:rsidP="00D847F2">
      <w:pPr>
        <w:spacing w:line="260" w:lineRule="exact"/>
        <w:contextualSpacing/>
        <w:jc w:val="both"/>
        <w:rPr>
          <w:rFonts w:ascii="Arial" w:hAnsi="Arial" w:cs="Arial"/>
          <w:sz w:val="20"/>
          <w:szCs w:val="20"/>
        </w:rPr>
      </w:pPr>
      <w:r w:rsidRPr="00ED4020">
        <w:rPr>
          <w:rFonts w:ascii="Arial" w:hAnsi="Arial" w:cs="Arial"/>
          <w:sz w:val="20"/>
          <w:szCs w:val="20"/>
        </w:rPr>
        <w:t>V poročilu so predstavljeni tudi ukrepi davčnega nadzora, s katerimi je bilo v letu 202</w:t>
      </w:r>
      <w:r>
        <w:rPr>
          <w:rFonts w:ascii="Arial" w:hAnsi="Arial" w:cs="Arial"/>
          <w:sz w:val="20"/>
          <w:szCs w:val="20"/>
        </w:rPr>
        <w:t>2</w:t>
      </w:r>
      <w:r w:rsidRPr="00ED4020">
        <w:rPr>
          <w:rFonts w:ascii="Arial" w:hAnsi="Arial" w:cs="Arial"/>
          <w:sz w:val="20"/>
          <w:szCs w:val="20"/>
        </w:rPr>
        <w:t xml:space="preserve"> dodatno odmerjenih 229.478.183</w:t>
      </w:r>
      <w:r w:rsidR="009922FF" w:rsidRPr="00ED4020">
        <w:rPr>
          <w:rFonts w:ascii="Arial" w:hAnsi="Arial" w:cs="Arial"/>
          <w:sz w:val="20"/>
          <w:szCs w:val="20"/>
        </w:rPr>
        <w:t> EUR</w:t>
      </w:r>
      <w:r w:rsidRPr="00ED4020">
        <w:rPr>
          <w:rFonts w:ascii="Arial" w:hAnsi="Arial" w:cs="Arial"/>
          <w:b/>
          <w:sz w:val="20"/>
          <w:szCs w:val="20"/>
        </w:rPr>
        <w:t xml:space="preserve"> </w:t>
      </w:r>
      <w:r w:rsidRPr="00ED4020">
        <w:rPr>
          <w:rFonts w:ascii="Arial" w:hAnsi="Arial" w:cs="Arial"/>
          <w:sz w:val="20"/>
          <w:szCs w:val="20"/>
        </w:rPr>
        <w:t>obveznosti. Prav tako so opisane nekatere aktivnosti za spodbujanje prostovoljnega plačevanja dajatev.</w:t>
      </w:r>
      <w:r w:rsidRPr="00FC4EFE">
        <w:rPr>
          <w:rFonts w:ascii="Arial" w:hAnsi="Arial" w:cs="Arial"/>
          <w:sz w:val="20"/>
          <w:szCs w:val="20"/>
        </w:rPr>
        <w:t xml:space="preserve"> </w:t>
      </w:r>
    </w:p>
    <w:p w14:paraId="166DACBB" w14:textId="77777777" w:rsidR="00D847F2" w:rsidRPr="007A4551" w:rsidRDefault="00D847F2" w:rsidP="00D847F2">
      <w:pPr>
        <w:jc w:val="both"/>
        <w:rPr>
          <w:rFonts w:ascii="Arial" w:hAnsi="Arial" w:cs="Arial"/>
          <w:b/>
        </w:rPr>
      </w:pPr>
      <w:r w:rsidRPr="00FC4EFE">
        <w:rPr>
          <w:rFonts w:ascii="Arial" w:hAnsi="Arial" w:cs="Arial"/>
          <w:sz w:val="20"/>
          <w:szCs w:val="20"/>
        </w:rPr>
        <w:br w:type="page"/>
      </w:r>
      <w:bookmarkStart w:id="10" w:name="_Hlk99693219"/>
      <w:r w:rsidRPr="007A4551">
        <w:rPr>
          <w:rFonts w:ascii="Arial" w:hAnsi="Arial" w:cs="Arial"/>
          <w:b/>
        </w:rPr>
        <w:lastRenderedPageBreak/>
        <w:t>1</w:t>
      </w:r>
      <w:r w:rsidRPr="007A4551">
        <w:rPr>
          <w:rFonts w:ascii="Arial" w:hAnsi="Arial" w:cs="Arial"/>
          <w:b/>
        </w:rPr>
        <w:tab/>
        <w:t>Uvod</w:t>
      </w:r>
    </w:p>
    <w:p w14:paraId="0888382F" w14:textId="6BAED432" w:rsidR="00D847F2" w:rsidRDefault="00D847F2" w:rsidP="00D847F2">
      <w:pPr>
        <w:pStyle w:val="Pripombabesedilo"/>
        <w:spacing w:line="276" w:lineRule="auto"/>
        <w:rPr>
          <w:rFonts w:ascii="Arial" w:hAnsi="Arial" w:cs="Arial"/>
        </w:rPr>
      </w:pPr>
      <w:r w:rsidRPr="00913AAB">
        <w:rPr>
          <w:rFonts w:ascii="Arial" w:hAnsi="Arial" w:cs="Arial"/>
        </w:rPr>
        <w:t>FURS</w:t>
      </w:r>
      <w:r>
        <w:rPr>
          <w:rFonts w:ascii="Arial" w:hAnsi="Arial" w:cs="Arial"/>
        </w:rPr>
        <w:t xml:space="preserve"> je na podlagi p</w:t>
      </w:r>
      <w:r w:rsidRPr="000B1183">
        <w:rPr>
          <w:rFonts w:ascii="Arial" w:hAnsi="Arial" w:cs="Arial"/>
          <w:iCs/>
          <w:lang w:eastAsia="sl-SI"/>
        </w:rPr>
        <w:t>rv</w:t>
      </w:r>
      <w:r>
        <w:rPr>
          <w:rFonts w:ascii="Arial" w:hAnsi="Arial" w:cs="Arial"/>
          <w:iCs/>
          <w:lang w:eastAsia="sl-SI"/>
        </w:rPr>
        <w:t>ega</w:t>
      </w:r>
      <w:r w:rsidRPr="000B1183">
        <w:rPr>
          <w:rFonts w:ascii="Arial" w:hAnsi="Arial" w:cs="Arial"/>
          <w:iCs/>
          <w:lang w:eastAsia="sl-SI"/>
        </w:rPr>
        <w:t xml:space="preserve"> odstavk</w:t>
      </w:r>
      <w:r>
        <w:rPr>
          <w:rFonts w:ascii="Arial" w:hAnsi="Arial" w:cs="Arial"/>
          <w:iCs/>
          <w:lang w:eastAsia="sl-SI"/>
        </w:rPr>
        <w:t>a</w:t>
      </w:r>
      <w:r w:rsidRPr="000B1183">
        <w:rPr>
          <w:rFonts w:ascii="Arial" w:hAnsi="Arial" w:cs="Arial"/>
          <w:iCs/>
          <w:lang w:eastAsia="sl-SI"/>
        </w:rPr>
        <w:t xml:space="preserve"> 64.a člena Zakona o javnih financah </w:t>
      </w:r>
      <w:r w:rsidRPr="00B431A6">
        <w:rPr>
          <w:rFonts w:ascii="Arial" w:hAnsi="Arial" w:cs="Arial"/>
          <w:iCs/>
        </w:rPr>
        <w:t xml:space="preserve">(Uradni list RS, št. 11/11 – uradno prečiščeno besedilo, 14/13 – </w:t>
      </w:r>
      <w:proofErr w:type="spellStart"/>
      <w:r w:rsidRPr="00B431A6">
        <w:rPr>
          <w:rFonts w:ascii="Arial" w:hAnsi="Arial" w:cs="Arial"/>
          <w:iCs/>
        </w:rPr>
        <w:t>popr</w:t>
      </w:r>
      <w:proofErr w:type="spellEnd"/>
      <w:r w:rsidRPr="00B431A6">
        <w:rPr>
          <w:rFonts w:ascii="Arial" w:hAnsi="Arial" w:cs="Arial"/>
          <w:iCs/>
        </w:rPr>
        <w:t xml:space="preserve">., 101/13, 55/15 – </w:t>
      </w:r>
      <w:proofErr w:type="spellStart"/>
      <w:r w:rsidRPr="00B431A6">
        <w:rPr>
          <w:rFonts w:ascii="Arial" w:hAnsi="Arial" w:cs="Arial"/>
          <w:iCs/>
        </w:rPr>
        <w:t>ZFisP</w:t>
      </w:r>
      <w:proofErr w:type="spellEnd"/>
      <w:r w:rsidRPr="00B431A6">
        <w:rPr>
          <w:rFonts w:ascii="Arial" w:hAnsi="Arial" w:cs="Arial"/>
          <w:iCs/>
        </w:rPr>
        <w:t>, 96/15 – ZIPRS1617, 13/18</w:t>
      </w:r>
      <w:r>
        <w:rPr>
          <w:rFonts w:ascii="Arial" w:hAnsi="Arial" w:cs="Arial"/>
          <w:iCs/>
        </w:rPr>
        <w:t>,</w:t>
      </w:r>
      <w:r w:rsidRPr="00B431A6">
        <w:rPr>
          <w:rFonts w:ascii="Arial" w:hAnsi="Arial" w:cs="Arial"/>
          <w:iCs/>
        </w:rPr>
        <w:t xml:space="preserve"> 195/20 – </w:t>
      </w:r>
      <w:proofErr w:type="spellStart"/>
      <w:r w:rsidRPr="00B431A6">
        <w:rPr>
          <w:rFonts w:ascii="Arial" w:hAnsi="Arial" w:cs="Arial"/>
          <w:iCs/>
        </w:rPr>
        <w:t>odl</w:t>
      </w:r>
      <w:proofErr w:type="spellEnd"/>
      <w:r w:rsidRPr="00B431A6">
        <w:rPr>
          <w:rFonts w:ascii="Arial" w:hAnsi="Arial" w:cs="Arial"/>
          <w:iCs/>
        </w:rPr>
        <w:t>. US</w:t>
      </w:r>
      <w:r>
        <w:rPr>
          <w:rFonts w:ascii="Arial" w:hAnsi="Arial" w:cs="Arial"/>
          <w:iCs/>
        </w:rPr>
        <w:t xml:space="preserve"> in </w:t>
      </w:r>
      <w:hyperlink r:id="rId12" w:tgtFrame="_blank" w:tooltip="Zakon o spremembah in dopolnitvah Zakona o državni upravi" w:history="1">
        <w:r w:rsidRPr="00B17D7F">
          <w:rPr>
            <w:rFonts w:ascii="Arial" w:hAnsi="Arial" w:cs="Arial"/>
          </w:rPr>
          <w:t>18/23</w:t>
        </w:r>
      </w:hyperlink>
      <w:r w:rsidRPr="00B17D7F">
        <w:rPr>
          <w:rFonts w:ascii="Arial" w:hAnsi="Arial" w:cs="Arial"/>
        </w:rPr>
        <w:t xml:space="preserve"> </w:t>
      </w:r>
      <w:r w:rsidRPr="00D16D73">
        <w:rPr>
          <w:rFonts w:ascii="Arial" w:hAnsi="Arial" w:cs="Arial"/>
        </w:rPr>
        <w:t>– ZDU-1O</w:t>
      </w:r>
      <w:r w:rsidRPr="006E1F2C">
        <w:rPr>
          <w:rFonts w:ascii="Arial" w:hAnsi="Arial" w:cs="Arial"/>
          <w:iCs/>
        </w:rPr>
        <w:t>)</w:t>
      </w:r>
      <w:r w:rsidR="00992912">
        <w:rPr>
          <w:rFonts w:ascii="Arial" w:hAnsi="Arial" w:cs="Arial"/>
          <w:iCs/>
          <w:lang w:eastAsia="sl-SI"/>
        </w:rPr>
        <w:t xml:space="preserve"> </w:t>
      </w:r>
      <w:r>
        <w:rPr>
          <w:rFonts w:ascii="Arial" w:hAnsi="Arial" w:cs="Arial"/>
        </w:rPr>
        <w:t xml:space="preserve"> pripravil P</w:t>
      </w:r>
      <w:r w:rsidRPr="00913AAB">
        <w:rPr>
          <w:rFonts w:ascii="Arial" w:hAnsi="Arial" w:cs="Arial"/>
        </w:rPr>
        <w:t>oročilo o stanju in gibanju davčnega dolga po stanju na dan 3</w:t>
      </w:r>
      <w:r>
        <w:rPr>
          <w:rFonts w:ascii="Arial" w:hAnsi="Arial" w:cs="Arial"/>
        </w:rPr>
        <w:t>1</w:t>
      </w:r>
      <w:r w:rsidRPr="00913AAB">
        <w:rPr>
          <w:rFonts w:ascii="Arial" w:hAnsi="Arial" w:cs="Arial"/>
        </w:rPr>
        <w:t xml:space="preserve">. </w:t>
      </w:r>
      <w:r w:rsidR="000E7DDB">
        <w:rPr>
          <w:rFonts w:ascii="Arial" w:hAnsi="Arial" w:cs="Arial"/>
        </w:rPr>
        <w:t>december</w:t>
      </w:r>
      <w:r w:rsidRPr="00913AAB">
        <w:rPr>
          <w:rFonts w:ascii="Arial" w:hAnsi="Arial" w:cs="Arial"/>
        </w:rPr>
        <w:t xml:space="preserve"> 20</w:t>
      </w:r>
      <w:r>
        <w:rPr>
          <w:rFonts w:ascii="Arial" w:hAnsi="Arial" w:cs="Arial"/>
        </w:rPr>
        <w:t>22 za namen predložitve državnemu zboru hkrati z zaključnim računom državnega proračuna za leto 2022. Podatki v poročilu so pripravljeni na podlagi zaključnega računa FURS za leto 2022.</w:t>
      </w:r>
    </w:p>
    <w:p w14:paraId="6CE02A07" w14:textId="3BD333E9" w:rsidR="00D847F2" w:rsidRDefault="00D847F2" w:rsidP="00D847F2">
      <w:pPr>
        <w:pStyle w:val="Pripombabesedilo"/>
        <w:spacing w:line="276" w:lineRule="auto"/>
        <w:rPr>
          <w:rFonts w:ascii="Arial" w:hAnsi="Arial" w:cs="Arial"/>
        </w:rPr>
      </w:pPr>
    </w:p>
    <w:p w14:paraId="6EB94F44" w14:textId="3AC1BD41" w:rsidR="00D847F2" w:rsidRDefault="00D847F2" w:rsidP="00D847F2">
      <w:pPr>
        <w:pStyle w:val="Pripombabesedilo"/>
        <w:spacing w:line="276" w:lineRule="auto"/>
        <w:rPr>
          <w:rFonts w:ascii="Arial" w:hAnsi="Arial" w:cs="Arial"/>
        </w:rPr>
      </w:pPr>
      <w:r>
        <w:rPr>
          <w:rFonts w:ascii="Arial" w:hAnsi="Arial" w:cs="Arial"/>
        </w:rPr>
        <w:t>Čeprav je predloženo hkrati z zaključnim računom državnega proračuna, pa se poročilo o prihodkih in davčnem dolgu nanaša na vse štiri javnofinančne blagajne</w:t>
      </w:r>
      <w:r w:rsidR="00EF66A2">
        <w:rPr>
          <w:rFonts w:ascii="Arial" w:hAnsi="Arial" w:cs="Arial"/>
        </w:rPr>
        <w:t>,</w:t>
      </w:r>
      <w:r>
        <w:rPr>
          <w:rFonts w:ascii="Arial" w:hAnsi="Arial" w:cs="Arial"/>
        </w:rPr>
        <w:t xml:space="preserve"> za katere FURS pobira dajatve: </w:t>
      </w:r>
      <w:r w:rsidRPr="00913AAB">
        <w:rPr>
          <w:rFonts w:ascii="Arial" w:hAnsi="Arial" w:cs="Arial"/>
        </w:rPr>
        <w:t>proračun</w:t>
      </w:r>
      <w:r>
        <w:rPr>
          <w:rFonts w:ascii="Arial" w:hAnsi="Arial" w:cs="Arial"/>
        </w:rPr>
        <w:t xml:space="preserve"> države, ZPIZ, ZZZS in proračune</w:t>
      </w:r>
      <w:r w:rsidRPr="00913AAB">
        <w:rPr>
          <w:rFonts w:ascii="Arial" w:hAnsi="Arial" w:cs="Arial"/>
        </w:rPr>
        <w:t xml:space="preserve"> občin.</w:t>
      </w:r>
      <w:r w:rsidR="00992912">
        <w:rPr>
          <w:rFonts w:ascii="Arial" w:hAnsi="Arial" w:cs="Arial"/>
        </w:rPr>
        <w:t xml:space="preserve"> </w:t>
      </w:r>
    </w:p>
    <w:p w14:paraId="5622E64D" w14:textId="77777777" w:rsidR="00D847F2" w:rsidRPr="00254B11" w:rsidRDefault="00D847F2" w:rsidP="00D847F2">
      <w:pPr>
        <w:pStyle w:val="Pripombabesedilo"/>
        <w:rPr>
          <w:rFonts w:ascii="Arial" w:hAnsi="Arial" w:cs="Arial"/>
          <w:color w:val="FF0000"/>
        </w:rPr>
      </w:pPr>
    </w:p>
    <w:p w14:paraId="13EA08E5" w14:textId="5A6912E7" w:rsidR="00D847F2" w:rsidRPr="001E3F18" w:rsidRDefault="00D847F2" w:rsidP="00D847F2">
      <w:pPr>
        <w:pStyle w:val="Pripombabesedilo"/>
        <w:spacing w:line="276" w:lineRule="auto"/>
        <w:rPr>
          <w:rFonts w:ascii="Arial" w:hAnsi="Arial" w:cs="Arial"/>
        </w:rPr>
      </w:pPr>
      <w:r w:rsidRPr="00993CAB">
        <w:rPr>
          <w:rFonts w:ascii="Arial" w:hAnsi="Arial" w:cs="Arial"/>
        </w:rPr>
        <w:t xml:space="preserve">V poročilu so sicer </w:t>
      </w:r>
      <w:r w:rsidR="00EF66A2">
        <w:rPr>
          <w:rFonts w:ascii="Arial" w:hAnsi="Arial" w:cs="Arial"/>
        </w:rPr>
        <w:t>posebej</w:t>
      </w:r>
      <w:r w:rsidR="00EF66A2" w:rsidRPr="00993CAB">
        <w:rPr>
          <w:rFonts w:ascii="Arial" w:hAnsi="Arial" w:cs="Arial"/>
        </w:rPr>
        <w:t xml:space="preserve"> </w:t>
      </w:r>
      <w:r w:rsidR="00EF66A2">
        <w:rPr>
          <w:rFonts w:ascii="Arial" w:hAnsi="Arial" w:cs="Arial"/>
        </w:rPr>
        <w:t xml:space="preserve">poudarjeni </w:t>
      </w:r>
      <w:r w:rsidRPr="00993CAB">
        <w:rPr>
          <w:rFonts w:ascii="Arial" w:hAnsi="Arial" w:cs="Arial"/>
        </w:rPr>
        <w:t>podatki, ki se nanašajo na prihodke in davčni dolg za blagajno proračuna države, vendar neposredna primerjava teh podatkov iz zaključnega računa FURS in zaključnega računa državnega proračuna ni mogoča. Na strani prihodkov je namreč precejšen del davka iz naslova dohodnine, ki ga pobere FURS in vplača v državni proračun, zaradi sistema financiranja občin v proračunu države na kontih razreda 7 zmanjšan in so zato prihodki iz naslova dohodnine v zaključnem računu države precej nižji</w:t>
      </w:r>
      <w:r w:rsidR="00EF66A2">
        <w:rPr>
          <w:rFonts w:ascii="Arial" w:hAnsi="Arial" w:cs="Arial"/>
        </w:rPr>
        <w:t>,</w:t>
      </w:r>
      <w:r w:rsidRPr="00993CAB">
        <w:rPr>
          <w:rFonts w:ascii="Arial" w:hAnsi="Arial" w:cs="Arial"/>
        </w:rPr>
        <w:t xml:space="preserve"> </w:t>
      </w:r>
      <w:r w:rsidR="00EF66A2">
        <w:rPr>
          <w:rFonts w:ascii="Arial" w:hAnsi="Arial" w:cs="Arial"/>
        </w:rPr>
        <w:t>kot jih</w:t>
      </w:r>
      <w:r w:rsidR="00EF66A2" w:rsidRPr="00993CAB">
        <w:rPr>
          <w:rFonts w:ascii="Arial" w:hAnsi="Arial" w:cs="Arial"/>
        </w:rPr>
        <w:t xml:space="preserve"> </w:t>
      </w:r>
      <w:r w:rsidRPr="00993CAB">
        <w:rPr>
          <w:rFonts w:ascii="Arial" w:hAnsi="Arial" w:cs="Arial"/>
        </w:rPr>
        <w:t>dejansko pob</w:t>
      </w:r>
      <w:r w:rsidR="00EF66A2">
        <w:rPr>
          <w:rFonts w:ascii="Arial" w:hAnsi="Arial" w:cs="Arial"/>
        </w:rPr>
        <w:t>e</w:t>
      </w:r>
      <w:r w:rsidRPr="00993CAB">
        <w:rPr>
          <w:rFonts w:ascii="Arial" w:hAnsi="Arial" w:cs="Arial"/>
        </w:rPr>
        <w:t>r</w:t>
      </w:r>
      <w:r w:rsidR="00EF66A2">
        <w:rPr>
          <w:rFonts w:ascii="Arial" w:hAnsi="Arial" w:cs="Arial"/>
        </w:rPr>
        <w:t>e</w:t>
      </w:r>
      <w:r w:rsidRPr="00993CAB">
        <w:rPr>
          <w:rFonts w:ascii="Arial" w:hAnsi="Arial" w:cs="Arial"/>
        </w:rPr>
        <w:t xml:space="preserve"> FURS. </w:t>
      </w:r>
      <w:r w:rsidRPr="001E3F18">
        <w:rPr>
          <w:rFonts w:ascii="Arial" w:hAnsi="Arial" w:cs="Arial"/>
        </w:rPr>
        <w:t>Ta razlika je v 2022</w:t>
      </w:r>
      <w:r w:rsidRPr="001E3F18">
        <w:rPr>
          <w:rStyle w:val="Sprotnaopomba-sklic"/>
          <w:rFonts w:ascii="Arial" w:hAnsi="Arial" w:cs="Arial"/>
        </w:rPr>
        <w:footnoteReference w:id="5"/>
      </w:r>
      <w:r w:rsidRPr="001E3F18">
        <w:rPr>
          <w:rFonts w:ascii="Arial" w:hAnsi="Arial" w:cs="Arial"/>
        </w:rPr>
        <w:t xml:space="preserve"> znašala več kot 1,3 milijarde EUR. Na drugi strani je celotni davčni dolg iz naslova dohodnine v zaključnem računu FURS izkazan v blagajni državnega proračuna. </w:t>
      </w:r>
    </w:p>
    <w:p w14:paraId="1463E268" w14:textId="77777777" w:rsidR="00D847F2" w:rsidRDefault="00D847F2" w:rsidP="00D847F2">
      <w:pPr>
        <w:pStyle w:val="Pripombabesedilo"/>
        <w:spacing w:line="276" w:lineRule="auto"/>
        <w:rPr>
          <w:rFonts w:ascii="Arial" w:hAnsi="Arial" w:cs="Arial"/>
          <w:color w:val="FF0000"/>
        </w:rPr>
      </w:pPr>
    </w:p>
    <w:p w14:paraId="04E9F31E" w14:textId="77777777" w:rsidR="00D847F2" w:rsidRPr="007A4551" w:rsidRDefault="00D847F2" w:rsidP="00D847F2">
      <w:pPr>
        <w:rPr>
          <w:rFonts w:ascii="Arial" w:hAnsi="Arial" w:cs="Arial"/>
          <w:b/>
        </w:rPr>
      </w:pPr>
      <w:r w:rsidRPr="007A4551">
        <w:rPr>
          <w:rFonts w:ascii="Arial" w:hAnsi="Arial" w:cs="Arial"/>
          <w:b/>
        </w:rPr>
        <w:t>2</w:t>
      </w:r>
      <w:r w:rsidRPr="007A4551">
        <w:rPr>
          <w:rFonts w:ascii="Arial" w:hAnsi="Arial" w:cs="Arial"/>
          <w:b/>
        </w:rPr>
        <w:tab/>
        <w:t>Pobrani prihodki</w:t>
      </w:r>
    </w:p>
    <w:p w14:paraId="1E20872A" w14:textId="75F0E298" w:rsidR="00D847F2" w:rsidRPr="009F2DC5" w:rsidRDefault="00D847F2" w:rsidP="00D847F2">
      <w:pPr>
        <w:jc w:val="both"/>
        <w:rPr>
          <w:rFonts w:ascii="Arial" w:hAnsi="Arial" w:cs="Arial"/>
          <w:sz w:val="20"/>
          <w:szCs w:val="20"/>
        </w:rPr>
      </w:pPr>
      <w:r w:rsidRPr="009A018A">
        <w:rPr>
          <w:rFonts w:ascii="Arial" w:hAnsi="Arial" w:cs="Arial"/>
          <w:sz w:val="20"/>
          <w:szCs w:val="20"/>
        </w:rPr>
        <w:t xml:space="preserve">FURS pobira dajatve, ki so prihodek štirih blagajn javnega financiranja, in sicer: proračuna države, </w:t>
      </w:r>
      <w:r>
        <w:rPr>
          <w:rFonts w:ascii="Arial" w:hAnsi="Arial" w:cs="Arial"/>
          <w:sz w:val="20"/>
          <w:szCs w:val="20"/>
        </w:rPr>
        <w:t>ZPIZ</w:t>
      </w:r>
      <w:r w:rsidRPr="009A018A">
        <w:rPr>
          <w:rFonts w:ascii="Arial" w:hAnsi="Arial" w:cs="Arial"/>
          <w:sz w:val="20"/>
          <w:szCs w:val="20"/>
        </w:rPr>
        <w:t xml:space="preserve">, </w:t>
      </w:r>
      <w:r>
        <w:rPr>
          <w:rFonts w:ascii="Arial" w:hAnsi="Arial" w:cs="Arial"/>
          <w:sz w:val="20"/>
          <w:szCs w:val="20"/>
        </w:rPr>
        <w:t>ZZZS</w:t>
      </w:r>
      <w:r w:rsidRPr="009A018A">
        <w:rPr>
          <w:rFonts w:ascii="Arial" w:hAnsi="Arial" w:cs="Arial"/>
          <w:sz w:val="20"/>
          <w:szCs w:val="20"/>
        </w:rPr>
        <w:t xml:space="preserve"> in proračunov </w:t>
      </w:r>
      <w:r w:rsidRPr="009F2DC5">
        <w:rPr>
          <w:rFonts w:ascii="Arial" w:hAnsi="Arial" w:cs="Arial"/>
          <w:sz w:val="20"/>
          <w:szCs w:val="20"/>
        </w:rPr>
        <w:t>občin. Prek proračuna države se del prihodkov razporeja tudi v proračun Evropske unije.</w:t>
      </w:r>
    </w:p>
    <w:p w14:paraId="60EE11C0" w14:textId="313B90BD" w:rsidR="00D847F2" w:rsidRPr="00E769B7" w:rsidRDefault="00D847F2" w:rsidP="00D847F2">
      <w:pPr>
        <w:jc w:val="both"/>
        <w:rPr>
          <w:rFonts w:ascii="Arial" w:hAnsi="Arial" w:cs="Arial"/>
          <w:sz w:val="20"/>
          <w:szCs w:val="20"/>
        </w:rPr>
      </w:pPr>
      <w:r w:rsidRPr="009F2DC5">
        <w:rPr>
          <w:rFonts w:ascii="Arial" w:hAnsi="Arial" w:cs="Arial"/>
          <w:sz w:val="20"/>
          <w:szCs w:val="20"/>
        </w:rPr>
        <w:t>V letu 202</w:t>
      </w:r>
      <w:r>
        <w:rPr>
          <w:rFonts w:ascii="Arial" w:hAnsi="Arial" w:cs="Arial"/>
          <w:sz w:val="20"/>
          <w:szCs w:val="20"/>
        </w:rPr>
        <w:t>2</w:t>
      </w:r>
      <w:r w:rsidRPr="009F2DC5">
        <w:rPr>
          <w:rFonts w:ascii="Arial" w:hAnsi="Arial" w:cs="Arial"/>
          <w:sz w:val="20"/>
          <w:szCs w:val="20"/>
        </w:rPr>
        <w:t xml:space="preserve"> je FURS pobral </w:t>
      </w:r>
      <w:r w:rsidRPr="0034717D">
        <w:rPr>
          <w:rFonts w:ascii="Arial" w:hAnsi="Arial" w:cs="Arial"/>
          <w:sz w:val="20"/>
          <w:szCs w:val="20"/>
        </w:rPr>
        <w:t xml:space="preserve">neto 21.038.828.085 EUR </w:t>
      </w:r>
      <w:r w:rsidRPr="009F2DC5">
        <w:rPr>
          <w:rFonts w:ascii="Arial" w:hAnsi="Arial" w:cs="Arial"/>
          <w:sz w:val="20"/>
          <w:szCs w:val="20"/>
        </w:rPr>
        <w:t xml:space="preserve">prihodkov za vse štiri </w:t>
      </w:r>
      <w:r w:rsidRPr="00E769B7">
        <w:rPr>
          <w:rFonts w:ascii="Arial" w:hAnsi="Arial" w:cs="Arial"/>
          <w:sz w:val="20"/>
          <w:szCs w:val="20"/>
        </w:rPr>
        <w:t>blagajne javnega financiranja, kar je za 1.833.334.101 EUR oziroma 9,5 odstotk</w:t>
      </w:r>
      <w:r>
        <w:rPr>
          <w:rFonts w:ascii="Arial" w:hAnsi="Arial" w:cs="Arial"/>
          <w:sz w:val="20"/>
          <w:szCs w:val="20"/>
        </w:rPr>
        <w:t>a</w:t>
      </w:r>
      <w:r w:rsidRPr="00E769B7">
        <w:rPr>
          <w:rFonts w:ascii="Arial" w:hAnsi="Arial" w:cs="Arial"/>
          <w:sz w:val="20"/>
          <w:szCs w:val="20"/>
        </w:rPr>
        <w:t xml:space="preserve"> več kot v letu 2021. </w:t>
      </w:r>
      <w:r w:rsidRPr="00C131FE">
        <w:rPr>
          <w:rFonts w:ascii="Arial" w:hAnsi="Arial" w:cs="Arial"/>
          <w:sz w:val="20"/>
          <w:szCs w:val="20"/>
        </w:rPr>
        <w:t xml:space="preserve">Po letu 2020, ki </w:t>
      </w:r>
      <w:r w:rsidR="00FB3A6B">
        <w:rPr>
          <w:rFonts w:ascii="Arial" w:hAnsi="Arial" w:cs="Arial"/>
          <w:sz w:val="20"/>
          <w:szCs w:val="20"/>
        </w:rPr>
        <w:t xml:space="preserve">sta </w:t>
      </w:r>
      <w:r w:rsidRPr="00C131FE">
        <w:rPr>
          <w:rFonts w:ascii="Arial" w:hAnsi="Arial" w:cs="Arial"/>
          <w:sz w:val="20"/>
          <w:szCs w:val="20"/>
        </w:rPr>
        <w:t xml:space="preserve">ga zaznamovala epidemija </w:t>
      </w:r>
      <w:r w:rsidR="00EF66A2">
        <w:rPr>
          <w:rFonts w:ascii="Arial" w:hAnsi="Arial" w:cs="Arial"/>
          <w:sz w:val="20"/>
          <w:szCs w:val="20"/>
        </w:rPr>
        <w:t>covida</w:t>
      </w:r>
      <w:r w:rsidRPr="00C131FE">
        <w:rPr>
          <w:rFonts w:ascii="Arial" w:hAnsi="Arial" w:cs="Arial"/>
          <w:sz w:val="20"/>
          <w:szCs w:val="20"/>
        </w:rPr>
        <w:t xml:space="preserve">-19 in </w:t>
      </w:r>
      <w:r w:rsidR="00FB3A6B">
        <w:rPr>
          <w:rFonts w:ascii="Arial" w:hAnsi="Arial" w:cs="Arial"/>
          <w:sz w:val="20"/>
          <w:szCs w:val="20"/>
        </w:rPr>
        <w:t xml:space="preserve">zaradi tega tudi </w:t>
      </w:r>
      <w:r w:rsidRPr="00C131FE">
        <w:rPr>
          <w:rFonts w:ascii="Arial" w:hAnsi="Arial" w:cs="Arial"/>
          <w:sz w:val="20"/>
          <w:szCs w:val="20"/>
        </w:rPr>
        <w:t>zmanjšanje pobranih prihodkov, se je že v letu 2021 trend obrnil in pobrani prihodki so občutno presegli prihodke iz predkoronskega leta 2019. Podobno je tudi leto 2022 zaznamovala rast pobranih prihodkov</w:t>
      </w:r>
      <w:r>
        <w:rPr>
          <w:rFonts w:ascii="Arial" w:hAnsi="Arial" w:cs="Arial"/>
          <w:sz w:val="20"/>
          <w:szCs w:val="20"/>
        </w:rPr>
        <w:t>. Z</w:t>
      </w:r>
      <w:r w:rsidRPr="00E769B7">
        <w:rPr>
          <w:rFonts w:ascii="Arial" w:hAnsi="Arial" w:cs="Arial"/>
          <w:sz w:val="20"/>
          <w:szCs w:val="20"/>
        </w:rPr>
        <w:t>viševanj</w:t>
      </w:r>
      <w:r>
        <w:rPr>
          <w:rFonts w:ascii="Arial" w:hAnsi="Arial" w:cs="Arial"/>
          <w:sz w:val="20"/>
          <w:szCs w:val="20"/>
        </w:rPr>
        <w:t>e</w:t>
      </w:r>
      <w:r w:rsidRPr="00E769B7">
        <w:rPr>
          <w:rFonts w:ascii="Arial" w:hAnsi="Arial" w:cs="Arial"/>
          <w:sz w:val="20"/>
          <w:szCs w:val="20"/>
        </w:rPr>
        <w:t xml:space="preserve"> pobranih prihodkov se z izjemo »</w:t>
      </w:r>
      <w:proofErr w:type="spellStart"/>
      <w:r w:rsidRPr="00E769B7">
        <w:rPr>
          <w:rFonts w:ascii="Arial" w:hAnsi="Arial" w:cs="Arial"/>
          <w:sz w:val="20"/>
          <w:szCs w:val="20"/>
        </w:rPr>
        <w:t>kovidnega</w:t>
      </w:r>
      <w:proofErr w:type="spellEnd"/>
      <w:r w:rsidRPr="00E769B7">
        <w:rPr>
          <w:rFonts w:ascii="Arial" w:hAnsi="Arial" w:cs="Arial"/>
          <w:sz w:val="20"/>
          <w:szCs w:val="20"/>
        </w:rPr>
        <w:t>« leta 2020 nadaljuje že devet let</w:t>
      </w:r>
      <w:r>
        <w:rPr>
          <w:rFonts w:ascii="Arial" w:hAnsi="Arial" w:cs="Arial"/>
          <w:sz w:val="20"/>
          <w:szCs w:val="20"/>
        </w:rPr>
        <w:t>.</w:t>
      </w:r>
      <w:r w:rsidRPr="00E769B7">
        <w:rPr>
          <w:rFonts w:ascii="Arial" w:hAnsi="Arial" w:cs="Arial"/>
          <w:sz w:val="20"/>
          <w:szCs w:val="20"/>
        </w:rPr>
        <w:t xml:space="preserve"> </w:t>
      </w:r>
      <w:r>
        <w:rPr>
          <w:rFonts w:ascii="Arial" w:hAnsi="Arial" w:cs="Arial"/>
          <w:sz w:val="20"/>
          <w:szCs w:val="20"/>
        </w:rPr>
        <w:t>O</w:t>
      </w:r>
      <w:r w:rsidRPr="00E769B7">
        <w:rPr>
          <w:rFonts w:ascii="Arial" w:hAnsi="Arial" w:cs="Arial"/>
          <w:sz w:val="20"/>
          <w:szCs w:val="20"/>
        </w:rPr>
        <w:t xml:space="preserve">d ustanovitve FURS v letu 2014 </w:t>
      </w:r>
      <w:r w:rsidR="003E7709">
        <w:rPr>
          <w:rFonts w:ascii="Arial" w:hAnsi="Arial" w:cs="Arial"/>
          <w:sz w:val="20"/>
          <w:szCs w:val="20"/>
        </w:rPr>
        <w:t xml:space="preserve">je </w:t>
      </w:r>
      <w:r w:rsidRPr="00E769B7">
        <w:rPr>
          <w:rFonts w:ascii="Arial" w:hAnsi="Arial" w:cs="Arial"/>
          <w:sz w:val="20"/>
          <w:szCs w:val="20"/>
        </w:rPr>
        <w:t>skupni prirast prihodkov 7.437.741.938 EUR oziroma 54,6 odstotka.</w:t>
      </w:r>
    </w:p>
    <w:p w14:paraId="282BD522" w14:textId="260A53AD" w:rsidR="00D847F2" w:rsidRDefault="00D847F2" w:rsidP="00D847F2">
      <w:pPr>
        <w:jc w:val="both"/>
        <w:rPr>
          <w:rFonts w:ascii="Arial" w:hAnsi="Arial" w:cs="Arial"/>
          <w:sz w:val="20"/>
          <w:szCs w:val="20"/>
        </w:rPr>
      </w:pPr>
      <w:r w:rsidRPr="00C31D3D">
        <w:rPr>
          <w:rFonts w:ascii="Arial" w:hAnsi="Arial" w:cs="Arial"/>
          <w:sz w:val="20"/>
          <w:szCs w:val="20"/>
        </w:rPr>
        <w:t xml:space="preserve">V letu 2022 se je nadaljeval vpliv interventne zakonodaje, vendar so bili učinki na prihodke manjši kot v preteklih dveh letih, saj se zneski zapadlosti obročnih in odloženih terjatev postopoma znižujejo, v letu 2023 pa </w:t>
      </w:r>
      <w:r w:rsidRPr="00094CA5">
        <w:rPr>
          <w:rFonts w:ascii="Arial" w:hAnsi="Arial" w:cs="Arial"/>
          <w:sz w:val="20"/>
          <w:szCs w:val="20"/>
        </w:rPr>
        <w:t>se bodo v celoti iztekli. Zaradi odobritve plačilnih ugodnosti v skupnem znesku 472 mio EUR, in sicer po 7. členu ZIUJP in 67. členu ZIUOPDVE, je bilo v letu 2022 plačanih za 82.805.481</w:t>
      </w:r>
      <w:r w:rsidR="009922FF" w:rsidRPr="00094CA5">
        <w:rPr>
          <w:rFonts w:ascii="Arial" w:hAnsi="Arial" w:cs="Arial"/>
          <w:sz w:val="20"/>
          <w:szCs w:val="20"/>
        </w:rPr>
        <w:t> EUR</w:t>
      </w:r>
      <w:r w:rsidRPr="00094CA5">
        <w:rPr>
          <w:rFonts w:ascii="Arial" w:hAnsi="Arial" w:cs="Arial"/>
          <w:sz w:val="20"/>
          <w:szCs w:val="20"/>
        </w:rPr>
        <w:t xml:space="preserve"> odloženih terjatev, v letu 2023 pa jih v plačilo zapade še</w:t>
      </w:r>
      <w:r w:rsidRPr="00C31D3D">
        <w:rPr>
          <w:rFonts w:ascii="Arial" w:hAnsi="Arial" w:cs="Arial"/>
          <w:sz w:val="20"/>
          <w:szCs w:val="20"/>
        </w:rPr>
        <w:t xml:space="preserve"> 17.099.712</w:t>
      </w:r>
      <w:r w:rsidR="009922FF" w:rsidRPr="00C31D3D">
        <w:rPr>
          <w:rFonts w:ascii="Arial" w:hAnsi="Arial" w:cs="Arial"/>
          <w:sz w:val="20"/>
          <w:szCs w:val="20"/>
        </w:rPr>
        <w:t> EUR</w:t>
      </w:r>
      <w:r w:rsidRPr="00C31D3D">
        <w:rPr>
          <w:rFonts w:ascii="Arial" w:hAnsi="Arial" w:cs="Arial"/>
          <w:sz w:val="20"/>
          <w:szCs w:val="20"/>
        </w:rPr>
        <w:t>.</w:t>
      </w:r>
    </w:p>
    <w:p w14:paraId="349C3FC9" w14:textId="77777777" w:rsidR="00D847F2" w:rsidRDefault="00D847F2" w:rsidP="00D847F2">
      <w:pPr>
        <w:jc w:val="both"/>
        <w:rPr>
          <w:rFonts w:ascii="Arial" w:hAnsi="Arial" w:cs="Arial"/>
          <w:i/>
          <w:sz w:val="20"/>
          <w:szCs w:val="20"/>
        </w:rPr>
      </w:pPr>
      <w:r w:rsidRPr="009A018A">
        <w:rPr>
          <w:rFonts w:ascii="Arial" w:hAnsi="Arial" w:cs="Arial"/>
          <w:i/>
          <w:sz w:val="20"/>
          <w:szCs w:val="20"/>
        </w:rPr>
        <w:t>Preglednica 1: Pobrani prihodki po javnofinančnih blagajnah v EUR</w:t>
      </w:r>
    </w:p>
    <w:tbl>
      <w:tblPr>
        <w:tblW w:w="7629" w:type="dxa"/>
        <w:tblCellMar>
          <w:left w:w="70" w:type="dxa"/>
          <w:right w:w="70" w:type="dxa"/>
        </w:tblCellMar>
        <w:tblLook w:val="04A0" w:firstRow="1" w:lastRow="0" w:firstColumn="1" w:lastColumn="0" w:noHBand="0" w:noVBand="1"/>
      </w:tblPr>
      <w:tblGrid>
        <w:gridCol w:w="1820"/>
        <w:gridCol w:w="1448"/>
        <w:gridCol w:w="946"/>
        <w:gridCol w:w="1448"/>
        <w:gridCol w:w="946"/>
        <w:gridCol w:w="1021"/>
      </w:tblGrid>
      <w:tr w:rsidR="00D847F2" w:rsidRPr="009F7ABA" w14:paraId="19BA4797" w14:textId="77777777" w:rsidTr="00556699">
        <w:trPr>
          <w:trHeight w:val="513"/>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D1F7" w14:textId="77777777" w:rsidR="00D847F2" w:rsidRPr="009F7ABA" w:rsidRDefault="00D847F2" w:rsidP="00556699">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Prejemniki sredstev</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034EE9AB" w14:textId="5F4CA7F2" w:rsidR="00D847F2" w:rsidRPr="009F7ABA" w:rsidRDefault="00D847F2" w:rsidP="00F05E9F">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JANUAR</w:t>
            </w:r>
            <w:r w:rsidR="00F05E9F">
              <w:rPr>
                <w:rFonts w:ascii="Arial" w:eastAsia="Times New Roman" w:hAnsi="Arial" w:cs="Arial"/>
                <w:b/>
                <w:bCs/>
                <w:color w:val="000000"/>
                <w:sz w:val="18"/>
                <w:szCs w:val="18"/>
                <w:lang w:eastAsia="sl-SI"/>
              </w:rPr>
              <w:t>–</w:t>
            </w:r>
            <w:r w:rsidRPr="009F7ABA">
              <w:rPr>
                <w:rFonts w:ascii="Arial" w:eastAsia="Times New Roman" w:hAnsi="Arial" w:cs="Arial"/>
                <w:b/>
                <w:bCs/>
                <w:color w:val="000000"/>
                <w:sz w:val="18"/>
                <w:szCs w:val="18"/>
                <w:lang w:eastAsia="sl-SI"/>
              </w:rPr>
              <w:t>DECEMBER</w:t>
            </w:r>
            <w:r w:rsidR="00992912">
              <w:rPr>
                <w:rFonts w:ascii="Arial" w:eastAsia="Times New Roman" w:hAnsi="Arial" w:cs="Arial"/>
                <w:b/>
                <w:bCs/>
                <w:color w:val="000000"/>
                <w:sz w:val="18"/>
                <w:szCs w:val="18"/>
                <w:lang w:eastAsia="sl-SI"/>
              </w:rPr>
              <w:t xml:space="preserve"> </w:t>
            </w:r>
            <w:r w:rsidRPr="009F7ABA">
              <w:rPr>
                <w:rFonts w:ascii="Arial" w:eastAsia="Times New Roman" w:hAnsi="Arial" w:cs="Arial"/>
                <w:b/>
                <w:bCs/>
                <w:color w:val="000000"/>
                <w:sz w:val="18"/>
                <w:szCs w:val="18"/>
                <w:lang w:eastAsia="sl-SI"/>
              </w:rPr>
              <w:t>2022</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566FF0B" w14:textId="1AD3CEAD" w:rsidR="00D847F2" w:rsidRPr="009F7ABA" w:rsidRDefault="00D847F2" w:rsidP="00556699">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Struktura v</w:t>
            </w:r>
            <w:r w:rsidR="00992912">
              <w:rPr>
                <w:rFonts w:ascii="Arial" w:eastAsia="Times New Roman" w:hAnsi="Arial" w:cs="Arial"/>
                <w:b/>
                <w:bCs/>
                <w:color w:val="000000"/>
                <w:sz w:val="18"/>
                <w:szCs w:val="18"/>
                <w:lang w:eastAsia="sl-SI"/>
              </w:rPr>
              <w:t xml:space="preserve"> </w:t>
            </w:r>
            <w:r w:rsidRPr="009F7ABA">
              <w:rPr>
                <w:rFonts w:ascii="Arial" w:eastAsia="Times New Roman" w:hAnsi="Arial" w:cs="Arial"/>
                <w:b/>
                <w:bCs/>
                <w:color w:val="000000"/>
                <w:sz w:val="18"/>
                <w:szCs w:val="18"/>
                <w:lang w:eastAsia="sl-SI"/>
              </w:rPr>
              <w:t>%</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5B530C22" w14:textId="560D56C5" w:rsidR="00D847F2" w:rsidRPr="009F7ABA" w:rsidRDefault="00D847F2" w:rsidP="00F05E9F">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JANUAR</w:t>
            </w:r>
            <w:r w:rsidR="00F05E9F">
              <w:rPr>
                <w:rFonts w:ascii="Arial" w:eastAsia="Times New Roman" w:hAnsi="Arial" w:cs="Arial"/>
                <w:b/>
                <w:bCs/>
                <w:color w:val="000000"/>
                <w:sz w:val="18"/>
                <w:szCs w:val="18"/>
                <w:lang w:eastAsia="sl-SI"/>
              </w:rPr>
              <w:t>–</w:t>
            </w:r>
            <w:r w:rsidRPr="009F7ABA">
              <w:rPr>
                <w:rFonts w:ascii="Arial" w:eastAsia="Times New Roman" w:hAnsi="Arial" w:cs="Arial"/>
                <w:b/>
                <w:bCs/>
                <w:color w:val="000000"/>
                <w:sz w:val="18"/>
                <w:szCs w:val="18"/>
                <w:lang w:eastAsia="sl-SI"/>
              </w:rPr>
              <w:t>DECEMBER</w:t>
            </w:r>
            <w:r w:rsidR="00992912">
              <w:rPr>
                <w:rFonts w:ascii="Arial" w:eastAsia="Times New Roman" w:hAnsi="Arial" w:cs="Arial"/>
                <w:b/>
                <w:bCs/>
                <w:color w:val="000000"/>
                <w:sz w:val="18"/>
                <w:szCs w:val="18"/>
                <w:lang w:eastAsia="sl-SI"/>
              </w:rPr>
              <w:t xml:space="preserve"> </w:t>
            </w:r>
            <w:r w:rsidRPr="009F7ABA">
              <w:rPr>
                <w:rFonts w:ascii="Arial" w:eastAsia="Times New Roman" w:hAnsi="Arial" w:cs="Arial"/>
                <w:b/>
                <w:bCs/>
                <w:color w:val="000000"/>
                <w:sz w:val="18"/>
                <w:szCs w:val="18"/>
                <w:lang w:eastAsia="sl-SI"/>
              </w:rPr>
              <w:t>2021</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C055B99" w14:textId="77777777" w:rsidR="00D847F2" w:rsidRPr="009F7ABA" w:rsidRDefault="00D847F2" w:rsidP="00556699">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Struktura v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497AC50" w14:textId="5B999129" w:rsidR="00D847F2" w:rsidRPr="009F7ABA" w:rsidRDefault="00D847F2" w:rsidP="00556699">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IND</w:t>
            </w:r>
            <w:r w:rsidR="00992912">
              <w:rPr>
                <w:rFonts w:ascii="Arial" w:eastAsia="Times New Roman" w:hAnsi="Arial" w:cs="Arial"/>
                <w:b/>
                <w:bCs/>
                <w:color w:val="000000"/>
                <w:sz w:val="18"/>
                <w:szCs w:val="18"/>
                <w:lang w:eastAsia="sl-SI"/>
              </w:rPr>
              <w:t xml:space="preserve">   </w:t>
            </w:r>
            <w:r w:rsidRPr="009F7ABA">
              <w:rPr>
                <w:rFonts w:ascii="Arial" w:eastAsia="Times New Roman" w:hAnsi="Arial" w:cs="Arial"/>
                <w:b/>
                <w:bCs/>
                <w:color w:val="000000"/>
                <w:sz w:val="18"/>
                <w:szCs w:val="18"/>
                <w:lang w:eastAsia="sl-SI"/>
              </w:rPr>
              <w:t>2022/2021</w:t>
            </w:r>
          </w:p>
        </w:tc>
      </w:tr>
      <w:tr w:rsidR="00D847F2" w:rsidRPr="009F7ABA" w14:paraId="220F43F8" w14:textId="77777777" w:rsidTr="00556699">
        <w:trPr>
          <w:trHeight w:val="215"/>
        </w:trPr>
        <w:tc>
          <w:tcPr>
            <w:tcW w:w="1820" w:type="dxa"/>
            <w:tcBorders>
              <w:top w:val="nil"/>
              <w:left w:val="single" w:sz="4" w:space="0" w:color="auto"/>
              <w:bottom w:val="single" w:sz="4" w:space="0" w:color="auto"/>
              <w:right w:val="single" w:sz="4" w:space="0" w:color="auto"/>
            </w:tcBorders>
            <w:shd w:val="clear" w:color="000000" w:fill="FFFFFF"/>
            <w:vAlign w:val="center"/>
            <w:hideMark/>
          </w:tcPr>
          <w:p w14:paraId="1A592D1F" w14:textId="77777777" w:rsidR="00D847F2" w:rsidRPr="009F7ABA" w:rsidRDefault="00D847F2" w:rsidP="00556699">
            <w:pPr>
              <w:spacing w:after="0" w:line="240" w:lineRule="auto"/>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Država</w:t>
            </w:r>
          </w:p>
        </w:tc>
        <w:tc>
          <w:tcPr>
            <w:tcW w:w="1448" w:type="dxa"/>
            <w:tcBorders>
              <w:top w:val="nil"/>
              <w:left w:val="nil"/>
              <w:bottom w:val="single" w:sz="4" w:space="0" w:color="auto"/>
              <w:right w:val="single" w:sz="4" w:space="0" w:color="auto"/>
            </w:tcBorders>
            <w:shd w:val="clear" w:color="auto" w:fill="auto"/>
            <w:noWrap/>
            <w:vAlign w:val="center"/>
            <w:hideMark/>
          </w:tcPr>
          <w:p w14:paraId="6A24B9C1"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11.657.018.646</w:t>
            </w:r>
          </w:p>
        </w:tc>
        <w:tc>
          <w:tcPr>
            <w:tcW w:w="946" w:type="dxa"/>
            <w:tcBorders>
              <w:top w:val="nil"/>
              <w:left w:val="nil"/>
              <w:bottom w:val="single" w:sz="4" w:space="0" w:color="auto"/>
              <w:right w:val="single" w:sz="4" w:space="0" w:color="auto"/>
            </w:tcBorders>
            <w:shd w:val="clear" w:color="auto" w:fill="auto"/>
            <w:noWrap/>
            <w:vAlign w:val="center"/>
            <w:hideMark/>
          </w:tcPr>
          <w:p w14:paraId="1DF7037F"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55,4</w:t>
            </w:r>
          </w:p>
        </w:tc>
        <w:tc>
          <w:tcPr>
            <w:tcW w:w="1448" w:type="dxa"/>
            <w:tcBorders>
              <w:top w:val="nil"/>
              <w:left w:val="nil"/>
              <w:bottom w:val="single" w:sz="4" w:space="0" w:color="auto"/>
              <w:right w:val="single" w:sz="4" w:space="0" w:color="auto"/>
            </w:tcBorders>
            <w:shd w:val="clear" w:color="auto" w:fill="auto"/>
            <w:noWrap/>
            <w:vAlign w:val="center"/>
            <w:hideMark/>
          </w:tcPr>
          <w:p w14:paraId="284DE592"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10.468.049.930</w:t>
            </w:r>
          </w:p>
        </w:tc>
        <w:tc>
          <w:tcPr>
            <w:tcW w:w="946" w:type="dxa"/>
            <w:tcBorders>
              <w:top w:val="nil"/>
              <w:left w:val="nil"/>
              <w:bottom w:val="single" w:sz="4" w:space="0" w:color="auto"/>
              <w:right w:val="single" w:sz="4" w:space="0" w:color="auto"/>
            </w:tcBorders>
            <w:shd w:val="clear" w:color="auto" w:fill="auto"/>
            <w:noWrap/>
            <w:vAlign w:val="center"/>
            <w:hideMark/>
          </w:tcPr>
          <w:p w14:paraId="4F6CE1FD"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54,5</w:t>
            </w:r>
          </w:p>
        </w:tc>
        <w:tc>
          <w:tcPr>
            <w:tcW w:w="1021" w:type="dxa"/>
            <w:tcBorders>
              <w:top w:val="nil"/>
              <w:left w:val="nil"/>
              <w:bottom w:val="single" w:sz="4" w:space="0" w:color="auto"/>
              <w:right w:val="single" w:sz="4" w:space="0" w:color="auto"/>
            </w:tcBorders>
            <w:shd w:val="clear" w:color="auto" w:fill="auto"/>
            <w:noWrap/>
            <w:vAlign w:val="center"/>
            <w:hideMark/>
          </w:tcPr>
          <w:p w14:paraId="1F26797C"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111,4</w:t>
            </w:r>
          </w:p>
        </w:tc>
      </w:tr>
      <w:tr w:rsidR="00D847F2" w:rsidRPr="009F7ABA" w14:paraId="4B2876FF" w14:textId="77777777" w:rsidTr="00556699">
        <w:trPr>
          <w:trHeight w:val="215"/>
        </w:trPr>
        <w:tc>
          <w:tcPr>
            <w:tcW w:w="1820" w:type="dxa"/>
            <w:tcBorders>
              <w:top w:val="nil"/>
              <w:left w:val="single" w:sz="4" w:space="0" w:color="auto"/>
              <w:bottom w:val="single" w:sz="4" w:space="0" w:color="auto"/>
              <w:right w:val="single" w:sz="4" w:space="0" w:color="auto"/>
            </w:tcBorders>
            <w:shd w:val="clear" w:color="000000" w:fill="FFFFFF"/>
            <w:vAlign w:val="center"/>
            <w:hideMark/>
          </w:tcPr>
          <w:p w14:paraId="3EAF443B" w14:textId="77777777" w:rsidR="00D847F2" w:rsidRPr="009F7ABA" w:rsidRDefault="00D847F2" w:rsidP="00556699">
            <w:pPr>
              <w:spacing w:after="0" w:line="240" w:lineRule="auto"/>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ZPIZ</w:t>
            </w:r>
          </w:p>
        </w:tc>
        <w:tc>
          <w:tcPr>
            <w:tcW w:w="1448" w:type="dxa"/>
            <w:tcBorders>
              <w:top w:val="nil"/>
              <w:left w:val="nil"/>
              <w:bottom w:val="single" w:sz="4" w:space="0" w:color="auto"/>
              <w:right w:val="single" w:sz="4" w:space="0" w:color="auto"/>
            </w:tcBorders>
            <w:shd w:val="clear" w:color="auto" w:fill="auto"/>
            <w:noWrap/>
            <w:vAlign w:val="center"/>
            <w:hideMark/>
          </w:tcPr>
          <w:p w14:paraId="64D95BAE"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5.451.504.705</w:t>
            </w:r>
          </w:p>
        </w:tc>
        <w:tc>
          <w:tcPr>
            <w:tcW w:w="946" w:type="dxa"/>
            <w:tcBorders>
              <w:top w:val="nil"/>
              <w:left w:val="nil"/>
              <w:bottom w:val="single" w:sz="4" w:space="0" w:color="auto"/>
              <w:right w:val="single" w:sz="4" w:space="0" w:color="auto"/>
            </w:tcBorders>
            <w:shd w:val="clear" w:color="auto" w:fill="auto"/>
            <w:noWrap/>
            <w:vAlign w:val="center"/>
            <w:hideMark/>
          </w:tcPr>
          <w:p w14:paraId="019F10A9"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25,9</w:t>
            </w:r>
          </w:p>
        </w:tc>
        <w:tc>
          <w:tcPr>
            <w:tcW w:w="1448" w:type="dxa"/>
            <w:tcBorders>
              <w:top w:val="nil"/>
              <w:left w:val="nil"/>
              <w:bottom w:val="single" w:sz="4" w:space="0" w:color="auto"/>
              <w:right w:val="single" w:sz="4" w:space="0" w:color="auto"/>
            </w:tcBorders>
            <w:shd w:val="clear" w:color="auto" w:fill="auto"/>
            <w:noWrap/>
            <w:vAlign w:val="center"/>
            <w:hideMark/>
          </w:tcPr>
          <w:p w14:paraId="4E4ECCD4"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5.086.402.473</w:t>
            </w:r>
          </w:p>
        </w:tc>
        <w:tc>
          <w:tcPr>
            <w:tcW w:w="946" w:type="dxa"/>
            <w:tcBorders>
              <w:top w:val="nil"/>
              <w:left w:val="nil"/>
              <w:bottom w:val="single" w:sz="4" w:space="0" w:color="auto"/>
              <w:right w:val="single" w:sz="4" w:space="0" w:color="auto"/>
            </w:tcBorders>
            <w:shd w:val="clear" w:color="auto" w:fill="auto"/>
            <w:noWrap/>
            <w:vAlign w:val="center"/>
            <w:hideMark/>
          </w:tcPr>
          <w:p w14:paraId="4014CC04"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26,5</w:t>
            </w:r>
          </w:p>
        </w:tc>
        <w:tc>
          <w:tcPr>
            <w:tcW w:w="1021" w:type="dxa"/>
            <w:tcBorders>
              <w:top w:val="nil"/>
              <w:left w:val="nil"/>
              <w:bottom w:val="single" w:sz="4" w:space="0" w:color="auto"/>
              <w:right w:val="single" w:sz="4" w:space="0" w:color="auto"/>
            </w:tcBorders>
            <w:shd w:val="clear" w:color="auto" w:fill="auto"/>
            <w:noWrap/>
            <w:vAlign w:val="center"/>
            <w:hideMark/>
          </w:tcPr>
          <w:p w14:paraId="78E38313"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107,2</w:t>
            </w:r>
          </w:p>
        </w:tc>
      </w:tr>
      <w:tr w:rsidR="00D847F2" w:rsidRPr="009F7ABA" w14:paraId="575CE9E7" w14:textId="77777777" w:rsidTr="00556699">
        <w:trPr>
          <w:trHeight w:val="215"/>
        </w:trPr>
        <w:tc>
          <w:tcPr>
            <w:tcW w:w="1820" w:type="dxa"/>
            <w:tcBorders>
              <w:top w:val="nil"/>
              <w:left w:val="single" w:sz="4" w:space="0" w:color="auto"/>
              <w:bottom w:val="single" w:sz="4" w:space="0" w:color="auto"/>
              <w:right w:val="single" w:sz="4" w:space="0" w:color="auto"/>
            </w:tcBorders>
            <w:shd w:val="clear" w:color="000000" w:fill="FFFFFF"/>
            <w:vAlign w:val="center"/>
            <w:hideMark/>
          </w:tcPr>
          <w:p w14:paraId="6A6A01A8" w14:textId="77777777" w:rsidR="00D847F2" w:rsidRPr="009F7ABA" w:rsidRDefault="00D847F2" w:rsidP="00556699">
            <w:pPr>
              <w:spacing w:after="0" w:line="240" w:lineRule="auto"/>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ZZZS</w:t>
            </w:r>
          </w:p>
        </w:tc>
        <w:tc>
          <w:tcPr>
            <w:tcW w:w="1448" w:type="dxa"/>
            <w:tcBorders>
              <w:top w:val="nil"/>
              <w:left w:val="nil"/>
              <w:bottom w:val="single" w:sz="4" w:space="0" w:color="auto"/>
              <w:right w:val="single" w:sz="4" w:space="0" w:color="auto"/>
            </w:tcBorders>
            <w:shd w:val="clear" w:color="auto" w:fill="auto"/>
            <w:noWrap/>
            <w:vAlign w:val="center"/>
            <w:hideMark/>
          </w:tcPr>
          <w:p w14:paraId="7FCE6EE2"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3.536.050.219</w:t>
            </w:r>
          </w:p>
        </w:tc>
        <w:tc>
          <w:tcPr>
            <w:tcW w:w="946" w:type="dxa"/>
            <w:tcBorders>
              <w:top w:val="nil"/>
              <w:left w:val="nil"/>
              <w:bottom w:val="single" w:sz="4" w:space="0" w:color="auto"/>
              <w:right w:val="single" w:sz="4" w:space="0" w:color="auto"/>
            </w:tcBorders>
            <w:shd w:val="clear" w:color="auto" w:fill="auto"/>
            <w:noWrap/>
            <w:vAlign w:val="center"/>
            <w:hideMark/>
          </w:tcPr>
          <w:p w14:paraId="2D80C0AD"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16,8</w:t>
            </w:r>
          </w:p>
        </w:tc>
        <w:tc>
          <w:tcPr>
            <w:tcW w:w="1448" w:type="dxa"/>
            <w:tcBorders>
              <w:top w:val="nil"/>
              <w:left w:val="nil"/>
              <w:bottom w:val="single" w:sz="4" w:space="0" w:color="auto"/>
              <w:right w:val="single" w:sz="4" w:space="0" w:color="auto"/>
            </w:tcBorders>
            <w:shd w:val="clear" w:color="auto" w:fill="auto"/>
            <w:noWrap/>
            <w:vAlign w:val="center"/>
            <w:hideMark/>
          </w:tcPr>
          <w:p w14:paraId="3F6C67F7"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3.296.979.264</w:t>
            </w:r>
          </w:p>
        </w:tc>
        <w:tc>
          <w:tcPr>
            <w:tcW w:w="946" w:type="dxa"/>
            <w:tcBorders>
              <w:top w:val="nil"/>
              <w:left w:val="nil"/>
              <w:bottom w:val="single" w:sz="4" w:space="0" w:color="auto"/>
              <w:right w:val="single" w:sz="4" w:space="0" w:color="auto"/>
            </w:tcBorders>
            <w:shd w:val="clear" w:color="auto" w:fill="auto"/>
            <w:noWrap/>
            <w:vAlign w:val="center"/>
            <w:hideMark/>
          </w:tcPr>
          <w:p w14:paraId="3CDD54A2"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17,2</w:t>
            </w:r>
          </w:p>
        </w:tc>
        <w:tc>
          <w:tcPr>
            <w:tcW w:w="1021" w:type="dxa"/>
            <w:tcBorders>
              <w:top w:val="nil"/>
              <w:left w:val="nil"/>
              <w:bottom w:val="single" w:sz="4" w:space="0" w:color="auto"/>
              <w:right w:val="single" w:sz="4" w:space="0" w:color="auto"/>
            </w:tcBorders>
            <w:shd w:val="clear" w:color="auto" w:fill="auto"/>
            <w:noWrap/>
            <w:vAlign w:val="center"/>
            <w:hideMark/>
          </w:tcPr>
          <w:p w14:paraId="1204A5E4"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107,3</w:t>
            </w:r>
          </w:p>
        </w:tc>
      </w:tr>
      <w:tr w:rsidR="00D847F2" w:rsidRPr="009F7ABA" w14:paraId="64430C81" w14:textId="77777777" w:rsidTr="00556699">
        <w:trPr>
          <w:trHeight w:val="215"/>
        </w:trPr>
        <w:tc>
          <w:tcPr>
            <w:tcW w:w="1820" w:type="dxa"/>
            <w:tcBorders>
              <w:top w:val="nil"/>
              <w:left w:val="single" w:sz="4" w:space="0" w:color="auto"/>
              <w:bottom w:val="single" w:sz="4" w:space="0" w:color="auto"/>
              <w:right w:val="single" w:sz="4" w:space="0" w:color="auto"/>
            </w:tcBorders>
            <w:shd w:val="clear" w:color="000000" w:fill="FFFFFF"/>
            <w:vAlign w:val="center"/>
            <w:hideMark/>
          </w:tcPr>
          <w:p w14:paraId="22862719" w14:textId="77777777" w:rsidR="00D847F2" w:rsidRPr="009F7ABA" w:rsidRDefault="00D847F2" w:rsidP="00556699">
            <w:pPr>
              <w:spacing w:after="0" w:line="240" w:lineRule="auto"/>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Občine</w:t>
            </w:r>
          </w:p>
        </w:tc>
        <w:tc>
          <w:tcPr>
            <w:tcW w:w="1448" w:type="dxa"/>
            <w:tcBorders>
              <w:top w:val="nil"/>
              <w:left w:val="nil"/>
              <w:bottom w:val="single" w:sz="4" w:space="0" w:color="auto"/>
              <w:right w:val="single" w:sz="4" w:space="0" w:color="auto"/>
            </w:tcBorders>
            <w:shd w:val="clear" w:color="auto" w:fill="auto"/>
            <w:noWrap/>
            <w:vAlign w:val="center"/>
            <w:hideMark/>
          </w:tcPr>
          <w:p w14:paraId="0F96BE4E"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394.254.515</w:t>
            </w:r>
          </w:p>
        </w:tc>
        <w:tc>
          <w:tcPr>
            <w:tcW w:w="946" w:type="dxa"/>
            <w:tcBorders>
              <w:top w:val="nil"/>
              <w:left w:val="nil"/>
              <w:bottom w:val="single" w:sz="4" w:space="0" w:color="auto"/>
              <w:right w:val="single" w:sz="4" w:space="0" w:color="auto"/>
            </w:tcBorders>
            <w:shd w:val="clear" w:color="auto" w:fill="auto"/>
            <w:noWrap/>
            <w:vAlign w:val="center"/>
            <w:hideMark/>
          </w:tcPr>
          <w:p w14:paraId="250F701C"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1,9</w:t>
            </w:r>
          </w:p>
        </w:tc>
        <w:tc>
          <w:tcPr>
            <w:tcW w:w="1448" w:type="dxa"/>
            <w:tcBorders>
              <w:top w:val="nil"/>
              <w:left w:val="nil"/>
              <w:bottom w:val="single" w:sz="4" w:space="0" w:color="auto"/>
              <w:right w:val="single" w:sz="4" w:space="0" w:color="auto"/>
            </w:tcBorders>
            <w:shd w:val="clear" w:color="auto" w:fill="auto"/>
            <w:noWrap/>
            <w:vAlign w:val="center"/>
            <w:hideMark/>
          </w:tcPr>
          <w:p w14:paraId="5C4C975F"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354.062.317</w:t>
            </w:r>
          </w:p>
        </w:tc>
        <w:tc>
          <w:tcPr>
            <w:tcW w:w="946" w:type="dxa"/>
            <w:tcBorders>
              <w:top w:val="nil"/>
              <w:left w:val="nil"/>
              <w:bottom w:val="single" w:sz="4" w:space="0" w:color="auto"/>
              <w:right w:val="single" w:sz="4" w:space="0" w:color="auto"/>
            </w:tcBorders>
            <w:shd w:val="clear" w:color="auto" w:fill="auto"/>
            <w:noWrap/>
            <w:vAlign w:val="center"/>
            <w:hideMark/>
          </w:tcPr>
          <w:p w14:paraId="0157F002"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1,8</w:t>
            </w:r>
          </w:p>
        </w:tc>
        <w:tc>
          <w:tcPr>
            <w:tcW w:w="1021" w:type="dxa"/>
            <w:tcBorders>
              <w:top w:val="nil"/>
              <w:left w:val="nil"/>
              <w:bottom w:val="single" w:sz="4" w:space="0" w:color="auto"/>
              <w:right w:val="single" w:sz="4" w:space="0" w:color="auto"/>
            </w:tcBorders>
            <w:shd w:val="clear" w:color="auto" w:fill="auto"/>
            <w:noWrap/>
            <w:vAlign w:val="center"/>
            <w:hideMark/>
          </w:tcPr>
          <w:p w14:paraId="259F1DB2"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111,4</w:t>
            </w:r>
          </w:p>
        </w:tc>
      </w:tr>
      <w:tr w:rsidR="00D847F2" w:rsidRPr="009F7ABA" w14:paraId="2050A386" w14:textId="77777777" w:rsidTr="00556699">
        <w:trPr>
          <w:trHeight w:val="215"/>
        </w:trPr>
        <w:tc>
          <w:tcPr>
            <w:tcW w:w="1820" w:type="dxa"/>
            <w:tcBorders>
              <w:top w:val="nil"/>
              <w:left w:val="single" w:sz="4" w:space="0" w:color="auto"/>
              <w:bottom w:val="single" w:sz="4" w:space="0" w:color="auto"/>
              <w:right w:val="single" w:sz="4" w:space="0" w:color="auto"/>
            </w:tcBorders>
            <w:shd w:val="clear" w:color="000000" w:fill="FFFFFF"/>
            <w:vAlign w:val="center"/>
            <w:hideMark/>
          </w:tcPr>
          <w:p w14:paraId="7B43AA35" w14:textId="77777777" w:rsidR="00D847F2" w:rsidRPr="009F7ABA" w:rsidRDefault="00D847F2" w:rsidP="00556699">
            <w:pPr>
              <w:spacing w:after="0" w:line="240" w:lineRule="auto"/>
              <w:jc w:val="center"/>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Skupaj JFP</w:t>
            </w:r>
          </w:p>
        </w:tc>
        <w:tc>
          <w:tcPr>
            <w:tcW w:w="1448" w:type="dxa"/>
            <w:tcBorders>
              <w:top w:val="nil"/>
              <w:left w:val="nil"/>
              <w:bottom w:val="single" w:sz="4" w:space="0" w:color="auto"/>
              <w:right w:val="single" w:sz="4" w:space="0" w:color="auto"/>
            </w:tcBorders>
            <w:shd w:val="clear" w:color="auto" w:fill="auto"/>
            <w:noWrap/>
            <w:vAlign w:val="center"/>
            <w:hideMark/>
          </w:tcPr>
          <w:p w14:paraId="6DE5A6A4" w14:textId="77777777" w:rsidR="00D847F2" w:rsidRPr="009F7ABA" w:rsidRDefault="00D847F2" w:rsidP="00556699">
            <w:pPr>
              <w:spacing w:after="0" w:line="240" w:lineRule="auto"/>
              <w:jc w:val="right"/>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21.038.828.085</w:t>
            </w:r>
          </w:p>
        </w:tc>
        <w:tc>
          <w:tcPr>
            <w:tcW w:w="946" w:type="dxa"/>
            <w:tcBorders>
              <w:top w:val="nil"/>
              <w:left w:val="nil"/>
              <w:bottom w:val="single" w:sz="4" w:space="0" w:color="auto"/>
              <w:right w:val="single" w:sz="4" w:space="0" w:color="auto"/>
            </w:tcBorders>
            <w:shd w:val="clear" w:color="auto" w:fill="auto"/>
            <w:noWrap/>
            <w:vAlign w:val="center"/>
            <w:hideMark/>
          </w:tcPr>
          <w:p w14:paraId="1E36D74B"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100,0</w:t>
            </w:r>
          </w:p>
        </w:tc>
        <w:tc>
          <w:tcPr>
            <w:tcW w:w="1448" w:type="dxa"/>
            <w:tcBorders>
              <w:top w:val="nil"/>
              <w:left w:val="nil"/>
              <w:bottom w:val="single" w:sz="4" w:space="0" w:color="auto"/>
              <w:right w:val="single" w:sz="4" w:space="0" w:color="auto"/>
            </w:tcBorders>
            <w:shd w:val="clear" w:color="auto" w:fill="auto"/>
            <w:noWrap/>
            <w:vAlign w:val="center"/>
            <w:hideMark/>
          </w:tcPr>
          <w:p w14:paraId="38EE1982" w14:textId="77777777" w:rsidR="00D847F2" w:rsidRPr="009F7ABA" w:rsidRDefault="00D847F2" w:rsidP="00556699">
            <w:pPr>
              <w:spacing w:after="0" w:line="240" w:lineRule="auto"/>
              <w:jc w:val="right"/>
              <w:rPr>
                <w:rFonts w:ascii="Arial" w:eastAsia="Times New Roman" w:hAnsi="Arial" w:cs="Arial"/>
                <w:b/>
                <w:bCs/>
                <w:color w:val="000000"/>
                <w:sz w:val="18"/>
                <w:szCs w:val="18"/>
                <w:lang w:eastAsia="sl-SI"/>
              </w:rPr>
            </w:pPr>
            <w:r w:rsidRPr="009F7ABA">
              <w:rPr>
                <w:rFonts w:ascii="Arial" w:eastAsia="Times New Roman" w:hAnsi="Arial" w:cs="Arial"/>
                <w:b/>
                <w:bCs/>
                <w:color w:val="000000"/>
                <w:sz w:val="18"/>
                <w:szCs w:val="18"/>
                <w:lang w:eastAsia="sl-SI"/>
              </w:rPr>
              <w:t>19.205.493.984</w:t>
            </w:r>
          </w:p>
        </w:tc>
        <w:tc>
          <w:tcPr>
            <w:tcW w:w="946" w:type="dxa"/>
            <w:tcBorders>
              <w:top w:val="nil"/>
              <w:left w:val="nil"/>
              <w:bottom w:val="single" w:sz="4" w:space="0" w:color="auto"/>
              <w:right w:val="single" w:sz="4" w:space="0" w:color="auto"/>
            </w:tcBorders>
            <w:shd w:val="clear" w:color="auto" w:fill="auto"/>
            <w:noWrap/>
            <w:vAlign w:val="center"/>
            <w:hideMark/>
          </w:tcPr>
          <w:p w14:paraId="21557216" w14:textId="77777777" w:rsidR="00D847F2" w:rsidRPr="009F7ABA" w:rsidRDefault="00D847F2" w:rsidP="00556699">
            <w:pPr>
              <w:spacing w:after="0" w:line="240" w:lineRule="auto"/>
              <w:jc w:val="center"/>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100,0</w:t>
            </w:r>
          </w:p>
        </w:tc>
        <w:tc>
          <w:tcPr>
            <w:tcW w:w="1021" w:type="dxa"/>
            <w:tcBorders>
              <w:top w:val="nil"/>
              <w:left w:val="nil"/>
              <w:bottom w:val="single" w:sz="4" w:space="0" w:color="auto"/>
              <w:right w:val="single" w:sz="4" w:space="0" w:color="auto"/>
            </w:tcBorders>
            <w:shd w:val="clear" w:color="auto" w:fill="auto"/>
            <w:noWrap/>
            <w:vAlign w:val="center"/>
            <w:hideMark/>
          </w:tcPr>
          <w:p w14:paraId="66067202" w14:textId="77777777" w:rsidR="00D847F2" w:rsidRPr="009F7ABA" w:rsidRDefault="00D847F2" w:rsidP="00556699">
            <w:pPr>
              <w:spacing w:after="0" w:line="240" w:lineRule="auto"/>
              <w:jc w:val="right"/>
              <w:rPr>
                <w:rFonts w:ascii="Arial" w:eastAsia="Times New Roman" w:hAnsi="Arial" w:cs="Arial"/>
                <w:color w:val="000000"/>
                <w:sz w:val="18"/>
                <w:szCs w:val="18"/>
                <w:lang w:eastAsia="sl-SI"/>
              </w:rPr>
            </w:pPr>
            <w:r w:rsidRPr="009F7ABA">
              <w:rPr>
                <w:rFonts w:ascii="Arial" w:eastAsia="Times New Roman" w:hAnsi="Arial" w:cs="Arial"/>
                <w:color w:val="000000"/>
                <w:sz w:val="18"/>
                <w:szCs w:val="18"/>
                <w:lang w:eastAsia="sl-SI"/>
              </w:rPr>
              <w:t>109,5</w:t>
            </w:r>
          </w:p>
        </w:tc>
      </w:tr>
    </w:tbl>
    <w:p w14:paraId="509E1BA1" w14:textId="5D1B2501" w:rsidR="00D847F2" w:rsidRDefault="00D847F2" w:rsidP="00D847F2">
      <w:pPr>
        <w:jc w:val="both"/>
        <w:rPr>
          <w:rFonts w:ascii="Arial" w:hAnsi="Arial" w:cs="Arial"/>
          <w:i/>
          <w:sz w:val="20"/>
          <w:szCs w:val="20"/>
        </w:rPr>
      </w:pPr>
      <w:r w:rsidRPr="00104B6C">
        <w:rPr>
          <w:rFonts w:ascii="Arial" w:hAnsi="Arial" w:cs="Arial"/>
          <w:i/>
          <w:sz w:val="20"/>
          <w:szCs w:val="20"/>
        </w:rPr>
        <w:lastRenderedPageBreak/>
        <w:t>Vir: FURS</w:t>
      </w:r>
      <w:r w:rsidR="00F05E9F">
        <w:rPr>
          <w:rFonts w:ascii="Arial" w:hAnsi="Arial" w:cs="Arial"/>
          <w:i/>
          <w:sz w:val="20"/>
          <w:szCs w:val="20"/>
        </w:rPr>
        <w:t>.</w:t>
      </w:r>
    </w:p>
    <w:p w14:paraId="5C96C20F" w14:textId="77777777" w:rsidR="00D847F2" w:rsidRDefault="00D847F2" w:rsidP="00D847F2">
      <w:pPr>
        <w:rPr>
          <w:rFonts w:ascii="Arial" w:hAnsi="Arial" w:cs="Arial"/>
          <w:i/>
          <w:sz w:val="20"/>
          <w:szCs w:val="20"/>
        </w:rPr>
      </w:pPr>
    </w:p>
    <w:p w14:paraId="1E9F99BC" w14:textId="77777777" w:rsidR="00D847F2" w:rsidRPr="00C11B50" w:rsidRDefault="00D847F2" w:rsidP="00D847F2">
      <w:pPr>
        <w:rPr>
          <w:rFonts w:ascii="Arial" w:hAnsi="Arial" w:cs="Arial"/>
          <w:i/>
          <w:sz w:val="20"/>
          <w:szCs w:val="20"/>
        </w:rPr>
      </w:pPr>
      <w:r w:rsidRPr="00CD3666">
        <w:rPr>
          <w:rFonts w:ascii="Arial" w:hAnsi="Arial" w:cs="Arial"/>
          <w:i/>
          <w:sz w:val="20"/>
          <w:szCs w:val="20"/>
        </w:rPr>
        <w:t xml:space="preserve">Slika 2: </w:t>
      </w:r>
      <w:r w:rsidRPr="00C11B50">
        <w:rPr>
          <w:rFonts w:ascii="Arial" w:hAnsi="Arial" w:cs="Arial"/>
          <w:i/>
          <w:sz w:val="20"/>
          <w:szCs w:val="20"/>
        </w:rPr>
        <w:t>Struktura neto pobranih prihodkov po prejemnikih sredstev v letu 2022</w:t>
      </w:r>
    </w:p>
    <w:p w14:paraId="6BD9846E" w14:textId="77777777" w:rsidR="00D847F2" w:rsidRDefault="00D847F2" w:rsidP="00D847F2">
      <w:pPr>
        <w:rPr>
          <w:rFonts w:ascii="Arial" w:hAnsi="Arial" w:cs="Arial"/>
          <w:i/>
          <w:sz w:val="20"/>
          <w:szCs w:val="20"/>
        </w:rPr>
      </w:pPr>
      <w:r>
        <w:rPr>
          <w:noProof/>
          <w:lang w:eastAsia="sl-SI"/>
        </w:rPr>
        <w:drawing>
          <wp:inline distT="0" distB="0" distL="0" distR="0" wp14:anchorId="23DEC660" wp14:editId="346D052D">
            <wp:extent cx="4118610" cy="1494845"/>
            <wp:effectExtent l="0" t="0" r="0" b="0"/>
            <wp:docPr id="6" name="Grafikon 6">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BA6693" w14:textId="75676E6D" w:rsidR="00D847F2" w:rsidRPr="000B1174" w:rsidRDefault="00D847F2" w:rsidP="00D847F2">
      <w:pPr>
        <w:rPr>
          <w:szCs w:val="24"/>
          <w:lang w:eastAsia="sl-SI"/>
        </w:rPr>
      </w:pPr>
      <w:r w:rsidRPr="000B1174">
        <w:rPr>
          <w:rFonts w:ascii="Arial" w:hAnsi="Arial" w:cs="Arial"/>
          <w:i/>
          <w:sz w:val="20"/>
          <w:szCs w:val="20"/>
        </w:rPr>
        <w:t>Vir: FURS</w:t>
      </w:r>
      <w:r w:rsidR="00F05E9F">
        <w:rPr>
          <w:rFonts w:ascii="Arial" w:hAnsi="Arial" w:cs="Arial"/>
          <w:i/>
          <w:sz w:val="20"/>
          <w:szCs w:val="20"/>
        </w:rPr>
        <w:t>.</w:t>
      </w:r>
    </w:p>
    <w:p w14:paraId="13FDDD90" w14:textId="12B779ED" w:rsidR="00D847F2" w:rsidRPr="006A1276" w:rsidRDefault="00D847F2" w:rsidP="00D847F2">
      <w:pPr>
        <w:jc w:val="both"/>
        <w:rPr>
          <w:rFonts w:ascii="Arial" w:hAnsi="Arial" w:cs="Arial"/>
          <w:sz w:val="20"/>
          <w:szCs w:val="20"/>
        </w:rPr>
      </w:pPr>
      <w:r w:rsidRPr="006A1276">
        <w:rPr>
          <w:rFonts w:ascii="Arial" w:hAnsi="Arial" w:cs="Arial"/>
          <w:sz w:val="20"/>
          <w:szCs w:val="20"/>
        </w:rPr>
        <w:t xml:space="preserve">Največji delež pobranih prihodkov </w:t>
      </w:r>
      <w:r w:rsidR="005955E9">
        <w:rPr>
          <w:rFonts w:ascii="Arial" w:hAnsi="Arial" w:cs="Arial"/>
          <w:sz w:val="20"/>
          <w:szCs w:val="20"/>
        </w:rPr>
        <w:t>zavzemajo</w:t>
      </w:r>
      <w:r w:rsidR="005955E9" w:rsidRPr="006A1276">
        <w:rPr>
          <w:rFonts w:ascii="Arial" w:hAnsi="Arial" w:cs="Arial"/>
          <w:sz w:val="20"/>
          <w:szCs w:val="20"/>
        </w:rPr>
        <w:t xml:space="preserve"> </w:t>
      </w:r>
      <w:r w:rsidRPr="006A1276">
        <w:rPr>
          <w:rFonts w:ascii="Arial" w:hAnsi="Arial" w:cs="Arial"/>
          <w:sz w:val="20"/>
          <w:szCs w:val="20"/>
        </w:rPr>
        <w:t>skupaj prispevki za socialno varnost in transferni prihodki iz naslova prispevkov (43,2 odstotka). V letu 2022 je bilo pobranih skupaj za 7,2 odstotka več teh prihodkov kakor v letu 202</w:t>
      </w:r>
      <w:r>
        <w:rPr>
          <w:rFonts w:ascii="Arial" w:hAnsi="Arial" w:cs="Arial"/>
          <w:sz w:val="20"/>
          <w:szCs w:val="20"/>
        </w:rPr>
        <w:t>1;</w:t>
      </w:r>
      <w:r w:rsidRPr="006A1276">
        <w:rPr>
          <w:rFonts w:ascii="Arial" w:hAnsi="Arial" w:cs="Arial"/>
          <w:sz w:val="20"/>
          <w:szCs w:val="20"/>
        </w:rPr>
        <w:t xml:space="preserve"> </w:t>
      </w:r>
      <w:r>
        <w:rPr>
          <w:rFonts w:ascii="Arial" w:hAnsi="Arial" w:cs="Arial"/>
          <w:sz w:val="20"/>
          <w:szCs w:val="20"/>
        </w:rPr>
        <w:t>o</w:t>
      </w:r>
      <w:r w:rsidRPr="006A1276">
        <w:rPr>
          <w:rFonts w:ascii="Arial" w:hAnsi="Arial" w:cs="Arial"/>
          <w:sz w:val="20"/>
          <w:szCs w:val="20"/>
        </w:rPr>
        <w:t xml:space="preserve">d tega je </w:t>
      </w:r>
      <w:r w:rsidR="00180BB6">
        <w:rPr>
          <w:rFonts w:ascii="Arial" w:hAnsi="Arial" w:cs="Arial"/>
          <w:sz w:val="20"/>
          <w:szCs w:val="20"/>
        </w:rPr>
        <w:t xml:space="preserve">bila </w:t>
      </w:r>
      <w:r w:rsidRPr="006A1276">
        <w:rPr>
          <w:rFonts w:ascii="Arial" w:hAnsi="Arial" w:cs="Arial"/>
          <w:sz w:val="20"/>
          <w:szCs w:val="20"/>
        </w:rPr>
        <w:t>rast prihodkov iz naslova prispevkov za socialno varnost 7,2</w:t>
      </w:r>
      <w:r w:rsidR="00180BB6">
        <w:rPr>
          <w:rFonts w:ascii="Arial" w:hAnsi="Arial" w:cs="Arial"/>
          <w:sz w:val="20"/>
          <w:szCs w:val="20"/>
        </w:rPr>
        <w:t>-</w:t>
      </w:r>
      <w:r w:rsidRPr="006A1276">
        <w:rPr>
          <w:rFonts w:ascii="Arial" w:hAnsi="Arial" w:cs="Arial"/>
          <w:sz w:val="20"/>
          <w:szCs w:val="20"/>
        </w:rPr>
        <w:t>odstot</w:t>
      </w:r>
      <w:r w:rsidR="00180BB6">
        <w:rPr>
          <w:rFonts w:ascii="Arial" w:hAnsi="Arial" w:cs="Arial"/>
          <w:sz w:val="20"/>
          <w:szCs w:val="20"/>
        </w:rPr>
        <w:t>n</w:t>
      </w:r>
      <w:r w:rsidRPr="006A1276">
        <w:rPr>
          <w:rFonts w:ascii="Arial" w:hAnsi="Arial" w:cs="Arial"/>
          <w:sz w:val="20"/>
          <w:szCs w:val="20"/>
        </w:rPr>
        <w:t>a, medtem ko so transferni prihodki višji za 6,6 odstotka. Najobsežnejši med prispevki za socialno varnost je prispevek za pokojninsko in invalidsko zavarovanje. Po deležu pobranih prihodkov sledijo domači davki na blago in storitve (31,6 odstotka), kjer je bilo pobranih za 8,4 odstotka več prihodkov glede na leto 2021. Po obsegu prevladujeta davek na dodano vrednost in trošarine. Dokaj velik delež ima tudi skupina davkov na dohodek in dobiček (21,6 odstotka)</w:t>
      </w:r>
      <w:r w:rsidR="00F05E9F">
        <w:rPr>
          <w:rFonts w:ascii="Arial" w:hAnsi="Arial" w:cs="Arial"/>
          <w:sz w:val="20"/>
          <w:szCs w:val="20"/>
        </w:rPr>
        <w:t>,</w:t>
      </w:r>
      <w:r w:rsidRPr="006A1276">
        <w:rPr>
          <w:rFonts w:ascii="Arial" w:hAnsi="Arial" w:cs="Arial"/>
          <w:sz w:val="20"/>
          <w:szCs w:val="20"/>
        </w:rPr>
        <w:t xml:space="preserve"> kjer je bilo pobranih za 3,7 odstotka več prihodkov glede na leto 2021. Največ prihodkov v tej skupini pripada dohodnini.</w:t>
      </w:r>
    </w:p>
    <w:p w14:paraId="0D298DB8" w14:textId="77777777" w:rsidR="00D847F2" w:rsidRPr="006A1276" w:rsidRDefault="00D847F2" w:rsidP="00D847F2">
      <w:pPr>
        <w:jc w:val="both"/>
        <w:rPr>
          <w:rFonts w:ascii="Arial" w:eastAsia="Times New Roman" w:hAnsi="Arial" w:cs="Arial"/>
          <w:i/>
          <w:sz w:val="20"/>
          <w:szCs w:val="20"/>
          <w:lang w:eastAsia="sl-SI"/>
        </w:rPr>
      </w:pPr>
      <w:r w:rsidRPr="00960DF8">
        <w:rPr>
          <w:rFonts w:ascii="Arial" w:eastAsia="Times New Roman" w:hAnsi="Arial" w:cs="Arial"/>
          <w:i/>
          <w:sz w:val="20"/>
          <w:szCs w:val="20"/>
          <w:lang w:eastAsia="sl-SI"/>
        </w:rPr>
        <w:t>Slika 3: Struktura neto pobranih javnofinančnih prihodkov po vrstah prihodkov v letu 2022</w:t>
      </w:r>
    </w:p>
    <w:p w14:paraId="0E2E8C5C" w14:textId="77777777" w:rsidR="00D847F2" w:rsidRPr="00492A74" w:rsidRDefault="00D847F2" w:rsidP="00D847F2">
      <w:pPr>
        <w:rPr>
          <w:rFonts w:eastAsia="Times New Roman" w:cs="Arial"/>
          <w:i/>
          <w:color w:val="2E74B5" w:themeColor="accent5" w:themeShade="BF"/>
          <w:lang w:eastAsia="sl-SI"/>
        </w:rPr>
      </w:pPr>
      <w:r>
        <w:rPr>
          <w:noProof/>
          <w:lang w:eastAsia="sl-SI"/>
        </w:rPr>
        <w:drawing>
          <wp:inline distT="0" distB="0" distL="0" distR="0" wp14:anchorId="556C60F2" wp14:editId="39CFF656">
            <wp:extent cx="4118776" cy="1986915"/>
            <wp:effectExtent l="0" t="0" r="0" b="0"/>
            <wp:docPr id="28" name="Grafikon 28">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CB67F6" w14:textId="23CD46E1" w:rsidR="00D847F2" w:rsidRPr="004D6C43" w:rsidRDefault="00992912" w:rsidP="00D847F2">
      <w:r>
        <w:rPr>
          <w:rFonts w:ascii="Arial" w:hAnsi="Arial" w:cs="Arial"/>
          <w:i/>
          <w:sz w:val="20"/>
          <w:szCs w:val="20"/>
        </w:rPr>
        <w:t xml:space="preserve"> </w:t>
      </w:r>
      <w:r w:rsidR="00D847F2" w:rsidRPr="004D6C43">
        <w:rPr>
          <w:rFonts w:ascii="Arial" w:hAnsi="Arial" w:cs="Arial"/>
          <w:i/>
          <w:sz w:val="20"/>
          <w:szCs w:val="20"/>
        </w:rPr>
        <w:t>Vir: FURS</w:t>
      </w:r>
      <w:r w:rsidR="00F05E9F">
        <w:rPr>
          <w:rFonts w:ascii="Arial" w:hAnsi="Arial" w:cs="Arial"/>
          <w:i/>
          <w:sz w:val="20"/>
          <w:szCs w:val="20"/>
        </w:rPr>
        <w:t xml:space="preserve">. </w:t>
      </w:r>
    </w:p>
    <w:p w14:paraId="5860073B" w14:textId="16B0507B" w:rsidR="00D847F2" w:rsidRDefault="00D847F2" w:rsidP="00D847F2">
      <w:pPr>
        <w:jc w:val="both"/>
        <w:rPr>
          <w:rFonts w:ascii="Arial" w:hAnsi="Arial" w:cs="Arial"/>
          <w:color w:val="000000"/>
          <w:sz w:val="20"/>
          <w:szCs w:val="20"/>
          <w:lang w:eastAsia="sl-SI"/>
        </w:rPr>
      </w:pPr>
      <w:r w:rsidRPr="009C597A">
        <w:rPr>
          <w:rFonts w:ascii="Arial" w:hAnsi="Arial" w:cs="Arial"/>
          <w:color w:val="000000"/>
          <w:sz w:val="20"/>
          <w:szCs w:val="20"/>
          <w:lang w:eastAsia="sl-SI"/>
        </w:rPr>
        <w:t>Krepitev kulture prostovoljnega izpolnjevanja zakonskih obveznosti je prednostni dolgoročni cilj FURS.</w:t>
      </w:r>
      <w:r w:rsidR="00992912">
        <w:rPr>
          <w:rFonts w:ascii="Arial" w:hAnsi="Arial" w:cs="Arial"/>
          <w:color w:val="000000"/>
          <w:sz w:val="20"/>
          <w:szCs w:val="20"/>
          <w:lang w:eastAsia="sl-SI"/>
        </w:rPr>
        <w:t xml:space="preserve"> </w:t>
      </w:r>
      <w:r w:rsidRPr="009C597A">
        <w:rPr>
          <w:rFonts w:ascii="Arial" w:hAnsi="Arial" w:cs="Arial"/>
          <w:color w:val="000000"/>
          <w:sz w:val="20"/>
          <w:szCs w:val="20"/>
          <w:lang w:eastAsia="sl-SI"/>
        </w:rPr>
        <w:t xml:space="preserve">V ta namen se </w:t>
      </w:r>
      <w:r w:rsidR="0048399B">
        <w:rPr>
          <w:rFonts w:ascii="Arial" w:hAnsi="Arial" w:cs="Arial"/>
          <w:color w:val="000000"/>
          <w:sz w:val="20"/>
          <w:szCs w:val="20"/>
          <w:lang w:eastAsia="sl-SI"/>
        </w:rPr>
        <w:t>neprekinjeno</w:t>
      </w:r>
      <w:r w:rsidR="007E2511">
        <w:rPr>
          <w:rFonts w:ascii="Arial" w:hAnsi="Arial" w:cs="Arial"/>
          <w:color w:val="000000"/>
          <w:sz w:val="20"/>
          <w:szCs w:val="20"/>
          <w:lang w:eastAsia="sl-SI"/>
        </w:rPr>
        <w:t xml:space="preserve"> </w:t>
      </w:r>
      <w:r w:rsidRPr="009C597A">
        <w:rPr>
          <w:rFonts w:ascii="Arial" w:hAnsi="Arial" w:cs="Arial"/>
          <w:color w:val="000000"/>
          <w:sz w:val="20"/>
          <w:szCs w:val="20"/>
          <w:lang w:eastAsia="sl-SI"/>
        </w:rPr>
        <w:t xml:space="preserve">izvaja vrsta medsebojno povezanih ukrepov na različnih področjih njenega delovanja od preventivnih do zelo ciljno usmerjenih aktivnosti. Podrobneje so te aktivnost predstavljene </w:t>
      </w:r>
      <w:r w:rsidRPr="002D482D">
        <w:rPr>
          <w:rFonts w:ascii="Arial" w:hAnsi="Arial" w:cs="Arial"/>
          <w:color w:val="000000"/>
          <w:sz w:val="20"/>
          <w:szCs w:val="20"/>
          <w:lang w:eastAsia="sl-SI"/>
        </w:rPr>
        <w:t>v 8. poglavju tega poročila.</w:t>
      </w:r>
      <w:r>
        <w:rPr>
          <w:rFonts w:ascii="Arial" w:hAnsi="Arial" w:cs="Arial"/>
          <w:color w:val="000000"/>
          <w:sz w:val="20"/>
          <w:szCs w:val="20"/>
          <w:lang w:eastAsia="sl-SI"/>
        </w:rPr>
        <w:t xml:space="preserve"> </w:t>
      </w:r>
    </w:p>
    <w:p w14:paraId="77024B7B" w14:textId="77777777" w:rsidR="00D847F2" w:rsidRDefault="00D847F2" w:rsidP="00D847F2">
      <w:pPr>
        <w:jc w:val="both"/>
        <w:rPr>
          <w:rFonts w:ascii="Arial" w:hAnsi="Arial" w:cs="Arial"/>
          <w:sz w:val="20"/>
          <w:szCs w:val="20"/>
        </w:rPr>
      </w:pPr>
      <w:r w:rsidRPr="009235F6">
        <w:rPr>
          <w:rFonts w:ascii="Arial" w:hAnsi="Arial" w:cs="Arial"/>
          <w:sz w:val="20"/>
          <w:szCs w:val="20"/>
        </w:rPr>
        <w:t>Davek je vsak denarni prihodek državnega proračuna, proračuna Evropske unije ali proračuna samoupravne lokalne skupnosti, ki n</w:t>
      </w:r>
      <w:r>
        <w:rPr>
          <w:rFonts w:ascii="Arial" w:hAnsi="Arial" w:cs="Arial"/>
          <w:sz w:val="20"/>
          <w:szCs w:val="20"/>
        </w:rPr>
        <w:t>i</w:t>
      </w:r>
      <w:r w:rsidRPr="009235F6">
        <w:rPr>
          <w:rFonts w:ascii="Arial" w:hAnsi="Arial" w:cs="Arial"/>
          <w:sz w:val="20"/>
          <w:szCs w:val="20"/>
        </w:rPr>
        <w:t xml:space="preserve"> plačil</w:t>
      </w:r>
      <w:r>
        <w:rPr>
          <w:rFonts w:ascii="Arial" w:hAnsi="Arial" w:cs="Arial"/>
          <w:sz w:val="20"/>
          <w:szCs w:val="20"/>
        </w:rPr>
        <w:t>o</w:t>
      </w:r>
      <w:r w:rsidRPr="009235F6">
        <w:rPr>
          <w:rFonts w:ascii="Arial" w:hAnsi="Arial" w:cs="Arial"/>
          <w:sz w:val="20"/>
          <w:szCs w:val="20"/>
        </w:rPr>
        <w:t xml:space="preserve"> za opravljeno storitev ali dobavljeno blago in se plača izključno na podlagi zakonov o obdavčenju oziroma predpisov samoupravnih lokalnih skupnosti, izdanih na podlagi zakonov o obdavčenju. </w:t>
      </w:r>
    </w:p>
    <w:bookmarkEnd w:id="10"/>
    <w:p w14:paraId="2E16A0DA" w14:textId="72FDCA0E" w:rsidR="00D847F2" w:rsidRPr="00086D64" w:rsidRDefault="00D847F2" w:rsidP="00D847F2">
      <w:pPr>
        <w:pStyle w:val="Odstavekseznama1"/>
        <w:ind w:left="0"/>
        <w:rPr>
          <w:rFonts w:ascii="Arial" w:hAnsi="Arial" w:cs="Arial"/>
          <w:sz w:val="20"/>
          <w:szCs w:val="20"/>
        </w:rPr>
      </w:pPr>
      <w:r w:rsidRPr="00086D64">
        <w:rPr>
          <w:rFonts w:ascii="Arial" w:hAnsi="Arial" w:cs="Arial"/>
          <w:sz w:val="20"/>
          <w:szCs w:val="20"/>
        </w:rPr>
        <w:lastRenderedPageBreak/>
        <w:t>V skladu s 3. členom Zakona o davčnem postopku</w:t>
      </w:r>
      <w:r>
        <w:rPr>
          <w:rFonts w:ascii="Arial" w:hAnsi="Arial" w:cs="Arial"/>
          <w:sz w:val="20"/>
          <w:szCs w:val="20"/>
        </w:rPr>
        <w:t xml:space="preserve"> </w:t>
      </w:r>
      <w:r w:rsidRPr="00086D64">
        <w:rPr>
          <w:rFonts w:ascii="Arial" w:hAnsi="Arial" w:cs="Arial"/>
          <w:sz w:val="20"/>
          <w:szCs w:val="20"/>
        </w:rPr>
        <w:t>(</w:t>
      </w:r>
      <w:r>
        <w:rPr>
          <w:rFonts w:ascii="Arial" w:hAnsi="Arial" w:cs="Arial"/>
          <w:sz w:val="20"/>
          <w:szCs w:val="20"/>
        </w:rPr>
        <w:t xml:space="preserve">v nadaljnjem besedilu: </w:t>
      </w:r>
      <w:r w:rsidRPr="00086D64">
        <w:rPr>
          <w:rFonts w:ascii="Arial" w:hAnsi="Arial" w:cs="Arial"/>
          <w:sz w:val="20"/>
          <w:szCs w:val="20"/>
        </w:rPr>
        <w:t>ZDavP-2)</w:t>
      </w:r>
      <w:r w:rsidRPr="00086D64">
        <w:rPr>
          <w:rStyle w:val="Sprotnaopomba-sklic"/>
          <w:rFonts w:ascii="Arial" w:hAnsi="Arial" w:cs="Arial"/>
          <w:sz w:val="20"/>
          <w:szCs w:val="20"/>
        </w:rPr>
        <w:footnoteReference w:id="6"/>
      </w:r>
      <w:r w:rsidR="00992912">
        <w:rPr>
          <w:rFonts w:ascii="Arial" w:hAnsi="Arial" w:cs="Arial"/>
          <w:sz w:val="20"/>
          <w:szCs w:val="20"/>
        </w:rPr>
        <w:t xml:space="preserve"> </w:t>
      </w:r>
      <w:r w:rsidRPr="00086D64">
        <w:rPr>
          <w:rFonts w:ascii="Arial" w:hAnsi="Arial" w:cs="Arial"/>
          <w:sz w:val="20"/>
          <w:szCs w:val="20"/>
        </w:rPr>
        <w:t>se kot davek štejejo tudi:</w:t>
      </w:r>
    </w:p>
    <w:p w14:paraId="352585B7" w14:textId="77777777" w:rsidR="00D847F2" w:rsidRPr="005F3830" w:rsidRDefault="00D847F2" w:rsidP="00D847F2">
      <w:pPr>
        <w:pStyle w:val="Odstavekseznama"/>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uvozne in izvozne dajatve</w:t>
      </w:r>
      <w:r>
        <w:rPr>
          <w:rFonts w:ascii="Arial" w:hAnsi="Arial" w:cs="Arial"/>
          <w:iCs/>
          <w:sz w:val="20"/>
          <w:szCs w:val="20"/>
        </w:rPr>
        <w:t xml:space="preserve"> po</w:t>
      </w:r>
      <w:r w:rsidRPr="005F3830">
        <w:rPr>
          <w:rFonts w:ascii="Arial" w:hAnsi="Arial" w:cs="Arial"/>
          <w:iCs/>
          <w:sz w:val="20"/>
          <w:szCs w:val="20"/>
        </w:rPr>
        <w:t xml:space="preserve"> predpisi</w:t>
      </w:r>
      <w:r>
        <w:rPr>
          <w:rFonts w:ascii="Arial" w:hAnsi="Arial" w:cs="Arial"/>
          <w:iCs/>
          <w:sz w:val="20"/>
          <w:szCs w:val="20"/>
        </w:rPr>
        <w:t>h</w:t>
      </w:r>
      <w:r w:rsidRPr="005F3830">
        <w:rPr>
          <w:rFonts w:ascii="Arial" w:hAnsi="Arial" w:cs="Arial"/>
          <w:iCs/>
          <w:sz w:val="20"/>
          <w:szCs w:val="20"/>
        </w:rPr>
        <w:t xml:space="preserve"> Evropske unije,</w:t>
      </w:r>
    </w:p>
    <w:p w14:paraId="7B8791FF" w14:textId="42FF32BB" w:rsidR="00D847F2" w:rsidRPr="005F3830" w:rsidRDefault="00D847F2" w:rsidP="00D847F2">
      <w:pPr>
        <w:pStyle w:val="Odstavekseznama"/>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prispevki za obvezno pokojninsko in invalidsko zavarovanje, obvezno zdravstveno zavarovanje,</w:t>
      </w:r>
      <w:r w:rsidR="00EA0A6C">
        <w:rPr>
          <w:rFonts w:ascii="Arial" w:hAnsi="Arial" w:cs="Arial"/>
          <w:iCs/>
          <w:sz w:val="20"/>
          <w:szCs w:val="20"/>
        </w:rPr>
        <w:t xml:space="preserve"> </w:t>
      </w:r>
      <w:r w:rsidRPr="005F3830">
        <w:rPr>
          <w:rFonts w:ascii="Arial" w:hAnsi="Arial" w:cs="Arial"/>
          <w:iCs/>
          <w:sz w:val="20"/>
          <w:szCs w:val="20"/>
        </w:rPr>
        <w:t>zaposlovanje in starševsko varstvo,</w:t>
      </w:r>
    </w:p>
    <w:p w14:paraId="1AF8DFA5" w14:textId="77777777" w:rsidR="00D847F2" w:rsidRPr="005F3830" w:rsidRDefault="00D847F2" w:rsidP="00D847F2">
      <w:pPr>
        <w:pStyle w:val="Odstavekseznama"/>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nadomestila, intervencijski in drugi ukrepi, ki so v celoti ali delno sistem financiranja kmetijskega usmerjevalnega in jamstvenega sklada, vključno z zneski, pobranimi v zvezi s temi ukrepi,</w:t>
      </w:r>
    </w:p>
    <w:p w14:paraId="58A88818" w14:textId="7EA1BCA0" w:rsidR="00D847F2" w:rsidRDefault="00D847F2" w:rsidP="00D847F2">
      <w:pPr>
        <w:pStyle w:val="Odstavekseznama"/>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obresti, stroški postopka pobiranja davkov, denarne kazni in globe ter stroški postopka o prekršku, ki jih odmeri oziroma izreka davčni organ.</w:t>
      </w:r>
      <w:r w:rsidR="00EA0A6C">
        <w:rPr>
          <w:rFonts w:ascii="Arial" w:hAnsi="Arial" w:cs="Arial"/>
          <w:iCs/>
          <w:sz w:val="20"/>
          <w:szCs w:val="20"/>
        </w:rPr>
        <w:t xml:space="preserve"> </w:t>
      </w:r>
    </w:p>
    <w:p w14:paraId="5479E1AD" w14:textId="77777777" w:rsidR="00D847F2" w:rsidRPr="005F3830" w:rsidRDefault="00D847F2" w:rsidP="00D847F2">
      <w:pPr>
        <w:pStyle w:val="Odstavekseznam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jc w:val="both"/>
        <w:rPr>
          <w:rFonts w:ascii="Arial" w:hAnsi="Arial" w:cs="Arial"/>
          <w:iCs/>
          <w:sz w:val="20"/>
          <w:szCs w:val="20"/>
        </w:rPr>
      </w:pPr>
    </w:p>
    <w:p w14:paraId="62D38555" w14:textId="534A0EB8" w:rsidR="00D847F2" w:rsidRDefault="00D847F2" w:rsidP="00D847F2">
      <w:pPr>
        <w:jc w:val="both"/>
        <w:rPr>
          <w:rFonts w:ascii="Arial" w:eastAsia="Times New Roman" w:hAnsi="Arial" w:cs="Arial"/>
          <w:iCs/>
          <w:sz w:val="20"/>
          <w:szCs w:val="20"/>
          <w:lang w:eastAsia="sl-SI"/>
        </w:rPr>
      </w:pPr>
      <w:r w:rsidRPr="00C67A58">
        <w:rPr>
          <w:rFonts w:ascii="Arial" w:eastAsia="Times New Roman" w:hAnsi="Arial" w:cs="Arial"/>
          <w:iCs/>
          <w:sz w:val="20"/>
          <w:szCs w:val="20"/>
          <w:lang w:eastAsia="sl-SI"/>
        </w:rPr>
        <w:t>FURS v skladu z zakonom, ki ureja delovanje, organiz</w:t>
      </w:r>
      <w:r w:rsidR="00EA0A6C">
        <w:rPr>
          <w:rFonts w:ascii="Arial" w:eastAsia="Times New Roman" w:hAnsi="Arial" w:cs="Arial"/>
          <w:iCs/>
          <w:sz w:val="20"/>
          <w:szCs w:val="20"/>
          <w:lang w:eastAsia="sl-SI"/>
        </w:rPr>
        <w:t>iranost</w:t>
      </w:r>
      <w:r w:rsidRPr="00C67A58">
        <w:rPr>
          <w:rFonts w:ascii="Arial" w:eastAsia="Times New Roman" w:hAnsi="Arial" w:cs="Arial"/>
          <w:iCs/>
          <w:sz w:val="20"/>
          <w:szCs w:val="20"/>
          <w:lang w:eastAsia="sl-SI"/>
        </w:rPr>
        <w:t>, naloge in pooblastila finančne uprave, vodi knjigovodsko evidenco</w:t>
      </w:r>
      <w:r>
        <w:rPr>
          <w:rFonts w:ascii="Arial" w:eastAsia="Times New Roman" w:hAnsi="Arial" w:cs="Arial"/>
          <w:iCs/>
          <w:sz w:val="20"/>
          <w:szCs w:val="20"/>
          <w:lang w:eastAsia="sl-SI"/>
        </w:rPr>
        <w:t>,</w:t>
      </w:r>
      <w:r w:rsidRPr="00C67A58">
        <w:rPr>
          <w:rFonts w:ascii="Arial" w:eastAsia="Times New Roman" w:hAnsi="Arial" w:cs="Arial"/>
          <w:iCs/>
          <w:sz w:val="20"/>
          <w:szCs w:val="20"/>
          <w:lang w:eastAsia="sl-SI"/>
        </w:rPr>
        <w:t xml:space="preserve"> iz katere se zagotavljajo podatki o stanju in gibanju davčnega dolga. Za vodenje davčnega knjigovodstva se smiselno uporabljajo določbe zakona, ki ureja računovodstvo.</w:t>
      </w:r>
    </w:p>
    <w:p w14:paraId="67AF05C3" w14:textId="77777777" w:rsidR="00D847F2" w:rsidRPr="007A4551" w:rsidRDefault="00D847F2" w:rsidP="00D847F2">
      <w:pPr>
        <w:rPr>
          <w:rFonts w:ascii="Arial" w:hAnsi="Arial" w:cs="Arial"/>
          <w:b/>
        </w:rPr>
      </w:pPr>
      <w:r w:rsidRPr="007A4551">
        <w:rPr>
          <w:rFonts w:ascii="Arial" w:hAnsi="Arial" w:cs="Arial"/>
          <w:b/>
        </w:rPr>
        <w:t>3</w:t>
      </w:r>
      <w:r w:rsidRPr="007A4551">
        <w:rPr>
          <w:rFonts w:ascii="Arial" w:hAnsi="Arial" w:cs="Arial"/>
          <w:b/>
        </w:rPr>
        <w:tab/>
        <w:t xml:space="preserve">Splošno o davčnem dolgu </w:t>
      </w:r>
    </w:p>
    <w:p w14:paraId="407CFBA8" w14:textId="77777777" w:rsidR="00D847F2" w:rsidRPr="009D113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eastAsia="Times New Roman" w:hAnsi="Arial" w:cs="Arial"/>
          <w:iCs/>
          <w:sz w:val="20"/>
          <w:szCs w:val="20"/>
          <w:lang w:eastAsia="sl-SI"/>
        </w:rPr>
      </w:pPr>
      <w:r w:rsidRPr="009D1136">
        <w:rPr>
          <w:rFonts w:ascii="Arial" w:eastAsia="Times New Roman" w:hAnsi="Arial" w:cs="Arial"/>
          <w:iCs/>
          <w:sz w:val="20"/>
          <w:szCs w:val="20"/>
          <w:lang w:eastAsia="sl-SI"/>
        </w:rPr>
        <w:t xml:space="preserve">Davčni dolg je stanje dolga zavezancev do FURS na presečni dan, ki vključuje vse zapadle neporavnane terjatve, ki jih odmerja, nadzira in izterjuje FURS v skladu </w:t>
      </w:r>
      <w:r>
        <w:rPr>
          <w:rFonts w:ascii="Arial" w:eastAsia="Times New Roman" w:hAnsi="Arial" w:cs="Arial"/>
          <w:iCs/>
          <w:sz w:val="20"/>
          <w:szCs w:val="20"/>
          <w:lang w:eastAsia="sl-SI"/>
        </w:rPr>
        <w:t xml:space="preserve">s </w:t>
      </w:r>
      <w:r w:rsidRPr="009D1136">
        <w:rPr>
          <w:rFonts w:ascii="Arial" w:eastAsia="Times New Roman" w:hAnsi="Arial" w:cs="Arial"/>
          <w:iCs/>
          <w:sz w:val="20"/>
          <w:szCs w:val="20"/>
          <w:lang w:eastAsia="sl-SI"/>
        </w:rPr>
        <w:t>predpisi.</w:t>
      </w:r>
    </w:p>
    <w:p w14:paraId="15CF3280" w14:textId="77777777" w:rsidR="00D847F2" w:rsidRPr="00086D64" w:rsidRDefault="00D847F2" w:rsidP="00D847F2">
      <w:pPr>
        <w:pStyle w:val="Odstavekseznama1"/>
        <w:ind w:left="0"/>
        <w:rPr>
          <w:rFonts w:ascii="Arial" w:hAnsi="Arial" w:cs="Arial"/>
          <w:sz w:val="20"/>
          <w:szCs w:val="20"/>
        </w:rPr>
      </w:pPr>
      <w:r w:rsidRPr="00086D64">
        <w:rPr>
          <w:rFonts w:ascii="Arial" w:hAnsi="Arial" w:cs="Arial"/>
          <w:sz w:val="20"/>
          <w:szCs w:val="20"/>
        </w:rPr>
        <w:t>Na stanje davčnega dolga na presečni dan ob koncu proračunskega leta bistveno vplivajo naslednja gibanja:</w:t>
      </w:r>
    </w:p>
    <w:p w14:paraId="48D12381" w14:textId="77777777" w:rsidR="00D847F2" w:rsidRPr="00086D64" w:rsidRDefault="00D847F2" w:rsidP="00D847F2">
      <w:pPr>
        <w:pStyle w:val="Odstavekseznama1"/>
        <w:numPr>
          <w:ilvl w:val="0"/>
          <w:numId w:val="30"/>
        </w:numPr>
        <w:rPr>
          <w:rFonts w:ascii="Arial" w:hAnsi="Arial" w:cs="Arial"/>
          <w:sz w:val="20"/>
          <w:szCs w:val="20"/>
        </w:rPr>
      </w:pPr>
      <w:r w:rsidRPr="00086D64">
        <w:rPr>
          <w:rFonts w:ascii="Arial" w:hAnsi="Arial" w:cs="Arial"/>
          <w:sz w:val="20"/>
          <w:szCs w:val="20"/>
        </w:rPr>
        <w:t>prenos odprtih zapadlih terjatev iz preteklega proračunskega leta,</w:t>
      </w:r>
    </w:p>
    <w:p w14:paraId="1A4BDEE3" w14:textId="2B3B78D3" w:rsidR="00D847F2" w:rsidRDefault="00D847F2" w:rsidP="00D847F2">
      <w:pPr>
        <w:pStyle w:val="Odstavekseznama1"/>
        <w:numPr>
          <w:ilvl w:val="0"/>
          <w:numId w:val="30"/>
        </w:numPr>
        <w:rPr>
          <w:rFonts w:ascii="Arial" w:hAnsi="Arial" w:cs="Arial"/>
          <w:sz w:val="20"/>
          <w:szCs w:val="20"/>
        </w:rPr>
      </w:pPr>
      <w:r w:rsidRPr="00086D64">
        <w:rPr>
          <w:rFonts w:ascii="Arial" w:hAnsi="Arial" w:cs="Arial"/>
          <w:sz w:val="20"/>
          <w:szCs w:val="20"/>
        </w:rPr>
        <w:t>obseg nastalih in zmanjšanih terjatev (odmera oziroma obračun dajatev, odpisi)</w:t>
      </w:r>
      <w:r w:rsidR="00EA0A6C">
        <w:rPr>
          <w:rFonts w:ascii="Arial" w:hAnsi="Arial" w:cs="Arial"/>
          <w:sz w:val="20"/>
          <w:szCs w:val="20"/>
        </w:rPr>
        <w:t>,</w:t>
      </w:r>
      <w:r w:rsidRPr="00086D64">
        <w:rPr>
          <w:rFonts w:ascii="Arial" w:hAnsi="Arial" w:cs="Arial"/>
          <w:sz w:val="20"/>
          <w:szCs w:val="20"/>
        </w:rPr>
        <w:t xml:space="preserve"> zapadlih v </w:t>
      </w:r>
    </w:p>
    <w:p w14:paraId="6BB267D4" w14:textId="23970089" w:rsidR="00D847F2" w:rsidRPr="00086D64" w:rsidRDefault="00D847F2" w:rsidP="00D847F2">
      <w:pPr>
        <w:pStyle w:val="Odstavekseznama1"/>
        <w:rPr>
          <w:rFonts w:ascii="Arial" w:hAnsi="Arial" w:cs="Arial"/>
          <w:sz w:val="20"/>
          <w:szCs w:val="20"/>
        </w:rPr>
      </w:pPr>
      <w:r w:rsidRPr="00086D64">
        <w:rPr>
          <w:rFonts w:ascii="Arial" w:hAnsi="Arial" w:cs="Arial"/>
          <w:sz w:val="20"/>
          <w:szCs w:val="20"/>
        </w:rPr>
        <w:t>proračunskem letu</w:t>
      </w:r>
      <w:r w:rsidR="00EA0A6C">
        <w:rPr>
          <w:rFonts w:ascii="Arial" w:hAnsi="Arial" w:cs="Arial"/>
          <w:sz w:val="20"/>
          <w:szCs w:val="20"/>
        </w:rPr>
        <w:t>,</w:t>
      </w:r>
      <w:r w:rsidRPr="00086D64">
        <w:rPr>
          <w:rFonts w:ascii="Arial" w:hAnsi="Arial" w:cs="Arial"/>
          <w:sz w:val="20"/>
          <w:szCs w:val="20"/>
        </w:rPr>
        <w:t xml:space="preserve"> in</w:t>
      </w:r>
    </w:p>
    <w:p w14:paraId="36462727" w14:textId="77777777" w:rsidR="00D847F2" w:rsidRPr="00086D64" w:rsidRDefault="00D847F2" w:rsidP="00D847F2">
      <w:pPr>
        <w:pStyle w:val="Odstavekseznama1"/>
        <w:numPr>
          <w:ilvl w:val="0"/>
          <w:numId w:val="30"/>
        </w:numPr>
        <w:rPr>
          <w:rFonts w:ascii="Arial" w:hAnsi="Arial" w:cs="Arial"/>
          <w:sz w:val="20"/>
          <w:szCs w:val="20"/>
        </w:rPr>
      </w:pPr>
      <w:r w:rsidRPr="00086D64">
        <w:rPr>
          <w:rFonts w:ascii="Arial" w:hAnsi="Arial" w:cs="Arial"/>
          <w:sz w:val="20"/>
          <w:szCs w:val="20"/>
        </w:rPr>
        <w:t>obseg plačanih oziroma izterjanih terjatev v proračunskem letu.</w:t>
      </w:r>
    </w:p>
    <w:p w14:paraId="18C99007" w14:textId="77777777" w:rsidR="004E60F1" w:rsidRDefault="004E60F1" w:rsidP="00D847F2">
      <w:pPr>
        <w:rPr>
          <w:rFonts w:ascii="Arial" w:hAnsi="Arial" w:cs="Arial"/>
          <w:b/>
          <w:sz w:val="20"/>
          <w:szCs w:val="20"/>
        </w:rPr>
      </w:pPr>
    </w:p>
    <w:p w14:paraId="370F73D1" w14:textId="3DE517A9" w:rsidR="00D847F2" w:rsidRPr="0017456E" w:rsidRDefault="00D847F2" w:rsidP="00D847F2">
      <w:pPr>
        <w:rPr>
          <w:rFonts w:ascii="Arial" w:hAnsi="Arial" w:cs="Arial"/>
          <w:b/>
          <w:sz w:val="20"/>
          <w:szCs w:val="20"/>
        </w:rPr>
      </w:pPr>
      <w:r w:rsidRPr="0017456E">
        <w:rPr>
          <w:rFonts w:ascii="Arial" w:hAnsi="Arial" w:cs="Arial"/>
          <w:b/>
          <w:sz w:val="20"/>
          <w:szCs w:val="20"/>
        </w:rPr>
        <w:t>3.1</w:t>
      </w:r>
      <w:r w:rsidRPr="0017456E">
        <w:rPr>
          <w:rFonts w:ascii="Arial" w:hAnsi="Arial" w:cs="Arial"/>
          <w:b/>
          <w:sz w:val="20"/>
          <w:szCs w:val="20"/>
        </w:rPr>
        <w:tab/>
        <w:t xml:space="preserve">Odmera oziroma obračun dajatev </w:t>
      </w:r>
      <w:r>
        <w:rPr>
          <w:rFonts w:ascii="Arial" w:hAnsi="Arial" w:cs="Arial"/>
          <w:b/>
          <w:sz w:val="20"/>
          <w:szCs w:val="20"/>
        </w:rPr>
        <w:t>–</w:t>
      </w:r>
      <w:r w:rsidRPr="0017456E">
        <w:rPr>
          <w:rFonts w:ascii="Arial" w:hAnsi="Arial" w:cs="Arial"/>
          <w:b/>
          <w:sz w:val="20"/>
          <w:szCs w:val="20"/>
        </w:rPr>
        <w:t xml:space="preserve"> izvršilni naslovi</w:t>
      </w:r>
    </w:p>
    <w:p w14:paraId="66DAD7F0" w14:textId="7B0EB41E" w:rsidR="00D847F2" w:rsidRDefault="00D847F2" w:rsidP="00D847F2">
      <w:pPr>
        <w:jc w:val="both"/>
        <w:rPr>
          <w:rFonts w:ascii="Arial" w:hAnsi="Arial" w:cs="Arial"/>
          <w:sz w:val="20"/>
          <w:szCs w:val="20"/>
        </w:rPr>
      </w:pPr>
      <w:r>
        <w:rPr>
          <w:rFonts w:ascii="Arial" w:hAnsi="Arial" w:cs="Arial"/>
          <w:sz w:val="20"/>
          <w:szCs w:val="20"/>
        </w:rPr>
        <w:t>D</w:t>
      </w:r>
      <w:r w:rsidRPr="009235F6">
        <w:rPr>
          <w:rFonts w:ascii="Arial" w:hAnsi="Arial" w:cs="Arial"/>
          <w:sz w:val="20"/>
          <w:szCs w:val="20"/>
        </w:rPr>
        <w:t>avčn</w:t>
      </w:r>
      <w:r>
        <w:rPr>
          <w:rFonts w:ascii="Arial" w:hAnsi="Arial" w:cs="Arial"/>
          <w:sz w:val="20"/>
          <w:szCs w:val="20"/>
        </w:rPr>
        <w:t>i</w:t>
      </w:r>
      <w:r w:rsidRPr="009235F6">
        <w:rPr>
          <w:rFonts w:ascii="Arial" w:hAnsi="Arial" w:cs="Arial"/>
          <w:sz w:val="20"/>
          <w:szCs w:val="20"/>
        </w:rPr>
        <w:t xml:space="preserve"> dolg </w:t>
      </w:r>
      <w:r>
        <w:rPr>
          <w:rFonts w:ascii="Arial" w:hAnsi="Arial" w:cs="Arial"/>
          <w:sz w:val="20"/>
          <w:szCs w:val="20"/>
        </w:rPr>
        <w:t>nastane</w:t>
      </w:r>
      <w:r w:rsidRPr="009235F6">
        <w:rPr>
          <w:rFonts w:ascii="Arial" w:hAnsi="Arial" w:cs="Arial"/>
          <w:sz w:val="20"/>
          <w:szCs w:val="20"/>
        </w:rPr>
        <w:t xml:space="preserve">, </w:t>
      </w:r>
      <w:r>
        <w:rPr>
          <w:rFonts w:ascii="Arial" w:hAnsi="Arial" w:cs="Arial"/>
          <w:sz w:val="20"/>
          <w:szCs w:val="20"/>
        </w:rPr>
        <w:t>če</w:t>
      </w:r>
      <w:r w:rsidRPr="009235F6">
        <w:rPr>
          <w:rFonts w:ascii="Arial" w:hAnsi="Arial" w:cs="Arial"/>
          <w:sz w:val="20"/>
          <w:szCs w:val="20"/>
        </w:rPr>
        <w:t xml:space="preserve"> zavezanec v predpisanem roku ne poravna svojih odmerjenih oziroma obračunanih obveznosti, ki izhajajo iz izvršilnega naslova. Izvršilni naslovi so predvsem davčni obračuni</w:t>
      </w:r>
      <w:r>
        <w:rPr>
          <w:rFonts w:ascii="Arial" w:hAnsi="Arial" w:cs="Arial"/>
          <w:sz w:val="20"/>
          <w:szCs w:val="20"/>
        </w:rPr>
        <w:t>, ki jih</w:t>
      </w:r>
      <w:r w:rsidRPr="009235F6">
        <w:rPr>
          <w:rFonts w:ascii="Arial" w:hAnsi="Arial" w:cs="Arial"/>
          <w:sz w:val="20"/>
          <w:szCs w:val="20"/>
        </w:rPr>
        <w:t xml:space="preserve"> predlož</w:t>
      </w:r>
      <w:r>
        <w:rPr>
          <w:rFonts w:ascii="Arial" w:hAnsi="Arial" w:cs="Arial"/>
          <w:sz w:val="20"/>
          <w:szCs w:val="20"/>
        </w:rPr>
        <w:t>i</w:t>
      </w:r>
      <w:r w:rsidRPr="009235F6">
        <w:rPr>
          <w:rFonts w:ascii="Arial" w:hAnsi="Arial" w:cs="Arial"/>
          <w:sz w:val="20"/>
          <w:szCs w:val="20"/>
        </w:rPr>
        <w:t xml:space="preserve"> zavezan</w:t>
      </w:r>
      <w:r>
        <w:rPr>
          <w:rFonts w:ascii="Arial" w:hAnsi="Arial" w:cs="Arial"/>
          <w:sz w:val="20"/>
          <w:szCs w:val="20"/>
        </w:rPr>
        <w:t>ec,</w:t>
      </w:r>
      <w:r w:rsidRPr="009235F6">
        <w:rPr>
          <w:rFonts w:ascii="Arial" w:hAnsi="Arial" w:cs="Arial"/>
          <w:sz w:val="20"/>
          <w:szCs w:val="20"/>
        </w:rPr>
        <w:t xml:space="preserve"> in odločbe, ki jih izdaja FURS. Za </w:t>
      </w:r>
      <w:r w:rsidR="00BE7DAB">
        <w:rPr>
          <w:rFonts w:ascii="Arial" w:hAnsi="Arial" w:cs="Arial"/>
          <w:sz w:val="20"/>
          <w:szCs w:val="20"/>
        </w:rPr>
        <w:t>te odločbe</w:t>
      </w:r>
      <w:r w:rsidR="00BE7DAB" w:rsidRPr="009235F6">
        <w:rPr>
          <w:rFonts w:ascii="Arial" w:hAnsi="Arial" w:cs="Arial"/>
          <w:sz w:val="20"/>
          <w:szCs w:val="20"/>
        </w:rPr>
        <w:t xml:space="preserve"> </w:t>
      </w:r>
      <w:r w:rsidRPr="009235F6">
        <w:rPr>
          <w:rFonts w:ascii="Arial" w:hAnsi="Arial" w:cs="Arial"/>
          <w:sz w:val="20"/>
          <w:szCs w:val="20"/>
        </w:rPr>
        <w:t>velja, da postanejo izvršljive v 30 dneh od vročitve ne glede na to, ali zavezanec zoper njih uveljavlja pravno sredstvo (prvi odstavek 87. člena ZDavP-2). Za davčni dolg torej ni pomembna dokončnost ali celo pravnomočnost akta, iz katerega izhaja obveznost plačila. V davčn</w:t>
      </w:r>
      <w:r>
        <w:rPr>
          <w:rFonts w:ascii="Arial" w:hAnsi="Arial" w:cs="Arial"/>
          <w:sz w:val="20"/>
          <w:szCs w:val="20"/>
        </w:rPr>
        <w:t>i</w:t>
      </w:r>
      <w:r w:rsidRPr="009235F6">
        <w:rPr>
          <w:rFonts w:ascii="Arial" w:hAnsi="Arial" w:cs="Arial"/>
          <w:sz w:val="20"/>
          <w:szCs w:val="20"/>
        </w:rPr>
        <w:t xml:space="preserve"> dolg so tako vključene tudi obveznosti, ki so predmet pritožb zavezancev pri drugostopenjskem organu ali tožb pri </w:t>
      </w:r>
      <w:r>
        <w:rPr>
          <w:rFonts w:ascii="Arial" w:hAnsi="Arial" w:cs="Arial"/>
          <w:sz w:val="20"/>
          <w:szCs w:val="20"/>
        </w:rPr>
        <w:t>u</w:t>
      </w:r>
      <w:r w:rsidRPr="009235F6">
        <w:rPr>
          <w:rFonts w:ascii="Arial" w:hAnsi="Arial" w:cs="Arial"/>
          <w:sz w:val="20"/>
          <w:szCs w:val="20"/>
        </w:rPr>
        <w:t>pravnem sodišču, vendar o pritožbi ali tožbi še ni odločeno.</w:t>
      </w:r>
      <w:r w:rsidR="00EA0A6C">
        <w:rPr>
          <w:rFonts w:ascii="Arial" w:hAnsi="Arial" w:cs="Arial"/>
          <w:sz w:val="20"/>
          <w:szCs w:val="20"/>
        </w:rPr>
        <w:t xml:space="preserve"> </w:t>
      </w:r>
    </w:p>
    <w:p w14:paraId="7ABBC7E7" w14:textId="7E20C9D9" w:rsidR="00D847F2" w:rsidRPr="00476F1D" w:rsidRDefault="00D847F2" w:rsidP="00D847F2">
      <w:pPr>
        <w:spacing w:line="260" w:lineRule="exact"/>
        <w:jc w:val="both"/>
        <w:rPr>
          <w:rFonts w:ascii="Arial" w:hAnsi="Arial" w:cs="Arial"/>
          <w:b/>
          <w:sz w:val="20"/>
          <w:szCs w:val="20"/>
        </w:rPr>
      </w:pPr>
      <w:r>
        <w:rPr>
          <w:rFonts w:ascii="Arial" w:hAnsi="Arial" w:cs="Arial"/>
          <w:b/>
          <w:sz w:val="20"/>
          <w:szCs w:val="20"/>
        </w:rPr>
        <w:t>3.2</w:t>
      </w:r>
      <w:r w:rsidRPr="001C7084">
        <w:rPr>
          <w:rFonts w:ascii="Arial" w:hAnsi="Arial" w:cs="Arial"/>
          <w:b/>
          <w:sz w:val="20"/>
          <w:szCs w:val="20"/>
        </w:rPr>
        <w:tab/>
      </w:r>
      <w:r w:rsidRPr="00E6268C">
        <w:rPr>
          <w:rFonts w:ascii="Arial" w:hAnsi="Arial" w:cs="Arial"/>
          <w:b/>
          <w:sz w:val="20"/>
          <w:szCs w:val="20"/>
        </w:rPr>
        <w:t>Zastaranje</w:t>
      </w:r>
      <w:r w:rsidR="00992912">
        <w:rPr>
          <w:rFonts w:ascii="Arial" w:hAnsi="Arial" w:cs="Arial"/>
          <w:b/>
          <w:sz w:val="20"/>
          <w:szCs w:val="20"/>
        </w:rPr>
        <w:t xml:space="preserve"> </w:t>
      </w:r>
      <w:r w:rsidRPr="00E6268C">
        <w:rPr>
          <w:rFonts w:ascii="Arial" w:hAnsi="Arial" w:cs="Arial"/>
          <w:b/>
          <w:sz w:val="20"/>
          <w:szCs w:val="20"/>
        </w:rPr>
        <w:t>in z</w:t>
      </w:r>
      <w:r w:rsidRPr="00E6268C">
        <w:rPr>
          <w:rFonts w:ascii="Arial" w:hAnsi="Arial" w:cs="Arial"/>
          <w:b/>
          <w:noProof/>
          <w:sz w:val="20"/>
          <w:szCs w:val="20"/>
        </w:rPr>
        <w:t>adržanje zastaranja davčnih obveznosti</w:t>
      </w:r>
    </w:p>
    <w:p w14:paraId="10F0F0EB" w14:textId="4AEC79D9" w:rsidR="00D847F2" w:rsidRPr="009235F6" w:rsidRDefault="00D847F2" w:rsidP="00D847F2">
      <w:pPr>
        <w:jc w:val="both"/>
        <w:rPr>
          <w:rFonts w:ascii="Arial" w:hAnsi="Arial" w:cs="Arial"/>
          <w:sz w:val="20"/>
          <w:szCs w:val="20"/>
        </w:rPr>
      </w:pPr>
      <w:r>
        <w:rPr>
          <w:rFonts w:ascii="Arial" w:hAnsi="Arial" w:cs="Arial"/>
          <w:sz w:val="20"/>
          <w:szCs w:val="20"/>
        </w:rPr>
        <w:t>Na obseg d</w:t>
      </w:r>
      <w:r w:rsidRPr="009235F6">
        <w:rPr>
          <w:rFonts w:ascii="Arial" w:hAnsi="Arial" w:cs="Arial"/>
          <w:sz w:val="20"/>
          <w:szCs w:val="20"/>
        </w:rPr>
        <w:t>avčn</w:t>
      </w:r>
      <w:r>
        <w:rPr>
          <w:rFonts w:ascii="Arial" w:hAnsi="Arial" w:cs="Arial"/>
          <w:sz w:val="20"/>
          <w:szCs w:val="20"/>
        </w:rPr>
        <w:t>ega</w:t>
      </w:r>
      <w:r w:rsidRPr="009235F6">
        <w:rPr>
          <w:rFonts w:ascii="Arial" w:hAnsi="Arial" w:cs="Arial"/>
          <w:sz w:val="20"/>
          <w:szCs w:val="20"/>
        </w:rPr>
        <w:t xml:space="preserve"> dolg</w:t>
      </w:r>
      <w:r>
        <w:rPr>
          <w:rFonts w:ascii="Arial" w:hAnsi="Arial" w:cs="Arial"/>
          <w:sz w:val="20"/>
          <w:szCs w:val="20"/>
        </w:rPr>
        <w:t>a bistveno vplivajo pravila o absolutnem in relativnem zastaranju pravice do izterjave davka</w:t>
      </w:r>
      <w:r w:rsidRPr="009235F6">
        <w:rPr>
          <w:rFonts w:ascii="Arial" w:hAnsi="Arial" w:cs="Arial"/>
          <w:sz w:val="20"/>
          <w:szCs w:val="20"/>
        </w:rPr>
        <w:t xml:space="preserve">. Po določbah 125. in 126. člena ZDavP-2 </w:t>
      </w:r>
      <w:r>
        <w:rPr>
          <w:rFonts w:ascii="Arial" w:hAnsi="Arial" w:cs="Arial"/>
          <w:sz w:val="20"/>
          <w:szCs w:val="20"/>
        </w:rPr>
        <w:t xml:space="preserve">davčna obveznost preneha </w:t>
      </w:r>
      <w:r w:rsidRPr="009235F6">
        <w:rPr>
          <w:rFonts w:ascii="Arial" w:hAnsi="Arial" w:cs="Arial"/>
          <w:sz w:val="20"/>
          <w:szCs w:val="20"/>
        </w:rPr>
        <w:t>v petih oziroma desetih let</w:t>
      </w:r>
      <w:r>
        <w:rPr>
          <w:rFonts w:ascii="Arial" w:hAnsi="Arial" w:cs="Arial"/>
          <w:sz w:val="20"/>
          <w:szCs w:val="20"/>
        </w:rPr>
        <w:t>ih</w:t>
      </w:r>
      <w:r w:rsidRPr="009235F6">
        <w:rPr>
          <w:rFonts w:ascii="Arial" w:hAnsi="Arial" w:cs="Arial"/>
          <w:sz w:val="20"/>
          <w:szCs w:val="20"/>
        </w:rPr>
        <w:t xml:space="preserve"> od dneva, ko bi bilo treba davek plačati</w:t>
      </w:r>
      <w:r>
        <w:rPr>
          <w:rFonts w:ascii="Arial" w:hAnsi="Arial" w:cs="Arial"/>
          <w:sz w:val="20"/>
          <w:szCs w:val="20"/>
        </w:rPr>
        <w:t>. V strukturi davčnega dolga glede na leto nastanka dolga tako praviloma zasledimo dolgove iz preteklih desetih let, zaradi izjem pa tudi starejše dolgove.</w:t>
      </w:r>
    </w:p>
    <w:p w14:paraId="06570E90" w14:textId="77777777" w:rsidR="00D847F2" w:rsidRPr="00B5548A" w:rsidRDefault="00D847F2" w:rsidP="00D847F2">
      <w:pPr>
        <w:jc w:val="both"/>
        <w:rPr>
          <w:rFonts w:ascii="Arial" w:hAnsi="Arial" w:cs="Arial"/>
          <w:sz w:val="20"/>
          <w:szCs w:val="20"/>
        </w:rPr>
      </w:pPr>
      <w:r>
        <w:rPr>
          <w:rFonts w:ascii="Arial" w:hAnsi="Arial" w:cs="Arial"/>
          <w:sz w:val="20"/>
          <w:szCs w:val="20"/>
        </w:rPr>
        <w:t>I</w:t>
      </w:r>
      <w:r w:rsidRPr="00BB6503">
        <w:rPr>
          <w:rFonts w:ascii="Arial" w:hAnsi="Arial" w:cs="Arial"/>
          <w:sz w:val="20"/>
          <w:szCs w:val="20"/>
        </w:rPr>
        <w:t>zjemo od splošnega učinka zastaranja določa 126</w:t>
      </w:r>
      <w:r>
        <w:rPr>
          <w:rFonts w:ascii="Arial" w:hAnsi="Arial" w:cs="Arial"/>
          <w:sz w:val="20"/>
          <w:szCs w:val="20"/>
        </w:rPr>
        <w:t>.</w:t>
      </w:r>
      <w:r w:rsidRPr="00BB6503">
        <w:rPr>
          <w:rFonts w:ascii="Arial" w:hAnsi="Arial" w:cs="Arial"/>
          <w:sz w:val="20"/>
          <w:szCs w:val="20"/>
        </w:rPr>
        <w:t xml:space="preserve">a člen ZDavP-2, ki določa, da davčna obveznost ne preneha, če je davčni dolg zavarovan s hipoteko in če je pred potekom zastaranja pravice do </w:t>
      </w:r>
      <w:r w:rsidRPr="00B5548A">
        <w:rPr>
          <w:rFonts w:ascii="Arial" w:hAnsi="Arial" w:cs="Arial"/>
          <w:sz w:val="20"/>
          <w:szCs w:val="20"/>
        </w:rPr>
        <w:t>izterjave vložen predlog za izvršbo na nepremičnino.</w:t>
      </w:r>
      <w:r>
        <w:rPr>
          <w:rFonts w:ascii="Arial" w:hAnsi="Arial" w:cs="Arial"/>
          <w:sz w:val="20"/>
          <w:szCs w:val="20"/>
        </w:rPr>
        <w:t xml:space="preserve"> </w:t>
      </w:r>
      <w:r w:rsidRPr="00B5548A">
        <w:rPr>
          <w:rFonts w:ascii="Arial" w:hAnsi="Arial" w:cs="Arial"/>
          <w:sz w:val="20"/>
          <w:szCs w:val="20"/>
        </w:rPr>
        <w:t>Davčna obveznost preneha s poplačilom iz prodaje</w:t>
      </w:r>
      <w:r>
        <w:rPr>
          <w:rFonts w:ascii="Arial" w:hAnsi="Arial" w:cs="Arial"/>
          <w:sz w:val="20"/>
          <w:szCs w:val="20"/>
        </w:rPr>
        <w:t>.</w:t>
      </w:r>
    </w:p>
    <w:p w14:paraId="54D65DB6" w14:textId="6D0B68F3" w:rsidR="00D847F2" w:rsidRPr="00B5548A" w:rsidRDefault="00D847F2" w:rsidP="00D847F2">
      <w:pPr>
        <w:spacing w:line="260" w:lineRule="exact"/>
        <w:jc w:val="both"/>
        <w:rPr>
          <w:rFonts w:ascii="Arial" w:hAnsi="Arial" w:cs="Arial"/>
          <w:noProof/>
          <w:sz w:val="20"/>
          <w:szCs w:val="20"/>
        </w:rPr>
      </w:pPr>
      <w:r w:rsidRPr="00B5548A">
        <w:rPr>
          <w:rFonts w:ascii="Arial" w:hAnsi="Arial" w:cs="Arial"/>
          <w:noProof/>
          <w:sz w:val="20"/>
          <w:szCs w:val="20"/>
        </w:rPr>
        <w:lastRenderedPageBreak/>
        <w:t xml:space="preserve">Zadržanje zastaranja povzročijo tudi nekateri drugi postopki, ko davčni organ ne more oziroma ne sme voditi postopka </w:t>
      </w:r>
      <w:r w:rsidRPr="00440D3B">
        <w:rPr>
          <w:rFonts w:ascii="Arial" w:hAnsi="Arial" w:cs="Arial"/>
          <w:noProof/>
          <w:sz w:val="20"/>
          <w:szCs w:val="20"/>
        </w:rPr>
        <w:t>davčne izvršbe. G</w:t>
      </w:r>
      <w:r w:rsidRPr="00440D3B">
        <w:rPr>
          <w:rFonts w:ascii="Arial" w:hAnsi="Arial" w:cs="Arial"/>
          <w:sz w:val="20"/>
          <w:szCs w:val="20"/>
        </w:rPr>
        <w:t>lavni zakonski razlogi in sodni postopki, zaradi katerih se zastaranje zadrži</w:t>
      </w:r>
      <w:r>
        <w:rPr>
          <w:rFonts w:ascii="Arial" w:hAnsi="Arial" w:cs="Arial"/>
          <w:sz w:val="20"/>
          <w:szCs w:val="20"/>
        </w:rPr>
        <w:t>,</w:t>
      </w:r>
      <w:r w:rsidRPr="00440D3B">
        <w:rPr>
          <w:rFonts w:ascii="Arial" w:hAnsi="Arial" w:cs="Arial"/>
          <w:sz w:val="20"/>
          <w:szCs w:val="20"/>
        </w:rPr>
        <w:t xml:space="preserve"> so postopek zaradi insolventnosti, odobren</w:t>
      </w:r>
      <w:r w:rsidRPr="00B5548A">
        <w:rPr>
          <w:rFonts w:ascii="Arial" w:hAnsi="Arial" w:cs="Arial"/>
          <w:sz w:val="20"/>
          <w:szCs w:val="20"/>
        </w:rPr>
        <w:t xml:space="preserve"> odlog oziroma obročno plačevanje davka</w:t>
      </w:r>
      <w:r>
        <w:rPr>
          <w:rFonts w:ascii="Arial" w:hAnsi="Arial" w:cs="Arial"/>
          <w:sz w:val="20"/>
          <w:szCs w:val="20"/>
        </w:rPr>
        <w:t>,</w:t>
      </w:r>
      <w:r w:rsidRPr="00B5548A">
        <w:rPr>
          <w:rFonts w:ascii="Arial" w:hAnsi="Arial" w:cs="Arial"/>
          <w:sz w:val="20"/>
          <w:szCs w:val="20"/>
        </w:rPr>
        <w:t xml:space="preserve"> zapuščinski postopek</w:t>
      </w:r>
      <w:r>
        <w:rPr>
          <w:rFonts w:ascii="Arial" w:hAnsi="Arial" w:cs="Arial"/>
          <w:sz w:val="20"/>
          <w:szCs w:val="20"/>
        </w:rPr>
        <w:t xml:space="preserve"> in podobno</w:t>
      </w:r>
      <w:r w:rsidRPr="00B5548A">
        <w:rPr>
          <w:rFonts w:ascii="Arial" w:hAnsi="Arial" w:cs="Arial"/>
          <w:sz w:val="20"/>
          <w:szCs w:val="20"/>
        </w:rPr>
        <w:t xml:space="preserve">. </w:t>
      </w:r>
      <w:r w:rsidRPr="00B5548A">
        <w:rPr>
          <w:rFonts w:ascii="Arial" w:hAnsi="Arial" w:cs="Arial"/>
          <w:noProof/>
          <w:sz w:val="20"/>
          <w:szCs w:val="20"/>
        </w:rPr>
        <w:t>Ko preneha razlog, zaradi katerega je bilo zastaranje zadržano</w:t>
      </w:r>
      <w:r w:rsidR="002B6202">
        <w:rPr>
          <w:rFonts w:ascii="Arial" w:hAnsi="Arial" w:cs="Arial"/>
          <w:noProof/>
          <w:sz w:val="20"/>
          <w:szCs w:val="20"/>
        </w:rPr>
        <w:t>,</w:t>
      </w:r>
      <w:r w:rsidRPr="00B5548A">
        <w:rPr>
          <w:rFonts w:ascii="Arial" w:hAnsi="Arial" w:cs="Arial"/>
          <w:noProof/>
          <w:sz w:val="20"/>
          <w:szCs w:val="20"/>
        </w:rPr>
        <w:t xml:space="preserve"> davčni organ lahko nadaljuje ali začne davčno izvršbo </w:t>
      </w:r>
      <w:r w:rsidR="002B6202">
        <w:rPr>
          <w:rFonts w:ascii="Arial" w:hAnsi="Arial" w:cs="Arial"/>
          <w:noProof/>
          <w:sz w:val="20"/>
          <w:szCs w:val="20"/>
        </w:rPr>
        <w:t xml:space="preserve">in </w:t>
      </w:r>
      <w:r w:rsidRPr="00B5548A">
        <w:rPr>
          <w:rFonts w:ascii="Arial" w:hAnsi="Arial" w:cs="Arial"/>
          <w:noProof/>
          <w:sz w:val="20"/>
          <w:szCs w:val="20"/>
        </w:rPr>
        <w:t xml:space="preserve">se tek zastaralnega roka nadaljuje. </w:t>
      </w:r>
    </w:p>
    <w:p w14:paraId="3ED6002F" w14:textId="77777777" w:rsidR="00D847F2" w:rsidRPr="0017456E" w:rsidRDefault="00D847F2" w:rsidP="00D847F2">
      <w:pPr>
        <w:rPr>
          <w:rFonts w:ascii="Arial" w:hAnsi="Arial" w:cs="Arial"/>
          <w:b/>
          <w:sz w:val="20"/>
          <w:szCs w:val="20"/>
        </w:rPr>
      </w:pPr>
      <w:r>
        <w:rPr>
          <w:rFonts w:ascii="Arial" w:hAnsi="Arial" w:cs="Arial"/>
          <w:b/>
          <w:sz w:val="20"/>
          <w:szCs w:val="20"/>
        </w:rPr>
        <w:t>3.3</w:t>
      </w:r>
      <w:r w:rsidRPr="0017456E">
        <w:rPr>
          <w:rFonts w:ascii="Arial" w:hAnsi="Arial" w:cs="Arial"/>
          <w:b/>
          <w:sz w:val="20"/>
          <w:szCs w:val="20"/>
        </w:rPr>
        <w:tab/>
        <w:t xml:space="preserve">Vpliv likvidnostnih težav zavezancev </w:t>
      </w:r>
      <w:r>
        <w:rPr>
          <w:rFonts w:ascii="Arial" w:hAnsi="Arial" w:cs="Arial"/>
          <w:b/>
          <w:sz w:val="20"/>
          <w:szCs w:val="20"/>
        </w:rPr>
        <w:t xml:space="preserve">in napak pri plačevanju </w:t>
      </w:r>
      <w:r w:rsidRPr="0017456E">
        <w:rPr>
          <w:rFonts w:ascii="Arial" w:hAnsi="Arial" w:cs="Arial"/>
          <w:b/>
          <w:sz w:val="20"/>
          <w:szCs w:val="20"/>
        </w:rPr>
        <w:t xml:space="preserve">na davčni dolg </w:t>
      </w:r>
    </w:p>
    <w:p w14:paraId="32D1E896" w14:textId="18C28D2B" w:rsidR="00D847F2" w:rsidRDefault="00D847F2" w:rsidP="00D847F2">
      <w:pPr>
        <w:jc w:val="both"/>
        <w:rPr>
          <w:rFonts w:ascii="Arial" w:hAnsi="Arial" w:cs="Arial"/>
          <w:sz w:val="20"/>
          <w:szCs w:val="20"/>
        </w:rPr>
      </w:pPr>
      <w:r w:rsidRPr="009D6FDF">
        <w:rPr>
          <w:rFonts w:ascii="Arial" w:hAnsi="Arial" w:cs="Arial"/>
          <w:sz w:val="20"/>
          <w:szCs w:val="20"/>
        </w:rPr>
        <w:t xml:space="preserve">Poročilo je pripravljeno na presečni datum, kar pomeni, da so v davčnem dolgu zajete vse neporavnane obveznosti, zapadle v plačilo do obravnavanega datuma, tudi tiste, ki </w:t>
      </w:r>
      <w:r w:rsidR="002B6202">
        <w:rPr>
          <w:rFonts w:ascii="Arial" w:hAnsi="Arial" w:cs="Arial"/>
          <w:sz w:val="20"/>
          <w:szCs w:val="20"/>
        </w:rPr>
        <w:t>jih</w:t>
      </w:r>
      <w:r w:rsidR="002B6202" w:rsidRPr="009D6FDF">
        <w:rPr>
          <w:rFonts w:ascii="Arial" w:hAnsi="Arial" w:cs="Arial"/>
          <w:sz w:val="20"/>
          <w:szCs w:val="20"/>
        </w:rPr>
        <w:t xml:space="preserve"> </w:t>
      </w:r>
      <w:r w:rsidRPr="009D6FDF">
        <w:rPr>
          <w:rFonts w:ascii="Arial" w:hAnsi="Arial" w:cs="Arial"/>
          <w:sz w:val="20"/>
          <w:szCs w:val="20"/>
        </w:rPr>
        <w:t>že nekaj dni po tem datumu prostovoljno poravna</w:t>
      </w:r>
      <w:r w:rsidR="002B6202">
        <w:rPr>
          <w:rFonts w:ascii="Arial" w:hAnsi="Arial" w:cs="Arial"/>
          <w:sz w:val="20"/>
          <w:szCs w:val="20"/>
        </w:rPr>
        <w:t>jo</w:t>
      </w:r>
      <w:r w:rsidRPr="009D6FDF">
        <w:rPr>
          <w:rFonts w:ascii="Arial" w:hAnsi="Arial" w:cs="Arial"/>
          <w:sz w:val="20"/>
          <w:szCs w:val="20"/>
        </w:rPr>
        <w:t xml:space="preserve"> zavezanc</w:t>
      </w:r>
      <w:r w:rsidR="002B6202">
        <w:rPr>
          <w:rFonts w:ascii="Arial" w:hAnsi="Arial" w:cs="Arial"/>
          <w:sz w:val="20"/>
          <w:szCs w:val="20"/>
        </w:rPr>
        <w:t>i</w:t>
      </w:r>
      <w:r w:rsidRPr="009D6FDF">
        <w:rPr>
          <w:rFonts w:ascii="Arial" w:hAnsi="Arial" w:cs="Arial"/>
          <w:sz w:val="20"/>
          <w:szCs w:val="20"/>
        </w:rPr>
        <w:t xml:space="preserve">. </w:t>
      </w:r>
      <w:r w:rsidRPr="00DB3C00">
        <w:rPr>
          <w:rFonts w:ascii="Arial" w:hAnsi="Arial" w:cs="Arial"/>
          <w:sz w:val="20"/>
          <w:szCs w:val="20"/>
        </w:rPr>
        <w:t xml:space="preserve">Obseg dajatev, plačanih po zapadlosti z do enomesečno zamudo, </w:t>
      </w:r>
      <w:r w:rsidR="00E128C5">
        <w:rPr>
          <w:rFonts w:ascii="Arial" w:hAnsi="Arial" w:cs="Arial"/>
          <w:sz w:val="20"/>
          <w:szCs w:val="20"/>
        </w:rPr>
        <w:t>j</w:t>
      </w:r>
      <w:r w:rsidRPr="00A36872">
        <w:rPr>
          <w:rFonts w:ascii="Arial" w:hAnsi="Arial" w:cs="Arial"/>
          <w:sz w:val="20"/>
          <w:szCs w:val="20"/>
        </w:rPr>
        <w:t>e</w:t>
      </w:r>
      <w:r w:rsidR="00E128C5">
        <w:rPr>
          <w:rFonts w:ascii="Arial" w:hAnsi="Arial" w:cs="Arial"/>
          <w:sz w:val="20"/>
          <w:szCs w:val="20"/>
        </w:rPr>
        <w:t xml:space="preserve"> </w:t>
      </w:r>
      <w:r w:rsidRPr="00A36872">
        <w:rPr>
          <w:rFonts w:ascii="Arial" w:hAnsi="Arial" w:cs="Arial"/>
          <w:sz w:val="20"/>
          <w:szCs w:val="20"/>
        </w:rPr>
        <w:t>od 60 do 80 mio EUR</w:t>
      </w:r>
      <w:r w:rsidR="00992912">
        <w:rPr>
          <w:rFonts w:ascii="Arial" w:hAnsi="Arial" w:cs="Arial"/>
          <w:sz w:val="20"/>
          <w:szCs w:val="20"/>
        </w:rPr>
        <w:t xml:space="preserve"> </w:t>
      </w:r>
      <w:r w:rsidRPr="00A36872">
        <w:rPr>
          <w:rFonts w:ascii="Arial" w:hAnsi="Arial" w:cs="Arial"/>
          <w:sz w:val="20"/>
          <w:szCs w:val="20"/>
        </w:rPr>
        <w:t xml:space="preserve">mesečno. Najpogosteje </w:t>
      </w:r>
      <w:r w:rsidRPr="009D6FDF">
        <w:rPr>
          <w:rFonts w:ascii="Arial" w:hAnsi="Arial" w:cs="Arial"/>
          <w:sz w:val="20"/>
          <w:szCs w:val="20"/>
        </w:rPr>
        <w:t>so na tak način na presečni dan v davčnem dolgu zajete večje obveznosti zavezancev iz naslova davka na dodano vrednost in trošarin, ker je datum zapadlosti obračunov za obe vrsti davka zadnji delovni dan v mesecu.</w:t>
      </w:r>
      <w:r>
        <w:rPr>
          <w:rFonts w:ascii="Arial" w:hAnsi="Arial" w:cs="Arial"/>
          <w:sz w:val="20"/>
          <w:szCs w:val="20"/>
        </w:rPr>
        <w:t xml:space="preserve"> </w:t>
      </w:r>
    </w:p>
    <w:p w14:paraId="39D49058" w14:textId="0BDA9DA7" w:rsidR="00D847F2" w:rsidRDefault="00D847F2" w:rsidP="00D847F2">
      <w:pPr>
        <w:jc w:val="both"/>
        <w:rPr>
          <w:rFonts w:ascii="Arial" w:hAnsi="Arial" w:cs="Arial"/>
          <w:sz w:val="20"/>
          <w:szCs w:val="20"/>
        </w:rPr>
      </w:pPr>
      <w:r w:rsidRPr="009235F6">
        <w:rPr>
          <w:rFonts w:ascii="Arial" w:hAnsi="Arial" w:cs="Arial"/>
          <w:sz w:val="20"/>
          <w:szCs w:val="20"/>
        </w:rPr>
        <w:t>V davčnem dolgu po stanju na presečni dan so zajete tudi neporavnane obveznosti davčnih zavezancev, ki so poravnali svoje obveznosti, vendar na napačen podračun ali z nap</w:t>
      </w:r>
      <w:r>
        <w:rPr>
          <w:rFonts w:ascii="Arial" w:hAnsi="Arial" w:cs="Arial"/>
          <w:sz w:val="20"/>
          <w:szCs w:val="20"/>
        </w:rPr>
        <w:t xml:space="preserve">ačno referenco pri plačilu. </w:t>
      </w:r>
      <w:r w:rsidRPr="009235F6">
        <w:rPr>
          <w:rFonts w:ascii="Arial" w:hAnsi="Arial" w:cs="Arial"/>
          <w:sz w:val="20"/>
          <w:szCs w:val="20"/>
        </w:rPr>
        <w:t xml:space="preserve">FURS v tem primeru </w:t>
      </w:r>
      <w:r>
        <w:rPr>
          <w:rFonts w:ascii="Arial" w:hAnsi="Arial" w:cs="Arial"/>
          <w:sz w:val="20"/>
          <w:szCs w:val="20"/>
        </w:rPr>
        <w:t>izvede</w:t>
      </w:r>
      <w:r w:rsidRPr="009235F6">
        <w:rPr>
          <w:rFonts w:ascii="Arial" w:hAnsi="Arial" w:cs="Arial"/>
          <w:sz w:val="20"/>
          <w:szCs w:val="20"/>
        </w:rPr>
        <w:t xml:space="preserve"> postopek razčiščevanja plačil (stik z zavezancem, poizvedba na Uprav</w:t>
      </w:r>
      <w:r>
        <w:rPr>
          <w:rFonts w:ascii="Arial" w:hAnsi="Arial" w:cs="Arial"/>
          <w:sz w:val="20"/>
          <w:szCs w:val="20"/>
        </w:rPr>
        <w:t>i</w:t>
      </w:r>
      <w:r w:rsidRPr="009235F6">
        <w:rPr>
          <w:rFonts w:ascii="Arial" w:hAnsi="Arial" w:cs="Arial"/>
          <w:sz w:val="20"/>
          <w:szCs w:val="20"/>
        </w:rPr>
        <w:t xml:space="preserve"> Republike Slovenije za javna plačila in banke</w:t>
      </w:r>
      <w:r>
        <w:rPr>
          <w:rFonts w:ascii="Arial" w:hAnsi="Arial" w:cs="Arial"/>
          <w:sz w:val="20"/>
          <w:szCs w:val="20"/>
        </w:rPr>
        <w:t xml:space="preserve"> </w:t>
      </w:r>
      <w:r w:rsidR="00466DB2">
        <w:rPr>
          <w:rFonts w:ascii="Arial" w:hAnsi="Arial" w:cs="Arial"/>
          <w:sz w:val="20"/>
          <w:szCs w:val="20"/>
        </w:rPr>
        <w:t>ter podobno</w:t>
      </w:r>
      <w:r w:rsidRPr="009235F6">
        <w:rPr>
          <w:rFonts w:ascii="Arial" w:hAnsi="Arial" w:cs="Arial"/>
          <w:sz w:val="20"/>
          <w:szCs w:val="20"/>
        </w:rPr>
        <w:t xml:space="preserve">). Zaradi </w:t>
      </w:r>
      <w:r w:rsidR="00466DB2">
        <w:rPr>
          <w:rFonts w:ascii="Arial" w:hAnsi="Arial" w:cs="Arial"/>
          <w:sz w:val="20"/>
          <w:szCs w:val="20"/>
        </w:rPr>
        <w:t xml:space="preserve">številčnosti </w:t>
      </w:r>
      <w:r>
        <w:rPr>
          <w:rFonts w:ascii="Arial" w:hAnsi="Arial" w:cs="Arial"/>
          <w:sz w:val="20"/>
          <w:szCs w:val="20"/>
        </w:rPr>
        <w:t xml:space="preserve">takih </w:t>
      </w:r>
      <w:r w:rsidRPr="00A36872">
        <w:rPr>
          <w:rFonts w:ascii="Arial" w:hAnsi="Arial" w:cs="Arial"/>
          <w:sz w:val="20"/>
          <w:szCs w:val="20"/>
        </w:rPr>
        <w:t xml:space="preserve">plačil (4,5 odstotka) usklajevanje </w:t>
      </w:r>
      <w:r w:rsidRPr="009235F6">
        <w:rPr>
          <w:rFonts w:ascii="Arial" w:hAnsi="Arial" w:cs="Arial"/>
          <w:sz w:val="20"/>
          <w:szCs w:val="20"/>
        </w:rPr>
        <w:t xml:space="preserve">lahko traja </w:t>
      </w:r>
      <w:r>
        <w:rPr>
          <w:rFonts w:ascii="Arial" w:hAnsi="Arial" w:cs="Arial"/>
          <w:sz w:val="20"/>
          <w:szCs w:val="20"/>
        </w:rPr>
        <w:t>nekaj</w:t>
      </w:r>
      <w:r w:rsidRPr="009235F6">
        <w:rPr>
          <w:rFonts w:ascii="Arial" w:hAnsi="Arial" w:cs="Arial"/>
          <w:sz w:val="20"/>
          <w:szCs w:val="20"/>
        </w:rPr>
        <w:t xml:space="preserve"> dni.</w:t>
      </w:r>
      <w:r>
        <w:rPr>
          <w:rFonts w:ascii="Arial" w:hAnsi="Arial" w:cs="Arial"/>
          <w:sz w:val="20"/>
          <w:szCs w:val="20"/>
        </w:rPr>
        <w:t xml:space="preserve"> V 30 dneh od prejema plačila pa FURS izvaja tudi izravnave med javnofinančnimi blagajnami </w:t>
      </w:r>
      <w:r w:rsidR="00466DB2">
        <w:rPr>
          <w:rFonts w:ascii="Arial" w:hAnsi="Arial" w:cs="Arial"/>
          <w:sz w:val="20"/>
          <w:szCs w:val="20"/>
        </w:rPr>
        <w:t xml:space="preserve">in </w:t>
      </w:r>
      <w:r>
        <w:rPr>
          <w:rFonts w:ascii="Arial" w:hAnsi="Arial" w:cs="Arial"/>
          <w:sz w:val="20"/>
          <w:szCs w:val="20"/>
        </w:rPr>
        <w:t>pobote oziroma preveč plačane dajatve vrne.</w:t>
      </w:r>
    </w:p>
    <w:p w14:paraId="2AB24F3F" w14:textId="3800492B" w:rsidR="00D847F2" w:rsidRPr="00527DB1" w:rsidRDefault="00D847F2" w:rsidP="00D847F2">
      <w:pPr>
        <w:rPr>
          <w:rFonts w:ascii="Arial" w:hAnsi="Arial" w:cs="Arial"/>
          <w:b/>
        </w:rPr>
      </w:pPr>
      <w:r w:rsidRPr="006A1276">
        <w:rPr>
          <w:rFonts w:ascii="Arial" w:hAnsi="Arial" w:cs="Arial"/>
          <w:b/>
        </w:rPr>
        <w:t>4</w:t>
      </w:r>
      <w:r w:rsidR="00992912">
        <w:rPr>
          <w:rFonts w:ascii="Arial" w:hAnsi="Arial" w:cs="Arial"/>
          <w:b/>
        </w:rPr>
        <w:t xml:space="preserve">   </w:t>
      </w:r>
      <w:r w:rsidRPr="006A1276">
        <w:rPr>
          <w:rFonts w:ascii="Arial" w:hAnsi="Arial" w:cs="Arial"/>
          <w:b/>
        </w:rPr>
        <w:t>Davčni dolg</w:t>
      </w:r>
      <w:r w:rsidRPr="00527DB1">
        <w:rPr>
          <w:rFonts w:ascii="Arial" w:hAnsi="Arial" w:cs="Arial"/>
          <w:b/>
        </w:rPr>
        <w:t xml:space="preserve"> </w:t>
      </w:r>
    </w:p>
    <w:p w14:paraId="1596DE1C" w14:textId="4F5C7485" w:rsidR="00D847F2" w:rsidRDefault="00D847F2" w:rsidP="00D847F2">
      <w:pPr>
        <w:jc w:val="both"/>
        <w:rPr>
          <w:rFonts w:ascii="Arial" w:hAnsi="Arial" w:cs="Arial"/>
          <w:sz w:val="20"/>
          <w:szCs w:val="20"/>
        </w:rPr>
      </w:pPr>
      <w:r w:rsidRPr="00773D0C">
        <w:rPr>
          <w:rFonts w:ascii="Arial" w:hAnsi="Arial" w:cs="Arial"/>
          <w:sz w:val="20"/>
          <w:szCs w:val="20"/>
        </w:rPr>
        <w:t xml:space="preserve">Po stanju na dan 31. </w:t>
      </w:r>
      <w:r w:rsidR="000E7DDB">
        <w:rPr>
          <w:rFonts w:ascii="Arial" w:hAnsi="Arial" w:cs="Arial"/>
          <w:sz w:val="20"/>
          <w:szCs w:val="20"/>
        </w:rPr>
        <w:t>december</w:t>
      </w:r>
      <w:r w:rsidRPr="00773D0C">
        <w:rPr>
          <w:rFonts w:ascii="Arial" w:hAnsi="Arial" w:cs="Arial"/>
          <w:sz w:val="20"/>
          <w:szCs w:val="20"/>
        </w:rPr>
        <w:t xml:space="preserve"> 20</w:t>
      </w:r>
      <w:r>
        <w:rPr>
          <w:rFonts w:ascii="Arial" w:hAnsi="Arial" w:cs="Arial"/>
          <w:sz w:val="20"/>
          <w:szCs w:val="20"/>
        </w:rPr>
        <w:t>22</w:t>
      </w:r>
      <w:r w:rsidRPr="00773D0C">
        <w:rPr>
          <w:rFonts w:ascii="Arial" w:hAnsi="Arial" w:cs="Arial"/>
          <w:sz w:val="20"/>
          <w:szCs w:val="20"/>
        </w:rPr>
        <w:t xml:space="preserve"> je znašal davčni dolg </w:t>
      </w:r>
      <w:r w:rsidRPr="00685B8F">
        <w:rPr>
          <w:rFonts w:ascii="Arial" w:hAnsi="Arial" w:cs="Arial"/>
          <w:sz w:val="20"/>
          <w:szCs w:val="20"/>
        </w:rPr>
        <w:t>896.349.990</w:t>
      </w:r>
      <w:r w:rsidR="00727BBD" w:rsidRPr="00685B8F">
        <w:rPr>
          <w:rFonts w:ascii="Arial" w:hAnsi="Arial" w:cs="Arial"/>
          <w:sz w:val="20"/>
          <w:szCs w:val="20"/>
        </w:rPr>
        <w:t> EUR</w:t>
      </w:r>
      <w:r w:rsidRPr="00773D0C">
        <w:rPr>
          <w:rFonts w:ascii="Arial" w:hAnsi="Arial" w:cs="Arial"/>
          <w:sz w:val="20"/>
          <w:szCs w:val="20"/>
        </w:rPr>
        <w:t xml:space="preserve">. V navedenem znesku dolga so poleg neporavnanih zapadlih obveznosti zajete tudi zaračunane zamudne obresti, ki </w:t>
      </w:r>
      <w:r w:rsidR="00466DB2">
        <w:rPr>
          <w:rFonts w:ascii="Arial" w:hAnsi="Arial" w:cs="Arial"/>
          <w:sz w:val="20"/>
          <w:szCs w:val="20"/>
        </w:rPr>
        <w:t>obsegajo</w:t>
      </w:r>
      <w:r w:rsidR="00466DB2" w:rsidRPr="00773D0C">
        <w:rPr>
          <w:rFonts w:ascii="Arial" w:hAnsi="Arial" w:cs="Arial"/>
          <w:sz w:val="20"/>
          <w:szCs w:val="20"/>
        </w:rPr>
        <w:t xml:space="preserve"> </w:t>
      </w:r>
      <w:r w:rsidRPr="00773D0C">
        <w:rPr>
          <w:rFonts w:ascii="Arial" w:hAnsi="Arial" w:cs="Arial"/>
          <w:sz w:val="20"/>
          <w:szCs w:val="20"/>
        </w:rPr>
        <w:t>1</w:t>
      </w:r>
      <w:r>
        <w:rPr>
          <w:rFonts w:ascii="Arial" w:hAnsi="Arial" w:cs="Arial"/>
          <w:sz w:val="20"/>
          <w:szCs w:val="20"/>
        </w:rPr>
        <w:t>5</w:t>
      </w:r>
      <w:r w:rsidRPr="00773D0C">
        <w:rPr>
          <w:rFonts w:ascii="Arial" w:hAnsi="Arial" w:cs="Arial"/>
          <w:sz w:val="20"/>
          <w:szCs w:val="20"/>
        </w:rPr>
        <w:t xml:space="preserve"> odstotk</w:t>
      </w:r>
      <w:r>
        <w:rPr>
          <w:rFonts w:ascii="Arial" w:hAnsi="Arial" w:cs="Arial"/>
          <w:sz w:val="20"/>
          <w:szCs w:val="20"/>
        </w:rPr>
        <w:t>ov</w:t>
      </w:r>
      <w:r w:rsidRPr="00773D0C">
        <w:rPr>
          <w:rFonts w:ascii="Arial" w:hAnsi="Arial" w:cs="Arial"/>
          <w:sz w:val="20"/>
          <w:szCs w:val="20"/>
        </w:rPr>
        <w:t xml:space="preserve"> dolga oziroma </w:t>
      </w:r>
      <w:r w:rsidRPr="00ED1B12">
        <w:rPr>
          <w:rFonts w:ascii="Arial" w:hAnsi="Arial" w:cs="Arial"/>
          <w:sz w:val="20"/>
          <w:szCs w:val="20"/>
        </w:rPr>
        <w:t>13</w:t>
      </w:r>
      <w:r>
        <w:rPr>
          <w:rFonts w:ascii="Arial" w:hAnsi="Arial" w:cs="Arial"/>
          <w:sz w:val="20"/>
          <w:szCs w:val="20"/>
        </w:rPr>
        <w:t>4</w:t>
      </w:r>
      <w:r w:rsidRPr="00ED1B12">
        <w:rPr>
          <w:rFonts w:ascii="Arial" w:hAnsi="Arial" w:cs="Arial"/>
          <w:sz w:val="20"/>
          <w:szCs w:val="20"/>
        </w:rPr>
        <w:t>.</w:t>
      </w:r>
      <w:r>
        <w:rPr>
          <w:rFonts w:ascii="Arial" w:hAnsi="Arial" w:cs="Arial"/>
          <w:sz w:val="20"/>
          <w:szCs w:val="20"/>
        </w:rPr>
        <w:t>419</w:t>
      </w:r>
      <w:r w:rsidRPr="00ED1B12">
        <w:rPr>
          <w:rFonts w:ascii="Arial" w:hAnsi="Arial" w:cs="Arial"/>
          <w:sz w:val="20"/>
          <w:szCs w:val="20"/>
        </w:rPr>
        <w:t>.</w:t>
      </w:r>
      <w:r>
        <w:rPr>
          <w:rFonts w:ascii="Arial" w:hAnsi="Arial" w:cs="Arial"/>
          <w:sz w:val="20"/>
          <w:szCs w:val="20"/>
        </w:rPr>
        <w:t>917</w:t>
      </w:r>
      <w:r w:rsidR="00727BBD" w:rsidRPr="00773D0C">
        <w:rPr>
          <w:rFonts w:ascii="Arial" w:hAnsi="Arial" w:cs="Arial"/>
          <w:sz w:val="20"/>
          <w:szCs w:val="20"/>
        </w:rPr>
        <w:t> EUR</w:t>
      </w:r>
      <w:r w:rsidRPr="00773D0C">
        <w:rPr>
          <w:rFonts w:ascii="Arial" w:hAnsi="Arial" w:cs="Arial"/>
          <w:sz w:val="20"/>
          <w:szCs w:val="20"/>
        </w:rPr>
        <w:t>.</w:t>
      </w:r>
      <w:r w:rsidR="00180BB6">
        <w:rPr>
          <w:rFonts w:ascii="Arial" w:hAnsi="Arial" w:cs="Arial"/>
          <w:sz w:val="20"/>
          <w:szCs w:val="20"/>
        </w:rPr>
        <w:t xml:space="preserve"> </w:t>
      </w:r>
    </w:p>
    <w:p w14:paraId="57D390D1" w14:textId="709FFE24" w:rsidR="00D847F2" w:rsidRDefault="00D847F2" w:rsidP="00D847F2">
      <w:pPr>
        <w:jc w:val="both"/>
        <w:rPr>
          <w:rFonts w:ascii="Arial" w:hAnsi="Arial" w:cs="Arial"/>
          <w:i/>
          <w:sz w:val="20"/>
          <w:szCs w:val="20"/>
        </w:rPr>
      </w:pPr>
      <w:r w:rsidRPr="00BE3E02">
        <w:rPr>
          <w:rFonts w:ascii="Arial" w:hAnsi="Arial" w:cs="Arial"/>
          <w:bCs/>
          <w:i/>
          <w:sz w:val="20"/>
          <w:szCs w:val="20"/>
        </w:rPr>
        <w:t>Preglednica</w:t>
      </w:r>
      <w:r w:rsidRPr="00BE3E02">
        <w:rPr>
          <w:rFonts w:ascii="Arial" w:hAnsi="Arial" w:cs="Arial"/>
          <w:i/>
          <w:sz w:val="20"/>
          <w:szCs w:val="20"/>
        </w:rPr>
        <w:t xml:space="preserve"> 2</w:t>
      </w:r>
      <w:r>
        <w:rPr>
          <w:rFonts w:ascii="Arial" w:hAnsi="Arial" w:cs="Arial"/>
          <w:i/>
          <w:sz w:val="20"/>
          <w:szCs w:val="20"/>
        </w:rPr>
        <w:t xml:space="preserve">: </w:t>
      </w:r>
      <w:r w:rsidRPr="00BE3E02">
        <w:rPr>
          <w:rFonts w:ascii="Arial" w:hAnsi="Arial" w:cs="Arial"/>
          <w:i/>
          <w:sz w:val="20"/>
          <w:szCs w:val="20"/>
        </w:rPr>
        <w:t>Stanje in gibanje davčnega dolga v EUR</w:t>
      </w:r>
    </w:p>
    <w:tbl>
      <w:tblPr>
        <w:tblW w:w="9065" w:type="dxa"/>
        <w:tblCellMar>
          <w:left w:w="70" w:type="dxa"/>
          <w:right w:w="70" w:type="dxa"/>
        </w:tblCellMar>
        <w:tblLook w:val="04A0" w:firstRow="1" w:lastRow="0" w:firstColumn="1" w:lastColumn="0" w:noHBand="0" w:noVBand="1"/>
      </w:tblPr>
      <w:tblGrid>
        <w:gridCol w:w="1644"/>
        <w:gridCol w:w="1253"/>
        <w:gridCol w:w="1253"/>
        <w:gridCol w:w="1253"/>
        <w:gridCol w:w="1308"/>
        <w:gridCol w:w="1308"/>
        <w:gridCol w:w="1308"/>
      </w:tblGrid>
      <w:tr w:rsidR="00D847F2" w:rsidRPr="00685B8F" w14:paraId="5FA997DF" w14:textId="77777777" w:rsidTr="00556699">
        <w:trPr>
          <w:trHeight w:val="535"/>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880D" w14:textId="77777777" w:rsidR="00D847F2" w:rsidRPr="00685B8F" w:rsidRDefault="00D847F2" w:rsidP="00556699">
            <w:pPr>
              <w:spacing w:after="0" w:line="240" w:lineRule="auto"/>
              <w:rPr>
                <w:rFonts w:ascii="Arial" w:eastAsia="Times New Roman" w:hAnsi="Arial" w:cs="Arial"/>
                <w:sz w:val="20"/>
                <w:szCs w:val="20"/>
                <w:lang w:eastAsia="sl-SI"/>
              </w:rPr>
            </w:pPr>
            <w:r w:rsidRPr="00685B8F">
              <w:rPr>
                <w:rFonts w:ascii="Arial" w:eastAsia="Times New Roman" w:hAnsi="Arial" w:cs="Arial"/>
                <w:sz w:val="20"/>
                <w:szCs w:val="20"/>
                <w:lang w:eastAsia="sl-SI"/>
              </w:rPr>
              <w:t> </w:t>
            </w:r>
          </w:p>
        </w:tc>
        <w:tc>
          <w:tcPr>
            <w:tcW w:w="1301" w:type="dxa"/>
            <w:tcBorders>
              <w:top w:val="single" w:sz="4" w:space="0" w:color="auto"/>
              <w:left w:val="nil"/>
              <w:bottom w:val="single" w:sz="4" w:space="0" w:color="auto"/>
              <w:right w:val="nil"/>
            </w:tcBorders>
            <w:shd w:val="clear" w:color="auto" w:fill="auto"/>
            <w:vAlign w:val="center"/>
            <w:hideMark/>
          </w:tcPr>
          <w:p w14:paraId="20DB4AAB" w14:textId="28EEE963" w:rsidR="00D847F2" w:rsidRPr="00685B8F" w:rsidRDefault="00727BBD" w:rsidP="00556699">
            <w:pPr>
              <w:spacing w:after="0" w:line="240" w:lineRule="auto"/>
              <w:jc w:val="center"/>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31.</w:t>
            </w:r>
            <w:r>
              <w:rPr>
                <w:rFonts w:ascii="Arial" w:eastAsia="Times New Roman" w:hAnsi="Arial" w:cs="Arial"/>
                <w:b/>
                <w:bCs/>
                <w:sz w:val="20"/>
                <w:szCs w:val="20"/>
                <w:lang w:eastAsia="sl-SI"/>
              </w:rPr>
              <w:t> 12. 2020</w:t>
            </w:r>
          </w:p>
        </w:tc>
        <w:tc>
          <w:tcPr>
            <w:tcW w:w="1232" w:type="dxa"/>
            <w:tcBorders>
              <w:top w:val="single" w:sz="4" w:space="0" w:color="auto"/>
              <w:left w:val="single" w:sz="4" w:space="0" w:color="auto"/>
              <w:bottom w:val="single" w:sz="4" w:space="0" w:color="auto"/>
              <w:right w:val="nil"/>
            </w:tcBorders>
            <w:shd w:val="clear" w:color="auto" w:fill="auto"/>
            <w:vAlign w:val="center"/>
            <w:hideMark/>
          </w:tcPr>
          <w:p w14:paraId="17CC43D6" w14:textId="707C30FC" w:rsidR="00D847F2" w:rsidRPr="00685B8F" w:rsidRDefault="00727BBD" w:rsidP="00556699">
            <w:pPr>
              <w:spacing w:after="0" w:line="240" w:lineRule="auto"/>
              <w:jc w:val="center"/>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31.</w:t>
            </w:r>
            <w:r>
              <w:rPr>
                <w:rFonts w:ascii="Arial" w:eastAsia="Times New Roman" w:hAnsi="Arial" w:cs="Arial"/>
                <w:b/>
                <w:bCs/>
                <w:sz w:val="20"/>
                <w:szCs w:val="20"/>
                <w:lang w:eastAsia="sl-SI"/>
              </w:rPr>
              <w:t> 12. 2021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27AF" w14:textId="67703253" w:rsidR="00D847F2" w:rsidRPr="00685B8F" w:rsidRDefault="00727BBD" w:rsidP="00556699">
            <w:pPr>
              <w:spacing w:after="0" w:line="240" w:lineRule="auto"/>
              <w:jc w:val="center"/>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31.</w:t>
            </w:r>
            <w:r>
              <w:rPr>
                <w:rFonts w:ascii="Arial" w:eastAsia="Times New Roman" w:hAnsi="Arial" w:cs="Arial"/>
                <w:b/>
                <w:bCs/>
                <w:sz w:val="20"/>
                <w:szCs w:val="20"/>
                <w:lang w:eastAsia="sl-SI"/>
              </w:rPr>
              <w:t> 12. 2022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B262E3B" w14:textId="102812B4"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2021</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2020</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2C8561E" w14:textId="11D0D271"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2022</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A9C77B7" w14:textId="3009D310"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2022</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2021</w:t>
            </w:r>
          </w:p>
        </w:tc>
      </w:tr>
      <w:tr w:rsidR="00D847F2" w:rsidRPr="00685B8F" w14:paraId="257E7A38" w14:textId="77777777" w:rsidTr="00556699">
        <w:trPr>
          <w:trHeight w:val="236"/>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0834318A" w14:textId="77777777" w:rsidR="00D847F2" w:rsidRPr="00685B8F" w:rsidRDefault="00D847F2" w:rsidP="00556699">
            <w:pPr>
              <w:spacing w:after="0" w:line="240" w:lineRule="auto"/>
              <w:rPr>
                <w:rFonts w:ascii="Arial" w:eastAsia="Times New Roman" w:hAnsi="Arial" w:cs="Arial"/>
                <w:sz w:val="20"/>
                <w:szCs w:val="20"/>
                <w:lang w:eastAsia="sl-SI"/>
              </w:rPr>
            </w:pPr>
            <w:r w:rsidRPr="00685B8F">
              <w:rPr>
                <w:rFonts w:ascii="Arial" w:eastAsia="Times New Roman" w:hAnsi="Arial" w:cs="Arial"/>
                <w:sz w:val="20"/>
                <w:szCs w:val="20"/>
                <w:lang w:eastAsia="sl-SI"/>
              </w:rPr>
              <w:t>Glavnica</w:t>
            </w:r>
          </w:p>
        </w:tc>
        <w:tc>
          <w:tcPr>
            <w:tcW w:w="1301" w:type="dxa"/>
            <w:tcBorders>
              <w:top w:val="nil"/>
              <w:left w:val="nil"/>
              <w:bottom w:val="single" w:sz="4" w:space="0" w:color="auto"/>
              <w:right w:val="nil"/>
            </w:tcBorders>
            <w:shd w:val="clear" w:color="auto" w:fill="auto"/>
            <w:vAlign w:val="center"/>
            <w:hideMark/>
          </w:tcPr>
          <w:p w14:paraId="555D2158"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859.091.376</w:t>
            </w:r>
          </w:p>
        </w:tc>
        <w:tc>
          <w:tcPr>
            <w:tcW w:w="1232" w:type="dxa"/>
            <w:tcBorders>
              <w:top w:val="nil"/>
              <w:left w:val="single" w:sz="4" w:space="0" w:color="auto"/>
              <w:bottom w:val="single" w:sz="4" w:space="0" w:color="auto"/>
              <w:right w:val="nil"/>
            </w:tcBorders>
            <w:shd w:val="clear" w:color="auto" w:fill="auto"/>
            <w:vAlign w:val="center"/>
            <w:hideMark/>
          </w:tcPr>
          <w:p w14:paraId="70D51F3B"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785.992.557</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3B1C1AB6"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761.930.073</w:t>
            </w:r>
          </w:p>
        </w:tc>
        <w:tc>
          <w:tcPr>
            <w:tcW w:w="1286" w:type="dxa"/>
            <w:tcBorders>
              <w:top w:val="nil"/>
              <w:left w:val="nil"/>
              <w:bottom w:val="single" w:sz="4" w:space="0" w:color="auto"/>
              <w:right w:val="single" w:sz="4" w:space="0" w:color="auto"/>
            </w:tcBorders>
            <w:shd w:val="clear" w:color="auto" w:fill="auto"/>
            <w:vAlign w:val="center"/>
            <w:hideMark/>
          </w:tcPr>
          <w:p w14:paraId="403990C2"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91,5</w:t>
            </w:r>
          </w:p>
        </w:tc>
        <w:tc>
          <w:tcPr>
            <w:tcW w:w="1177" w:type="dxa"/>
            <w:tcBorders>
              <w:top w:val="nil"/>
              <w:left w:val="nil"/>
              <w:bottom w:val="single" w:sz="4" w:space="0" w:color="auto"/>
              <w:right w:val="single" w:sz="4" w:space="0" w:color="auto"/>
            </w:tcBorders>
            <w:shd w:val="clear" w:color="auto" w:fill="auto"/>
            <w:vAlign w:val="center"/>
            <w:hideMark/>
          </w:tcPr>
          <w:p w14:paraId="7B7337BE"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88,7</w:t>
            </w:r>
          </w:p>
        </w:tc>
        <w:tc>
          <w:tcPr>
            <w:tcW w:w="1193" w:type="dxa"/>
            <w:tcBorders>
              <w:top w:val="nil"/>
              <w:left w:val="nil"/>
              <w:bottom w:val="single" w:sz="4" w:space="0" w:color="auto"/>
              <w:right w:val="single" w:sz="4" w:space="0" w:color="auto"/>
            </w:tcBorders>
            <w:shd w:val="clear" w:color="auto" w:fill="auto"/>
            <w:vAlign w:val="center"/>
            <w:hideMark/>
          </w:tcPr>
          <w:p w14:paraId="0E2E68FD"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96,9</w:t>
            </w:r>
          </w:p>
        </w:tc>
      </w:tr>
      <w:tr w:rsidR="00D847F2" w:rsidRPr="00685B8F" w14:paraId="5202227B" w14:textId="77777777" w:rsidTr="00556699">
        <w:trPr>
          <w:trHeight w:val="281"/>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002374B0" w14:textId="77777777" w:rsidR="00D847F2" w:rsidRPr="00685B8F" w:rsidRDefault="00D847F2" w:rsidP="00556699">
            <w:pPr>
              <w:spacing w:after="0" w:line="240" w:lineRule="auto"/>
              <w:rPr>
                <w:rFonts w:ascii="Arial" w:eastAsia="Times New Roman" w:hAnsi="Arial" w:cs="Arial"/>
                <w:sz w:val="20"/>
                <w:szCs w:val="20"/>
                <w:lang w:eastAsia="sl-SI"/>
              </w:rPr>
            </w:pPr>
            <w:r w:rsidRPr="00685B8F">
              <w:rPr>
                <w:rFonts w:ascii="Arial" w:eastAsia="Times New Roman" w:hAnsi="Arial" w:cs="Arial"/>
                <w:sz w:val="20"/>
                <w:szCs w:val="20"/>
                <w:lang w:eastAsia="sl-SI"/>
              </w:rPr>
              <w:t>Zamudne obresti</w:t>
            </w:r>
          </w:p>
        </w:tc>
        <w:tc>
          <w:tcPr>
            <w:tcW w:w="1301" w:type="dxa"/>
            <w:tcBorders>
              <w:top w:val="nil"/>
              <w:left w:val="nil"/>
              <w:bottom w:val="single" w:sz="4" w:space="0" w:color="auto"/>
              <w:right w:val="nil"/>
            </w:tcBorders>
            <w:shd w:val="clear" w:color="auto" w:fill="auto"/>
            <w:vAlign w:val="center"/>
            <w:hideMark/>
          </w:tcPr>
          <w:p w14:paraId="6B403C35"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138.998.018</w:t>
            </w:r>
          </w:p>
        </w:tc>
        <w:tc>
          <w:tcPr>
            <w:tcW w:w="1232" w:type="dxa"/>
            <w:tcBorders>
              <w:top w:val="nil"/>
              <w:left w:val="single" w:sz="4" w:space="0" w:color="auto"/>
              <w:bottom w:val="single" w:sz="4" w:space="0" w:color="auto"/>
              <w:right w:val="nil"/>
            </w:tcBorders>
            <w:shd w:val="clear" w:color="auto" w:fill="auto"/>
            <w:vAlign w:val="center"/>
            <w:hideMark/>
          </w:tcPr>
          <w:p w14:paraId="1A52A6E8"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132.515.417</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6FD9D87D"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134.419.917</w:t>
            </w:r>
          </w:p>
        </w:tc>
        <w:tc>
          <w:tcPr>
            <w:tcW w:w="1286" w:type="dxa"/>
            <w:tcBorders>
              <w:top w:val="nil"/>
              <w:left w:val="nil"/>
              <w:bottom w:val="single" w:sz="4" w:space="0" w:color="auto"/>
              <w:right w:val="single" w:sz="4" w:space="0" w:color="auto"/>
            </w:tcBorders>
            <w:shd w:val="clear" w:color="auto" w:fill="auto"/>
            <w:vAlign w:val="center"/>
            <w:hideMark/>
          </w:tcPr>
          <w:p w14:paraId="135314D2"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95,3</w:t>
            </w:r>
          </w:p>
        </w:tc>
        <w:tc>
          <w:tcPr>
            <w:tcW w:w="1177" w:type="dxa"/>
            <w:tcBorders>
              <w:top w:val="nil"/>
              <w:left w:val="nil"/>
              <w:bottom w:val="single" w:sz="4" w:space="0" w:color="auto"/>
              <w:right w:val="single" w:sz="4" w:space="0" w:color="auto"/>
            </w:tcBorders>
            <w:shd w:val="clear" w:color="auto" w:fill="auto"/>
            <w:vAlign w:val="center"/>
            <w:hideMark/>
          </w:tcPr>
          <w:p w14:paraId="755274DB"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96,7</w:t>
            </w:r>
          </w:p>
        </w:tc>
        <w:tc>
          <w:tcPr>
            <w:tcW w:w="1193" w:type="dxa"/>
            <w:tcBorders>
              <w:top w:val="nil"/>
              <w:left w:val="nil"/>
              <w:bottom w:val="single" w:sz="4" w:space="0" w:color="auto"/>
              <w:right w:val="single" w:sz="4" w:space="0" w:color="auto"/>
            </w:tcBorders>
            <w:shd w:val="clear" w:color="auto" w:fill="auto"/>
            <w:vAlign w:val="center"/>
            <w:hideMark/>
          </w:tcPr>
          <w:p w14:paraId="7759FB14"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101,4</w:t>
            </w:r>
          </w:p>
        </w:tc>
      </w:tr>
      <w:tr w:rsidR="00D847F2" w:rsidRPr="00685B8F" w14:paraId="234472BD" w14:textId="77777777" w:rsidTr="00556699">
        <w:trPr>
          <w:trHeight w:val="281"/>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36F19809" w14:textId="77777777" w:rsidR="00D847F2" w:rsidRPr="00685B8F" w:rsidRDefault="00D847F2" w:rsidP="00556699">
            <w:pPr>
              <w:spacing w:after="0" w:line="240" w:lineRule="auto"/>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Skupaj dolg</w:t>
            </w:r>
          </w:p>
        </w:tc>
        <w:tc>
          <w:tcPr>
            <w:tcW w:w="1301" w:type="dxa"/>
            <w:tcBorders>
              <w:top w:val="nil"/>
              <w:left w:val="nil"/>
              <w:bottom w:val="single" w:sz="4" w:space="0" w:color="auto"/>
              <w:right w:val="nil"/>
            </w:tcBorders>
            <w:shd w:val="clear" w:color="auto" w:fill="auto"/>
            <w:vAlign w:val="center"/>
            <w:hideMark/>
          </w:tcPr>
          <w:p w14:paraId="6D625274" w14:textId="77777777" w:rsidR="00D847F2" w:rsidRPr="00685B8F" w:rsidRDefault="00D847F2" w:rsidP="00556699">
            <w:pPr>
              <w:spacing w:after="0" w:line="240" w:lineRule="auto"/>
              <w:jc w:val="right"/>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998.089.393</w:t>
            </w:r>
          </w:p>
        </w:tc>
        <w:tc>
          <w:tcPr>
            <w:tcW w:w="1232" w:type="dxa"/>
            <w:tcBorders>
              <w:top w:val="nil"/>
              <w:left w:val="single" w:sz="4" w:space="0" w:color="auto"/>
              <w:bottom w:val="single" w:sz="4" w:space="0" w:color="auto"/>
              <w:right w:val="nil"/>
            </w:tcBorders>
            <w:shd w:val="clear" w:color="auto" w:fill="auto"/>
            <w:vAlign w:val="center"/>
            <w:hideMark/>
          </w:tcPr>
          <w:p w14:paraId="70022D64" w14:textId="77777777" w:rsidR="00D847F2" w:rsidRPr="00685B8F" w:rsidRDefault="00D847F2" w:rsidP="00556699">
            <w:pPr>
              <w:spacing w:after="0" w:line="240" w:lineRule="auto"/>
              <w:jc w:val="right"/>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918.507.974</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1E943BE8" w14:textId="77777777" w:rsidR="00D847F2" w:rsidRPr="00685B8F" w:rsidRDefault="00D847F2" w:rsidP="00556699">
            <w:pPr>
              <w:spacing w:after="0" w:line="240" w:lineRule="auto"/>
              <w:jc w:val="right"/>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896.349.990</w:t>
            </w:r>
          </w:p>
        </w:tc>
        <w:tc>
          <w:tcPr>
            <w:tcW w:w="1286" w:type="dxa"/>
            <w:tcBorders>
              <w:top w:val="nil"/>
              <w:left w:val="nil"/>
              <w:bottom w:val="single" w:sz="4" w:space="0" w:color="auto"/>
              <w:right w:val="single" w:sz="4" w:space="0" w:color="auto"/>
            </w:tcBorders>
            <w:shd w:val="clear" w:color="auto" w:fill="auto"/>
            <w:vAlign w:val="center"/>
            <w:hideMark/>
          </w:tcPr>
          <w:p w14:paraId="37CB0062"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92,0</w:t>
            </w:r>
          </w:p>
        </w:tc>
        <w:tc>
          <w:tcPr>
            <w:tcW w:w="1177" w:type="dxa"/>
            <w:tcBorders>
              <w:top w:val="nil"/>
              <w:left w:val="nil"/>
              <w:bottom w:val="single" w:sz="4" w:space="0" w:color="auto"/>
              <w:right w:val="single" w:sz="4" w:space="0" w:color="auto"/>
            </w:tcBorders>
            <w:shd w:val="clear" w:color="auto" w:fill="auto"/>
            <w:vAlign w:val="center"/>
            <w:hideMark/>
          </w:tcPr>
          <w:p w14:paraId="01DA85EC"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89,8</w:t>
            </w:r>
          </w:p>
        </w:tc>
        <w:tc>
          <w:tcPr>
            <w:tcW w:w="1193" w:type="dxa"/>
            <w:tcBorders>
              <w:top w:val="nil"/>
              <w:left w:val="nil"/>
              <w:bottom w:val="single" w:sz="4" w:space="0" w:color="auto"/>
              <w:right w:val="single" w:sz="4" w:space="0" w:color="auto"/>
            </w:tcBorders>
            <w:shd w:val="clear" w:color="auto" w:fill="auto"/>
            <w:vAlign w:val="center"/>
            <w:hideMark/>
          </w:tcPr>
          <w:p w14:paraId="37506BCD"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97,6</w:t>
            </w:r>
          </w:p>
        </w:tc>
      </w:tr>
    </w:tbl>
    <w:p w14:paraId="13F29048" w14:textId="52C60C0B" w:rsidR="00D847F2" w:rsidRPr="00BE3E02" w:rsidRDefault="00D847F2" w:rsidP="00D847F2">
      <w:pPr>
        <w:jc w:val="both"/>
        <w:rPr>
          <w:rFonts w:ascii="Arial" w:hAnsi="Arial" w:cs="Arial"/>
          <w:i/>
          <w:sz w:val="20"/>
          <w:szCs w:val="20"/>
        </w:rPr>
      </w:pPr>
      <w:r w:rsidRPr="00BE3E02">
        <w:rPr>
          <w:rFonts w:ascii="Arial" w:hAnsi="Arial" w:cs="Arial"/>
          <w:i/>
          <w:sz w:val="20"/>
          <w:szCs w:val="20"/>
        </w:rPr>
        <w:t>Vir: FURS</w:t>
      </w:r>
      <w:r w:rsidR="00466DB2">
        <w:rPr>
          <w:rFonts w:ascii="Arial" w:hAnsi="Arial" w:cs="Arial"/>
          <w:i/>
          <w:sz w:val="20"/>
          <w:szCs w:val="20"/>
        </w:rPr>
        <w:t xml:space="preserve">. </w:t>
      </w:r>
    </w:p>
    <w:p w14:paraId="5B95E8E8" w14:textId="6E916C64" w:rsidR="00D847F2" w:rsidRPr="00266C1F"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266C1F">
        <w:rPr>
          <w:rFonts w:ascii="Arial" w:hAnsi="Arial" w:cs="Arial"/>
          <w:bCs/>
          <w:sz w:val="20"/>
          <w:szCs w:val="20"/>
        </w:rPr>
        <w:t xml:space="preserve">Dolg pravnih oseb znaša </w:t>
      </w:r>
      <w:r w:rsidRPr="00167379">
        <w:rPr>
          <w:rFonts w:ascii="Arial" w:hAnsi="Arial" w:cs="Arial"/>
          <w:bCs/>
          <w:sz w:val="20"/>
          <w:szCs w:val="20"/>
        </w:rPr>
        <w:t>471.172.298</w:t>
      </w:r>
      <w:r w:rsidR="00727BBD" w:rsidRPr="00167379">
        <w:rPr>
          <w:rFonts w:ascii="Arial" w:hAnsi="Arial" w:cs="Arial"/>
          <w:bCs/>
          <w:sz w:val="20"/>
          <w:szCs w:val="20"/>
        </w:rPr>
        <w:t> EUR</w:t>
      </w:r>
      <w:r w:rsidRPr="00266C1F">
        <w:rPr>
          <w:rFonts w:ascii="Arial" w:hAnsi="Arial" w:cs="Arial"/>
          <w:bCs/>
          <w:sz w:val="20"/>
          <w:szCs w:val="20"/>
        </w:rPr>
        <w:t xml:space="preserve"> oziroma </w:t>
      </w:r>
      <w:r>
        <w:rPr>
          <w:rFonts w:ascii="Arial" w:hAnsi="Arial" w:cs="Arial"/>
          <w:bCs/>
          <w:sz w:val="20"/>
          <w:szCs w:val="20"/>
        </w:rPr>
        <w:t>52,6</w:t>
      </w:r>
      <w:r w:rsidRPr="00266C1F">
        <w:rPr>
          <w:rFonts w:ascii="Arial" w:hAnsi="Arial" w:cs="Arial"/>
          <w:bCs/>
          <w:sz w:val="20"/>
          <w:szCs w:val="20"/>
        </w:rPr>
        <w:t xml:space="preserve"> odstotka, dolg fizičnih oseb pa </w:t>
      </w:r>
      <w:r w:rsidRPr="00167379">
        <w:rPr>
          <w:rFonts w:ascii="Arial" w:hAnsi="Arial" w:cs="Arial"/>
          <w:bCs/>
          <w:sz w:val="20"/>
          <w:szCs w:val="20"/>
        </w:rPr>
        <w:t>425.177.692</w:t>
      </w:r>
      <w:r w:rsidR="00727BBD" w:rsidRPr="00266C1F">
        <w:rPr>
          <w:rFonts w:ascii="Arial" w:hAnsi="Arial" w:cs="Arial"/>
          <w:bCs/>
          <w:sz w:val="20"/>
          <w:szCs w:val="20"/>
        </w:rPr>
        <w:t> EUR</w:t>
      </w:r>
      <w:r w:rsidRPr="00266C1F">
        <w:rPr>
          <w:rFonts w:ascii="Arial" w:hAnsi="Arial" w:cs="Arial"/>
          <w:bCs/>
          <w:sz w:val="20"/>
          <w:szCs w:val="20"/>
        </w:rPr>
        <w:t xml:space="preserve"> oziroma 4</w:t>
      </w:r>
      <w:r>
        <w:rPr>
          <w:rFonts w:ascii="Arial" w:hAnsi="Arial" w:cs="Arial"/>
          <w:bCs/>
          <w:sz w:val="20"/>
          <w:szCs w:val="20"/>
        </w:rPr>
        <w:t>7,4</w:t>
      </w:r>
      <w:r w:rsidRPr="00266C1F">
        <w:rPr>
          <w:rFonts w:ascii="Arial" w:hAnsi="Arial" w:cs="Arial"/>
          <w:bCs/>
          <w:sz w:val="20"/>
          <w:szCs w:val="20"/>
        </w:rPr>
        <w:t xml:space="preserve"> odstotka davčnega dolga.</w:t>
      </w:r>
    </w:p>
    <w:p w14:paraId="2114E273" w14:textId="77777777"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E3E02">
        <w:rPr>
          <w:rFonts w:ascii="Arial" w:hAnsi="Arial" w:cs="Arial"/>
          <w:bCs/>
          <w:sz w:val="20"/>
          <w:szCs w:val="20"/>
        </w:rPr>
        <w:t>Dolg fizičnih oseb zajema tudi neporavnane obveznosti zasebnikov, med katere štejemo samostojne podjetnike posameznike in druge zasebnike, ki opravljajo poklicno dejavnost ali druge neodvisne dejavnosti (odvetniki, notarji, poklicni športniki, samostojni novinarji, zasebni zdravstveni delavci, kulturni delavci in fizične osebe, ki opravljajo kmetijsko in gozdarsko dejavnost).</w:t>
      </w:r>
    </w:p>
    <w:p w14:paraId="6DC8D992" w14:textId="0C5C6913" w:rsidR="00D847F2" w:rsidRDefault="00D847F2" w:rsidP="00D847F2">
      <w:pPr>
        <w:rPr>
          <w:rFonts w:ascii="Arial" w:hAnsi="Arial" w:cs="Arial"/>
          <w:i/>
          <w:noProof/>
          <w:sz w:val="20"/>
          <w:szCs w:val="20"/>
        </w:rPr>
      </w:pPr>
      <w:r>
        <w:rPr>
          <w:rFonts w:ascii="Arial" w:hAnsi="Arial" w:cs="Arial"/>
          <w:i/>
          <w:sz w:val="20"/>
          <w:szCs w:val="20"/>
        </w:rPr>
        <w:lastRenderedPageBreak/>
        <w:t>Slika 4:</w:t>
      </w:r>
      <w:r w:rsidRPr="00BE3E02">
        <w:rPr>
          <w:rFonts w:ascii="Arial" w:hAnsi="Arial" w:cs="Arial"/>
          <w:i/>
          <w:sz w:val="20"/>
          <w:szCs w:val="20"/>
        </w:rPr>
        <w:t xml:space="preserve"> </w:t>
      </w:r>
      <w:r w:rsidRPr="00BE3E02">
        <w:rPr>
          <w:rFonts w:ascii="Arial" w:hAnsi="Arial" w:cs="Arial"/>
          <w:i/>
          <w:noProof/>
          <w:sz w:val="20"/>
          <w:szCs w:val="20"/>
        </w:rPr>
        <w:t xml:space="preserve">Prikaz davčnega dolga </w:t>
      </w:r>
      <w:r>
        <w:rPr>
          <w:rFonts w:ascii="Arial" w:hAnsi="Arial" w:cs="Arial"/>
          <w:i/>
          <w:noProof/>
          <w:sz w:val="20"/>
          <w:szCs w:val="20"/>
        </w:rPr>
        <w:t>po</w:t>
      </w:r>
      <w:r w:rsidRPr="00BE3E02">
        <w:rPr>
          <w:rFonts w:ascii="Arial" w:hAnsi="Arial" w:cs="Arial"/>
          <w:i/>
          <w:noProof/>
          <w:sz w:val="20"/>
          <w:szCs w:val="20"/>
        </w:rPr>
        <w:t xml:space="preserve"> status</w:t>
      </w:r>
      <w:r>
        <w:rPr>
          <w:rFonts w:ascii="Arial" w:hAnsi="Arial" w:cs="Arial"/>
          <w:i/>
          <w:noProof/>
          <w:sz w:val="20"/>
          <w:szCs w:val="20"/>
        </w:rPr>
        <w:t>u</w:t>
      </w:r>
      <w:r w:rsidRPr="00BE3E02">
        <w:rPr>
          <w:rFonts w:ascii="Arial" w:hAnsi="Arial" w:cs="Arial"/>
          <w:i/>
          <w:noProof/>
          <w:sz w:val="20"/>
          <w:szCs w:val="20"/>
        </w:rPr>
        <w:t xml:space="preserve"> zavezanca</w:t>
      </w:r>
      <w:r>
        <w:rPr>
          <w:noProof/>
          <w:lang w:eastAsia="sl-SI"/>
        </w:rPr>
        <w:drawing>
          <wp:inline distT="0" distB="0" distL="0" distR="0" wp14:anchorId="7A2A1396" wp14:editId="3B3E533C">
            <wp:extent cx="3642360" cy="1653540"/>
            <wp:effectExtent l="0" t="0" r="0" b="3810"/>
            <wp:docPr id="2" name="Grafikon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4F9845" w14:textId="77777777" w:rsidR="00D847F2" w:rsidRDefault="00D847F2" w:rsidP="00D847F2">
      <w:pPr>
        <w:rPr>
          <w:rFonts w:ascii="Arial" w:hAnsi="Arial" w:cs="Arial"/>
          <w:i/>
          <w:sz w:val="20"/>
          <w:szCs w:val="20"/>
        </w:rPr>
      </w:pPr>
      <w:r>
        <w:rPr>
          <w:rFonts w:ascii="Arial" w:hAnsi="Arial" w:cs="Arial"/>
          <w:i/>
          <w:sz w:val="20"/>
          <w:szCs w:val="20"/>
        </w:rPr>
        <w:t>V</w:t>
      </w:r>
      <w:r w:rsidRPr="00CF0765">
        <w:rPr>
          <w:rFonts w:ascii="Arial" w:hAnsi="Arial" w:cs="Arial"/>
          <w:i/>
          <w:sz w:val="20"/>
          <w:szCs w:val="20"/>
        </w:rPr>
        <w:t>ir: FURS</w:t>
      </w:r>
    </w:p>
    <w:p w14:paraId="01916E01" w14:textId="5A5BC539" w:rsidR="00D847F2" w:rsidRDefault="00D847F2" w:rsidP="00D847F2">
      <w:pPr>
        <w:pStyle w:val="Naslov3"/>
        <w:rPr>
          <w:rFonts w:ascii="Arial" w:hAnsi="Arial" w:cs="Arial"/>
          <w:sz w:val="20"/>
          <w:szCs w:val="20"/>
        </w:rPr>
      </w:pPr>
      <w:r w:rsidRPr="00D22BBA">
        <w:rPr>
          <w:rFonts w:ascii="Arial" w:hAnsi="Arial" w:cs="Arial"/>
          <w:sz w:val="20"/>
          <w:szCs w:val="20"/>
        </w:rPr>
        <w:t>4.1</w:t>
      </w:r>
      <w:r w:rsidR="00992912">
        <w:rPr>
          <w:rFonts w:ascii="Arial" w:hAnsi="Arial" w:cs="Arial"/>
          <w:sz w:val="20"/>
          <w:szCs w:val="20"/>
        </w:rPr>
        <w:t xml:space="preserve">  </w:t>
      </w:r>
      <w:r w:rsidRPr="00D22BBA">
        <w:rPr>
          <w:rFonts w:ascii="Arial" w:hAnsi="Arial" w:cs="Arial"/>
          <w:sz w:val="20"/>
          <w:szCs w:val="20"/>
        </w:rPr>
        <w:t>Aktivni in pogojno izterljivi dolg</w:t>
      </w:r>
    </w:p>
    <w:p w14:paraId="4335D529" w14:textId="77777777" w:rsidR="00D847F2" w:rsidRPr="00E26F75" w:rsidRDefault="00D847F2" w:rsidP="00D847F2">
      <w:pPr>
        <w:pStyle w:val="Brezrazmikov"/>
      </w:pPr>
    </w:p>
    <w:p w14:paraId="033F539A" w14:textId="77777777" w:rsidR="00D847F2" w:rsidRPr="00086D64" w:rsidRDefault="00D847F2" w:rsidP="00D847F2">
      <w:pPr>
        <w:pStyle w:val="Odstavekseznama1"/>
        <w:ind w:left="0"/>
        <w:jc w:val="both"/>
        <w:rPr>
          <w:rFonts w:ascii="Arial" w:hAnsi="Arial" w:cs="Arial"/>
          <w:sz w:val="20"/>
          <w:szCs w:val="20"/>
        </w:rPr>
      </w:pPr>
      <w:r w:rsidRPr="00086D64">
        <w:rPr>
          <w:rFonts w:ascii="Arial" w:hAnsi="Arial" w:cs="Arial"/>
          <w:sz w:val="20"/>
          <w:szCs w:val="20"/>
        </w:rPr>
        <w:t>Davčni dolg je sestavljen iz aktivnega in pogojno izterljivega dolga. ZDavP-2 v 109. členu opredeljuje pogojno izterljivi dolg. Davek se šteje za pogojno izterljivega:</w:t>
      </w:r>
    </w:p>
    <w:p w14:paraId="2F76E163" w14:textId="299B501E" w:rsidR="00D847F2" w:rsidRPr="00086D64" w:rsidRDefault="00D847F2" w:rsidP="00D847F2">
      <w:pPr>
        <w:pStyle w:val="Odstavekseznama1"/>
        <w:numPr>
          <w:ilvl w:val="0"/>
          <w:numId w:val="27"/>
        </w:numPr>
        <w:jc w:val="both"/>
        <w:rPr>
          <w:rFonts w:ascii="Arial" w:hAnsi="Arial" w:cs="Arial"/>
          <w:bCs/>
          <w:sz w:val="20"/>
          <w:szCs w:val="20"/>
        </w:rPr>
      </w:pPr>
      <w:r w:rsidRPr="00086D64">
        <w:rPr>
          <w:rFonts w:ascii="Arial" w:hAnsi="Arial" w:cs="Arial"/>
          <w:bCs/>
          <w:sz w:val="20"/>
          <w:szCs w:val="20"/>
        </w:rPr>
        <w:t xml:space="preserve">če je bil pri zavezancu za davek začet stečajni postopek; </w:t>
      </w:r>
    </w:p>
    <w:p w14:paraId="7EB14D68" w14:textId="465D4BBD" w:rsidR="00D847F2" w:rsidRPr="00086D64" w:rsidRDefault="00D847F2" w:rsidP="00D847F2">
      <w:pPr>
        <w:pStyle w:val="Odstavekseznama1"/>
        <w:numPr>
          <w:ilvl w:val="0"/>
          <w:numId w:val="27"/>
        </w:numPr>
        <w:jc w:val="both"/>
        <w:rPr>
          <w:rFonts w:ascii="Arial" w:hAnsi="Arial" w:cs="Arial"/>
          <w:bCs/>
          <w:sz w:val="20"/>
          <w:szCs w:val="20"/>
        </w:rPr>
      </w:pPr>
      <w:r w:rsidRPr="00086D64">
        <w:rPr>
          <w:rFonts w:ascii="Arial" w:hAnsi="Arial" w:cs="Arial"/>
          <w:bCs/>
          <w:sz w:val="20"/>
          <w:szCs w:val="20"/>
        </w:rPr>
        <w:t xml:space="preserve">če je bil pri zavezancu za davek začet postopek prisilne poravnave; </w:t>
      </w:r>
    </w:p>
    <w:p w14:paraId="72F399B2" w14:textId="77777777" w:rsidR="00D847F2" w:rsidRPr="00086D64" w:rsidRDefault="00D847F2" w:rsidP="00D847F2">
      <w:pPr>
        <w:pStyle w:val="Odstavekseznama1"/>
        <w:numPr>
          <w:ilvl w:val="0"/>
          <w:numId w:val="27"/>
        </w:numPr>
        <w:jc w:val="both"/>
        <w:rPr>
          <w:rFonts w:ascii="Arial" w:hAnsi="Arial" w:cs="Arial"/>
          <w:bCs/>
          <w:sz w:val="20"/>
          <w:szCs w:val="20"/>
        </w:rPr>
      </w:pPr>
      <w:r w:rsidRPr="00086D64">
        <w:rPr>
          <w:rFonts w:ascii="Arial" w:hAnsi="Arial" w:cs="Arial"/>
          <w:bCs/>
          <w:sz w:val="20"/>
          <w:szCs w:val="20"/>
        </w:rPr>
        <w:t>od dneva smrti davčnega zavezanca do dneva pravnomočnosti sklepa o dedovanju.</w:t>
      </w:r>
    </w:p>
    <w:p w14:paraId="065C38E1" w14:textId="77777777" w:rsidR="00D847F2" w:rsidRPr="00086D64" w:rsidRDefault="00D847F2" w:rsidP="00D847F2">
      <w:pPr>
        <w:pStyle w:val="Odstavekseznama1"/>
        <w:numPr>
          <w:ilvl w:val="0"/>
          <w:numId w:val="27"/>
        </w:numPr>
        <w:jc w:val="both"/>
        <w:rPr>
          <w:rFonts w:ascii="Arial" w:hAnsi="Arial" w:cs="Arial"/>
          <w:bCs/>
          <w:sz w:val="20"/>
          <w:szCs w:val="20"/>
        </w:rPr>
      </w:pPr>
      <w:r w:rsidRPr="00086D64">
        <w:rPr>
          <w:rFonts w:ascii="Arial" w:hAnsi="Arial" w:cs="Arial"/>
          <w:bCs/>
          <w:sz w:val="20"/>
          <w:szCs w:val="20"/>
        </w:rPr>
        <w:t>če se ne more poplačati niti v postopku davčne izvršbe, pravica do izterjave pa še ni zastarala;</w:t>
      </w:r>
    </w:p>
    <w:p w14:paraId="1AFEC2EB" w14:textId="77777777" w:rsidR="00D847F2" w:rsidRPr="00086D64" w:rsidRDefault="00D847F2" w:rsidP="00D847F2">
      <w:pPr>
        <w:pStyle w:val="Odstavekseznama1"/>
        <w:numPr>
          <w:ilvl w:val="0"/>
          <w:numId w:val="27"/>
        </w:numPr>
        <w:jc w:val="both"/>
        <w:rPr>
          <w:rFonts w:ascii="Arial" w:hAnsi="Arial" w:cs="Arial"/>
          <w:bCs/>
          <w:sz w:val="20"/>
          <w:szCs w:val="20"/>
        </w:rPr>
      </w:pPr>
      <w:r w:rsidRPr="00086D64">
        <w:rPr>
          <w:rFonts w:ascii="Arial" w:hAnsi="Arial" w:cs="Arial"/>
          <w:bCs/>
          <w:sz w:val="20"/>
          <w:szCs w:val="20"/>
        </w:rPr>
        <w:t>če se je davčni zavezanec – fizična oseba odselil neznano kam ali ga je sodišče razglasilo za pogrešanega ali opravilno nesposobnega in ni pustil oziroma nima nobenega premoženja, iz katerega bi se lahko davek poplačal, pravica do izterjave pa še ni zastarala.</w:t>
      </w:r>
    </w:p>
    <w:p w14:paraId="3A88672C" w14:textId="77777777"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p>
    <w:p w14:paraId="1DEAC67F" w14:textId="4BEA7148" w:rsidR="00D847F2" w:rsidRPr="00355EC1"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355EC1">
        <w:rPr>
          <w:rFonts w:ascii="Arial" w:hAnsi="Arial" w:cs="Arial"/>
          <w:bCs/>
          <w:sz w:val="20"/>
          <w:szCs w:val="20"/>
        </w:rPr>
        <w:t xml:space="preserve">Ves </w:t>
      </w:r>
      <w:r w:rsidR="00180BB6">
        <w:rPr>
          <w:rFonts w:ascii="Arial" w:hAnsi="Arial" w:cs="Arial"/>
          <w:bCs/>
          <w:sz w:val="20"/>
          <w:szCs w:val="20"/>
        </w:rPr>
        <w:t>preostali</w:t>
      </w:r>
      <w:r w:rsidR="00180BB6" w:rsidRPr="00355EC1">
        <w:rPr>
          <w:rFonts w:ascii="Arial" w:hAnsi="Arial" w:cs="Arial"/>
          <w:bCs/>
          <w:sz w:val="20"/>
          <w:szCs w:val="20"/>
        </w:rPr>
        <w:t xml:space="preserve"> </w:t>
      </w:r>
      <w:r w:rsidRPr="00355EC1">
        <w:rPr>
          <w:rFonts w:ascii="Arial" w:hAnsi="Arial" w:cs="Arial"/>
          <w:bCs/>
          <w:sz w:val="20"/>
          <w:szCs w:val="20"/>
        </w:rPr>
        <w:t xml:space="preserve">dolg šteje za aktivni dolg. </w:t>
      </w:r>
    </w:p>
    <w:p w14:paraId="52CDC2DD" w14:textId="0E73B4B8"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5F4645">
        <w:rPr>
          <w:rFonts w:ascii="Arial" w:hAnsi="Arial" w:cs="Arial"/>
          <w:bCs/>
          <w:sz w:val="20"/>
          <w:szCs w:val="20"/>
        </w:rPr>
        <w:t>Po stanju na dan 3</w:t>
      </w:r>
      <w:r>
        <w:rPr>
          <w:rFonts w:ascii="Arial" w:hAnsi="Arial" w:cs="Arial"/>
          <w:bCs/>
          <w:sz w:val="20"/>
          <w:szCs w:val="20"/>
        </w:rPr>
        <w:t>1</w:t>
      </w:r>
      <w:r w:rsidRPr="005F4645">
        <w:rPr>
          <w:rFonts w:ascii="Arial" w:hAnsi="Arial" w:cs="Arial"/>
          <w:bCs/>
          <w:sz w:val="20"/>
          <w:szCs w:val="20"/>
        </w:rPr>
        <w:t xml:space="preserve">. </w:t>
      </w:r>
      <w:r w:rsidR="000E7DDB">
        <w:rPr>
          <w:rFonts w:ascii="Arial" w:hAnsi="Arial" w:cs="Arial"/>
          <w:bCs/>
          <w:sz w:val="20"/>
          <w:szCs w:val="20"/>
        </w:rPr>
        <w:t>december</w:t>
      </w:r>
      <w:r w:rsidRPr="005F4645">
        <w:rPr>
          <w:rFonts w:ascii="Arial" w:hAnsi="Arial" w:cs="Arial"/>
          <w:bCs/>
          <w:sz w:val="20"/>
          <w:szCs w:val="20"/>
        </w:rPr>
        <w:t xml:space="preserve"> 20</w:t>
      </w:r>
      <w:r>
        <w:rPr>
          <w:rFonts w:ascii="Arial" w:hAnsi="Arial" w:cs="Arial"/>
          <w:bCs/>
          <w:sz w:val="20"/>
          <w:szCs w:val="20"/>
        </w:rPr>
        <w:t>22</w:t>
      </w:r>
      <w:r w:rsidRPr="005F4645">
        <w:rPr>
          <w:rFonts w:ascii="Arial" w:hAnsi="Arial" w:cs="Arial"/>
          <w:bCs/>
          <w:sz w:val="20"/>
          <w:szCs w:val="20"/>
        </w:rPr>
        <w:t xml:space="preserve"> znaša aktivni dolg </w:t>
      </w:r>
      <w:r w:rsidRPr="00A916E2">
        <w:rPr>
          <w:rFonts w:ascii="Arial" w:hAnsi="Arial" w:cs="Arial"/>
          <w:bCs/>
          <w:sz w:val="20"/>
          <w:szCs w:val="20"/>
        </w:rPr>
        <w:t>439.625.363</w:t>
      </w:r>
      <w:r w:rsidR="00727BBD">
        <w:rPr>
          <w:rFonts w:ascii="Arial" w:hAnsi="Arial" w:cs="Arial"/>
          <w:bCs/>
          <w:sz w:val="20"/>
          <w:szCs w:val="20"/>
        </w:rPr>
        <w:t> EUR</w:t>
      </w:r>
      <w:r w:rsidRPr="005F4645">
        <w:rPr>
          <w:rFonts w:ascii="Arial" w:hAnsi="Arial" w:cs="Arial"/>
          <w:bCs/>
          <w:sz w:val="20"/>
          <w:szCs w:val="20"/>
        </w:rPr>
        <w:t xml:space="preserve">, pogojno izterljivi dolg pa </w:t>
      </w:r>
      <w:r w:rsidRPr="00A916E2">
        <w:rPr>
          <w:rFonts w:ascii="Arial" w:hAnsi="Arial" w:cs="Arial"/>
          <w:bCs/>
          <w:sz w:val="20"/>
          <w:szCs w:val="20"/>
        </w:rPr>
        <w:t>456.724.627</w:t>
      </w:r>
      <w:r w:rsidR="00727BBD">
        <w:rPr>
          <w:rFonts w:ascii="Arial" w:hAnsi="Arial" w:cs="Arial"/>
          <w:bCs/>
          <w:sz w:val="20"/>
          <w:szCs w:val="20"/>
        </w:rPr>
        <w:t> EUR</w:t>
      </w:r>
      <w:r w:rsidRPr="005F4645">
        <w:rPr>
          <w:rFonts w:ascii="Arial" w:hAnsi="Arial" w:cs="Arial"/>
          <w:bCs/>
          <w:sz w:val="20"/>
          <w:szCs w:val="20"/>
        </w:rPr>
        <w:t>.</w:t>
      </w:r>
    </w:p>
    <w:p w14:paraId="3AB97220" w14:textId="77777777"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i/>
          <w:sz w:val="20"/>
          <w:szCs w:val="20"/>
        </w:rPr>
      </w:pPr>
      <w:r w:rsidRPr="00DA44E8">
        <w:rPr>
          <w:rFonts w:ascii="Arial" w:hAnsi="Arial" w:cs="Arial"/>
          <w:bCs/>
          <w:i/>
          <w:sz w:val="20"/>
          <w:szCs w:val="20"/>
        </w:rPr>
        <w:t>Preglednica</w:t>
      </w:r>
      <w:r w:rsidRPr="00DA44E8">
        <w:rPr>
          <w:rFonts w:ascii="Arial" w:hAnsi="Arial" w:cs="Arial"/>
          <w:i/>
          <w:sz w:val="20"/>
          <w:szCs w:val="20"/>
        </w:rPr>
        <w:t xml:space="preserve"> 3: Stanje in gibanje davčnega dolga v EUR</w:t>
      </w:r>
    </w:p>
    <w:tbl>
      <w:tblPr>
        <w:tblW w:w="9367" w:type="dxa"/>
        <w:tblCellMar>
          <w:left w:w="70" w:type="dxa"/>
          <w:right w:w="70" w:type="dxa"/>
        </w:tblCellMar>
        <w:tblLook w:val="04A0" w:firstRow="1" w:lastRow="0" w:firstColumn="1" w:lastColumn="0" w:noHBand="0" w:noVBand="1"/>
      </w:tblPr>
      <w:tblGrid>
        <w:gridCol w:w="1672"/>
        <w:gridCol w:w="1257"/>
        <w:gridCol w:w="1257"/>
        <w:gridCol w:w="1257"/>
        <w:gridCol w:w="1308"/>
        <w:gridCol w:w="1308"/>
        <w:gridCol w:w="1308"/>
      </w:tblGrid>
      <w:tr w:rsidR="00D847F2" w:rsidRPr="00685B8F" w14:paraId="2DEEE9BE" w14:textId="77777777" w:rsidTr="00556699">
        <w:trPr>
          <w:trHeight w:val="346"/>
        </w:trPr>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074B" w14:textId="77777777" w:rsidR="00D847F2" w:rsidRPr="00685B8F" w:rsidRDefault="00D847F2" w:rsidP="00556699">
            <w:pPr>
              <w:spacing w:after="0" w:line="240" w:lineRule="auto"/>
              <w:rPr>
                <w:rFonts w:eastAsia="Times New Roman" w:cs="Calibri"/>
                <w:color w:val="000000"/>
                <w:lang w:eastAsia="sl-SI"/>
              </w:rPr>
            </w:pPr>
            <w:r w:rsidRPr="00685B8F">
              <w:rPr>
                <w:rFonts w:eastAsia="Times New Roman" w:cs="Calibri"/>
                <w:color w:val="000000"/>
                <w:lang w:eastAsia="sl-SI"/>
              </w:rPr>
              <w:t> </w:t>
            </w:r>
          </w:p>
        </w:tc>
        <w:tc>
          <w:tcPr>
            <w:tcW w:w="1312" w:type="dxa"/>
            <w:tcBorders>
              <w:top w:val="single" w:sz="4" w:space="0" w:color="auto"/>
              <w:left w:val="nil"/>
              <w:bottom w:val="single" w:sz="4" w:space="0" w:color="auto"/>
              <w:right w:val="nil"/>
            </w:tcBorders>
            <w:shd w:val="clear" w:color="auto" w:fill="auto"/>
            <w:vAlign w:val="center"/>
            <w:hideMark/>
          </w:tcPr>
          <w:p w14:paraId="2090C800" w14:textId="07E8AD18" w:rsidR="00D847F2" w:rsidRPr="00685B8F" w:rsidRDefault="00727BBD"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31. 12. 2020</w:t>
            </w:r>
          </w:p>
        </w:tc>
        <w:tc>
          <w:tcPr>
            <w:tcW w:w="1312" w:type="dxa"/>
            <w:tcBorders>
              <w:top w:val="single" w:sz="4" w:space="0" w:color="auto"/>
              <w:left w:val="single" w:sz="4" w:space="0" w:color="auto"/>
              <w:bottom w:val="single" w:sz="4" w:space="0" w:color="auto"/>
              <w:right w:val="nil"/>
            </w:tcBorders>
            <w:shd w:val="clear" w:color="auto" w:fill="auto"/>
            <w:vAlign w:val="center"/>
            <w:hideMark/>
          </w:tcPr>
          <w:p w14:paraId="6D55764C" w14:textId="044538AE" w:rsidR="00D847F2" w:rsidRPr="00685B8F" w:rsidRDefault="00727BBD"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31. 12. 2021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3AB3" w14:textId="6E9C1F35" w:rsidR="00D847F2" w:rsidRPr="00685B8F" w:rsidRDefault="00727BBD"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31. 12. 2022</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0AE08686" w14:textId="766636B3"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31. 12. 2021</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t>31.</w:t>
            </w:r>
            <w:r w:rsidR="00727BBD">
              <w:rPr>
                <w:rFonts w:ascii="Arial" w:eastAsia="Times New Roman" w:hAnsi="Arial" w:cs="Arial"/>
                <w:b/>
                <w:bCs/>
                <w:color w:val="000000"/>
                <w:sz w:val="20"/>
                <w:szCs w:val="20"/>
                <w:lang w:eastAsia="sl-SI"/>
              </w:rPr>
              <w:t xml:space="preserve"> </w:t>
            </w:r>
            <w:r w:rsidRPr="00685B8F">
              <w:rPr>
                <w:rFonts w:ascii="Arial" w:eastAsia="Times New Roman" w:hAnsi="Arial" w:cs="Arial"/>
                <w:b/>
                <w:bCs/>
                <w:color w:val="000000"/>
                <w:sz w:val="20"/>
                <w:szCs w:val="20"/>
                <w:lang w:eastAsia="sl-SI"/>
              </w:rPr>
              <w:t>12.2020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57D93" w14:textId="195C6668"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Pr="00685B8F">
              <w:rPr>
                <w:rFonts w:ascii="Arial" w:eastAsia="Times New Roman" w:hAnsi="Arial" w:cs="Arial"/>
                <w:b/>
                <w:bCs/>
                <w:color w:val="000000"/>
                <w:sz w:val="20"/>
                <w:szCs w:val="20"/>
                <w:lang w:eastAsia="sl-SI"/>
              </w:rPr>
              <w:br/>
            </w:r>
            <w:r w:rsidR="00B42B8E" w:rsidRPr="00685B8F">
              <w:rPr>
                <w:rFonts w:ascii="Arial" w:eastAsia="Times New Roman" w:hAnsi="Arial" w:cs="Arial"/>
                <w:b/>
                <w:bCs/>
                <w:color w:val="000000"/>
                <w:sz w:val="20"/>
                <w:szCs w:val="20"/>
                <w:lang w:eastAsia="sl-SI"/>
              </w:rPr>
              <w:t>31.</w:t>
            </w:r>
            <w:r w:rsidR="00B42B8E">
              <w:rPr>
                <w:rFonts w:ascii="Arial" w:eastAsia="Times New Roman" w:hAnsi="Arial" w:cs="Arial"/>
                <w:b/>
                <w:bCs/>
                <w:color w:val="000000"/>
                <w:sz w:val="20"/>
                <w:szCs w:val="20"/>
                <w:lang w:eastAsia="sl-SI"/>
              </w:rPr>
              <w:t> 12. 2022</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r>
            <w:r w:rsidR="00B42B8E" w:rsidRPr="00685B8F">
              <w:rPr>
                <w:rFonts w:ascii="Arial" w:eastAsia="Times New Roman" w:hAnsi="Arial" w:cs="Arial"/>
                <w:b/>
                <w:bCs/>
                <w:color w:val="000000"/>
                <w:sz w:val="20"/>
                <w:szCs w:val="20"/>
                <w:lang w:eastAsia="sl-SI"/>
              </w:rPr>
              <w:t>31. 12. 2020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BFF5865" w14:textId="626C2C61"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 xml:space="preserve">IND </w:t>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2022</w:t>
            </w:r>
            <w:r w:rsidRPr="00685B8F">
              <w:rPr>
                <w:rFonts w:ascii="Arial" w:eastAsia="Times New Roman" w:hAnsi="Arial" w:cs="Arial"/>
                <w:b/>
                <w:bCs/>
                <w:color w:val="000000"/>
                <w:sz w:val="20"/>
                <w:szCs w:val="20"/>
                <w:lang w:eastAsia="sl-SI"/>
              </w:rPr>
              <w:t>/</w:t>
            </w:r>
            <w:r w:rsidRPr="00685B8F">
              <w:rPr>
                <w:rFonts w:ascii="Arial" w:eastAsia="Times New Roman" w:hAnsi="Arial" w:cs="Arial"/>
                <w:b/>
                <w:bCs/>
                <w:color w:val="000000"/>
                <w:sz w:val="20"/>
                <w:szCs w:val="20"/>
                <w:lang w:eastAsia="sl-SI"/>
              </w:rPr>
              <w:br/>
            </w:r>
            <w:r w:rsidR="00727BBD" w:rsidRPr="00685B8F">
              <w:rPr>
                <w:rFonts w:ascii="Arial" w:eastAsia="Times New Roman" w:hAnsi="Arial" w:cs="Arial"/>
                <w:b/>
                <w:bCs/>
                <w:color w:val="000000"/>
                <w:sz w:val="20"/>
                <w:szCs w:val="20"/>
                <w:lang w:eastAsia="sl-SI"/>
              </w:rPr>
              <w:t>31.</w:t>
            </w:r>
            <w:r w:rsidR="00727BBD">
              <w:rPr>
                <w:rFonts w:ascii="Arial" w:eastAsia="Times New Roman" w:hAnsi="Arial" w:cs="Arial"/>
                <w:b/>
                <w:bCs/>
                <w:color w:val="000000"/>
                <w:sz w:val="20"/>
                <w:szCs w:val="20"/>
                <w:lang w:eastAsia="sl-SI"/>
              </w:rPr>
              <w:t> 12. 2021</w:t>
            </w:r>
          </w:p>
        </w:tc>
      </w:tr>
      <w:tr w:rsidR="00D847F2" w:rsidRPr="00685B8F" w14:paraId="39F85B59" w14:textId="77777777" w:rsidTr="00556699">
        <w:trPr>
          <w:trHeight w:val="175"/>
        </w:trPr>
        <w:tc>
          <w:tcPr>
            <w:tcW w:w="1672" w:type="dxa"/>
            <w:tcBorders>
              <w:top w:val="nil"/>
              <w:left w:val="single" w:sz="4" w:space="0" w:color="auto"/>
              <w:bottom w:val="single" w:sz="4" w:space="0" w:color="auto"/>
              <w:right w:val="single" w:sz="4" w:space="0" w:color="auto"/>
            </w:tcBorders>
            <w:shd w:val="clear" w:color="auto" w:fill="auto"/>
            <w:vAlign w:val="center"/>
            <w:hideMark/>
          </w:tcPr>
          <w:p w14:paraId="4189E9B4" w14:textId="77777777" w:rsidR="00D847F2" w:rsidRPr="00685B8F" w:rsidRDefault="00D847F2" w:rsidP="00556699">
            <w:pPr>
              <w:spacing w:after="0" w:line="240" w:lineRule="auto"/>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 xml:space="preserve">Aktivni dolg </w:t>
            </w:r>
          </w:p>
        </w:tc>
        <w:tc>
          <w:tcPr>
            <w:tcW w:w="1312" w:type="dxa"/>
            <w:tcBorders>
              <w:top w:val="nil"/>
              <w:left w:val="nil"/>
              <w:bottom w:val="single" w:sz="4" w:space="0" w:color="auto"/>
              <w:right w:val="nil"/>
            </w:tcBorders>
            <w:shd w:val="clear" w:color="auto" w:fill="auto"/>
            <w:vAlign w:val="center"/>
            <w:hideMark/>
          </w:tcPr>
          <w:p w14:paraId="62D76366"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498.681.544</w:t>
            </w:r>
          </w:p>
        </w:tc>
        <w:tc>
          <w:tcPr>
            <w:tcW w:w="1312" w:type="dxa"/>
            <w:tcBorders>
              <w:top w:val="nil"/>
              <w:left w:val="single" w:sz="4" w:space="0" w:color="auto"/>
              <w:bottom w:val="single" w:sz="4" w:space="0" w:color="auto"/>
              <w:right w:val="nil"/>
            </w:tcBorders>
            <w:shd w:val="clear" w:color="auto" w:fill="auto"/>
            <w:vAlign w:val="center"/>
            <w:hideMark/>
          </w:tcPr>
          <w:p w14:paraId="7C0D250E"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431.158.169</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14:paraId="1F538499"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439.625.363</w:t>
            </w:r>
          </w:p>
        </w:tc>
        <w:tc>
          <w:tcPr>
            <w:tcW w:w="1253" w:type="dxa"/>
            <w:tcBorders>
              <w:top w:val="nil"/>
              <w:left w:val="nil"/>
              <w:bottom w:val="single" w:sz="4" w:space="0" w:color="auto"/>
              <w:right w:val="single" w:sz="4" w:space="0" w:color="auto"/>
            </w:tcBorders>
            <w:shd w:val="clear" w:color="auto" w:fill="auto"/>
            <w:vAlign w:val="center"/>
            <w:hideMark/>
          </w:tcPr>
          <w:p w14:paraId="62129475"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86,5</w:t>
            </w:r>
          </w:p>
        </w:tc>
        <w:tc>
          <w:tcPr>
            <w:tcW w:w="1253" w:type="dxa"/>
            <w:tcBorders>
              <w:top w:val="nil"/>
              <w:left w:val="nil"/>
              <w:bottom w:val="single" w:sz="4" w:space="0" w:color="auto"/>
              <w:right w:val="single" w:sz="4" w:space="0" w:color="auto"/>
            </w:tcBorders>
            <w:shd w:val="clear" w:color="auto" w:fill="auto"/>
            <w:vAlign w:val="center"/>
            <w:hideMark/>
          </w:tcPr>
          <w:p w14:paraId="7DD63327"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88,2</w:t>
            </w:r>
          </w:p>
        </w:tc>
        <w:tc>
          <w:tcPr>
            <w:tcW w:w="1253" w:type="dxa"/>
            <w:tcBorders>
              <w:top w:val="nil"/>
              <w:left w:val="nil"/>
              <w:bottom w:val="single" w:sz="4" w:space="0" w:color="auto"/>
              <w:right w:val="single" w:sz="4" w:space="0" w:color="auto"/>
            </w:tcBorders>
            <w:shd w:val="clear" w:color="auto" w:fill="auto"/>
            <w:vAlign w:val="center"/>
            <w:hideMark/>
          </w:tcPr>
          <w:p w14:paraId="1D755987"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102,0</w:t>
            </w:r>
          </w:p>
        </w:tc>
      </w:tr>
      <w:tr w:rsidR="00D847F2" w:rsidRPr="00685B8F" w14:paraId="33CAC6BA" w14:textId="77777777" w:rsidTr="00556699">
        <w:trPr>
          <w:trHeight w:val="186"/>
        </w:trPr>
        <w:tc>
          <w:tcPr>
            <w:tcW w:w="1672" w:type="dxa"/>
            <w:tcBorders>
              <w:top w:val="nil"/>
              <w:left w:val="single" w:sz="4" w:space="0" w:color="auto"/>
              <w:bottom w:val="single" w:sz="4" w:space="0" w:color="auto"/>
              <w:right w:val="single" w:sz="4" w:space="0" w:color="auto"/>
            </w:tcBorders>
            <w:shd w:val="clear" w:color="auto" w:fill="auto"/>
            <w:vAlign w:val="center"/>
            <w:hideMark/>
          </w:tcPr>
          <w:p w14:paraId="07D52DDE" w14:textId="77777777" w:rsidR="00D847F2" w:rsidRPr="00685B8F" w:rsidRDefault="00D847F2" w:rsidP="00556699">
            <w:pPr>
              <w:spacing w:after="0" w:line="240" w:lineRule="auto"/>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Pogojno izterljivi dolg</w:t>
            </w:r>
          </w:p>
        </w:tc>
        <w:tc>
          <w:tcPr>
            <w:tcW w:w="1312" w:type="dxa"/>
            <w:tcBorders>
              <w:top w:val="nil"/>
              <w:left w:val="nil"/>
              <w:bottom w:val="single" w:sz="4" w:space="0" w:color="auto"/>
              <w:right w:val="nil"/>
            </w:tcBorders>
            <w:shd w:val="clear" w:color="auto" w:fill="auto"/>
            <w:vAlign w:val="center"/>
            <w:hideMark/>
          </w:tcPr>
          <w:p w14:paraId="184D4A89"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499.407.850</w:t>
            </w:r>
          </w:p>
        </w:tc>
        <w:tc>
          <w:tcPr>
            <w:tcW w:w="1312" w:type="dxa"/>
            <w:tcBorders>
              <w:top w:val="nil"/>
              <w:left w:val="single" w:sz="4" w:space="0" w:color="auto"/>
              <w:bottom w:val="single" w:sz="4" w:space="0" w:color="auto"/>
              <w:right w:val="nil"/>
            </w:tcBorders>
            <w:shd w:val="clear" w:color="auto" w:fill="auto"/>
            <w:vAlign w:val="center"/>
            <w:hideMark/>
          </w:tcPr>
          <w:p w14:paraId="683115AD"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487.349.805</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14:paraId="3E19789F" w14:textId="77777777" w:rsidR="00D847F2" w:rsidRPr="00685B8F" w:rsidRDefault="00D847F2" w:rsidP="00556699">
            <w:pPr>
              <w:spacing w:after="0" w:line="240" w:lineRule="auto"/>
              <w:jc w:val="right"/>
              <w:rPr>
                <w:rFonts w:ascii="Arial" w:eastAsia="Times New Roman" w:hAnsi="Arial" w:cs="Arial"/>
                <w:sz w:val="20"/>
                <w:szCs w:val="20"/>
                <w:lang w:eastAsia="sl-SI"/>
              </w:rPr>
            </w:pPr>
            <w:r w:rsidRPr="00685B8F">
              <w:rPr>
                <w:rFonts w:ascii="Arial" w:eastAsia="Times New Roman" w:hAnsi="Arial" w:cs="Arial"/>
                <w:sz w:val="20"/>
                <w:szCs w:val="20"/>
                <w:lang w:eastAsia="sl-SI"/>
              </w:rPr>
              <w:t>456.724.627</w:t>
            </w:r>
          </w:p>
        </w:tc>
        <w:tc>
          <w:tcPr>
            <w:tcW w:w="1253" w:type="dxa"/>
            <w:tcBorders>
              <w:top w:val="nil"/>
              <w:left w:val="nil"/>
              <w:bottom w:val="single" w:sz="4" w:space="0" w:color="auto"/>
              <w:right w:val="single" w:sz="4" w:space="0" w:color="auto"/>
            </w:tcBorders>
            <w:shd w:val="clear" w:color="auto" w:fill="auto"/>
            <w:vAlign w:val="center"/>
            <w:hideMark/>
          </w:tcPr>
          <w:p w14:paraId="72353F61"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97,6</w:t>
            </w:r>
          </w:p>
        </w:tc>
        <w:tc>
          <w:tcPr>
            <w:tcW w:w="1253" w:type="dxa"/>
            <w:tcBorders>
              <w:top w:val="nil"/>
              <w:left w:val="nil"/>
              <w:bottom w:val="single" w:sz="4" w:space="0" w:color="auto"/>
              <w:right w:val="single" w:sz="4" w:space="0" w:color="auto"/>
            </w:tcBorders>
            <w:shd w:val="clear" w:color="auto" w:fill="auto"/>
            <w:vAlign w:val="center"/>
            <w:hideMark/>
          </w:tcPr>
          <w:p w14:paraId="7FCD6159"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91,5</w:t>
            </w:r>
          </w:p>
        </w:tc>
        <w:tc>
          <w:tcPr>
            <w:tcW w:w="1253" w:type="dxa"/>
            <w:tcBorders>
              <w:top w:val="nil"/>
              <w:left w:val="nil"/>
              <w:bottom w:val="single" w:sz="4" w:space="0" w:color="auto"/>
              <w:right w:val="single" w:sz="4" w:space="0" w:color="auto"/>
            </w:tcBorders>
            <w:shd w:val="clear" w:color="auto" w:fill="auto"/>
            <w:vAlign w:val="center"/>
            <w:hideMark/>
          </w:tcPr>
          <w:p w14:paraId="051C8FF1"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93,7</w:t>
            </w:r>
          </w:p>
        </w:tc>
      </w:tr>
      <w:tr w:rsidR="00D847F2" w:rsidRPr="00685B8F" w14:paraId="0275458D" w14:textId="77777777" w:rsidTr="00556699">
        <w:trPr>
          <w:trHeight w:val="206"/>
        </w:trPr>
        <w:tc>
          <w:tcPr>
            <w:tcW w:w="1672" w:type="dxa"/>
            <w:tcBorders>
              <w:top w:val="nil"/>
              <w:left w:val="single" w:sz="4" w:space="0" w:color="auto"/>
              <w:bottom w:val="single" w:sz="4" w:space="0" w:color="auto"/>
              <w:right w:val="single" w:sz="4" w:space="0" w:color="auto"/>
            </w:tcBorders>
            <w:shd w:val="clear" w:color="auto" w:fill="auto"/>
            <w:vAlign w:val="center"/>
            <w:hideMark/>
          </w:tcPr>
          <w:p w14:paraId="05368D90" w14:textId="77777777" w:rsidR="00D847F2" w:rsidRPr="00685B8F" w:rsidRDefault="00D847F2" w:rsidP="00556699">
            <w:pPr>
              <w:spacing w:after="0" w:line="240" w:lineRule="auto"/>
              <w:jc w:val="center"/>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Skupaj dolg</w:t>
            </w:r>
          </w:p>
        </w:tc>
        <w:tc>
          <w:tcPr>
            <w:tcW w:w="1312" w:type="dxa"/>
            <w:tcBorders>
              <w:top w:val="nil"/>
              <w:left w:val="nil"/>
              <w:bottom w:val="single" w:sz="4" w:space="0" w:color="auto"/>
              <w:right w:val="nil"/>
            </w:tcBorders>
            <w:shd w:val="clear" w:color="auto" w:fill="auto"/>
            <w:vAlign w:val="center"/>
            <w:hideMark/>
          </w:tcPr>
          <w:p w14:paraId="18E18570" w14:textId="77777777" w:rsidR="00D847F2" w:rsidRPr="00685B8F" w:rsidRDefault="00D847F2" w:rsidP="00556699">
            <w:pPr>
              <w:spacing w:after="0" w:line="240" w:lineRule="auto"/>
              <w:jc w:val="right"/>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998.089.393</w:t>
            </w:r>
          </w:p>
        </w:tc>
        <w:tc>
          <w:tcPr>
            <w:tcW w:w="1312" w:type="dxa"/>
            <w:tcBorders>
              <w:top w:val="nil"/>
              <w:left w:val="single" w:sz="4" w:space="0" w:color="auto"/>
              <w:bottom w:val="single" w:sz="4" w:space="0" w:color="auto"/>
              <w:right w:val="nil"/>
            </w:tcBorders>
            <w:shd w:val="clear" w:color="auto" w:fill="auto"/>
            <w:vAlign w:val="center"/>
            <w:hideMark/>
          </w:tcPr>
          <w:p w14:paraId="1EC8CF0A" w14:textId="77777777" w:rsidR="00D847F2" w:rsidRPr="00685B8F" w:rsidRDefault="00D847F2" w:rsidP="00556699">
            <w:pPr>
              <w:spacing w:after="0" w:line="240" w:lineRule="auto"/>
              <w:jc w:val="right"/>
              <w:rPr>
                <w:rFonts w:ascii="Arial" w:eastAsia="Times New Roman" w:hAnsi="Arial" w:cs="Arial"/>
                <w:b/>
                <w:bCs/>
                <w:color w:val="000000"/>
                <w:sz w:val="20"/>
                <w:szCs w:val="20"/>
                <w:lang w:eastAsia="sl-SI"/>
              </w:rPr>
            </w:pPr>
            <w:r w:rsidRPr="00685B8F">
              <w:rPr>
                <w:rFonts w:ascii="Arial" w:eastAsia="Times New Roman" w:hAnsi="Arial" w:cs="Arial"/>
                <w:b/>
                <w:bCs/>
                <w:color w:val="000000"/>
                <w:sz w:val="20"/>
                <w:szCs w:val="20"/>
                <w:lang w:eastAsia="sl-SI"/>
              </w:rPr>
              <w:t>918.507.974</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14:paraId="18BB72B3" w14:textId="77777777" w:rsidR="00D847F2" w:rsidRPr="00685B8F" w:rsidRDefault="00D847F2" w:rsidP="00556699">
            <w:pPr>
              <w:spacing w:after="0" w:line="240" w:lineRule="auto"/>
              <w:jc w:val="right"/>
              <w:rPr>
                <w:rFonts w:ascii="Arial" w:eastAsia="Times New Roman" w:hAnsi="Arial" w:cs="Arial"/>
                <w:b/>
                <w:bCs/>
                <w:sz w:val="20"/>
                <w:szCs w:val="20"/>
                <w:lang w:eastAsia="sl-SI"/>
              </w:rPr>
            </w:pPr>
            <w:r w:rsidRPr="00685B8F">
              <w:rPr>
                <w:rFonts w:ascii="Arial" w:eastAsia="Times New Roman" w:hAnsi="Arial" w:cs="Arial"/>
                <w:b/>
                <w:bCs/>
                <w:sz w:val="20"/>
                <w:szCs w:val="20"/>
                <w:lang w:eastAsia="sl-SI"/>
              </w:rPr>
              <w:t>896.349.990</w:t>
            </w:r>
          </w:p>
        </w:tc>
        <w:tc>
          <w:tcPr>
            <w:tcW w:w="1253" w:type="dxa"/>
            <w:tcBorders>
              <w:top w:val="nil"/>
              <w:left w:val="nil"/>
              <w:bottom w:val="single" w:sz="4" w:space="0" w:color="auto"/>
              <w:right w:val="single" w:sz="4" w:space="0" w:color="auto"/>
            </w:tcBorders>
            <w:shd w:val="clear" w:color="auto" w:fill="auto"/>
            <w:vAlign w:val="center"/>
            <w:hideMark/>
          </w:tcPr>
          <w:p w14:paraId="6A2BFC1D"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92,0</w:t>
            </w:r>
          </w:p>
        </w:tc>
        <w:tc>
          <w:tcPr>
            <w:tcW w:w="1253" w:type="dxa"/>
            <w:tcBorders>
              <w:top w:val="nil"/>
              <w:left w:val="nil"/>
              <w:bottom w:val="single" w:sz="4" w:space="0" w:color="auto"/>
              <w:right w:val="single" w:sz="4" w:space="0" w:color="auto"/>
            </w:tcBorders>
            <w:shd w:val="clear" w:color="auto" w:fill="auto"/>
            <w:vAlign w:val="center"/>
            <w:hideMark/>
          </w:tcPr>
          <w:p w14:paraId="3473E27E"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89,8</w:t>
            </w:r>
          </w:p>
        </w:tc>
        <w:tc>
          <w:tcPr>
            <w:tcW w:w="1253" w:type="dxa"/>
            <w:tcBorders>
              <w:top w:val="nil"/>
              <w:left w:val="nil"/>
              <w:bottom w:val="single" w:sz="4" w:space="0" w:color="auto"/>
              <w:right w:val="single" w:sz="4" w:space="0" w:color="auto"/>
            </w:tcBorders>
            <w:shd w:val="clear" w:color="auto" w:fill="auto"/>
            <w:vAlign w:val="center"/>
            <w:hideMark/>
          </w:tcPr>
          <w:p w14:paraId="5CC4BC36" w14:textId="77777777" w:rsidR="00D847F2" w:rsidRPr="00685B8F" w:rsidRDefault="00D847F2" w:rsidP="00556699">
            <w:pPr>
              <w:spacing w:after="0" w:line="240" w:lineRule="auto"/>
              <w:jc w:val="right"/>
              <w:rPr>
                <w:rFonts w:ascii="Arial" w:eastAsia="Times New Roman" w:hAnsi="Arial" w:cs="Arial"/>
                <w:color w:val="000000"/>
                <w:sz w:val="20"/>
                <w:szCs w:val="20"/>
                <w:lang w:eastAsia="sl-SI"/>
              </w:rPr>
            </w:pPr>
            <w:r w:rsidRPr="00685B8F">
              <w:rPr>
                <w:rFonts w:ascii="Arial" w:eastAsia="Times New Roman" w:hAnsi="Arial" w:cs="Arial"/>
                <w:color w:val="000000"/>
                <w:sz w:val="20"/>
                <w:szCs w:val="20"/>
                <w:lang w:eastAsia="sl-SI"/>
              </w:rPr>
              <w:t>97,6</w:t>
            </w:r>
          </w:p>
        </w:tc>
      </w:tr>
    </w:tbl>
    <w:p w14:paraId="67F9F535" w14:textId="617F4739" w:rsidR="00D847F2" w:rsidRPr="001104C6" w:rsidRDefault="00D847F2" w:rsidP="00D847F2">
      <w:pPr>
        <w:rPr>
          <w:rFonts w:ascii="Arial" w:hAnsi="Arial" w:cs="Arial"/>
          <w:i/>
          <w:sz w:val="20"/>
          <w:szCs w:val="20"/>
        </w:rPr>
      </w:pPr>
      <w:r w:rsidRPr="001104C6">
        <w:rPr>
          <w:rFonts w:ascii="Arial" w:hAnsi="Arial" w:cs="Arial"/>
          <w:i/>
          <w:sz w:val="20"/>
          <w:szCs w:val="20"/>
        </w:rPr>
        <w:t>Vir: FURS</w:t>
      </w:r>
      <w:r w:rsidR="00530BA5">
        <w:rPr>
          <w:rFonts w:ascii="Arial" w:hAnsi="Arial" w:cs="Arial"/>
          <w:i/>
          <w:sz w:val="20"/>
          <w:szCs w:val="20"/>
        </w:rPr>
        <w:t xml:space="preserve">. </w:t>
      </w:r>
    </w:p>
    <w:p w14:paraId="7B40DAEE" w14:textId="7EABD694" w:rsidR="00D847F2" w:rsidRPr="00B2403A" w:rsidRDefault="00D847F2" w:rsidP="00D847F2">
      <w:pPr>
        <w:jc w:val="both"/>
        <w:rPr>
          <w:rFonts w:ascii="Arial" w:hAnsi="Arial" w:cs="Arial"/>
          <w:sz w:val="20"/>
          <w:szCs w:val="20"/>
        </w:rPr>
      </w:pPr>
      <w:r w:rsidRPr="00CF0765">
        <w:rPr>
          <w:rFonts w:ascii="Arial" w:hAnsi="Arial" w:cs="Arial"/>
          <w:sz w:val="20"/>
          <w:szCs w:val="20"/>
        </w:rPr>
        <w:t xml:space="preserve">V strukturi davčnega dolga ima aktivni dolg </w:t>
      </w:r>
      <w:r w:rsidRPr="000A66AA">
        <w:rPr>
          <w:rFonts w:ascii="Arial" w:hAnsi="Arial" w:cs="Arial"/>
          <w:sz w:val="20"/>
          <w:szCs w:val="20"/>
        </w:rPr>
        <w:t>49</w:t>
      </w:r>
      <w:r>
        <w:rPr>
          <w:rFonts w:ascii="Arial" w:hAnsi="Arial" w:cs="Arial"/>
          <w:sz w:val="20"/>
          <w:szCs w:val="20"/>
        </w:rPr>
        <w:t>-odstotni</w:t>
      </w:r>
      <w:r w:rsidRPr="00CF0765">
        <w:rPr>
          <w:rFonts w:ascii="Arial" w:hAnsi="Arial" w:cs="Arial"/>
          <w:sz w:val="20"/>
          <w:szCs w:val="20"/>
        </w:rPr>
        <w:t xml:space="preserve"> delež. Postopki za izterjavo tega dela dolga so v teku, zato je verjetnost izterjave navedenega dolga velika v nasprotju s pogojno izterljivim dolgom, ki </w:t>
      </w:r>
      <w:r w:rsidR="00530BA5">
        <w:rPr>
          <w:rFonts w:ascii="Arial" w:hAnsi="Arial" w:cs="Arial"/>
          <w:sz w:val="20"/>
          <w:szCs w:val="20"/>
        </w:rPr>
        <w:t>obsega</w:t>
      </w:r>
      <w:r w:rsidR="00530BA5" w:rsidRPr="00CF0765">
        <w:rPr>
          <w:rFonts w:ascii="Arial" w:hAnsi="Arial" w:cs="Arial"/>
          <w:sz w:val="20"/>
          <w:szCs w:val="20"/>
        </w:rPr>
        <w:t xml:space="preserve"> </w:t>
      </w:r>
      <w:r w:rsidRPr="000A66AA">
        <w:rPr>
          <w:rFonts w:ascii="Arial" w:hAnsi="Arial" w:cs="Arial"/>
          <w:sz w:val="20"/>
          <w:szCs w:val="20"/>
        </w:rPr>
        <w:t>5</w:t>
      </w:r>
      <w:r>
        <w:rPr>
          <w:rFonts w:ascii="Arial" w:hAnsi="Arial" w:cs="Arial"/>
          <w:sz w:val="20"/>
          <w:szCs w:val="20"/>
        </w:rPr>
        <w:t xml:space="preserve">1 </w:t>
      </w:r>
      <w:r w:rsidRPr="00831824">
        <w:rPr>
          <w:rFonts w:ascii="Arial" w:eastAsia="Times New Roman" w:hAnsi="Arial" w:cs="Arial"/>
          <w:sz w:val="20"/>
          <w:szCs w:val="20"/>
        </w:rPr>
        <w:t>odstot</w:t>
      </w:r>
      <w:r>
        <w:rPr>
          <w:rFonts w:ascii="Arial" w:eastAsia="Times New Roman" w:hAnsi="Arial" w:cs="Arial"/>
          <w:sz w:val="20"/>
          <w:szCs w:val="20"/>
        </w:rPr>
        <w:t xml:space="preserve">kov </w:t>
      </w:r>
      <w:r w:rsidRPr="00831824">
        <w:rPr>
          <w:rFonts w:ascii="Arial" w:hAnsi="Arial" w:cs="Arial"/>
          <w:sz w:val="20"/>
          <w:szCs w:val="20"/>
        </w:rPr>
        <w:t xml:space="preserve">dolga. Večina tega dolga je namreč predmet </w:t>
      </w:r>
      <w:proofErr w:type="spellStart"/>
      <w:r w:rsidRPr="00831824">
        <w:rPr>
          <w:rFonts w:ascii="Arial" w:hAnsi="Arial" w:cs="Arial"/>
          <w:sz w:val="20"/>
          <w:szCs w:val="20"/>
        </w:rPr>
        <w:t>insolvenčnih</w:t>
      </w:r>
      <w:proofErr w:type="spellEnd"/>
      <w:r w:rsidRPr="00831824">
        <w:rPr>
          <w:rFonts w:ascii="Arial" w:hAnsi="Arial" w:cs="Arial"/>
          <w:sz w:val="20"/>
          <w:szCs w:val="20"/>
        </w:rPr>
        <w:t xml:space="preserve"> postopkov, v katere je </w:t>
      </w:r>
      <w:r w:rsidRPr="00B2403A">
        <w:rPr>
          <w:rFonts w:ascii="Arial" w:hAnsi="Arial" w:cs="Arial"/>
          <w:sz w:val="20"/>
          <w:szCs w:val="20"/>
        </w:rPr>
        <w:t>prijavljen</w:t>
      </w:r>
      <w:r w:rsidR="00530BA5">
        <w:rPr>
          <w:rFonts w:ascii="Arial" w:hAnsi="Arial" w:cs="Arial"/>
          <w:sz w:val="20"/>
          <w:szCs w:val="20"/>
        </w:rPr>
        <w:t>ega</w:t>
      </w:r>
      <w:r>
        <w:rPr>
          <w:rFonts w:ascii="Arial" w:hAnsi="Arial" w:cs="Arial"/>
          <w:sz w:val="20"/>
          <w:szCs w:val="20"/>
        </w:rPr>
        <w:t xml:space="preserve"> 60,7</w:t>
      </w:r>
      <w:r w:rsidRPr="00B2403A">
        <w:rPr>
          <w:rFonts w:ascii="Arial" w:hAnsi="Arial" w:cs="Arial"/>
          <w:sz w:val="20"/>
          <w:szCs w:val="20"/>
        </w:rPr>
        <w:t xml:space="preserve"> </w:t>
      </w:r>
      <w:r w:rsidRPr="00B2403A">
        <w:rPr>
          <w:rFonts w:ascii="Arial" w:eastAsia="Times New Roman" w:hAnsi="Arial" w:cs="Arial"/>
          <w:sz w:val="20"/>
          <w:szCs w:val="20"/>
        </w:rPr>
        <w:t>odstotka</w:t>
      </w:r>
      <w:r w:rsidRPr="00B2403A">
        <w:rPr>
          <w:rFonts w:ascii="Arial" w:hAnsi="Arial" w:cs="Arial"/>
          <w:sz w:val="20"/>
          <w:szCs w:val="20"/>
        </w:rPr>
        <w:t xml:space="preserve"> pogojno izterljivega davčnega dolga.</w:t>
      </w:r>
      <w:r w:rsidR="003D7CC1">
        <w:rPr>
          <w:rFonts w:ascii="Arial" w:hAnsi="Arial" w:cs="Arial"/>
          <w:sz w:val="20"/>
          <w:szCs w:val="20"/>
        </w:rPr>
        <w:t xml:space="preserve"> </w:t>
      </w:r>
    </w:p>
    <w:p w14:paraId="021BC3CB" w14:textId="77777777" w:rsidR="00D847F2" w:rsidRPr="00A647B5" w:rsidRDefault="00D847F2" w:rsidP="00D847F2">
      <w:pPr>
        <w:jc w:val="both"/>
        <w:rPr>
          <w:rFonts w:ascii="Arial" w:hAnsi="Arial" w:cs="Arial"/>
          <w:sz w:val="20"/>
          <w:szCs w:val="20"/>
        </w:rPr>
      </w:pPr>
      <w:r w:rsidRPr="00A647B5">
        <w:rPr>
          <w:rFonts w:ascii="Arial" w:hAnsi="Arial" w:cs="Arial"/>
          <w:sz w:val="20"/>
          <w:szCs w:val="20"/>
        </w:rPr>
        <w:t xml:space="preserve">Z dnem začetka </w:t>
      </w:r>
      <w:r w:rsidRPr="00503063">
        <w:rPr>
          <w:rFonts w:ascii="Arial" w:hAnsi="Arial" w:cs="Arial"/>
          <w:sz w:val="20"/>
          <w:szCs w:val="20"/>
        </w:rPr>
        <w:t>postopka</w:t>
      </w:r>
      <w:r w:rsidRPr="00A9699C">
        <w:rPr>
          <w:rFonts w:ascii="Arial" w:hAnsi="Arial" w:cs="Arial"/>
          <w:sz w:val="20"/>
          <w:szCs w:val="20"/>
        </w:rPr>
        <w:t xml:space="preserve"> </w:t>
      </w:r>
      <w:r>
        <w:rPr>
          <w:rFonts w:ascii="Arial" w:hAnsi="Arial" w:cs="Arial"/>
          <w:sz w:val="20"/>
          <w:szCs w:val="20"/>
        </w:rPr>
        <w:t>zaradi insolventnosti</w:t>
      </w:r>
      <w:r w:rsidRPr="00503063">
        <w:rPr>
          <w:rFonts w:ascii="Arial" w:hAnsi="Arial" w:cs="Arial"/>
          <w:sz w:val="20"/>
          <w:szCs w:val="20"/>
        </w:rPr>
        <w:t xml:space="preserve"> </w:t>
      </w:r>
      <w:r w:rsidRPr="00A647B5">
        <w:rPr>
          <w:rFonts w:ascii="Arial" w:hAnsi="Arial" w:cs="Arial"/>
          <w:sz w:val="20"/>
          <w:szCs w:val="20"/>
        </w:rPr>
        <w:t xml:space="preserve">se v skladu z </w:t>
      </w:r>
      <w:proofErr w:type="spellStart"/>
      <w:r w:rsidRPr="00A647B5">
        <w:rPr>
          <w:rFonts w:ascii="Arial" w:hAnsi="Arial" w:cs="Arial"/>
          <w:sz w:val="20"/>
          <w:szCs w:val="20"/>
        </w:rPr>
        <w:t>insolvenčno</w:t>
      </w:r>
      <w:proofErr w:type="spellEnd"/>
      <w:r w:rsidRPr="00A647B5">
        <w:rPr>
          <w:rFonts w:ascii="Arial" w:hAnsi="Arial" w:cs="Arial"/>
          <w:sz w:val="20"/>
          <w:szCs w:val="20"/>
        </w:rPr>
        <w:t xml:space="preserve"> zakonodajo, ki je v pristojnosti </w:t>
      </w:r>
      <w:r>
        <w:rPr>
          <w:rFonts w:ascii="Arial" w:hAnsi="Arial" w:cs="Arial"/>
          <w:sz w:val="20"/>
          <w:szCs w:val="20"/>
        </w:rPr>
        <w:t>m</w:t>
      </w:r>
      <w:r w:rsidRPr="00A647B5">
        <w:rPr>
          <w:rFonts w:ascii="Arial" w:hAnsi="Arial" w:cs="Arial"/>
          <w:sz w:val="20"/>
          <w:szCs w:val="20"/>
        </w:rPr>
        <w:t xml:space="preserve">inistrstva za pravosodje, zoper davčnega zavezanca načeloma ne sme voditi postopek davčne izvršbe, temveč se zaradi zagotavljanja načela enakega obravnavanja upnikov lahko terjatve poplačajo le v skladu z </w:t>
      </w:r>
      <w:proofErr w:type="spellStart"/>
      <w:r w:rsidRPr="00A647B5">
        <w:rPr>
          <w:rFonts w:ascii="Arial" w:hAnsi="Arial" w:cs="Arial"/>
          <w:sz w:val="20"/>
          <w:szCs w:val="20"/>
        </w:rPr>
        <w:t>insolvenčno</w:t>
      </w:r>
      <w:proofErr w:type="spellEnd"/>
      <w:r w:rsidRPr="00A647B5">
        <w:rPr>
          <w:rFonts w:ascii="Arial" w:hAnsi="Arial" w:cs="Arial"/>
          <w:sz w:val="20"/>
          <w:szCs w:val="20"/>
        </w:rPr>
        <w:t xml:space="preserve"> zakonodajo. </w:t>
      </w:r>
      <w:bookmarkStart w:id="11" w:name="_Hlk128514278"/>
      <w:bookmarkStart w:id="12" w:name="_Hlk129344695"/>
      <w:r w:rsidRPr="00A647B5">
        <w:rPr>
          <w:rFonts w:ascii="Arial" w:hAnsi="Arial" w:cs="Arial"/>
          <w:sz w:val="20"/>
          <w:szCs w:val="20"/>
        </w:rPr>
        <w:t xml:space="preserve">Za terjatve, ki so prijavljene v </w:t>
      </w:r>
      <w:r w:rsidRPr="00503063">
        <w:rPr>
          <w:rFonts w:ascii="Arial" w:hAnsi="Arial" w:cs="Arial"/>
          <w:sz w:val="20"/>
          <w:szCs w:val="20"/>
        </w:rPr>
        <w:t>postopk</w:t>
      </w:r>
      <w:r>
        <w:rPr>
          <w:rFonts w:ascii="Arial" w:hAnsi="Arial" w:cs="Arial"/>
          <w:sz w:val="20"/>
          <w:szCs w:val="20"/>
        </w:rPr>
        <w:t>e</w:t>
      </w:r>
      <w:r w:rsidRPr="00A9699C">
        <w:rPr>
          <w:rFonts w:ascii="Arial" w:hAnsi="Arial" w:cs="Arial"/>
          <w:sz w:val="20"/>
          <w:szCs w:val="20"/>
        </w:rPr>
        <w:t xml:space="preserve"> </w:t>
      </w:r>
      <w:r>
        <w:rPr>
          <w:rFonts w:ascii="Arial" w:hAnsi="Arial" w:cs="Arial"/>
          <w:sz w:val="20"/>
          <w:szCs w:val="20"/>
        </w:rPr>
        <w:t>zaradi insolventnosti</w:t>
      </w:r>
      <w:r w:rsidRPr="00503063">
        <w:rPr>
          <w:rFonts w:ascii="Arial" w:hAnsi="Arial" w:cs="Arial"/>
          <w:sz w:val="20"/>
          <w:szCs w:val="20"/>
        </w:rPr>
        <w:t xml:space="preserve"> </w:t>
      </w:r>
      <w:r w:rsidRPr="00A647B5">
        <w:rPr>
          <w:rFonts w:ascii="Arial" w:hAnsi="Arial" w:cs="Arial"/>
          <w:sz w:val="20"/>
          <w:szCs w:val="20"/>
        </w:rPr>
        <w:t>(v letu 2022 je bilo izdanih 4.751 seznamov izvršilnih naslovov, kar je 8,6 odstotk</w:t>
      </w:r>
      <w:r>
        <w:rPr>
          <w:rFonts w:ascii="Arial" w:hAnsi="Arial" w:cs="Arial"/>
          <w:sz w:val="20"/>
          <w:szCs w:val="20"/>
        </w:rPr>
        <w:t>a</w:t>
      </w:r>
      <w:r w:rsidRPr="00A647B5">
        <w:rPr>
          <w:rFonts w:ascii="Arial" w:hAnsi="Arial" w:cs="Arial"/>
          <w:sz w:val="20"/>
          <w:szCs w:val="20"/>
        </w:rPr>
        <w:t xml:space="preserve"> manj kot v letu 2021). </w:t>
      </w:r>
      <w:bookmarkEnd w:id="11"/>
    </w:p>
    <w:bookmarkEnd w:id="12"/>
    <w:p w14:paraId="7E32E270" w14:textId="7EA1B85F" w:rsidR="00D847F2" w:rsidRPr="00A647B5" w:rsidRDefault="00D847F2" w:rsidP="00D847F2">
      <w:pPr>
        <w:jc w:val="both"/>
        <w:rPr>
          <w:rFonts w:ascii="Arial" w:eastAsia="Times New Roman" w:hAnsi="Arial" w:cs="Arial"/>
          <w:iCs/>
          <w:sz w:val="20"/>
          <w:szCs w:val="20"/>
        </w:rPr>
      </w:pPr>
      <w:r w:rsidRPr="00A647B5">
        <w:rPr>
          <w:rFonts w:ascii="Arial" w:hAnsi="Arial" w:cs="Arial"/>
          <w:sz w:val="20"/>
          <w:szCs w:val="20"/>
        </w:rPr>
        <w:t xml:space="preserve">Postopki zaradi insolventnosti so sodni postopki, na </w:t>
      </w:r>
      <w:r w:rsidR="003D7CC1" w:rsidRPr="00A647B5">
        <w:rPr>
          <w:rFonts w:ascii="Arial" w:hAnsi="Arial" w:cs="Arial"/>
          <w:sz w:val="20"/>
          <w:szCs w:val="20"/>
        </w:rPr>
        <w:t xml:space="preserve">katerih </w:t>
      </w:r>
      <w:r w:rsidRPr="00A647B5">
        <w:rPr>
          <w:rFonts w:ascii="Arial" w:hAnsi="Arial" w:cs="Arial"/>
          <w:sz w:val="20"/>
          <w:szCs w:val="20"/>
        </w:rPr>
        <w:t xml:space="preserve">trajanje davčni organ nima vpliva, saj je v skladu z </w:t>
      </w:r>
      <w:proofErr w:type="spellStart"/>
      <w:r w:rsidRPr="00A647B5">
        <w:rPr>
          <w:rFonts w:ascii="Arial" w:hAnsi="Arial" w:cs="Arial"/>
          <w:sz w:val="20"/>
          <w:szCs w:val="20"/>
        </w:rPr>
        <w:t>insolvenčno</w:t>
      </w:r>
      <w:proofErr w:type="spellEnd"/>
      <w:r w:rsidRPr="00A647B5">
        <w:rPr>
          <w:rFonts w:ascii="Arial" w:hAnsi="Arial" w:cs="Arial"/>
          <w:sz w:val="20"/>
          <w:szCs w:val="20"/>
        </w:rPr>
        <w:t xml:space="preserve"> zakonodajo izenačen z drugimi (civilnimi) upniki. </w:t>
      </w:r>
      <w:r w:rsidRPr="00A647B5">
        <w:rPr>
          <w:rFonts w:ascii="Arial" w:eastAsia="Times New Roman" w:hAnsi="Arial" w:cs="Arial"/>
          <w:iCs/>
          <w:sz w:val="20"/>
          <w:szCs w:val="20"/>
        </w:rPr>
        <w:t xml:space="preserve">Terjatve, ki v stečajnem postopku niso bile poplačane, se odpišejo. Posebnost velja v postopku osebnega stečaja, kjer se odpišejo le </w:t>
      </w:r>
      <w:r w:rsidRPr="00A647B5">
        <w:rPr>
          <w:rFonts w:ascii="Arial" w:eastAsia="Times New Roman" w:hAnsi="Arial" w:cs="Arial"/>
          <w:iCs/>
          <w:sz w:val="20"/>
          <w:szCs w:val="20"/>
        </w:rPr>
        <w:lastRenderedPageBreak/>
        <w:t>terjatve</w:t>
      </w:r>
      <w:r w:rsidR="003D7CC1">
        <w:rPr>
          <w:rFonts w:ascii="Arial" w:eastAsia="Times New Roman" w:hAnsi="Arial" w:cs="Arial"/>
          <w:iCs/>
          <w:sz w:val="20"/>
          <w:szCs w:val="20"/>
        </w:rPr>
        <w:t>,</w:t>
      </w:r>
      <w:r w:rsidRPr="00A647B5">
        <w:rPr>
          <w:rFonts w:ascii="Arial" w:eastAsia="Times New Roman" w:hAnsi="Arial" w:cs="Arial"/>
          <w:iCs/>
          <w:sz w:val="20"/>
          <w:szCs w:val="20"/>
        </w:rPr>
        <w:t xml:space="preserve"> na katere učinkuje odpust obveznosti. Davčni dolžnik namreč v postopku osebnega stečaja ne more več doseči odpusta in </w:t>
      </w:r>
      <w:r w:rsidR="003D7CC1">
        <w:rPr>
          <w:rFonts w:ascii="Arial" w:eastAsia="Times New Roman" w:hAnsi="Arial" w:cs="Arial"/>
          <w:iCs/>
          <w:sz w:val="20"/>
          <w:szCs w:val="20"/>
        </w:rPr>
        <w:t>s tem</w:t>
      </w:r>
      <w:r w:rsidR="003D7CC1" w:rsidRPr="00A647B5">
        <w:rPr>
          <w:rFonts w:ascii="Arial" w:eastAsia="Times New Roman" w:hAnsi="Arial" w:cs="Arial"/>
          <w:iCs/>
          <w:sz w:val="20"/>
          <w:szCs w:val="20"/>
        </w:rPr>
        <w:t xml:space="preserve"> </w:t>
      </w:r>
      <w:r w:rsidRPr="00A647B5">
        <w:rPr>
          <w:rFonts w:ascii="Arial" w:eastAsia="Times New Roman" w:hAnsi="Arial" w:cs="Arial"/>
          <w:iCs/>
          <w:sz w:val="20"/>
          <w:szCs w:val="20"/>
        </w:rPr>
        <w:t>odpisa davčnih terjatev iz naslova prispevkov, ki so nastale pred začetkom postopka zaradi insolventnosti</w:t>
      </w:r>
      <w:r w:rsidR="003D7CC1">
        <w:rPr>
          <w:rFonts w:ascii="Arial" w:eastAsia="Times New Roman" w:hAnsi="Arial" w:cs="Arial"/>
          <w:iCs/>
          <w:sz w:val="20"/>
          <w:szCs w:val="20"/>
        </w:rPr>
        <w:t>.</w:t>
      </w:r>
      <w:r w:rsidRPr="00A647B5">
        <w:rPr>
          <w:rFonts w:ascii="Arial" w:eastAsia="Times New Roman" w:hAnsi="Arial" w:cs="Arial"/>
          <w:iCs/>
          <w:sz w:val="20"/>
          <w:szCs w:val="20"/>
          <w:vertAlign w:val="superscript"/>
        </w:rPr>
        <w:footnoteReference w:id="7"/>
      </w:r>
      <w:r w:rsidRPr="00A647B5">
        <w:rPr>
          <w:rFonts w:ascii="Arial" w:eastAsia="Times New Roman" w:hAnsi="Arial" w:cs="Arial"/>
          <w:iCs/>
          <w:sz w:val="20"/>
          <w:szCs w:val="20"/>
        </w:rPr>
        <w:t xml:space="preserve"> </w:t>
      </w:r>
    </w:p>
    <w:p w14:paraId="0125DC87" w14:textId="7EA2F6E9" w:rsidR="00D847F2" w:rsidRPr="00A647B5" w:rsidRDefault="00D847F2" w:rsidP="00D847F2">
      <w:pPr>
        <w:jc w:val="both"/>
        <w:rPr>
          <w:rFonts w:ascii="Arial" w:hAnsi="Arial" w:cs="Arial"/>
          <w:sz w:val="20"/>
          <w:szCs w:val="20"/>
          <w:highlight w:val="yellow"/>
        </w:rPr>
      </w:pPr>
      <w:r w:rsidRPr="00A647B5">
        <w:rPr>
          <w:rFonts w:ascii="Arial" w:hAnsi="Arial" w:cs="Arial"/>
          <w:sz w:val="20"/>
          <w:szCs w:val="20"/>
        </w:rPr>
        <w:t xml:space="preserve">Za vodenje in odločanje v </w:t>
      </w:r>
      <w:r w:rsidRPr="00503063">
        <w:rPr>
          <w:rFonts w:ascii="Arial" w:hAnsi="Arial" w:cs="Arial"/>
          <w:sz w:val="20"/>
          <w:szCs w:val="20"/>
        </w:rPr>
        <w:t>postopk</w:t>
      </w:r>
      <w:r>
        <w:rPr>
          <w:rFonts w:ascii="Arial" w:hAnsi="Arial" w:cs="Arial"/>
          <w:sz w:val="20"/>
          <w:szCs w:val="20"/>
        </w:rPr>
        <w:t>ih</w:t>
      </w:r>
      <w:r w:rsidRPr="00A9699C">
        <w:rPr>
          <w:rFonts w:ascii="Arial" w:hAnsi="Arial" w:cs="Arial"/>
          <w:sz w:val="20"/>
          <w:szCs w:val="20"/>
        </w:rPr>
        <w:t xml:space="preserve"> </w:t>
      </w:r>
      <w:r>
        <w:rPr>
          <w:rFonts w:ascii="Arial" w:hAnsi="Arial" w:cs="Arial"/>
          <w:sz w:val="20"/>
          <w:szCs w:val="20"/>
        </w:rPr>
        <w:t>zaradi insolventnosti</w:t>
      </w:r>
      <w:r w:rsidRPr="00A647B5">
        <w:rPr>
          <w:rStyle w:val="Sprotnaopomba-sklic"/>
          <w:rFonts w:ascii="Arial" w:hAnsi="Arial" w:cs="Arial"/>
          <w:sz w:val="20"/>
          <w:szCs w:val="20"/>
        </w:rPr>
        <w:footnoteReference w:id="8"/>
      </w:r>
      <w:r w:rsidRPr="00A647B5">
        <w:rPr>
          <w:rFonts w:ascii="Arial" w:hAnsi="Arial" w:cs="Arial"/>
          <w:sz w:val="20"/>
          <w:szCs w:val="20"/>
        </w:rPr>
        <w:t xml:space="preserve"> so pristojna okrožna sodišča. Postopek poenostavljene prisilne poravnave ne učinkuje na davke in prispevke. Število začetih postopkov prisilnih poravnav načeloma upada (v letu 2015 je bilo na novo začetih 12 postopkov, v letu 2016: 14, v letu 2017: 14, v letu 2018: 11, v letu 2019: 11, v letu 2020: 10, v letu 2021 pa je upadlo na zgolj 5 začetih postopkov). Pri stečajnih postopkih nad pravnimi osebami je bilo od leta 2015 do 2018 zaznati naraščanj</w:t>
      </w:r>
      <w:r>
        <w:rPr>
          <w:rFonts w:ascii="Arial" w:hAnsi="Arial" w:cs="Arial"/>
          <w:sz w:val="20"/>
          <w:szCs w:val="20"/>
        </w:rPr>
        <w:t>e</w:t>
      </w:r>
      <w:r w:rsidRPr="00A647B5">
        <w:rPr>
          <w:rFonts w:ascii="Arial" w:hAnsi="Arial" w:cs="Arial"/>
          <w:sz w:val="20"/>
          <w:szCs w:val="20"/>
        </w:rPr>
        <w:t xml:space="preserve"> števila začetih postopkov (v letu 2015 so bili na novo začeti 1.004 postopki, v letu 2016: 1.062, v letu 2017: 1.195, v letu 2018: 1.267), medtem ko je bilo število novo začetih stečajnih postopkov nad pravnimi osebami v letu 2019</w:t>
      </w:r>
      <w:r w:rsidR="003D7CC1">
        <w:rPr>
          <w:rFonts w:ascii="Arial" w:hAnsi="Arial" w:cs="Arial"/>
          <w:sz w:val="20"/>
          <w:szCs w:val="20"/>
        </w:rPr>
        <w:t>:</w:t>
      </w:r>
      <w:r w:rsidRPr="00A647B5">
        <w:rPr>
          <w:rFonts w:ascii="Arial" w:hAnsi="Arial" w:cs="Arial"/>
          <w:sz w:val="20"/>
          <w:szCs w:val="20"/>
        </w:rPr>
        <w:t xml:space="preserve"> 1.177</w:t>
      </w:r>
      <w:r w:rsidR="003D7CC1">
        <w:rPr>
          <w:rFonts w:ascii="Arial" w:hAnsi="Arial" w:cs="Arial"/>
          <w:sz w:val="20"/>
          <w:szCs w:val="20"/>
        </w:rPr>
        <w:t xml:space="preserve"> in</w:t>
      </w:r>
      <w:r w:rsidRPr="00A647B5">
        <w:rPr>
          <w:rFonts w:ascii="Arial" w:hAnsi="Arial" w:cs="Arial"/>
          <w:sz w:val="20"/>
          <w:szCs w:val="20"/>
        </w:rPr>
        <w:t xml:space="preserve"> v letu 2020: 1.030, v letu 2021 pa je dodatno upadlo na 943. Manjše število začetih stečajnih postopkov nad pravnimi osebami po letu 2020 je povezano tudi z interventnimi ukrepi za gospodarstvo.</w:t>
      </w:r>
    </w:p>
    <w:p w14:paraId="2489D893" w14:textId="4CE73238" w:rsidR="00D847F2" w:rsidRPr="00A647B5" w:rsidRDefault="00D847F2" w:rsidP="00D847F2">
      <w:pPr>
        <w:jc w:val="both"/>
        <w:rPr>
          <w:rFonts w:ascii="Arial" w:hAnsi="Arial" w:cs="Arial"/>
          <w:sz w:val="20"/>
          <w:szCs w:val="20"/>
        </w:rPr>
      </w:pPr>
      <w:r w:rsidRPr="00A647B5">
        <w:rPr>
          <w:rFonts w:ascii="Arial" w:hAnsi="Arial" w:cs="Arial"/>
          <w:sz w:val="20"/>
          <w:szCs w:val="20"/>
        </w:rPr>
        <w:t xml:space="preserve">Število postopkov osebnih stečajev se od leta 2015 </w:t>
      </w:r>
      <w:r>
        <w:rPr>
          <w:rFonts w:ascii="Arial" w:hAnsi="Arial" w:cs="Arial"/>
          <w:sz w:val="20"/>
          <w:szCs w:val="20"/>
        </w:rPr>
        <w:t>naprej</w:t>
      </w:r>
      <w:r w:rsidRPr="00A647B5">
        <w:rPr>
          <w:rFonts w:ascii="Arial" w:hAnsi="Arial" w:cs="Arial"/>
          <w:sz w:val="20"/>
          <w:szCs w:val="20"/>
        </w:rPr>
        <w:t xml:space="preserve"> znižuje (v letu 2015 je bilo na novo začetih 4.107 postopkov, v letu 2016: 3.444, v letu 2017: 2.349, v letu 2018: 2.110, v letu 2019: 1.883, v letu 2020: 1.402, v letu 2021 pa je bilo 1.151 na novo začetih postopkov osebnih stečajev). </w:t>
      </w:r>
    </w:p>
    <w:p w14:paraId="5746355A" w14:textId="48B5FC7E" w:rsidR="00D847F2" w:rsidRPr="00A647B5" w:rsidRDefault="00D847F2" w:rsidP="00D847F2">
      <w:pPr>
        <w:jc w:val="both"/>
        <w:rPr>
          <w:rFonts w:ascii="Arial" w:hAnsi="Arial" w:cs="Arial"/>
          <w:sz w:val="20"/>
          <w:szCs w:val="20"/>
        </w:rPr>
      </w:pPr>
      <w:r w:rsidRPr="00A647B5">
        <w:rPr>
          <w:rFonts w:ascii="Arial" w:hAnsi="Arial" w:cs="Arial"/>
          <w:sz w:val="20"/>
          <w:szCs w:val="20"/>
        </w:rPr>
        <w:t xml:space="preserve">V zvezi s stečajnimi postopki </w:t>
      </w:r>
      <w:r w:rsidR="00C81E14">
        <w:rPr>
          <w:rFonts w:ascii="Arial" w:hAnsi="Arial" w:cs="Arial"/>
          <w:sz w:val="20"/>
          <w:szCs w:val="20"/>
        </w:rPr>
        <w:t>je treba</w:t>
      </w:r>
      <w:r w:rsidR="00C81E14" w:rsidRPr="00A647B5">
        <w:rPr>
          <w:rFonts w:ascii="Arial" w:hAnsi="Arial" w:cs="Arial"/>
          <w:sz w:val="20"/>
          <w:szCs w:val="20"/>
        </w:rPr>
        <w:t xml:space="preserve"> </w:t>
      </w:r>
      <w:r w:rsidRPr="00A647B5">
        <w:rPr>
          <w:rFonts w:ascii="Arial" w:hAnsi="Arial" w:cs="Arial"/>
          <w:sz w:val="20"/>
          <w:szCs w:val="20"/>
        </w:rPr>
        <w:t>pojasniti, da se je bistveno povečalo število postopkov, ki se začnejo na predlog upnika ali druge osebe. Pri stečajnih postopkih nad pravno osebo se je število postopkov, ki se začnejo na predlog upnika ali druge osebe</w:t>
      </w:r>
      <w:r w:rsidR="00C81E14">
        <w:rPr>
          <w:rFonts w:ascii="Arial" w:hAnsi="Arial" w:cs="Arial"/>
          <w:sz w:val="20"/>
          <w:szCs w:val="20"/>
        </w:rPr>
        <w:t>,</w:t>
      </w:r>
      <w:r w:rsidRPr="00A647B5">
        <w:rPr>
          <w:rFonts w:ascii="Arial" w:hAnsi="Arial" w:cs="Arial"/>
          <w:sz w:val="20"/>
          <w:szCs w:val="20"/>
        </w:rPr>
        <w:t xml:space="preserve"> izjemno povišalo (v letu 2015 je bilo podanih 268 predlogov upnikov, v letu 2016: 323, v letu 2017: 442, v letu 2018: 479, v letu 2019: 513, v letu 2020: 459, v letu 2021 pa 454). Na predlog upnikov ali druge osebe pa se začenjajo tudi postopki osebnih stečajev (v letu 2015 je bilo podanih 107 predlogov upnikov, v letu 2016: 191, v letu 2017: 161, v letu 2018: 178, v letu 2019: 165, v letu 2020:</w:t>
      </w:r>
      <w:r w:rsidR="00C81E14">
        <w:rPr>
          <w:rFonts w:ascii="Arial" w:hAnsi="Arial" w:cs="Arial"/>
          <w:sz w:val="20"/>
          <w:szCs w:val="20"/>
        </w:rPr>
        <w:t xml:space="preserve"> </w:t>
      </w:r>
      <w:r w:rsidRPr="00A647B5">
        <w:rPr>
          <w:rFonts w:ascii="Arial" w:hAnsi="Arial" w:cs="Arial"/>
          <w:sz w:val="20"/>
          <w:szCs w:val="20"/>
        </w:rPr>
        <w:t>150, v letu</w:t>
      </w:r>
      <w:r w:rsidR="00992912">
        <w:rPr>
          <w:rFonts w:ascii="Arial" w:hAnsi="Arial" w:cs="Arial"/>
          <w:sz w:val="20"/>
          <w:szCs w:val="20"/>
        </w:rPr>
        <w:t xml:space="preserve"> </w:t>
      </w:r>
      <w:r w:rsidRPr="00A647B5">
        <w:rPr>
          <w:rFonts w:ascii="Arial" w:hAnsi="Arial" w:cs="Arial"/>
          <w:sz w:val="20"/>
          <w:szCs w:val="20"/>
        </w:rPr>
        <w:t>2021 pa 134)</w:t>
      </w:r>
      <w:r w:rsidR="00C81E14">
        <w:rPr>
          <w:rFonts w:ascii="Arial" w:hAnsi="Arial" w:cs="Arial"/>
          <w:sz w:val="20"/>
          <w:szCs w:val="20"/>
        </w:rPr>
        <w:t>.</w:t>
      </w:r>
      <w:r w:rsidRPr="00A647B5">
        <w:rPr>
          <w:rStyle w:val="Sprotnaopomba-sklic"/>
          <w:rFonts w:ascii="Arial" w:hAnsi="Arial" w:cs="Arial"/>
          <w:sz w:val="20"/>
          <w:szCs w:val="20"/>
        </w:rPr>
        <w:footnoteReference w:id="9"/>
      </w:r>
    </w:p>
    <w:p w14:paraId="3B799AA5" w14:textId="31DBB39E" w:rsidR="00D847F2" w:rsidRPr="00A647B5" w:rsidRDefault="00D847F2" w:rsidP="00D847F2">
      <w:pPr>
        <w:spacing w:line="260" w:lineRule="atLeast"/>
        <w:jc w:val="both"/>
        <w:rPr>
          <w:rFonts w:ascii="Arial" w:hAnsi="Arial" w:cs="Arial"/>
          <w:sz w:val="20"/>
          <w:szCs w:val="20"/>
          <w:highlight w:val="yellow"/>
        </w:rPr>
      </w:pPr>
      <w:r w:rsidRPr="00A647B5">
        <w:rPr>
          <w:rFonts w:ascii="Arial" w:hAnsi="Arial" w:cs="Arial"/>
          <w:sz w:val="20"/>
          <w:szCs w:val="20"/>
        </w:rPr>
        <w:t xml:space="preserve">Poudariti </w:t>
      </w:r>
      <w:r w:rsidR="005B7EE6">
        <w:rPr>
          <w:rFonts w:ascii="Arial" w:hAnsi="Arial" w:cs="Arial"/>
          <w:sz w:val="20"/>
          <w:szCs w:val="20"/>
        </w:rPr>
        <w:t>velja</w:t>
      </w:r>
      <w:r w:rsidRPr="00A647B5">
        <w:rPr>
          <w:rFonts w:ascii="Arial" w:hAnsi="Arial" w:cs="Arial"/>
          <w:sz w:val="20"/>
          <w:szCs w:val="20"/>
        </w:rPr>
        <w:t>, da predlog</w:t>
      </w:r>
      <w:r>
        <w:rPr>
          <w:rFonts w:ascii="Arial" w:hAnsi="Arial" w:cs="Arial"/>
          <w:sz w:val="20"/>
          <w:szCs w:val="20"/>
        </w:rPr>
        <w:t>e</w:t>
      </w:r>
      <w:r w:rsidRPr="00A647B5">
        <w:rPr>
          <w:rFonts w:ascii="Arial" w:hAnsi="Arial" w:cs="Arial"/>
          <w:sz w:val="20"/>
          <w:szCs w:val="20"/>
        </w:rPr>
        <w:t xml:space="preserve"> za začetek stečajnega postopka</w:t>
      </w:r>
      <w:r>
        <w:rPr>
          <w:rFonts w:ascii="Arial" w:hAnsi="Arial" w:cs="Arial"/>
          <w:sz w:val="20"/>
          <w:szCs w:val="20"/>
        </w:rPr>
        <w:t>, ki se začnejo</w:t>
      </w:r>
      <w:r w:rsidRPr="00A647B5">
        <w:rPr>
          <w:rFonts w:ascii="Arial" w:hAnsi="Arial" w:cs="Arial"/>
          <w:sz w:val="20"/>
          <w:szCs w:val="20"/>
        </w:rPr>
        <w:t xml:space="preserve"> na predlog upnika</w:t>
      </w:r>
      <w:r w:rsidR="00C81E14">
        <w:rPr>
          <w:rFonts w:ascii="Arial" w:hAnsi="Arial" w:cs="Arial"/>
          <w:sz w:val="20"/>
          <w:szCs w:val="20"/>
        </w:rPr>
        <w:t>,</w:t>
      </w:r>
      <w:r w:rsidRPr="00A647B5">
        <w:rPr>
          <w:rFonts w:ascii="Arial" w:hAnsi="Arial" w:cs="Arial"/>
          <w:sz w:val="20"/>
          <w:szCs w:val="20"/>
        </w:rPr>
        <w:t xml:space="preserve"> </w:t>
      </w:r>
      <w:r>
        <w:rPr>
          <w:rFonts w:ascii="Arial" w:hAnsi="Arial" w:cs="Arial"/>
          <w:sz w:val="20"/>
          <w:szCs w:val="20"/>
        </w:rPr>
        <w:t>pretež</w:t>
      </w:r>
      <w:r w:rsidR="00C81E14">
        <w:rPr>
          <w:rFonts w:ascii="Arial" w:hAnsi="Arial" w:cs="Arial"/>
          <w:sz w:val="20"/>
          <w:szCs w:val="20"/>
        </w:rPr>
        <w:t>n</w:t>
      </w:r>
      <w:r>
        <w:rPr>
          <w:rFonts w:ascii="Arial" w:hAnsi="Arial" w:cs="Arial"/>
          <w:sz w:val="20"/>
          <w:szCs w:val="20"/>
        </w:rPr>
        <w:t xml:space="preserve">o </w:t>
      </w:r>
      <w:r w:rsidRPr="00A647B5">
        <w:rPr>
          <w:rFonts w:ascii="Arial" w:hAnsi="Arial" w:cs="Arial"/>
          <w:sz w:val="20"/>
          <w:szCs w:val="20"/>
        </w:rPr>
        <w:t>pod</w:t>
      </w:r>
      <w:r w:rsidR="00C81E14">
        <w:rPr>
          <w:rFonts w:ascii="Arial" w:hAnsi="Arial" w:cs="Arial"/>
          <w:sz w:val="20"/>
          <w:szCs w:val="20"/>
        </w:rPr>
        <w:t>a</w:t>
      </w:r>
      <w:r w:rsidRPr="00A647B5">
        <w:rPr>
          <w:rFonts w:ascii="Arial" w:hAnsi="Arial" w:cs="Arial"/>
          <w:sz w:val="20"/>
          <w:szCs w:val="20"/>
        </w:rPr>
        <w:t xml:space="preserve"> ravno FURS. </w:t>
      </w:r>
      <w:r>
        <w:rPr>
          <w:rFonts w:ascii="Arial" w:hAnsi="Arial" w:cs="Arial"/>
          <w:sz w:val="20"/>
          <w:szCs w:val="20"/>
        </w:rPr>
        <w:t>Ta</w:t>
      </w:r>
      <w:r w:rsidRPr="00A647B5">
        <w:rPr>
          <w:rFonts w:ascii="Arial" w:hAnsi="Arial" w:cs="Arial"/>
          <w:sz w:val="20"/>
          <w:szCs w:val="20"/>
        </w:rPr>
        <w:t xml:space="preserve"> je namreč v letu 2015 podal skupaj 178 predlogov za stečaj, v letu 2016: 405, v letu 2017: 496, v letu 2018: 606, v letu 2019: 571, v letu 2020</w:t>
      </w:r>
      <w:r w:rsidR="00C81E14">
        <w:rPr>
          <w:rFonts w:ascii="Arial" w:hAnsi="Arial" w:cs="Arial"/>
          <w:sz w:val="20"/>
          <w:szCs w:val="20"/>
        </w:rPr>
        <w:t>:</w:t>
      </w:r>
      <w:r w:rsidR="00992912">
        <w:rPr>
          <w:rFonts w:ascii="Arial" w:hAnsi="Arial" w:cs="Arial"/>
          <w:sz w:val="20"/>
          <w:szCs w:val="20"/>
        </w:rPr>
        <w:t xml:space="preserve"> </w:t>
      </w:r>
      <w:r w:rsidRPr="00A647B5">
        <w:rPr>
          <w:rFonts w:ascii="Arial" w:hAnsi="Arial" w:cs="Arial"/>
          <w:sz w:val="20"/>
          <w:szCs w:val="20"/>
        </w:rPr>
        <w:t>491 predlogov, v letu 2021: 501, v letu 2022 pa je FURS poda</w:t>
      </w:r>
      <w:r>
        <w:rPr>
          <w:rFonts w:ascii="Arial" w:hAnsi="Arial" w:cs="Arial"/>
          <w:sz w:val="20"/>
          <w:szCs w:val="20"/>
        </w:rPr>
        <w:t>l</w:t>
      </w:r>
      <w:r w:rsidRPr="00A647B5">
        <w:rPr>
          <w:rFonts w:ascii="Arial" w:hAnsi="Arial" w:cs="Arial"/>
          <w:sz w:val="20"/>
          <w:szCs w:val="20"/>
        </w:rPr>
        <w:t xml:space="preserve"> 505 predlogov za stečaj. FURS je torej v letu 2018 vlož</w:t>
      </w:r>
      <w:r>
        <w:rPr>
          <w:rFonts w:ascii="Arial" w:hAnsi="Arial" w:cs="Arial"/>
          <w:sz w:val="20"/>
          <w:szCs w:val="20"/>
        </w:rPr>
        <w:t>il</w:t>
      </w:r>
      <w:r w:rsidRPr="00A647B5">
        <w:rPr>
          <w:rFonts w:ascii="Arial" w:hAnsi="Arial" w:cs="Arial"/>
          <w:sz w:val="20"/>
          <w:szCs w:val="20"/>
        </w:rPr>
        <w:t xml:space="preserve"> kar 92 odstotk</w:t>
      </w:r>
      <w:r>
        <w:rPr>
          <w:rFonts w:ascii="Arial" w:hAnsi="Arial" w:cs="Arial"/>
          <w:sz w:val="20"/>
          <w:szCs w:val="20"/>
        </w:rPr>
        <w:t>ov</w:t>
      </w:r>
      <w:r w:rsidRPr="00A647B5">
        <w:rPr>
          <w:rFonts w:ascii="Arial" w:hAnsi="Arial" w:cs="Arial"/>
          <w:sz w:val="20"/>
          <w:szCs w:val="20"/>
        </w:rPr>
        <w:t xml:space="preserve"> vseh predlogov za začetek stečajnih postopkov, ki so </w:t>
      </w:r>
      <w:r>
        <w:rPr>
          <w:rFonts w:ascii="Arial" w:hAnsi="Arial" w:cs="Arial"/>
          <w:sz w:val="20"/>
          <w:szCs w:val="20"/>
        </w:rPr>
        <w:t>jih</w:t>
      </w:r>
      <w:r w:rsidRPr="00A647B5">
        <w:rPr>
          <w:rFonts w:ascii="Arial" w:hAnsi="Arial" w:cs="Arial"/>
          <w:sz w:val="20"/>
          <w:szCs w:val="20"/>
        </w:rPr>
        <w:t xml:space="preserve"> predlaga</w:t>
      </w:r>
      <w:r>
        <w:rPr>
          <w:rFonts w:ascii="Arial" w:hAnsi="Arial" w:cs="Arial"/>
          <w:sz w:val="20"/>
          <w:szCs w:val="20"/>
        </w:rPr>
        <w:t>l</w:t>
      </w:r>
      <w:r w:rsidRPr="00A647B5">
        <w:rPr>
          <w:rFonts w:ascii="Arial" w:hAnsi="Arial" w:cs="Arial"/>
          <w:sz w:val="20"/>
          <w:szCs w:val="20"/>
        </w:rPr>
        <w:t>i upnik</w:t>
      </w:r>
      <w:r>
        <w:rPr>
          <w:rFonts w:ascii="Arial" w:hAnsi="Arial" w:cs="Arial"/>
          <w:sz w:val="20"/>
          <w:szCs w:val="20"/>
        </w:rPr>
        <w:t>i</w:t>
      </w:r>
      <w:r w:rsidRPr="00A647B5">
        <w:rPr>
          <w:rFonts w:ascii="Arial" w:hAnsi="Arial" w:cs="Arial"/>
          <w:sz w:val="20"/>
          <w:szCs w:val="20"/>
        </w:rPr>
        <w:t>, v letu 2019</w:t>
      </w:r>
      <w:r>
        <w:rPr>
          <w:rFonts w:ascii="Arial" w:hAnsi="Arial" w:cs="Arial"/>
          <w:sz w:val="20"/>
          <w:szCs w:val="20"/>
        </w:rPr>
        <w:t>:</w:t>
      </w:r>
      <w:r w:rsidR="00992912">
        <w:rPr>
          <w:rFonts w:ascii="Arial" w:hAnsi="Arial" w:cs="Arial"/>
          <w:sz w:val="20"/>
          <w:szCs w:val="20"/>
        </w:rPr>
        <w:t xml:space="preserve"> </w:t>
      </w:r>
      <w:r w:rsidRPr="00A647B5">
        <w:rPr>
          <w:rFonts w:ascii="Arial" w:hAnsi="Arial" w:cs="Arial"/>
          <w:sz w:val="20"/>
          <w:szCs w:val="20"/>
        </w:rPr>
        <w:t>84 odstotk</w:t>
      </w:r>
      <w:r w:rsidR="00C81E14">
        <w:rPr>
          <w:rFonts w:ascii="Arial" w:hAnsi="Arial" w:cs="Arial"/>
          <w:sz w:val="20"/>
          <w:szCs w:val="20"/>
        </w:rPr>
        <w:t>ov</w:t>
      </w:r>
      <w:r w:rsidRPr="00A647B5">
        <w:rPr>
          <w:rFonts w:ascii="Arial" w:hAnsi="Arial" w:cs="Arial"/>
          <w:sz w:val="20"/>
          <w:szCs w:val="20"/>
        </w:rPr>
        <w:t>, v letu 2020</w:t>
      </w:r>
      <w:r>
        <w:rPr>
          <w:rFonts w:ascii="Arial" w:hAnsi="Arial" w:cs="Arial"/>
          <w:sz w:val="20"/>
          <w:szCs w:val="20"/>
        </w:rPr>
        <w:t>:</w:t>
      </w:r>
      <w:r w:rsidRPr="00A647B5">
        <w:rPr>
          <w:rFonts w:ascii="Arial" w:hAnsi="Arial" w:cs="Arial"/>
          <w:sz w:val="20"/>
          <w:szCs w:val="20"/>
        </w:rPr>
        <w:t xml:space="preserve"> 80 odstotk</w:t>
      </w:r>
      <w:r w:rsidR="00C81E14">
        <w:rPr>
          <w:rFonts w:ascii="Arial" w:hAnsi="Arial" w:cs="Arial"/>
          <w:sz w:val="20"/>
          <w:szCs w:val="20"/>
        </w:rPr>
        <w:t>ov</w:t>
      </w:r>
      <w:r w:rsidRPr="00A647B5">
        <w:rPr>
          <w:rFonts w:ascii="Arial" w:hAnsi="Arial" w:cs="Arial"/>
          <w:sz w:val="20"/>
          <w:szCs w:val="20"/>
        </w:rPr>
        <w:t xml:space="preserve"> ter v letu 2021</w:t>
      </w:r>
      <w:r>
        <w:rPr>
          <w:rFonts w:ascii="Arial" w:hAnsi="Arial" w:cs="Arial"/>
          <w:sz w:val="20"/>
          <w:szCs w:val="20"/>
        </w:rPr>
        <w:t>:</w:t>
      </w:r>
      <w:r w:rsidRPr="00A647B5">
        <w:rPr>
          <w:rFonts w:ascii="Arial" w:hAnsi="Arial" w:cs="Arial"/>
          <w:sz w:val="20"/>
          <w:szCs w:val="20"/>
        </w:rPr>
        <w:t xml:space="preserve"> 85 odstotk</w:t>
      </w:r>
      <w:r w:rsidR="00C81E14">
        <w:rPr>
          <w:rFonts w:ascii="Arial" w:hAnsi="Arial" w:cs="Arial"/>
          <w:sz w:val="20"/>
          <w:szCs w:val="20"/>
        </w:rPr>
        <w:t>ov</w:t>
      </w:r>
      <w:r w:rsidRPr="00A647B5">
        <w:rPr>
          <w:rFonts w:ascii="Arial" w:hAnsi="Arial" w:cs="Arial"/>
          <w:sz w:val="20"/>
          <w:szCs w:val="20"/>
        </w:rPr>
        <w:t xml:space="preserve"> vseh predlogov za začetek stečajnih postopkov, ki so </w:t>
      </w:r>
      <w:r>
        <w:rPr>
          <w:rFonts w:ascii="Arial" w:hAnsi="Arial" w:cs="Arial"/>
          <w:sz w:val="20"/>
          <w:szCs w:val="20"/>
        </w:rPr>
        <w:t>jih</w:t>
      </w:r>
      <w:r w:rsidRPr="00A647B5">
        <w:rPr>
          <w:rFonts w:ascii="Arial" w:hAnsi="Arial" w:cs="Arial"/>
          <w:sz w:val="20"/>
          <w:szCs w:val="20"/>
        </w:rPr>
        <w:t xml:space="preserve"> predlaga</w:t>
      </w:r>
      <w:r>
        <w:rPr>
          <w:rFonts w:ascii="Arial" w:hAnsi="Arial" w:cs="Arial"/>
          <w:sz w:val="20"/>
          <w:szCs w:val="20"/>
        </w:rPr>
        <w:t>l</w:t>
      </w:r>
      <w:r w:rsidRPr="00A647B5">
        <w:rPr>
          <w:rFonts w:ascii="Arial" w:hAnsi="Arial" w:cs="Arial"/>
          <w:sz w:val="20"/>
          <w:szCs w:val="20"/>
        </w:rPr>
        <w:t>i upnik</w:t>
      </w:r>
      <w:r>
        <w:rPr>
          <w:rFonts w:ascii="Arial" w:hAnsi="Arial" w:cs="Arial"/>
          <w:sz w:val="20"/>
          <w:szCs w:val="20"/>
        </w:rPr>
        <w:t>i</w:t>
      </w:r>
      <w:r w:rsidRPr="00A647B5">
        <w:rPr>
          <w:rFonts w:ascii="Arial" w:hAnsi="Arial" w:cs="Arial"/>
          <w:sz w:val="20"/>
          <w:szCs w:val="20"/>
        </w:rPr>
        <w:t xml:space="preserve">. </w:t>
      </w:r>
    </w:p>
    <w:p w14:paraId="432E7F1D" w14:textId="61EC0E62" w:rsidR="00D847F2" w:rsidRPr="00A647B5" w:rsidRDefault="00D847F2" w:rsidP="00D847F2">
      <w:pPr>
        <w:spacing w:after="0" w:line="260" w:lineRule="atLeast"/>
        <w:jc w:val="both"/>
        <w:rPr>
          <w:rFonts w:ascii="Arial" w:eastAsiaTheme="minorHAnsi" w:hAnsi="Arial" w:cstheme="minorBidi"/>
          <w:sz w:val="20"/>
        </w:rPr>
      </w:pPr>
      <w:r w:rsidRPr="00A647B5">
        <w:rPr>
          <w:rFonts w:ascii="Arial" w:eastAsiaTheme="minorHAnsi" w:hAnsi="Arial" w:cstheme="minorBidi"/>
          <w:sz w:val="20"/>
        </w:rPr>
        <w:t xml:space="preserve">Zaradi spremembe </w:t>
      </w:r>
      <w:r w:rsidRPr="00D158A6">
        <w:rPr>
          <w:rFonts w:ascii="Arial" w:hAnsi="Arial" w:cs="Arial"/>
          <w:sz w:val="20"/>
          <w:szCs w:val="20"/>
        </w:rPr>
        <w:t>Zakona o finančnem poslovanju, postopkih zaradi insolventnosti in prisilnem prenehanju</w:t>
      </w:r>
      <w:r>
        <w:t xml:space="preserve"> </w:t>
      </w:r>
      <w:r w:rsidR="00C81E14">
        <w:t>(</w:t>
      </w:r>
      <w:r>
        <w:rPr>
          <w:rFonts w:ascii="Arial" w:eastAsiaTheme="minorHAnsi" w:hAnsi="Arial" w:cstheme="minorBidi"/>
          <w:sz w:val="20"/>
        </w:rPr>
        <w:t xml:space="preserve">v nadaljnjem besedilu: </w:t>
      </w:r>
      <w:r w:rsidRPr="00D5793D">
        <w:rPr>
          <w:rFonts w:ascii="Arial" w:eastAsiaTheme="minorHAnsi" w:hAnsi="Arial" w:cstheme="minorBidi"/>
          <w:sz w:val="20"/>
        </w:rPr>
        <w:t>ZFPPIPP</w:t>
      </w:r>
      <w:r w:rsidR="00C81E14">
        <w:rPr>
          <w:rFonts w:ascii="Arial" w:eastAsiaTheme="minorHAnsi" w:hAnsi="Arial" w:cstheme="minorBidi"/>
          <w:sz w:val="20"/>
        </w:rPr>
        <w:t>)</w:t>
      </w:r>
      <w:r>
        <w:rPr>
          <w:rStyle w:val="Sprotnaopomba-sklic"/>
          <w:rFonts w:ascii="Arial" w:hAnsi="Arial" w:cs="Arial"/>
          <w:sz w:val="20"/>
          <w:szCs w:val="20"/>
          <w:lang w:val="x-none"/>
        </w:rPr>
        <w:footnoteReference w:id="10"/>
      </w:r>
      <w:r w:rsidRPr="00A647B5">
        <w:rPr>
          <w:rFonts w:ascii="Arial" w:eastAsiaTheme="minorHAnsi" w:hAnsi="Arial" w:cstheme="minorBidi"/>
          <w:sz w:val="20"/>
        </w:rPr>
        <w:t xml:space="preserve"> v letu 2016, na podlagi katere pravnomočno potrjena poenostavljena prisilna poravnana ne učinkuje več na davke in prispevke, do katere je prišlo na pobudo </w:t>
      </w:r>
      <w:r>
        <w:rPr>
          <w:rFonts w:ascii="Arial" w:eastAsiaTheme="minorHAnsi" w:hAnsi="Arial" w:cstheme="minorBidi"/>
          <w:sz w:val="20"/>
        </w:rPr>
        <w:t>ministrstva za finance</w:t>
      </w:r>
      <w:r w:rsidRPr="00A647B5">
        <w:rPr>
          <w:rFonts w:ascii="Arial" w:eastAsiaTheme="minorHAnsi" w:hAnsi="Arial" w:cstheme="minorBidi"/>
          <w:sz w:val="20"/>
        </w:rPr>
        <w:t xml:space="preserve"> in FURS, se je v </w:t>
      </w:r>
      <w:r>
        <w:rPr>
          <w:rFonts w:ascii="Arial" w:eastAsiaTheme="minorHAnsi" w:hAnsi="Arial" w:cstheme="minorBidi"/>
          <w:sz w:val="20"/>
        </w:rPr>
        <w:t xml:space="preserve">letih od 2016 do 2021 </w:t>
      </w:r>
      <w:r w:rsidRPr="00A647B5">
        <w:rPr>
          <w:rFonts w:ascii="Arial" w:eastAsiaTheme="minorHAnsi" w:hAnsi="Arial" w:cstheme="minorBidi"/>
          <w:sz w:val="20"/>
        </w:rPr>
        <w:t>bistveno zmanjšalo število začetih postopkov poenostavljenih prisilnih poravnav nad dolžniki (v letu 2015 je bilo na novo začetih 123 teh postopkov, v letu 2016 še 98, v letu 2017: 40, v letu 2018: 37, v letu 2019: 34, v letu 2020: 30 in v letu 2021</w:t>
      </w:r>
      <w:r w:rsidRPr="00872088">
        <w:rPr>
          <w:rFonts w:ascii="Arial" w:eastAsiaTheme="minorHAnsi" w:hAnsi="Arial" w:cstheme="minorBidi"/>
          <w:sz w:val="20"/>
        </w:rPr>
        <w:t xml:space="preserve"> </w:t>
      </w:r>
      <w:r w:rsidRPr="00A647B5">
        <w:rPr>
          <w:rFonts w:ascii="Arial" w:eastAsiaTheme="minorHAnsi" w:hAnsi="Arial" w:cstheme="minorBidi"/>
          <w:sz w:val="20"/>
        </w:rPr>
        <w:t xml:space="preserve">še 31). Ministrstvo za pravosodje pa je tudi v letu 2022 pripravljalo in usklajevalo delovno gradivo Zakona o spremembah in dopolnitvah ZFPPIPP (novela ZFPPIPP-H), kjer je predvidena ukinitev postopka poenostavljene prisilne poravnave oziroma nadomestitev z novim institutom, tj. postopkom </w:t>
      </w:r>
      <w:r w:rsidRPr="00A647B5">
        <w:rPr>
          <w:rFonts w:ascii="Arial" w:eastAsiaTheme="minorHAnsi" w:hAnsi="Arial" w:cstheme="minorBidi"/>
          <w:sz w:val="20"/>
        </w:rPr>
        <w:lastRenderedPageBreak/>
        <w:t xml:space="preserve">prisilne poravnave za malo gospodarstvo. Dodatno je predviden še en nov institut, in sicer postopek sodnega prestrukturiranja zaradi odprave grozeče insolventnosti, pri katerem gre za preventivni postopek, ko dolžnik še niti ni </w:t>
      </w:r>
      <w:r w:rsidR="00727BBD">
        <w:rPr>
          <w:rFonts w:ascii="Arial" w:eastAsiaTheme="minorHAnsi" w:hAnsi="Arial" w:cstheme="minorBidi"/>
          <w:sz w:val="20"/>
        </w:rPr>
        <w:t xml:space="preserve">plačilno nesposoben oziroma </w:t>
      </w:r>
      <w:r w:rsidRPr="00A647B5">
        <w:rPr>
          <w:rFonts w:ascii="Arial" w:eastAsiaTheme="minorHAnsi" w:hAnsi="Arial" w:cstheme="minorBidi"/>
          <w:sz w:val="20"/>
        </w:rPr>
        <w:t>insolventen</w:t>
      </w:r>
      <w:r w:rsidR="00727BBD">
        <w:rPr>
          <w:rFonts w:ascii="Arial" w:eastAsiaTheme="minorHAnsi" w:hAnsi="Arial" w:cstheme="minorBidi"/>
          <w:sz w:val="20"/>
        </w:rPr>
        <w:t>,</w:t>
      </w:r>
      <w:r w:rsidRPr="00A647B5">
        <w:rPr>
          <w:rFonts w:ascii="Arial" w:eastAsiaTheme="minorHAnsi" w:hAnsi="Arial" w:cstheme="minorBidi"/>
          <w:sz w:val="20"/>
        </w:rPr>
        <w:t xml:space="preserve"> ko </w:t>
      </w:r>
      <w:r w:rsidR="005B7EE6">
        <w:rPr>
          <w:rFonts w:ascii="Arial" w:eastAsiaTheme="minorHAnsi" w:hAnsi="Arial" w:cstheme="minorBidi"/>
          <w:sz w:val="20"/>
        </w:rPr>
        <w:t>mu</w:t>
      </w:r>
      <w:r w:rsidR="005B7EE6" w:rsidRPr="00A647B5">
        <w:rPr>
          <w:rFonts w:ascii="Arial" w:eastAsiaTheme="minorHAnsi" w:hAnsi="Arial" w:cstheme="minorBidi"/>
          <w:sz w:val="20"/>
        </w:rPr>
        <w:t xml:space="preserve"> </w:t>
      </w:r>
      <w:r w:rsidRPr="00A647B5">
        <w:rPr>
          <w:rFonts w:ascii="Arial" w:eastAsiaTheme="minorHAnsi" w:hAnsi="Arial" w:cstheme="minorBidi"/>
          <w:sz w:val="20"/>
        </w:rPr>
        <w:t xml:space="preserve">insolventnost </w:t>
      </w:r>
      <w:r w:rsidR="00727BBD">
        <w:rPr>
          <w:rFonts w:ascii="Arial" w:eastAsiaTheme="minorHAnsi" w:hAnsi="Arial" w:cstheme="minorBidi"/>
          <w:sz w:val="20"/>
        </w:rPr>
        <w:t xml:space="preserve">torej </w:t>
      </w:r>
      <w:r w:rsidRPr="00A647B5">
        <w:rPr>
          <w:rFonts w:ascii="Arial" w:eastAsiaTheme="minorHAnsi" w:hAnsi="Arial" w:cstheme="minorBidi"/>
          <w:sz w:val="20"/>
        </w:rPr>
        <w:t xml:space="preserve">šele grozi. V zvezi s predlaganima novima postopkoma je FURS podal </w:t>
      </w:r>
      <w:r>
        <w:rPr>
          <w:rFonts w:ascii="Arial" w:eastAsiaTheme="minorHAnsi" w:hAnsi="Arial" w:cstheme="minorBidi"/>
          <w:sz w:val="20"/>
        </w:rPr>
        <w:t>m</w:t>
      </w:r>
      <w:r w:rsidRPr="00A647B5">
        <w:rPr>
          <w:rFonts w:ascii="Arial" w:eastAsiaTheme="minorHAnsi" w:hAnsi="Arial" w:cstheme="minorBidi"/>
          <w:sz w:val="20"/>
        </w:rPr>
        <w:t xml:space="preserve">inistrstvu za pravosodje </w:t>
      </w:r>
      <w:r w:rsidR="005B7EE6">
        <w:rPr>
          <w:rFonts w:ascii="Arial" w:eastAsiaTheme="minorHAnsi" w:hAnsi="Arial" w:cstheme="minorBidi"/>
          <w:sz w:val="20"/>
        </w:rPr>
        <w:t>utemeljen</w:t>
      </w:r>
      <w:r w:rsidR="005B7EE6" w:rsidRPr="00A647B5">
        <w:rPr>
          <w:rFonts w:ascii="Arial" w:eastAsiaTheme="minorHAnsi" w:hAnsi="Arial" w:cstheme="minorBidi"/>
          <w:sz w:val="20"/>
        </w:rPr>
        <w:t xml:space="preserve"> </w:t>
      </w:r>
      <w:r w:rsidRPr="00A647B5">
        <w:rPr>
          <w:rFonts w:ascii="Arial" w:eastAsiaTheme="minorHAnsi" w:hAnsi="Arial" w:cstheme="minorBidi"/>
          <w:sz w:val="20"/>
        </w:rPr>
        <w:t>predlog glede zavarovanja položaja davčnega organa z vidika predlaganih novih postopkov.</w:t>
      </w:r>
    </w:p>
    <w:p w14:paraId="69CF46D6" w14:textId="77777777" w:rsidR="00D847F2" w:rsidRPr="00A647B5" w:rsidRDefault="00D847F2" w:rsidP="00D847F2">
      <w:pPr>
        <w:spacing w:after="0" w:line="260" w:lineRule="atLeast"/>
        <w:jc w:val="both"/>
        <w:rPr>
          <w:rFonts w:ascii="Arial" w:eastAsiaTheme="minorHAnsi" w:hAnsi="Arial" w:cstheme="minorBidi"/>
          <w:sz w:val="20"/>
        </w:rPr>
      </w:pPr>
    </w:p>
    <w:p w14:paraId="4FDD6EA3" w14:textId="0A9FF44C" w:rsidR="00D847F2" w:rsidRPr="00A647B5" w:rsidRDefault="00D847F2" w:rsidP="00D847F2">
      <w:pPr>
        <w:spacing w:after="0" w:line="260" w:lineRule="atLeast"/>
        <w:jc w:val="both"/>
        <w:rPr>
          <w:rFonts w:ascii="Arial" w:eastAsiaTheme="minorHAnsi" w:hAnsi="Arial" w:cstheme="minorBidi"/>
          <w:sz w:val="20"/>
        </w:rPr>
      </w:pPr>
      <w:r w:rsidRPr="00A647B5">
        <w:rPr>
          <w:rFonts w:ascii="Arial" w:eastAsiaTheme="minorHAnsi" w:hAnsi="Arial" w:cstheme="minorBidi"/>
          <w:sz w:val="20"/>
          <w:lang w:eastAsia="sl-SI"/>
        </w:rPr>
        <w:t xml:space="preserve">Na področju postopkov </w:t>
      </w:r>
      <w:r w:rsidRPr="00A647B5">
        <w:rPr>
          <w:rFonts w:ascii="Arial" w:eastAsiaTheme="minorHAnsi" w:hAnsi="Arial" w:cstheme="minorBidi"/>
          <w:sz w:val="20"/>
        </w:rPr>
        <w:t>zaradi insolventnosti se torej predvideva v</w:t>
      </w:r>
      <w:r w:rsidR="005B7EE6">
        <w:rPr>
          <w:rFonts w:ascii="Arial" w:eastAsiaTheme="minorHAnsi" w:hAnsi="Arial" w:cstheme="minorBidi"/>
          <w:sz w:val="20"/>
        </w:rPr>
        <w:t>s</w:t>
      </w:r>
      <w:r w:rsidRPr="00A647B5">
        <w:rPr>
          <w:rFonts w:ascii="Arial" w:eastAsiaTheme="minorHAnsi" w:hAnsi="Arial" w:cstheme="minorBidi"/>
          <w:sz w:val="20"/>
        </w:rPr>
        <w:t xml:space="preserve">e več aktivnosti oziroma ukrepov, ki bodo potrebni za zaščito položaja FURS kot upnika. Ob tem pa </w:t>
      </w:r>
      <w:r w:rsidR="00CB3A0C">
        <w:rPr>
          <w:rFonts w:ascii="Arial" w:eastAsiaTheme="minorHAnsi" w:hAnsi="Arial" w:cstheme="minorBidi"/>
          <w:sz w:val="20"/>
        </w:rPr>
        <w:t xml:space="preserve">velja </w:t>
      </w:r>
      <w:r w:rsidR="005B7EE6">
        <w:rPr>
          <w:rFonts w:ascii="Arial" w:eastAsiaTheme="minorHAnsi" w:hAnsi="Arial" w:cstheme="minorBidi"/>
          <w:sz w:val="20"/>
        </w:rPr>
        <w:t xml:space="preserve">poudariti </w:t>
      </w:r>
      <w:r w:rsidRPr="00A647B5">
        <w:rPr>
          <w:rFonts w:ascii="Arial" w:eastAsiaTheme="minorHAnsi" w:hAnsi="Arial" w:cstheme="minorBidi"/>
          <w:sz w:val="20"/>
        </w:rPr>
        <w:t xml:space="preserve">tudi pomen razvijanja in uporabe individualiziranih ter vsebinsko poglobljenih metod in ukrepov za povečanje učinkovitosti, vse z namenom zaščite položaja FURS kot upnika (spremljanje postopkov, vlaganje pravnih sredstev, pripombe na spremembo zakonodaje). </w:t>
      </w:r>
    </w:p>
    <w:p w14:paraId="7CEA3675" w14:textId="77777777" w:rsidR="00D847F2" w:rsidRPr="00ED498E" w:rsidRDefault="00D847F2" w:rsidP="00D847F2">
      <w:pPr>
        <w:spacing w:after="0" w:line="260" w:lineRule="atLeast"/>
        <w:jc w:val="both"/>
        <w:rPr>
          <w:rFonts w:ascii="Arial" w:eastAsiaTheme="minorHAnsi" w:hAnsi="Arial" w:cs="Arial"/>
          <w:sz w:val="20"/>
        </w:rPr>
      </w:pPr>
    </w:p>
    <w:p w14:paraId="40381F24" w14:textId="754B7D18" w:rsidR="00D847F2" w:rsidRPr="00A647B5" w:rsidRDefault="00D847F2" w:rsidP="00D847F2">
      <w:pPr>
        <w:pStyle w:val="Brezrazmikov"/>
        <w:spacing w:line="276" w:lineRule="auto"/>
        <w:jc w:val="both"/>
        <w:rPr>
          <w:rFonts w:ascii="Arial" w:hAnsi="Arial" w:cs="Arial"/>
          <w:sz w:val="20"/>
          <w:szCs w:val="20"/>
        </w:rPr>
      </w:pPr>
      <w:r w:rsidRPr="00A647B5">
        <w:rPr>
          <w:rFonts w:ascii="Arial" w:hAnsi="Arial" w:cs="Arial"/>
          <w:bCs/>
          <w:sz w:val="20"/>
          <w:szCs w:val="20"/>
        </w:rPr>
        <w:t xml:space="preserve">V primeru smrti davčnega zavezanca se odpišejo denarne kazni, globe in stroški postopka o prekršku ter davčni dolg, </w:t>
      </w:r>
      <w:r w:rsidR="005B7EE6">
        <w:rPr>
          <w:rFonts w:ascii="Arial" w:hAnsi="Arial" w:cs="Arial"/>
          <w:bCs/>
          <w:sz w:val="20"/>
          <w:szCs w:val="20"/>
        </w:rPr>
        <w:t>če</w:t>
      </w:r>
      <w:r w:rsidRPr="00A647B5">
        <w:rPr>
          <w:rFonts w:ascii="Arial" w:hAnsi="Arial" w:cs="Arial"/>
          <w:bCs/>
          <w:sz w:val="20"/>
          <w:szCs w:val="20"/>
        </w:rPr>
        <w:t xml:space="preserve"> na dan smrti ne presega 80</w:t>
      </w:r>
      <w:r w:rsidR="00727BBD" w:rsidRPr="00A647B5">
        <w:rPr>
          <w:rFonts w:ascii="Arial" w:hAnsi="Arial" w:cs="Arial"/>
          <w:bCs/>
          <w:sz w:val="20"/>
          <w:szCs w:val="20"/>
        </w:rPr>
        <w:t> EUR</w:t>
      </w:r>
      <w:r w:rsidRPr="00A647B5">
        <w:rPr>
          <w:rFonts w:ascii="Arial" w:hAnsi="Arial" w:cs="Arial"/>
          <w:bCs/>
          <w:sz w:val="20"/>
          <w:szCs w:val="20"/>
        </w:rPr>
        <w:t>. Če davčni dolg presega znesek 80</w:t>
      </w:r>
      <w:r w:rsidR="00727BBD" w:rsidRPr="00A647B5">
        <w:rPr>
          <w:rFonts w:ascii="Arial" w:hAnsi="Arial" w:cs="Arial"/>
          <w:bCs/>
          <w:sz w:val="20"/>
          <w:szCs w:val="20"/>
        </w:rPr>
        <w:t> EUR</w:t>
      </w:r>
      <w:r w:rsidRPr="00A647B5">
        <w:rPr>
          <w:rFonts w:ascii="Arial" w:hAnsi="Arial" w:cs="Arial"/>
          <w:bCs/>
          <w:sz w:val="20"/>
          <w:szCs w:val="20"/>
        </w:rPr>
        <w:t>, FURS terjatve prijavi v zapuščinski postopek z namenom seznanitve dedičev z zapustnikovimi dolgovi. Za prijavo terjatev v zapuščinski postopek je bilo v letu 2022 izdanih 1</w:t>
      </w:r>
      <w:r>
        <w:rPr>
          <w:rFonts w:ascii="Arial" w:hAnsi="Arial" w:cs="Arial"/>
          <w:bCs/>
          <w:sz w:val="20"/>
          <w:szCs w:val="20"/>
        </w:rPr>
        <w:t>.</w:t>
      </w:r>
      <w:r w:rsidRPr="00A647B5">
        <w:rPr>
          <w:rFonts w:ascii="Arial" w:hAnsi="Arial" w:cs="Arial"/>
          <w:bCs/>
          <w:sz w:val="20"/>
          <w:szCs w:val="20"/>
        </w:rPr>
        <w:t xml:space="preserve">465 seznamov izvršilnih naslovov. Dediči odgovarjajo za vse zapustnikove dolgove do višine vrednosti podedovanega premoženja. Če dediči davčnega dolga ne plačajo, se ob upoštevanju vsebine sklepa o dedovanju in določb </w:t>
      </w:r>
      <w:r>
        <w:rPr>
          <w:rFonts w:ascii="Arial" w:hAnsi="Arial" w:cs="Arial"/>
          <w:bCs/>
          <w:sz w:val="20"/>
          <w:szCs w:val="20"/>
        </w:rPr>
        <w:t>z</w:t>
      </w:r>
      <w:r w:rsidRPr="00A647B5">
        <w:rPr>
          <w:rFonts w:ascii="Arial" w:hAnsi="Arial" w:cs="Arial"/>
          <w:bCs/>
          <w:sz w:val="20"/>
          <w:szCs w:val="20"/>
        </w:rPr>
        <w:t>akona</w:t>
      </w:r>
      <w:r>
        <w:rPr>
          <w:rFonts w:ascii="Arial" w:hAnsi="Arial" w:cs="Arial"/>
          <w:bCs/>
          <w:sz w:val="20"/>
          <w:szCs w:val="20"/>
        </w:rPr>
        <w:t>, ki ureja</w:t>
      </w:r>
      <w:r w:rsidRPr="00A647B5">
        <w:rPr>
          <w:rFonts w:ascii="Arial" w:hAnsi="Arial" w:cs="Arial"/>
          <w:bCs/>
          <w:sz w:val="20"/>
          <w:szCs w:val="20"/>
        </w:rPr>
        <w:t xml:space="preserve"> dedovanj</w:t>
      </w:r>
      <w:r>
        <w:rPr>
          <w:rFonts w:ascii="Arial" w:hAnsi="Arial" w:cs="Arial"/>
          <w:bCs/>
          <w:sz w:val="20"/>
          <w:szCs w:val="20"/>
        </w:rPr>
        <w:t>e</w:t>
      </w:r>
      <w:r w:rsidRPr="00A647B5">
        <w:rPr>
          <w:rFonts w:ascii="Arial" w:hAnsi="Arial" w:cs="Arial"/>
          <w:bCs/>
          <w:sz w:val="20"/>
          <w:szCs w:val="20"/>
        </w:rPr>
        <w:t xml:space="preserve">, davčni dolg zapustnika prenese na dediče in po izdaji opomina izterja v postopku davčne izvršbe. V letu 2022 je bilo izvedenih 336 prenosov davčnega dolga na dediče. </w:t>
      </w:r>
      <w:r w:rsidRPr="000B28DA">
        <w:rPr>
          <w:rFonts w:ascii="Arial" w:hAnsi="Arial" w:cs="Arial"/>
          <w:sz w:val="20"/>
          <w:szCs w:val="20"/>
        </w:rPr>
        <w:t xml:space="preserve">V primerjavi z letom 2021 beležimo rast števila izdanih seznamov izvršilnih naslovov po stopnji 17,8 odstotka (v letu 2021 je bilo izdanih </w:t>
      </w:r>
      <w:r w:rsidR="00196821" w:rsidRPr="000B28DA">
        <w:rPr>
          <w:rFonts w:ascii="Arial" w:hAnsi="Arial" w:cs="Arial"/>
          <w:sz w:val="20"/>
          <w:szCs w:val="20"/>
        </w:rPr>
        <w:t>1.244</w:t>
      </w:r>
      <w:r w:rsidR="00196821">
        <w:rPr>
          <w:rFonts w:ascii="Arial" w:hAnsi="Arial" w:cs="Arial"/>
          <w:sz w:val="20"/>
          <w:szCs w:val="20"/>
        </w:rPr>
        <w:t xml:space="preserve"> </w:t>
      </w:r>
      <w:r w:rsidRPr="000B28DA">
        <w:rPr>
          <w:rFonts w:ascii="Arial" w:hAnsi="Arial" w:cs="Arial"/>
          <w:sz w:val="20"/>
          <w:szCs w:val="20"/>
        </w:rPr>
        <w:t xml:space="preserve">seznamov izvršilnih naslovov, v letu 2022 </w:t>
      </w:r>
      <w:r w:rsidR="00196821">
        <w:rPr>
          <w:rFonts w:ascii="Arial" w:hAnsi="Arial" w:cs="Arial"/>
          <w:sz w:val="20"/>
          <w:szCs w:val="20"/>
        </w:rPr>
        <w:t xml:space="preserve">pa </w:t>
      </w:r>
      <w:r w:rsidRPr="000B28DA">
        <w:rPr>
          <w:rFonts w:ascii="Arial" w:hAnsi="Arial" w:cs="Arial"/>
          <w:sz w:val="20"/>
          <w:szCs w:val="20"/>
        </w:rPr>
        <w:t>1.465). Obenem zaznavamo porast izvršenih prenosov na dediče po stopnji</w:t>
      </w:r>
      <w:r w:rsidR="00992912">
        <w:rPr>
          <w:rFonts w:ascii="Arial" w:hAnsi="Arial" w:cs="Arial"/>
          <w:sz w:val="20"/>
          <w:szCs w:val="20"/>
        </w:rPr>
        <w:t xml:space="preserve"> </w:t>
      </w:r>
      <w:r w:rsidRPr="000B28DA">
        <w:rPr>
          <w:rFonts w:ascii="Arial" w:hAnsi="Arial" w:cs="Arial"/>
          <w:sz w:val="20"/>
          <w:szCs w:val="20"/>
        </w:rPr>
        <w:t>8,7 odstotka (v letu 2021 je bilo izvedenih prenosov 309, v letu 2022</w:t>
      </w:r>
      <w:r w:rsidR="00196821">
        <w:rPr>
          <w:rFonts w:ascii="Arial" w:hAnsi="Arial" w:cs="Arial"/>
          <w:sz w:val="20"/>
          <w:szCs w:val="20"/>
        </w:rPr>
        <w:t xml:space="preserve"> pa</w:t>
      </w:r>
      <w:r w:rsidRPr="000B28DA">
        <w:rPr>
          <w:rFonts w:ascii="Arial" w:hAnsi="Arial" w:cs="Arial"/>
          <w:sz w:val="20"/>
          <w:szCs w:val="20"/>
        </w:rPr>
        <w:t xml:space="preserve"> 336).</w:t>
      </w:r>
    </w:p>
    <w:p w14:paraId="440F6CA3" w14:textId="77777777" w:rsidR="00D847F2" w:rsidRPr="00A647B5" w:rsidRDefault="00D847F2" w:rsidP="00D847F2">
      <w:pPr>
        <w:pStyle w:val="Brezrazmikov"/>
        <w:spacing w:line="276" w:lineRule="auto"/>
        <w:jc w:val="both"/>
        <w:rPr>
          <w:rFonts w:ascii="Arial" w:hAnsi="Arial" w:cs="Arial"/>
          <w:sz w:val="20"/>
          <w:szCs w:val="20"/>
        </w:rPr>
      </w:pPr>
    </w:p>
    <w:p w14:paraId="1EC78AC6" w14:textId="7D9A8960" w:rsidR="00D847F2" w:rsidRDefault="00D847F2" w:rsidP="00D847F2">
      <w:pPr>
        <w:pStyle w:val="Brezrazmikov"/>
        <w:spacing w:line="276" w:lineRule="auto"/>
        <w:jc w:val="both"/>
        <w:rPr>
          <w:rFonts w:ascii="Arial" w:eastAsia="Times New Roman" w:hAnsi="Arial" w:cs="Arial"/>
          <w:iCs/>
          <w:sz w:val="20"/>
          <w:szCs w:val="20"/>
        </w:rPr>
      </w:pPr>
      <w:r w:rsidRPr="00A647B5">
        <w:rPr>
          <w:rFonts w:ascii="Arial" w:hAnsi="Arial" w:cs="Arial"/>
          <w:sz w:val="20"/>
          <w:szCs w:val="20"/>
        </w:rPr>
        <w:t xml:space="preserve">Podobno kot za </w:t>
      </w:r>
      <w:r w:rsidRPr="006377CE">
        <w:rPr>
          <w:rFonts w:ascii="Arial" w:eastAsiaTheme="minorHAnsi" w:hAnsi="Arial" w:cstheme="minorBidi"/>
          <w:sz w:val="20"/>
          <w:lang w:eastAsia="sl-SI"/>
        </w:rPr>
        <w:t>postopk</w:t>
      </w:r>
      <w:r>
        <w:rPr>
          <w:rFonts w:ascii="Arial" w:eastAsiaTheme="minorHAnsi" w:hAnsi="Arial" w:cstheme="minorBidi"/>
          <w:sz w:val="20"/>
          <w:lang w:eastAsia="sl-SI"/>
        </w:rPr>
        <w:t>e</w:t>
      </w:r>
      <w:r w:rsidRPr="006377CE">
        <w:rPr>
          <w:rFonts w:ascii="Arial" w:eastAsiaTheme="minorHAnsi" w:hAnsi="Arial" w:cstheme="minorBidi"/>
          <w:sz w:val="20"/>
          <w:lang w:eastAsia="sl-SI"/>
        </w:rPr>
        <w:t xml:space="preserve"> </w:t>
      </w:r>
      <w:r w:rsidRPr="006377CE">
        <w:rPr>
          <w:rFonts w:ascii="Arial" w:eastAsiaTheme="minorHAnsi" w:hAnsi="Arial" w:cstheme="minorBidi"/>
          <w:sz w:val="20"/>
        </w:rPr>
        <w:t xml:space="preserve">zaradi insolventnosti </w:t>
      </w:r>
      <w:r w:rsidRPr="00A647B5">
        <w:rPr>
          <w:rFonts w:ascii="Arial" w:hAnsi="Arial" w:cs="Arial"/>
          <w:sz w:val="20"/>
          <w:szCs w:val="20"/>
        </w:rPr>
        <w:t xml:space="preserve">velja tudi za davčni dolg, ki je zavarovan z zastavno pravico na nepremičninah. Postopek prodaje nepremičnine in poplačilo upnikov vodi izvršilno sodišče, zato davčni organ </w:t>
      </w:r>
      <w:r w:rsidRPr="00A647B5">
        <w:rPr>
          <w:rFonts w:ascii="Arial" w:eastAsia="Times New Roman" w:hAnsi="Arial" w:cs="Arial"/>
          <w:iCs/>
          <w:sz w:val="20"/>
          <w:szCs w:val="20"/>
        </w:rPr>
        <w:t>po podanih predlogih sodiščem v višini 36.823.21</w:t>
      </w:r>
      <w:r>
        <w:rPr>
          <w:rFonts w:ascii="Arial" w:eastAsia="Times New Roman" w:hAnsi="Arial" w:cs="Arial"/>
          <w:iCs/>
          <w:sz w:val="20"/>
          <w:szCs w:val="20"/>
        </w:rPr>
        <w:t>7</w:t>
      </w:r>
      <w:r w:rsidR="00727BBD" w:rsidRPr="00A647B5">
        <w:rPr>
          <w:rFonts w:ascii="Arial" w:eastAsia="Times New Roman" w:hAnsi="Arial" w:cs="Arial"/>
          <w:iCs/>
          <w:sz w:val="20"/>
          <w:szCs w:val="20"/>
        </w:rPr>
        <w:t> EUR</w:t>
      </w:r>
      <w:r w:rsidRPr="00A647B5">
        <w:rPr>
          <w:rFonts w:ascii="Arial" w:hAnsi="Arial" w:cs="Arial"/>
          <w:sz w:val="20"/>
          <w:szCs w:val="20"/>
        </w:rPr>
        <w:t xml:space="preserve"> </w:t>
      </w:r>
      <w:r w:rsidRPr="00A647B5">
        <w:rPr>
          <w:rFonts w:ascii="Arial" w:eastAsia="Times New Roman" w:hAnsi="Arial" w:cs="Arial"/>
          <w:iCs/>
          <w:sz w:val="20"/>
          <w:szCs w:val="20"/>
        </w:rPr>
        <w:t xml:space="preserve">nima vpliva na hitrost postopka ali višino poplačila dolga. </w:t>
      </w:r>
    </w:p>
    <w:p w14:paraId="6823946F" w14:textId="77777777" w:rsidR="00D847F2" w:rsidRDefault="00D847F2" w:rsidP="00D847F2">
      <w:pPr>
        <w:pStyle w:val="Brezrazmikov"/>
        <w:spacing w:line="276" w:lineRule="auto"/>
        <w:jc w:val="both"/>
        <w:rPr>
          <w:rFonts w:ascii="Arial" w:eastAsia="Times New Roman" w:hAnsi="Arial" w:cs="Arial"/>
          <w:iCs/>
          <w:sz w:val="20"/>
          <w:szCs w:val="20"/>
        </w:rPr>
      </w:pPr>
    </w:p>
    <w:p w14:paraId="3802639B" w14:textId="77777777" w:rsidR="00D847F2" w:rsidRPr="00A647B5" w:rsidRDefault="00D847F2" w:rsidP="00D847F2">
      <w:pPr>
        <w:pStyle w:val="Brezrazmikov"/>
        <w:spacing w:line="276" w:lineRule="auto"/>
        <w:jc w:val="both"/>
        <w:rPr>
          <w:rFonts w:ascii="Arial" w:hAnsi="Arial" w:cs="Arial"/>
          <w:sz w:val="20"/>
          <w:szCs w:val="20"/>
        </w:rPr>
      </w:pPr>
      <w:r w:rsidRPr="00A647B5">
        <w:rPr>
          <w:rFonts w:ascii="Arial" w:hAnsi="Arial" w:cs="Arial"/>
          <w:sz w:val="20"/>
          <w:szCs w:val="20"/>
        </w:rPr>
        <w:t xml:space="preserve">Na podlagi navedenega je mogoče ugotoviti, da davčni organ na hitrost oziroma višino poplačila znatnega dela davčnega dolga nima vpliva, saj gre za postopke, ki se vodijo pred sodišči, na dolžino teh postopkov pa vplivajo številni dejavniki. </w:t>
      </w:r>
    </w:p>
    <w:p w14:paraId="4EB3FFC2" w14:textId="77777777" w:rsidR="00D847F2" w:rsidRPr="00A647B5" w:rsidRDefault="00D847F2" w:rsidP="00D847F2">
      <w:pPr>
        <w:pStyle w:val="Brezrazmikov"/>
        <w:spacing w:line="276" w:lineRule="auto"/>
        <w:jc w:val="both"/>
        <w:rPr>
          <w:rFonts w:ascii="Arial" w:hAnsi="Arial" w:cs="Arial"/>
          <w:sz w:val="20"/>
          <w:szCs w:val="20"/>
        </w:rPr>
      </w:pPr>
    </w:p>
    <w:p w14:paraId="6A679622" w14:textId="6ED973E9" w:rsidR="00D847F2" w:rsidRPr="00A647B5" w:rsidRDefault="00D847F2" w:rsidP="00D847F2">
      <w:pPr>
        <w:spacing w:after="0"/>
        <w:jc w:val="both"/>
        <w:rPr>
          <w:rFonts w:ascii="Arial" w:hAnsi="Arial" w:cs="Arial"/>
          <w:color w:val="000000" w:themeColor="text1"/>
          <w:sz w:val="20"/>
          <w:szCs w:val="20"/>
        </w:rPr>
      </w:pPr>
      <w:r w:rsidRPr="00A647B5">
        <w:rPr>
          <w:rFonts w:ascii="Arial" w:hAnsi="Arial" w:cs="Arial"/>
          <w:color w:val="000000" w:themeColor="text1"/>
          <w:sz w:val="20"/>
          <w:szCs w:val="20"/>
        </w:rPr>
        <w:t>Dolg</w:t>
      </w:r>
      <w:r w:rsidR="00196821">
        <w:rPr>
          <w:rFonts w:ascii="Arial" w:hAnsi="Arial" w:cs="Arial"/>
          <w:color w:val="000000" w:themeColor="text1"/>
          <w:sz w:val="20"/>
          <w:szCs w:val="20"/>
        </w:rPr>
        <w:t>,</w:t>
      </w:r>
      <w:r w:rsidRPr="00A647B5">
        <w:rPr>
          <w:rFonts w:ascii="Arial" w:hAnsi="Arial" w:cs="Arial"/>
          <w:color w:val="000000" w:themeColor="text1"/>
          <w:sz w:val="20"/>
          <w:szCs w:val="20"/>
        </w:rPr>
        <w:t xml:space="preserve"> k</w:t>
      </w:r>
      <w:r w:rsidR="00196821">
        <w:rPr>
          <w:rFonts w:ascii="Arial" w:hAnsi="Arial" w:cs="Arial"/>
          <w:color w:val="000000" w:themeColor="text1"/>
          <w:sz w:val="20"/>
          <w:szCs w:val="20"/>
        </w:rPr>
        <w:t xml:space="preserve">i </w:t>
      </w:r>
      <w:r w:rsidRPr="00A647B5">
        <w:rPr>
          <w:rFonts w:ascii="Arial" w:hAnsi="Arial" w:cs="Arial"/>
          <w:color w:val="000000" w:themeColor="text1"/>
          <w:sz w:val="20"/>
          <w:szCs w:val="20"/>
        </w:rPr>
        <w:t>ga ni bilo mogoče poplačati v postopkih davčne izvršbe, pravica do izterjave pa še ni zastarala, znaša 35,6 odstotka pogojno izterljivega dolga. Zoper naveden</w:t>
      </w:r>
      <w:r w:rsidR="00196821">
        <w:rPr>
          <w:rFonts w:ascii="Arial" w:hAnsi="Arial" w:cs="Arial"/>
          <w:color w:val="000000" w:themeColor="text1"/>
          <w:sz w:val="20"/>
          <w:szCs w:val="20"/>
        </w:rPr>
        <w:t>i</w:t>
      </w:r>
      <w:r w:rsidRPr="00A647B5">
        <w:rPr>
          <w:rFonts w:ascii="Arial" w:hAnsi="Arial" w:cs="Arial"/>
          <w:color w:val="000000" w:themeColor="text1"/>
          <w:sz w:val="20"/>
          <w:szCs w:val="20"/>
        </w:rPr>
        <w:t xml:space="preserve"> dolg je davčni organ izvedel vse zakonsko predpisane ukrepe izvršbe (administrativna izvršba, individualna obravnava v primeru izvršbe iz premičnega premoženja, ki zahteva poglobljeno obravnavo, izvršba na nepremičnine ali na poslovni delež dolžnika v družbi</w:t>
      </w:r>
      <w:r>
        <w:rPr>
          <w:rFonts w:ascii="Arial" w:hAnsi="Arial" w:cs="Arial"/>
          <w:color w:val="000000" w:themeColor="text1"/>
          <w:sz w:val="20"/>
          <w:szCs w:val="20"/>
        </w:rPr>
        <w:t xml:space="preserve"> i</w:t>
      </w:r>
      <w:r w:rsidR="00196821">
        <w:rPr>
          <w:rFonts w:ascii="Arial" w:hAnsi="Arial" w:cs="Arial"/>
          <w:color w:val="000000" w:themeColor="text1"/>
          <w:sz w:val="20"/>
          <w:szCs w:val="20"/>
        </w:rPr>
        <w:t xml:space="preserve">n </w:t>
      </w:r>
      <w:r>
        <w:rPr>
          <w:rFonts w:ascii="Arial" w:hAnsi="Arial" w:cs="Arial"/>
          <w:color w:val="000000" w:themeColor="text1"/>
          <w:sz w:val="20"/>
          <w:szCs w:val="20"/>
        </w:rPr>
        <w:t>p</w:t>
      </w:r>
      <w:r w:rsidR="00196821">
        <w:rPr>
          <w:rFonts w:ascii="Arial" w:hAnsi="Arial" w:cs="Arial"/>
          <w:color w:val="000000" w:themeColor="text1"/>
          <w:sz w:val="20"/>
          <w:szCs w:val="20"/>
        </w:rPr>
        <w:t>o</w:t>
      </w:r>
      <w:r>
        <w:rPr>
          <w:rFonts w:ascii="Arial" w:hAnsi="Arial" w:cs="Arial"/>
          <w:color w:val="000000" w:themeColor="text1"/>
          <w:sz w:val="20"/>
          <w:szCs w:val="20"/>
        </w:rPr>
        <w:t>d</w:t>
      </w:r>
      <w:r w:rsidR="00196821">
        <w:rPr>
          <w:rFonts w:ascii="Arial" w:hAnsi="Arial" w:cs="Arial"/>
          <w:color w:val="000000" w:themeColor="text1"/>
          <w:sz w:val="20"/>
          <w:szCs w:val="20"/>
        </w:rPr>
        <w:t>obno</w:t>
      </w:r>
      <w:r w:rsidRPr="00A647B5">
        <w:rPr>
          <w:rFonts w:ascii="Arial" w:hAnsi="Arial" w:cs="Arial"/>
          <w:color w:val="000000" w:themeColor="text1"/>
          <w:sz w:val="20"/>
          <w:szCs w:val="20"/>
        </w:rPr>
        <w:t>)</w:t>
      </w:r>
      <w:r w:rsidR="00196821">
        <w:rPr>
          <w:rFonts w:ascii="Arial" w:hAnsi="Arial" w:cs="Arial"/>
          <w:color w:val="000000" w:themeColor="text1"/>
          <w:sz w:val="20"/>
          <w:szCs w:val="20"/>
        </w:rPr>
        <w:t>,</w:t>
      </w:r>
      <w:r w:rsidRPr="00A647B5">
        <w:rPr>
          <w:rFonts w:ascii="Arial" w:hAnsi="Arial" w:cs="Arial"/>
          <w:color w:val="000000" w:themeColor="text1"/>
          <w:sz w:val="20"/>
          <w:szCs w:val="20"/>
        </w:rPr>
        <w:t xml:space="preserve"> vendar dolga ni bilo mogoče izterjati, saj dolžniki niso imeli </w:t>
      </w:r>
      <w:proofErr w:type="spellStart"/>
      <w:r w:rsidRPr="00A647B5">
        <w:rPr>
          <w:rFonts w:ascii="Arial" w:hAnsi="Arial" w:cs="Arial"/>
          <w:color w:val="000000" w:themeColor="text1"/>
          <w:sz w:val="20"/>
          <w:szCs w:val="20"/>
        </w:rPr>
        <w:t>rubljivega</w:t>
      </w:r>
      <w:proofErr w:type="spellEnd"/>
      <w:r w:rsidRPr="00A647B5">
        <w:rPr>
          <w:rFonts w:ascii="Arial" w:hAnsi="Arial" w:cs="Arial"/>
          <w:color w:val="000000" w:themeColor="text1"/>
          <w:sz w:val="20"/>
          <w:szCs w:val="20"/>
        </w:rPr>
        <w:t xml:space="preserve"> premoženja. </w:t>
      </w:r>
    </w:p>
    <w:p w14:paraId="22F77C55" w14:textId="7F9ACCB2" w:rsidR="00D847F2" w:rsidRDefault="00D847F2" w:rsidP="00D847F2">
      <w:pPr>
        <w:spacing w:after="0" w:line="240" w:lineRule="auto"/>
        <w:jc w:val="both"/>
        <w:rPr>
          <w:rFonts w:ascii="Arial" w:hAnsi="Arial" w:cs="Arial"/>
          <w:bCs/>
          <w:i/>
          <w:sz w:val="20"/>
          <w:szCs w:val="20"/>
        </w:rPr>
      </w:pPr>
    </w:p>
    <w:p w14:paraId="06ECA1C3" w14:textId="3F0674C8" w:rsidR="001C21D4" w:rsidRDefault="001C21D4" w:rsidP="00D847F2">
      <w:pPr>
        <w:spacing w:after="0" w:line="240" w:lineRule="auto"/>
        <w:rPr>
          <w:rFonts w:ascii="Arial" w:hAnsi="Arial" w:cs="Arial"/>
          <w:bCs/>
          <w:i/>
          <w:sz w:val="20"/>
          <w:szCs w:val="20"/>
        </w:rPr>
      </w:pPr>
    </w:p>
    <w:p w14:paraId="75BAE64F" w14:textId="1E2253BF" w:rsidR="001C21D4" w:rsidRDefault="001C21D4" w:rsidP="00D847F2">
      <w:pPr>
        <w:spacing w:after="0" w:line="240" w:lineRule="auto"/>
        <w:rPr>
          <w:rFonts w:ascii="Arial" w:hAnsi="Arial" w:cs="Arial"/>
          <w:bCs/>
          <w:i/>
          <w:sz w:val="20"/>
          <w:szCs w:val="20"/>
        </w:rPr>
      </w:pPr>
    </w:p>
    <w:p w14:paraId="25F3815B" w14:textId="09B65807" w:rsidR="001C21D4" w:rsidRDefault="001C21D4" w:rsidP="00D847F2">
      <w:pPr>
        <w:spacing w:after="0" w:line="240" w:lineRule="auto"/>
        <w:rPr>
          <w:rFonts w:ascii="Arial" w:hAnsi="Arial" w:cs="Arial"/>
          <w:bCs/>
          <w:i/>
          <w:sz w:val="20"/>
          <w:szCs w:val="20"/>
        </w:rPr>
      </w:pPr>
    </w:p>
    <w:p w14:paraId="335BC176" w14:textId="62199931" w:rsidR="001C21D4" w:rsidRDefault="001C21D4" w:rsidP="00D847F2">
      <w:pPr>
        <w:spacing w:after="0" w:line="240" w:lineRule="auto"/>
        <w:rPr>
          <w:rFonts w:ascii="Arial" w:hAnsi="Arial" w:cs="Arial"/>
          <w:bCs/>
          <w:i/>
          <w:sz w:val="20"/>
          <w:szCs w:val="20"/>
        </w:rPr>
      </w:pPr>
    </w:p>
    <w:p w14:paraId="0B16D807" w14:textId="066A3540" w:rsidR="001C21D4" w:rsidRDefault="001C21D4" w:rsidP="00D847F2">
      <w:pPr>
        <w:spacing w:after="0" w:line="240" w:lineRule="auto"/>
        <w:rPr>
          <w:rFonts w:ascii="Arial" w:hAnsi="Arial" w:cs="Arial"/>
          <w:bCs/>
          <w:i/>
          <w:sz w:val="20"/>
          <w:szCs w:val="20"/>
        </w:rPr>
      </w:pPr>
    </w:p>
    <w:p w14:paraId="33898E46" w14:textId="3F23EBD8" w:rsidR="001C21D4" w:rsidRDefault="001C21D4" w:rsidP="00D847F2">
      <w:pPr>
        <w:spacing w:after="0" w:line="240" w:lineRule="auto"/>
        <w:rPr>
          <w:rFonts w:ascii="Arial" w:hAnsi="Arial" w:cs="Arial"/>
          <w:bCs/>
          <w:i/>
          <w:sz w:val="20"/>
          <w:szCs w:val="20"/>
        </w:rPr>
      </w:pPr>
    </w:p>
    <w:p w14:paraId="601BA432" w14:textId="1F76ED21" w:rsidR="001C21D4" w:rsidRDefault="001C21D4" w:rsidP="00D847F2">
      <w:pPr>
        <w:spacing w:after="0" w:line="240" w:lineRule="auto"/>
        <w:rPr>
          <w:rFonts w:ascii="Arial" w:hAnsi="Arial" w:cs="Arial"/>
          <w:bCs/>
          <w:i/>
          <w:sz w:val="20"/>
          <w:szCs w:val="20"/>
        </w:rPr>
      </w:pPr>
    </w:p>
    <w:p w14:paraId="3073D219" w14:textId="664FCB04" w:rsidR="001C21D4" w:rsidRDefault="001C21D4" w:rsidP="00D847F2">
      <w:pPr>
        <w:spacing w:after="0" w:line="240" w:lineRule="auto"/>
        <w:rPr>
          <w:rFonts w:ascii="Arial" w:hAnsi="Arial" w:cs="Arial"/>
          <w:bCs/>
          <w:i/>
          <w:sz w:val="20"/>
          <w:szCs w:val="20"/>
        </w:rPr>
      </w:pPr>
    </w:p>
    <w:p w14:paraId="1E2C52AA" w14:textId="256C010D" w:rsidR="001C21D4" w:rsidRDefault="001C21D4" w:rsidP="00D847F2">
      <w:pPr>
        <w:spacing w:after="0" w:line="240" w:lineRule="auto"/>
        <w:rPr>
          <w:rFonts w:ascii="Arial" w:hAnsi="Arial" w:cs="Arial"/>
          <w:bCs/>
          <w:i/>
          <w:sz w:val="20"/>
          <w:szCs w:val="20"/>
        </w:rPr>
      </w:pPr>
    </w:p>
    <w:p w14:paraId="3B711987" w14:textId="7CED26A8" w:rsidR="001C21D4" w:rsidRDefault="001C21D4" w:rsidP="00D847F2">
      <w:pPr>
        <w:spacing w:after="0" w:line="240" w:lineRule="auto"/>
        <w:rPr>
          <w:rFonts w:ascii="Arial" w:hAnsi="Arial" w:cs="Arial"/>
          <w:bCs/>
          <w:i/>
          <w:sz w:val="20"/>
          <w:szCs w:val="20"/>
        </w:rPr>
      </w:pPr>
    </w:p>
    <w:p w14:paraId="30F0FA56" w14:textId="27C08019" w:rsidR="001C21D4" w:rsidRDefault="001C21D4" w:rsidP="00D847F2">
      <w:pPr>
        <w:spacing w:after="0" w:line="240" w:lineRule="auto"/>
        <w:rPr>
          <w:rFonts w:ascii="Arial" w:hAnsi="Arial" w:cs="Arial"/>
          <w:bCs/>
          <w:i/>
          <w:sz w:val="20"/>
          <w:szCs w:val="20"/>
        </w:rPr>
      </w:pPr>
    </w:p>
    <w:p w14:paraId="1EFF042B" w14:textId="384FAB3B" w:rsidR="001C21D4" w:rsidRDefault="001C21D4" w:rsidP="00D847F2">
      <w:pPr>
        <w:spacing w:after="0" w:line="240" w:lineRule="auto"/>
        <w:rPr>
          <w:rFonts w:ascii="Arial" w:hAnsi="Arial" w:cs="Arial"/>
          <w:bCs/>
          <w:i/>
          <w:sz w:val="20"/>
          <w:szCs w:val="20"/>
        </w:rPr>
      </w:pPr>
    </w:p>
    <w:p w14:paraId="6368C675" w14:textId="4592500B" w:rsidR="001C21D4" w:rsidRDefault="001C21D4" w:rsidP="00D847F2">
      <w:pPr>
        <w:spacing w:after="0" w:line="240" w:lineRule="auto"/>
        <w:rPr>
          <w:rFonts w:ascii="Arial" w:hAnsi="Arial" w:cs="Arial"/>
          <w:bCs/>
          <w:i/>
          <w:sz w:val="20"/>
          <w:szCs w:val="20"/>
        </w:rPr>
      </w:pPr>
    </w:p>
    <w:p w14:paraId="19159229" w14:textId="77777777" w:rsidR="001C21D4" w:rsidRDefault="001C21D4" w:rsidP="00D847F2">
      <w:pPr>
        <w:spacing w:after="0" w:line="240" w:lineRule="auto"/>
        <w:rPr>
          <w:rFonts w:ascii="Arial" w:hAnsi="Arial" w:cs="Arial"/>
          <w:bCs/>
          <w:i/>
          <w:sz w:val="20"/>
          <w:szCs w:val="20"/>
        </w:rPr>
      </w:pPr>
    </w:p>
    <w:p w14:paraId="0B698486" w14:textId="5037C77B" w:rsidR="00D847F2" w:rsidRDefault="00D847F2" w:rsidP="00D847F2">
      <w:pPr>
        <w:spacing w:after="0" w:line="240" w:lineRule="auto"/>
        <w:rPr>
          <w:rFonts w:ascii="Arial" w:hAnsi="Arial" w:cs="Arial"/>
          <w:i/>
          <w:sz w:val="20"/>
          <w:szCs w:val="20"/>
        </w:rPr>
      </w:pPr>
      <w:r w:rsidRPr="00B518BD">
        <w:rPr>
          <w:rFonts w:ascii="Arial" w:hAnsi="Arial" w:cs="Arial"/>
          <w:bCs/>
          <w:i/>
          <w:sz w:val="20"/>
          <w:szCs w:val="20"/>
        </w:rPr>
        <w:lastRenderedPageBreak/>
        <w:t>Preglednica</w:t>
      </w:r>
      <w:r w:rsidRPr="00B518BD">
        <w:rPr>
          <w:rFonts w:ascii="Arial" w:hAnsi="Arial" w:cs="Arial"/>
          <w:i/>
          <w:sz w:val="20"/>
          <w:szCs w:val="20"/>
          <w:lang w:eastAsia="ar-SA"/>
        </w:rPr>
        <w:t xml:space="preserve"> 4</w:t>
      </w:r>
      <w:r>
        <w:rPr>
          <w:rFonts w:ascii="Arial" w:hAnsi="Arial" w:cs="Arial"/>
          <w:i/>
          <w:sz w:val="20"/>
          <w:szCs w:val="20"/>
          <w:lang w:eastAsia="ar-SA"/>
        </w:rPr>
        <w:t xml:space="preserve">: </w:t>
      </w:r>
      <w:r w:rsidRPr="00B518BD">
        <w:rPr>
          <w:rFonts w:ascii="Arial" w:hAnsi="Arial" w:cs="Arial"/>
          <w:i/>
          <w:sz w:val="20"/>
          <w:szCs w:val="20"/>
          <w:lang w:eastAsia="ar-SA"/>
        </w:rPr>
        <w:t xml:space="preserve">Stanje in gibanje </w:t>
      </w:r>
      <w:r w:rsidRPr="00B518BD">
        <w:rPr>
          <w:rFonts w:ascii="Arial" w:hAnsi="Arial" w:cs="Arial"/>
          <w:i/>
          <w:sz w:val="20"/>
          <w:szCs w:val="20"/>
        </w:rPr>
        <w:t>pogojno izterljivega dolga v EUR</w:t>
      </w:r>
    </w:p>
    <w:p w14:paraId="6A0DD2A2" w14:textId="77777777" w:rsidR="00D847F2" w:rsidRDefault="00D847F2" w:rsidP="00D847F2">
      <w:pPr>
        <w:spacing w:after="0" w:line="240" w:lineRule="auto"/>
        <w:rPr>
          <w:rFonts w:ascii="Arial" w:hAnsi="Arial" w:cs="Arial"/>
          <w:i/>
          <w:sz w:val="20"/>
          <w:szCs w:val="20"/>
        </w:rPr>
      </w:pPr>
    </w:p>
    <w:tbl>
      <w:tblPr>
        <w:tblW w:w="9341" w:type="dxa"/>
        <w:tblCellMar>
          <w:left w:w="70" w:type="dxa"/>
          <w:right w:w="70" w:type="dxa"/>
        </w:tblCellMar>
        <w:tblLook w:val="04A0" w:firstRow="1" w:lastRow="0" w:firstColumn="1" w:lastColumn="0" w:noHBand="0" w:noVBand="1"/>
      </w:tblPr>
      <w:tblGrid>
        <w:gridCol w:w="1632"/>
        <w:gridCol w:w="1141"/>
        <w:gridCol w:w="1141"/>
        <w:gridCol w:w="1141"/>
        <w:gridCol w:w="1191"/>
        <w:gridCol w:w="1191"/>
        <w:gridCol w:w="1191"/>
        <w:gridCol w:w="713"/>
      </w:tblGrid>
      <w:tr w:rsidR="00D847F2" w:rsidRPr="00B455F7" w14:paraId="46776A33" w14:textId="77777777" w:rsidTr="00556699">
        <w:trPr>
          <w:trHeight w:val="218"/>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7568" w14:textId="77777777" w:rsidR="00D847F2" w:rsidRPr="00B455F7" w:rsidRDefault="00D847F2" w:rsidP="00556699">
            <w:pPr>
              <w:spacing w:after="0" w:line="240" w:lineRule="auto"/>
              <w:jc w:val="center"/>
              <w:rPr>
                <w:rFonts w:ascii="Arial" w:eastAsia="Times New Roman" w:hAnsi="Arial" w:cs="Arial"/>
                <w:b/>
                <w:bCs/>
                <w:i/>
                <w:iCs/>
                <w:color w:val="000000"/>
                <w:sz w:val="18"/>
                <w:szCs w:val="18"/>
                <w:lang w:eastAsia="sl-SI"/>
              </w:rPr>
            </w:pPr>
            <w:r w:rsidRPr="00B455F7">
              <w:rPr>
                <w:rFonts w:ascii="Arial" w:eastAsia="Times New Roman" w:hAnsi="Arial" w:cs="Arial"/>
                <w:b/>
                <w:bCs/>
                <w:i/>
                <w:iCs/>
                <w:color w:val="000000"/>
                <w:sz w:val="18"/>
                <w:szCs w:val="18"/>
                <w:lang w:eastAsia="sl-SI"/>
              </w:rPr>
              <w:t>Razlog dvomljivosti</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2E2E77B" w14:textId="27409F31" w:rsidR="00D847F2" w:rsidRPr="00B455F7" w:rsidRDefault="00727BBD" w:rsidP="00556699">
            <w:pPr>
              <w:spacing w:after="0" w:line="240" w:lineRule="auto"/>
              <w:jc w:val="center"/>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31.</w:t>
            </w:r>
            <w:r>
              <w:rPr>
                <w:rFonts w:ascii="Arial" w:eastAsia="Times New Roman" w:hAnsi="Arial" w:cs="Arial"/>
                <w:b/>
                <w:bCs/>
                <w:color w:val="000000"/>
                <w:sz w:val="18"/>
                <w:szCs w:val="18"/>
                <w:lang w:eastAsia="sl-SI"/>
              </w:rPr>
              <w:t> 12. 2020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5D72535" w14:textId="7527E3DA" w:rsidR="00D847F2" w:rsidRPr="00B455F7" w:rsidRDefault="00727BBD" w:rsidP="00556699">
            <w:pPr>
              <w:spacing w:after="0" w:line="240" w:lineRule="auto"/>
              <w:jc w:val="center"/>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31.</w:t>
            </w:r>
            <w:r>
              <w:rPr>
                <w:rFonts w:ascii="Arial" w:eastAsia="Times New Roman" w:hAnsi="Arial" w:cs="Arial"/>
                <w:b/>
                <w:bCs/>
                <w:color w:val="000000"/>
                <w:sz w:val="18"/>
                <w:szCs w:val="18"/>
                <w:lang w:eastAsia="sl-SI"/>
              </w:rPr>
              <w:t> 12. 2021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9BB660D" w14:textId="165D2639" w:rsidR="00D847F2" w:rsidRPr="00B455F7" w:rsidRDefault="00727BBD" w:rsidP="00727BBD">
            <w:pPr>
              <w:spacing w:after="0" w:line="240" w:lineRule="auto"/>
              <w:jc w:val="center"/>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31.</w:t>
            </w:r>
            <w:r>
              <w:rPr>
                <w:rFonts w:ascii="Arial" w:eastAsia="Times New Roman" w:hAnsi="Arial" w:cs="Arial"/>
                <w:b/>
                <w:bCs/>
                <w:color w:val="000000"/>
                <w:sz w:val="18"/>
                <w:szCs w:val="18"/>
                <w:lang w:eastAsia="sl-SI"/>
              </w:rPr>
              <w:t> 12. 2022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546EE0C" w14:textId="4780B520" w:rsidR="00D847F2" w:rsidRPr="00B455F7" w:rsidRDefault="00D847F2" w:rsidP="00556699">
            <w:pPr>
              <w:spacing w:after="0" w:line="240" w:lineRule="auto"/>
              <w:jc w:val="center"/>
              <w:rPr>
                <w:rFonts w:ascii="Arial" w:eastAsia="Times New Roman" w:hAnsi="Arial" w:cs="Arial"/>
                <w:b/>
                <w:bCs/>
                <w:i/>
                <w:iCs/>
                <w:color w:val="000000"/>
                <w:sz w:val="18"/>
                <w:szCs w:val="18"/>
                <w:lang w:eastAsia="sl-SI"/>
              </w:rPr>
            </w:pPr>
            <w:r w:rsidRPr="00B455F7">
              <w:rPr>
                <w:rFonts w:ascii="Arial" w:eastAsia="Times New Roman" w:hAnsi="Arial" w:cs="Arial"/>
                <w:b/>
                <w:bCs/>
                <w:i/>
                <w:iCs/>
                <w:color w:val="000000"/>
                <w:sz w:val="18"/>
                <w:szCs w:val="18"/>
                <w:lang w:eastAsia="sl-SI"/>
              </w:rPr>
              <w:t xml:space="preserve">IND </w:t>
            </w:r>
            <w:r w:rsidRPr="00B455F7">
              <w:rPr>
                <w:rFonts w:ascii="Arial" w:eastAsia="Times New Roman" w:hAnsi="Arial" w:cs="Arial"/>
                <w:b/>
                <w:bCs/>
                <w:i/>
                <w:iCs/>
                <w:color w:val="000000"/>
                <w:sz w:val="18"/>
                <w:szCs w:val="18"/>
                <w:lang w:eastAsia="sl-SI"/>
              </w:rPr>
              <w:br/>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2021</w:t>
            </w:r>
            <w:r w:rsidRPr="00B455F7">
              <w:rPr>
                <w:rFonts w:ascii="Arial" w:eastAsia="Times New Roman" w:hAnsi="Arial" w:cs="Arial"/>
                <w:b/>
                <w:bCs/>
                <w:i/>
                <w:iCs/>
                <w:color w:val="000000"/>
                <w:sz w:val="18"/>
                <w:szCs w:val="18"/>
                <w:lang w:eastAsia="sl-SI"/>
              </w:rPr>
              <w:t>/</w:t>
            </w:r>
            <w:r w:rsidRPr="00B455F7">
              <w:rPr>
                <w:rFonts w:ascii="Arial" w:eastAsia="Times New Roman" w:hAnsi="Arial" w:cs="Arial"/>
                <w:b/>
                <w:bCs/>
                <w:i/>
                <w:iCs/>
                <w:color w:val="000000"/>
                <w:sz w:val="18"/>
                <w:szCs w:val="18"/>
                <w:lang w:eastAsia="sl-SI"/>
              </w:rPr>
              <w:br/>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D26F65D" w14:textId="4397F632" w:rsidR="00D847F2" w:rsidRPr="00B455F7" w:rsidRDefault="00D847F2" w:rsidP="00556699">
            <w:pPr>
              <w:spacing w:after="0" w:line="240" w:lineRule="auto"/>
              <w:jc w:val="center"/>
              <w:rPr>
                <w:rFonts w:ascii="Arial" w:eastAsia="Times New Roman" w:hAnsi="Arial" w:cs="Arial"/>
                <w:b/>
                <w:bCs/>
                <w:i/>
                <w:iCs/>
                <w:color w:val="000000"/>
                <w:sz w:val="18"/>
                <w:szCs w:val="18"/>
                <w:lang w:eastAsia="sl-SI"/>
              </w:rPr>
            </w:pPr>
            <w:r w:rsidRPr="00B455F7">
              <w:rPr>
                <w:rFonts w:ascii="Arial" w:eastAsia="Times New Roman" w:hAnsi="Arial" w:cs="Arial"/>
                <w:b/>
                <w:bCs/>
                <w:i/>
                <w:iCs/>
                <w:color w:val="000000"/>
                <w:sz w:val="18"/>
                <w:szCs w:val="18"/>
                <w:lang w:eastAsia="sl-SI"/>
              </w:rPr>
              <w:t xml:space="preserve">IND </w:t>
            </w:r>
            <w:r w:rsidRPr="00B455F7">
              <w:rPr>
                <w:rFonts w:ascii="Arial" w:eastAsia="Times New Roman" w:hAnsi="Arial" w:cs="Arial"/>
                <w:b/>
                <w:bCs/>
                <w:i/>
                <w:iCs/>
                <w:color w:val="000000"/>
                <w:sz w:val="18"/>
                <w:szCs w:val="18"/>
                <w:lang w:eastAsia="sl-SI"/>
              </w:rPr>
              <w:br/>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2022</w:t>
            </w:r>
            <w:r w:rsidRPr="00B455F7">
              <w:rPr>
                <w:rFonts w:ascii="Arial" w:eastAsia="Times New Roman" w:hAnsi="Arial" w:cs="Arial"/>
                <w:b/>
                <w:bCs/>
                <w:i/>
                <w:iCs/>
                <w:color w:val="000000"/>
                <w:sz w:val="18"/>
                <w:szCs w:val="18"/>
                <w:lang w:eastAsia="sl-SI"/>
              </w:rPr>
              <w:t>/</w:t>
            </w:r>
            <w:r w:rsidRPr="00B455F7">
              <w:rPr>
                <w:rFonts w:ascii="Arial" w:eastAsia="Times New Roman" w:hAnsi="Arial" w:cs="Arial"/>
                <w:b/>
                <w:bCs/>
                <w:i/>
                <w:iCs/>
                <w:color w:val="000000"/>
                <w:sz w:val="18"/>
                <w:szCs w:val="18"/>
                <w:lang w:eastAsia="sl-SI"/>
              </w:rPr>
              <w:br/>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AC60383" w14:textId="43CB11E6" w:rsidR="00D847F2" w:rsidRPr="00B455F7" w:rsidRDefault="00D847F2" w:rsidP="00556699">
            <w:pPr>
              <w:spacing w:after="0" w:line="240" w:lineRule="auto"/>
              <w:jc w:val="center"/>
              <w:rPr>
                <w:rFonts w:ascii="Arial" w:eastAsia="Times New Roman" w:hAnsi="Arial" w:cs="Arial"/>
                <w:b/>
                <w:bCs/>
                <w:i/>
                <w:iCs/>
                <w:color w:val="000000"/>
                <w:sz w:val="18"/>
                <w:szCs w:val="18"/>
                <w:lang w:eastAsia="sl-SI"/>
              </w:rPr>
            </w:pPr>
            <w:r w:rsidRPr="00B455F7">
              <w:rPr>
                <w:rFonts w:ascii="Arial" w:eastAsia="Times New Roman" w:hAnsi="Arial" w:cs="Arial"/>
                <w:b/>
                <w:bCs/>
                <w:i/>
                <w:iCs/>
                <w:color w:val="000000"/>
                <w:sz w:val="18"/>
                <w:szCs w:val="18"/>
                <w:lang w:eastAsia="sl-SI"/>
              </w:rPr>
              <w:t xml:space="preserve">IND </w:t>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2022</w:t>
            </w:r>
            <w:r w:rsidRPr="00B455F7">
              <w:rPr>
                <w:rFonts w:ascii="Arial" w:eastAsia="Times New Roman" w:hAnsi="Arial" w:cs="Arial"/>
                <w:b/>
                <w:bCs/>
                <w:i/>
                <w:iCs/>
                <w:color w:val="000000"/>
                <w:sz w:val="18"/>
                <w:szCs w:val="18"/>
                <w:lang w:eastAsia="sl-SI"/>
              </w:rPr>
              <w:t>/</w:t>
            </w:r>
            <w:r w:rsidRPr="00B455F7">
              <w:rPr>
                <w:rFonts w:ascii="Arial" w:eastAsia="Times New Roman" w:hAnsi="Arial" w:cs="Arial"/>
                <w:b/>
                <w:bCs/>
                <w:i/>
                <w:iCs/>
                <w:color w:val="000000"/>
                <w:sz w:val="18"/>
                <w:szCs w:val="18"/>
                <w:lang w:eastAsia="sl-SI"/>
              </w:rPr>
              <w:br/>
            </w:r>
            <w:r w:rsidR="00727BBD" w:rsidRPr="00B455F7">
              <w:rPr>
                <w:rFonts w:ascii="Arial" w:eastAsia="Times New Roman" w:hAnsi="Arial" w:cs="Arial"/>
                <w:b/>
                <w:bCs/>
                <w:i/>
                <w:iCs/>
                <w:color w:val="000000"/>
                <w:sz w:val="18"/>
                <w:szCs w:val="18"/>
                <w:lang w:eastAsia="sl-SI"/>
              </w:rPr>
              <w:t>31.</w:t>
            </w:r>
            <w:r w:rsidR="00727BBD">
              <w:rPr>
                <w:rFonts w:ascii="Arial" w:eastAsia="Times New Roman" w:hAnsi="Arial" w:cs="Arial"/>
                <w:b/>
                <w:bCs/>
                <w:i/>
                <w:iCs/>
                <w:color w:val="000000"/>
                <w:sz w:val="18"/>
                <w:szCs w:val="18"/>
                <w:lang w:eastAsia="sl-SI"/>
              </w:rPr>
              <w:t> 12. 2021</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09817523" w14:textId="77777777" w:rsidR="00D847F2" w:rsidRPr="00B455F7" w:rsidRDefault="00D847F2" w:rsidP="00556699">
            <w:pPr>
              <w:spacing w:after="0" w:line="240" w:lineRule="auto"/>
              <w:jc w:val="center"/>
              <w:rPr>
                <w:rFonts w:ascii="Arial" w:eastAsia="Times New Roman" w:hAnsi="Arial" w:cs="Arial"/>
                <w:b/>
                <w:bCs/>
                <w:i/>
                <w:iCs/>
                <w:color w:val="000000"/>
                <w:sz w:val="18"/>
                <w:szCs w:val="18"/>
                <w:lang w:eastAsia="sl-SI"/>
              </w:rPr>
            </w:pPr>
            <w:r w:rsidRPr="00B455F7">
              <w:rPr>
                <w:rFonts w:ascii="Arial" w:eastAsia="Times New Roman" w:hAnsi="Arial" w:cs="Arial"/>
                <w:b/>
                <w:bCs/>
                <w:i/>
                <w:iCs/>
                <w:color w:val="000000"/>
                <w:sz w:val="18"/>
                <w:szCs w:val="18"/>
                <w:lang w:eastAsia="sl-SI"/>
              </w:rPr>
              <w:t>Delež v %</w:t>
            </w:r>
          </w:p>
        </w:tc>
      </w:tr>
      <w:tr w:rsidR="00D847F2" w:rsidRPr="00B455F7" w14:paraId="6FBE92B4" w14:textId="77777777" w:rsidTr="00556699">
        <w:trPr>
          <w:trHeight w:val="145"/>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6E31FFFD" w14:textId="77777777"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Stečaj</w:t>
            </w:r>
          </w:p>
        </w:tc>
        <w:tc>
          <w:tcPr>
            <w:tcW w:w="1140" w:type="dxa"/>
            <w:tcBorders>
              <w:top w:val="nil"/>
              <w:left w:val="nil"/>
              <w:bottom w:val="single" w:sz="4" w:space="0" w:color="auto"/>
              <w:right w:val="single" w:sz="4" w:space="0" w:color="auto"/>
            </w:tcBorders>
            <w:shd w:val="clear" w:color="auto" w:fill="auto"/>
            <w:vAlign w:val="bottom"/>
            <w:hideMark/>
          </w:tcPr>
          <w:p w14:paraId="0F368878"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348.111.223</w:t>
            </w:r>
          </w:p>
        </w:tc>
        <w:tc>
          <w:tcPr>
            <w:tcW w:w="1141" w:type="dxa"/>
            <w:tcBorders>
              <w:top w:val="nil"/>
              <w:left w:val="nil"/>
              <w:bottom w:val="single" w:sz="4" w:space="0" w:color="auto"/>
              <w:right w:val="single" w:sz="4" w:space="0" w:color="auto"/>
            </w:tcBorders>
            <w:shd w:val="clear" w:color="auto" w:fill="auto"/>
            <w:vAlign w:val="bottom"/>
            <w:hideMark/>
          </w:tcPr>
          <w:p w14:paraId="3A1E2B4D"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314.754.397</w:t>
            </w:r>
          </w:p>
        </w:tc>
        <w:tc>
          <w:tcPr>
            <w:tcW w:w="1133" w:type="dxa"/>
            <w:tcBorders>
              <w:top w:val="nil"/>
              <w:left w:val="nil"/>
              <w:bottom w:val="single" w:sz="4" w:space="0" w:color="auto"/>
              <w:right w:val="single" w:sz="4" w:space="0" w:color="auto"/>
            </w:tcBorders>
            <w:shd w:val="clear" w:color="auto" w:fill="auto"/>
            <w:vAlign w:val="bottom"/>
            <w:hideMark/>
          </w:tcPr>
          <w:p w14:paraId="326FFC4B"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275.623.532</w:t>
            </w:r>
          </w:p>
        </w:tc>
        <w:tc>
          <w:tcPr>
            <w:tcW w:w="1083" w:type="dxa"/>
            <w:tcBorders>
              <w:top w:val="nil"/>
              <w:left w:val="nil"/>
              <w:bottom w:val="single" w:sz="4" w:space="0" w:color="auto"/>
              <w:right w:val="single" w:sz="4" w:space="0" w:color="auto"/>
            </w:tcBorders>
            <w:shd w:val="clear" w:color="auto" w:fill="auto"/>
            <w:vAlign w:val="bottom"/>
            <w:hideMark/>
          </w:tcPr>
          <w:p w14:paraId="0D2EA27D"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90,4</w:t>
            </w:r>
          </w:p>
        </w:tc>
        <w:tc>
          <w:tcPr>
            <w:tcW w:w="1083" w:type="dxa"/>
            <w:tcBorders>
              <w:top w:val="nil"/>
              <w:left w:val="nil"/>
              <w:bottom w:val="single" w:sz="4" w:space="0" w:color="auto"/>
              <w:right w:val="single" w:sz="4" w:space="0" w:color="auto"/>
            </w:tcBorders>
            <w:shd w:val="clear" w:color="auto" w:fill="auto"/>
            <w:vAlign w:val="bottom"/>
            <w:hideMark/>
          </w:tcPr>
          <w:p w14:paraId="511C55B3"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79,2</w:t>
            </w:r>
          </w:p>
        </w:tc>
        <w:tc>
          <w:tcPr>
            <w:tcW w:w="1120" w:type="dxa"/>
            <w:tcBorders>
              <w:top w:val="nil"/>
              <w:left w:val="nil"/>
              <w:bottom w:val="single" w:sz="4" w:space="0" w:color="auto"/>
              <w:right w:val="single" w:sz="4" w:space="0" w:color="auto"/>
            </w:tcBorders>
            <w:shd w:val="clear" w:color="auto" w:fill="auto"/>
            <w:vAlign w:val="bottom"/>
            <w:hideMark/>
          </w:tcPr>
          <w:p w14:paraId="47108806"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87,6</w:t>
            </w:r>
          </w:p>
        </w:tc>
        <w:tc>
          <w:tcPr>
            <w:tcW w:w="713" w:type="dxa"/>
            <w:tcBorders>
              <w:top w:val="nil"/>
              <w:left w:val="nil"/>
              <w:bottom w:val="single" w:sz="4" w:space="0" w:color="auto"/>
              <w:right w:val="single" w:sz="4" w:space="0" w:color="auto"/>
            </w:tcBorders>
            <w:shd w:val="clear" w:color="auto" w:fill="auto"/>
            <w:noWrap/>
            <w:vAlign w:val="bottom"/>
            <w:hideMark/>
          </w:tcPr>
          <w:p w14:paraId="603F1968"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60,3</w:t>
            </w:r>
          </w:p>
        </w:tc>
      </w:tr>
      <w:tr w:rsidR="00D847F2" w:rsidRPr="00B455F7" w14:paraId="5499A18F" w14:textId="77777777" w:rsidTr="00556699">
        <w:trPr>
          <w:trHeight w:val="265"/>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7D0F011E" w14:textId="77777777"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 xml:space="preserve">Dolga ni mogoče poplačati v postopku davčne izvršbe </w:t>
            </w:r>
          </w:p>
        </w:tc>
        <w:tc>
          <w:tcPr>
            <w:tcW w:w="1140" w:type="dxa"/>
            <w:tcBorders>
              <w:top w:val="nil"/>
              <w:left w:val="nil"/>
              <w:bottom w:val="single" w:sz="4" w:space="0" w:color="auto"/>
              <w:right w:val="single" w:sz="4" w:space="0" w:color="auto"/>
            </w:tcBorders>
            <w:shd w:val="clear" w:color="auto" w:fill="auto"/>
            <w:vAlign w:val="bottom"/>
            <w:hideMark/>
          </w:tcPr>
          <w:p w14:paraId="43AAD44F"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127.273.386</w:t>
            </w:r>
          </w:p>
        </w:tc>
        <w:tc>
          <w:tcPr>
            <w:tcW w:w="1141" w:type="dxa"/>
            <w:tcBorders>
              <w:top w:val="nil"/>
              <w:left w:val="nil"/>
              <w:bottom w:val="single" w:sz="4" w:space="0" w:color="auto"/>
              <w:right w:val="single" w:sz="4" w:space="0" w:color="auto"/>
            </w:tcBorders>
            <w:shd w:val="clear" w:color="auto" w:fill="auto"/>
            <w:noWrap/>
            <w:vAlign w:val="bottom"/>
            <w:hideMark/>
          </w:tcPr>
          <w:p w14:paraId="0B9FB0A5"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149.477.518</w:t>
            </w:r>
          </w:p>
        </w:tc>
        <w:tc>
          <w:tcPr>
            <w:tcW w:w="1133" w:type="dxa"/>
            <w:tcBorders>
              <w:top w:val="nil"/>
              <w:left w:val="nil"/>
              <w:bottom w:val="single" w:sz="4" w:space="0" w:color="auto"/>
              <w:right w:val="single" w:sz="4" w:space="0" w:color="auto"/>
            </w:tcBorders>
            <w:shd w:val="clear" w:color="auto" w:fill="auto"/>
            <w:noWrap/>
            <w:vAlign w:val="bottom"/>
            <w:hideMark/>
          </w:tcPr>
          <w:p w14:paraId="08486A89"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162.653.843</w:t>
            </w:r>
          </w:p>
        </w:tc>
        <w:tc>
          <w:tcPr>
            <w:tcW w:w="1083" w:type="dxa"/>
            <w:tcBorders>
              <w:top w:val="nil"/>
              <w:left w:val="nil"/>
              <w:bottom w:val="single" w:sz="4" w:space="0" w:color="auto"/>
              <w:right w:val="single" w:sz="4" w:space="0" w:color="auto"/>
            </w:tcBorders>
            <w:shd w:val="clear" w:color="auto" w:fill="auto"/>
            <w:vAlign w:val="bottom"/>
            <w:hideMark/>
          </w:tcPr>
          <w:p w14:paraId="5D2BACE9"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117,4</w:t>
            </w:r>
          </w:p>
        </w:tc>
        <w:tc>
          <w:tcPr>
            <w:tcW w:w="1083" w:type="dxa"/>
            <w:tcBorders>
              <w:top w:val="nil"/>
              <w:left w:val="nil"/>
              <w:bottom w:val="single" w:sz="4" w:space="0" w:color="auto"/>
              <w:right w:val="single" w:sz="4" w:space="0" w:color="auto"/>
            </w:tcBorders>
            <w:shd w:val="clear" w:color="auto" w:fill="auto"/>
            <w:vAlign w:val="bottom"/>
            <w:hideMark/>
          </w:tcPr>
          <w:p w14:paraId="6F9547C0"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127,8</w:t>
            </w:r>
          </w:p>
        </w:tc>
        <w:tc>
          <w:tcPr>
            <w:tcW w:w="1120" w:type="dxa"/>
            <w:tcBorders>
              <w:top w:val="nil"/>
              <w:left w:val="nil"/>
              <w:bottom w:val="single" w:sz="4" w:space="0" w:color="auto"/>
              <w:right w:val="single" w:sz="4" w:space="0" w:color="auto"/>
            </w:tcBorders>
            <w:shd w:val="clear" w:color="auto" w:fill="auto"/>
            <w:vAlign w:val="bottom"/>
            <w:hideMark/>
          </w:tcPr>
          <w:p w14:paraId="4CEE7A2C"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108,8</w:t>
            </w:r>
          </w:p>
        </w:tc>
        <w:tc>
          <w:tcPr>
            <w:tcW w:w="713" w:type="dxa"/>
            <w:tcBorders>
              <w:top w:val="nil"/>
              <w:left w:val="nil"/>
              <w:bottom w:val="single" w:sz="4" w:space="0" w:color="auto"/>
              <w:right w:val="single" w:sz="4" w:space="0" w:color="auto"/>
            </w:tcBorders>
            <w:shd w:val="clear" w:color="auto" w:fill="auto"/>
            <w:noWrap/>
            <w:vAlign w:val="bottom"/>
            <w:hideMark/>
          </w:tcPr>
          <w:p w14:paraId="73D1D9B3"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35,6</w:t>
            </w:r>
          </w:p>
        </w:tc>
      </w:tr>
      <w:tr w:rsidR="00D847F2" w:rsidRPr="00B455F7" w14:paraId="7C2416A3" w14:textId="77777777" w:rsidTr="00556699">
        <w:trPr>
          <w:trHeight w:val="124"/>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24D7DCC4" w14:textId="77777777"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Prisilna poravnava</w:t>
            </w:r>
          </w:p>
        </w:tc>
        <w:tc>
          <w:tcPr>
            <w:tcW w:w="1140" w:type="dxa"/>
            <w:tcBorders>
              <w:top w:val="nil"/>
              <w:left w:val="nil"/>
              <w:bottom w:val="single" w:sz="4" w:space="0" w:color="auto"/>
              <w:right w:val="single" w:sz="4" w:space="0" w:color="auto"/>
            </w:tcBorders>
            <w:shd w:val="clear" w:color="auto" w:fill="auto"/>
            <w:vAlign w:val="bottom"/>
            <w:hideMark/>
          </w:tcPr>
          <w:p w14:paraId="083D21AD"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5.193.933</w:t>
            </w:r>
          </w:p>
        </w:tc>
        <w:tc>
          <w:tcPr>
            <w:tcW w:w="1141" w:type="dxa"/>
            <w:tcBorders>
              <w:top w:val="nil"/>
              <w:left w:val="nil"/>
              <w:bottom w:val="single" w:sz="4" w:space="0" w:color="auto"/>
              <w:right w:val="single" w:sz="4" w:space="0" w:color="auto"/>
            </w:tcBorders>
            <w:shd w:val="clear" w:color="auto" w:fill="auto"/>
            <w:noWrap/>
            <w:vAlign w:val="bottom"/>
            <w:hideMark/>
          </w:tcPr>
          <w:p w14:paraId="2C418E7D"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3.790.277</w:t>
            </w:r>
          </w:p>
        </w:tc>
        <w:tc>
          <w:tcPr>
            <w:tcW w:w="1133" w:type="dxa"/>
            <w:tcBorders>
              <w:top w:val="nil"/>
              <w:left w:val="nil"/>
              <w:bottom w:val="single" w:sz="4" w:space="0" w:color="auto"/>
              <w:right w:val="single" w:sz="4" w:space="0" w:color="auto"/>
            </w:tcBorders>
            <w:shd w:val="clear" w:color="auto" w:fill="auto"/>
            <w:noWrap/>
            <w:vAlign w:val="bottom"/>
            <w:hideMark/>
          </w:tcPr>
          <w:p w14:paraId="6A04246E"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1.720.536</w:t>
            </w:r>
          </w:p>
        </w:tc>
        <w:tc>
          <w:tcPr>
            <w:tcW w:w="1083" w:type="dxa"/>
            <w:tcBorders>
              <w:top w:val="nil"/>
              <w:left w:val="nil"/>
              <w:bottom w:val="single" w:sz="4" w:space="0" w:color="auto"/>
              <w:right w:val="single" w:sz="4" w:space="0" w:color="auto"/>
            </w:tcBorders>
            <w:shd w:val="clear" w:color="auto" w:fill="auto"/>
            <w:vAlign w:val="bottom"/>
            <w:hideMark/>
          </w:tcPr>
          <w:p w14:paraId="3BF673B1"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73,0</w:t>
            </w:r>
          </w:p>
        </w:tc>
        <w:tc>
          <w:tcPr>
            <w:tcW w:w="1083" w:type="dxa"/>
            <w:tcBorders>
              <w:top w:val="nil"/>
              <w:left w:val="nil"/>
              <w:bottom w:val="single" w:sz="4" w:space="0" w:color="auto"/>
              <w:right w:val="single" w:sz="4" w:space="0" w:color="auto"/>
            </w:tcBorders>
            <w:shd w:val="clear" w:color="auto" w:fill="auto"/>
            <w:vAlign w:val="bottom"/>
            <w:hideMark/>
          </w:tcPr>
          <w:p w14:paraId="78C11E12"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33,1</w:t>
            </w:r>
          </w:p>
        </w:tc>
        <w:tc>
          <w:tcPr>
            <w:tcW w:w="1120" w:type="dxa"/>
            <w:tcBorders>
              <w:top w:val="nil"/>
              <w:left w:val="nil"/>
              <w:bottom w:val="single" w:sz="4" w:space="0" w:color="auto"/>
              <w:right w:val="single" w:sz="4" w:space="0" w:color="auto"/>
            </w:tcBorders>
            <w:shd w:val="clear" w:color="auto" w:fill="auto"/>
            <w:vAlign w:val="bottom"/>
            <w:hideMark/>
          </w:tcPr>
          <w:p w14:paraId="23AB9167"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45,4</w:t>
            </w:r>
          </w:p>
        </w:tc>
        <w:tc>
          <w:tcPr>
            <w:tcW w:w="713" w:type="dxa"/>
            <w:tcBorders>
              <w:top w:val="nil"/>
              <w:left w:val="nil"/>
              <w:bottom w:val="single" w:sz="4" w:space="0" w:color="auto"/>
              <w:right w:val="single" w:sz="4" w:space="0" w:color="auto"/>
            </w:tcBorders>
            <w:shd w:val="clear" w:color="auto" w:fill="auto"/>
            <w:noWrap/>
            <w:vAlign w:val="bottom"/>
            <w:hideMark/>
          </w:tcPr>
          <w:p w14:paraId="07F5CF73"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0,4</w:t>
            </w:r>
          </w:p>
        </w:tc>
      </w:tr>
      <w:tr w:rsidR="00D847F2" w:rsidRPr="00B455F7" w14:paraId="779F85A5" w14:textId="77777777" w:rsidTr="00556699">
        <w:trPr>
          <w:trHeight w:val="171"/>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0F855D55" w14:textId="77777777"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Fizična oseba odseljena neznano kam</w:t>
            </w:r>
          </w:p>
        </w:tc>
        <w:tc>
          <w:tcPr>
            <w:tcW w:w="1140" w:type="dxa"/>
            <w:tcBorders>
              <w:top w:val="nil"/>
              <w:left w:val="nil"/>
              <w:bottom w:val="single" w:sz="4" w:space="0" w:color="auto"/>
              <w:right w:val="single" w:sz="4" w:space="0" w:color="auto"/>
            </w:tcBorders>
            <w:shd w:val="clear" w:color="auto" w:fill="auto"/>
            <w:vAlign w:val="bottom"/>
            <w:hideMark/>
          </w:tcPr>
          <w:p w14:paraId="0A5A51EF"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10.838.175</w:t>
            </w:r>
          </w:p>
        </w:tc>
        <w:tc>
          <w:tcPr>
            <w:tcW w:w="1141" w:type="dxa"/>
            <w:tcBorders>
              <w:top w:val="nil"/>
              <w:left w:val="nil"/>
              <w:bottom w:val="single" w:sz="4" w:space="0" w:color="auto"/>
              <w:right w:val="single" w:sz="4" w:space="0" w:color="auto"/>
            </w:tcBorders>
            <w:shd w:val="clear" w:color="auto" w:fill="auto"/>
            <w:noWrap/>
            <w:vAlign w:val="bottom"/>
            <w:hideMark/>
          </w:tcPr>
          <w:p w14:paraId="4605FF50"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10.452.064</w:t>
            </w:r>
          </w:p>
        </w:tc>
        <w:tc>
          <w:tcPr>
            <w:tcW w:w="1133" w:type="dxa"/>
            <w:tcBorders>
              <w:top w:val="nil"/>
              <w:left w:val="nil"/>
              <w:bottom w:val="single" w:sz="4" w:space="0" w:color="auto"/>
              <w:right w:val="single" w:sz="4" w:space="0" w:color="auto"/>
            </w:tcBorders>
            <w:shd w:val="clear" w:color="auto" w:fill="auto"/>
            <w:noWrap/>
            <w:vAlign w:val="bottom"/>
            <w:hideMark/>
          </w:tcPr>
          <w:p w14:paraId="6F207075"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10.924.209</w:t>
            </w:r>
          </w:p>
        </w:tc>
        <w:tc>
          <w:tcPr>
            <w:tcW w:w="1083" w:type="dxa"/>
            <w:tcBorders>
              <w:top w:val="nil"/>
              <w:left w:val="nil"/>
              <w:bottom w:val="single" w:sz="4" w:space="0" w:color="auto"/>
              <w:right w:val="single" w:sz="4" w:space="0" w:color="auto"/>
            </w:tcBorders>
            <w:shd w:val="clear" w:color="auto" w:fill="auto"/>
            <w:vAlign w:val="bottom"/>
            <w:hideMark/>
          </w:tcPr>
          <w:p w14:paraId="4A8734E2"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96,4</w:t>
            </w:r>
          </w:p>
        </w:tc>
        <w:tc>
          <w:tcPr>
            <w:tcW w:w="1083" w:type="dxa"/>
            <w:tcBorders>
              <w:top w:val="nil"/>
              <w:left w:val="nil"/>
              <w:bottom w:val="single" w:sz="4" w:space="0" w:color="auto"/>
              <w:right w:val="single" w:sz="4" w:space="0" w:color="auto"/>
            </w:tcBorders>
            <w:shd w:val="clear" w:color="auto" w:fill="auto"/>
            <w:vAlign w:val="bottom"/>
            <w:hideMark/>
          </w:tcPr>
          <w:p w14:paraId="4004B006"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100,8</w:t>
            </w:r>
          </w:p>
        </w:tc>
        <w:tc>
          <w:tcPr>
            <w:tcW w:w="1120" w:type="dxa"/>
            <w:tcBorders>
              <w:top w:val="nil"/>
              <w:left w:val="nil"/>
              <w:bottom w:val="single" w:sz="4" w:space="0" w:color="auto"/>
              <w:right w:val="single" w:sz="4" w:space="0" w:color="auto"/>
            </w:tcBorders>
            <w:shd w:val="clear" w:color="auto" w:fill="auto"/>
            <w:vAlign w:val="bottom"/>
            <w:hideMark/>
          </w:tcPr>
          <w:p w14:paraId="0EE19B91"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104,5</w:t>
            </w:r>
          </w:p>
        </w:tc>
        <w:tc>
          <w:tcPr>
            <w:tcW w:w="713" w:type="dxa"/>
            <w:tcBorders>
              <w:top w:val="nil"/>
              <w:left w:val="nil"/>
              <w:bottom w:val="single" w:sz="4" w:space="0" w:color="auto"/>
              <w:right w:val="single" w:sz="4" w:space="0" w:color="auto"/>
            </w:tcBorders>
            <w:shd w:val="clear" w:color="auto" w:fill="auto"/>
            <w:noWrap/>
            <w:vAlign w:val="bottom"/>
            <w:hideMark/>
          </w:tcPr>
          <w:p w14:paraId="0019C4CC"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2,4</w:t>
            </w:r>
          </w:p>
        </w:tc>
      </w:tr>
      <w:tr w:rsidR="00D847F2" w:rsidRPr="00B455F7" w14:paraId="34A541A9" w14:textId="77777777" w:rsidTr="00556699">
        <w:trPr>
          <w:trHeight w:val="149"/>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3DD70C58" w14:textId="77777777"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Dolžnik umrl</w:t>
            </w:r>
          </w:p>
        </w:tc>
        <w:tc>
          <w:tcPr>
            <w:tcW w:w="1140" w:type="dxa"/>
            <w:tcBorders>
              <w:top w:val="nil"/>
              <w:left w:val="nil"/>
              <w:bottom w:val="single" w:sz="4" w:space="0" w:color="auto"/>
              <w:right w:val="single" w:sz="4" w:space="0" w:color="auto"/>
            </w:tcBorders>
            <w:shd w:val="clear" w:color="auto" w:fill="auto"/>
            <w:vAlign w:val="bottom"/>
            <w:hideMark/>
          </w:tcPr>
          <w:p w14:paraId="7E0167C1"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7.083.108</w:t>
            </w:r>
          </w:p>
        </w:tc>
        <w:tc>
          <w:tcPr>
            <w:tcW w:w="1141" w:type="dxa"/>
            <w:tcBorders>
              <w:top w:val="nil"/>
              <w:left w:val="nil"/>
              <w:bottom w:val="single" w:sz="4" w:space="0" w:color="auto"/>
              <w:right w:val="single" w:sz="4" w:space="0" w:color="auto"/>
            </w:tcBorders>
            <w:shd w:val="clear" w:color="auto" w:fill="auto"/>
            <w:noWrap/>
            <w:vAlign w:val="bottom"/>
            <w:hideMark/>
          </w:tcPr>
          <w:p w14:paraId="16F64483"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8.262.123</w:t>
            </w:r>
          </w:p>
        </w:tc>
        <w:tc>
          <w:tcPr>
            <w:tcW w:w="1133" w:type="dxa"/>
            <w:tcBorders>
              <w:top w:val="nil"/>
              <w:left w:val="nil"/>
              <w:bottom w:val="single" w:sz="4" w:space="0" w:color="auto"/>
              <w:right w:val="single" w:sz="4" w:space="0" w:color="auto"/>
            </w:tcBorders>
            <w:shd w:val="clear" w:color="auto" w:fill="auto"/>
            <w:noWrap/>
            <w:vAlign w:val="bottom"/>
            <w:hideMark/>
          </w:tcPr>
          <w:p w14:paraId="00AF1090"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5.339.612</w:t>
            </w:r>
          </w:p>
        </w:tc>
        <w:tc>
          <w:tcPr>
            <w:tcW w:w="1083" w:type="dxa"/>
            <w:tcBorders>
              <w:top w:val="nil"/>
              <w:left w:val="nil"/>
              <w:bottom w:val="single" w:sz="4" w:space="0" w:color="auto"/>
              <w:right w:val="single" w:sz="4" w:space="0" w:color="auto"/>
            </w:tcBorders>
            <w:shd w:val="clear" w:color="auto" w:fill="auto"/>
            <w:vAlign w:val="bottom"/>
            <w:hideMark/>
          </w:tcPr>
          <w:p w14:paraId="571B15EA"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116,6</w:t>
            </w:r>
          </w:p>
        </w:tc>
        <w:tc>
          <w:tcPr>
            <w:tcW w:w="1083" w:type="dxa"/>
            <w:tcBorders>
              <w:top w:val="nil"/>
              <w:left w:val="nil"/>
              <w:bottom w:val="single" w:sz="4" w:space="0" w:color="auto"/>
              <w:right w:val="single" w:sz="4" w:space="0" w:color="auto"/>
            </w:tcBorders>
            <w:shd w:val="clear" w:color="auto" w:fill="auto"/>
            <w:vAlign w:val="bottom"/>
            <w:hideMark/>
          </w:tcPr>
          <w:p w14:paraId="4524954A"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75,4</w:t>
            </w:r>
          </w:p>
        </w:tc>
        <w:tc>
          <w:tcPr>
            <w:tcW w:w="1120" w:type="dxa"/>
            <w:tcBorders>
              <w:top w:val="nil"/>
              <w:left w:val="nil"/>
              <w:bottom w:val="single" w:sz="4" w:space="0" w:color="auto"/>
              <w:right w:val="single" w:sz="4" w:space="0" w:color="auto"/>
            </w:tcBorders>
            <w:shd w:val="clear" w:color="auto" w:fill="auto"/>
            <w:vAlign w:val="bottom"/>
            <w:hideMark/>
          </w:tcPr>
          <w:p w14:paraId="278010AD"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64,6</w:t>
            </w:r>
          </w:p>
        </w:tc>
        <w:tc>
          <w:tcPr>
            <w:tcW w:w="713" w:type="dxa"/>
            <w:tcBorders>
              <w:top w:val="nil"/>
              <w:left w:val="nil"/>
              <w:bottom w:val="single" w:sz="4" w:space="0" w:color="auto"/>
              <w:right w:val="single" w:sz="4" w:space="0" w:color="auto"/>
            </w:tcBorders>
            <w:shd w:val="clear" w:color="auto" w:fill="auto"/>
            <w:noWrap/>
            <w:vAlign w:val="bottom"/>
            <w:hideMark/>
          </w:tcPr>
          <w:p w14:paraId="770C79B0"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1,2</w:t>
            </w:r>
          </w:p>
        </w:tc>
      </w:tr>
      <w:tr w:rsidR="00D847F2" w:rsidRPr="00B455F7" w14:paraId="1466EBED" w14:textId="77777777" w:rsidTr="00556699">
        <w:trPr>
          <w:trHeight w:val="124"/>
        </w:trPr>
        <w:tc>
          <w:tcPr>
            <w:tcW w:w="1928" w:type="dxa"/>
            <w:tcBorders>
              <w:top w:val="nil"/>
              <w:left w:val="single" w:sz="4" w:space="0" w:color="auto"/>
              <w:bottom w:val="single" w:sz="4" w:space="0" w:color="auto"/>
              <w:right w:val="single" w:sz="4" w:space="0" w:color="auto"/>
            </w:tcBorders>
            <w:shd w:val="clear" w:color="auto" w:fill="auto"/>
            <w:vAlign w:val="bottom"/>
            <w:hideMark/>
          </w:tcPr>
          <w:p w14:paraId="42D4B973" w14:textId="607A6D29" w:rsidR="00D847F2" w:rsidRPr="00B455F7" w:rsidRDefault="00D847F2" w:rsidP="00556699">
            <w:pPr>
              <w:spacing w:after="0" w:line="240" w:lineRule="auto"/>
              <w:rPr>
                <w:rFonts w:ascii="Arial" w:eastAsia="Times New Roman" w:hAnsi="Arial" w:cs="Arial"/>
                <w:sz w:val="18"/>
                <w:szCs w:val="18"/>
                <w:lang w:eastAsia="sl-SI"/>
              </w:rPr>
            </w:pPr>
            <w:r w:rsidRPr="00B455F7">
              <w:rPr>
                <w:rFonts w:ascii="Arial" w:eastAsia="Times New Roman" w:hAnsi="Arial" w:cs="Arial"/>
                <w:sz w:val="18"/>
                <w:szCs w:val="18"/>
                <w:lang w:eastAsia="sl-SI"/>
              </w:rPr>
              <w:t>*</w:t>
            </w:r>
            <w:r w:rsidR="00196821">
              <w:rPr>
                <w:rFonts w:ascii="Arial" w:eastAsia="Times New Roman" w:hAnsi="Arial" w:cs="Arial"/>
                <w:sz w:val="18"/>
                <w:szCs w:val="18"/>
                <w:lang w:eastAsia="sl-SI"/>
              </w:rPr>
              <w:t>Preo</w:t>
            </w:r>
            <w:r w:rsidRPr="00B455F7">
              <w:rPr>
                <w:rFonts w:ascii="Arial" w:eastAsia="Times New Roman" w:hAnsi="Arial" w:cs="Arial"/>
                <w:sz w:val="18"/>
                <w:szCs w:val="18"/>
                <w:lang w:eastAsia="sl-SI"/>
              </w:rPr>
              <w:t>stalo</w:t>
            </w:r>
          </w:p>
        </w:tc>
        <w:tc>
          <w:tcPr>
            <w:tcW w:w="1140" w:type="dxa"/>
            <w:tcBorders>
              <w:top w:val="nil"/>
              <w:left w:val="nil"/>
              <w:bottom w:val="single" w:sz="4" w:space="0" w:color="auto"/>
              <w:right w:val="single" w:sz="4" w:space="0" w:color="auto"/>
            </w:tcBorders>
            <w:shd w:val="clear" w:color="auto" w:fill="auto"/>
            <w:vAlign w:val="bottom"/>
            <w:hideMark/>
          </w:tcPr>
          <w:p w14:paraId="75DB4E6F"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908.025</w:t>
            </w:r>
          </w:p>
        </w:tc>
        <w:tc>
          <w:tcPr>
            <w:tcW w:w="1141" w:type="dxa"/>
            <w:tcBorders>
              <w:top w:val="nil"/>
              <w:left w:val="nil"/>
              <w:bottom w:val="single" w:sz="4" w:space="0" w:color="auto"/>
              <w:right w:val="single" w:sz="4" w:space="0" w:color="auto"/>
            </w:tcBorders>
            <w:shd w:val="clear" w:color="auto" w:fill="auto"/>
            <w:noWrap/>
            <w:vAlign w:val="bottom"/>
            <w:hideMark/>
          </w:tcPr>
          <w:p w14:paraId="795CFA79"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613.426</w:t>
            </w:r>
          </w:p>
        </w:tc>
        <w:tc>
          <w:tcPr>
            <w:tcW w:w="1133" w:type="dxa"/>
            <w:tcBorders>
              <w:top w:val="nil"/>
              <w:left w:val="nil"/>
              <w:bottom w:val="single" w:sz="4" w:space="0" w:color="auto"/>
              <w:right w:val="single" w:sz="4" w:space="0" w:color="auto"/>
            </w:tcBorders>
            <w:shd w:val="clear" w:color="auto" w:fill="auto"/>
            <w:noWrap/>
            <w:vAlign w:val="bottom"/>
            <w:hideMark/>
          </w:tcPr>
          <w:p w14:paraId="7F01E16C"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462.895</w:t>
            </w:r>
          </w:p>
        </w:tc>
        <w:tc>
          <w:tcPr>
            <w:tcW w:w="1083" w:type="dxa"/>
            <w:tcBorders>
              <w:top w:val="nil"/>
              <w:left w:val="nil"/>
              <w:bottom w:val="single" w:sz="4" w:space="0" w:color="auto"/>
              <w:right w:val="single" w:sz="4" w:space="0" w:color="auto"/>
            </w:tcBorders>
            <w:shd w:val="clear" w:color="auto" w:fill="auto"/>
            <w:vAlign w:val="bottom"/>
            <w:hideMark/>
          </w:tcPr>
          <w:p w14:paraId="0631FAFA"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67,6</w:t>
            </w:r>
          </w:p>
        </w:tc>
        <w:tc>
          <w:tcPr>
            <w:tcW w:w="1083" w:type="dxa"/>
            <w:tcBorders>
              <w:top w:val="nil"/>
              <w:left w:val="nil"/>
              <w:bottom w:val="single" w:sz="4" w:space="0" w:color="auto"/>
              <w:right w:val="single" w:sz="4" w:space="0" w:color="auto"/>
            </w:tcBorders>
            <w:shd w:val="clear" w:color="auto" w:fill="auto"/>
            <w:vAlign w:val="bottom"/>
            <w:hideMark/>
          </w:tcPr>
          <w:p w14:paraId="4675FD58"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51,0</w:t>
            </w:r>
          </w:p>
        </w:tc>
        <w:tc>
          <w:tcPr>
            <w:tcW w:w="1120" w:type="dxa"/>
            <w:tcBorders>
              <w:top w:val="nil"/>
              <w:left w:val="nil"/>
              <w:bottom w:val="single" w:sz="4" w:space="0" w:color="auto"/>
              <w:right w:val="single" w:sz="4" w:space="0" w:color="auto"/>
            </w:tcBorders>
            <w:shd w:val="clear" w:color="auto" w:fill="auto"/>
            <w:vAlign w:val="bottom"/>
            <w:hideMark/>
          </w:tcPr>
          <w:p w14:paraId="3784FF79"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75,5</w:t>
            </w:r>
          </w:p>
        </w:tc>
        <w:tc>
          <w:tcPr>
            <w:tcW w:w="713" w:type="dxa"/>
            <w:tcBorders>
              <w:top w:val="nil"/>
              <w:left w:val="nil"/>
              <w:bottom w:val="single" w:sz="4" w:space="0" w:color="auto"/>
              <w:right w:val="single" w:sz="4" w:space="0" w:color="auto"/>
            </w:tcBorders>
            <w:shd w:val="clear" w:color="auto" w:fill="auto"/>
            <w:noWrap/>
            <w:vAlign w:val="bottom"/>
            <w:hideMark/>
          </w:tcPr>
          <w:p w14:paraId="04498B05"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0,1</w:t>
            </w:r>
          </w:p>
        </w:tc>
      </w:tr>
      <w:tr w:rsidR="00D847F2" w:rsidRPr="00B455F7" w14:paraId="7FBC2A32" w14:textId="77777777" w:rsidTr="00556699">
        <w:trPr>
          <w:trHeight w:val="84"/>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4B75A3E9" w14:textId="77777777" w:rsidR="00D847F2" w:rsidRPr="00B455F7" w:rsidRDefault="00D847F2" w:rsidP="00556699">
            <w:pPr>
              <w:spacing w:after="0" w:line="240" w:lineRule="auto"/>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SKUPAJ</w:t>
            </w:r>
          </w:p>
        </w:tc>
        <w:tc>
          <w:tcPr>
            <w:tcW w:w="1140" w:type="dxa"/>
            <w:tcBorders>
              <w:top w:val="nil"/>
              <w:left w:val="nil"/>
              <w:bottom w:val="single" w:sz="4" w:space="0" w:color="auto"/>
              <w:right w:val="single" w:sz="4" w:space="0" w:color="auto"/>
            </w:tcBorders>
            <w:shd w:val="clear" w:color="auto" w:fill="auto"/>
            <w:vAlign w:val="center"/>
            <w:hideMark/>
          </w:tcPr>
          <w:p w14:paraId="7B1E000D" w14:textId="77777777" w:rsidR="00D847F2" w:rsidRPr="00B455F7" w:rsidRDefault="00D847F2" w:rsidP="00556699">
            <w:pPr>
              <w:spacing w:after="0" w:line="240" w:lineRule="auto"/>
              <w:jc w:val="right"/>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499.407.850</w:t>
            </w:r>
          </w:p>
        </w:tc>
        <w:tc>
          <w:tcPr>
            <w:tcW w:w="1141" w:type="dxa"/>
            <w:tcBorders>
              <w:top w:val="nil"/>
              <w:left w:val="nil"/>
              <w:bottom w:val="single" w:sz="4" w:space="0" w:color="auto"/>
              <w:right w:val="single" w:sz="4" w:space="0" w:color="auto"/>
            </w:tcBorders>
            <w:shd w:val="clear" w:color="auto" w:fill="auto"/>
            <w:vAlign w:val="center"/>
            <w:hideMark/>
          </w:tcPr>
          <w:p w14:paraId="48F4EDD4" w14:textId="77777777" w:rsidR="00D847F2" w:rsidRPr="00B455F7" w:rsidRDefault="00D847F2" w:rsidP="00556699">
            <w:pPr>
              <w:spacing w:after="0" w:line="240" w:lineRule="auto"/>
              <w:jc w:val="right"/>
              <w:rPr>
                <w:rFonts w:ascii="Arial" w:eastAsia="Times New Roman" w:hAnsi="Arial" w:cs="Arial"/>
                <w:b/>
                <w:bCs/>
                <w:color w:val="000000"/>
                <w:sz w:val="18"/>
                <w:szCs w:val="18"/>
                <w:lang w:eastAsia="sl-SI"/>
              </w:rPr>
            </w:pPr>
            <w:r w:rsidRPr="00B455F7">
              <w:rPr>
                <w:rFonts w:ascii="Arial" w:eastAsia="Times New Roman" w:hAnsi="Arial" w:cs="Arial"/>
                <w:b/>
                <w:bCs/>
                <w:color w:val="000000"/>
                <w:sz w:val="18"/>
                <w:szCs w:val="18"/>
                <w:lang w:eastAsia="sl-SI"/>
              </w:rPr>
              <w:t>487.349.805</w:t>
            </w:r>
          </w:p>
        </w:tc>
        <w:tc>
          <w:tcPr>
            <w:tcW w:w="1133" w:type="dxa"/>
            <w:tcBorders>
              <w:top w:val="nil"/>
              <w:left w:val="nil"/>
              <w:bottom w:val="single" w:sz="4" w:space="0" w:color="auto"/>
              <w:right w:val="single" w:sz="4" w:space="0" w:color="auto"/>
            </w:tcBorders>
            <w:shd w:val="clear" w:color="auto" w:fill="auto"/>
            <w:vAlign w:val="center"/>
            <w:hideMark/>
          </w:tcPr>
          <w:p w14:paraId="7754C8A3" w14:textId="77777777" w:rsidR="00D847F2" w:rsidRPr="00B455F7" w:rsidRDefault="00D847F2" w:rsidP="00556699">
            <w:pPr>
              <w:spacing w:after="0" w:line="240" w:lineRule="auto"/>
              <w:jc w:val="right"/>
              <w:rPr>
                <w:rFonts w:ascii="Arial" w:eastAsia="Times New Roman" w:hAnsi="Arial" w:cs="Arial"/>
                <w:b/>
                <w:bCs/>
                <w:sz w:val="18"/>
                <w:szCs w:val="18"/>
                <w:lang w:eastAsia="sl-SI"/>
              </w:rPr>
            </w:pPr>
            <w:r w:rsidRPr="00B455F7">
              <w:rPr>
                <w:rFonts w:ascii="Arial" w:eastAsia="Times New Roman" w:hAnsi="Arial" w:cs="Arial"/>
                <w:b/>
                <w:bCs/>
                <w:sz w:val="18"/>
                <w:szCs w:val="18"/>
                <w:lang w:eastAsia="sl-SI"/>
              </w:rPr>
              <w:t>456.724.627</w:t>
            </w:r>
          </w:p>
        </w:tc>
        <w:tc>
          <w:tcPr>
            <w:tcW w:w="1083" w:type="dxa"/>
            <w:tcBorders>
              <w:top w:val="nil"/>
              <w:left w:val="nil"/>
              <w:bottom w:val="single" w:sz="4" w:space="0" w:color="auto"/>
              <w:right w:val="single" w:sz="4" w:space="0" w:color="auto"/>
            </w:tcBorders>
            <w:shd w:val="clear" w:color="auto" w:fill="auto"/>
            <w:vAlign w:val="bottom"/>
            <w:hideMark/>
          </w:tcPr>
          <w:p w14:paraId="0AA20144"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97,6</w:t>
            </w:r>
          </w:p>
        </w:tc>
        <w:tc>
          <w:tcPr>
            <w:tcW w:w="1083" w:type="dxa"/>
            <w:tcBorders>
              <w:top w:val="nil"/>
              <w:left w:val="nil"/>
              <w:bottom w:val="single" w:sz="4" w:space="0" w:color="auto"/>
              <w:right w:val="single" w:sz="4" w:space="0" w:color="auto"/>
            </w:tcBorders>
            <w:shd w:val="clear" w:color="auto" w:fill="auto"/>
            <w:vAlign w:val="bottom"/>
            <w:hideMark/>
          </w:tcPr>
          <w:p w14:paraId="04173E7C" w14:textId="77777777" w:rsidR="00D847F2" w:rsidRPr="00B455F7" w:rsidRDefault="00D847F2" w:rsidP="00556699">
            <w:pPr>
              <w:spacing w:after="0" w:line="240" w:lineRule="auto"/>
              <w:jc w:val="right"/>
              <w:rPr>
                <w:rFonts w:ascii="Arial" w:eastAsia="Times New Roman" w:hAnsi="Arial" w:cs="Arial"/>
                <w:sz w:val="18"/>
                <w:szCs w:val="18"/>
                <w:lang w:eastAsia="sl-SI"/>
              </w:rPr>
            </w:pPr>
            <w:r w:rsidRPr="00B455F7">
              <w:rPr>
                <w:rFonts w:ascii="Arial" w:eastAsia="Times New Roman" w:hAnsi="Arial" w:cs="Arial"/>
                <w:sz w:val="18"/>
                <w:szCs w:val="18"/>
                <w:lang w:eastAsia="sl-SI"/>
              </w:rPr>
              <w:t>91,5</w:t>
            </w:r>
          </w:p>
        </w:tc>
        <w:tc>
          <w:tcPr>
            <w:tcW w:w="1120" w:type="dxa"/>
            <w:tcBorders>
              <w:top w:val="nil"/>
              <w:left w:val="nil"/>
              <w:bottom w:val="single" w:sz="4" w:space="0" w:color="auto"/>
              <w:right w:val="single" w:sz="4" w:space="0" w:color="auto"/>
            </w:tcBorders>
            <w:shd w:val="clear" w:color="auto" w:fill="auto"/>
            <w:vAlign w:val="bottom"/>
            <w:hideMark/>
          </w:tcPr>
          <w:p w14:paraId="0AC4D80B"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93,7</w:t>
            </w:r>
          </w:p>
        </w:tc>
        <w:tc>
          <w:tcPr>
            <w:tcW w:w="713" w:type="dxa"/>
            <w:tcBorders>
              <w:top w:val="nil"/>
              <w:left w:val="nil"/>
              <w:bottom w:val="single" w:sz="4" w:space="0" w:color="auto"/>
              <w:right w:val="single" w:sz="4" w:space="0" w:color="auto"/>
            </w:tcBorders>
            <w:shd w:val="clear" w:color="auto" w:fill="auto"/>
            <w:noWrap/>
            <w:vAlign w:val="bottom"/>
            <w:hideMark/>
          </w:tcPr>
          <w:p w14:paraId="3CA0CBED" w14:textId="77777777" w:rsidR="00D847F2" w:rsidRPr="00B455F7" w:rsidRDefault="00D847F2" w:rsidP="00556699">
            <w:pPr>
              <w:spacing w:after="0" w:line="240" w:lineRule="auto"/>
              <w:jc w:val="right"/>
              <w:rPr>
                <w:rFonts w:ascii="Arial" w:eastAsia="Times New Roman" w:hAnsi="Arial" w:cs="Arial"/>
                <w:color w:val="000000"/>
                <w:sz w:val="18"/>
                <w:szCs w:val="18"/>
                <w:lang w:eastAsia="sl-SI"/>
              </w:rPr>
            </w:pPr>
            <w:r w:rsidRPr="00B455F7">
              <w:rPr>
                <w:rFonts w:ascii="Arial" w:eastAsia="Times New Roman" w:hAnsi="Arial" w:cs="Arial"/>
                <w:color w:val="000000"/>
                <w:sz w:val="18"/>
                <w:szCs w:val="18"/>
                <w:lang w:eastAsia="sl-SI"/>
              </w:rPr>
              <w:t>100</w:t>
            </w:r>
          </w:p>
        </w:tc>
      </w:tr>
    </w:tbl>
    <w:p w14:paraId="70ABBDF7" w14:textId="05565CE0" w:rsidR="00D847F2" w:rsidRPr="006E2C83" w:rsidRDefault="00D847F2" w:rsidP="00D847F2">
      <w:pPr>
        <w:spacing w:after="0"/>
        <w:rPr>
          <w:rFonts w:ascii="Arial" w:hAnsi="Arial" w:cs="Arial"/>
          <w:bCs/>
          <w:color w:val="000000"/>
          <w:sz w:val="16"/>
          <w:szCs w:val="16"/>
        </w:rPr>
      </w:pPr>
      <w:r w:rsidRPr="006E2C83">
        <w:rPr>
          <w:rFonts w:ascii="Arial" w:hAnsi="Arial" w:cs="Arial"/>
          <w:i/>
          <w:sz w:val="16"/>
          <w:szCs w:val="16"/>
        </w:rPr>
        <w:t>*</w:t>
      </w:r>
      <w:r w:rsidRPr="006E2C83">
        <w:rPr>
          <w:rFonts w:ascii="Arial" w:hAnsi="Arial" w:cs="Arial"/>
          <w:bCs/>
          <w:color w:val="000000"/>
          <w:sz w:val="16"/>
          <w:szCs w:val="16"/>
        </w:rPr>
        <w:t xml:space="preserve"> </w:t>
      </w:r>
      <w:r w:rsidR="00196821">
        <w:rPr>
          <w:rFonts w:ascii="Arial" w:hAnsi="Arial" w:cs="Arial"/>
          <w:bCs/>
          <w:color w:val="000000"/>
          <w:sz w:val="16"/>
          <w:szCs w:val="16"/>
        </w:rPr>
        <w:t>PRE</w:t>
      </w:r>
      <w:r w:rsidRPr="006E2C83">
        <w:rPr>
          <w:rFonts w:ascii="Arial" w:hAnsi="Arial" w:cs="Arial"/>
          <w:bCs/>
          <w:color w:val="000000"/>
          <w:sz w:val="16"/>
          <w:szCs w:val="16"/>
        </w:rPr>
        <w:t>OSTALO: prisilna likvidacija, izbris brez likvidacije i</w:t>
      </w:r>
      <w:r w:rsidR="00196821">
        <w:rPr>
          <w:rFonts w:ascii="Arial" w:hAnsi="Arial" w:cs="Arial"/>
          <w:bCs/>
          <w:color w:val="000000"/>
          <w:sz w:val="16"/>
          <w:szCs w:val="16"/>
        </w:rPr>
        <w:t xml:space="preserve">n </w:t>
      </w:r>
      <w:r w:rsidRPr="006E2C83">
        <w:rPr>
          <w:rFonts w:ascii="Arial" w:hAnsi="Arial" w:cs="Arial"/>
          <w:bCs/>
          <w:color w:val="000000"/>
          <w:sz w:val="16"/>
          <w:szCs w:val="16"/>
        </w:rPr>
        <w:t>p</w:t>
      </w:r>
      <w:r w:rsidR="00196821">
        <w:rPr>
          <w:rFonts w:ascii="Arial" w:hAnsi="Arial" w:cs="Arial"/>
          <w:bCs/>
          <w:color w:val="000000"/>
          <w:sz w:val="16"/>
          <w:szCs w:val="16"/>
        </w:rPr>
        <w:t>o</w:t>
      </w:r>
      <w:r w:rsidRPr="006E2C83">
        <w:rPr>
          <w:rFonts w:ascii="Arial" w:hAnsi="Arial" w:cs="Arial"/>
          <w:bCs/>
          <w:color w:val="000000"/>
          <w:sz w:val="16"/>
          <w:szCs w:val="16"/>
        </w:rPr>
        <w:t>d</w:t>
      </w:r>
      <w:r w:rsidR="00196821">
        <w:rPr>
          <w:rFonts w:ascii="Arial" w:hAnsi="Arial" w:cs="Arial"/>
          <w:bCs/>
          <w:color w:val="000000"/>
          <w:sz w:val="16"/>
          <w:szCs w:val="16"/>
        </w:rPr>
        <w:t>obno</w:t>
      </w:r>
      <w:r w:rsidRPr="006E2C83">
        <w:rPr>
          <w:rFonts w:ascii="Arial" w:hAnsi="Arial" w:cs="Arial"/>
          <w:bCs/>
          <w:color w:val="000000"/>
          <w:sz w:val="16"/>
          <w:szCs w:val="16"/>
        </w:rPr>
        <w:t>.</w:t>
      </w:r>
    </w:p>
    <w:p w14:paraId="07A3AC0A" w14:textId="5D35AE14" w:rsidR="00D847F2" w:rsidRDefault="00D847F2" w:rsidP="00D847F2">
      <w:pPr>
        <w:spacing w:after="0"/>
        <w:rPr>
          <w:rFonts w:ascii="Arial" w:hAnsi="Arial" w:cs="Arial"/>
          <w:i/>
          <w:color w:val="000000"/>
          <w:sz w:val="20"/>
          <w:szCs w:val="20"/>
        </w:rPr>
      </w:pPr>
      <w:r w:rsidRPr="006E2C83">
        <w:rPr>
          <w:rFonts w:ascii="Arial" w:hAnsi="Arial" w:cs="Arial"/>
          <w:i/>
          <w:color w:val="000000"/>
          <w:sz w:val="20"/>
          <w:szCs w:val="20"/>
        </w:rPr>
        <w:t>Vir: FURS</w:t>
      </w:r>
      <w:r w:rsidR="00196821">
        <w:rPr>
          <w:rFonts w:ascii="Arial" w:hAnsi="Arial" w:cs="Arial"/>
          <w:i/>
          <w:color w:val="000000"/>
          <w:sz w:val="20"/>
          <w:szCs w:val="20"/>
        </w:rPr>
        <w:t>.</w:t>
      </w:r>
    </w:p>
    <w:p w14:paraId="2D0BA020" w14:textId="77777777" w:rsidR="00D847F2" w:rsidRDefault="00D847F2" w:rsidP="00D847F2">
      <w:pPr>
        <w:pStyle w:val="Naslov3"/>
        <w:rPr>
          <w:rFonts w:ascii="Arial" w:hAnsi="Arial" w:cs="Arial"/>
          <w:sz w:val="20"/>
          <w:szCs w:val="20"/>
        </w:rPr>
      </w:pPr>
      <w:r w:rsidRPr="00BA29B2">
        <w:rPr>
          <w:rFonts w:ascii="Arial" w:hAnsi="Arial" w:cs="Arial"/>
          <w:sz w:val="20"/>
          <w:szCs w:val="20"/>
        </w:rPr>
        <w:t>4.2 Gibanje davčnega dolga</w:t>
      </w:r>
      <w:r w:rsidRPr="0072462B">
        <w:rPr>
          <w:rFonts w:ascii="Arial" w:hAnsi="Arial" w:cs="Arial"/>
          <w:sz w:val="20"/>
          <w:szCs w:val="20"/>
        </w:rPr>
        <w:t xml:space="preserve"> </w:t>
      </w:r>
    </w:p>
    <w:p w14:paraId="320AB0B6" w14:textId="2FCEA34A" w:rsidR="00D847F2" w:rsidRDefault="00D847F2" w:rsidP="00D847F2">
      <w:pPr>
        <w:jc w:val="both"/>
        <w:rPr>
          <w:rFonts w:ascii="Arial" w:hAnsi="Arial" w:cs="Arial"/>
          <w:sz w:val="20"/>
          <w:szCs w:val="20"/>
        </w:rPr>
      </w:pPr>
      <w:r w:rsidRPr="00C565B6">
        <w:rPr>
          <w:rFonts w:ascii="Arial" w:hAnsi="Arial" w:cs="Arial"/>
          <w:sz w:val="20"/>
          <w:szCs w:val="20"/>
        </w:rPr>
        <w:t>V letu 2022 se je davčni dolg znižal za 22.157.984</w:t>
      </w:r>
      <w:r w:rsidR="00727BBD" w:rsidRPr="00C565B6">
        <w:rPr>
          <w:rFonts w:ascii="Arial" w:hAnsi="Arial" w:cs="Arial"/>
          <w:sz w:val="20"/>
          <w:szCs w:val="20"/>
        </w:rPr>
        <w:t> EUR</w:t>
      </w:r>
      <w:r w:rsidRPr="00C565B6">
        <w:rPr>
          <w:rFonts w:ascii="Arial" w:hAnsi="Arial" w:cs="Arial"/>
          <w:sz w:val="20"/>
          <w:szCs w:val="20"/>
        </w:rPr>
        <w:t xml:space="preserve"> oziroma 2,4 odstotka, v primerjavi z letom 2020 pa za 101.739.404</w:t>
      </w:r>
      <w:r w:rsidR="00727BBD" w:rsidRPr="00C565B6">
        <w:rPr>
          <w:rFonts w:ascii="Arial" w:hAnsi="Arial" w:cs="Arial"/>
          <w:sz w:val="20"/>
          <w:szCs w:val="20"/>
        </w:rPr>
        <w:t> EUR</w:t>
      </w:r>
      <w:r w:rsidRPr="00C565B6">
        <w:rPr>
          <w:rFonts w:ascii="Arial" w:hAnsi="Arial" w:cs="Arial"/>
          <w:sz w:val="20"/>
          <w:szCs w:val="20"/>
        </w:rPr>
        <w:t xml:space="preserve"> (10,2 odstotka). </w:t>
      </w:r>
      <w:r>
        <w:rPr>
          <w:rFonts w:ascii="Arial" w:hAnsi="Arial" w:cs="Arial"/>
          <w:sz w:val="20"/>
          <w:szCs w:val="20"/>
        </w:rPr>
        <w:t>Z</w:t>
      </w:r>
      <w:r w:rsidRPr="00C565B6">
        <w:rPr>
          <w:rFonts w:ascii="Arial" w:hAnsi="Arial" w:cs="Arial"/>
          <w:sz w:val="20"/>
          <w:szCs w:val="20"/>
        </w:rPr>
        <w:t>niževanj</w:t>
      </w:r>
      <w:r>
        <w:rPr>
          <w:rFonts w:ascii="Arial" w:hAnsi="Arial" w:cs="Arial"/>
          <w:sz w:val="20"/>
          <w:szCs w:val="20"/>
        </w:rPr>
        <w:t>e</w:t>
      </w:r>
      <w:r w:rsidRPr="00C565B6">
        <w:rPr>
          <w:rFonts w:ascii="Arial" w:hAnsi="Arial" w:cs="Arial"/>
          <w:sz w:val="20"/>
          <w:szCs w:val="20"/>
        </w:rPr>
        <w:t xml:space="preserve"> davčnega dolga se nadaljuje že od leta 2014.</w:t>
      </w:r>
      <w:r>
        <w:rPr>
          <w:rFonts w:ascii="Arial" w:hAnsi="Arial" w:cs="Arial"/>
          <w:sz w:val="20"/>
          <w:szCs w:val="20"/>
        </w:rPr>
        <w:t xml:space="preserve"> </w:t>
      </w:r>
      <w:r w:rsidRPr="00C565B6">
        <w:rPr>
          <w:rFonts w:ascii="Arial" w:hAnsi="Arial" w:cs="Arial"/>
          <w:sz w:val="20"/>
          <w:szCs w:val="20"/>
        </w:rPr>
        <w:t>Pri aktivnem dolgu je v letu 2022 zaznati zvišanje dolga za 8.467.193</w:t>
      </w:r>
      <w:r w:rsidR="00727BBD" w:rsidRPr="00C565B6">
        <w:rPr>
          <w:rFonts w:ascii="Arial" w:hAnsi="Arial" w:cs="Arial"/>
          <w:sz w:val="20"/>
          <w:szCs w:val="20"/>
        </w:rPr>
        <w:t> EUR</w:t>
      </w:r>
      <w:r w:rsidRPr="00C565B6">
        <w:rPr>
          <w:rFonts w:ascii="Arial" w:hAnsi="Arial" w:cs="Arial"/>
          <w:sz w:val="20"/>
          <w:szCs w:val="20"/>
        </w:rPr>
        <w:t xml:space="preserve"> oziroma 2 odstotka, pri pogojno izterljivem dolgu pa znižanje za 30.625.177</w:t>
      </w:r>
      <w:r w:rsidR="00727BBD" w:rsidRPr="00C565B6">
        <w:rPr>
          <w:rFonts w:ascii="Arial" w:hAnsi="Arial" w:cs="Arial"/>
          <w:sz w:val="20"/>
          <w:szCs w:val="20"/>
        </w:rPr>
        <w:t> EUR</w:t>
      </w:r>
      <w:r w:rsidRPr="00C565B6">
        <w:rPr>
          <w:rFonts w:ascii="Arial" w:hAnsi="Arial" w:cs="Arial"/>
          <w:sz w:val="20"/>
          <w:szCs w:val="20"/>
        </w:rPr>
        <w:t xml:space="preserve"> oziroma 6,3 odstotka.</w:t>
      </w:r>
    </w:p>
    <w:p w14:paraId="5F29FBB9" w14:textId="255B0807" w:rsidR="00D847F2" w:rsidRDefault="00D847F2" w:rsidP="00D847F2">
      <w:pPr>
        <w:jc w:val="both"/>
        <w:rPr>
          <w:rFonts w:ascii="Arial" w:hAnsi="Arial" w:cs="Arial"/>
          <w:sz w:val="20"/>
          <w:szCs w:val="20"/>
        </w:rPr>
      </w:pPr>
      <w:bookmarkStart w:id="13" w:name="_Hlk128384247"/>
      <w:r w:rsidRPr="00BC1A17">
        <w:rPr>
          <w:rFonts w:ascii="Arial" w:hAnsi="Arial" w:cs="Arial"/>
          <w:sz w:val="20"/>
          <w:szCs w:val="20"/>
        </w:rPr>
        <w:t>Na zniževanje davčnega dolga je v letu 2022 vplivalo več dejavnikov. Ključni dejavniki so izvedeni ukrepi izterjave in plačila dolga tudi kot posledica izvedenih ukrepov spodbujanja prostovoljnega plačila davčnih obveznosti še pred zapadlostjo. Vpliv imajo tudi odobrene plačilne ugodnosti, postopki zaradi insolventnosti</w:t>
      </w:r>
      <w:r w:rsidR="00EA0EB9">
        <w:rPr>
          <w:rFonts w:ascii="Arial" w:hAnsi="Arial" w:cs="Arial"/>
          <w:sz w:val="20"/>
          <w:szCs w:val="20"/>
        </w:rPr>
        <w:t>,</w:t>
      </w:r>
      <w:r w:rsidRPr="00BC1A17">
        <w:rPr>
          <w:rFonts w:ascii="Arial" w:hAnsi="Arial" w:cs="Arial"/>
          <w:sz w:val="20"/>
          <w:szCs w:val="20"/>
        </w:rPr>
        <w:t xml:space="preserve"> izvajanje odpisov zaradi zaključka </w:t>
      </w:r>
      <w:r w:rsidRPr="006377CE">
        <w:rPr>
          <w:rFonts w:ascii="Arial" w:eastAsiaTheme="minorHAnsi" w:hAnsi="Arial" w:cstheme="minorBidi"/>
          <w:sz w:val="20"/>
          <w:lang w:eastAsia="sl-SI"/>
        </w:rPr>
        <w:t>postopk</w:t>
      </w:r>
      <w:r>
        <w:rPr>
          <w:rFonts w:ascii="Arial" w:eastAsiaTheme="minorHAnsi" w:hAnsi="Arial" w:cstheme="minorBidi"/>
          <w:sz w:val="20"/>
          <w:lang w:eastAsia="sl-SI"/>
        </w:rPr>
        <w:t>ov</w:t>
      </w:r>
      <w:r w:rsidRPr="006377CE">
        <w:rPr>
          <w:rFonts w:ascii="Arial" w:eastAsiaTheme="minorHAnsi" w:hAnsi="Arial" w:cstheme="minorBidi"/>
          <w:sz w:val="20"/>
          <w:lang w:eastAsia="sl-SI"/>
        </w:rPr>
        <w:t xml:space="preserve"> </w:t>
      </w:r>
      <w:r w:rsidRPr="006377CE">
        <w:rPr>
          <w:rFonts w:ascii="Arial" w:eastAsiaTheme="minorHAnsi" w:hAnsi="Arial" w:cstheme="minorBidi"/>
          <w:sz w:val="20"/>
        </w:rPr>
        <w:t xml:space="preserve">zaradi insolventnosti </w:t>
      </w:r>
      <w:r w:rsidRPr="00BC1A17">
        <w:rPr>
          <w:rFonts w:ascii="Arial" w:hAnsi="Arial" w:cs="Arial"/>
          <w:sz w:val="20"/>
          <w:szCs w:val="20"/>
        </w:rPr>
        <w:t>i</w:t>
      </w:r>
      <w:r w:rsidR="00EA0EB9">
        <w:rPr>
          <w:rFonts w:ascii="Arial" w:hAnsi="Arial" w:cs="Arial"/>
          <w:sz w:val="20"/>
          <w:szCs w:val="20"/>
        </w:rPr>
        <w:t xml:space="preserve">n </w:t>
      </w:r>
      <w:r w:rsidRPr="00BC1A17">
        <w:rPr>
          <w:rFonts w:ascii="Arial" w:hAnsi="Arial" w:cs="Arial"/>
          <w:sz w:val="20"/>
          <w:szCs w:val="20"/>
        </w:rPr>
        <w:t>dr</w:t>
      </w:r>
      <w:r w:rsidR="00EA0EB9">
        <w:rPr>
          <w:rFonts w:ascii="Arial" w:hAnsi="Arial" w:cs="Arial"/>
          <w:sz w:val="20"/>
          <w:szCs w:val="20"/>
        </w:rPr>
        <w:t>ugo</w:t>
      </w:r>
      <w:r w:rsidRPr="00BC1A17">
        <w:rPr>
          <w:rFonts w:ascii="Arial" w:hAnsi="Arial" w:cs="Arial"/>
          <w:sz w:val="20"/>
          <w:szCs w:val="20"/>
        </w:rPr>
        <w:t>.</w:t>
      </w:r>
    </w:p>
    <w:bookmarkEnd w:id="13"/>
    <w:p w14:paraId="68AADE97" w14:textId="77777777" w:rsidR="00D847F2" w:rsidRDefault="00D847F2" w:rsidP="00D847F2">
      <w:pPr>
        <w:rPr>
          <w:rFonts w:ascii="Arial" w:hAnsi="Arial" w:cs="Arial"/>
          <w:i/>
          <w:color w:val="000000"/>
          <w:sz w:val="20"/>
          <w:szCs w:val="20"/>
        </w:rPr>
      </w:pPr>
      <w:r w:rsidRPr="00A320CD">
        <w:rPr>
          <w:rFonts w:ascii="Arial" w:hAnsi="Arial" w:cs="Arial"/>
          <w:i/>
          <w:sz w:val="20"/>
          <w:szCs w:val="20"/>
        </w:rPr>
        <w:t>Slika</w:t>
      </w:r>
      <w:r>
        <w:rPr>
          <w:rFonts w:ascii="Arial" w:hAnsi="Arial" w:cs="Arial"/>
          <w:i/>
          <w:color w:val="000000"/>
          <w:sz w:val="20"/>
          <w:szCs w:val="20"/>
        </w:rPr>
        <w:t xml:space="preserve"> 5:</w:t>
      </w:r>
      <w:r w:rsidRPr="00A320CD">
        <w:rPr>
          <w:rFonts w:ascii="Arial" w:hAnsi="Arial" w:cs="Arial"/>
          <w:i/>
          <w:sz w:val="20"/>
          <w:szCs w:val="20"/>
        </w:rPr>
        <w:t xml:space="preserve"> </w:t>
      </w:r>
      <w:r w:rsidRPr="00A320CD">
        <w:rPr>
          <w:rFonts w:ascii="Arial" w:hAnsi="Arial" w:cs="Arial"/>
          <w:i/>
          <w:color w:val="000000"/>
          <w:sz w:val="20"/>
          <w:szCs w:val="20"/>
        </w:rPr>
        <w:t>Gibanje davčnega dolga v EUR</w:t>
      </w:r>
    </w:p>
    <w:p w14:paraId="7E2A46C1" w14:textId="77777777" w:rsidR="00D847F2" w:rsidRDefault="00D847F2" w:rsidP="00D847F2">
      <w:pPr>
        <w:rPr>
          <w:rFonts w:ascii="Arial" w:hAnsi="Arial" w:cs="Arial"/>
          <w:i/>
          <w:color w:val="000000"/>
          <w:sz w:val="20"/>
          <w:szCs w:val="20"/>
        </w:rPr>
      </w:pPr>
      <w:r>
        <w:rPr>
          <w:noProof/>
          <w:lang w:eastAsia="sl-SI"/>
        </w:rPr>
        <w:drawing>
          <wp:inline distT="0" distB="0" distL="0" distR="0" wp14:anchorId="610BF472" wp14:editId="22AD967A">
            <wp:extent cx="3971917" cy="1531454"/>
            <wp:effectExtent l="19050" t="19050" r="10160" b="1206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9016" cy="1545758"/>
                    </a:xfrm>
                    <a:prstGeom prst="rect">
                      <a:avLst/>
                    </a:prstGeom>
                    <a:ln>
                      <a:solidFill>
                        <a:schemeClr val="accent1"/>
                      </a:solidFill>
                    </a:ln>
                  </pic:spPr>
                </pic:pic>
              </a:graphicData>
            </a:graphic>
          </wp:inline>
        </w:drawing>
      </w:r>
    </w:p>
    <w:p w14:paraId="36E95CA4" w14:textId="791291CD" w:rsidR="00D847F2" w:rsidRPr="003B3C02" w:rsidRDefault="00D847F2" w:rsidP="00D847F2">
      <w:pPr>
        <w:rPr>
          <w:rFonts w:ascii="Arial" w:hAnsi="Arial" w:cs="Arial"/>
          <w:i/>
          <w:sz w:val="20"/>
          <w:szCs w:val="20"/>
        </w:rPr>
      </w:pPr>
      <w:r w:rsidRPr="003B3C02">
        <w:rPr>
          <w:rFonts w:ascii="Arial" w:hAnsi="Arial" w:cs="Arial"/>
          <w:i/>
          <w:sz w:val="20"/>
          <w:szCs w:val="20"/>
        </w:rPr>
        <w:t>Vir: FURS</w:t>
      </w:r>
      <w:r w:rsidR="00EA0EB9">
        <w:rPr>
          <w:rFonts w:ascii="Arial" w:hAnsi="Arial" w:cs="Arial"/>
          <w:i/>
          <w:sz w:val="20"/>
          <w:szCs w:val="20"/>
        </w:rPr>
        <w:t>.</w:t>
      </w:r>
    </w:p>
    <w:p w14:paraId="3193C33D" w14:textId="77777777" w:rsidR="00D847F2" w:rsidRPr="00D3454F" w:rsidRDefault="00D847F2" w:rsidP="00D847F2">
      <w:pPr>
        <w:spacing w:after="0"/>
        <w:jc w:val="both"/>
        <w:rPr>
          <w:rFonts w:ascii="Arial" w:hAnsi="Arial" w:cs="Arial"/>
          <w:sz w:val="20"/>
          <w:szCs w:val="20"/>
        </w:rPr>
      </w:pPr>
      <w:bookmarkStart w:id="14" w:name="_Hlk129329387"/>
      <w:r w:rsidRPr="00D3454F">
        <w:rPr>
          <w:rFonts w:ascii="Arial" w:hAnsi="Arial" w:cs="Arial"/>
          <w:sz w:val="20"/>
          <w:szCs w:val="20"/>
        </w:rPr>
        <w:t xml:space="preserve">Pri spremljanju gibanja davčnega dolga je poleg znižanja absolutnega zneska davčnega dolga v primerjavi s predhodnim obdobjem treba upoštevati tudi gibanje deleža dolga glede na letno pobrane javnofinančne prihodke FURS: </w:t>
      </w:r>
    </w:p>
    <w:p w14:paraId="0CB5D5D4" w14:textId="7CEF7DAC" w:rsidR="00D847F2" w:rsidRPr="007F34ED" w:rsidRDefault="00D847F2" w:rsidP="00CB3A0C">
      <w:pPr>
        <w:numPr>
          <w:ilvl w:val="0"/>
          <w:numId w:val="18"/>
        </w:numPr>
        <w:spacing w:after="0"/>
        <w:jc w:val="both"/>
        <w:rPr>
          <w:rFonts w:ascii="Arial" w:hAnsi="Arial" w:cs="Arial"/>
          <w:sz w:val="20"/>
          <w:szCs w:val="20"/>
        </w:rPr>
      </w:pPr>
      <w:r w:rsidRPr="007F34ED">
        <w:rPr>
          <w:rFonts w:ascii="Arial" w:hAnsi="Arial" w:cs="Arial"/>
          <w:sz w:val="20"/>
          <w:szCs w:val="20"/>
        </w:rPr>
        <w:t xml:space="preserve">delež davčnega dolga za vse javnofinančne blagajne v vseh letno pobranih javnofinančnih prihodkih FURS je v letu 2022 zdrsnil na 4,3 odstotka, v letu 2014, ko je bil ustanovljen FURS, je znašal 10,4 odstotka; </w:t>
      </w:r>
    </w:p>
    <w:p w14:paraId="36D8D140" w14:textId="658E5243" w:rsidR="00D847F2" w:rsidRPr="007F34ED" w:rsidRDefault="00D847F2" w:rsidP="00CB3A0C">
      <w:pPr>
        <w:numPr>
          <w:ilvl w:val="0"/>
          <w:numId w:val="18"/>
        </w:numPr>
        <w:spacing w:after="0"/>
        <w:jc w:val="both"/>
        <w:rPr>
          <w:rFonts w:ascii="Arial" w:hAnsi="Arial" w:cs="Arial"/>
          <w:sz w:val="20"/>
          <w:szCs w:val="20"/>
        </w:rPr>
      </w:pPr>
      <w:r w:rsidRPr="007F34ED">
        <w:rPr>
          <w:rFonts w:ascii="Arial" w:hAnsi="Arial" w:cs="Arial"/>
          <w:sz w:val="20"/>
          <w:szCs w:val="20"/>
        </w:rPr>
        <w:t xml:space="preserve">delež dolga blagajne </w:t>
      </w:r>
      <w:r>
        <w:rPr>
          <w:rFonts w:ascii="Arial" w:hAnsi="Arial" w:cs="Arial"/>
          <w:sz w:val="20"/>
          <w:szCs w:val="20"/>
        </w:rPr>
        <w:t>ZPIZ</w:t>
      </w:r>
      <w:r w:rsidRPr="007F34ED">
        <w:rPr>
          <w:rFonts w:ascii="Arial" w:hAnsi="Arial" w:cs="Arial"/>
          <w:sz w:val="20"/>
          <w:szCs w:val="20"/>
        </w:rPr>
        <w:t xml:space="preserve"> v letno pobranih prispevkih za socialno varnost za pokojninsko in invalidsko zavarovanje je v letu 2022 zdrsnil na 3,1 odstotk</w:t>
      </w:r>
      <w:r w:rsidR="00EA0EB9">
        <w:rPr>
          <w:rFonts w:ascii="Arial" w:hAnsi="Arial" w:cs="Arial"/>
          <w:sz w:val="20"/>
          <w:szCs w:val="20"/>
        </w:rPr>
        <w:t>a</w:t>
      </w:r>
      <w:r w:rsidRPr="007F34ED">
        <w:rPr>
          <w:rFonts w:ascii="Arial" w:hAnsi="Arial" w:cs="Arial"/>
          <w:sz w:val="20"/>
          <w:szCs w:val="20"/>
        </w:rPr>
        <w:t xml:space="preserve">, v letu 2014 </w:t>
      </w:r>
      <w:r w:rsidR="00180BB6">
        <w:rPr>
          <w:rFonts w:ascii="Arial" w:hAnsi="Arial" w:cs="Arial"/>
          <w:sz w:val="20"/>
          <w:szCs w:val="20"/>
        </w:rPr>
        <w:t xml:space="preserve">pa </w:t>
      </w:r>
      <w:r w:rsidRPr="007F34ED">
        <w:rPr>
          <w:rFonts w:ascii="Arial" w:hAnsi="Arial" w:cs="Arial"/>
          <w:sz w:val="20"/>
          <w:szCs w:val="20"/>
        </w:rPr>
        <w:t>je znašal 8,7 odstotka</w:t>
      </w:r>
      <w:r>
        <w:rPr>
          <w:rFonts w:ascii="Arial" w:hAnsi="Arial" w:cs="Arial"/>
          <w:sz w:val="20"/>
          <w:szCs w:val="20"/>
        </w:rPr>
        <w:t>;</w:t>
      </w:r>
    </w:p>
    <w:p w14:paraId="36E056AC" w14:textId="5B364AD0" w:rsidR="00D847F2" w:rsidRDefault="00D847F2" w:rsidP="00CB3A0C">
      <w:pPr>
        <w:numPr>
          <w:ilvl w:val="0"/>
          <w:numId w:val="18"/>
        </w:numPr>
        <w:spacing w:after="0"/>
        <w:jc w:val="both"/>
        <w:rPr>
          <w:rFonts w:ascii="Arial" w:hAnsi="Arial" w:cs="Arial"/>
          <w:sz w:val="20"/>
          <w:szCs w:val="20"/>
        </w:rPr>
      </w:pPr>
      <w:r w:rsidRPr="007F34ED">
        <w:rPr>
          <w:rFonts w:ascii="Arial" w:hAnsi="Arial" w:cs="Arial"/>
          <w:sz w:val="20"/>
          <w:szCs w:val="20"/>
        </w:rPr>
        <w:t xml:space="preserve">delež dolga blagajne </w:t>
      </w:r>
      <w:r>
        <w:rPr>
          <w:rFonts w:ascii="Arial" w:hAnsi="Arial" w:cs="Arial"/>
          <w:sz w:val="20"/>
          <w:szCs w:val="20"/>
        </w:rPr>
        <w:t>ZZZS</w:t>
      </w:r>
      <w:r w:rsidRPr="007F34ED">
        <w:rPr>
          <w:rFonts w:ascii="Arial" w:hAnsi="Arial" w:cs="Arial"/>
          <w:sz w:val="20"/>
          <w:szCs w:val="20"/>
        </w:rPr>
        <w:t xml:space="preserve"> v letno pobranih prispevkih za socialno varnost za zdravstveno zavarovanje je v letu 2022 zdrsnil na 2,4 odstotka, v letu 2014 </w:t>
      </w:r>
      <w:r w:rsidR="00180BB6">
        <w:rPr>
          <w:rFonts w:ascii="Arial" w:hAnsi="Arial" w:cs="Arial"/>
          <w:sz w:val="20"/>
          <w:szCs w:val="20"/>
        </w:rPr>
        <w:t xml:space="preserve">pa </w:t>
      </w:r>
      <w:r w:rsidRPr="007F34ED">
        <w:rPr>
          <w:rFonts w:ascii="Arial" w:hAnsi="Arial" w:cs="Arial"/>
          <w:sz w:val="20"/>
          <w:szCs w:val="20"/>
        </w:rPr>
        <w:t>je znašal 6,2</w:t>
      </w:r>
      <w:r w:rsidR="00180BB6">
        <w:rPr>
          <w:rFonts w:ascii="Arial" w:hAnsi="Arial" w:cs="Arial"/>
          <w:sz w:val="20"/>
          <w:szCs w:val="20"/>
        </w:rPr>
        <w:t>-</w:t>
      </w:r>
      <w:r w:rsidRPr="007F34ED">
        <w:rPr>
          <w:rFonts w:ascii="Arial" w:hAnsi="Arial" w:cs="Arial"/>
          <w:sz w:val="20"/>
          <w:szCs w:val="20"/>
        </w:rPr>
        <w:t xml:space="preserve">odstotka. </w:t>
      </w:r>
    </w:p>
    <w:bookmarkEnd w:id="14"/>
    <w:p w14:paraId="5769D6D4" w14:textId="77777777" w:rsidR="00D847F2" w:rsidRPr="007F34ED" w:rsidRDefault="00D847F2" w:rsidP="00D847F2">
      <w:pPr>
        <w:spacing w:after="0"/>
        <w:jc w:val="both"/>
        <w:rPr>
          <w:rFonts w:ascii="Arial" w:hAnsi="Arial" w:cs="Arial"/>
          <w:sz w:val="20"/>
          <w:szCs w:val="20"/>
        </w:rPr>
      </w:pPr>
    </w:p>
    <w:p w14:paraId="126374C3" w14:textId="77777777" w:rsidR="00D847F2" w:rsidRDefault="00D847F2" w:rsidP="00D847F2">
      <w:pPr>
        <w:rPr>
          <w:rFonts w:ascii="Arial" w:hAnsi="Arial" w:cs="Arial"/>
          <w:i/>
          <w:sz w:val="20"/>
          <w:szCs w:val="20"/>
        </w:rPr>
      </w:pPr>
      <w:r w:rsidRPr="00320777">
        <w:rPr>
          <w:rFonts w:ascii="Arial" w:hAnsi="Arial" w:cs="Arial"/>
          <w:i/>
          <w:sz w:val="20"/>
          <w:szCs w:val="20"/>
        </w:rPr>
        <w:lastRenderedPageBreak/>
        <w:t xml:space="preserve">Slika 6: </w:t>
      </w:r>
      <w:r>
        <w:rPr>
          <w:rFonts w:ascii="Arial" w:hAnsi="Arial" w:cs="Arial"/>
          <w:i/>
          <w:sz w:val="20"/>
          <w:szCs w:val="20"/>
        </w:rPr>
        <w:t>G</w:t>
      </w:r>
      <w:r w:rsidRPr="00320777">
        <w:rPr>
          <w:rFonts w:ascii="Arial" w:hAnsi="Arial" w:cs="Arial"/>
          <w:i/>
          <w:sz w:val="20"/>
          <w:szCs w:val="20"/>
        </w:rPr>
        <w:t>ibanj</w:t>
      </w:r>
      <w:r>
        <w:rPr>
          <w:rFonts w:ascii="Arial" w:hAnsi="Arial" w:cs="Arial"/>
          <w:i/>
          <w:sz w:val="20"/>
          <w:szCs w:val="20"/>
        </w:rPr>
        <w:t>e</w:t>
      </w:r>
      <w:r w:rsidRPr="00320777">
        <w:rPr>
          <w:rFonts w:ascii="Arial" w:hAnsi="Arial" w:cs="Arial"/>
          <w:i/>
          <w:sz w:val="20"/>
          <w:szCs w:val="20"/>
        </w:rPr>
        <w:t xml:space="preserve"> javnofinančnih prihodkov in davčnega dolga od leta 2015 do 202</w:t>
      </w:r>
      <w:r>
        <w:rPr>
          <w:rFonts w:ascii="Arial" w:hAnsi="Arial" w:cs="Arial"/>
          <w:i/>
          <w:sz w:val="20"/>
          <w:szCs w:val="20"/>
        </w:rPr>
        <w:t>2</w:t>
      </w:r>
      <w:r>
        <w:rPr>
          <w:noProof/>
          <w:lang w:eastAsia="sl-SI"/>
        </w:rPr>
        <w:drawing>
          <wp:inline distT="0" distB="0" distL="0" distR="0" wp14:anchorId="787290B9" wp14:editId="5E26F135">
            <wp:extent cx="5723255" cy="2099120"/>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8880" cy="2141528"/>
                    </a:xfrm>
                    <a:prstGeom prst="rect">
                      <a:avLst/>
                    </a:prstGeom>
                  </pic:spPr>
                </pic:pic>
              </a:graphicData>
            </a:graphic>
          </wp:inline>
        </w:drawing>
      </w:r>
    </w:p>
    <w:p w14:paraId="0C8305FB" w14:textId="2043B729" w:rsidR="00D847F2" w:rsidRDefault="00D847F2" w:rsidP="00D847F2">
      <w:pPr>
        <w:jc w:val="both"/>
        <w:rPr>
          <w:rFonts w:ascii="Arial" w:hAnsi="Arial" w:cs="Arial"/>
          <w:i/>
          <w:sz w:val="20"/>
          <w:szCs w:val="20"/>
        </w:rPr>
      </w:pPr>
      <w:r w:rsidRPr="00534703">
        <w:rPr>
          <w:rFonts w:ascii="Arial" w:hAnsi="Arial" w:cs="Arial"/>
          <w:i/>
          <w:sz w:val="20"/>
          <w:szCs w:val="20"/>
        </w:rPr>
        <w:t>Vir: FURS</w:t>
      </w:r>
      <w:r w:rsidR="00EA0EB9">
        <w:rPr>
          <w:rFonts w:ascii="Arial" w:hAnsi="Arial" w:cs="Arial"/>
          <w:i/>
          <w:sz w:val="20"/>
          <w:szCs w:val="20"/>
        </w:rPr>
        <w:t>.</w:t>
      </w:r>
    </w:p>
    <w:p w14:paraId="198916F2" w14:textId="77777777" w:rsidR="00D847F2" w:rsidRDefault="00D847F2" w:rsidP="00D847F2">
      <w:pPr>
        <w:rPr>
          <w:rFonts w:ascii="Arial" w:hAnsi="Arial" w:cs="Arial"/>
          <w:bCs/>
          <w:i/>
          <w:sz w:val="20"/>
          <w:szCs w:val="20"/>
        </w:rPr>
      </w:pPr>
      <w:r w:rsidRPr="00EC64D0">
        <w:rPr>
          <w:rFonts w:ascii="Arial" w:hAnsi="Arial" w:cs="Arial"/>
          <w:i/>
          <w:sz w:val="20"/>
          <w:szCs w:val="20"/>
          <w:lang w:eastAsia="ar-SA"/>
        </w:rPr>
        <w:t xml:space="preserve">Preglednica 5: </w:t>
      </w:r>
      <w:r w:rsidRPr="00EC64D0">
        <w:rPr>
          <w:rFonts w:ascii="Arial" w:hAnsi="Arial" w:cs="Arial"/>
          <w:bCs/>
          <w:i/>
          <w:sz w:val="20"/>
          <w:szCs w:val="20"/>
        </w:rPr>
        <w:t>Delež davčnega dolga v pobranih javnofinančnih prihodkih v EUR</w:t>
      </w:r>
    </w:p>
    <w:tbl>
      <w:tblPr>
        <w:tblW w:w="9562" w:type="dxa"/>
        <w:tblCellMar>
          <w:left w:w="70" w:type="dxa"/>
          <w:right w:w="70" w:type="dxa"/>
        </w:tblCellMar>
        <w:tblLook w:val="04A0" w:firstRow="1" w:lastRow="0" w:firstColumn="1" w:lastColumn="0" w:noHBand="0" w:noVBand="1"/>
      </w:tblPr>
      <w:tblGrid>
        <w:gridCol w:w="1486"/>
        <w:gridCol w:w="1392"/>
        <w:gridCol w:w="1392"/>
        <w:gridCol w:w="1392"/>
        <w:gridCol w:w="1392"/>
        <w:gridCol w:w="1392"/>
        <w:gridCol w:w="1392"/>
      </w:tblGrid>
      <w:tr w:rsidR="00D847F2" w:rsidRPr="006418C3" w14:paraId="472D0224" w14:textId="77777777" w:rsidTr="00556699">
        <w:trPr>
          <w:trHeight w:val="199"/>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490" w14:textId="77777777" w:rsidR="00D847F2" w:rsidRPr="006418C3" w:rsidRDefault="00D847F2" w:rsidP="00556699">
            <w:pPr>
              <w:spacing w:after="0" w:line="240" w:lineRule="auto"/>
              <w:rPr>
                <w:rFonts w:ascii="Arial" w:eastAsia="Times New Roman" w:hAnsi="Arial" w:cs="Arial"/>
                <w:sz w:val="18"/>
                <w:szCs w:val="18"/>
                <w:lang w:eastAsia="sl-SI"/>
              </w:rPr>
            </w:pPr>
            <w:r w:rsidRPr="006418C3">
              <w:rPr>
                <w:rFonts w:ascii="Arial" w:eastAsia="Times New Roman" w:hAnsi="Arial" w:cs="Arial"/>
                <w:sz w:val="18"/>
                <w:szCs w:val="18"/>
                <w:lang w:eastAsia="sl-SI"/>
              </w:rPr>
              <w:t>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711B9933" w14:textId="77777777" w:rsidR="00D847F2" w:rsidRPr="006418C3" w:rsidRDefault="00D847F2" w:rsidP="00556699">
            <w:pPr>
              <w:spacing w:after="0" w:line="240" w:lineRule="auto"/>
              <w:jc w:val="center"/>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2017</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4AD11EE8" w14:textId="77777777" w:rsidR="00D847F2" w:rsidRPr="006418C3" w:rsidRDefault="00D847F2" w:rsidP="00556699">
            <w:pPr>
              <w:spacing w:after="0" w:line="240" w:lineRule="auto"/>
              <w:jc w:val="center"/>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2018</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539B7AFA" w14:textId="77777777" w:rsidR="00D847F2" w:rsidRPr="006418C3" w:rsidRDefault="00D847F2" w:rsidP="00556699">
            <w:pPr>
              <w:spacing w:after="0" w:line="240" w:lineRule="auto"/>
              <w:jc w:val="center"/>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2019</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0EC9BAB7" w14:textId="77777777" w:rsidR="00D847F2" w:rsidRPr="006418C3" w:rsidRDefault="00D847F2" w:rsidP="00556699">
            <w:pPr>
              <w:spacing w:after="0" w:line="240" w:lineRule="auto"/>
              <w:jc w:val="center"/>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2020</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C0CB58D" w14:textId="77777777" w:rsidR="00D847F2" w:rsidRPr="006418C3" w:rsidRDefault="00D847F2" w:rsidP="00556699">
            <w:pPr>
              <w:spacing w:after="0" w:line="240" w:lineRule="auto"/>
              <w:jc w:val="center"/>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2021</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3E9DCF78" w14:textId="77777777" w:rsidR="00D847F2" w:rsidRPr="006418C3" w:rsidRDefault="00D847F2" w:rsidP="00556699">
            <w:pPr>
              <w:spacing w:after="0" w:line="240" w:lineRule="auto"/>
              <w:jc w:val="center"/>
              <w:rPr>
                <w:rFonts w:eastAsia="Times New Roman" w:cs="Calibri"/>
                <w:b/>
                <w:bCs/>
                <w:sz w:val="18"/>
                <w:szCs w:val="18"/>
                <w:lang w:eastAsia="sl-SI"/>
              </w:rPr>
            </w:pPr>
            <w:r w:rsidRPr="006418C3">
              <w:rPr>
                <w:rFonts w:eastAsia="Times New Roman" w:cs="Calibri"/>
                <w:b/>
                <w:bCs/>
                <w:sz w:val="18"/>
                <w:szCs w:val="18"/>
                <w:lang w:eastAsia="sl-SI"/>
              </w:rPr>
              <w:t>2022</w:t>
            </w:r>
          </w:p>
        </w:tc>
      </w:tr>
      <w:tr w:rsidR="00D847F2" w:rsidRPr="006418C3" w14:paraId="14E8632A" w14:textId="77777777" w:rsidTr="00556699">
        <w:trPr>
          <w:trHeight w:val="362"/>
        </w:trPr>
        <w:tc>
          <w:tcPr>
            <w:tcW w:w="1486" w:type="dxa"/>
            <w:tcBorders>
              <w:top w:val="nil"/>
              <w:left w:val="single" w:sz="4" w:space="0" w:color="auto"/>
              <w:bottom w:val="single" w:sz="4" w:space="0" w:color="auto"/>
              <w:right w:val="single" w:sz="4" w:space="0" w:color="auto"/>
            </w:tcBorders>
            <w:shd w:val="clear" w:color="auto" w:fill="auto"/>
            <w:vAlign w:val="center"/>
            <w:hideMark/>
          </w:tcPr>
          <w:p w14:paraId="24B7E6DD" w14:textId="77777777" w:rsidR="00D847F2" w:rsidRPr="006418C3" w:rsidRDefault="00D847F2" w:rsidP="00556699">
            <w:pPr>
              <w:spacing w:after="0" w:line="240" w:lineRule="auto"/>
              <w:rPr>
                <w:rFonts w:ascii="Arial" w:eastAsia="Times New Roman" w:hAnsi="Arial" w:cs="Arial"/>
                <w:sz w:val="18"/>
                <w:szCs w:val="18"/>
                <w:lang w:eastAsia="sl-SI"/>
              </w:rPr>
            </w:pPr>
            <w:r w:rsidRPr="006418C3">
              <w:rPr>
                <w:rFonts w:ascii="Arial" w:eastAsia="Times New Roman" w:hAnsi="Arial" w:cs="Arial"/>
                <w:sz w:val="18"/>
                <w:szCs w:val="18"/>
                <w:lang w:eastAsia="sl-SI"/>
              </w:rPr>
              <w:t>Skupaj javnofinančni prihodki in prejemki FURS</w:t>
            </w:r>
          </w:p>
        </w:tc>
        <w:tc>
          <w:tcPr>
            <w:tcW w:w="1346" w:type="dxa"/>
            <w:tcBorders>
              <w:top w:val="nil"/>
              <w:left w:val="nil"/>
              <w:bottom w:val="single" w:sz="4" w:space="0" w:color="auto"/>
              <w:right w:val="single" w:sz="4" w:space="0" w:color="auto"/>
            </w:tcBorders>
            <w:shd w:val="clear" w:color="auto" w:fill="auto"/>
            <w:vAlign w:val="center"/>
            <w:hideMark/>
          </w:tcPr>
          <w:p w14:paraId="3E206036"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15.535.944.909</w:t>
            </w:r>
          </w:p>
        </w:tc>
        <w:tc>
          <w:tcPr>
            <w:tcW w:w="1346" w:type="dxa"/>
            <w:tcBorders>
              <w:top w:val="nil"/>
              <w:left w:val="nil"/>
              <w:bottom w:val="single" w:sz="4" w:space="0" w:color="auto"/>
              <w:right w:val="single" w:sz="4" w:space="0" w:color="auto"/>
            </w:tcBorders>
            <w:shd w:val="clear" w:color="auto" w:fill="auto"/>
            <w:vAlign w:val="center"/>
            <w:hideMark/>
          </w:tcPr>
          <w:p w14:paraId="7B17CCBC"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16.613.623.060</w:t>
            </w:r>
          </w:p>
        </w:tc>
        <w:tc>
          <w:tcPr>
            <w:tcW w:w="1346" w:type="dxa"/>
            <w:tcBorders>
              <w:top w:val="nil"/>
              <w:left w:val="nil"/>
              <w:bottom w:val="single" w:sz="4" w:space="0" w:color="auto"/>
              <w:right w:val="single" w:sz="4" w:space="0" w:color="auto"/>
            </w:tcBorders>
            <w:shd w:val="clear" w:color="auto" w:fill="auto"/>
            <w:vAlign w:val="center"/>
            <w:hideMark/>
          </w:tcPr>
          <w:p w14:paraId="5B162F5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17.572.564.063</w:t>
            </w:r>
          </w:p>
        </w:tc>
        <w:tc>
          <w:tcPr>
            <w:tcW w:w="1346" w:type="dxa"/>
            <w:tcBorders>
              <w:top w:val="nil"/>
              <w:left w:val="nil"/>
              <w:bottom w:val="single" w:sz="4" w:space="0" w:color="auto"/>
              <w:right w:val="single" w:sz="4" w:space="0" w:color="auto"/>
            </w:tcBorders>
            <w:shd w:val="clear" w:color="auto" w:fill="auto"/>
            <w:vAlign w:val="center"/>
            <w:hideMark/>
          </w:tcPr>
          <w:p w14:paraId="7D2253B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16.281.755.053</w:t>
            </w:r>
          </w:p>
        </w:tc>
        <w:tc>
          <w:tcPr>
            <w:tcW w:w="1346" w:type="dxa"/>
            <w:tcBorders>
              <w:top w:val="nil"/>
              <w:left w:val="nil"/>
              <w:bottom w:val="single" w:sz="4" w:space="0" w:color="auto"/>
              <w:right w:val="single" w:sz="4" w:space="0" w:color="auto"/>
            </w:tcBorders>
            <w:shd w:val="clear" w:color="auto" w:fill="auto"/>
            <w:vAlign w:val="center"/>
            <w:hideMark/>
          </w:tcPr>
          <w:p w14:paraId="28F1DDFC"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19.205.493.984</w:t>
            </w:r>
          </w:p>
        </w:tc>
        <w:tc>
          <w:tcPr>
            <w:tcW w:w="1346" w:type="dxa"/>
            <w:tcBorders>
              <w:top w:val="nil"/>
              <w:left w:val="nil"/>
              <w:bottom w:val="single" w:sz="4" w:space="0" w:color="auto"/>
              <w:right w:val="single" w:sz="4" w:space="0" w:color="auto"/>
            </w:tcBorders>
            <w:shd w:val="clear" w:color="auto" w:fill="auto"/>
            <w:vAlign w:val="center"/>
            <w:hideMark/>
          </w:tcPr>
          <w:p w14:paraId="61DDCC0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21.049.211.315</w:t>
            </w:r>
          </w:p>
        </w:tc>
      </w:tr>
      <w:tr w:rsidR="00D847F2" w:rsidRPr="006418C3" w14:paraId="2C231414" w14:textId="77777777" w:rsidTr="00556699">
        <w:trPr>
          <w:trHeight w:val="278"/>
        </w:trPr>
        <w:tc>
          <w:tcPr>
            <w:tcW w:w="1486" w:type="dxa"/>
            <w:tcBorders>
              <w:top w:val="nil"/>
              <w:left w:val="single" w:sz="4" w:space="0" w:color="auto"/>
              <w:bottom w:val="single" w:sz="4" w:space="0" w:color="auto"/>
              <w:right w:val="single" w:sz="4" w:space="0" w:color="auto"/>
            </w:tcBorders>
            <w:shd w:val="clear" w:color="auto" w:fill="auto"/>
            <w:vAlign w:val="center"/>
            <w:hideMark/>
          </w:tcPr>
          <w:p w14:paraId="3230EE18" w14:textId="5BF0759E" w:rsidR="00D847F2" w:rsidRPr="006418C3" w:rsidRDefault="00D847F2" w:rsidP="00EA0EB9">
            <w:pPr>
              <w:spacing w:after="0" w:line="240" w:lineRule="auto"/>
              <w:rPr>
                <w:rFonts w:ascii="Arial" w:eastAsia="Times New Roman" w:hAnsi="Arial" w:cs="Arial"/>
                <w:sz w:val="18"/>
                <w:szCs w:val="18"/>
                <w:lang w:eastAsia="sl-SI"/>
              </w:rPr>
            </w:pPr>
            <w:r w:rsidRPr="006418C3">
              <w:rPr>
                <w:rFonts w:ascii="Arial" w:eastAsia="Times New Roman" w:hAnsi="Arial" w:cs="Arial"/>
                <w:sz w:val="18"/>
                <w:szCs w:val="18"/>
                <w:lang w:eastAsia="sl-SI"/>
              </w:rPr>
              <w:t xml:space="preserve">Davčni dolg na dan 31. </w:t>
            </w:r>
            <w:r w:rsidR="000E7DDB">
              <w:rPr>
                <w:rFonts w:ascii="Arial" w:eastAsia="Times New Roman" w:hAnsi="Arial" w:cs="Arial"/>
                <w:sz w:val="18"/>
                <w:szCs w:val="18"/>
                <w:lang w:eastAsia="sl-SI"/>
              </w:rPr>
              <w:t>december</w:t>
            </w:r>
            <w:r w:rsidRPr="006418C3">
              <w:rPr>
                <w:rFonts w:ascii="Arial" w:eastAsia="Times New Roman" w:hAnsi="Arial" w:cs="Arial"/>
                <w:sz w:val="18"/>
                <w:szCs w:val="18"/>
                <w:lang w:eastAsia="sl-SI"/>
              </w:rPr>
              <w:t xml:space="preserve"> </w:t>
            </w:r>
          </w:p>
        </w:tc>
        <w:tc>
          <w:tcPr>
            <w:tcW w:w="1346" w:type="dxa"/>
            <w:tcBorders>
              <w:top w:val="nil"/>
              <w:left w:val="nil"/>
              <w:bottom w:val="single" w:sz="4" w:space="0" w:color="auto"/>
              <w:right w:val="single" w:sz="4" w:space="0" w:color="auto"/>
            </w:tcBorders>
            <w:shd w:val="clear" w:color="auto" w:fill="auto"/>
            <w:vAlign w:val="center"/>
            <w:hideMark/>
          </w:tcPr>
          <w:p w14:paraId="1A2ACC2A"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1.267.045.690</w:t>
            </w:r>
          </w:p>
        </w:tc>
        <w:tc>
          <w:tcPr>
            <w:tcW w:w="1346" w:type="dxa"/>
            <w:tcBorders>
              <w:top w:val="nil"/>
              <w:left w:val="nil"/>
              <w:bottom w:val="single" w:sz="4" w:space="0" w:color="auto"/>
              <w:right w:val="single" w:sz="4" w:space="0" w:color="auto"/>
            </w:tcBorders>
            <w:shd w:val="clear" w:color="auto" w:fill="auto"/>
            <w:vAlign w:val="center"/>
            <w:hideMark/>
          </w:tcPr>
          <w:p w14:paraId="76E718A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1.204.717.178</w:t>
            </w:r>
          </w:p>
        </w:tc>
        <w:tc>
          <w:tcPr>
            <w:tcW w:w="1346" w:type="dxa"/>
            <w:tcBorders>
              <w:top w:val="nil"/>
              <w:left w:val="nil"/>
              <w:bottom w:val="single" w:sz="4" w:space="0" w:color="auto"/>
              <w:right w:val="single" w:sz="4" w:space="0" w:color="auto"/>
            </w:tcBorders>
            <w:shd w:val="clear" w:color="auto" w:fill="auto"/>
            <w:vAlign w:val="center"/>
            <w:hideMark/>
          </w:tcPr>
          <w:p w14:paraId="1AA8F398"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1.180.360.733</w:t>
            </w:r>
          </w:p>
        </w:tc>
        <w:tc>
          <w:tcPr>
            <w:tcW w:w="1346" w:type="dxa"/>
            <w:tcBorders>
              <w:top w:val="nil"/>
              <w:left w:val="nil"/>
              <w:bottom w:val="single" w:sz="4" w:space="0" w:color="auto"/>
              <w:right w:val="single" w:sz="4" w:space="0" w:color="auto"/>
            </w:tcBorders>
            <w:shd w:val="clear" w:color="auto" w:fill="auto"/>
            <w:vAlign w:val="center"/>
            <w:hideMark/>
          </w:tcPr>
          <w:p w14:paraId="5E95C1B1"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998.089.394</w:t>
            </w:r>
          </w:p>
        </w:tc>
        <w:tc>
          <w:tcPr>
            <w:tcW w:w="1346" w:type="dxa"/>
            <w:tcBorders>
              <w:top w:val="nil"/>
              <w:left w:val="nil"/>
              <w:bottom w:val="single" w:sz="4" w:space="0" w:color="auto"/>
              <w:right w:val="single" w:sz="4" w:space="0" w:color="auto"/>
            </w:tcBorders>
            <w:shd w:val="clear" w:color="auto" w:fill="auto"/>
            <w:vAlign w:val="center"/>
            <w:hideMark/>
          </w:tcPr>
          <w:p w14:paraId="32349B56"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918.507.974</w:t>
            </w:r>
          </w:p>
        </w:tc>
        <w:tc>
          <w:tcPr>
            <w:tcW w:w="1346" w:type="dxa"/>
            <w:tcBorders>
              <w:top w:val="nil"/>
              <w:left w:val="nil"/>
              <w:bottom w:val="single" w:sz="4" w:space="0" w:color="auto"/>
              <w:right w:val="single" w:sz="4" w:space="0" w:color="auto"/>
            </w:tcBorders>
            <w:shd w:val="clear" w:color="auto" w:fill="auto"/>
            <w:vAlign w:val="center"/>
            <w:hideMark/>
          </w:tcPr>
          <w:p w14:paraId="27380BA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896.349.990</w:t>
            </w:r>
          </w:p>
        </w:tc>
      </w:tr>
      <w:tr w:rsidR="00D847F2" w:rsidRPr="006418C3" w14:paraId="0628E815" w14:textId="77777777" w:rsidTr="00556699">
        <w:trPr>
          <w:trHeight w:val="532"/>
        </w:trPr>
        <w:tc>
          <w:tcPr>
            <w:tcW w:w="1486" w:type="dxa"/>
            <w:tcBorders>
              <w:top w:val="nil"/>
              <w:left w:val="single" w:sz="4" w:space="0" w:color="auto"/>
              <w:bottom w:val="single" w:sz="4" w:space="0" w:color="auto"/>
              <w:right w:val="single" w:sz="4" w:space="0" w:color="auto"/>
            </w:tcBorders>
            <w:shd w:val="clear" w:color="auto" w:fill="auto"/>
            <w:vAlign w:val="center"/>
            <w:hideMark/>
          </w:tcPr>
          <w:p w14:paraId="58C60F04" w14:textId="77777777" w:rsidR="00D847F2" w:rsidRPr="006418C3" w:rsidRDefault="00D847F2" w:rsidP="00556699">
            <w:pPr>
              <w:spacing w:after="0" w:line="240" w:lineRule="auto"/>
              <w:rPr>
                <w:rFonts w:ascii="Arial" w:eastAsia="Times New Roman" w:hAnsi="Arial" w:cs="Arial"/>
                <w:b/>
                <w:bCs/>
                <w:sz w:val="18"/>
                <w:szCs w:val="18"/>
                <w:lang w:eastAsia="sl-SI"/>
              </w:rPr>
            </w:pPr>
            <w:r w:rsidRPr="006418C3">
              <w:rPr>
                <w:rFonts w:ascii="Arial" w:eastAsia="Times New Roman" w:hAnsi="Arial" w:cs="Arial"/>
                <w:b/>
                <w:bCs/>
                <w:sz w:val="18"/>
                <w:szCs w:val="18"/>
                <w:lang w:eastAsia="sl-SI"/>
              </w:rPr>
              <w:t>Delež davčnega dolga v pobranih javnofinančnih prihodkih in prejemkih FURS, v %</w:t>
            </w:r>
          </w:p>
        </w:tc>
        <w:tc>
          <w:tcPr>
            <w:tcW w:w="1346" w:type="dxa"/>
            <w:tcBorders>
              <w:top w:val="nil"/>
              <w:left w:val="nil"/>
              <w:bottom w:val="single" w:sz="4" w:space="0" w:color="auto"/>
              <w:right w:val="single" w:sz="4" w:space="0" w:color="auto"/>
            </w:tcBorders>
            <w:shd w:val="clear" w:color="auto" w:fill="auto"/>
            <w:vAlign w:val="center"/>
            <w:hideMark/>
          </w:tcPr>
          <w:p w14:paraId="413AFECB"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8,2</w:t>
            </w:r>
          </w:p>
        </w:tc>
        <w:tc>
          <w:tcPr>
            <w:tcW w:w="1346" w:type="dxa"/>
            <w:tcBorders>
              <w:top w:val="nil"/>
              <w:left w:val="nil"/>
              <w:bottom w:val="single" w:sz="4" w:space="0" w:color="auto"/>
              <w:right w:val="single" w:sz="4" w:space="0" w:color="auto"/>
            </w:tcBorders>
            <w:shd w:val="clear" w:color="auto" w:fill="auto"/>
            <w:vAlign w:val="center"/>
            <w:hideMark/>
          </w:tcPr>
          <w:p w14:paraId="0F4D92A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7,3</w:t>
            </w:r>
          </w:p>
        </w:tc>
        <w:tc>
          <w:tcPr>
            <w:tcW w:w="1346" w:type="dxa"/>
            <w:tcBorders>
              <w:top w:val="nil"/>
              <w:left w:val="nil"/>
              <w:bottom w:val="single" w:sz="4" w:space="0" w:color="auto"/>
              <w:right w:val="single" w:sz="4" w:space="0" w:color="auto"/>
            </w:tcBorders>
            <w:shd w:val="clear" w:color="auto" w:fill="auto"/>
            <w:vAlign w:val="center"/>
            <w:hideMark/>
          </w:tcPr>
          <w:p w14:paraId="2DFEFF02"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6,7</w:t>
            </w:r>
          </w:p>
        </w:tc>
        <w:tc>
          <w:tcPr>
            <w:tcW w:w="1346" w:type="dxa"/>
            <w:tcBorders>
              <w:top w:val="nil"/>
              <w:left w:val="nil"/>
              <w:bottom w:val="single" w:sz="4" w:space="0" w:color="auto"/>
              <w:right w:val="single" w:sz="4" w:space="0" w:color="auto"/>
            </w:tcBorders>
            <w:shd w:val="clear" w:color="auto" w:fill="auto"/>
            <w:vAlign w:val="center"/>
            <w:hideMark/>
          </w:tcPr>
          <w:p w14:paraId="2A89C55F"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6,1</w:t>
            </w:r>
          </w:p>
        </w:tc>
        <w:tc>
          <w:tcPr>
            <w:tcW w:w="1346" w:type="dxa"/>
            <w:tcBorders>
              <w:top w:val="nil"/>
              <w:left w:val="nil"/>
              <w:bottom w:val="single" w:sz="4" w:space="0" w:color="auto"/>
              <w:right w:val="single" w:sz="4" w:space="0" w:color="auto"/>
            </w:tcBorders>
            <w:shd w:val="clear" w:color="auto" w:fill="auto"/>
            <w:vAlign w:val="center"/>
            <w:hideMark/>
          </w:tcPr>
          <w:p w14:paraId="02659898"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4,8</w:t>
            </w:r>
          </w:p>
        </w:tc>
        <w:tc>
          <w:tcPr>
            <w:tcW w:w="1346" w:type="dxa"/>
            <w:tcBorders>
              <w:top w:val="nil"/>
              <w:left w:val="nil"/>
              <w:bottom w:val="single" w:sz="4" w:space="0" w:color="auto"/>
              <w:right w:val="single" w:sz="4" w:space="0" w:color="auto"/>
            </w:tcBorders>
            <w:shd w:val="clear" w:color="auto" w:fill="auto"/>
            <w:vAlign w:val="center"/>
            <w:hideMark/>
          </w:tcPr>
          <w:p w14:paraId="0E9BB2D9" w14:textId="77777777" w:rsidR="00D847F2" w:rsidRPr="006418C3" w:rsidRDefault="00D847F2" w:rsidP="00556699">
            <w:pPr>
              <w:spacing w:after="0" w:line="240" w:lineRule="auto"/>
              <w:jc w:val="right"/>
              <w:rPr>
                <w:rFonts w:ascii="Arial" w:eastAsia="Times New Roman" w:hAnsi="Arial" w:cs="Arial"/>
                <w:sz w:val="18"/>
                <w:szCs w:val="18"/>
                <w:lang w:eastAsia="sl-SI"/>
              </w:rPr>
            </w:pPr>
            <w:r w:rsidRPr="006418C3">
              <w:rPr>
                <w:rFonts w:ascii="Arial" w:eastAsia="Times New Roman" w:hAnsi="Arial" w:cs="Arial"/>
                <w:sz w:val="18"/>
                <w:szCs w:val="18"/>
                <w:lang w:eastAsia="sl-SI"/>
              </w:rPr>
              <w:t>4,3</w:t>
            </w:r>
          </w:p>
        </w:tc>
      </w:tr>
    </w:tbl>
    <w:p w14:paraId="6A5C2F6A" w14:textId="1042176B"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EA0EB9">
        <w:rPr>
          <w:rFonts w:ascii="Arial" w:hAnsi="Arial" w:cs="Arial"/>
          <w:i/>
          <w:sz w:val="20"/>
          <w:szCs w:val="20"/>
        </w:rPr>
        <w:t>.</w:t>
      </w:r>
    </w:p>
    <w:p w14:paraId="6D93E1C7" w14:textId="77777777" w:rsidR="00D847F2" w:rsidRPr="007348F1" w:rsidRDefault="00D847F2" w:rsidP="00D847F2">
      <w:pPr>
        <w:pStyle w:val="Naslov3"/>
        <w:rPr>
          <w:rFonts w:ascii="Arial" w:hAnsi="Arial" w:cs="Arial"/>
          <w:sz w:val="20"/>
          <w:szCs w:val="20"/>
        </w:rPr>
      </w:pPr>
      <w:r w:rsidRPr="007348F1">
        <w:rPr>
          <w:rFonts w:ascii="Arial" w:hAnsi="Arial" w:cs="Arial"/>
          <w:sz w:val="20"/>
          <w:szCs w:val="20"/>
        </w:rPr>
        <w:t xml:space="preserve">4.3 Davčni dolg po javnofinančnih blagajnah </w:t>
      </w:r>
    </w:p>
    <w:p w14:paraId="5D497B30" w14:textId="77777777" w:rsidR="00D847F2" w:rsidRPr="00E26F75" w:rsidRDefault="00D847F2" w:rsidP="00D847F2">
      <w:pPr>
        <w:pStyle w:val="Brezrazmikov"/>
      </w:pPr>
    </w:p>
    <w:p w14:paraId="6707CFDB" w14:textId="279E2BA7" w:rsidR="00D847F2" w:rsidRDefault="00EA0EB9" w:rsidP="00D847F2">
      <w:pPr>
        <w:jc w:val="both"/>
        <w:rPr>
          <w:rFonts w:ascii="Arial" w:hAnsi="Arial" w:cs="Arial"/>
          <w:bCs/>
          <w:color w:val="FF0000"/>
          <w:sz w:val="20"/>
          <w:szCs w:val="20"/>
        </w:rPr>
      </w:pPr>
      <w:r>
        <w:rPr>
          <w:rFonts w:ascii="Arial" w:hAnsi="Arial" w:cs="Arial"/>
          <w:bCs/>
          <w:sz w:val="20"/>
          <w:szCs w:val="20"/>
        </w:rPr>
        <w:t>V</w:t>
      </w:r>
      <w:r w:rsidRPr="00D37442">
        <w:rPr>
          <w:rFonts w:ascii="Arial" w:hAnsi="Arial" w:cs="Arial"/>
          <w:bCs/>
          <w:sz w:val="20"/>
          <w:szCs w:val="20"/>
        </w:rPr>
        <w:t xml:space="preserve"> </w:t>
      </w:r>
      <w:r w:rsidR="00D847F2" w:rsidRPr="00D37442">
        <w:rPr>
          <w:rFonts w:ascii="Arial" w:hAnsi="Arial" w:cs="Arial"/>
          <w:bCs/>
          <w:sz w:val="20"/>
          <w:szCs w:val="20"/>
        </w:rPr>
        <w:t>razporeditv</w:t>
      </w:r>
      <w:r w:rsidR="00D847F2">
        <w:rPr>
          <w:rFonts w:ascii="Arial" w:hAnsi="Arial" w:cs="Arial"/>
          <w:bCs/>
          <w:sz w:val="20"/>
          <w:szCs w:val="20"/>
        </w:rPr>
        <w:t>i</w:t>
      </w:r>
      <w:r w:rsidR="00D847F2" w:rsidRPr="00D37442">
        <w:rPr>
          <w:rFonts w:ascii="Arial" w:hAnsi="Arial" w:cs="Arial"/>
          <w:bCs/>
          <w:sz w:val="20"/>
          <w:szCs w:val="20"/>
        </w:rPr>
        <w:t xml:space="preserve"> davčnega dolga po blagajnah javnega financiranja</w:t>
      </w:r>
      <w:r w:rsidR="00D847F2">
        <w:rPr>
          <w:rFonts w:ascii="Arial" w:hAnsi="Arial" w:cs="Arial"/>
          <w:bCs/>
          <w:sz w:val="20"/>
          <w:szCs w:val="20"/>
        </w:rPr>
        <w:t xml:space="preserve"> ima</w:t>
      </w:r>
      <w:r w:rsidR="00D847F2" w:rsidRPr="00D37442">
        <w:rPr>
          <w:rFonts w:ascii="Arial" w:hAnsi="Arial" w:cs="Arial"/>
          <w:bCs/>
          <w:sz w:val="20"/>
          <w:szCs w:val="20"/>
        </w:rPr>
        <w:t xml:space="preserve"> največji delež dolga proračun države, in sicer </w:t>
      </w:r>
      <w:r w:rsidR="00D847F2">
        <w:rPr>
          <w:rFonts w:ascii="Arial" w:hAnsi="Arial" w:cs="Arial"/>
          <w:bCs/>
          <w:sz w:val="20"/>
          <w:szCs w:val="20"/>
        </w:rPr>
        <w:t xml:space="preserve">68,9 </w:t>
      </w:r>
      <w:r w:rsidR="00D847F2" w:rsidRPr="00D37442">
        <w:rPr>
          <w:rFonts w:ascii="Arial" w:hAnsi="Arial" w:cs="Arial"/>
          <w:bCs/>
          <w:sz w:val="20"/>
          <w:szCs w:val="20"/>
        </w:rPr>
        <w:t>odstotk</w:t>
      </w:r>
      <w:r w:rsidR="00D847F2">
        <w:rPr>
          <w:rFonts w:ascii="Arial" w:hAnsi="Arial" w:cs="Arial"/>
          <w:bCs/>
          <w:sz w:val="20"/>
          <w:szCs w:val="20"/>
        </w:rPr>
        <w:t>a</w:t>
      </w:r>
      <w:r w:rsidR="00D847F2" w:rsidRPr="00D37442">
        <w:rPr>
          <w:rFonts w:ascii="Arial" w:hAnsi="Arial" w:cs="Arial"/>
          <w:bCs/>
          <w:sz w:val="20"/>
          <w:szCs w:val="20"/>
        </w:rPr>
        <w:t xml:space="preserve">. </w:t>
      </w:r>
      <w:r w:rsidR="00D847F2">
        <w:rPr>
          <w:rFonts w:ascii="Arial" w:hAnsi="Arial" w:cs="Arial"/>
          <w:bCs/>
          <w:sz w:val="20"/>
          <w:szCs w:val="20"/>
        </w:rPr>
        <w:t>B</w:t>
      </w:r>
      <w:r w:rsidR="00D847F2" w:rsidRPr="00D37442">
        <w:rPr>
          <w:rFonts w:ascii="Arial" w:hAnsi="Arial" w:cs="Arial"/>
          <w:bCs/>
          <w:sz w:val="20"/>
          <w:szCs w:val="20"/>
        </w:rPr>
        <w:t xml:space="preserve">lagajna </w:t>
      </w:r>
      <w:r w:rsidR="00D847F2">
        <w:rPr>
          <w:rFonts w:ascii="Arial" w:hAnsi="Arial" w:cs="Arial"/>
          <w:bCs/>
          <w:sz w:val="20"/>
          <w:szCs w:val="20"/>
        </w:rPr>
        <w:t>ZPIZ</w:t>
      </w:r>
      <w:r w:rsidR="00D847F2" w:rsidRPr="00D37442">
        <w:rPr>
          <w:rFonts w:ascii="Arial" w:hAnsi="Arial" w:cs="Arial"/>
          <w:bCs/>
          <w:sz w:val="20"/>
          <w:szCs w:val="20"/>
        </w:rPr>
        <w:t xml:space="preserve"> </w:t>
      </w:r>
      <w:r w:rsidR="00D847F2">
        <w:rPr>
          <w:rFonts w:ascii="Arial" w:hAnsi="Arial" w:cs="Arial"/>
          <w:bCs/>
          <w:sz w:val="20"/>
          <w:szCs w:val="20"/>
        </w:rPr>
        <w:t>ima</w:t>
      </w:r>
      <w:r w:rsidR="00D847F2" w:rsidRPr="00D37442">
        <w:rPr>
          <w:rFonts w:ascii="Arial" w:hAnsi="Arial" w:cs="Arial"/>
          <w:bCs/>
          <w:sz w:val="20"/>
          <w:szCs w:val="20"/>
        </w:rPr>
        <w:t xml:space="preserve"> </w:t>
      </w:r>
      <w:r w:rsidR="00D847F2">
        <w:rPr>
          <w:rFonts w:ascii="Arial" w:hAnsi="Arial" w:cs="Arial"/>
          <w:bCs/>
          <w:sz w:val="20"/>
          <w:szCs w:val="20"/>
        </w:rPr>
        <w:t>18,8-</w:t>
      </w:r>
      <w:r w:rsidR="00D847F2" w:rsidRPr="00D37442">
        <w:rPr>
          <w:rFonts w:ascii="Arial" w:hAnsi="Arial" w:cs="Arial"/>
          <w:bCs/>
          <w:sz w:val="20"/>
          <w:szCs w:val="20"/>
        </w:rPr>
        <w:t>odstotni del</w:t>
      </w:r>
      <w:r w:rsidR="00D847F2">
        <w:rPr>
          <w:rFonts w:ascii="Arial" w:hAnsi="Arial" w:cs="Arial"/>
          <w:bCs/>
          <w:sz w:val="20"/>
          <w:szCs w:val="20"/>
        </w:rPr>
        <w:t>ež dolga</w:t>
      </w:r>
      <w:r w:rsidR="00D847F2" w:rsidRPr="00D37442">
        <w:rPr>
          <w:rFonts w:ascii="Arial" w:hAnsi="Arial" w:cs="Arial"/>
          <w:bCs/>
          <w:sz w:val="20"/>
          <w:szCs w:val="20"/>
        </w:rPr>
        <w:t xml:space="preserve">, blagajna </w:t>
      </w:r>
      <w:r w:rsidR="00D847F2">
        <w:rPr>
          <w:rFonts w:ascii="Arial" w:hAnsi="Arial" w:cs="Arial"/>
          <w:bCs/>
          <w:sz w:val="20"/>
          <w:szCs w:val="20"/>
        </w:rPr>
        <w:t>ZZZS</w:t>
      </w:r>
      <w:r w:rsidR="00D847F2" w:rsidRPr="00D37442">
        <w:rPr>
          <w:rFonts w:ascii="Arial" w:hAnsi="Arial" w:cs="Arial"/>
          <w:bCs/>
          <w:sz w:val="20"/>
          <w:szCs w:val="20"/>
        </w:rPr>
        <w:t xml:space="preserve"> </w:t>
      </w:r>
      <w:r w:rsidR="00D847F2">
        <w:rPr>
          <w:rFonts w:ascii="Arial" w:hAnsi="Arial" w:cs="Arial"/>
          <w:bCs/>
          <w:sz w:val="20"/>
          <w:szCs w:val="20"/>
        </w:rPr>
        <w:t>9</w:t>
      </w:r>
      <w:r w:rsidR="00D847F2" w:rsidRPr="00D37442">
        <w:rPr>
          <w:rFonts w:ascii="Arial" w:hAnsi="Arial" w:cs="Arial"/>
          <w:bCs/>
          <w:sz w:val="20"/>
          <w:szCs w:val="20"/>
        </w:rPr>
        <w:t>,</w:t>
      </w:r>
      <w:r w:rsidR="00D847F2">
        <w:rPr>
          <w:rFonts w:ascii="Arial" w:hAnsi="Arial" w:cs="Arial"/>
          <w:bCs/>
          <w:sz w:val="20"/>
          <w:szCs w:val="20"/>
        </w:rPr>
        <w:t>4</w:t>
      </w:r>
      <w:r w:rsidR="00D847F2" w:rsidRPr="00D37442">
        <w:rPr>
          <w:rFonts w:ascii="Arial" w:hAnsi="Arial" w:cs="Arial"/>
          <w:bCs/>
          <w:sz w:val="20"/>
          <w:szCs w:val="20"/>
        </w:rPr>
        <w:t xml:space="preserve">-odstotni delež ter proračuni občin </w:t>
      </w:r>
      <w:r w:rsidR="00D847F2">
        <w:rPr>
          <w:rFonts w:ascii="Arial" w:hAnsi="Arial" w:cs="Arial"/>
          <w:bCs/>
          <w:sz w:val="20"/>
          <w:szCs w:val="20"/>
        </w:rPr>
        <w:t>2,6-</w:t>
      </w:r>
      <w:r w:rsidR="00D847F2" w:rsidRPr="00D37442">
        <w:rPr>
          <w:rFonts w:ascii="Arial" w:hAnsi="Arial" w:cs="Arial"/>
          <w:bCs/>
          <w:sz w:val="20"/>
          <w:szCs w:val="20"/>
        </w:rPr>
        <w:t>odstotni delež dolga</w:t>
      </w:r>
      <w:r w:rsidR="00D847F2">
        <w:rPr>
          <w:rFonts w:ascii="Arial" w:hAnsi="Arial" w:cs="Arial"/>
          <w:bCs/>
          <w:sz w:val="20"/>
          <w:szCs w:val="20"/>
        </w:rPr>
        <w:t xml:space="preserve"> </w:t>
      </w:r>
      <w:r w:rsidR="006E2B82">
        <w:rPr>
          <w:rFonts w:ascii="Arial" w:hAnsi="Arial" w:cs="Arial"/>
          <w:bCs/>
          <w:sz w:val="20"/>
          <w:szCs w:val="20"/>
        </w:rPr>
        <w:t xml:space="preserve">– </w:t>
      </w:r>
      <w:r w:rsidR="00D847F2">
        <w:rPr>
          <w:rFonts w:ascii="Arial" w:hAnsi="Arial" w:cs="Arial"/>
          <w:bCs/>
          <w:sz w:val="20"/>
          <w:szCs w:val="20"/>
        </w:rPr>
        <w:t>0,3-odstotni delež pripada drugim prejemnikom.</w:t>
      </w:r>
      <w:r w:rsidR="00992912">
        <w:rPr>
          <w:rFonts w:ascii="Arial" w:hAnsi="Arial" w:cs="Arial"/>
          <w:bCs/>
          <w:sz w:val="20"/>
          <w:szCs w:val="20"/>
        </w:rPr>
        <w:t xml:space="preserve"> </w:t>
      </w:r>
    </w:p>
    <w:p w14:paraId="5C9C5A21" w14:textId="53B39B74" w:rsidR="00D847F2" w:rsidRDefault="00D847F2" w:rsidP="006E5CB1">
      <w:pPr>
        <w:rPr>
          <w:rFonts w:ascii="Arial" w:hAnsi="Arial" w:cs="Arial"/>
          <w:i/>
          <w:color w:val="000000"/>
          <w:sz w:val="20"/>
          <w:szCs w:val="20"/>
        </w:rPr>
      </w:pPr>
      <w:r w:rsidRPr="0094398F">
        <w:rPr>
          <w:rFonts w:ascii="Arial" w:hAnsi="Arial" w:cs="Arial"/>
          <w:i/>
          <w:sz w:val="20"/>
          <w:szCs w:val="20"/>
        </w:rPr>
        <w:lastRenderedPageBreak/>
        <w:t>Slika</w:t>
      </w:r>
      <w:r w:rsidRPr="0094398F">
        <w:rPr>
          <w:rFonts w:ascii="Arial" w:hAnsi="Arial" w:cs="Arial"/>
          <w:i/>
          <w:color w:val="000000"/>
          <w:sz w:val="20"/>
          <w:szCs w:val="20"/>
        </w:rPr>
        <w:t xml:space="preserve"> </w:t>
      </w:r>
      <w:r>
        <w:rPr>
          <w:rFonts w:ascii="Arial" w:hAnsi="Arial" w:cs="Arial"/>
          <w:i/>
          <w:color w:val="000000"/>
          <w:sz w:val="20"/>
          <w:szCs w:val="20"/>
        </w:rPr>
        <w:t xml:space="preserve">7: </w:t>
      </w:r>
      <w:r w:rsidRPr="00D37442">
        <w:rPr>
          <w:rFonts w:ascii="Arial" w:hAnsi="Arial" w:cs="Arial"/>
          <w:i/>
          <w:color w:val="000000"/>
          <w:sz w:val="20"/>
          <w:szCs w:val="20"/>
        </w:rPr>
        <w:t xml:space="preserve">Davčni dolg po blagajnah javnega financiranja </w:t>
      </w:r>
      <w:r>
        <w:rPr>
          <w:noProof/>
          <w:lang w:eastAsia="sl-SI"/>
        </w:rPr>
        <w:drawing>
          <wp:inline distT="0" distB="0" distL="0" distR="0" wp14:anchorId="17005C97" wp14:editId="03ECDAA3">
            <wp:extent cx="4937760" cy="2806811"/>
            <wp:effectExtent l="0" t="0" r="0" b="0"/>
            <wp:docPr id="18" name="Grafikon 18">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3A9161" w14:textId="76D5300A" w:rsidR="00D847F2" w:rsidRPr="0094398F" w:rsidRDefault="00D847F2" w:rsidP="00D847F2">
      <w:pPr>
        <w:jc w:val="both"/>
        <w:rPr>
          <w:rFonts w:ascii="Arial" w:hAnsi="Arial" w:cs="Arial"/>
          <w:i/>
          <w:color w:val="000000"/>
          <w:sz w:val="20"/>
          <w:szCs w:val="20"/>
        </w:rPr>
      </w:pPr>
      <w:r>
        <w:rPr>
          <w:rFonts w:ascii="Arial" w:hAnsi="Arial" w:cs="Arial"/>
          <w:i/>
          <w:color w:val="000000"/>
          <w:sz w:val="20"/>
          <w:szCs w:val="20"/>
        </w:rPr>
        <w:t>V</w:t>
      </w:r>
      <w:r w:rsidRPr="0094398F">
        <w:rPr>
          <w:rFonts w:ascii="Arial" w:hAnsi="Arial" w:cs="Arial"/>
          <w:i/>
          <w:color w:val="000000"/>
          <w:sz w:val="20"/>
          <w:szCs w:val="20"/>
        </w:rPr>
        <w:t>ir: FURS</w:t>
      </w:r>
      <w:r w:rsidR="006E2B82">
        <w:rPr>
          <w:rFonts w:ascii="Arial" w:hAnsi="Arial" w:cs="Arial"/>
          <w:i/>
          <w:color w:val="000000"/>
          <w:sz w:val="20"/>
          <w:szCs w:val="20"/>
        </w:rPr>
        <w:t>.</w:t>
      </w:r>
    </w:p>
    <w:p w14:paraId="69692516" w14:textId="77777777" w:rsidR="006E5CB1" w:rsidRDefault="006E5CB1" w:rsidP="00D847F2">
      <w:pPr>
        <w:rPr>
          <w:rFonts w:ascii="Arial" w:hAnsi="Arial" w:cs="Arial"/>
          <w:color w:val="000000"/>
          <w:sz w:val="20"/>
          <w:szCs w:val="20"/>
        </w:rPr>
      </w:pPr>
    </w:p>
    <w:p w14:paraId="7A24C9ED" w14:textId="2C5F91CD" w:rsidR="00D847F2" w:rsidRPr="00F05017" w:rsidRDefault="00D847F2" w:rsidP="00D847F2">
      <w:pPr>
        <w:rPr>
          <w:rFonts w:ascii="Arial" w:hAnsi="Arial" w:cs="Arial"/>
          <w:color w:val="000000"/>
          <w:sz w:val="20"/>
          <w:szCs w:val="20"/>
        </w:rPr>
      </w:pPr>
      <w:r w:rsidRPr="00F05017">
        <w:rPr>
          <w:rFonts w:ascii="Arial" w:hAnsi="Arial" w:cs="Arial"/>
          <w:color w:val="000000"/>
          <w:sz w:val="20"/>
          <w:szCs w:val="20"/>
        </w:rPr>
        <w:t>Podatki o višini in gibanju dolga po blagajnah javnega financiranja so prikazani v preglednici 6.</w:t>
      </w:r>
    </w:p>
    <w:p w14:paraId="70637810" w14:textId="77777777" w:rsidR="00D847F2" w:rsidRDefault="00D847F2" w:rsidP="00D847F2">
      <w:pPr>
        <w:rPr>
          <w:rFonts w:ascii="Arial" w:hAnsi="Arial" w:cs="Arial"/>
          <w:i/>
          <w:sz w:val="20"/>
          <w:szCs w:val="20"/>
        </w:rPr>
      </w:pPr>
      <w:r w:rsidRPr="00F05017">
        <w:rPr>
          <w:rFonts w:ascii="Arial" w:hAnsi="Arial" w:cs="Arial"/>
          <w:bCs/>
          <w:i/>
          <w:sz w:val="20"/>
          <w:szCs w:val="20"/>
        </w:rPr>
        <w:t>Preglednica</w:t>
      </w:r>
      <w:r w:rsidRPr="00F05017">
        <w:rPr>
          <w:rFonts w:ascii="Arial" w:hAnsi="Arial" w:cs="Arial"/>
          <w:i/>
          <w:sz w:val="20"/>
          <w:szCs w:val="20"/>
        </w:rPr>
        <w:t xml:space="preserve"> 6: Stanje in gibanje davčnega dolga po blagajnah javnega financiranja v EUR</w:t>
      </w:r>
      <w:r w:rsidRPr="00DA1917">
        <w:rPr>
          <w:rFonts w:ascii="Arial" w:hAnsi="Arial" w:cs="Arial"/>
          <w:i/>
          <w:sz w:val="20"/>
          <w:szCs w:val="20"/>
        </w:rPr>
        <w:t xml:space="preserve"> </w:t>
      </w:r>
    </w:p>
    <w:tbl>
      <w:tblPr>
        <w:tblW w:w="9112" w:type="dxa"/>
        <w:tblCellMar>
          <w:left w:w="70" w:type="dxa"/>
          <w:right w:w="70" w:type="dxa"/>
        </w:tblCellMar>
        <w:tblLook w:val="04A0" w:firstRow="1" w:lastRow="0" w:firstColumn="1" w:lastColumn="0" w:noHBand="0" w:noVBand="1"/>
      </w:tblPr>
      <w:tblGrid>
        <w:gridCol w:w="1449"/>
        <w:gridCol w:w="1141"/>
        <w:gridCol w:w="1141"/>
        <w:gridCol w:w="1141"/>
        <w:gridCol w:w="1191"/>
        <w:gridCol w:w="1191"/>
        <w:gridCol w:w="1191"/>
        <w:gridCol w:w="667"/>
      </w:tblGrid>
      <w:tr w:rsidR="00D847F2" w:rsidRPr="00ED4DC8" w14:paraId="5FDE54CC" w14:textId="77777777" w:rsidTr="00556699">
        <w:trPr>
          <w:trHeight w:val="759"/>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FE77"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Davčni dolg po javnofinančnih blagajnah</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E8BF06C" w14:textId="79FD5FE2" w:rsidR="00D847F2" w:rsidRPr="00ED4DC8" w:rsidRDefault="00727BBD" w:rsidP="00556699">
            <w:pPr>
              <w:spacing w:after="0" w:line="240" w:lineRule="auto"/>
              <w:jc w:val="center"/>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31.</w:t>
            </w:r>
            <w:r>
              <w:rPr>
                <w:rFonts w:ascii="Arial" w:eastAsia="Times New Roman" w:hAnsi="Arial" w:cs="Arial"/>
                <w:b/>
                <w:bCs/>
                <w:sz w:val="18"/>
                <w:szCs w:val="18"/>
                <w:lang w:eastAsia="sl-SI"/>
              </w:rPr>
              <w:t> 12. 2020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9934D3C" w14:textId="0854667A" w:rsidR="00D847F2" w:rsidRPr="00ED4DC8" w:rsidRDefault="00727BBD" w:rsidP="00556699">
            <w:pPr>
              <w:spacing w:after="0" w:line="240" w:lineRule="auto"/>
              <w:jc w:val="center"/>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31.</w:t>
            </w:r>
            <w:r>
              <w:rPr>
                <w:rFonts w:ascii="Arial" w:eastAsia="Times New Roman" w:hAnsi="Arial" w:cs="Arial"/>
                <w:b/>
                <w:bCs/>
                <w:sz w:val="18"/>
                <w:szCs w:val="18"/>
                <w:lang w:eastAsia="sl-SI"/>
              </w:rPr>
              <w:t> 12. 2021</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73069CC8" w14:textId="28EC1616" w:rsidR="00D847F2" w:rsidRPr="00ED4DC8" w:rsidRDefault="00727BBD" w:rsidP="00556699">
            <w:pPr>
              <w:spacing w:after="0" w:line="240" w:lineRule="auto"/>
              <w:jc w:val="center"/>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31.</w:t>
            </w:r>
            <w:r>
              <w:rPr>
                <w:rFonts w:ascii="Arial" w:eastAsia="Times New Roman" w:hAnsi="Arial" w:cs="Arial"/>
                <w:b/>
                <w:bCs/>
                <w:sz w:val="18"/>
                <w:szCs w:val="18"/>
                <w:lang w:eastAsia="sl-SI"/>
              </w:rPr>
              <w:t> 12. 2022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FB9A861" w14:textId="2AB3B01E" w:rsidR="00D847F2" w:rsidRPr="00501603" w:rsidRDefault="00D847F2" w:rsidP="00556699">
            <w:pPr>
              <w:spacing w:after="0" w:line="240" w:lineRule="auto"/>
              <w:jc w:val="center"/>
              <w:rPr>
                <w:rFonts w:ascii="Arial" w:eastAsia="Times New Roman" w:hAnsi="Arial" w:cs="Arial"/>
                <w:b/>
                <w:bCs/>
                <w:color w:val="000000"/>
                <w:sz w:val="18"/>
                <w:szCs w:val="18"/>
                <w:lang w:eastAsia="sl-SI"/>
              </w:rPr>
            </w:pPr>
            <w:r w:rsidRPr="00501603">
              <w:rPr>
                <w:rFonts w:ascii="Arial" w:eastAsia="Times New Roman" w:hAnsi="Arial" w:cs="Arial"/>
                <w:b/>
                <w:bCs/>
                <w:color w:val="000000"/>
                <w:sz w:val="18"/>
                <w:szCs w:val="18"/>
                <w:lang w:eastAsia="sl-SI"/>
              </w:rPr>
              <w:t xml:space="preserve">IND </w:t>
            </w:r>
            <w:r w:rsidRPr="00501603">
              <w:rPr>
                <w:rFonts w:ascii="Arial" w:eastAsia="Times New Roman" w:hAnsi="Arial" w:cs="Arial"/>
                <w:b/>
                <w:bCs/>
                <w:color w:val="000000"/>
                <w:sz w:val="18"/>
                <w:szCs w:val="18"/>
                <w:lang w:eastAsia="sl-SI"/>
              </w:rPr>
              <w:br/>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2021</w:t>
            </w:r>
            <w:r w:rsidRPr="00501603">
              <w:rPr>
                <w:rFonts w:ascii="Arial" w:eastAsia="Times New Roman" w:hAnsi="Arial" w:cs="Arial"/>
                <w:b/>
                <w:bCs/>
                <w:color w:val="000000"/>
                <w:sz w:val="18"/>
                <w:szCs w:val="18"/>
                <w:lang w:eastAsia="sl-SI"/>
              </w:rPr>
              <w:t>/</w:t>
            </w:r>
            <w:r w:rsidRPr="00501603">
              <w:rPr>
                <w:rFonts w:ascii="Arial" w:eastAsia="Times New Roman" w:hAnsi="Arial" w:cs="Arial"/>
                <w:b/>
                <w:bCs/>
                <w:color w:val="000000"/>
                <w:sz w:val="18"/>
                <w:szCs w:val="18"/>
                <w:lang w:eastAsia="sl-SI"/>
              </w:rPr>
              <w:br/>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2020</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07D77AA" w14:textId="7F835AC2" w:rsidR="00D847F2" w:rsidRPr="00501603" w:rsidRDefault="00D847F2" w:rsidP="00556699">
            <w:pPr>
              <w:spacing w:after="0" w:line="240" w:lineRule="auto"/>
              <w:jc w:val="center"/>
              <w:rPr>
                <w:rFonts w:ascii="Arial" w:eastAsia="Times New Roman" w:hAnsi="Arial" w:cs="Arial"/>
                <w:b/>
                <w:bCs/>
                <w:color w:val="000000"/>
                <w:sz w:val="18"/>
                <w:szCs w:val="18"/>
                <w:lang w:eastAsia="sl-SI"/>
              </w:rPr>
            </w:pPr>
            <w:r w:rsidRPr="00501603">
              <w:rPr>
                <w:rFonts w:ascii="Arial" w:eastAsia="Times New Roman" w:hAnsi="Arial" w:cs="Arial"/>
                <w:b/>
                <w:bCs/>
                <w:color w:val="000000"/>
                <w:sz w:val="18"/>
                <w:szCs w:val="18"/>
                <w:lang w:eastAsia="sl-SI"/>
              </w:rPr>
              <w:t xml:space="preserve">IND </w:t>
            </w:r>
            <w:r w:rsidRPr="00501603">
              <w:rPr>
                <w:rFonts w:ascii="Arial" w:eastAsia="Times New Roman" w:hAnsi="Arial" w:cs="Arial"/>
                <w:b/>
                <w:bCs/>
                <w:color w:val="000000"/>
                <w:sz w:val="18"/>
                <w:szCs w:val="18"/>
                <w:lang w:eastAsia="sl-SI"/>
              </w:rPr>
              <w:br/>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2022</w:t>
            </w:r>
            <w:r w:rsidRPr="00501603">
              <w:rPr>
                <w:rFonts w:ascii="Arial" w:eastAsia="Times New Roman" w:hAnsi="Arial" w:cs="Arial"/>
                <w:b/>
                <w:bCs/>
                <w:color w:val="000000"/>
                <w:sz w:val="18"/>
                <w:szCs w:val="18"/>
                <w:lang w:eastAsia="sl-SI"/>
              </w:rPr>
              <w:t>/</w:t>
            </w:r>
            <w:r w:rsidRPr="00501603">
              <w:rPr>
                <w:rFonts w:ascii="Arial" w:eastAsia="Times New Roman" w:hAnsi="Arial" w:cs="Arial"/>
                <w:b/>
                <w:bCs/>
                <w:color w:val="000000"/>
                <w:sz w:val="18"/>
                <w:szCs w:val="18"/>
                <w:lang w:eastAsia="sl-SI"/>
              </w:rPr>
              <w:br/>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2020</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8649A37" w14:textId="731CD6A5" w:rsidR="00D847F2" w:rsidRPr="00501603" w:rsidRDefault="00D847F2" w:rsidP="00556699">
            <w:pPr>
              <w:spacing w:after="0" w:line="240" w:lineRule="auto"/>
              <w:jc w:val="center"/>
              <w:rPr>
                <w:rFonts w:ascii="Arial" w:eastAsia="Times New Roman" w:hAnsi="Arial" w:cs="Arial"/>
                <w:b/>
                <w:bCs/>
                <w:color w:val="000000"/>
                <w:sz w:val="18"/>
                <w:szCs w:val="18"/>
                <w:lang w:eastAsia="sl-SI"/>
              </w:rPr>
            </w:pPr>
            <w:r w:rsidRPr="00501603">
              <w:rPr>
                <w:rFonts w:ascii="Arial" w:eastAsia="Times New Roman" w:hAnsi="Arial" w:cs="Arial"/>
                <w:b/>
                <w:bCs/>
                <w:color w:val="000000"/>
                <w:sz w:val="18"/>
                <w:szCs w:val="18"/>
                <w:lang w:eastAsia="sl-SI"/>
              </w:rPr>
              <w:t xml:space="preserve">IND </w:t>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2022</w:t>
            </w:r>
            <w:r w:rsidRPr="00501603">
              <w:rPr>
                <w:rFonts w:ascii="Arial" w:eastAsia="Times New Roman" w:hAnsi="Arial" w:cs="Arial"/>
                <w:b/>
                <w:bCs/>
                <w:color w:val="000000"/>
                <w:sz w:val="18"/>
                <w:szCs w:val="18"/>
                <w:lang w:eastAsia="sl-SI"/>
              </w:rPr>
              <w:t>/</w:t>
            </w:r>
            <w:r w:rsidRPr="00501603">
              <w:rPr>
                <w:rFonts w:ascii="Arial" w:eastAsia="Times New Roman" w:hAnsi="Arial" w:cs="Arial"/>
                <w:b/>
                <w:bCs/>
                <w:color w:val="000000"/>
                <w:sz w:val="18"/>
                <w:szCs w:val="18"/>
                <w:lang w:eastAsia="sl-SI"/>
              </w:rPr>
              <w:br/>
            </w:r>
            <w:r w:rsidR="00727BBD" w:rsidRPr="00501603">
              <w:rPr>
                <w:rFonts w:ascii="Arial" w:eastAsia="Times New Roman" w:hAnsi="Arial" w:cs="Arial"/>
                <w:b/>
                <w:bCs/>
                <w:color w:val="000000"/>
                <w:sz w:val="18"/>
                <w:szCs w:val="18"/>
                <w:lang w:eastAsia="sl-SI"/>
              </w:rPr>
              <w:t>31.</w:t>
            </w:r>
            <w:r w:rsidR="00727BBD">
              <w:rPr>
                <w:rFonts w:ascii="Arial" w:eastAsia="Times New Roman" w:hAnsi="Arial" w:cs="Arial"/>
                <w:b/>
                <w:bCs/>
                <w:color w:val="000000"/>
                <w:sz w:val="18"/>
                <w:szCs w:val="18"/>
                <w:lang w:eastAsia="sl-SI"/>
              </w:rPr>
              <w:t> 12. 2021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7CE15B" w14:textId="77777777" w:rsidR="00D847F2" w:rsidRPr="00501603" w:rsidRDefault="00D847F2" w:rsidP="00556699">
            <w:pPr>
              <w:spacing w:after="0" w:line="240" w:lineRule="auto"/>
              <w:jc w:val="center"/>
              <w:rPr>
                <w:rFonts w:ascii="Arial" w:eastAsia="Times New Roman" w:hAnsi="Arial" w:cs="Arial"/>
                <w:b/>
                <w:bCs/>
                <w:sz w:val="18"/>
                <w:szCs w:val="18"/>
                <w:lang w:eastAsia="sl-SI"/>
              </w:rPr>
            </w:pPr>
            <w:r w:rsidRPr="00501603">
              <w:rPr>
                <w:rFonts w:ascii="Arial" w:eastAsia="Times New Roman" w:hAnsi="Arial" w:cs="Arial"/>
                <w:b/>
                <w:bCs/>
                <w:sz w:val="18"/>
                <w:szCs w:val="18"/>
                <w:lang w:eastAsia="sl-SI"/>
              </w:rPr>
              <w:t>Delež v %</w:t>
            </w:r>
          </w:p>
        </w:tc>
      </w:tr>
      <w:tr w:rsidR="00D847F2" w:rsidRPr="00ED4DC8" w14:paraId="01674F36" w14:textId="77777777" w:rsidTr="00556699">
        <w:trPr>
          <w:trHeight w:val="192"/>
        </w:trPr>
        <w:tc>
          <w:tcPr>
            <w:tcW w:w="9112" w:type="dxa"/>
            <w:gridSpan w:val="8"/>
            <w:tcBorders>
              <w:top w:val="nil"/>
              <w:left w:val="single" w:sz="4" w:space="0" w:color="auto"/>
              <w:bottom w:val="single" w:sz="4" w:space="0" w:color="auto"/>
              <w:right w:val="single" w:sz="4" w:space="0" w:color="000000"/>
            </w:tcBorders>
            <w:shd w:val="clear" w:color="000000" w:fill="DCE6F1"/>
            <w:vAlign w:val="center"/>
            <w:hideMark/>
          </w:tcPr>
          <w:p w14:paraId="6F67EFCC"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Državni proračun </w:t>
            </w:r>
          </w:p>
        </w:tc>
      </w:tr>
      <w:tr w:rsidR="00D847F2" w:rsidRPr="00ED4DC8" w14:paraId="20654448"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35685E2"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Aktivni dolg </w:t>
            </w:r>
          </w:p>
        </w:tc>
        <w:tc>
          <w:tcPr>
            <w:tcW w:w="1103" w:type="dxa"/>
            <w:tcBorders>
              <w:top w:val="nil"/>
              <w:left w:val="nil"/>
              <w:bottom w:val="single" w:sz="4" w:space="0" w:color="auto"/>
              <w:right w:val="single" w:sz="4" w:space="0" w:color="auto"/>
            </w:tcBorders>
            <w:shd w:val="clear" w:color="auto" w:fill="auto"/>
            <w:vAlign w:val="center"/>
            <w:hideMark/>
          </w:tcPr>
          <w:p w14:paraId="595B22F1"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351.601.574</w:t>
            </w:r>
          </w:p>
        </w:tc>
        <w:tc>
          <w:tcPr>
            <w:tcW w:w="1115" w:type="dxa"/>
            <w:tcBorders>
              <w:top w:val="nil"/>
              <w:left w:val="nil"/>
              <w:bottom w:val="single" w:sz="4" w:space="0" w:color="auto"/>
              <w:right w:val="single" w:sz="4" w:space="0" w:color="auto"/>
            </w:tcBorders>
            <w:shd w:val="clear" w:color="auto" w:fill="auto"/>
            <w:vAlign w:val="center"/>
            <w:hideMark/>
          </w:tcPr>
          <w:p w14:paraId="185855E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293.193.839</w:t>
            </w:r>
          </w:p>
        </w:tc>
        <w:tc>
          <w:tcPr>
            <w:tcW w:w="1127" w:type="dxa"/>
            <w:tcBorders>
              <w:top w:val="nil"/>
              <w:left w:val="nil"/>
              <w:bottom w:val="single" w:sz="4" w:space="0" w:color="auto"/>
              <w:right w:val="single" w:sz="4" w:space="0" w:color="auto"/>
            </w:tcBorders>
            <w:shd w:val="clear" w:color="auto" w:fill="auto"/>
            <w:vAlign w:val="center"/>
            <w:hideMark/>
          </w:tcPr>
          <w:p w14:paraId="0FE3B33E"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306.730.194</w:t>
            </w:r>
          </w:p>
        </w:tc>
        <w:tc>
          <w:tcPr>
            <w:tcW w:w="1143" w:type="dxa"/>
            <w:tcBorders>
              <w:top w:val="nil"/>
              <w:left w:val="nil"/>
              <w:bottom w:val="single" w:sz="4" w:space="0" w:color="auto"/>
              <w:right w:val="single" w:sz="4" w:space="0" w:color="auto"/>
            </w:tcBorders>
            <w:shd w:val="clear" w:color="auto" w:fill="auto"/>
            <w:vAlign w:val="center"/>
            <w:hideMark/>
          </w:tcPr>
          <w:p w14:paraId="2D6019D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83,4</w:t>
            </w:r>
          </w:p>
        </w:tc>
        <w:tc>
          <w:tcPr>
            <w:tcW w:w="1143" w:type="dxa"/>
            <w:tcBorders>
              <w:top w:val="nil"/>
              <w:left w:val="nil"/>
              <w:bottom w:val="single" w:sz="4" w:space="0" w:color="auto"/>
              <w:right w:val="single" w:sz="4" w:space="0" w:color="auto"/>
            </w:tcBorders>
            <w:shd w:val="clear" w:color="auto" w:fill="auto"/>
            <w:vAlign w:val="center"/>
            <w:hideMark/>
          </w:tcPr>
          <w:p w14:paraId="5ACBBEB8"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87,2</w:t>
            </w:r>
          </w:p>
        </w:tc>
        <w:tc>
          <w:tcPr>
            <w:tcW w:w="1143" w:type="dxa"/>
            <w:tcBorders>
              <w:top w:val="nil"/>
              <w:left w:val="nil"/>
              <w:bottom w:val="single" w:sz="4" w:space="0" w:color="auto"/>
              <w:right w:val="single" w:sz="4" w:space="0" w:color="auto"/>
            </w:tcBorders>
            <w:shd w:val="clear" w:color="auto" w:fill="auto"/>
            <w:vAlign w:val="center"/>
            <w:hideMark/>
          </w:tcPr>
          <w:p w14:paraId="5560777A"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104,6</w:t>
            </w:r>
          </w:p>
        </w:tc>
        <w:tc>
          <w:tcPr>
            <w:tcW w:w="794" w:type="dxa"/>
            <w:tcBorders>
              <w:top w:val="nil"/>
              <w:left w:val="nil"/>
              <w:bottom w:val="single" w:sz="4" w:space="0" w:color="auto"/>
              <w:right w:val="single" w:sz="4" w:space="0" w:color="auto"/>
            </w:tcBorders>
            <w:shd w:val="clear" w:color="auto" w:fill="auto"/>
            <w:vAlign w:val="center"/>
            <w:hideMark/>
          </w:tcPr>
          <w:p w14:paraId="70D46CF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69,8</w:t>
            </w:r>
          </w:p>
        </w:tc>
      </w:tr>
      <w:tr w:rsidR="00D847F2" w:rsidRPr="00ED4DC8" w14:paraId="3F358DB1"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7F93E11"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Pogojno izterljivi dolg </w:t>
            </w:r>
          </w:p>
        </w:tc>
        <w:tc>
          <w:tcPr>
            <w:tcW w:w="1103" w:type="dxa"/>
            <w:tcBorders>
              <w:top w:val="nil"/>
              <w:left w:val="nil"/>
              <w:bottom w:val="single" w:sz="4" w:space="0" w:color="auto"/>
              <w:right w:val="single" w:sz="4" w:space="0" w:color="auto"/>
            </w:tcBorders>
            <w:shd w:val="clear" w:color="auto" w:fill="auto"/>
            <w:vAlign w:val="center"/>
            <w:hideMark/>
          </w:tcPr>
          <w:p w14:paraId="5FCF100E"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337.027.682</w:t>
            </w:r>
          </w:p>
        </w:tc>
        <w:tc>
          <w:tcPr>
            <w:tcW w:w="1115" w:type="dxa"/>
            <w:tcBorders>
              <w:top w:val="nil"/>
              <w:left w:val="nil"/>
              <w:bottom w:val="single" w:sz="4" w:space="0" w:color="auto"/>
              <w:right w:val="single" w:sz="4" w:space="0" w:color="auto"/>
            </w:tcBorders>
            <w:shd w:val="clear" w:color="auto" w:fill="auto"/>
            <w:vAlign w:val="center"/>
            <w:hideMark/>
          </w:tcPr>
          <w:p w14:paraId="25A7C8EC"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332.094.278</w:t>
            </w:r>
          </w:p>
        </w:tc>
        <w:tc>
          <w:tcPr>
            <w:tcW w:w="1127" w:type="dxa"/>
            <w:tcBorders>
              <w:top w:val="nil"/>
              <w:left w:val="nil"/>
              <w:bottom w:val="single" w:sz="4" w:space="0" w:color="auto"/>
              <w:right w:val="single" w:sz="4" w:space="0" w:color="auto"/>
            </w:tcBorders>
            <w:shd w:val="clear" w:color="auto" w:fill="auto"/>
            <w:vAlign w:val="center"/>
            <w:hideMark/>
          </w:tcPr>
          <w:p w14:paraId="30D3C56D"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310.483.279</w:t>
            </w:r>
          </w:p>
        </w:tc>
        <w:tc>
          <w:tcPr>
            <w:tcW w:w="1143" w:type="dxa"/>
            <w:tcBorders>
              <w:top w:val="nil"/>
              <w:left w:val="nil"/>
              <w:bottom w:val="single" w:sz="4" w:space="0" w:color="auto"/>
              <w:right w:val="single" w:sz="4" w:space="0" w:color="auto"/>
            </w:tcBorders>
            <w:shd w:val="clear" w:color="auto" w:fill="auto"/>
            <w:vAlign w:val="center"/>
            <w:hideMark/>
          </w:tcPr>
          <w:p w14:paraId="4749A93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98,5</w:t>
            </w:r>
          </w:p>
        </w:tc>
        <w:tc>
          <w:tcPr>
            <w:tcW w:w="1143" w:type="dxa"/>
            <w:tcBorders>
              <w:top w:val="nil"/>
              <w:left w:val="nil"/>
              <w:bottom w:val="single" w:sz="4" w:space="0" w:color="auto"/>
              <w:right w:val="single" w:sz="4" w:space="0" w:color="auto"/>
            </w:tcBorders>
            <w:shd w:val="clear" w:color="auto" w:fill="auto"/>
            <w:vAlign w:val="center"/>
            <w:hideMark/>
          </w:tcPr>
          <w:p w14:paraId="6FED427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92,1</w:t>
            </w:r>
          </w:p>
        </w:tc>
        <w:tc>
          <w:tcPr>
            <w:tcW w:w="1143" w:type="dxa"/>
            <w:tcBorders>
              <w:top w:val="nil"/>
              <w:left w:val="nil"/>
              <w:bottom w:val="single" w:sz="4" w:space="0" w:color="auto"/>
              <w:right w:val="single" w:sz="4" w:space="0" w:color="auto"/>
            </w:tcBorders>
            <w:shd w:val="clear" w:color="auto" w:fill="auto"/>
            <w:vAlign w:val="center"/>
            <w:hideMark/>
          </w:tcPr>
          <w:p w14:paraId="7C1B1AB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93,5</w:t>
            </w:r>
          </w:p>
        </w:tc>
        <w:tc>
          <w:tcPr>
            <w:tcW w:w="794" w:type="dxa"/>
            <w:tcBorders>
              <w:top w:val="nil"/>
              <w:left w:val="nil"/>
              <w:bottom w:val="single" w:sz="4" w:space="0" w:color="auto"/>
              <w:right w:val="single" w:sz="4" w:space="0" w:color="auto"/>
            </w:tcBorders>
            <w:shd w:val="clear" w:color="auto" w:fill="auto"/>
            <w:vAlign w:val="center"/>
            <w:hideMark/>
          </w:tcPr>
          <w:p w14:paraId="36DC5F0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68,0</w:t>
            </w:r>
          </w:p>
        </w:tc>
      </w:tr>
      <w:tr w:rsidR="00D847F2" w:rsidRPr="00ED4DC8" w14:paraId="0B9617A1" w14:textId="77777777" w:rsidTr="00556699">
        <w:trPr>
          <w:trHeight w:val="226"/>
        </w:trPr>
        <w:tc>
          <w:tcPr>
            <w:tcW w:w="1540" w:type="dxa"/>
            <w:tcBorders>
              <w:top w:val="nil"/>
              <w:left w:val="single" w:sz="4" w:space="0" w:color="auto"/>
              <w:bottom w:val="double" w:sz="6" w:space="0" w:color="auto"/>
              <w:right w:val="single" w:sz="4" w:space="0" w:color="auto"/>
            </w:tcBorders>
            <w:shd w:val="clear" w:color="auto" w:fill="auto"/>
            <w:vAlign w:val="center"/>
            <w:hideMark/>
          </w:tcPr>
          <w:p w14:paraId="0489A176"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Skupaj dolg </w:t>
            </w:r>
          </w:p>
        </w:tc>
        <w:tc>
          <w:tcPr>
            <w:tcW w:w="1103" w:type="dxa"/>
            <w:tcBorders>
              <w:top w:val="nil"/>
              <w:left w:val="nil"/>
              <w:bottom w:val="double" w:sz="6" w:space="0" w:color="auto"/>
              <w:right w:val="single" w:sz="4" w:space="0" w:color="auto"/>
            </w:tcBorders>
            <w:shd w:val="clear" w:color="auto" w:fill="auto"/>
            <w:vAlign w:val="center"/>
            <w:hideMark/>
          </w:tcPr>
          <w:p w14:paraId="2F03DD65"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688.629.256</w:t>
            </w:r>
          </w:p>
        </w:tc>
        <w:tc>
          <w:tcPr>
            <w:tcW w:w="1115" w:type="dxa"/>
            <w:tcBorders>
              <w:top w:val="nil"/>
              <w:left w:val="nil"/>
              <w:bottom w:val="double" w:sz="6" w:space="0" w:color="auto"/>
              <w:right w:val="single" w:sz="4" w:space="0" w:color="auto"/>
            </w:tcBorders>
            <w:shd w:val="clear" w:color="auto" w:fill="auto"/>
            <w:vAlign w:val="center"/>
            <w:hideMark/>
          </w:tcPr>
          <w:p w14:paraId="42514801"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625.288.117</w:t>
            </w:r>
          </w:p>
        </w:tc>
        <w:tc>
          <w:tcPr>
            <w:tcW w:w="1127" w:type="dxa"/>
            <w:tcBorders>
              <w:top w:val="nil"/>
              <w:left w:val="nil"/>
              <w:bottom w:val="double" w:sz="6" w:space="0" w:color="auto"/>
              <w:right w:val="single" w:sz="4" w:space="0" w:color="auto"/>
            </w:tcBorders>
            <w:shd w:val="clear" w:color="auto" w:fill="auto"/>
            <w:vAlign w:val="center"/>
            <w:hideMark/>
          </w:tcPr>
          <w:p w14:paraId="43441FCF"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617.213.473</w:t>
            </w:r>
          </w:p>
        </w:tc>
        <w:tc>
          <w:tcPr>
            <w:tcW w:w="1143" w:type="dxa"/>
            <w:tcBorders>
              <w:top w:val="nil"/>
              <w:left w:val="nil"/>
              <w:bottom w:val="double" w:sz="6" w:space="0" w:color="auto"/>
              <w:right w:val="single" w:sz="4" w:space="0" w:color="auto"/>
            </w:tcBorders>
            <w:shd w:val="clear" w:color="auto" w:fill="auto"/>
            <w:vAlign w:val="center"/>
            <w:hideMark/>
          </w:tcPr>
          <w:p w14:paraId="2785330C"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90,8</w:t>
            </w:r>
          </w:p>
        </w:tc>
        <w:tc>
          <w:tcPr>
            <w:tcW w:w="1143" w:type="dxa"/>
            <w:tcBorders>
              <w:top w:val="nil"/>
              <w:left w:val="nil"/>
              <w:bottom w:val="double" w:sz="6" w:space="0" w:color="auto"/>
              <w:right w:val="single" w:sz="4" w:space="0" w:color="auto"/>
            </w:tcBorders>
            <w:shd w:val="clear" w:color="auto" w:fill="auto"/>
            <w:vAlign w:val="center"/>
            <w:hideMark/>
          </w:tcPr>
          <w:p w14:paraId="3C042DF3"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89,6</w:t>
            </w:r>
          </w:p>
        </w:tc>
        <w:tc>
          <w:tcPr>
            <w:tcW w:w="1143" w:type="dxa"/>
            <w:tcBorders>
              <w:top w:val="nil"/>
              <w:left w:val="nil"/>
              <w:bottom w:val="double" w:sz="6" w:space="0" w:color="auto"/>
              <w:right w:val="single" w:sz="4" w:space="0" w:color="auto"/>
            </w:tcBorders>
            <w:shd w:val="clear" w:color="auto" w:fill="auto"/>
            <w:vAlign w:val="center"/>
            <w:hideMark/>
          </w:tcPr>
          <w:p w14:paraId="07638DE9"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98,7</w:t>
            </w:r>
          </w:p>
        </w:tc>
        <w:tc>
          <w:tcPr>
            <w:tcW w:w="794" w:type="dxa"/>
            <w:tcBorders>
              <w:top w:val="nil"/>
              <w:left w:val="nil"/>
              <w:bottom w:val="double" w:sz="6" w:space="0" w:color="auto"/>
              <w:right w:val="single" w:sz="4" w:space="0" w:color="auto"/>
            </w:tcBorders>
            <w:shd w:val="clear" w:color="auto" w:fill="auto"/>
            <w:vAlign w:val="center"/>
            <w:hideMark/>
          </w:tcPr>
          <w:p w14:paraId="1147D3D4"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68,9</w:t>
            </w:r>
          </w:p>
        </w:tc>
      </w:tr>
      <w:tr w:rsidR="00D847F2" w:rsidRPr="00ED4DC8" w14:paraId="7E13DE48" w14:textId="77777777" w:rsidTr="00556699">
        <w:trPr>
          <w:trHeight w:val="226"/>
        </w:trPr>
        <w:tc>
          <w:tcPr>
            <w:tcW w:w="9112" w:type="dxa"/>
            <w:gridSpan w:val="8"/>
            <w:tcBorders>
              <w:top w:val="nil"/>
              <w:left w:val="single" w:sz="4" w:space="0" w:color="auto"/>
              <w:bottom w:val="single" w:sz="4" w:space="0" w:color="auto"/>
              <w:right w:val="single" w:sz="4" w:space="0" w:color="000000"/>
            </w:tcBorders>
            <w:shd w:val="clear" w:color="000000" w:fill="DCE6F1"/>
            <w:vAlign w:val="center"/>
            <w:hideMark/>
          </w:tcPr>
          <w:p w14:paraId="18152407"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Zavod za pokojninsko in invalidsko zavarovanje </w:t>
            </w:r>
          </w:p>
        </w:tc>
      </w:tr>
      <w:tr w:rsidR="00D847F2" w:rsidRPr="00ED4DC8" w14:paraId="3C56ED2C"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B4363C5"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Aktivni dolg </w:t>
            </w:r>
          </w:p>
        </w:tc>
        <w:tc>
          <w:tcPr>
            <w:tcW w:w="1103" w:type="dxa"/>
            <w:tcBorders>
              <w:top w:val="nil"/>
              <w:left w:val="nil"/>
              <w:bottom w:val="single" w:sz="4" w:space="0" w:color="auto"/>
              <w:right w:val="single" w:sz="4" w:space="0" w:color="auto"/>
            </w:tcBorders>
            <w:shd w:val="clear" w:color="auto" w:fill="auto"/>
            <w:vAlign w:val="center"/>
            <w:hideMark/>
          </w:tcPr>
          <w:p w14:paraId="435760E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87.807.470</w:t>
            </w:r>
          </w:p>
        </w:tc>
        <w:tc>
          <w:tcPr>
            <w:tcW w:w="1115" w:type="dxa"/>
            <w:tcBorders>
              <w:top w:val="nil"/>
              <w:left w:val="nil"/>
              <w:bottom w:val="single" w:sz="4" w:space="0" w:color="auto"/>
              <w:right w:val="single" w:sz="4" w:space="0" w:color="auto"/>
            </w:tcBorders>
            <w:shd w:val="clear" w:color="auto" w:fill="auto"/>
            <w:vAlign w:val="center"/>
            <w:hideMark/>
          </w:tcPr>
          <w:p w14:paraId="0A2D135A"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82.535.740</w:t>
            </w:r>
          </w:p>
        </w:tc>
        <w:tc>
          <w:tcPr>
            <w:tcW w:w="1127" w:type="dxa"/>
            <w:tcBorders>
              <w:top w:val="nil"/>
              <w:left w:val="nil"/>
              <w:bottom w:val="single" w:sz="4" w:space="0" w:color="auto"/>
              <w:right w:val="single" w:sz="4" w:space="0" w:color="auto"/>
            </w:tcBorders>
            <w:shd w:val="clear" w:color="auto" w:fill="auto"/>
            <w:vAlign w:val="center"/>
            <w:hideMark/>
          </w:tcPr>
          <w:p w14:paraId="7E4C1538"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79.264.785</w:t>
            </w:r>
          </w:p>
        </w:tc>
        <w:tc>
          <w:tcPr>
            <w:tcW w:w="1143" w:type="dxa"/>
            <w:tcBorders>
              <w:top w:val="nil"/>
              <w:left w:val="nil"/>
              <w:bottom w:val="single" w:sz="4" w:space="0" w:color="auto"/>
              <w:right w:val="single" w:sz="4" w:space="0" w:color="auto"/>
            </w:tcBorders>
            <w:shd w:val="clear" w:color="auto" w:fill="auto"/>
            <w:vAlign w:val="center"/>
            <w:hideMark/>
          </w:tcPr>
          <w:p w14:paraId="47D7080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94,0</w:t>
            </w:r>
          </w:p>
        </w:tc>
        <w:tc>
          <w:tcPr>
            <w:tcW w:w="1143" w:type="dxa"/>
            <w:tcBorders>
              <w:top w:val="nil"/>
              <w:left w:val="nil"/>
              <w:bottom w:val="single" w:sz="4" w:space="0" w:color="auto"/>
              <w:right w:val="single" w:sz="4" w:space="0" w:color="auto"/>
            </w:tcBorders>
            <w:shd w:val="clear" w:color="auto" w:fill="auto"/>
            <w:vAlign w:val="center"/>
            <w:hideMark/>
          </w:tcPr>
          <w:p w14:paraId="1F5B794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90,3</w:t>
            </w:r>
          </w:p>
        </w:tc>
        <w:tc>
          <w:tcPr>
            <w:tcW w:w="1143" w:type="dxa"/>
            <w:tcBorders>
              <w:top w:val="nil"/>
              <w:left w:val="nil"/>
              <w:bottom w:val="single" w:sz="4" w:space="0" w:color="auto"/>
              <w:right w:val="single" w:sz="4" w:space="0" w:color="auto"/>
            </w:tcBorders>
            <w:shd w:val="clear" w:color="auto" w:fill="auto"/>
            <w:vAlign w:val="center"/>
            <w:hideMark/>
          </w:tcPr>
          <w:p w14:paraId="1347EA31"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96,0</w:t>
            </w:r>
          </w:p>
        </w:tc>
        <w:tc>
          <w:tcPr>
            <w:tcW w:w="794" w:type="dxa"/>
            <w:tcBorders>
              <w:top w:val="nil"/>
              <w:left w:val="nil"/>
              <w:bottom w:val="single" w:sz="4" w:space="0" w:color="auto"/>
              <w:right w:val="single" w:sz="4" w:space="0" w:color="auto"/>
            </w:tcBorders>
            <w:shd w:val="clear" w:color="auto" w:fill="auto"/>
            <w:vAlign w:val="center"/>
            <w:hideMark/>
          </w:tcPr>
          <w:p w14:paraId="48F00E0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18,0</w:t>
            </w:r>
          </w:p>
        </w:tc>
      </w:tr>
      <w:tr w:rsidR="00D847F2" w:rsidRPr="00ED4DC8" w14:paraId="2ED49F00"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DD58786"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Pogojno izterljivi dolg </w:t>
            </w:r>
          </w:p>
        </w:tc>
        <w:tc>
          <w:tcPr>
            <w:tcW w:w="1103" w:type="dxa"/>
            <w:tcBorders>
              <w:top w:val="nil"/>
              <w:left w:val="nil"/>
              <w:bottom w:val="single" w:sz="4" w:space="0" w:color="auto"/>
              <w:right w:val="single" w:sz="4" w:space="0" w:color="auto"/>
            </w:tcBorders>
            <w:shd w:val="clear" w:color="auto" w:fill="auto"/>
            <w:vAlign w:val="center"/>
            <w:hideMark/>
          </w:tcPr>
          <w:p w14:paraId="33BD180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98.411.157</w:t>
            </w:r>
          </w:p>
        </w:tc>
        <w:tc>
          <w:tcPr>
            <w:tcW w:w="1115" w:type="dxa"/>
            <w:tcBorders>
              <w:top w:val="nil"/>
              <w:left w:val="nil"/>
              <w:bottom w:val="single" w:sz="4" w:space="0" w:color="auto"/>
              <w:right w:val="single" w:sz="4" w:space="0" w:color="auto"/>
            </w:tcBorders>
            <w:shd w:val="clear" w:color="auto" w:fill="auto"/>
            <w:vAlign w:val="center"/>
            <w:hideMark/>
          </w:tcPr>
          <w:p w14:paraId="784F2080"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94.652.465</w:t>
            </w:r>
          </w:p>
        </w:tc>
        <w:tc>
          <w:tcPr>
            <w:tcW w:w="1127" w:type="dxa"/>
            <w:tcBorders>
              <w:top w:val="nil"/>
              <w:left w:val="nil"/>
              <w:bottom w:val="single" w:sz="4" w:space="0" w:color="auto"/>
              <w:right w:val="single" w:sz="4" w:space="0" w:color="auto"/>
            </w:tcBorders>
            <w:shd w:val="clear" w:color="auto" w:fill="auto"/>
            <w:vAlign w:val="center"/>
            <w:hideMark/>
          </w:tcPr>
          <w:p w14:paraId="0E9EC08B"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89.472.983</w:t>
            </w:r>
          </w:p>
        </w:tc>
        <w:tc>
          <w:tcPr>
            <w:tcW w:w="1143" w:type="dxa"/>
            <w:tcBorders>
              <w:top w:val="nil"/>
              <w:left w:val="nil"/>
              <w:bottom w:val="single" w:sz="4" w:space="0" w:color="auto"/>
              <w:right w:val="single" w:sz="4" w:space="0" w:color="auto"/>
            </w:tcBorders>
            <w:shd w:val="clear" w:color="auto" w:fill="auto"/>
            <w:vAlign w:val="center"/>
            <w:hideMark/>
          </w:tcPr>
          <w:p w14:paraId="7B4D59A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96,2</w:t>
            </w:r>
          </w:p>
        </w:tc>
        <w:tc>
          <w:tcPr>
            <w:tcW w:w="1143" w:type="dxa"/>
            <w:tcBorders>
              <w:top w:val="nil"/>
              <w:left w:val="nil"/>
              <w:bottom w:val="single" w:sz="4" w:space="0" w:color="auto"/>
              <w:right w:val="single" w:sz="4" w:space="0" w:color="auto"/>
            </w:tcBorders>
            <w:shd w:val="clear" w:color="auto" w:fill="auto"/>
            <w:vAlign w:val="center"/>
            <w:hideMark/>
          </w:tcPr>
          <w:p w14:paraId="61754E9B"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90,9</w:t>
            </w:r>
          </w:p>
        </w:tc>
        <w:tc>
          <w:tcPr>
            <w:tcW w:w="1143" w:type="dxa"/>
            <w:tcBorders>
              <w:top w:val="nil"/>
              <w:left w:val="nil"/>
              <w:bottom w:val="single" w:sz="4" w:space="0" w:color="auto"/>
              <w:right w:val="single" w:sz="4" w:space="0" w:color="auto"/>
            </w:tcBorders>
            <w:shd w:val="clear" w:color="auto" w:fill="auto"/>
            <w:vAlign w:val="center"/>
            <w:hideMark/>
          </w:tcPr>
          <w:p w14:paraId="6C5582B9"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94,5</w:t>
            </w:r>
          </w:p>
        </w:tc>
        <w:tc>
          <w:tcPr>
            <w:tcW w:w="794" w:type="dxa"/>
            <w:tcBorders>
              <w:top w:val="nil"/>
              <w:left w:val="nil"/>
              <w:bottom w:val="single" w:sz="4" w:space="0" w:color="auto"/>
              <w:right w:val="single" w:sz="4" w:space="0" w:color="auto"/>
            </w:tcBorders>
            <w:shd w:val="clear" w:color="auto" w:fill="auto"/>
            <w:vAlign w:val="center"/>
            <w:hideMark/>
          </w:tcPr>
          <w:p w14:paraId="2784DB0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19,6</w:t>
            </w:r>
          </w:p>
        </w:tc>
      </w:tr>
      <w:tr w:rsidR="00D847F2" w:rsidRPr="00ED4DC8" w14:paraId="41451102" w14:textId="77777777" w:rsidTr="00556699">
        <w:trPr>
          <w:trHeight w:val="226"/>
        </w:trPr>
        <w:tc>
          <w:tcPr>
            <w:tcW w:w="1540" w:type="dxa"/>
            <w:tcBorders>
              <w:top w:val="nil"/>
              <w:left w:val="single" w:sz="4" w:space="0" w:color="auto"/>
              <w:bottom w:val="double" w:sz="6" w:space="0" w:color="auto"/>
              <w:right w:val="single" w:sz="4" w:space="0" w:color="auto"/>
            </w:tcBorders>
            <w:shd w:val="clear" w:color="auto" w:fill="auto"/>
            <w:vAlign w:val="center"/>
            <w:hideMark/>
          </w:tcPr>
          <w:p w14:paraId="2DE48098"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Skupaj dolg </w:t>
            </w:r>
          </w:p>
        </w:tc>
        <w:tc>
          <w:tcPr>
            <w:tcW w:w="1103" w:type="dxa"/>
            <w:tcBorders>
              <w:top w:val="nil"/>
              <w:left w:val="nil"/>
              <w:bottom w:val="double" w:sz="6" w:space="0" w:color="auto"/>
              <w:right w:val="single" w:sz="4" w:space="0" w:color="auto"/>
            </w:tcBorders>
            <w:shd w:val="clear" w:color="auto" w:fill="auto"/>
            <w:vAlign w:val="center"/>
            <w:hideMark/>
          </w:tcPr>
          <w:p w14:paraId="32260689"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186.218.627</w:t>
            </w:r>
          </w:p>
        </w:tc>
        <w:tc>
          <w:tcPr>
            <w:tcW w:w="1115" w:type="dxa"/>
            <w:tcBorders>
              <w:top w:val="nil"/>
              <w:left w:val="nil"/>
              <w:bottom w:val="double" w:sz="6" w:space="0" w:color="auto"/>
              <w:right w:val="single" w:sz="4" w:space="0" w:color="auto"/>
            </w:tcBorders>
            <w:shd w:val="clear" w:color="auto" w:fill="auto"/>
            <w:vAlign w:val="center"/>
            <w:hideMark/>
          </w:tcPr>
          <w:p w14:paraId="77D57BE6"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177.188.205</w:t>
            </w:r>
          </w:p>
        </w:tc>
        <w:tc>
          <w:tcPr>
            <w:tcW w:w="1127" w:type="dxa"/>
            <w:tcBorders>
              <w:top w:val="nil"/>
              <w:left w:val="nil"/>
              <w:bottom w:val="double" w:sz="6" w:space="0" w:color="auto"/>
              <w:right w:val="single" w:sz="4" w:space="0" w:color="auto"/>
            </w:tcBorders>
            <w:shd w:val="clear" w:color="auto" w:fill="auto"/>
            <w:vAlign w:val="center"/>
            <w:hideMark/>
          </w:tcPr>
          <w:p w14:paraId="53FF275B"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168.737.768</w:t>
            </w:r>
          </w:p>
        </w:tc>
        <w:tc>
          <w:tcPr>
            <w:tcW w:w="1143" w:type="dxa"/>
            <w:tcBorders>
              <w:top w:val="nil"/>
              <w:left w:val="nil"/>
              <w:bottom w:val="double" w:sz="6" w:space="0" w:color="auto"/>
              <w:right w:val="single" w:sz="4" w:space="0" w:color="auto"/>
            </w:tcBorders>
            <w:shd w:val="clear" w:color="auto" w:fill="auto"/>
            <w:vAlign w:val="center"/>
            <w:hideMark/>
          </w:tcPr>
          <w:p w14:paraId="7E95B12F"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95,2</w:t>
            </w:r>
          </w:p>
        </w:tc>
        <w:tc>
          <w:tcPr>
            <w:tcW w:w="1143" w:type="dxa"/>
            <w:tcBorders>
              <w:top w:val="nil"/>
              <w:left w:val="nil"/>
              <w:bottom w:val="double" w:sz="6" w:space="0" w:color="auto"/>
              <w:right w:val="single" w:sz="4" w:space="0" w:color="auto"/>
            </w:tcBorders>
            <w:shd w:val="clear" w:color="auto" w:fill="auto"/>
            <w:vAlign w:val="center"/>
            <w:hideMark/>
          </w:tcPr>
          <w:p w14:paraId="4FBB6431"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90,6</w:t>
            </w:r>
          </w:p>
        </w:tc>
        <w:tc>
          <w:tcPr>
            <w:tcW w:w="1143" w:type="dxa"/>
            <w:tcBorders>
              <w:top w:val="nil"/>
              <w:left w:val="nil"/>
              <w:bottom w:val="double" w:sz="6" w:space="0" w:color="auto"/>
              <w:right w:val="single" w:sz="4" w:space="0" w:color="auto"/>
            </w:tcBorders>
            <w:shd w:val="clear" w:color="auto" w:fill="auto"/>
            <w:vAlign w:val="center"/>
            <w:hideMark/>
          </w:tcPr>
          <w:p w14:paraId="62FF790D"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95,2</w:t>
            </w:r>
          </w:p>
        </w:tc>
        <w:tc>
          <w:tcPr>
            <w:tcW w:w="794" w:type="dxa"/>
            <w:tcBorders>
              <w:top w:val="nil"/>
              <w:left w:val="nil"/>
              <w:bottom w:val="double" w:sz="6" w:space="0" w:color="auto"/>
              <w:right w:val="single" w:sz="4" w:space="0" w:color="auto"/>
            </w:tcBorders>
            <w:shd w:val="clear" w:color="auto" w:fill="auto"/>
            <w:vAlign w:val="center"/>
            <w:hideMark/>
          </w:tcPr>
          <w:p w14:paraId="7DD3CBF9"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18,8</w:t>
            </w:r>
          </w:p>
        </w:tc>
      </w:tr>
      <w:tr w:rsidR="00D847F2" w:rsidRPr="00ED4DC8" w14:paraId="4EAAEF78" w14:textId="77777777" w:rsidTr="00556699">
        <w:trPr>
          <w:trHeight w:val="181"/>
        </w:trPr>
        <w:tc>
          <w:tcPr>
            <w:tcW w:w="9112" w:type="dxa"/>
            <w:gridSpan w:val="8"/>
            <w:tcBorders>
              <w:top w:val="nil"/>
              <w:left w:val="single" w:sz="4" w:space="0" w:color="auto"/>
              <w:bottom w:val="single" w:sz="4" w:space="0" w:color="auto"/>
              <w:right w:val="single" w:sz="4" w:space="0" w:color="000000"/>
            </w:tcBorders>
            <w:shd w:val="clear" w:color="000000" w:fill="DCE6F1"/>
            <w:vAlign w:val="center"/>
            <w:hideMark/>
          </w:tcPr>
          <w:p w14:paraId="11AA55D1"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Zavod za zdravstveno zavarovanje Slovenije </w:t>
            </w:r>
          </w:p>
        </w:tc>
      </w:tr>
      <w:tr w:rsidR="00D847F2" w:rsidRPr="00ED4DC8" w14:paraId="25EEA27F"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EB19F72"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Aktivni dolg </w:t>
            </w:r>
          </w:p>
        </w:tc>
        <w:tc>
          <w:tcPr>
            <w:tcW w:w="1103" w:type="dxa"/>
            <w:tcBorders>
              <w:top w:val="nil"/>
              <w:left w:val="nil"/>
              <w:bottom w:val="single" w:sz="4" w:space="0" w:color="auto"/>
              <w:right w:val="single" w:sz="4" w:space="0" w:color="auto"/>
            </w:tcBorders>
            <w:shd w:val="clear" w:color="auto" w:fill="auto"/>
            <w:vAlign w:val="center"/>
            <w:hideMark/>
          </w:tcPr>
          <w:p w14:paraId="4F3E8B8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46.118.955</w:t>
            </w:r>
          </w:p>
        </w:tc>
        <w:tc>
          <w:tcPr>
            <w:tcW w:w="1115" w:type="dxa"/>
            <w:tcBorders>
              <w:top w:val="nil"/>
              <w:left w:val="nil"/>
              <w:bottom w:val="single" w:sz="4" w:space="0" w:color="auto"/>
              <w:right w:val="single" w:sz="4" w:space="0" w:color="auto"/>
            </w:tcBorders>
            <w:shd w:val="clear" w:color="auto" w:fill="auto"/>
            <w:vAlign w:val="center"/>
            <w:hideMark/>
          </w:tcPr>
          <w:p w14:paraId="2D7B1C26"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43.064.073</w:t>
            </w:r>
          </w:p>
        </w:tc>
        <w:tc>
          <w:tcPr>
            <w:tcW w:w="1127" w:type="dxa"/>
            <w:tcBorders>
              <w:top w:val="nil"/>
              <w:left w:val="nil"/>
              <w:bottom w:val="single" w:sz="4" w:space="0" w:color="auto"/>
              <w:right w:val="single" w:sz="4" w:space="0" w:color="auto"/>
            </w:tcBorders>
            <w:shd w:val="clear" w:color="auto" w:fill="auto"/>
            <w:vAlign w:val="center"/>
            <w:hideMark/>
          </w:tcPr>
          <w:p w14:paraId="66F3A56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41.407.396</w:t>
            </w:r>
          </w:p>
        </w:tc>
        <w:tc>
          <w:tcPr>
            <w:tcW w:w="1143" w:type="dxa"/>
            <w:tcBorders>
              <w:top w:val="nil"/>
              <w:left w:val="nil"/>
              <w:bottom w:val="single" w:sz="4" w:space="0" w:color="auto"/>
              <w:right w:val="single" w:sz="4" w:space="0" w:color="auto"/>
            </w:tcBorders>
            <w:shd w:val="clear" w:color="auto" w:fill="auto"/>
            <w:vAlign w:val="center"/>
            <w:hideMark/>
          </w:tcPr>
          <w:p w14:paraId="2C1E860A"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93,4</w:t>
            </w:r>
          </w:p>
        </w:tc>
        <w:tc>
          <w:tcPr>
            <w:tcW w:w="1143" w:type="dxa"/>
            <w:tcBorders>
              <w:top w:val="nil"/>
              <w:left w:val="nil"/>
              <w:bottom w:val="single" w:sz="4" w:space="0" w:color="auto"/>
              <w:right w:val="single" w:sz="4" w:space="0" w:color="auto"/>
            </w:tcBorders>
            <w:shd w:val="clear" w:color="auto" w:fill="auto"/>
            <w:vAlign w:val="center"/>
            <w:hideMark/>
          </w:tcPr>
          <w:p w14:paraId="2A090AF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89,8</w:t>
            </w:r>
          </w:p>
        </w:tc>
        <w:tc>
          <w:tcPr>
            <w:tcW w:w="1143" w:type="dxa"/>
            <w:tcBorders>
              <w:top w:val="nil"/>
              <w:left w:val="nil"/>
              <w:bottom w:val="single" w:sz="4" w:space="0" w:color="auto"/>
              <w:right w:val="single" w:sz="4" w:space="0" w:color="auto"/>
            </w:tcBorders>
            <w:shd w:val="clear" w:color="auto" w:fill="auto"/>
            <w:vAlign w:val="center"/>
            <w:hideMark/>
          </w:tcPr>
          <w:p w14:paraId="37F7988D"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96,2</w:t>
            </w:r>
          </w:p>
        </w:tc>
        <w:tc>
          <w:tcPr>
            <w:tcW w:w="794" w:type="dxa"/>
            <w:tcBorders>
              <w:top w:val="nil"/>
              <w:left w:val="nil"/>
              <w:bottom w:val="single" w:sz="4" w:space="0" w:color="auto"/>
              <w:right w:val="single" w:sz="4" w:space="0" w:color="auto"/>
            </w:tcBorders>
            <w:shd w:val="clear" w:color="auto" w:fill="auto"/>
            <w:vAlign w:val="center"/>
            <w:hideMark/>
          </w:tcPr>
          <w:p w14:paraId="30A430BD"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9,4</w:t>
            </w:r>
          </w:p>
        </w:tc>
      </w:tr>
      <w:tr w:rsidR="00D847F2" w:rsidRPr="00ED4DC8" w14:paraId="00CB93F5"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EDCA1D3"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Pogojno izterljivi dolg </w:t>
            </w:r>
          </w:p>
        </w:tc>
        <w:tc>
          <w:tcPr>
            <w:tcW w:w="1103" w:type="dxa"/>
            <w:tcBorders>
              <w:top w:val="nil"/>
              <w:left w:val="nil"/>
              <w:bottom w:val="single" w:sz="4" w:space="0" w:color="auto"/>
              <w:right w:val="single" w:sz="4" w:space="0" w:color="auto"/>
            </w:tcBorders>
            <w:shd w:val="clear" w:color="auto" w:fill="auto"/>
            <w:vAlign w:val="center"/>
            <w:hideMark/>
          </w:tcPr>
          <w:p w14:paraId="013904A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46.614.890</w:t>
            </w:r>
          </w:p>
        </w:tc>
        <w:tc>
          <w:tcPr>
            <w:tcW w:w="1115" w:type="dxa"/>
            <w:tcBorders>
              <w:top w:val="nil"/>
              <w:left w:val="nil"/>
              <w:bottom w:val="single" w:sz="4" w:space="0" w:color="auto"/>
              <w:right w:val="single" w:sz="4" w:space="0" w:color="auto"/>
            </w:tcBorders>
            <w:shd w:val="clear" w:color="auto" w:fill="auto"/>
            <w:vAlign w:val="center"/>
            <w:hideMark/>
          </w:tcPr>
          <w:p w14:paraId="03735A5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44.943.699</w:t>
            </w:r>
          </w:p>
        </w:tc>
        <w:tc>
          <w:tcPr>
            <w:tcW w:w="1127" w:type="dxa"/>
            <w:tcBorders>
              <w:top w:val="nil"/>
              <w:left w:val="nil"/>
              <w:bottom w:val="single" w:sz="4" w:space="0" w:color="auto"/>
              <w:right w:val="single" w:sz="4" w:space="0" w:color="auto"/>
            </w:tcBorders>
            <w:shd w:val="clear" w:color="auto" w:fill="auto"/>
            <w:vAlign w:val="center"/>
            <w:hideMark/>
          </w:tcPr>
          <w:p w14:paraId="7B5CE0B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43.108.228</w:t>
            </w:r>
          </w:p>
        </w:tc>
        <w:tc>
          <w:tcPr>
            <w:tcW w:w="1143" w:type="dxa"/>
            <w:tcBorders>
              <w:top w:val="nil"/>
              <w:left w:val="nil"/>
              <w:bottom w:val="single" w:sz="4" w:space="0" w:color="auto"/>
              <w:right w:val="single" w:sz="4" w:space="0" w:color="auto"/>
            </w:tcBorders>
            <w:shd w:val="clear" w:color="auto" w:fill="auto"/>
            <w:vAlign w:val="center"/>
            <w:hideMark/>
          </w:tcPr>
          <w:p w14:paraId="3525CB8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96,4</w:t>
            </w:r>
          </w:p>
        </w:tc>
        <w:tc>
          <w:tcPr>
            <w:tcW w:w="1143" w:type="dxa"/>
            <w:tcBorders>
              <w:top w:val="nil"/>
              <w:left w:val="nil"/>
              <w:bottom w:val="single" w:sz="4" w:space="0" w:color="auto"/>
              <w:right w:val="single" w:sz="4" w:space="0" w:color="auto"/>
            </w:tcBorders>
            <w:shd w:val="clear" w:color="auto" w:fill="auto"/>
            <w:vAlign w:val="center"/>
            <w:hideMark/>
          </w:tcPr>
          <w:p w14:paraId="05FD6B49"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92,5</w:t>
            </w:r>
          </w:p>
        </w:tc>
        <w:tc>
          <w:tcPr>
            <w:tcW w:w="1143" w:type="dxa"/>
            <w:tcBorders>
              <w:top w:val="nil"/>
              <w:left w:val="nil"/>
              <w:bottom w:val="single" w:sz="4" w:space="0" w:color="auto"/>
              <w:right w:val="single" w:sz="4" w:space="0" w:color="auto"/>
            </w:tcBorders>
            <w:shd w:val="clear" w:color="auto" w:fill="auto"/>
            <w:vAlign w:val="center"/>
            <w:hideMark/>
          </w:tcPr>
          <w:p w14:paraId="66098B4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95,9</w:t>
            </w:r>
          </w:p>
        </w:tc>
        <w:tc>
          <w:tcPr>
            <w:tcW w:w="794" w:type="dxa"/>
            <w:tcBorders>
              <w:top w:val="nil"/>
              <w:left w:val="nil"/>
              <w:bottom w:val="single" w:sz="4" w:space="0" w:color="auto"/>
              <w:right w:val="single" w:sz="4" w:space="0" w:color="auto"/>
            </w:tcBorders>
            <w:shd w:val="clear" w:color="auto" w:fill="auto"/>
            <w:vAlign w:val="center"/>
            <w:hideMark/>
          </w:tcPr>
          <w:p w14:paraId="173253F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9,4</w:t>
            </w:r>
          </w:p>
        </w:tc>
      </w:tr>
      <w:tr w:rsidR="00D847F2" w:rsidRPr="00ED4DC8" w14:paraId="43346ACA" w14:textId="77777777" w:rsidTr="00556699">
        <w:trPr>
          <w:trHeight w:val="226"/>
        </w:trPr>
        <w:tc>
          <w:tcPr>
            <w:tcW w:w="1540" w:type="dxa"/>
            <w:tcBorders>
              <w:top w:val="nil"/>
              <w:left w:val="single" w:sz="4" w:space="0" w:color="auto"/>
              <w:bottom w:val="double" w:sz="6" w:space="0" w:color="auto"/>
              <w:right w:val="single" w:sz="4" w:space="0" w:color="auto"/>
            </w:tcBorders>
            <w:shd w:val="clear" w:color="auto" w:fill="auto"/>
            <w:vAlign w:val="center"/>
            <w:hideMark/>
          </w:tcPr>
          <w:p w14:paraId="1CF7C917"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Skupaj dolg </w:t>
            </w:r>
          </w:p>
        </w:tc>
        <w:tc>
          <w:tcPr>
            <w:tcW w:w="1103" w:type="dxa"/>
            <w:tcBorders>
              <w:top w:val="nil"/>
              <w:left w:val="nil"/>
              <w:bottom w:val="double" w:sz="6" w:space="0" w:color="auto"/>
              <w:right w:val="single" w:sz="4" w:space="0" w:color="auto"/>
            </w:tcBorders>
            <w:shd w:val="clear" w:color="auto" w:fill="auto"/>
            <w:vAlign w:val="center"/>
            <w:hideMark/>
          </w:tcPr>
          <w:p w14:paraId="68EA3BD7"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92.733.845</w:t>
            </w:r>
          </w:p>
        </w:tc>
        <w:tc>
          <w:tcPr>
            <w:tcW w:w="1115" w:type="dxa"/>
            <w:tcBorders>
              <w:top w:val="nil"/>
              <w:left w:val="nil"/>
              <w:bottom w:val="double" w:sz="6" w:space="0" w:color="auto"/>
              <w:right w:val="single" w:sz="4" w:space="0" w:color="auto"/>
            </w:tcBorders>
            <w:shd w:val="clear" w:color="auto" w:fill="auto"/>
            <w:vAlign w:val="center"/>
            <w:hideMark/>
          </w:tcPr>
          <w:p w14:paraId="7D068D31"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88.007.772</w:t>
            </w:r>
          </w:p>
        </w:tc>
        <w:tc>
          <w:tcPr>
            <w:tcW w:w="1127" w:type="dxa"/>
            <w:tcBorders>
              <w:top w:val="nil"/>
              <w:left w:val="nil"/>
              <w:bottom w:val="double" w:sz="6" w:space="0" w:color="auto"/>
              <w:right w:val="single" w:sz="4" w:space="0" w:color="auto"/>
            </w:tcBorders>
            <w:shd w:val="clear" w:color="auto" w:fill="auto"/>
            <w:vAlign w:val="center"/>
            <w:hideMark/>
          </w:tcPr>
          <w:p w14:paraId="7F63907A"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84.515.624</w:t>
            </w:r>
          </w:p>
        </w:tc>
        <w:tc>
          <w:tcPr>
            <w:tcW w:w="1143" w:type="dxa"/>
            <w:tcBorders>
              <w:top w:val="nil"/>
              <w:left w:val="nil"/>
              <w:bottom w:val="double" w:sz="6" w:space="0" w:color="auto"/>
              <w:right w:val="single" w:sz="4" w:space="0" w:color="auto"/>
            </w:tcBorders>
            <w:shd w:val="clear" w:color="auto" w:fill="auto"/>
            <w:vAlign w:val="center"/>
            <w:hideMark/>
          </w:tcPr>
          <w:p w14:paraId="29AA85F1"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94,9</w:t>
            </w:r>
          </w:p>
        </w:tc>
        <w:tc>
          <w:tcPr>
            <w:tcW w:w="1143" w:type="dxa"/>
            <w:tcBorders>
              <w:top w:val="nil"/>
              <w:left w:val="nil"/>
              <w:bottom w:val="double" w:sz="6" w:space="0" w:color="auto"/>
              <w:right w:val="single" w:sz="4" w:space="0" w:color="auto"/>
            </w:tcBorders>
            <w:shd w:val="clear" w:color="auto" w:fill="auto"/>
            <w:vAlign w:val="center"/>
            <w:hideMark/>
          </w:tcPr>
          <w:p w14:paraId="0DE13E81"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91,1</w:t>
            </w:r>
          </w:p>
        </w:tc>
        <w:tc>
          <w:tcPr>
            <w:tcW w:w="1143" w:type="dxa"/>
            <w:tcBorders>
              <w:top w:val="nil"/>
              <w:left w:val="nil"/>
              <w:bottom w:val="double" w:sz="6" w:space="0" w:color="auto"/>
              <w:right w:val="single" w:sz="4" w:space="0" w:color="auto"/>
            </w:tcBorders>
            <w:shd w:val="clear" w:color="auto" w:fill="auto"/>
            <w:vAlign w:val="center"/>
            <w:hideMark/>
          </w:tcPr>
          <w:p w14:paraId="15278713"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96,0</w:t>
            </w:r>
          </w:p>
        </w:tc>
        <w:tc>
          <w:tcPr>
            <w:tcW w:w="794" w:type="dxa"/>
            <w:tcBorders>
              <w:top w:val="nil"/>
              <w:left w:val="nil"/>
              <w:bottom w:val="double" w:sz="6" w:space="0" w:color="auto"/>
              <w:right w:val="single" w:sz="4" w:space="0" w:color="auto"/>
            </w:tcBorders>
            <w:shd w:val="clear" w:color="auto" w:fill="auto"/>
            <w:vAlign w:val="center"/>
            <w:hideMark/>
          </w:tcPr>
          <w:p w14:paraId="28759DD3"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9,4</w:t>
            </w:r>
          </w:p>
        </w:tc>
      </w:tr>
      <w:tr w:rsidR="00D847F2" w:rsidRPr="00ED4DC8" w14:paraId="6B52E9EE" w14:textId="77777777" w:rsidTr="00556699">
        <w:trPr>
          <w:trHeight w:val="192"/>
        </w:trPr>
        <w:tc>
          <w:tcPr>
            <w:tcW w:w="9112" w:type="dxa"/>
            <w:gridSpan w:val="8"/>
            <w:tcBorders>
              <w:top w:val="nil"/>
              <w:left w:val="single" w:sz="4" w:space="0" w:color="auto"/>
              <w:bottom w:val="single" w:sz="4" w:space="0" w:color="auto"/>
              <w:right w:val="single" w:sz="4" w:space="0" w:color="000000"/>
            </w:tcBorders>
            <w:shd w:val="clear" w:color="000000" w:fill="DCE6F1"/>
            <w:vAlign w:val="center"/>
            <w:hideMark/>
          </w:tcPr>
          <w:p w14:paraId="4CF197A1"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Proračun občin</w:t>
            </w:r>
          </w:p>
        </w:tc>
      </w:tr>
      <w:tr w:rsidR="00D847F2" w:rsidRPr="00ED4DC8" w14:paraId="78A66997"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6E5459F"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Aktivni dolg </w:t>
            </w:r>
          </w:p>
        </w:tc>
        <w:tc>
          <w:tcPr>
            <w:tcW w:w="1103" w:type="dxa"/>
            <w:tcBorders>
              <w:top w:val="nil"/>
              <w:left w:val="nil"/>
              <w:bottom w:val="single" w:sz="4" w:space="0" w:color="auto"/>
              <w:right w:val="single" w:sz="4" w:space="0" w:color="auto"/>
            </w:tcBorders>
            <w:shd w:val="clear" w:color="auto" w:fill="auto"/>
            <w:vAlign w:val="center"/>
            <w:hideMark/>
          </w:tcPr>
          <w:p w14:paraId="04ACCFD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13.153.340</w:t>
            </w:r>
          </w:p>
        </w:tc>
        <w:tc>
          <w:tcPr>
            <w:tcW w:w="1115" w:type="dxa"/>
            <w:tcBorders>
              <w:top w:val="nil"/>
              <w:left w:val="nil"/>
              <w:bottom w:val="single" w:sz="4" w:space="0" w:color="auto"/>
              <w:right w:val="single" w:sz="4" w:space="0" w:color="auto"/>
            </w:tcBorders>
            <w:shd w:val="clear" w:color="auto" w:fill="auto"/>
            <w:vAlign w:val="center"/>
            <w:hideMark/>
          </w:tcPr>
          <w:p w14:paraId="74AE0DD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12.038.437</w:t>
            </w:r>
          </w:p>
        </w:tc>
        <w:tc>
          <w:tcPr>
            <w:tcW w:w="1127" w:type="dxa"/>
            <w:tcBorders>
              <w:top w:val="nil"/>
              <w:left w:val="nil"/>
              <w:bottom w:val="single" w:sz="4" w:space="0" w:color="auto"/>
              <w:right w:val="single" w:sz="4" w:space="0" w:color="auto"/>
            </w:tcBorders>
            <w:shd w:val="clear" w:color="auto" w:fill="auto"/>
            <w:vAlign w:val="center"/>
            <w:hideMark/>
          </w:tcPr>
          <w:p w14:paraId="545708A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9.907.870</w:t>
            </w:r>
          </w:p>
        </w:tc>
        <w:tc>
          <w:tcPr>
            <w:tcW w:w="1143" w:type="dxa"/>
            <w:tcBorders>
              <w:top w:val="nil"/>
              <w:left w:val="nil"/>
              <w:bottom w:val="single" w:sz="4" w:space="0" w:color="auto"/>
              <w:right w:val="single" w:sz="4" w:space="0" w:color="auto"/>
            </w:tcBorders>
            <w:shd w:val="clear" w:color="auto" w:fill="auto"/>
            <w:vAlign w:val="center"/>
            <w:hideMark/>
          </w:tcPr>
          <w:p w14:paraId="29F3535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91,5</w:t>
            </w:r>
          </w:p>
        </w:tc>
        <w:tc>
          <w:tcPr>
            <w:tcW w:w="1143" w:type="dxa"/>
            <w:tcBorders>
              <w:top w:val="nil"/>
              <w:left w:val="nil"/>
              <w:bottom w:val="single" w:sz="4" w:space="0" w:color="auto"/>
              <w:right w:val="single" w:sz="4" w:space="0" w:color="auto"/>
            </w:tcBorders>
            <w:shd w:val="clear" w:color="auto" w:fill="auto"/>
            <w:vAlign w:val="center"/>
            <w:hideMark/>
          </w:tcPr>
          <w:p w14:paraId="76D03F29"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75,3</w:t>
            </w:r>
          </w:p>
        </w:tc>
        <w:tc>
          <w:tcPr>
            <w:tcW w:w="1143" w:type="dxa"/>
            <w:tcBorders>
              <w:top w:val="nil"/>
              <w:left w:val="nil"/>
              <w:bottom w:val="single" w:sz="4" w:space="0" w:color="auto"/>
              <w:right w:val="single" w:sz="4" w:space="0" w:color="auto"/>
            </w:tcBorders>
            <w:shd w:val="clear" w:color="auto" w:fill="auto"/>
            <w:vAlign w:val="center"/>
            <w:hideMark/>
          </w:tcPr>
          <w:p w14:paraId="2E1407F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82,3</w:t>
            </w:r>
          </w:p>
        </w:tc>
        <w:tc>
          <w:tcPr>
            <w:tcW w:w="794" w:type="dxa"/>
            <w:tcBorders>
              <w:top w:val="nil"/>
              <w:left w:val="nil"/>
              <w:bottom w:val="single" w:sz="4" w:space="0" w:color="auto"/>
              <w:right w:val="single" w:sz="4" w:space="0" w:color="auto"/>
            </w:tcBorders>
            <w:shd w:val="clear" w:color="auto" w:fill="auto"/>
            <w:vAlign w:val="center"/>
            <w:hideMark/>
          </w:tcPr>
          <w:p w14:paraId="5181B916"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2,3</w:t>
            </w:r>
          </w:p>
        </w:tc>
      </w:tr>
      <w:tr w:rsidR="00D847F2" w:rsidRPr="00ED4DC8" w14:paraId="34622D42"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2DB593"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Pogojno izterljivi dolg </w:t>
            </w:r>
          </w:p>
        </w:tc>
        <w:tc>
          <w:tcPr>
            <w:tcW w:w="1103" w:type="dxa"/>
            <w:tcBorders>
              <w:top w:val="nil"/>
              <w:left w:val="nil"/>
              <w:bottom w:val="single" w:sz="4" w:space="0" w:color="auto"/>
              <w:right w:val="single" w:sz="4" w:space="0" w:color="auto"/>
            </w:tcBorders>
            <w:shd w:val="clear" w:color="auto" w:fill="auto"/>
            <w:vAlign w:val="center"/>
            <w:hideMark/>
          </w:tcPr>
          <w:p w14:paraId="2B9B9BA6"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17.354.121</w:t>
            </w:r>
          </w:p>
        </w:tc>
        <w:tc>
          <w:tcPr>
            <w:tcW w:w="1115" w:type="dxa"/>
            <w:tcBorders>
              <w:top w:val="nil"/>
              <w:left w:val="nil"/>
              <w:bottom w:val="single" w:sz="4" w:space="0" w:color="auto"/>
              <w:right w:val="single" w:sz="4" w:space="0" w:color="auto"/>
            </w:tcBorders>
            <w:shd w:val="clear" w:color="auto" w:fill="auto"/>
            <w:vAlign w:val="center"/>
            <w:hideMark/>
          </w:tcPr>
          <w:p w14:paraId="0BAF019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15.659.363</w:t>
            </w:r>
          </w:p>
        </w:tc>
        <w:tc>
          <w:tcPr>
            <w:tcW w:w="1127" w:type="dxa"/>
            <w:tcBorders>
              <w:top w:val="nil"/>
              <w:left w:val="nil"/>
              <w:bottom w:val="single" w:sz="4" w:space="0" w:color="auto"/>
              <w:right w:val="single" w:sz="4" w:space="0" w:color="auto"/>
            </w:tcBorders>
            <w:shd w:val="clear" w:color="auto" w:fill="auto"/>
            <w:vAlign w:val="center"/>
            <w:hideMark/>
          </w:tcPr>
          <w:p w14:paraId="53DC4F2D"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13.660.137</w:t>
            </w:r>
          </w:p>
        </w:tc>
        <w:tc>
          <w:tcPr>
            <w:tcW w:w="1143" w:type="dxa"/>
            <w:tcBorders>
              <w:top w:val="nil"/>
              <w:left w:val="nil"/>
              <w:bottom w:val="single" w:sz="4" w:space="0" w:color="auto"/>
              <w:right w:val="single" w:sz="4" w:space="0" w:color="auto"/>
            </w:tcBorders>
            <w:shd w:val="clear" w:color="auto" w:fill="auto"/>
            <w:vAlign w:val="center"/>
            <w:hideMark/>
          </w:tcPr>
          <w:p w14:paraId="45D644F8"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90,2</w:t>
            </w:r>
          </w:p>
        </w:tc>
        <w:tc>
          <w:tcPr>
            <w:tcW w:w="1143" w:type="dxa"/>
            <w:tcBorders>
              <w:top w:val="nil"/>
              <w:left w:val="nil"/>
              <w:bottom w:val="single" w:sz="4" w:space="0" w:color="auto"/>
              <w:right w:val="single" w:sz="4" w:space="0" w:color="auto"/>
            </w:tcBorders>
            <w:shd w:val="clear" w:color="auto" w:fill="auto"/>
            <w:vAlign w:val="center"/>
            <w:hideMark/>
          </w:tcPr>
          <w:p w14:paraId="4820ACD8"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78,7</w:t>
            </w:r>
          </w:p>
        </w:tc>
        <w:tc>
          <w:tcPr>
            <w:tcW w:w="1143" w:type="dxa"/>
            <w:tcBorders>
              <w:top w:val="nil"/>
              <w:left w:val="nil"/>
              <w:bottom w:val="single" w:sz="4" w:space="0" w:color="auto"/>
              <w:right w:val="single" w:sz="4" w:space="0" w:color="auto"/>
            </w:tcBorders>
            <w:shd w:val="clear" w:color="auto" w:fill="auto"/>
            <w:vAlign w:val="center"/>
            <w:hideMark/>
          </w:tcPr>
          <w:p w14:paraId="2893B0A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87,2</w:t>
            </w:r>
          </w:p>
        </w:tc>
        <w:tc>
          <w:tcPr>
            <w:tcW w:w="794" w:type="dxa"/>
            <w:tcBorders>
              <w:top w:val="nil"/>
              <w:left w:val="nil"/>
              <w:bottom w:val="single" w:sz="4" w:space="0" w:color="auto"/>
              <w:right w:val="single" w:sz="4" w:space="0" w:color="auto"/>
            </w:tcBorders>
            <w:shd w:val="clear" w:color="auto" w:fill="auto"/>
            <w:vAlign w:val="center"/>
            <w:hideMark/>
          </w:tcPr>
          <w:p w14:paraId="44EC32B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3,0</w:t>
            </w:r>
          </w:p>
        </w:tc>
      </w:tr>
      <w:tr w:rsidR="00D847F2" w:rsidRPr="00ED4DC8" w14:paraId="1D584582" w14:textId="77777777" w:rsidTr="00556699">
        <w:trPr>
          <w:trHeight w:val="226"/>
        </w:trPr>
        <w:tc>
          <w:tcPr>
            <w:tcW w:w="1540" w:type="dxa"/>
            <w:tcBorders>
              <w:top w:val="nil"/>
              <w:left w:val="single" w:sz="4" w:space="0" w:color="auto"/>
              <w:bottom w:val="double" w:sz="6" w:space="0" w:color="auto"/>
              <w:right w:val="single" w:sz="4" w:space="0" w:color="auto"/>
            </w:tcBorders>
            <w:shd w:val="clear" w:color="auto" w:fill="auto"/>
            <w:vAlign w:val="center"/>
            <w:hideMark/>
          </w:tcPr>
          <w:p w14:paraId="356F1F35"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Skupaj dolg </w:t>
            </w:r>
          </w:p>
        </w:tc>
        <w:tc>
          <w:tcPr>
            <w:tcW w:w="1103" w:type="dxa"/>
            <w:tcBorders>
              <w:top w:val="nil"/>
              <w:left w:val="nil"/>
              <w:bottom w:val="double" w:sz="6" w:space="0" w:color="auto"/>
              <w:right w:val="single" w:sz="4" w:space="0" w:color="auto"/>
            </w:tcBorders>
            <w:shd w:val="clear" w:color="auto" w:fill="auto"/>
            <w:vAlign w:val="center"/>
            <w:hideMark/>
          </w:tcPr>
          <w:p w14:paraId="030D131E"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30.507.461</w:t>
            </w:r>
          </w:p>
        </w:tc>
        <w:tc>
          <w:tcPr>
            <w:tcW w:w="1115" w:type="dxa"/>
            <w:tcBorders>
              <w:top w:val="nil"/>
              <w:left w:val="nil"/>
              <w:bottom w:val="double" w:sz="6" w:space="0" w:color="auto"/>
              <w:right w:val="single" w:sz="4" w:space="0" w:color="auto"/>
            </w:tcBorders>
            <w:shd w:val="clear" w:color="auto" w:fill="auto"/>
            <w:vAlign w:val="center"/>
            <w:hideMark/>
          </w:tcPr>
          <w:p w14:paraId="27A317BA"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27.697.800</w:t>
            </w:r>
          </w:p>
        </w:tc>
        <w:tc>
          <w:tcPr>
            <w:tcW w:w="1127" w:type="dxa"/>
            <w:tcBorders>
              <w:top w:val="nil"/>
              <w:left w:val="nil"/>
              <w:bottom w:val="double" w:sz="6" w:space="0" w:color="auto"/>
              <w:right w:val="single" w:sz="4" w:space="0" w:color="auto"/>
            </w:tcBorders>
            <w:shd w:val="clear" w:color="auto" w:fill="auto"/>
            <w:vAlign w:val="center"/>
            <w:hideMark/>
          </w:tcPr>
          <w:p w14:paraId="36D20C65"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23.568.007</w:t>
            </w:r>
          </w:p>
        </w:tc>
        <w:tc>
          <w:tcPr>
            <w:tcW w:w="1143" w:type="dxa"/>
            <w:tcBorders>
              <w:top w:val="nil"/>
              <w:left w:val="nil"/>
              <w:bottom w:val="double" w:sz="6" w:space="0" w:color="auto"/>
              <w:right w:val="single" w:sz="4" w:space="0" w:color="auto"/>
            </w:tcBorders>
            <w:shd w:val="clear" w:color="auto" w:fill="auto"/>
            <w:vAlign w:val="center"/>
            <w:hideMark/>
          </w:tcPr>
          <w:p w14:paraId="333256A9"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90,8</w:t>
            </w:r>
          </w:p>
        </w:tc>
        <w:tc>
          <w:tcPr>
            <w:tcW w:w="1143" w:type="dxa"/>
            <w:tcBorders>
              <w:top w:val="nil"/>
              <w:left w:val="nil"/>
              <w:bottom w:val="double" w:sz="6" w:space="0" w:color="auto"/>
              <w:right w:val="single" w:sz="4" w:space="0" w:color="auto"/>
            </w:tcBorders>
            <w:shd w:val="clear" w:color="auto" w:fill="auto"/>
            <w:vAlign w:val="center"/>
            <w:hideMark/>
          </w:tcPr>
          <w:p w14:paraId="2D334E50"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77,3</w:t>
            </w:r>
          </w:p>
        </w:tc>
        <w:tc>
          <w:tcPr>
            <w:tcW w:w="1143" w:type="dxa"/>
            <w:tcBorders>
              <w:top w:val="nil"/>
              <w:left w:val="nil"/>
              <w:bottom w:val="double" w:sz="6" w:space="0" w:color="auto"/>
              <w:right w:val="single" w:sz="4" w:space="0" w:color="auto"/>
            </w:tcBorders>
            <w:shd w:val="clear" w:color="auto" w:fill="auto"/>
            <w:vAlign w:val="center"/>
            <w:hideMark/>
          </w:tcPr>
          <w:p w14:paraId="24502064"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85,1</w:t>
            </w:r>
          </w:p>
        </w:tc>
        <w:tc>
          <w:tcPr>
            <w:tcW w:w="794" w:type="dxa"/>
            <w:tcBorders>
              <w:top w:val="nil"/>
              <w:left w:val="nil"/>
              <w:bottom w:val="double" w:sz="6" w:space="0" w:color="auto"/>
              <w:right w:val="single" w:sz="4" w:space="0" w:color="auto"/>
            </w:tcBorders>
            <w:shd w:val="clear" w:color="auto" w:fill="auto"/>
            <w:vAlign w:val="center"/>
            <w:hideMark/>
          </w:tcPr>
          <w:p w14:paraId="30F76130"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2,6</w:t>
            </w:r>
          </w:p>
        </w:tc>
      </w:tr>
      <w:tr w:rsidR="00D847F2" w:rsidRPr="00ED4DC8" w14:paraId="6D4D69AA" w14:textId="77777777" w:rsidTr="00556699">
        <w:trPr>
          <w:trHeight w:val="181"/>
        </w:trPr>
        <w:tc>
          <w:tcPr>
            <w:tcW w:w="9112" w:type="dxa"/>
            <w:gridSpan w:val="8"/>
            <w:tcBorders>
              <w:top w:val="nil"/>
              <w:left w:val="single" w:sz="4" w:space="0" w:color="auto"/>
              <w:bottom w:val="single" w:sz="4" w:space="0" w:color="auto"/>
              <w:right w:val="single" w:sz="4" w:space="0" w:color="000000"/>
            </w:tcBorders>
            <w:shd w:val="clear" w:color="000000" w:fill="DCE6F1"/>
            <w:vAlign w:val="center"/>
            <w:hideMark/>
          </w:tcPr>
          <w:p w14:paraId="5E6F4240" w14:textId="34637659" w:rsidR="00D847F2" w:rsidRPr="00ED4DC8" w:rsidRDefault="006E2B82" w:rsidP="00556699">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Preo</w:t>
            </w:r>
            <w:r w:rsidR="00D847F2" w:rsidRPr="00ED4DC8">
              <w:rPr>
                <w:rFonts w:ascii="Arial" w:eastAsia="Times New Roman" w:hAnsi="Arial" w:cs="Arial"/>
                <w:b/>
                <w:bCs/>
                <w:sz w:val="18"/>
                <w:szCs w:val="18"/>
                <w:lang w:eastAsia="sl-SI"/>
              </w:rPr>
              <w:t>stalo*</w:t>
            </w:r>
          </w:p>
        </w:tc>
      </w:tr>
      <w:tr w:rsidR="00D847F2" w:rsidRPr="00ED4DC8" w14:paraId="414A4C9C"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DDB857C"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Aktivni dolg </w:t>
            </w:r>
          </w:p>
        </w:tc>
        <w:tc>
          <w:tcPr>
            <w:tcW w:w="1103" w:type="dxa"/>
            <w:tcBorders>
              <w:top w:val="nil"/>
              <w:left w:val="nil"/>
              <w:bottom w:val="single" w:sz="4" w:space="0" w:color="auto"/>
              <w:right w:val="single" w:sz="4" w:space="0" w:color="auto"/>
            </w:tcBorders>
            <w:shd w:val="clear" w:color="auto" w:fill="auto"/>
            <w:vAlign w:val="center"/>
            <w:hideMark/>
          </w:tcPr>
          <w:p w14:paraId="799CC11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204</w:t>
            </w:r>
          </w:p>
        </w:tc>
        <w:tc>
          <w:tcPr>
            <w:tcW w:w="1115" w:type="dxa"/>
            <w:tcBorders>
              <w:top w:val="nil"/>
              <w:left w:val="nil"/>
              <w:bottom w:val="single" w:sz="4" w:space="0" w:color="auto"/>
              <w:right w:val="single" w:sz="4" w:space="0" w:color="auto"/>
            </w:tcBorders>
            <w:shd w:val="clear" w:color="auto" w:fill="auto"/>
            <w:vAlign w:val="center"/>
            <w:hideMark/>
          </w:tcPr>
          <w:p w14:paraId="0DA8371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326.080</w:t>
            </w:r>
          </w:p>
        </w:tc>
        <w:tc>
          <w:tcPr>
            <w:tcW w:w="1127" w:type="dxa"/>
            <w:tcBorders>
              <w:top w:val="nil"/>
              <w:left w:val="nil"/>
              <w:bottom w:val="single" w:sz="4" w:space="0" w:color="auto"/>
              <w:right w:val="single" w:sz="4" w:space="0" w:color="auto"/>
            </w:tcBorders>
            <w:shd w:val="clear" w:color="auto" w:fill="auto"/>
            <w:vAlign w:val="center"/>
            <w:hideMark/>
          </w:tcPr>
          <w:p w14:paraId="09556B8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2.315.118</w:t>
            </w:r>
          </w:p>
        </w:tc>
        <w:tc>
          <w:tcPr>
            <w:tcW w:w="1143" w:type="dxa"/>
            <w:tcBorders>
              <w:top w:val="nil"/>
              <w:left w:val="nil"/>
              <w:bottom w:val="single" w:sz="4" w:space="0" w:color="auto"/>
              <w:right w:val="single" w:sz="4" w:space="0" w:color="auto"/>
            </w:tcBorders>
            <w:shd w:val="clear" w:color="auto" w:fill="auto"/>
            <w:vAlign w:val="center"/>
            <w:hideMark/>
          </w:tcPr>
          <w:p w14:paraId="2D0A1605"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159.843,1</w:t>
            </w:r>
          </w:p>
        </w:tc>
        <w:tc>
          <w:tcPr>
            <w:tcW w:w="1143" w:type="dxa"/>
            <w:tcBorders>
              <w:top w:val="nil"/>
              <w:left w:val="nil"/>
              <w:bottom w:val="single" w:sz="4" w:space="0" w:color="auto"/>
              <w:right w:val="single" w:sz="4" w:space="0" w:color="auto"/>
            </w:tcBorders>
            <w:shd w:val="clear" w:color="auto" w:fill="auto"/>
            <w:vAlign w:val="center"/>
            <w:hideMark/>
          </w:tcPr>
          <w:p w14:paraId="76FB95B4"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1.134.862,0</w:t>
            </w:r>
          </w:p>
        </w:tc>
        <w:tc>
          <w:tcPr>
            <w:tcW w:w="1143" w:type="dxa"/>
            <w:tcBorders>
              <w:top w:val="nil"/>
              <w:left w:val="nil"/>
              <w:bottom w:val="single" w:sz="4" w:space="0" w:color="auto"/>
              <w:right w:val="single" w:sz="4" w:space="0" w:color="auto"/>
            </w:tcBorders>
            <w:shd w:val="clear" w:color="auto" w:fill="auto"/>
            <w:vAlign w:val="center"/>
            <w:hideMark/>
          </w:tcPr>
          <w:p w14:paraId="2CAB1D11"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710,0</w:t>
            </w:r>
          </w:p>
        </w:tc>
        <w:tc>
          <w:tcPr>
            <w:tcW w:w="794" w:type="dxa"/>
            <w:tcBorders>
              <w:top w:val="nil"/>
              <w:left w:val="nil"/>
              <w:bottom w:val="single" w:sz="4" w:space="0" w:color="auto"/>
              <w:right w:val="single" w:sz="4" w:space="0" w:color="auto"/>
            </w:tcBorders>
            <w:shd w:val="clear" w:color="auto" w:fill="auto"/>
            <w:vAlign w:val="center"/>
            <w:hideMark/>
          </w:tcPr>
          <w:p w14:paraId="3B86E6A0"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0,5</w:t>
            </w:r>
          </w:p>
        </w:tc>
      </w:tr>
      <w:tr w:rsidR="00D847F2" w:rsidRPr="00ED4DC8" w14:paraId="7BC52EC9" w14:textId="77777777" w:rsidTr="00556699">
        <w:trPr>
          <w:trHeight w:val="22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A69D742" w14:textId="77777777" w:rsidR="00D847F2" w:rsidRPr="00ED4DC8" w:rsidRDefault="00D847F2" w:rsidP="00556699">
            <w:pPr>
              <w:spacing w:after="0" w:line="240" w:lineRule="auto"/>
              <w:rPr>
                <w:rFonts w:ascii="Arial" w:eastAsia="Times New Roman" w:hAnsi="Arial" w:cs="Arial"/>
                <w:sz w:val="18"/>
                <w:szCs w:val="18"/>
                <w:lang w:eastAsia="sl-SI"/>
              </w:rPr>
            </w:pPr>
            <w:r w:rsidRPr="00ED4DC8">
              <w:rPr>
                <w:rFonts w:ascii="Arial" w:eastAsia="Times New Roman" w:hAnsi="Arial" w:cs="Arial"/>
                <w:sz w:val="18"/>
                <w:szCs w:val="18"/>
                <w:lang w:eastAsia="sl-SI"/>
              </w:rPr>
              <w:t xml:space="preserve">Pogojno izterljivi dolg </w:t>
            </w:r>
          </w:p>
        </w:tc>
        <w:tc>
          <w:tcPr>
            <w:tcW w:w="1103" w:type="dxa"/>
            <w:tcBorders>
              <w:top w:val="nil"/>
              <w:left w:val="nil"/>
              <w:bottom w:val="single" w:sz="4" w:space="0" w:color="auto"/>
              <w:right w:val="single" w:sz="4" w:space="0" w:color="auto"/>
            </w:tcBorders>
            <w:shd w:val="clear" w:color="auto" w:fill="auto"/>
            <w:vAlign w:val="center"/>
            <w:hideMark/>
          </w:tcPr>
          <w:p w14:paraId="2973EFF8"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w:t>
            </w:r>
          </w:p>
        </w:tc>
        <w:tc>
          <w:tcPr>
            <w:tcW w:w="1115" w:type="dxa"/>
            <w:tcBorders>
              <w:top w:val="nil"/>
              <w:left w:val="nil"/>
              <w:bottom w:val="single" w:sz="4" w:space="0" w:color="auto"/>
              <w:right w:val="single" w:sz="4" w:space="0" w:color="auto"/>
            </w:tcBorders>
            <w:shd w:val="clear" w:color="auto" w:fill="auto"/>
            <w:vAlign w:val="center"/>
            <w:hideMark/>
          </w:tcPr>
          <w:p w14:paraId="5FC9D3A2"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w:t>
            </w:r>
          </w:p>
        </w:tc>
        <w:tc>
          <w:tcPr>
            <w:tcW w:w="1127" w:type="dxa"/>
            <w:tcBorders>
              <w:top w:val="nil"/>
              <w:left w:val="nil"/>
              <w:bottom w:val="single" w:sz="4" w:space="0" w:color="auto"/>
              <w:right w:val="single" w:sz="4" w:space="0" w:color="auto"/>
            </w:tcBorders>
            <w:shd w:val="clear" w:color="auto" w:fill="auto"/>
            <w:vAlign w:val="center"/>
            <w:hideMark/>
          </w:tcPr>
          <w:p w14:paraId="5CC8E62F"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w:t>
            </w:r>
          </w:p>
        </w:tc>
        <w:tc>
          <w:tcPr>
            <w:tcW w:w="1143" w:type="dxa"/>
            <w:tcBorders>
              <w:top w:val="nil"/>
              <w:left w:val="nil"/>
              <w:bottom w:val="single" w:sz="4" w:space="0" w:color="auto"/>
              <w:right w:val="single" w:sz="4" w:space="0" w:color="auto"/>
            </w:tcBorders>
            <w:shd w:val="clear" w:color="auto" w:fill="auto"/>
            <w:vAlign w:val="center"/>
            <w:hideMark/>
          </w:tcPr>
          <w:p w14:paraId="22338E57"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0,0</w:t>
            </w:r>
          </w:p>
        </w:tc>
        <w:tc>
          <w:tcPr>
            <w:tcW w:w="1143" w:type="dxa"/>
            <w:tcBorders>
              <w:top w:val="nil"/>
              <w:left w:val="nil"/>
              <w:bottom w:val="single" w:sz="4" w:space="0" w:color="auto"/>
              <w:right w:val="single" w:sz="4" w:space="0" w:color="auto"/>
            </w:tcBorders>
            <w:shd w:val="clear" w:color="auto" w:fill="auto"/>
            <w:vAlign w:val="center"/>
            <w:hideMark/>
          </w:tcPr>
          <w:p w14:paraId="2EE85D59"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0,0</w:t>
            </w:r>
          </w:p>
        </w:tc>
        <w:tc>
          <w:tcPr>
            <w:tcW w:w="1143" w:type="dxa"/>
            <w:tcBorders>
              <w:top w:val="nil"/>
              <w:left w:val="nil"/>
              <w:bottom w:val="single" w:sz="4" w:space="0" w:color="auto"/>
              <w:right w:val="single" w:sz="4" w:space="0" w:color="auto"/>
            </w:tcBorders>
            <w:shd w:val="clear" w:color="auto" w:fill="auto"/>
            <w:vAlign w:val="center"/>
            <w:hideMark/>
          </w:tcPr>
          <w:p w14:paraId="2351EC96"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0,0</w:t>
            </w:r>
          </w:p>
        </w:tc>
        <w:tc>
          <w:tcPr>
            <w:tcW w:w="794" w:type="dxa"/>
            <w:tcBorders>
              <w:top w:val="nil"/>
              <w:left w:val="nil"/>
              <w:bottom w:val="single" w:sz="4" w:space="0" w:color="auto"/>
              <w:right w:val="single" w:sz="4" w:space="0" w:color="auto"/>
            </w:tcBorders>
            <w:shd w:val="clear" w:color="auto" w:fill="auto"/>
            <w:vAlign w:val="center"/>
            <w:hideMark/>
          </w:tcPr>
          <w:p w14:paraId="18EDF463"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0,0</w:t>
            </w:r>
          </w:p>
        </w:tc>
      </w:tr>
      <w:tr w:rsidR="00D847F2" w:rsidRPr="00ED4DC8" w14:paraId="6D1B8DAA" w14:textId="77777777" w:rsidTr="00556699">
        <w:trPr>
          <w:trHeight w:val="226"/>
        </w:trPr>
        <w:tc>
          <w:tcPr>
            <w:tcW w:w="1540" w:type="dxa"/>
            <w:tcBorders>
              <w:top w:val="nil"/>
              <w:left w:val="single" w:sz="4" w:space="0" w:color="auto"/>
              <w:bottom w:val="double" w:sz="6" w:space="0" w:color="auto"/>
              <w:right w:val="single" w:sz="4" w:space="0" w:color="auto"/>
            </w:tcBorders>
            <w:shd w:val="clear" w:color="auto" w:fill="auto"/>
            <w:vAlign w:val="center"/>
            <w:hideMark/>
          </w:tcPr>
          <w:p w14:paraId="56A0D765"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 xml:space="preserve">Skupaj dolg </w:t>
            </w:r>
          </w:p>
        </w:tc>
        <w:tc>
          <w:tcPr>
            <w:tcW w:w="1103" w:type="dxa"/>
            <w:tcBorders>
              <w:top w:val="nil"/>
              <w:left w:val="nil"/>
              <w:bottom w:val="double" w:sz="6" w:space="0" w:color="auto"/>
              <w:right w:val="single" w:sz="4" w:space="0" w:color="auto"/>
            </w:tcBorders>
            <w:shd w:val="clear" w:color="auto" w:fill="auto"/>
            <w:vAlign w:val="center"/>
            <w:hideMark/>
          </w:tcPr>
          <w:p w14:paraId="737419A0"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204</w:t>
            </w:r>
          </w:p>
        </w:tc>
        <w:tc>
          <w:tcPr>
            <w:tcW w:w="1115" w:type="dxa"/>
            <w:tcBorders>
              <w:top w:val="nil"/>
              <w:left w:val="nil"/>
              <w:bottom w:val="double" w:sz="6" w:space="0" w:color="auto"/>
              <w:right w:val="single" w:sz="4" w:space="0" w:color="auto"/>
            </w:tcBorders>
            <w:shd w:val="clear" w:color="auto" w:fill="auto"/>
            <w:vAlign w:val="center"/>
            <w:hideMark/>
          </w:tcPr>
          <w:p w14:paraId="48080A75"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326.080</w:t>
            </w:r>
          </w:p>
        </w:tc>
        <w:tc>
          <w:tcPr>
            <w:tcW w:w="1127" w:type="dxa"/>
            <w:tcBorders>
              <w:top w:val="nil"/>
              <w:left w:val="nil"/>
              <w:bottom w:val="double" w:sz="6" w:space="0" w:color="auto"/>
              <w:right w:val="single" w:sz="4" w:space="0" w:color="auto"/>
            </w:tcBorders>
            <w:shd w:val="clear" w:color="auto" w:fill="auto"/>
            <w:vAlign w:val="center"/>
            <w:hideMark/>
          </w:tcPr>
          <w:p w14:paraId="778603BE"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2.315.118</w:t>
            </w:r>
          </w:p>
        </w:tc>
        <w:tc>
          <w:tcPr>
            <w:tcW w:w="1143" w:type="dxa"/>
            <w:tcBorders>
              <w:top w:val="nil"/>
              <w:left w:val="nil"/>
              <w:bottom w:val="double" w:sz="6" w:space="0" w:color="auto"/>
              <w:right w:val="single" w:sz="4" w:space="0" w:color="auto"/>
            </w:tcBorders>
            <w:shd w:val="clear" w:color="auto" w:fill="auto"/>
            <w:vAlign w:val="center"/>
            <w:hideMark/>
          </w:tcPr>
          <w:p w14:paraId="6B4A76AC"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159.843,1</w:t>
            </w:r>
          </w:p>
        </w:tc>
        <w:tc>
          <w:tcPr>
            <w:tcW w:w="1143" w:type="dxa"/>
            <w:tcBorders>
              <w:top w:val="nil"/>
              <w:left w:val="nil"/>
              <w:bottom w:val="double" w:sz="6" w:space="0" w:color="auto"/>
              <w:right w:val="single" w:sz="4" w:space="0" w:color="auto"/>
            </w:tcBorders>
            <w:shd w:val="clear" w:color="auto" w:fill="auto"/>
            <w:vAlign w:val="center"/>
            <w:hideMark/>
          </w:tcPr>
          <w:p w14:paraId="22B79EFF"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1.134.862,0</w:t>
            </w:r>
          </w:p>
        </w:tc>
        <w:tc>
          <w:tcPr>
            <w:tcW w:w="1143" w:type="dxa"/>
            <w:tcBorders>
              <w:top w:val="nil"/>
              <w:left w:val="nil"/>
              <w:bottom w:val="double" w:sz="6" w:space="0" w:color="auto"/>
              <w:right w:val="single" w:sz="4" w:space="0" w:color="auto"/>
            </w:tcBorders>
            <w:shd w:val="clear" w:color="auto" w:fill="auto"/>
            <w:vAlign w:val="center"/>
            <w:hideMark/>
          </w:tcPr>
          <w:p w14:paraId="795B4F83"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710,0</w:t>
            </w:r>
          </w:p>
        </w:tc>
        <w:tc>
          <w:tcPr>
            <w:tcW w:w="794" w:type="dxa"/>
            <w:tcBorders>
              <w:top w:val="nil"/>
              <w:left w:val="nil"/>
              <w:bottom w:val="double" w:sz="6" w:space="0" w:color="auto"/>
              <w:right w:val="single" w:sz="4" w:space="0" w:color="auto"/>
            </w:tcBorders>
            <w:shd w:val="clear" w:color="auto" w:fill="auto"/>
            <w:vAlign w:val="center"/>
            <w:hideMark/>
          </w:tcPr>
          <w:p w14:paraId="3F063B3E"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0,3</w:t>
            </w:r>
          </w:p>
        </w:tc>
      </w:tr>
      <w:tr w:rsidR="00D847F2" w:rsidRPr="00ED4DC8" w14:paraId="1323233D" w14:textId="77777777" w:rsidTr="00556699">
        <w:trPr>
          <w:trHeight w:val="245"/>
        </w:trPr>
        <w:tc>
          <w:tcPr>
            <w:tcW w:w="1540" w:type="dxa"/>
            <w:tcBorders>
              <w:top w:val="nil"/>
              <w:left w:val="single" w:sz="4" w:space="0" w:color="auto"/>
              <w:bottom w:val="single" w:sz="4" w:space="0" w:color="auto"/>
              <w:right w:val="single" w:sz="4" w:space="0" w:color="auto"/>
            </w:tcBorders>
            <w:shd w:val="clear" w:color="000000" w:fill="EEECE1"/>
            <w:vAlign w:val="center"/>
            <w:hideMark/>
          </w:tcPr>
          <w:p w14:paraId="5516B249" w14:textId="77777777" w:rsidR="00D847F2" w:rsidRPr="00ED4DC8" w:rsidRDefault="00D847F2" w:rsidP="00556699">
            <w:pPr>
              <w:spacing w:after="0" w:line="240" w:lineRule="auto"/>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SKUPAJ DOLG</w:t>
            </w:r>
          </w:p>
        </w:tc>
        <w:tc>
          <w:tcPr>
            <w:tcW w:w="1103" w:type="dxa"/>
            <w:tcBorders>
              <w:top w:val="nil"/>
              <w:left w:val="nil"/>
              <w:bottom w:val="single" w:sz="4" w:space="0" w:color="auto"/>
              <w:right w:val="single" w:sz="4" w:space="0" w:color="auto"/>
            </w:tcBorders>
            <w:shd w:val="clear" w:color="000000" w:fill="EEECE1"/>
            <w:vAlign w:val="center"/>
            <w:hideMark/>
          </w:tcPr>
          <w:p w14:paraId="62C27A5A"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998.089.393</w:t>
            </w:r>
          </w:p>
        </w:tc>
        <w:tc>
          <w:tcPr>
            <w:tcW w:w="1115" w:type="dxa"/>
            <w:tcBorders>
              <w:top w:val="nil"/>
              <w:left w:val="nil"/>
              <w:bottom w:val="single" w:sz="4" w:space="0" w:color="auto"/>
              <w:right w:val="single" w:sz="4" w:space="0" w:color="auto"/>
            </w:tcBorders>
            <w:shd w:val="clear" w:color="000000" w:fill="EEECE1"/>
            <w:vAlign w:val="center"/>
            <w:hideMark/>
          </w:tcPr>
          <w:p w14:paraId="59DCB4BF"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918.507.974</w:t>
            </w:r>
          </w:p>
        </w:tc>
        <w:tc>
          <w:tcPr>
            <w:tcW w:w="1127" w:type="dxa"/>
            <w:tcBorders>
              <w:top w:val="nil"/>
              <w:left w:val="nil"/>
              <w:bottom w:val="single" w:sz="4" w:space="0" w:color="auto"/>
              <w:right w:val="single" w:sz="4" w:space="0" w:color="auto"/>
            </w:tcBorders>
            <w:shd w:val="clear" w:color="000000" w:fill="EEECE1"/>
            <w:vAlign w:val="center"/>
            <w:hideMark/>
          </w:tcPr>
          <w:p w14:paraId="030EEC5E"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896.349.990</w:t>
            </w:r>
          </w:p>
        </w:tc>
        <w:tc>
          <w:tcPr>
            <w:tcW w:w="1143" w:type="dxa"/>
            <w:tcBorders>
              <w:top w:val="nil"/>
              <w:left w:val="nil"/>
              <w:bottom w:val="single" w:sz="4" w:space="0" w:color="auto"/>
              <w:right w:val="single" w:sz="4" w:space="0" w:color="auto"/>
            </w:tcBorders>
            <w:shd w:val="clear" w:color="000000" w:fill="EEECE1"/>
            <w:vAlign w:val="center"/>
            <w:hideMark/>
          </w:tcPr>
          <w:p w14:paraId="6E8E719E"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92,0</w:t>
            </w:r>
          </w:p>
        </w:tc>
        <w:tc>
          <w:tcPr>
            <w:tcW w:w="1143" w:type="dxa"/>
            <w:tcBorders>
              <w:top w:val="nil"/>
              <w:left w:val="nil"/>
              <w:bottom w:val="single" w:sz="4" w:space="0" w:color="auto"/>
              <w:right w:val="single" w:sz="4" w:space="0" w:color="auto"/>
            </w:tcBorders>
            <w:shd w:val="clear" w:color="000000" w:fill="EEECE1"/>
            <w:vAlign w:val="center"/>
            <w:hideMark/>
          </w:tcPr>
          <w:p w14:paraId="69A99F54"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89,8</w:t>
            </w:r>
          </w:p>
        </w:tc>
        <w:tc>
          <w:tcPr>
            <w:tcW w:w="1143" w:type="dxa"/>
            <w:tcBorders>
              <w:top w:val="nil"/>
              <w:left w:val="nil"/>
              <w:bottom w:val="single" w:sz="4" w:space="0" w:color="auto"/>
              <w:right w:val="single" w:sz="4" w:space="0" w:color="auto"/>
            </w:tcBorders>
            <w:shd w:val="clear" w:color="000000" w:fill="EEECE1"/>
            <w:vAlign w:val="center"/>
            <w:hideMark/>
          </w:tcPr>
          <w:p w14:paraId="2B523DB2" w14:textId="77777777" w:rsidR="00D847F2" w:rsidRPr="00ED4DC8" w:rsidRDefault="00D847F2" w:rsidP="00556699">
            <w:pPr>
              <w:spacing w:after="0" w:line="240" w:lineRule="auto"/>
              <w:jc w:val="right"/>
              <w:rPr>
                <w:rFonts w:ascii="Arial" w:eastAsia="Times New Roman" w:hAnsi="Arial" w:cs="Arial"/>
                <w:b/>
                <w:bCs/>
                <w:sz w:val="18"/>
                <w:szCs w:val="18"/>
                <w:lang w:eastAsia="sl-SI"/>
              </w:rPr>
            </w:pPr>
            <w:r w:rsidRPr="00ED4DC8">
              <w:rPr>
                <w:rFonts w:ascii="Arial" w:eastAsia="Times New Roman" w:hAnsi="Arial" w:cs="Arial"/>
                <w:b/>
                <w:bCs/>
                <w:sz w:val="18"/>
                <w:szCs w:val="18"/>
                <w:lang w:eastAsia="sl-SI"/>
              </w:rPr>
              <w:t>97,6</w:t>
            </w:r>
          </w:p>
        </w:tc>
        <w:tc>
          <w:tcPr>
            <w:tcW w:w="794" w:type="dxa"/>
            <w:tcBorders>
              <w:top w:val="nil"/>
              <w:left w:val="nil"/>
              <w:bottom w:val="single" w:sz="4" w:space="0" w:color="auto"/>
              <w:right w:val="single" w:sz="4" w:space="0" w:color="auto"/>
            </w:tcBorders>
            <w:shd w:val="clear" w:color="000000" w:fill="EEECE1"/>
            <w:vAlign w:val="center"/>
            <w:hideMark/>
          </w:tcPr>
          <w:p w14:paraId="0D15A9E3" w14:textId="77777777" w:rsidR="00D847F2" w:rsidRPr="00ED4DC8" w:rsidRDefault="00D847F2" w:rsidP="00556699">
            <w:pPr>
              <w:spacing w:after="0" w:line="240" w:lineRule="auto"/>
              <w:jc w:val="right"/>
              <w:rPr>
                <w:rFonts w:ascii="Arial" w:eastAsia="Times New Roman" w:hAnsi="Arial" w:cs="Arial"/>
                <w:sz w:val="18"/>
                <w:szCs w:val="18"/>
                <w:lang w:eastAsia="sl-SI"/>
              </w:rPr>
            </w:pPr>
            <w:r w:rsidRPr="00ED4DC8">
              <w:rPr>
                <w:rFonts w:ascii="Arial" w:eastAsia="Times New Roman" w:hAnsi="Arial" w:cs="Arial"/>
                <w:sz w:val="18"/>
                <w:szCs w:val="18"/>
                <w:lang w:eastAsia="sl-SI"/>
              </w:rPr>
              <w:t>100,0</w:t>
            </w:r>
          </w:p>
        </w:tc>
      </w:tr>
    </w:tbl>
    <w:p w14:paraId="460B905C" w14:textId="51D8D974" w:rsidR="00D847F2" w:rsidRDefault="00D847F2" w:rsidP="00D847F2">
      <w:pPr>
        <w:spacing w:after="0"/>
        <w:rPr>
          <w:rFonts w:ascii="Arial" w:hAnsi="Arial" w:cs="Arial"/>
          <w:i/>
          <w:color w:val="000000"/>
          <w:sz w:val="20"/>
          <w:szCs w:val="20"/>
        </w:rPr>
      </w:pPr>
      <w:r>
        <w:rPr>
          <w:rFonts w:ascii="Arial" w:hAnsi="Arial" w:cs="Arial"/>
          <w:i/>
          <w:color w:val="000000"/>
          <w:sz w:val="20"/>
          <w:szCs w:val="20"/>
        </w:rPr>
        <w:t>V</w:t>
      </w:r>
      <w:r w:rsidRPr="0094398F">
        <w:rPr>
          <w:rFonts w:ascii="Arial" w:hAnsi="Arial" w:cs="Arial"/>
          <w:i/>
          <w:color w:val="000000"/>
          <w:sz w:val="20"/>
          <w:szCs w:val="20"/>
        </w:rPr>
        <w:t>ir: FURS</w:t>
      </w:r>
      <w:r w:rsidR="006E2B82">
        <w:rPr>
          <w:rFonts w:ascii="Arial" w:hAnsi="Arial" w:cs="Arial"/>
          <w:i/>
          <w:color w:val="000000"/>
          <w:sz w:val="20"/>
          <w:szCs w:val="20"/>
        </w:rPr>
        <w:t>.</w:t>
      </w:r>
    </w:p>
    <w:p w14:paraId="44ADF1EA" w14:textId="77777777" w:rsidR="00D847F2" w:rsidRDefault="00D847F2" w:rsidP="00D847F2">
      <w:pPr>
        <w:spacing w:after="0"/>
        <w:rPr>
          <w:rFonts w:ascii="Arial" w:hAnsi="Arial" w:cs="Arial"/>
          <w:i/>
          <w:color w:val="000000"/>
          <w:sz w:val="20"/>
          <w:szCs w:val="20"/>
        </w:rPr>
      </w:pPr>
    </w:p>
    <w:p w14:paraId="60266557" w14:textId="3ADBB789" w:rsidR="00D847F2" w:rsidRPr="00056FF3" w:rsidRDefault="00D847F2" w:rsidP="00D847F2">
      <w:pPr>
        <w:jc w:val="both"/>
        <w:rPr>
          <w:rFonts w:ascii="Arial" w:hAnsi="Arial" w:cs="Arial"/>
          <w:sz w:val="20"/>
          <w:szCs w:val="20"/>
        </w:rPr>
      </w:pPr>
      <w:r w:rsidRPr="00F575FA">
        <w:rPr>
          <w:rFonts w:ascii="Arial" w:hAnsi="Arial" w:cs="Arial"/>
          <w:sz w:val="20"/>
          <w:szCs w:val="20"/>
        </w:rPr>
        <w:t>Analiza gibanja davčnega dolga po blagajnah javnega financiranja kaže na znižanje dolga pri vseh blagajnah.</w:t>
      </w:r>
      <w:r>
        <w:rPr>
          <w:rFonts w:ascii="Arial" w:hAnsi="Arial" w:cs="Arial"/>
          <w:sz w:val="20"/>
          <w:szCs w:val="20"/>
        </w:rPr>
        <w:t xml:space="preserve"> </w:t>
      </w:r>
      <w:r w:rsidRPr="00F575FA">
        <w:rPr>
          <w:rFonts w:ascii="Arial" w:hAnsi="Arial" w:cs="Arial"/>
          <w:sz w:val="20"/>
          <w:szCs w:val="20"/>
        </w:rPr>
        <w:t>Največje znižanje dolga je v letu 202</w:t>
      </w:r>
      <w:r>
        <w:rPr>
          <w:rFonts w:ascii="Arial" w:hAnsi="Arial" w:cs="Arial"/>
          <w:sz w:val="20"/>
          <w:szCs w:val="20"/>
        </w:rPr>
        <w:t>2</w:t>
      </w:r>
      <w:r w:rsidRPr="00F575FA">
        <w:rPr>
          <w:rFonts w:ascii="Arial" w:hAnsi="Arial" w:cs="Arial"/>
          <w:sz w:val="20"/>
          <w:szCs w:val="20"/>
        </w:rPr>
        <w:t xml:space="preserve"> zaznati pri blagajni </w:t>
      </w:r>
      <w:r>
        <w:rPr>
          <w:rFonts w:ascii="Arial" w:hAnsi="Arial" w:cs="Arial"/>
          <w:sz w:val="20"/>
          <w:szCs w:val="20"/>
        </w:rPr>
        <w:t>ZPIZ,</w:t>
      </w:r>
      <w:r w:rsidRPr="001A5724">
        <w:rPr>
          <w:rFonts w:ascii="Arial" w:hAnsi="Arial" w:cs="Arial"/>
          <w:sz w:val="20"/>
          <w:szCs w:val="20"/>
        </w:rPr>
        <w:t xml:space="preserve"> </w:t>
      </w:r>
      <w:r w:rsidRPr="00F575FA">
        <w:rPr>
          <w:rFonts w:ascii="Arial" w:hAnsi="Arial" w:cs="Arial"/>
          <w:sz w:val="20"/>
          <w:szCs w:val="20"/>
        </w:rPr>
        <w:t xml:space="preserve">in sicer za </w:t>
      </w:r>
      <w:r w:rsidRPr="001A5724">
        <w:rPr>
          <w:rFonts w:ascii="Arial" w:hAnsi="Arial" w:cs="Arial"/>
          <w:sz w:val="20"/>
          <w:szCs w:val="20"/>
        </w:rPr>
        <w:t>8.450.437</w:t>
      </w:r>
      <w:r w:rsidR="00727BBD" w:rsidRPr="00F575FA">
        <w:rPr>
          <w:rFonts w:ascii="Arial" w:hAnsi="Arial" w:cs="Arial"/>
          <w:sz w:val="20"/>
          <w:szCs w:val="20"/>
        </w:rPr>
        <w:t> EUR</w:t>
      </w:r>
      <w:r w:rsidRPr="00F575FA">
        <w:rPr>
          <w:rFonts w:ascii="Arial" w:hAnsi="Arial" w:cs="Arial"/>
          <w:sz w:val="20"/>
          <w:szCs w:val="20"/>
        </w:rPr>
        <w:t xml:space="preserve"> oziroma </w:t>
      </w:r>
      <w:r>
        <w:rPr>
          <w:rFonts w:ascii="Arial" w:hAnsi="Arial" w:cs="Arial"/>
          <w:sz w:val="20"/>
          <w:szCs w:val="20"/>
        </w:rPr>
        <w:t>4</w:t>
      </w:r>
      <w:r w:rsidRPr="00F575FA">
        <w:rPr>
          <w:rFonts w:ascii="Arial" w:hAnsi="Arial" w:cs="Arial"/>
          <w:sz w:val="20"/>
          <w:szCs w:val="20"/>
        </w:rPr>
        <w:t>,</w:t>
      </w:r>
      <w:r>
        <w:rPr>
          <w:rFonts w:ascii="Arial" w:hAnsi="Arial" w:cs="Arial"/>
          <w:sz w:val="20"/>
          <w:szCs w:val="20"/>
        </w:rPr>
        <w:t>8</w:t>
      </w:r>
      <w:r w:rsidRPr="00F575FA">
        <w:rPr>
          <w:rFonts w:ascii="Arial" w:hAnsi="Arial" w:cs="Arial"/>
          <w:sz w:val="20"/>
          <w:szCs w:val="20"/>
        </w:rPr>
        <w:t xml:space="preserve"> odstotka</w:t>
      </w:r>
      <w:r>
        <w:rPr>
          <w:rFonts w:ascii="Arial" w:hAnsi="Arial" w:cs="Arial"/>
          <w:sz w:val="20"/>
          <w:szCs w:val="20"/>
        </w:rPr>
        <w:t xml:space="preserve">. </w:t>
      </w:r>
      <w:r w:rsidRPr="00F575FA">
        <w:rPr>
          <w:rFonts w:ascii="Arial" w:hAnsi="Arial" w:cs="Arial"/>
          <w:sz w:val="20"/>
          <w:szCs w:val="20"/>
        </w:rPr>
        <w:t>Pri blagajni</w:t>
      </w:r>
      <w:r w:rsidRPr="001A5724">
        <w:rPr>
          <w:rFonts w:ascii="Arial" w:hAnsi="Arial" w:cs="Arial"/>
          <w:sz w:val="20"/>
          <w:szCs w:val="20"/>
        </w:rPr>
        <w:t xml:space="preserve"> </w:t>
      </w:r>
      <w:r w:rsidRPr="00F575FA">
        <w:rPr>
          <w:rFonts w:ascii="Arial" w:hAnsi="Arial" w:cs="Arial"/>
          <w:sz w:val="20"/>
          <w:szCs w:val="20"/>
        </w:rPr>
        <w:t>države se je dolg</w:t>
      </w:r>
      <w:r w:rsidRPr="00056FF3">
        <w:rPr>
          <w:rFonts w:ascii="Arial" w:hAnsi="Arial" w:cs="Arial"/>
          <w:sz w:val="20"/>
          <w:szCs w:val="20"/>
        </w:rPr>
        <w:t xml:space="preserve"> znižal za</w:t>
      </w:r>
      <w:r>
        <w:rPr>
          <w:rFonts w:ascii="Arial" w:hAnsi="Arial" w:cs="Arial"/>
          <w:sz w:val="20"/>
          <w:szCs w:val="20"/>
        </w:rPr>
        <w:t xml:space="preserve"> </w:t>
      </w:r>
      <w:r w:rsidRPr="001A5724">
        <w:rPr>
          <w:rFonts w:ascii="Arial" w:hAnsi="Arial" w:cs="Arial"/>
          <w:sz w:val="20"/>
          <w:szCs w:val="20"/>
        </w:rPr>
        <w:t>8.074.644</w:t>
      </w:r>
      <w:r w:rsidR="00727BBD">
        <w:rPr>
          <w:rFonts w:ascii="Arial" w:hAnsi="Arial" w:cs="Arial"/>
          <w:sz w:val="20"/>
          <w:szCs w:val="20"/>
        </w:rPr>
        <w:t> EUR</w:t>
      </w:r>
      <w:r w:rsidRPr="00056FF3">
        <w:rPr>
          <w:rFonts w:ascii="Arial" w:hAnsi="Arial" w:cs="Arial"/>
          <w:sz w:val="20"/>
          <w:szCs w:val="20"/>
        </w:rPr>
        <w:t xml:space="preserve"> oziroma </w:t>
      </w:r>
      <w:r>
        <w:rPr>
          <w:rFonts w:ascii="Arial" w:hAnsi="Arial" w:cs="Arial"/>
          <w:sz w:val="20"/>
          <w:szCs w:val="20"/>
        </w:rPr>
        <w:t xml:space="preserve">1,3 </w:t>
      </w:r>
      <w:r w:rsidRPr="00056FF3">
        <w:rPr>
          <w:rFonts w:ascii="Arial" w:hAnsi="Arial" w:cs="Arial"/>
          <w:sz w:val="20"/>
          <w:szCs w:val="20"/>
        </w:rPr>
        <w:t>odstotk</w:t>
      </w:r>
      <w:r>
        <w:rPr>
          <w:rFonts w:ascii="Arial" w:hAnsi="Arial" w:cs="Arial"/>
          <w:sz w:val="20"/>
          <w:szCs w:val="20"/>
        </w:rPr>
        <w:t>a</w:t>
      </w:r>
      <w:r w:rsidRPr="00056FF3">
        <w:rPr>
          <w:rFonts w:ascii="Arial" w:hAnsi="Arial" w:cs="Arial"/>
          <w:sz w:val="20"/>
          <w:szCs w:val="20"/>
        </w:rPr>
        <w:t xml:space="preserve">, pri blagajni </w:t>
      </w:r>
      <w:r>
        <w:rPr>
          <w:rFonts w:ascii="Arial" w:hAnsi="Arial" w:cs="Arial"/>
          <w:sz w:val="20"/>
          <w:szCs w:val="20"/>
        </w:rPr>
        <w:t>ZZZS</w:t>
      </w:r>
      <w:r w:rsidRPr="00056FF3">
        <w:rPr>
          <w:rFonts w:ascii="Arial" w:hAnsi="Arial" w:cs="Arial"/>
          <w:sz w:val="20"/>
          <w:szCs w:val="20"/>
        </w:rPr>
        <w:t xml:space="preserve"> za </w:t>
      </w:r>
      <w:r w:rsidRPr="001A5724">
        <w:rPr>
          <w:rFonts w:ascii="Arial" w:hAnsi="Arial" w:cs="Arial"/>
          <w:sz w:val="20"/>
          <w:szCs w:val="20"/>
        </w:rPr>
        <w:t>3.492.148</w:t>
      </w:r>
      <w:r w:rsidR="00727BBD">
        <w:rPr>
          <w:rFonts w:ascii="Arial" w:hAnsi="Arial" w:cs="Arial"/>
          <w:sz w:val="20"/>
          <w:szCs w:val="20"/>
        </w:rPr>
        <w:t> EUR</w:t>
      </w:r>
      <w:r w:rsidRPr="00056FF3">
        <w:rPr>
          <w:rFonts w:ascii="Arial" w:hAnsi="Arial" w:cs="Arial"/>
          <w:sz w:val="20"/>
          <w:szCs w:val="20"/>
        </w:rPr>
        <w:t xml:space="preserve"> oziroma </w:t>
      </w:r>
      <w:r>
        <w:rPr>
          <w:rFonts w:ascii="Arial" w:hAnsi="Arial" w:cs="Arial"/>
          <w:sz w:val="20"/>
          <w:szCs w:val="20"/>
        </w:rPr>
        <w:t>4</w:t>
      </w:r>
      <w:r w:rsidRPr="00056FF3">
        <w:rPr>
          <w:rFonts w:ascii="Arial" w:hAnsi="Arial" w:cs="Arial"/>
          <w:sz w:val="20"/>
          <w:szCs w:val="20"/>
        </w:rPr>
        <w:t xml:space="preserve"> odstot</w:t>
      </w:r>
      <w:r>
        <w:rPr>
          <w:rFonts w:ascii="Arial" w:hAnsi="Arial" w:cs="Arial"/>
          <w:sz w:val="20"/>
          <w:szCs w:val="20"/>
        </w:rPr>
        <w:t>k</w:t>
      </w:r>
      <w:r w:rsidR="006E2B82">
        <w:rPr>
          <w:rFonts w:ascii="Arial" w:hAnsi="Arial" w:cs="Arial"/>
          <w:sz w:val="20"/>
          <w:szCs w:val="20"/>
        </w:rPr>
        <w:t>e</w:t>
      </w:r>
      <w:r>
        <w:rPr>
          <w:rFonts w:ascii="Arial" w:hAnsi="Arial" w:cs="Arial"/>
          <w:sz w:val="20"/>
          <w:szCs w:val="20"/>
        </w:rPr>
        <w:t xml:space="preserve"> </w:t>
      </w:r>
      <w:r w:rsidRPr="00056FF3">
        <w:rPr>
          <w:rFonts w:ascii="Arial" w:hAnsi="Arial" w:cs="Arial"/>
          <w:sz w:val="20"/>
          <w:szCs w:val="20"/>
        </w:rPr>
        <w:t xml:space="preserve">ter pri blagajnah občin </w:t>
      </w:r>
      <w:r>
        <w:rPr>
          <w:rFonts w:ascii="Arial" w:hAnsi="Arial" w:cs="Arial"/>
          <w:sz w:val="20"/>
          <w:szCs w:val="20"/>
        </w:rPr>
        <w:t xml:space="preserve">pa </w:t>
      </w:r>
      <w:r w:rsidRPr="00056FF3">
        <w:rPr>
          <w:rFonts w:ascii="Arial" w:hAnsi="Arial" w:cs="Arial"/>
          <w:sz w:val="20"/>
          <w:szCs w:val="20"/>
        </w:rPr>
        <w:t xml:space="preserve">za </w:t>
      </w:r>
      <w:r w:rsidRPr="001A5724">
        <w:rPr>
          <w:rFonts w:ascii="Arial" w:hAnsi="Arial" w:cs="Arial"/>
          <w:sz w:val="20"/>
          <w:szCs w:val="20"/>
        </w:rPr>
        <w:t>4.129.793</w:t>
      </w:r>
      <w:r w:rsidR="00727BBD" w:rsidRPr="00056FF3">
        <w:rPr>
          <w:rFonts w:ascii="Arial" w:hAnsi="Arial" w:cs="Arial"/>
          <w:sz w:val="20"/>
          <w:szCs w:val="20"/>
        </w:rPr>
        <w:t> EUR</w:t>
      </w:r>
      <w:r w:rsidRPr="00056FF3">
        <w:rPr>
          <w:rFonts w:ascii="Arial" w:hAnsi="Arial" w:cs="Arial"/>
          <w:sz w:val="20"/>
          <w:szCs w:val="20"/>
        </w:rPr>
        <w:t xml:space="preserve"> oziroma </w:t>
      </w:r>
      <w:r>
        <w:rPr>
          <w:rFonts w:ascii="Arial" w:hAnsi="Arial" w:cs="Arial"/>
          <w:sz w:val="20"/>
          <w:szCs w:val="20"/>
        </w:rPr>
        <w:t>14,9</w:t>
      </w:r>
      <w:r w:rsidRPr="00056FF3">
        <w:rPr>
          <w:rFonts w:ascii="Arial" w:hAnsi="Arial" w:cs="Arial"/>
          <w:sz w:val="20"/>
          <w:szCs w:val="20"/>
        </w:rPr>
        <w:t xml:space="preserve"> odstotka. </w:t>
      </w:r>
    </w:p>
    <w:p w14:paraId="7C7AB041" w14:textId="5F25CB67" w:rsidR="00D847F2" w:rsidRPr="008D5A7D" w:rsidRDefault="00D847F2" w:rsidP="00D847F2">
      <w:pPr>
        <w:jc w:val="both"/>
        <w:rPr>
          <w:rFonts w:ascii="Arial" w:hAnsi="Arial" w:cs="Arial"/>
          <w:b/>
          <w:sz w:val="20"/>
          <w:szCs w:val="20"/>
        </w:rPr>
      </w:pPr>
      <w:r w:rsidRPr="00C46CA4">
        <w:rPr>
          <w:rFonts w:ascii="Arial" w:hAnsi="Arial" w:cs="Arial"/>
          <w:b/>
          <w:sz w:val="20"/>
          <w:szCs w:val="20"/>
        </w:rPr>
        <w:t>4.4</w:t>
      </w:r>
      <w:r w:rsidR="00992912">
        <w:rPr>
          <w:rFonts w:ascii="Arial" w:hAnsi="Arial" w:cs="Arial"/>
          <w:b/>
          <w:sz w:val="20"/>
          <w:szCs w:val="20"/>
        </w:rPr>
        <w:t xml:space="preserve">  </w:t>
      </w:r>
      <w:r w:rsidRPr="00C46CA4">
        <w:rPr>
          <w:rFonts w:ascii="Arial" w:hAnsi="Arial" w:cs="Arial"/>
          <w:b/>
          <w:sz w:val="20"/>
          <w:szCs w:val="20"/>
        </w:rPr>
        <w:t>Davčni dolg po vrstah prihodkov oziroma dajatev</w:t>
      </w:r>
    </w:p>
    <w:p w14:paraId="09C8B8C2" w14:textId="72B235C9"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8C5FD7">
        <w:rPr>
          <w:rFonts w:ascii="Arial" w:hAnsi="Arial" w:cs="Arial"/>
          <w:bCs/>
          <w:sz w:val="20"/>
          <w:szCs w:val="20"/>
        </w:rPr>
        <w:t xml:space="preserve">Po vrsti prihodkov imajo na dan 31. </w:t>
      </w:r>
      <w:r w:rsidR="006E2B82">
        <w:rPr>
          <w:rFonts w:ascii="Arial" w:hAnsi="Arial" w:cs="Arial"/>
          <w:bCs/>
          <w:sz w:val="20"/>
          <w:szCs w:val="20"/>
        </w:rPr>
        <w:t>december</w:t>
      </w:r>
      <w:r w:rsidRPr="008C5FD7">
        <w:rPr>
          <w:rFonts w:ascii="Arial" w:hAnsi="Arial" w:cs="Arial"/>
          <w:bCs/>
          <w:sz w:val="20"/>
          <w:szCs w:val="20"/>
        </w:rPr>
        <w:t xml:space="preserve"> 202</w:t>
      </w:r>
      <w:r>
        <w:rPr>
          <w:rFonts w:ascii="Arial" w:hAnsi="Arial" w:cs="Arial"/>
          <w:bCs/>
          <w:sz w:val="20"/>
          <w:szCs w:val="20"/>
        </w:rPr>
        <w:t>2</w:t>
      </w:r>
      <w:r w:rsidRPr="008C5FD7">
        <w:rPr>
          <w:rFonts w:ascii="Arial" w:hAnsi="Arial" w:cs="Arial"/>
          <w:bCs/>
          <w:sz w:val="20"/>
          <w:szCs w:val="20"/>
        </w:rPr>
        <w:t xml:space="preserve"> največji delež davčnega dolga davčni prihodki, in sicer 9</w:t>
      </w:r>
      <w:r>
        <w:rPr>
          <w:rFonts w:ascii="Arial" w:hAnsi="Arial" w:cs="Arial"/>
          <w:bCs/>
          <w:sz w:val="20"/>
          <w:szCs w:val="20"/>
        </w:rPr>
        <w:t>3,7</w:t>
      </w:r>
      <w:r w:rsidRPr="008C5FD7">
        <w:rPr>
          <w:rFonts w:ascii="Arial" w:hAnsi="Arial" w:cs="Arial"/>
          <w:bCs/>
          <w:sz w:val="20"/>
          <w:szCs w:val="20"/>
        </w:rPr>
        <w:t xml:space="preserve"> odstotka, nedavčni prihodki</w:t>
      </w:r>
      <w:r w:rsidRPr="008C5FD7">
        <w:rPr>
          <w:rStyle w:val="Sprotnaopomba-sklic"/>
          <w:rFonts w:ascii="Arial" w:hAnsi="Arial" w:cs="Arial"/>
          <w:bCs/>
          <w:sz w:val="20"/>
          <w:szCs w:val="20"/>
        </w:rPr>
        <w:footnoteReference w:id="11"/>
      </w:r>
      <w:r w:rsidRPr="008C5FD7">
        <w:rPr>
          <w:rFonts w:ascii="Arial" w:hAnsi="Arial" w:cs="Arial"/>
          <w:bCs/>
          <w:sz w:val="20"/>
          <w:szCs w:val="20"/>
        </w:rPr>
        <w:t xml:space="preserve"> pa </w:t>
      </w:r>
      <w:r>
        <w:rPr>
          <w:rFonts w:ascii="Arial" w:hAnsi="Arial" w:cs="Arial"/>
          <w:bCs/>
          <w:sz w:val="20"/>
          <w:szCs w:val="20"/>
        </w:rPr>
        <w:t>6,3</w:t>
      </w:r>
      <w:r w:rsidRPr="008C5FD7">
        <w:rPr>
          <w:rFonts w:ascii="Arial" w:hAnsi="Arial" w:cs="Arial"/>
          <w:bCs/>
          <w:sz w:val="20"/>
          <w:szCs w:val="20"/>
        </w:rPr>
        <w:t xml:space="preserve"> odstotka.</w:t>
      </w:r>
      <w:r w:rsidR="00992912">
        <w:rPr>
          <w:rFonts w:ascii="Arial" w:hAnsi="Arial" w:cs="Arial"/>
          <w:bCs/>
          <w:sz w:val="20"/>
          <w:szCs w:val="20"/>
        </w:rPr>
        <w:t xml:space="preserve"> </w:t>
      </w:r>
    </w:p>
    <w:p w14:paraId="7464A9CA" w14:textId="206461C0"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6E5194">
        <w:rPr>
          <w:rFonts w:ascii="Arial" w:hAnsi="Arial" w:cs="Arial"/>
          <w:bCs/>
          <w:sz w:val="20"/>
          <w:szCs w:val="20"/>
        </w:rPr>
        <w:t>Podatki o višini in gibanju dolga po posameznih vrstah prihodkov oziroma dajatev so prikazani v preglednici 7.</w:t>
      </w:r>
    </w:p>
    <w:p w14:paraId="6851CACB" w14:textId="77777777" w:rsidR="00247C3E" w:rsidRDefault="00247C3E" w:rsidP="00D847F2">
      <w:pPr>
        <w:rPr>
          <w:rFonts w:ascii="Arial" w:hAnsi="Arial" w:cs="Arial"/>
          <w:bCs/>
          <w:i/>
          <w:sz w:val="20"/>
          <w:szCs w:val="20"/>
        </w:rPr>
      </w:pPr>
    </w:p>
    <w:p w14:paraId="6B1621C0" w14:textId="77777777" w:rsidR="00247C3E" w:rsidRDefault="00247C3E" w:rsidP="00D847F2">
      <w:pPr>
        <w:rPr>
          <w:rFonts w:ascii="Arial" w:hAnsi="Arial" w:cs="Arial"/>
          <w:bCs/>
          <w:i/>
          <w:sz w:val="20"/>
          <w:szCs w:val="20"/>
        </w:rPr>
      </w:pPr>
    </w:p>
    <w:p w14:paraId="342E156C" w14:textId="77777777" w:rsidR="00247C3E" w:rsidRDefault="00247C3E" w:rsidP="00D847F2">
      <w:pPr>
        <w:rPr>
          <w:rFonts w:ascii="Arial" w:hAnsi="Arial" w:cs="Arial"/>
          <w:bCs/>
          <w:i/>
          <w:sz w:val="20"/>
          <w:szCs w:val="20"/>
        </w:rPr>
      </w:pPr>
    </w:p>
    <w:p w14:paraId="6D1D0703" w14:textId="77777777" w:rsidR="00247C3E" w:rsidRDefault="00247C3E" w:rsidP="00D847F2">
      <w:pPr>
        <w:rPr>
          <w:rFonts w:ascii="Arial" w:hAnsi="Arial" w:cs="Arial"/>
          <w:bCs/>
          <w:i/>
          <w:sz w:val="20"/>
          <w:szCs w:val="20"/>
        </w:rPr>
      </w:pPr>
    </w:p>
    <w:p w14:paraId="3D61DEB1" w14:textId="77777777" w:rsidR="00247C3E" w:rsidRDefault="00247C3E" w:rsidP="00D847F2">
      <w:pPr>
        <w:rPr>
          <w:rFonts w:ascii="Arial" w:hAnsi="Arial" w:cs="Arial"/>
          <w:bCs/>
          <w:i/>
          <w:sz w:val="20"/>
          <w:szCs w:val="20"/>
        </w:rPr>
      </w:pPr>
    </w:p>
    <w:p w14:paraId="638E9992" w14:textId="77777777" w:rsidR="00247C3E" w:rsidRDefault="00247C3E" w:rsidP="00D847F2">
      <w:pPr>
        <w:rPr>
          <w:rFonts w:ascii="Arial" w:hAnsi="Arial" w:cs="Arial"/>
          <w:bCs/>
          <w:i/>
          <w:sz w:val="20"/>
          <w:szCs w:val="20"/>
        </w:rPr>
      </w:pPr>
    </w:p>
    <w:p w14:paraId="38F6E988" w14:textId="77777777" w:rsidR="00247C3E" w:rsidRDefault="00247C3E" w:rsidP="00D847F2">
      <w:pPr>
        <w:rPr>
          <w:rFonts w:ascii="Arial" w:hAnsi="Arial" w:cs="Arial"/>
          <w:bCs/>
          <w:i/>
          <w:sz w:val="20"/>
          <w:szCs w:val="20"/>
        </w:rPr>
      </w:pPr>
    </w:p>
    <w:p w14:paraId="3BCD5099" w14:textId="77777777" w:rsidR="00247C3E" w:rsidRDefault="00247C3E" w:rsidP="00D847F2">
      <w:pPr>
        <w:rPr>
          <w:rFonts w:ascii="Arial" w:hAnsi="Arial" w:cs="Arial"/>
          <w:bCs/>
          <w:i/>
          <w:sz w:val="20"/>
          <w:szCs w:val="20"/>
        </w:rPr>
      </w:pPr>
    </w:p>
    <w:p w14:paraId="00430C64" w14:textId="77777777" w:rsidR="00247C3E" w:rsidRDefault="00247C3E" w:rsidP="00D847F2">
      <w:pPr>
        <w:rPr>
          <w:rFonts w:ascii="Arial" w:hAnsi="Arial" w:cs="Arial"/>
          <w:bCs/>
          <w:i/>
          <w:sz w:val="20"/>
          <w:szCs w:val="20"/>
        </w:rPr>
      </w:pPr>
    </w:p>
    <w:p w14:paraId="3944690B" w14:textId="77777777" w:rsidR="00247C3E" w:rsidRDefault="00247C3E" w:rsidP="00D847F2">
      <w:pPr>
        <w:rPr>
          <w:rFonts w:ascii="Arial" w:hAnsi="Arial" w:cs="Arial"/>
          <w:bCs/>
          <w:i/>
          <w:sz w:val="20"/>
          <w:szCs w:val="20"/>
        </w:rPr>
      </w:pPr>
    </w:p>
    <w:p w14:paraId="657AF7EE" w14:textId="77777777" w:rsidR="00247C3E" w:rsidRDefault="00247C3E" w:rsidP="00D847F2">
      <w:pPr>
        <w:rPr>
          <w:rFonts w:ascii="Arial" w:hAnsi="Arial" w:cs="Arial"/>
          <w:bCs/>
          <w:i/>
          <w:sz w:val="20"/>
          <w:szCs w:val="20"/>
        </w:rPr>
      </w:pPr>
    </w:p>
    <w:p w14:paraId="709E62F7" w14:textId="77777777" w:rsidR="00247C3E" w:rsidRDefault="00247C3E" w:rsidP="00D847F2">
      <w:pPr>
        <w:rPr>
          <w:rFonts w:ascii="Arial" w:hAnsi="Arial" w:cs="Arial"/>
          <w:bCs/>
          <w:i/>
          <w:sz w:val="20"/>
          <w:szCs w:val="20"/>
        </w:rPr>
      </w:pPr>
    </w:p>
    <w:p w14:paraId="6182AB92" w14:textId="77777777" w:rsidR="00247C3E" w:rsidRDefault="00247C3E" w:rsidP="00D847F2">
      <w:pPr>
        <w:rPr>
          <w:rFonts w:ascii="Arial" w:hAnsi="Arial" w:cs="Arial"/>
          <w:bCs/>
          <w:i/>
          <w:sz w:val="20"/>
          <w:szCs w:val="20"/>
        </w:rPr>
      </w:pPr>
    </w:p>
    <w:p w14:paraId="3C397329" w14:textId="77777777" w:rsidR="00247C3E" w:rsidRDefault="00247C3E" w:rsidP="00D847F2">
      <w:pPr>
        <w:rPr>
          <w:rFonts w:ascii="Arial" w:hAnsi="Arial" w:cs="Arial"/>
          <w:bCs/>
          <w:i/>
          <w:sz w:val="20"/>
          <w:szCs w:val="20"/>
        </w:rPr>
      </w:pPr>
    </w:p>
    <w:p w14:paraId="40BA6682" w14:textId="77777777" w:rsidR="00247C3E" w:rsidRDefault="00247C3E" w:rsidP="00D847F2">
      <w:pPr>
        <w:rPr>
          <w:rFonts w:ascii="Arial" w:hAnsi="Arial" w:cs="Arial"/>
          <w:bCs/>
          <w:i/>
          <w:sz w:val="20"/>
          <w:szCs w:val="20"/>
        </w:rPr>
      </w:pPr>
    </w:p>
    <w:p w14:paraId="496E0A5F" w14:textId="77777777" w:rsidR="00247C3E" w:rsidRDefault="00247C3E" w:rsidP="00D847F2">
      <w:pPr>
        <w:rPr>
          <w:rFonts w:ascii="Arial" w:hAnsi="Arial" w:cs="Arial"/>
          <w:bCs/>
          <w:i/>
          <w:sz w:val="20"/>
          <w:szCs w:val="20"/>
        </w:rPr>
      </w:pPr>
    </w:p>
    <w:p w14:paraId="54957F83" w14:textId="77777777" w:rsidR="00247C3E" w:rsidRDefault="00247C3E" w:rsidP="00D847F2">
      <w:pPr>
        <w:rPr>
          <w:rFonts w:ascii="Arial" w:hAnsi="Arial" w:cs="Arial"/>
          <w:bCs/>
          <w:i/>
          <w:sz w:val="20"/>
          <w:szCs w:val="20"/>
        </w:rPr>
      </w:pPr>
    </w:p>
    <w:p w14:paraId="5301C01B" w14:textId="77777777" w:rsidR="00247C3E" w:rsidRDefault="00247C3E" w:rsidP="00D847F2">
      <w:pPr>
        <w:rPr>
          <w:rFonts w:ascii="Arial" w:hAnsi="Arial" w:cs="Arial"/>
          <w:bCs/>
          <w:i/>
          <w:sz w:val="20"/>
          <w:szCs w:val="20"/>
        </w:rPr>
      </w:pPr>
    </w:p>
    <w:p w14:paraId="2810925E" w14:textId="77777777" w:rsidR="00247C3E" w:rsidRDefault="00247C3E" w:rsidP="00D847F2">
      <w:pPr>
        <w:rPr>
          <w:rFonts w:ascii="Arial" w:hAnsi="Arial" w:cs="Arial"/>
          <w:bCs/>
          <w:i/>
          <w:sz w:val="20"/>
          <w:szCs w:val="20"/>
        </w:rPr>
      </w:pPr>
    </w:p>
    <w:p w14:paraId="2DF3102E" w14:textId="2A203850" w:rsidR="00D847F2" w:rsidRDefault="00D847F2" w:rsidP="00D847F2">
      <w:pPr>
        <w:rPr>
          <w:rFonts w:ascii="Arial" w:hAnsi="Arial" w:cs="Arial"/>
          <w:i/>
          <w:sz w:val="20"/>
          <w:szCs w:val="20"/>
        </w:rPr>
      </w:pPr>
      <w:r w:rsidRPr="00D60FC9">
        <w:rPr>
          <w:rFonts w:ascii="Arial" w:hAnsi="Arial" w:cs="Arial"/>
          <w:bCs/>
          <w:i/>
          <w:sz w:val="20"/>
          <w:szCs w:val="20"/>
        </w:rPr>
        <w:lastRenderedPageBreak/>
        <w:t>Preglednica</w:t>
      </w:r>
      <w:r w:rsidRPr="00D60FC9">
        <w:rPr>
          <w:rFonts w:ascii="Arial" w:hAnsi="Arial" w:cs="Arial"/>
          <w:i/>
          <w:sz w:val="20"/>
          <w:szCs w:val="20"/>
        </w:rPr>
        <w:t xml:space="preserve"> 7: Stanje in gibanje davčnega dolga po vrstah prihodkov oziroma dajatev v EUR</w:t>
      </w:r>
    </w:p>
    <w:tbl>
      <w:tblPr>
        <w:tblW w:w="9377" w:type="dxa"/>
        <w:tblCellMar>
          <w:left w:w="70" w:type="dxa"/>
          <w:right w:w="70" w:type="dxa"/>
        </w:tblCellMar>
        <w:tblLook w:val="04A0" w:firstRow="1" w:lastRow="0" w:firstColumn="1" w:lastColumn="0" w:noHBand="0" w:noVBand="1"/>
      </w:tblPr>
      <w:tblGrid>
        <w:gridCol w:w="2577"/>
        <w:gridCol w:w="1192"/>
        <w:gridCol w:w="1269"/>
        <w:gridCol w:w="1114"/>
        <w:gridCol w:w="1075"/>
        <w:gridCol w:w="1075"/>
        <w:gridCol w:w="1075"/>
      </w:tblGrid>
      <w:tr w:rsidR="00D847F2" w:rsidRPr="003648DA" w14:paraId="6A7CE827" w14:textId="77777777" w:rsidTr="00556699">
        <w:trPr>
          <w:trHeight w:val="954"/>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7167" w14:textId="39C65BE0" w:rsidR="00D847F2" w:rsidRPr="003648DA" w:rsidRDefault="00D847F2" w:rsidP="00556699">
            <w:pPr>
              <w:spacing w:after="0" w:line="240" w:lineRule="auto"/>
              <w:jc w:val="center"/>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Davčni</w:t>
            </w:r>
            <w:r w:rsidR="00992912">
              <w:rPr>
                <w:rFonts w:ascii="Arial" w:eastAsia="Times New Roman" w:hAnsi="Arial" w:cs="Arial"/>
                <w:b/>
                <w:bCs/>
                <w:sz w:val="16"/>
                <w:szCs w:val="16"/>
                <w:lang w:eastAsia="sl-SI"/>
              </w:rPr>
              <w:t xml:space="preserve"> </w:t>
            </w:r>
            <w:r w:rsidRPr="003648DA">
              <w:rPr>
                <w:rFonts w:ascii="Arial" w:eastAsia="Times New Roman" w:hAnsi="Arial" w:cs="Arial"/>
                <w:b/>
                <w:bCs/>
                <w:sz w:val="16"/>
                <w:szCs w:val="16"/>
                <w:lang w:eastAsia="sl-SI"/>
              </w:rPr>
              <w:t xml:space="preserve">dolg po vrstah prihodkov oziroma davkov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51CB5B34" w14:textId="09BF83F5" w:rsidR="00D847F2" w:rsidRPr="003648DA" w:rsidRDefault="00727BBD" w:rsidP="00556699">
            <w:pPr>
              <w:spacing w:after="0" w:line="240" w:lineRule="auto"/>
              <w:jc w:val="center"/>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31.</w:t>
            </w:r>
            <w:r>
              <w:rPr>
                <w:rFonts w:ascii="Arial" w:eastAsia="Times New Roman" w:hAnsi="Arial" w:cs="Arial"/>
                <w:b/>
                <w:bCs/>
                <w:sz w:val="16"/>
                <w:szCs w:val="16"/>
                <w:lang w:eastAsia="sl-SI"/>
              </w:rPr>
              <w:t> 12. 2020</w:t>
            </w:r>
          </w:p>
        </w:tc>
        <w:tc>
          <w:tcPr>
            <w:tcW w:w="1310" w:type="dxa"/>
            <w:tcBorders>
              <w:top w:val="single" w:sz="4" w:space="0" w:color="auto"/>
              <w:left w:val="nil"/>
              <w:bottom w:val="single" w:sz="4" w:space="0" w:color="auto"/>
              <w:right w:val="nil"/>
            </w:tcBorders>
            <w:shd w:val="clear" w:color="auto" w:fill="auto"/>
            <w:vAlign w:val="center"/>
            <w:hideMark/>
          </w:tcPr>
          <w:p w14:paraId="0176AB1E" w14:textId="133610D8" w:rsidR="00D847F2" w:rsidRPr="003648DA" w:rsidRDefault="00727BBD" w:rsidP="00556699">
            <w:pPr>
              <w:spacing w:after="0" w:line="240" w:lineRule="auto"/>
              <w:jc w:val="center"/>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31.</w:t>
            </w:r>
            <w:r>
              <w:rPr>
                <w:rFonts w:ascii="Arial" w:eastAsia="Times New Roman" w:hAnsi="Arial" w:cs="Arial"/>
                <w:b/>
                <w:bCs/>
                <w:sz w:val="16"/>
                <w:szCs w:val="16"/>
                <w:lang w:eastAsia="sl-SI"/>
              </w:rPr>
              <w:t> 12. 2021</w:t>
            </w:r>
          </w:p>
        </w:tc>
        <w:tc>
          <w:tcPr>
            <w:tcW w:w="11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08F4D7A" w14:textId="1C30E2D9" w:rsidR="00D847F2" w:rsidRPr="003648DA" w:rsidRDefault="00727BBD" w:rsidP="00556699">
            <w:pPr>
              <w:spacing w:after="0" w:line="240" w:lineRule="auto"/>
              <w:jc w:val="center"/>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31.</w:t>
            </w:r>
            <w:r>
              <w:rPr>
                <w:rFonts w:ascii="Arial" w:eastAsia="Times New Roman" w:hAnsi="Arial" w:cs="Arial"/>
                <w:b/>
                <w:bCs/>
                <w:sz w:val="16"/>
                <w:szCs w:val="16"/>
                <w:lang w:eastAsia="sl-SI"/>
              </w:rPr>
              <w:t> 12. 2022</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49C2846" w14:textId="07E09493" w:rsidR="00D847F2" w:rsidRPr="003648DA" w:rsidRDefault="00D847F2" w:rsidP="00556699">
            <w:pPr>
              <w:spacing w:after="0" w:line="240" w:lineRule="auto"/>
              <w:jc w:val="center"/>
              <w:rPr>
                <w:rFonts w:ascii="Arial" w:eastAsia="Times New Roman" w:hAnsi="Arial" w:cs="Arial"/>
                <w:b/>
                <w:bCs/>
                <w:color w:val="000000"/>
                <w:sz w:val="16"/>
                <w:szCs w:val="16"/>
                <w:lang w:eastAsia="sl-SI"/>
              </w:rPr>
            </w:pPr>
            <w:r w:rsidRPr="003648DA">
              <w:rPr>
                <w:rFonts w:ascii="Arial" w:eastAsia="Times New Roman" w:hAnsi="Arial" w:cs="Arial"/>
                <w:b/>
                <w:bCs/>
                <w:color w:val="000000"/>
                <w:sz w:val="16"/>
                <w:szCs w:val="16"/>
                <w:lang w:eastAsia="sl-SI"/>
              </w:rPr>
              <w:t xml:space="preserve">IND </w:t>
            </w:r>
            <w:r w:rsidRPr="003648DA">
              <w:rPr>
                <w:rFonts w:ascii="Arial" w:eastAsia="Times New Roman" w:hAnsi="Arial" w:cs="Arial"/>
                <w:b/>
                <w:bCs/>
                <w:color w:val="000000"/>
                <w:sz w:val="16"/>
                <w:szCs w:val="16"/>
                <w:lang w:eastAsia="sl-SI"/>
              </w:rPr>
              <w:br/>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2021</w:t>
            </w:r>
            <w:r w:rsidRPr="003648DA">
              <w:rPr>
                <w:rFonts w:ascii="Arial" w:eastAsia="Times New Roman" w:hAnsi="Arial" w:cs="Arial"/>
                <w:b/>
                <w:bCs/>
                <w:color w:val="000000"/>
                <w:sz w:val="16"/>
                <w:szCs w:val="16"/>
                <w:lang w:eastAsia="sl-SI"/>
              </w:rPr>
              <w:t>/</w:t>
            </w:r>
            <w:r w:rsidRPr="003648DA">
              <w:rPr>
                <w:rFonts w:ascii="Arial" w:eastAsia="Times New Roman" w:hAnsi="Arial" w:cs="Arial"/>
                <w:b/>
                <w:bCs/>
                <w:color w:val="000000"/>
                <w:sz w:val="16"/>
                <w:szCs w:val="16"/>
                <w:lang w:eastAsia="sl-SI"/>
              </w:rPr>
              <w:br/>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2020</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05C1DA67" w14:textId="05EF3BB3" w:rsidR="00D847F2" w:rsidRPr="003648DA" w:rsidRDefault="00D847F2" w:rsidP="00556699">
            <w:pPr>
              <w:spacing w:after="0" w:line="240" w:lineRule="auto"/>
              <w:jc w:val="center"/>
              <w:rPr>
                <w:rFonts w:ascii="Arial" w:eastAsia="Times New Roman" w:hAnsi="Arial" w:cs="Arial"/>
                <w:b/>
                <w:bCs/>
                <w:color w:val="000000"/>
                <w:sz w:val="16"/>
                <w:szCs w:val="16"/>
                <w:lang w:eastAsia="sl-SI"/>
              </w:rPr>
            </w:pPr>
            <w:r w:rsidRPr="003648DA">
              <w:rPr>
                <w:rFonts w:ascii="Arial" w:eastAsia="Times New Roman" w:hAnsi="Arial" w:cs="Arial"/>
                <w:b/>
                <w:bCs/>
                <w:color w:val="000000"/>
                <w:sz w:val="16"/>
                <w:szCs w:val="16"/>
                <w:lang w:eastAsia="sl-SI"/>
              </w:rPr>
              <w:t xml:space="preserve">IND </w:t>
            </w:r>
            <w:r w:rsidRPr="003648DA">
              <w:rPr>
                <w:rFonts w:ascii="Arial" w:eastAsia="Times New Roman" w:hAnsi="Arial" w:cs="Arial"/>
                <w:b/>
                <w:bCs/>
                <w:color w:val="000000"/>
                <w:sz w:val="16"/>
                <w:szCs w:val="16"/>
                <w:lang w:eastAsia="sl-SI"/>
              </w:rPr>
              <w:br/>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2022</w:t>
            </w:r>
            <w:r w:rsidRPr="003648DA">
              <w:rPr>
                <w:rFonts w:ascii="Arial" w:eastAsia="Times New Roman" w:hAnsi="Arial" w:cs="Arial"/>
                <w:b/>
                <w:bCs/>
                <w:color w:val="000000"/>
                <w:sz w:val="16"/>
                <w:szCs w:val="16"/>
                <w:lang w:eastAsia="sl-SI"/>
              </w:rPr>
              <w:t>/</w:t>
            </w:r>
            <w:r w:rsidRPr="003648DA">
              <w:rPr>
                <w:rFonts w:ascii="Arial" w:eastAsia="Times New Roman" w:hAnsi="Arial" w:cs="Arial"/>
                <w:b/>
                <w:bCs/>
                <w:color w:val="000000"/>
                <w:sz w:val="16"/>
                <w:szCs w:val="16"/>
                <w:lang w:eastAsia="sl-SI"/>
              </w:rPr>
              <w:br/>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8E45424" w14:textId="23E0BABC" w:rsidR="00D847F2" w:rsidRPr="003648DA" w:rsidRDefault="00D847F2" w:rsidP="00556699">
            <w:pPr>
              <w:spacing w:after="0" w:line="240" w:lineRule="auto"/>
              <w:jc w:val="center"/>
              <w:rPr>
                <w:rFonts w:ascii="Arial" w:eastAsia="Times New Roman" w:hAnsi="Arial" w:cs="Arial"/>
                <w:b/>
                <w:bCs/>
                <w:color w:val="000000"/>
                <w:sz w:val="16"/>
                <w:szCs w:val="16"/>
                <w:lang w:eastAsia="sl-SI"/>
              </w:rPr>
            </w:pPr>
            <w:r w:rsidRPr="003648DA">
              <w:rPr>
                <w:rFonts w:ascii="Arial" w:eastAsia="Times New Roman" w:hAnsi="Arial" w:cs="Arial"/>
                <w:b/>
                <w:bCs/>
                <w:color w:val="000000"/>
                <w:sz w:val="16"/>
                <w:szCs w:val="16"/>
                <w:lang w:eastAsia="sl-SI"/>
              </w:rPr>
              <w:t>IND</w:t>
            </w:r>
            <w:r w:rsidRPr="003648DA">
              <w:rPr>
                <w:rFonts w:ascii="Arial" w:eastAsia="Times New Roman" w:hAnsi="Arial" w:cs="Arial"/>
                <w:b/>
                <w:bCs/>
                <w:color w:val="000000"/>
                <w:sz w:val="16"/>
                <w:szCs w:val="16"/>
                <w:lang w:eastAsia="sl-SI"/>
              </w:rPr>
              <w:br/>
              <w:t xml:space="preserve"> </w:t>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2022</w:t>
            </w:r>
            <w:r w:rsidRPr="003648DA">
              <w:rPr>
                <w:rFonts w:ascii="Arial" w:eastAsia="Times New Roman" w:hAnsi="Arial" w:cs="Arial"/>
                <w:b/>
                <w:bCs/>
                <w:color w:val="000000"/>
                <w:sz w:val="16"/>
                <w:szCs w:val="16"/>
                <w:lang w:eastAsia="sl-SI"/>
              </w:rPr>
              <w:t>/</w:t>
            </w:r>
            <w:r w:rsidRPr="003648DA">
              <w:rPr>
                <w:rFonts w:ascii="Arial" w:eastAsia="Times New Roman" w:hAnsi="Arial" w:cs="Arial"/>
                <w:b/>
                <w:bCs/>
                <w:color w:val="000000"/>
                <w:sz w:val="16"/>
                <w:szCs w:val="16"/>
                <w:lang w:eastAsia="sl-SI"/>
              </w:rPr>
              <w:br/>
            </w:r>
            <w:r w:rsidR="00727BBD" w:rsidRPr="003648DA">
              <w:rPr>
                <w:rFonts w:ascii="Arial" w:eastAsia="Times New Roman" w:hAnsi="Arial" w:cs="Arial"/>
                <w:b/>
                <w:bCs/>
                <w:color w:val="000000"/>
                <w:sz w:val="16"/>
                <w:szCs w:val="16"/>
                <w:lang w:eastAsia="sl-SI"/>
              </w:rPr>
              <w:t>31.</w:t>
            </w:r>
            <w:r w:rsidR="00727BBD">
              <w:rPr>
                <w:rFonts w:ascii="Arial" w:eastAsia="Times New Roman" w:hAnsi="Arial" w:cs="Arial"/>
                <w:b/>
                <w:bCs/>
                <w:color w:val="000000"/>
                <w:sz w:val="16"/>
                <w:szCs w:val="16"/>
                <w:lang w:eastAsia="sl-SI"/>
              </w:rPr>
              <w:t> 12. 2021</w:t>
            </w:r>
          </w:p>
        </w:tc>
      </w:tr>
      <w:tr w:rsidR="00D847F2" w:rsidRPr="003648DA" w14:paraId="1E4B2DC8"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DCE6F1"/>
            <w:vAlign w:val="center"/>
            <w:hideMark/>
          </w:tcPr>
          <w:p w14:paraId="54E322C4"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A. Davčni prihodki</w:t>
            </w:r>
          </w:p>
        </w:tc>
        <w:tc>
          <w:tcPr>
            <w:tcW w:w="1219" w:type="dxa"/>
            <w:tcBorders>
              <w:top w:val="nil"/>
              <w:left w:val="nil"/>
              <w:bottom w:val="single" w:sz="4" w:space="0" w:color="auto"/>
              <w:right w:val="single" w:sz="4" w:space="0" w:color="auto"/>
            </w:tcBorders>
            <w:shd w:val="clear" w:color="000000" w:fill="DCE6F1"/>
            <w:vAlign w:val="center"/>
            <w:hideMark/>
          </w:tcPr>
          <w:p w14:paraId="28B9AA0C"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947.258.430</w:t>
            </w:r>
          </w:p>
        </w:tc>
        <w:tc>
          <w:tcPr>
            <w:tcW w:w="1310" w:type="dxa"/>
            <w:tcBorders>
              <w:top w:val="nil"/>
              <w:left w:val="nil"/>
              <w:bottom w:val="single" w:sz="4" w:space="0" w:color="auto"/>
              <w:right w:val="nil"/>
            </w:tcBorders>
            <w:shd w:val="clear" w:color="000000" w:fill="DCE6F1"/>
            <w:vAlign w:val="center"/>
            <w:hideMark/>
          </w:tcPr>
          <w:p w14:paraId="75BD56F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863.316.847</w:t>
            </w:r>
          </w:p>
        </w:tc>
        <w:tc>
          <w:tcPr>
            <w:tcW w:w="1128" w:type="dxa"/>
            <w:tcBorders>
              <w:top w:val="nil"/>
              <w:left w:val="single" w:sz="8" w:space="0" w:color="auto"/>
              <w:bottom w:val="single" w:sz="4" w:space="0" w:color="auto"/>
              <w:right w:val="single" w:sz="8" w:space="0" w:color="auto"/>
            </w:tcBorders>
            <w:shd w:val="clear" w:color="000000" w:fill="DCE6F1"/>
            <w:vAlign w:val="center"/>
            <w:hideMark/>
          </w:tcPr>
          <w:p w14:paraId="7BBE1BF1"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839.617.037</w:t>
            </w:r>
          </w:p>
        </w:tc>
        <w:tc>
          <w:tcPr>
            <w:tcW w:w="956" w:type="dxa"/>
            <w:tcBorders>
              <w:top w:val="nil"/>
              <w:left w:val="nil"/>
              <w:bottom w:val="single" w:sz="4" w:space="0" w:color="auto"/>
              <w:right w:val="single" w:sz="4" w:space="0" w:color="auto"/>
            </w:tcBorders>
            <w:shd w:val="clear" w:color="000000" w:fill="DCE6F1"/>
            <w:vAlign w:val="center"/>
            <w:hideMark/>
          </w:tcPr>
          <w:p w14:paraId="4742E11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91,1</w:t>
            </w:r>
          </w:p>
        </w:tc>
        <w:tc>
          <w:tcPr>
            <w:tcW w:w="1018" w:type="dxa"/>
            <w:tcBorders>
              <w:top w:val="nil"/>
              <w:left w:val="nil"/>
              <w:bottom w:val="single" w:sz="4" w:space="0" w:color="auto"/>
              <w:right w:val="single" w:sz="4" w:space="0" w:color="auto"/>
            </w:tcBorders>
            <w:shd w:val="clear" w:color="000000" w:fill="DCE6F1"/>
            <w:vAlign w:val="center"/>
            <w:hideMark/>
          </w:tcPr>
          <w:p w14:paraId="6BC10E08"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88,6</w:t>
            </w:r>
          </w:p>
        </w:tc>
        <w:tc>
          <w:tcPr>
            <w:tcW w:w="956" w:type="dxa"/>
            <w:tcBorders>
              <w:top w:val="nil"/>
              <w:left w:val="nil"/>
              <w:bottom w:val="single" w:sz="4" w:space="0" w:color="auto"/>
              <w:right w:val="single" w:sz="4" w:space="0" w:color="auto"/>
            </w:tcBorders>
            <w:shd w:val="clear" w:color="000000" w:fill="DCE6F1"/>
            <w:vAlign w:val="center"/>
            <w:hideMark/>
          </w:tcPr>
          <w:p w14:paraId="6844465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97,3</w:t>
            </w:r>
          </w:p>
        </w:tc>
      </w:tr>
      <w:tr w:rsidR="00D847F2" w:rsidRPr="003648DA" w14:paraId="3694B923"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52811A5"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DAVKI NA DOHODEK IN DOBIČEK</w:t>
            </w:r>
          </w:p>
        </w:tc>
        <w:tc>
          <w:tcPr>
            <w:tcW w:w="1219" w:type="dxa"/>
            <w:tcBorders>
              <w:top w:val="nil"/>
              <w:left w:val="nil"/>
              <w:bottom w:val="single" w:sz="4" w:space="0" w:color="auto"/>
              <w:right w:val="single" w:sz="4" w:space="0" w:color="auto"/>
            </w:tcBorders>
            <w:shd w:val="clear" w:color="auto" w:fill="auto"/>
            <w:vAlign w:val="center"/>
            <w:hideMark/>
          </w:tcPr>
          <w:p w14:paraId="2D39C56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308.220.972</w:t>
            </w:r>
          </w:p>
        </w:tc>
        <w:tc>
          <w:tcPr>
            <w:tcW w:w="1310" w:type="dxa"/>
            <w:tcBorders>
              <w:top w:val="nil"/>
              <w:left w:val="nil"/>
              <w:bottom w:val="single" w:sz="4" w:space="0" w:color="auto"/>
              <w:right w:val="nil"/>
            </w:tcBorders>
            <w:shd w:val="clear" w:color="auto" w:fill="auto"/>
            <w:vAlign w:val="center"/>
            <w:hideMark/>
          </w:tcPr>
          <w:p w14:paraId="1C57C25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254.720.521</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6DC6372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254.857.804</w:t>
            </w:r>
          </w:p>
        </w:tc>
        <w:tc>
          <w:tcPr>
            <w:tcW w:w="956" w:type="dxa"/>
            <w:tcBorders>
              <w:top w:val="nil"/>
              <w:left w:val="nil"/>
              <w:bottom w:val="single" w:sz="4" w:space="0" w:color="auto"/>
              <w:right w:val="single" w:sz="4" w:space="0" w:color="auto"/>
            </w:tcBorders>
            <w:shd w:val="clear" w:color="auto" w:fill="auto"/>
            <w:vAlign w:val="center"/>
            <w:hideMark/>
          </w:tcPr>
          <w:p w14:paraId="683DAC13"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82,6</w:t>
            </w:r>
          </w:p>
        </w:tc>
        <w:tc>
          <w:tcPr>
            <w:tcW w:w="1018" w:type="dxa"/>
            <w:tcBorders>
              <w:top w:val="nil"/>
              <w:left w:val="nil"/>
              <w:bottom w:val="single" w:sz="4" w:space="0" w:color="auto"/>
              <w:right w:val="single" w:sz="4" w:space="0" w:color="auto"/>
            </w:tcBorders>
            <w:shd w:val="clear" w:color="auto" w:fill="auto"/>
            <w:vAlign w:val="center"/>
            <w:hideMark/>
          </w:tcPr>
          <w:p w14:paraId="20FF5302"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82,7</w:t>
            </w:r>
          </w:p>
        </w:tc>
        <w:tc>
          <w:tcPr>
            <w:tcW w:w="956" w:type="dxa"/>
            <w:tcBorders>
              <w:top w:val="nil"/>
              <w:left w:val="nil"/>
              <w:bottom w:val="single" w:sz="4" w:space="0" w:color="auto"/>
              <w:right w:val="single" w:sz="4" w:space="0" w:color="auto"/>
            </w:tcBorders>
            <w:shd w:val="clear" w:color="auto" w:fill="auto"/>
            <w:vAlign w:val="center"/>
            <w:hideMark/>
          </w:tcPr>
          <w:p w14:paraId="7E204219"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100,1</w:t>
            </w:r>
          </w:p>
        </w:tc>
      </w:tr>
      <w:tr w:rsidR="00D847F2" w:rsidRPr="003648DA" w14:paraId="0C820AF2"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28F3787"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Dohodnina</w:t>
            </w:r>
          </w:p>
        </w:tc>
        <w:tc>
          <w:tcPr>
            <w:tcW w:w="1219" w:type="dxa"/>
            <w:tcBorders>
              <w:top w:val="nil"/>
              <w:left w:val="nil"/>
              <w:bottom w:val="single" w:sz="4" w:space="0" w:color="auto"/>
              <w:right w:val="single" w:sz="4" w:space="0" w:color="auto"/>
            </w:tcBorders>
            <w:shd w:val="clear" w:color="auto" w:fill="auto"/>
            <w:vAlign w:val="center"/>
            <w:hideMark/>
          </w:tcPr>
          <w:p w14:paraId="4B51F84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251.886.355</w:t>
            </w:r>
          </w:p>
        </w:tc>
        <w:tc>
          <w:tcPr>
            <w:tcW w:w="1310" w:type="dxa"/>
            <w:tcBorders>
              <w:top w:val="nil"/>
              <w:left w:val="nil"/>
              <w:bottom w:val="single" w:sz="4" w:space="0" w:color="auto"/>
              <w:right w:val="nil"/>
            </w:tcBorders>
            <w:shd w:val="clear" w:color="auto" w:fill="auto"/>
            <w:vAlign w:val="center"/>
            <w:hideMark/>
          </w:tcPr>
          <w:p w14:paraId="22AEAB8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212.948.313</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1F6AAC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214.120.776</w:t>
            </w:r>
          </w:p>
        </w:tc>
        <w:tc>
          <w:tcPr>
            <w:tcW w:w="956" w:type="dxa"/>
            <w:tcBorders>
              <w:top w:val="nil"/>
              <w:left w:val="nil"/>
              <w:bottom w:val="single" w:sz="4" w:space="0" w:color="auto"/>
              <w:right w:val="single" w:sz="4" w:space="0" w:color="auto"/>
            </w:tcBorders>
            <w:shd w:val="clear" w:color="auto" w:fill="auto"/>
            <w:vAlign w:val="center"/>
            <w:hideMark/>
          </w:tcPr>
          <w:p w14:paraId="0F01E37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84,5</w:t>
            </w:r>
          </w:p>
        </w:tc>
        <w:tc>
          <w:tcPr>
            <w:tcW w:w="1018" w:type="dxa"/>
            <w:tcBorders>
              <w:top w:val="nil"/>
              <w:left w:val="nil"/>
              <w:bottom w:val="single" w:sz="4" w:space="0" w:color="auto"/>
              <w:right w:val="single" w:sz="4" w:space="0" w:color="auto"/>
            </w:tcBorders>
            <w:shd w:val="clear" w:color="auto" w:fill="auto"/>
            <w:vAlign w:val="center"/>
            <w:hideMark/>
          </w:tcPr>
          <w:p w14:paraId="567F2F6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85,0</w:t>
            </w:r>
          </w:p>
        </w:tc>
        <w:tc>
          <w:tcPr>
            <w:tcW w:w="956" w:type="dxa"/>
            <w:tcBorders>
              <w:top w:val="nil"/>
              <w:left w:val="nil"/>
              <w:bottom w:val="single" w:sz="4" w:space="0" w:color="auto"/>
              <w:right w:val="single" w:sz="4" w:space="0" w:color="auto"/>
            </w:tcBorders>
            <w:shd w:val="clear" w:color="auto" w:fill="auto"/>
            <w:vAlign w:val="center"/>
            <w:hideMark/>
          </w:tcPr>
          <w:p w14:paraId="684A7BF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100,6</w:t>
            </w:r>
          </w:p>
        </w:tc>
      </w:tr>
      <w:tr w:rsidR="00D847F2" w:rsidRPr="003648DA" w14:paraId="2AB85151"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3EAAE71" w14:textId="77777777" w:rsidR="00D847F2" w:rsidRPr="003648DA" w:rsidRDefault="00D847F2" w:rsidP="00556699">
            <w:pPr>
              <w:spacing w:after="0" w:line="240" w:lineRule="auto"/>
              <w:rPr>
                <w:rFonts w:ascii="Arial" w:eastAsia="Times New Roman" w:hAnsi="Arial" w:cs="Arial"/>
                <w:i/>
                <w:iCs/>
                <w:sz w:val="16"/>
                <w:szCs w:val="16"/>
                <w:lang w:eastAsia="sl-SI"/>
              </w:rPr>
            </w:pPr>
            <w:r w:rsidRPr="003648DA">
              <w:rPr>
                <w:rFonts w:ascii="Arial" w:eastAsia="Times New Roman" w:hAnsi="Arial" w:cs="Arial"/>
                <w:i/>
                <w:iCs/>
                <w:sz w:val="16"/>
                <w:szCs w:val="16"/>
                <w:lang w:eastAsia="sl-SI"/>
              </w:rPr>
              <w:t>Letni poračun</w:t>
            </w:r>
          </w:p>
        </w:tc>
        <w:tc>
          <w:tcPr>
            <w:tcW w:w="1219" w:type="dxa"/>
            <w:tcBorders>
              <w:top w:val="nil"/>
              <w:left w:val="nil"/>
              <w:bottom w:val="single" w:sz="4" w:space="0" w:color="auto"/>
              <w:right w:val="single" w:sz="4" w:space="0" w:color="auto"/>
            </w:tcBorders>
            <w:shd w:val="clear" w:color="auto" w:fill="auto"/>
            <w:vAlign w:val="center"/>
            <w:hideMark/>
          </w:tcPr>
          <w:p w14:paraId="0D331EA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53.232.522</w:t>
            </w:r>
          </w:p>
        </w:tc>
        <w:tc>
          <w:tcPr>
            <w:tcW w:w="1310" w:type="dxa"/>
            <w:tcBorders>
              <w:top w:val="nil"/>
              <w:left w:val="nil"/>
              <w:bottom w:val="single" w:sz="4" w:space="0" w:color="auto"/>
              <w:right w:val="nil"/>
            </w:tcBorders>
            <w:shd w:val="clear" w:color="auto" w:fill="auto"/>
            <w:vAlign w:val="center"/>
            <w:hideMark/>
          </w:tcPr>
          <w:p w14:paraId="7D2C0BB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53.000.526</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1DCB436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65.505.681</w:t>
            </w:r>
          </w:p>
        </w:tc>
        <w:tc>
          <w:tcPr>
            <w:tcW w:w="956" w:type="dxa"/>
            <w:tcBorders>
              <w:top w:val="nil"/>
              <w:left w:val="nil"/>
              <w:bottom w:val="single" w:sz="4" w:space="0" w:color="auto"/>
              <w:right w:val="single" w:sz="4" w:space="0" w:color="auto"/>
            </w:tcBorders>
            <w:shd w:val="clear" w:color="auto" w:fill="auto"/>
            <w:vAlign w:val="center"/>
            <w:hideMark/>
          </w:tcPr>
          <w:p w14:paraId="19E5961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99,6</w:t>
            </w:r>
          </w:p>
        </w:tc>
        <w:tc>
          <w:tcPr>
            <w:tcW w:w="1018" w:type="dxa"/>
            <w:tcBorders>
              <w:top w:val="nil"/>
              <w:left w:val="nil"/>
              <w:bottom w:val="single" w:sz="4" w:space="0" w:color="auto"/>
              <w:right w:val="single" w:sz="4" w:space="0" w:color="auto"/>
            </w:tcBorders>
            <w:shd w:val="clear" w:color="auto" w:fill="auto"/>
            <w:vAlign w:val="center"/>
            <w:hideMark/>
          </w:tcPr>
          <w:p w14:paraId="17BAE73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123,1</w:t>
            </w:r>
          </w:p>
        </w:tc>
        <w:tc>
          <w:tcPr>
            <w:tcW w:w="956" w:type="dxa"/>
            <w:tcBorders>
              <w:top w:val="nil"/>
              <w:left w:val="nil"/>
              <w:bottom w:val="single" w:sz="4" w:space="0" w:color="auto"/>
              <w:right w:val="single" w:sz="4" w:space="0" w:color="auto"/>
            </w:tcBorders>
            <w:shd w:val="clear" w:color="auto" w:fill="auto"/>
            <w:vAlign w:val="center"/>
            <w:hideMark/>
          </w:tcPr>
          <w:p w14:paraId="7845D990"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123,6</w:t>
            </w:r>
          </w:p>
        </w:tc>
      </w:tr>
      <w:tr w:rsidR="00D847F2" w:rsidRPr="003648DA" w14:paraId="6387158D"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C144865" w14:textId="77777777" w:rsidR="00D847F2" w:rsidRPr="003648DA" w:rsidRDefault="00D847F2" w:rsidP="00556699">
            <w:pPr>
              <w:spacing w:after="0" w:line="240" w:lineRule="auto"/>
              <w:rPr>
                <w:rFonts w:ascii="Arial" w:eastAsia="Times New Roman" w:hAnsi="Arial" w:cs="Arial"/>
                <w:i/>
                <w:iCs/>
                <w:sz w:val="16"/>
                <w:szCs w:val="16"/>
                <w:lang w:eastAsia="sl-SI"/>
              </w:rPr>
            </w:pPr>
            <w:r w:rsidRPr="003648DA">
              <w:rPr>
                <w:rFonts w:ascii="Arial" w:eastAsia="Times New Roman" w:hAnsi="Arial" w:cs="Arial"/>
                <w:i/>
                <w:iCs/>
                <w:sz w:val="16"/>
                <w:szCs w:val="16"/>
                <w:lang w:eastAsia="sl-SI"/>
              </w:rPr>
              <w:t>Akontacije dohodnine</w:t>
            </w:r>
          </w:p>
        </w:tc>
        <w:tc>
          <w:tcPr>
            <w:tcW w:w="1219" w:type="dxa"/>
            <w:tcBorders>
              <w:top w:val="nil"/>
              <w:left w:val="nil"/>
              <w:bottom w:val="single" w:sz="4" w:space="0" w:color="auto"/>
              <w:right w:val="single" w:sz="4" w:space="0" w:color="auto"/>
            </w:tcBorders>
            <w:shd w:val="clear" w:color="auto" w:fill="auto"/>
            <w:vAlign w:val="center"/>
            <w:hideMark/>
          </w:tcPr>
          <w:p w14:paraId="312A3ED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128.216.746</w:t>
            </w:r>
          </w:p>
        </w:tc>
        <w:tc>
          <w:tcPr>
            <w:tcW w:w="1310" w:type="dxa"/>
            <w:tcBorders>
              <w:top w:val="nil"/>
              <w:left w:val="nil"/>
              <w:bottom w:val="single" w:sz="4" w:space="0" w:color="auto"/>
              <w:right w:val="nil"/>
            </w:tcBorders>
            <w:shd w:val="clear" w:color="auto" w:fill="auto"/>
            <w:vAlign w:val="center"/>
            <w:hideMark/>
          </w:tcPr>
          <w:p w14:paraId="3CB939D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115.901.281</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8EC930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88.582.049</w:t>
            </w:r>
          </w:p>
        </w:tc>
        <w:tc>
          <w:tcPr>
            <w:tcW w:w="956" w:type="dxa"/>
            <w:tcBorders>
              <w:top w:val="nil"/>
              <w:left w:val="nil"/>
              <w:bottom w:val="single" w:sz="4" w:space="0" w:color="auto"/>
              <w:right w:val="single" w:sz="4" w:space="0" w:color="auto"/>
            </w:tcBorders>
            <w:shd w:val="clear" w:color="auto" w:fill="auto"/>
            <w:vAlign w:val="center"/>
            <w:hideMark/>
          </w:tcPr>
          <w:p w14:paraId="16D0FD3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90,4</w:t>
            </w:r>
          </w:p>
        </w:tc>
        <w:tc>
          <w:tcPr>
            <w:tcW w:w="1018" w:type="dxa"/>
            <w:tcBorders>
              <w:top w:val="nil"/>
              <w:left w:val="nil"/>
              <w:bottom w:val="single" w:sz="4" w:space="0" w:color="auto"/>
              <w:right w:val="single" w:sz="4" w:space="0" w:color="auto"/>
            </w:tcBorders>
            <w:shd w:val="clear" w:color="auto" w:fill="auto"/>
            <w:vAlign w:val="center"/>
            <w:hideMark/>
          </w:tcPr>
          <w:p w14:paraId="6A8EC4A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69,1</w:t>
            </w:r>
          </w:p>
        </w:tc>
        <w:tc>
          <w:tcPr>
            <w:tcW w:w="956" w:type="dxa"/>
            <w:tcBorders>
              <w:top w:val="nil"/>
              <w:left w:val="nil"/>
              <w:bottom w:val="single" w:sz="4" w:space="0" w:color="auto"/>
              <w:right w:val="single" w:sz="4" w:space="0" w:color="auto"/>
            </w:tcBorders>
            <w:shd w:val="clear" w:color="auto" w:fill="auto"/>
            <w:vAlign w:val="center"/>
            <w:hideMark/>
          </w:tcPr>
          <w:p w14:paraId="021B11D0"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76,4</w:t>
            </w:r>
          </w:p>
        </w:tc>
      </w:tr>
      <w:tr w:rsidR="00D847F2" w:rsidRPr="003648DA" w14:paraId="0D943676" w14:textId="77777777" w:rsidTr="00556699">
        <w:trPr>
          <w:trHeight w:val="436"/>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052BCE2" w14:textId="7F85AD43" w:rsidR="00D847F2" w:rsidRPr="003648DA" w:rsidRDefault="00D847F2" w:rsidP="00556699">
            <w:pPr>
              <w:spacing w:after="0" w:line="240" w:lineRule="auto"/>
              <w:rPr>
                <w:rFonts w:ascii="Arial" w:eastAsia="Times New Roman" w:hAnsi="Arial" w:cs="Arial"/>
                <w:i/>
                <w:iCs/>
                <w:sz w:val="16"/>
                <w:szCs w:val="16"/>
                <w:lang w:eastAsia="sl-SI"/>
              </w:rPr>
            </w:pPr>
            <w:r w:rsidRPr="003648DA">
              <w:rPr>
                <w:rFonts w:ascii="Arial" w:eastAsia="Times New Roman" w:hAnsi="Arial" w:cs="Arial"/>
                <w:i/>
                <w:iCs/>
                <w:sz w:val="16"/>
                <w:szCs w:val="16"/>
                <w:lang w:eastAsia="sl-SI"/>
              </w:rPr>
              <w:t>Dohodnina od dobička iz kapital</w:t>
            </w:r>
            <w:r w:rsidR="00D540CC">
              <w:rPr>
                <w:rFonts w:ascii="Arial" w:eastAsia="Times New Roman" w:hAnsi="Arial" w:cs="Arial"/>
                <w:i/>
                <w:iCs/>
                <w:sz w:val="16"/>
                <w:szCs w:val="16"/>
                <w:lang w:eastAsia="sl-SI"/>
              </w:rPr>
              <w:t>a</w:t>
            </w:r>
            <w:r w:rsidRPr="003648DA">
              <w:rPr>
                <w:rFonts w:ascii="Arial" w:eastAsia="Times New Roman" w:hAnsi="Arial" w:cs="Arial"/>
                <w:i/>
                <w:iCs/>
                <w:sz w:val="16"/>
                <w:szCs w:val="16"/>
                <w:lang w:eastAsia="sl-SI"/>
              </w:rPr>
              <w:t>, dividend in obresti</w:t>
            </w:r>
          </w:p>
        </w:tc>
        <w:tc>
          <w:tcPr>
            <w:tcW w:w="1219" w:type="dxa"/>
            <w:tcBorders>
              <w:top w:val="nil"/>
              <w:left w:val="nil"/>
              <w:bottom w:val="single" w:sz="4" w:space="0" w:color="auto"/>
              <w:right w:val="single" w:sz="4" w:space="0" w:color="auto"/>
            </w:tcBorders>
            <w:shd w:val="clear" w:color="auto" w:fill="auto"/>
            <w:vAlign w:val="center"/>
            <w:hideMark/>
          </w:tcPr>
          <w:p w14:paraId="112501D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20.565.733</w:t>
            </w:r>
          </w:p>
        </w:tc>
        <w:tc>
          <w:tcPr>
            <w:tcW w:w="1310" w:type="dxa"/>
            <w:tcBorders>
              <w:top w:val="nil"/>
              <w:left w:val="nil"/>
              <w:bottom w:val="single" w:sz="4" w:space="0" w:color="auto"/>
              <w:right w:val="nil"/>
            </w:tcBorders>
            <w:shd w:val="clear" w:color="auto" w:fill="auto"/>
            <w:vAlign w:val="center"/>
            <w:hideMark/>
          </w:tcPr>
          <w:p w14:paraId="53C489D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15.799.958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35E8FD2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18.738.037</w:t>
            </w:r>
          </w:p>
        </w:tc>
        <w:tc>
          <w:tcPr>
            <w:tcW w:w="956" w:type="dxa"/>
            <w:tcBorders>
              <w:top w:val="nil"/>
              <w:left w:val="nil"/>
              <w:bottom w:val="single" w:sz="4" w:space="0" w:color="auto"/>
              <w:right w:val="single" w:sz="4" w:space="0" w:color="auto"/>
            </w:tcBorders>
            <w:shd w:val="clear" w:color="auto" w:fill="auto"/>
            <w:vAlign w:val="center"/>
            <w:hideMark/>
          </w:tcPr>
          <w:p w14:paraId="4644D1A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76,8</w:t>
            </w:r>
          </w:p>
        </w:tc>
        <w:tc>
          <w:tcPr>
            <w:tcW w:w="1018" w:type="dxa"/>
            <w:tcBorders>
              <w:top w:val="nil"/>
              <w:left w:val="nil"/>
              <w:bottom w:val="single" w:sz="4" w:space="0" w:color="auto"/>
              <w:right w:val="single" w:sz="4" w:space="0" w:color="auto"/>
            </w:tcBorders>
            <w:shd w:val="clear" w:color="auto" w:fill="auto"/>
            <w:vAlign w:val="center"/>
            <w:hideMark/>
          </w:tcPr>
          <w:p w14:paraId="592AEF1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91,1</w:t>
            </w:r>
          </w:p>
        </w:tc>
        <w:tc>
          <w:tcPr>
            <w:tcW w:w="956" w:type="dxa"/>
            <w:tcBorders>
              <w:top w:val="nil"/>
              <w:left w:val="nil"/>
              <w:bottom w:val="single" w:sz="4" w:space="0" w:color="auto"/>
              <w:right w:val="single" w:sz="4" w:space="0" w:color="auto"/>
            </w:tcBorders>
            <w:shd w:val="clear" w:color="auto" w:fill="auto"/>
            <w:vAlign w:val="center"/>
            <w:hideMark/>
          </w:tcPr>
          <w:p w14:paraId="5F2445B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118,6</w:t>
            </w:r>
          </w:p>
        </w:tc>
      </w:tr>
      <w:tr w:rsidR="00D847F2" w:rsidRPr="003648DA" w14:paraId="7B8D10ED" w14:textId="77777777" w:rsidTr="00556699">
        <w:trPr>
          <w:trHeight w:val="304"/>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9F9F555" w14:textId="77777777" w:rsidR="00D847F2" w:rsidRPr="003648DA" w:rsidRDefault="00D847F2" w:rsidP="00556699">
            <w:pPr>
              <w:spacing w:after="0" w:line="240" w:lineRule="auto"/>
              <w:rPr>
                <w:rFonts w:ascii="Arial" w:eastAsia="Times New Roman" w:hAnsi="Arial" w:cs="Arial"/>
                <w:i/>
                <w:iCs/>
                <w:sz w:val="16"/>
                <w:szCs w:val="16"/>
                <w:lang w:eastAsia="sl-SI"/>
              </w:rPr>
            </w:pPr>
            <w:r w:rsidRPr="003648DA">
              <w:rPr>
                <w:rFonts w:ascii="Arial" w:eastAsia="Times New Roman" w:hAnsi="Arial" w:cs="Arial"/>
                <w:i/>
                <w:iCs/>
                <w:sz w:val="16"/>
                <w:szCs w:val="16"/>
                <w:lang w:eastAsia="sl-SI"/>
              </w:rPr>
              <w:t>Dohodnina od nenapovedanih dohodkov</w:t>
            </w:r>
          </w:p>
        </w:tc>
        <w:tc>
          <w:tcPr>
            <w:tcW w:w="1219" w:type="dxa"/>
            <w:tcBorders>
              <w:top w:val="nil"/>
              <w:left w:val="nil"/>
              <w:bottom w:val="single" w:sz="4" w:space="0" w:color="auto"/>
              <w:right w:val="single" w:sz="4" w:space="0" w:color="auto"/>
            </w:tcBorders>
            <w:shd w:val="clear" w:color="auto" w:fill="auto"/>
            <w:vAlign w:val="center"/>
            <w:hideMark/>
          </w:tcPr>
          <w:p w14:paraId="554574A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49.871.355</w:t>
            </w:r>
          </w:p>
        </w:tc>
        <w:tc>
          <w:tcPr>
            <w:tcW w:w="1310" w:type="dxa"/>
            <w:tcBorders>
              <w:top w:val="nil"/>
              <w:left w:val="nil"/>
              <w:bottom w:val="single" w:sz="4" w:space="0" w:color="auto"/>
              <w:right w:val="nil"/>
            </w:tcBorders>
            <w:shd w:val="clear" w:color="auto" w:fill="auto"/>
            <w:vAlign w:val="center"/>
            <w:hideMark/>
          </w:tcPr>
          <w:p w14:paraId="6498FC0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28.246.547</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5C09EF8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41.295.009</w:t>
            </w:r>
          </w:p>
        </w:tc>
        <w:tc>
          <w:tcPr>
            <w:tcW w:w="956" w:type="dxa"/>
            <w:tcBorders>
              <w:top w:val="nil"/>
              <w:left w:val="nil"/>
              <w:bottom w:val="single" w:sz="4" w:space="0" w:color="auto"/>
              <w:right w:val="single" w:sz="4" w:space="0" w:color="auto"/>
            </w:tcBorders>
            <w:shd w:val="clear" w:color="auto" w:fill="auto"/>
            <w:vAlign w:val="center"/>
            <w:hideMark/>
          </w:tcPr>
          <w:p w14:paraId="0436534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56,6</w:t>
            </w:r>
          </w:p>
        </w:tc>
        <w:tc>
          <w:tcPr>
            <w:tcW w:w="1018" w:type="dxa"/>
            <w:tcBorders>
              <w:top w:val="nil"/>
              <w:left w:val="nil"/>
              <w:bottom w:val="single" w:sz="4" w:space="0" w:color="auto"/>
              <w:right w:val="single" w:sz="4" w:space="0" w:color="auto"/>
            </w:tcBorders>
            <w:shd w:val="clear" w:color="auto" w:fill="auto"/>
            <w:vAlign w:val="center"/>
            <w:hideMark/>
          </w:tcPr>
          <w:p w14:paraId="33267B3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82,8</w:t>
            </w:r>
          </w:p>
        </w:tc>
        <w:tc>
          <w:tcPr>
            <w:tcW w:w="956" w:type="dxa"/>
            <w:tcBorders>
              <w:top w:val="nil"/>
              <w:left w:val="nil"/>
              <w:bottom w:val="single" w:sz="4" w:space="0" w:color="auto"/>
              <w:right w:val="single" w:sz="4" w:space="0" w:color="auto"/>
            </w:tcBorders>
            <w:shd w:val="clear" w:color="auto" w:fill="auto"/>
            <w:vAlign w:val="center"/>
            <w:hideMark/>
          </w:tcPr>
          <w:p w14:paraId="66523A2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146,2</w:t>
            </w:r>
          </w:p>
        </w:tc>
      </w:tr>
      <w:tr w:rsidR="00D847F2" w:rsidRPr="003648DA" w14:paraId="77639BC6"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DCF477C"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Davek od dohodkov pravnih oseb</w:t>
            </w:r>
          </w:p>
        </w:tc>
        <w:tc>
          <w:tcPr>
            <w:tcW w:w="1219" w:type="dxa"/>
            <w:tcBorders>
              <w:top w:val="nil"/>
              <w:left w:val="nil"/>
              <w:bottom w:val="single" w:sz="4" w:space="0" w:color="auto"/>
              <w:right w:val="single" w:sz="4" w:space="0" w:color="auto"/>
            </w:tcBorders>
            <w:shd w:val="clear" w:color="auto" w:fill="auto"/>
            <w:vAlign w:val="center"/>
            <w:hideMark/>
          </w:tcPr>
          <w:p w14:paraId="43F655C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56.317.585</w:t>
            </w:r>
          </w:p>
        </w:tc>
        <w:tc>
          <w:tcPr>
            <w:tcW w:w="1310" w:type="dxa"/>
            <w:tcBorders>
              <w:top w:val="nil"/>
              <w:left w:val="nil"/>
              <w:bottom w:val="single" w:sz="4" w:space="0" w:color="auto"/>
              <w:right w:val="nil"/>
            </w:tcBorders>
            <w:shd w:val="clear" w:color="auto" w:fill="auto"/>
            <w:vAlign w:val="center"/>
            <w:hideMark/>
          </w:tcPr>
          <w:p w14:paraId="5C44DB1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41.667.133</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5896564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40.710.877</w:t>
            </w:r>
          </w:p>
        </w:tc>
        <w:tc>
          <w:tcPr>
            <w:tcW w:w="956" w:type="dxa"/>
            <w:tcBorders>
              <w:top w:val="nil"/>
              <w:left w:val="nil"/>
              <w:bottom w:val="single" w:sz="4" w:space="0" w:color="auto"/>
              <w:right w:val="single" w:sz="4" w:space="0" w:color="auto"/>
            </w:tcBorders>
            <w:shd w:val="clear" w:color="auto" w:fill="auto"/>
            <w:vAlign w:val="center"/>
            <w:hideMark/>
          </w:tcPr>
          <w:p w14:paraId="1A79AA5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74,0</w:t>
            </w:r>
          </w:p>
        </w:tc>
        <w:tc>
          <w:tcPr>
            <w:tcW w:w="1018" w:type="dxa"/>
            <w:tcBorders>
              <w:top w:val="nil"/>
              <w:left w:val="nil"/>
              <w:bottom w:val="single" w:sz="4" w:space="0" w:color="auto"/>
              <w:right w:val="single" w:sz="4" w:space="0" w:color="auto"/>
            </w:tcBorders>
            <w:shd w:val="clear" w:color="auto" w:fill="auto"/>
            <w:vAlign w:val="center"/>
            <w:hideMark/>
          </w:tcPr>
          <w:p w14:paraId="48892B7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72,3</w:t>
            </w:r>
          </w:p>
        </w:tc>
        <w:tc>
          <w:tcPr>
            <w:tcW w:w="956" w:type="dxa"/>
            <w:tcBorders>
              <w:top w:val="nil"/>
              <w:left w:val="nil"/>
              <w:bottom w:val="single" w:sz="4" w:space="0" w:color="auto"/>
              <w:right w:val="single" w:sz="4" w:space="0" w:color="auto"/>
            </w:tcBorders>
            <w:shd w:val="clear" w:color="auto" w:fill="auto"/>
            <w:vAlign w:val="center"/>
            <w:hideMark/>
          </w:tcPr>
          <w:p w14:paraId="515650B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97,7</w:t>
            </w:r>
          </w:p>
        </w:tc>
      </w:tr>
      <w:tr w:rsidR="00D847F2" w:rsidRPr="003648DA" w14:paraId="785433D0"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35C0193"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Drugi davki na dohodek in dobiček</w:t>
            </w:r>
          </w:p>
        </w:tc>
        <w:tc>
          <w:tcPr>
            <w:tcW w:w="1219" w:type="dxa"/>
            <w:tcBorders>
              <w:top w:val="nil"/>
              <w:left w:val="nil"/>
              <w:bottom w:val="single" w:sz="4" w:space="0" w:color="auto"/>
              <w:right w:val="single" w:sz="4" w:space="0" w:color="auto"/>
            </w:tcBorders>
            <w:shd w:val="clear" w:color="auto" w:fill="auto"/>
            <w:vAlign w:val="center"/>
            <w:hideMark/>
          </w:tcPr>
          <w:p w14:paraId="3BB54DF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17.032</w:t>
            </w:r>
          </w:p>
        </w:tc>
        <w:tc>
          <w:tcPr>
            <w:tcW w:w="1310" w:type="dxa"/>
            <w:tcBorders>
              <w:top w:val="nil"/>
              <w:left w:val="nil"/>
              <w:bottom w:val="single" w:sz="4" w:space="0" w:color="auto"/>
              <w:right w:val="nil"/>
            </w:tcBorders>
            <w:shd w:val="clear" w:color="auto" w:fill="auto"/>
            <w:vAlign w:val="center"/>
            <w:hideMark/>
          </w:tcPr>
          <w:p w14:paraId="357D470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105.075</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21B0E9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26.151</w:t>
            </w:r>
          </w:p>
        </w:tc>
        <w:tc>
          <w:tcPr>
            <w:tcW w:w="956" w:type="dxa"/>
            <w:tcBorders>
              <w:top w:val="nil"/>
              <w:left w:val="nil"/>
              <w:bottom w:val="single" w:sz="4" w:space="0" w:color="auto"/>
              <w:right w:val="single" w:sz="4" w:space="0" w:color="auto"/>
            </w:tcBorders>
            <w:shd w:val="clear" w:color="auto" w:fill="auto"/>
            <w:vAlign w:val="center"/>
            <w:hideMark/>
          </w:tcPr>
          <w:p w14:paraId="030BAD6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616,9</w:t>
            </w:r>
          </w:p>
        </w:tc>
        <w:tc>
          <w:tcPr>
            <w:tcW w:w="1018" w:type="dxa"/>
            <w:tcBorders>
              <w:top w:val="nil"/>
              <w:left w:val="nil"/>
              <w:bottom w:val="single" w:sz="4" w:space="0" w:color="auto"/>
              <w:right w:val="single" w:sz="4" w:space="0" w:color="auto"/>
            </w:tcBorders>
            <w:shd w:val="clear" w:color="auto" w:fill="auto"/>
            <w:vAlign w:val="center"/>
            <w:hideMark/>
          </w:tcPr>
          <w:p w14:paraId="7207BCC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153,5</w:t>
            </w:r>
          </w:p>
        </w:tc>
        <w:tc>
          <w:tcPr>
            <w:tcW w:w="956" w:type="dxa"/>
            <w:tcBorders>
              <w:top w:val="nil"/>
              <w:left w:val="nil"/>
              <w:bottom w:val="single" w:sz="4" w:space="0" w:color="auto"/>
              <w:right w:val="single" w:sz="4" w:space="0" w:color="auto"/>
            </w:tcBorders>
            <w:shd w:val="clear" w:color="auto" w:fill="auto"/>
            <w:vAlign w:val="center"/>
            <w:hideMark/>
          </w:tcPr>
          <w:p w14:paraId="2DE2FEC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24,9</w:t>
            </w:r>
          </w:p>
        </w:tc>
      </w:tr>
      <w:tr w:rsidR="00D847F2" w:rsidRPr="003648DA" w14:paraId="535385D5"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1549C83"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PRISPEVKI ZA SOCIALNO VARNOST</w:t>
            </w:r>
          </w:p>
        </w:tc>
        <w:tc>
          <w:tcPr>
            <w:tcW w:w="1219" w:type="dxa"/>
            <w:tcBorders>
              <w:top w:val="nil"/>
              <w:left w:val="nil"/>
              <w:bottom w:val="single" w:sz="4" w:space="0" w:color="auto"/>
              <w:right w:val="single" w:sz="4" w:space="0" w:color="auto"/>
            </w:tcBorders>
            <w:shd w:val="clear" w:color="auto" w:fill="auto"/>
            <w:vAlign w:val="center"/>
            <w:hideMark/>
          </w:tcPr>
          <w:p w14:paraId="3605216F"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281.504.461</w:t>
            </w:r>
          </w:p>
        </w:tc>
        <w:tc>
          <w:tcPr>
            <w:tcW w:w="1310" w:type="dxa"/>
            <w:tcBorders>
              <w:top w:val="nil"/>
              <w:left w:val="nil"/>
              <w:bottom w:val="single" w:sz="4" w:space="0" w:color="auto"/>
              <w:right w:val="nil"/>
            </w:tcBorders>
            <w:shd w:val="clear" w:color="auto" w:fill="auto"/>
            <w:vAlign w:val="center"/>
            <w:hideMark/>
          </w:tcPr>
          <w:p w14:paraId="7DE082FA"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267.562.540</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90DA0F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255.542.927</w:t>
            </w:r>
          </w:p>
        </w:tc>
        <w:tc>
          <w:tcPr>
            <w:tcW w:w="956" w:type="dxa"/>
            <w:tcBorders>
              <w:top w:val="nil"/>
              <w:left w:val="nil"/>
              <w:bottom w:val="single" w:sz="4" w:space="0" w:color="auto"/>
              <w:right w:val="single" w:sz="4" w:space="0" w:color="auto"/>
            </w:tcBorders>
            <w:shd w:val="clear" w:color="auto" w:fill="auto"/>
            <w:vAlign w:val="center"/>
            <w:hideMark/>
          </w:tcPr>
          <w:p w14:paraId="0AE5E09B"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95,0</w:t>
            </w:r>
          </w:p>
        </w:tc>
        <w:tc>
          <w:tcPr>
            <w:tcW w:w="1018" w:type="dxa"/>
            <w:tcBorders>
              <w:top w:val="nil"/>
              <w:left w:val="nil"/>
              <w:bottom w:val="single" w:sz="4" w:space="0" w:color="auto"/>
              <w:right w:val="single" w:sz="4" w:space="0" w:color="auto"/>
            </w:tcBorders>
            <w:shd w:val="clear" w:color="auto" w:fill="auto"/>
            <w:vAlign w:val="center"/>
            <w:hideMark/>
          </w:tcPr>
          <w:p w14:paraId="2FE653DB"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90,8</w:t>
            </w:r>
          </w:p>
        </w:tc>
        <w:tc>
          <w:tcPr>
            <w:tcW w:w="956" w:type="dxa"/>
            <w:tcBorders>
              <w:top w:val="nil"/>
              <w:left w:val="nil"/>
              <w:bottom w:val="single" w:sz="4" w:space="0" w:color="auto"/>
              <w:right w:val="single" w:sz="4" w:space="0" w:color="auto"/>
            </w:tcBorders>
            <w:shd w:val="clear" w:color="auto" w:fill="auto"/>
            <w:vAlign w:val="center"/>
            <w:hideMark/>
          </w:tcPr>
          <w:p w14:paraId="322BBF38"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95,5</w:t>
            </w:r>
          </w:p>
        </w:tc>
      </w:tr>
      <w:tr w:rsidR="00D847F2" w:rsidRPr="003648DA" w14:paraId="46B3D1ED"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64228F3"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Prispevek za zaposlovanje</w:t>
            </w:r>
          </w:p>
        </w:tc>
        <w:tc>
          <w:tcPr>
            <w:tcW w:w="1219" w:type="dxa"/>
            <w:tcBorders>
              <w:top w:val="nil"/>
              <w:left w:val="nil"/>
              <w:bottom w:val="single" w:sz="4" w:space="0" w:color="auto"/>
              <w:right w:val="single" w:sz="4" w:space="0" w:color="auto"/>
            </w:tcBorders>
            <w:shd w:val="clear" w:color="auto" w:fill="auto"/>
            <w:vAlign w:val="center"/>
            <w:hideMark/>
          </w:tcPr>
          <w:p w14:paraId="7329D3A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1.300.300</w:t>
            </w:r>
          </w:p>
        </w:tc>
        <w:tc>
          <w:tcPr>
            <w:tcW w:w="1310" w:type="dxa"/>
            <w:tcBorders>
              <w:top w:val="nil"/>
              <w:left w:val="nil"/>
              <w:bottom w:val="single" w:sz="4" w:space="0" w:color="auto"/>
              <w:right w:val="nil"/>
            </w:tcBorders>
            <w:shd w:val="clear" w:color="auto" w:fill="auto"/>
            <w:vAlign w:val="center"/>
            <w:hideMark/>
          </w:tcPr>
          <w:p w14:paraId="26AABF8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1.148.982</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F81BD7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1.095.378</w:t>
            </w:r>
          </w:p>
        </w:tc>
        <w:tc>
          <w:tcPr>
            <w:tcW w:w="956" w:type="dxa"/>
            <w:tcBorders>
              <w:top w:val="nil"/>
              <w:left w:val="nil"/>
              <w:bottom w:val="single" w:sz="4" w:space="0" w:color="auto"/>
              <w:right w:val="single" w:sz="4" w:space="0" w:color="auto"/>
            </w:tcBorders>
            <w:shd w:val="clear" w:color="auto" w:fill="auto"/>
            <w:vAlign w:val="center"/>
            <w:hideMark/>
          </w:tcPr>
          <w:p w14:paraId="2F4E2C8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88,4</w:t>
            </w:r>
          </w:p>
        </w:tc>
        <w:tc>
          <w:tcPr>
            <w:tcW w:w="1018" w:type="dxa"/>
            <w:tcBorders>
              <w:top w:val="nil"/>
              <w:left w:val="nil"/>
              <w:bottom w:val="single" w:sz="4" w:space="0" w:color="auto"/>
              <w:right w:val="single" w:sz="4" w:space="0" w:color="auto"/>
            </w:tcBorders>
            <w:shd w:val="clear" w:color="auto" w:fill="auto"/>
            <w:vAlign w:val="center"/>
            <w:hideMark/>
          </w:tcPr>
          <w:p w14:paraId="650F677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84,2</w:t>
            </w:r>
          </w:p>
        </w:tc>
        <w:tc>
          <w:tcPr>
            <w:tcW w:w="956" w:type="dxa"/>
            <w:tcBorders>
              <w:top w:val="nil"/>
              <w:left w:val="nil"/>
              <w:bottom w:val="single" w:sz="4" w:space="0" w:color="auto"/>
              <w:right w:val="single" w:sz="4" w:space="0" w:color="auto"/>
            </w:tcBorders>
            <w:shd w:val="clear" w:color="auto" w:fill="auto"/>
            <w:vAlign w:val="center"/>
            <w:hideMark/>
          </w:tcPr>
          <w:p w14:paraId="1B026A4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95,3</w:t>
            </w:r>
          </w:p>
        </w:tc>
      </w:tr>
      <w:tr w:rsidR="00D847F2" w:rsidRPr="003648DA" w14:paraId="6B92556D"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B894A69"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Prispevek za starševsko varstvo</w:t>
            </w:r>
          </w:p>
        </w:tc>
        <w:tc>
          <w:tcPr>
            <w:tcW w:w="1219" w:type="dxa"/>
            <w:tcBorders>
              <w:top w:val="nil"/>
              <w:left w:val="nil"/>
              <w:bottom w:val="single" w:sz="4" w:space="0" w:color="auto"/>
              <w:right w:val="single" w:sz="4" w:space="0" w:color="auto"/>
            </w:tcBorders>
            <w:shd w:val="clear" w:color="auto" w:fill="auto"/>
            <w:vAlign w:val="center"/>
            <w:hideMark/>
          </w:tcPr>
          <w:p w14:paraId="5CF88BC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1.389.023</w:t>
            </w:r>
          </w:p>
        </w:tc>
        <w:tc>
          <w:tcPr>
            <w:tcW w:w="1310" w:type="dxa"/>
            <w:tcBorders>
              <w:top w:val="nil"/>
              <w:left w:val="nil"/>
              <w:bottom w:val="single" w:sz="4" w:space="0" w:color="auto"/>
              <w:right w:val="nil"/>
            </w:tcBorders>
            <w:shd w:val="clear" w:color="auto" w:fill="auto"/>
            <w:vAlign w:val="center"/>
            <w:hideMark/>
          </w:tcPr>
          <w:p w14:paraId="4616AE2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1.241.958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6F23E0B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1.200.520</w:t>
            </w:r>
          </w:p>
        </w:tc>
        <w:tc>
          <w:tcPr>
            <w:tcW w:w="956" w:type="dxa"/>
            <w:tcBorders>
              <w:top w:val="nil"/>
              <w:left w:val="nil"/>
              <w:bottom w:val="single" w:sz="4" w:space="0" w:color="auto"/>
              <w:right w:val="single" w:sz="4" w:space="0" w:color="auto"/>
            </w:tcBorders>
            <w:shd w:val="clear" w:color="auto" w:fill="auto"/>
            <w:vAlign w:val="center"/>
            <w:hideMark/>
          </w:tcPr>
          <w:p w14:paraId="4E7192F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89,4</w:t>
            </w:r>
          </w:p>
        </w:tc>
        <w:tc>
          <w:tcPr>
            <w:tcW w:w="1018" w:type="dxa"/>
            <w:tcBorders>
              <w:top w:val="nil"/>
              <w:left w:val="nil"/>
              <w:bottom w:val="single" w:sz="4" w:space="0" w:color="auto"/>
              <w:right w:val="single" w:sz="4" w:space="0" w:color="auto"/>
            </w:tcBorders>
            <w:shd w:val="clear" w:color="auto" w:fill="auto"/>
            <w:vAlign w:val="center"/>
            <w:hideMark/>
          </w:tcPr>
          <w:p w14:paraId="761F111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86,4</w:t>
            </w:r>
          </w:p>
        </w:tc>
        <w:tc>
          <w:tcPr>
            <w:tcW w:w="956" w:type="dxa"/>
            <w:tcBorders>
              <w:top w:val="nil"/>
              <w:left w:val="nil"/>
              <w:bottom w:val="single" w:sz="4" w:space="0" w:color="auto"/>
              <w:right w:val="single" w:sz="4" w:space="0" w:color="auto"/>
            </w:tcBorders>
            <w:shd w:val="clear" w:color="auto" w:fill="auto"/>
            <w:vAlign w:val="center"/>
            <w:hideMark/>
          </w:tcPr>
          <w:p w14:paraId="20E0CFD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96,7</w:t>
            </w:r>
          </w:p>
        </w:tc>
      </w:tr>
      <w:tr w:rsidR="00D847F2" w:rsidRPr="003648DA" w14:paraId="2B582C53" w14:textId="77777777" w:rsidTr="00556699">
        <w:trPr>
          <w:trHeight w:val="357"/>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7E42D22"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Prispevki za pokojninsko in invalidsko zavarovanje</w:t>
            </w:r>
          </w:p>
        </w:tc>
        <w:tc>
          <w:tcPr>
            <w:tcW w:w="1219" w:type="dxa"/>
            <w:tcBorders>
              <w:top w:val="nil"/>
              <w:left w:val="nil"/>
              <w:bottom w:val="single" w:sz="4" w:space="0" w:color="auto"/>
              <w:right w:val="single" w:sz="4" w:space="0" w:color="auto"/>
            </w:tcBorders>
            <w:shd w:val="clear" w:color="auto" w:fill="auto"/>
            <w:vAlign w:val="center"/>
            <w:hideMark/>
          </w:tcPr>
          <w:p w14:paraId="37A458F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186.216.158</w:t>
            </w:r>
          </w:p>
        </w:tc>
        <w:tc>
          <w:tcPr>
            <w:tcW w:w="1310" w:type="dxa"/>
            <w:tcBorders>
              <w:top w:val="nil"/>
              <w:left w:val="nil"/>
              <w:bottom w:val="single" w:sz="4" w:space="0" w:color="auto"/>
              <w:right w:val="nil"/>
            </w:tcBorders>
            <w:shd w:val="clear" w:color="auto" w:fill="auto"/>
            <w:vAlign w:val="center"/>
            <w:hideMark/>
          </w:tcPr>
          <w:p w14:paraId="36F650A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177.181.046</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281DF3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168.735.578</w:t>
            </w:r>
          </w:p>
        </w:tc>
        <w:tc>
          <w:tcPr>
            <w:tcW w:w="956" w:type="dxa"/>
            <w:tcBorders>
              <w:top w:val="nil"/>
              <w:left w:val="nil"/>
              <w:bottom w:val="single" w:sz="4" w:space="0" w:color="auto"/>
              <w:right w:val="single" w:sz="4" w:space="0" w:color="auto"/>
            </w:tcBorders>
            <w:shd w:val="clear" w:color="auto" w:fill="auto"/>
            <w:vAlign w:val="center"/>
            <w:hideMark/>
          </w:tcPr>
          <w:p w14:paraId="6B5DA0D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95,1</w:t>
            </w:r>
          </w:p>
        </w:tc>
        <w:tc>
          <w:tcPr>
            <w:tcW w:w="1018" w:type="dxa"/>
            <w:tcBorders>
              <w:top w:val="nil"/>
              <w:left w:val="nil"/>
              <w:bottom w:val="single" w:sz="4" w:space="0" w:color="auto"/>
              <w:right w:val="single" w:sz="4" w:space="0" w:color="auto"/>
            </w:tcBorders>
            <w:shd w:val="clear" w:color="auto" w:fill="auto"/>
            <w:vAlign w:val="center"/>
            <w:hideMark/>
          </w:tcPr>
          <w:p w14:paraId="01F1349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90,6</w:t>
            </w:r>
          </w:p>
        </w:tc>
        <w:tc>
          <w:tcPr>
            <w:tcW w:w="956" w:type="dxa"/>
            <w:tcBorders>
              <w:top w:val="nil"/>
              <w:left w:val="nil"/>
              <w:bottom w:val="single" w:sz="4" w:space="0" w:color="auto"/>
              <w:right w:val="single" w:sz="4" w:space="0" w:color="auto"/>
            </w:tcBorders>
            <w:shd w:val="clear" w:color="auto" w:fill="auto"/>
            <w:vAlign w:val="center"/>
            <w:hideMark/>
          </w:tcPr>
          <w:p w14:paraId="1D7BA43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95,2</w:t>
            </w:r>
          </w:p>
        </w:tc>
      </w:tr>
      <w:tr w:rsidR="00D847F2" w:rsidRPr="003648DA" w14:paraId="5C4BBD79"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0A9422B"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Prispevki za zdravstveno zavarovanje</w:t>
            </w:r>
          </w:p>
        </w:tc>
        <w:tc>
          <w:tcPr>
            <w:tcW w:w="1219" w:type="dxa"/>
            <w:tcBorders>
              <w:top w:val="nil"/>
              <w:left w:val="nil"/>
              <w:bottom w:val="single" w:sz="4" w:space="0" w:color="auto"/>
              <w:right w:val="single" w:sz="4" w:space="0" w:color="auto"/>
            </w:tcBorders>
            <w:shd w:val="clear" w:color="auto" w:fill="auto"/>
            <w:vAlign w:val="center"/>
            <w:hideMark/>
          </w:tcPr>
          <w:p w14:paraId="285C598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92.598.980</w:t>
            </w:r>
          </w:p>
        </w:tc>
        <w:tc>
          <w:tcPr>
            <w:tcW w:w="1310" w:type="dxa"/>
            <w:tcBorders>
              <w:top w:val="nil"/>
              <w:left w:val="nil"/>
              <w:bottom w:val="single" w:sz="4" w:space="0" w:color="auto"/>
              <w:right w:val="nil"/>
            </w:tcBorders>
            <w:shd w:val="clear" w:color="auto" w:fill="auto"/>
            <w:vAlign w:val="center"/>
            <w:hideMark/>
          </w:tcPr>
          <w:p w14:paraId="79E3EEF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87.990.554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3852EF1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84.511.451</w:t>
            </w:r>
          </w:p>
        </w:tc>
        <w:tc>
          <w:tcPr>
            <w:tcW w:w="956" w:type="dxa"/>
            <w:tcBorders>
              <w:top w:val="nil"/>
              <w:left w:val="nil"/>
              <w:bottom w:val="single" w:sz="4" w:space="0" w:color="auto"/>
              <w:right w:val="single" w:sz="4" w:space="0" w:color="auto"/>
            </w:tcBorders>
            <w:shd w:val="clear" w:color="auto" w:fill="auto"/>
            <w:vAlign w:val="center"/>
            <w:hideMark/>
          </w:tcPr>
          <w:p w14:paraId="60AB274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95,0</w:t>
            </w:r>
          </w:p>
        </w:tc>
        <w:tc>
          <w:tcPr>
            <w:tcW w:w="1018" w:type="dxa"/>
            <w:tcBorders>
              <w:top w:val="nil"/>
              <w:left w:val="nil"/>
              <w:bottom w:val="single" w:sz="4" w:space="0" w:color="auto"/>
              <w:right w:val="single" w:sz="4" w:space="0" w:color="auto"/>
            </w:tcBorders>
            <w:shd w:val="clear" w:color="auto" w:fill="auto"/>
            <w:vAlign w:val="center"/>
            <w:hideMark/>
          </w:tcPr>
          <w:p w14:paraId="210F04D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91,3</w:t>
            </w:r>
          </w:p>
        </w:tc>
        <w:tc>
          <w:tcPr>
            <w:tcW w:w="956" w:type="dxa"/>
            <w:tcBorders>
              <w:top w:val="nil"/>
              <w:left w:val="nil"/>
              <w:bottom w:val="single" w:sz="4" w:space="0" w:color="auto"/>
              <w:right w:val="single" w:sz="4" w:space="0" w:color="auto"/>
            </w:tcBorders>
            <w:shd w:val="clear" w:color="auto" w:fill="auto"/>
            <w:vAlign w:val="center"/>
            <w:hideMark/>
          </w:tcPr>
          <w:p w14:paraId="583AA15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96,0</w:t>
            </w:r>
          </w:p>
        </w:tc>
      </w:tr>
      <w:tr w:rsidR="00D847F2" w:rsidRPr="003648DA" w14:paraId="4A721136" w14:textId="77777777" w:rsidTr="00556699">
        <w:trPr>
          <w:trHeight w:val="383"/>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0B0C05E"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DAVKI NA PLAČILNO LISTO IN DELOVNO SILO</w:t>
            </w:r>
          </w:p>
        </w:tc>
        <w:tc>
          <w:tcPr>
            <w:tcW w:w="1219" w:type="dxa"/>
            <w:tcBorders>
              <w:top w:val="nil"/>
              <w:left w:val="nil"/>
              <w:bottom w:val="single" w:sz="4" w:space="0" w:color="auto"/>
              <w:right w:val="single" w:sz="4" w:space="0" w:color="auto"/>
            </w:tcBorders>
            <w:shd w:val="clear" w:color="auto" w:fill="auto"/>
            <w:vAlign w:val="center"/>
            <w:hideMark/>
          </w:tcPr>
          <w:p w14:paraId="77D0C83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436.601</w:t>
            </w:r>
          </w:p>
        </w:tc>
        <w:tc>
          <w:tcPr>
            <w:tcW w:w="1310" w:type="dxa"/>
            <w:tcBorders>
              <w:top w:val="nil"/>
              <w:left w:val="nil"/>
              <w:bottom w:val="single" w:sz="4" w:space="0" w:color="auto"/>
              <w:right w:val="nil"/>
            </w:tcBorders>
            <w:shd w:val="clear" w:color="auto" w:fill="auto"/>
            <w:vAlign w:val="center"/>
            <w:hideMark/>
          </w:tcPr>
          <w:p w14:paraId="1F9CC4D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366.744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5C371E4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346.454</w:t>
            </w:r>
          </w:p>
        </w:tc>
        <w:tc>
          <w:tcPr>
            <w:tcW w:w="956" w:type="dxa"/>
            <w:tcBorders>
              <w:top w:val="nil"/>
              <w:left w:val="nil"/>
              <w:bottom w:val="single" w:sz="4" w:space="0" w:color="auto"/>
              <w:right w:val="single" w:sz="4" w:space="0" w:color="auto"/>
            </w:tcBorders>
            <w:shd w:val="clear" w:color="auto" w:fill="auto"/>
            <w:vAlign w:val="center"/>
            <w:hideMark/>
          </w:tcPr>
          <w:p w14:paraId="499164E8"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84,0</w:t>
            </w:r>
          </w:p>
        </w:tc>
        <w:tc>
          <w:tcPr>
            <w:tcW w:w="1018" w:type="dxa"/>
            <w:tcBorders>
              <w:top w:val="nil"/>
              <w:left w:val="nil"/>
              <w:bottom w:val="single" w:sz="4" w:space="0" w:color="auto"/>
              <w:right w:val="single" w:sz="4" w:space="0" w:color="auto"/>
            </w:tcBorders>
            <w:shd w:val="clear" w:color="auto" w:fill="auto"/>
            <w:vAlign w:val="center"/>
            <w:hideMark/>
          </w:tcPr>
          <w:p w14:paraId="69D8ED53"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79,4</w:t>
            </w:r>
          </w:p>
        </w:tc>
        <w:tc>
          <w:tcPr>
            <w:tcW w:w="956" w:type="dxa"/>
            <w:tcBorders>
              <w:top w:val="nil"/>
              <w:left w:val="nil"/>
              <w:bottom w:val="single" w:sz="4" w:space="0" w:color="auto"/>
              <w:right w:val="single" w:sz="4" w:space="0" w:color="auto"/>
            </w:tcBorders>
            <w:shd w:val="clear" w:color="auto" w:fill="auto"/>
            <w:vAlign w:val="center"/>
            <w:hideMark/>
          </w:tcPr>
          <w:p w14:paraId="4215693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94,5</w:t>
            </w:r>
          </w:p>
        </w:tc>
      </w:tr>
      <w:tr w:rsidR="00D847F2" w:rsidRPr="003648DA" w14:paraId="5303C628"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50B213B"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Posebni davek na določene prejemke</w:t>
            </w:r>
          </w:p>
        </w:tc>
        <w:tc>
          <w:tcPr>
            <w:tcW w:w="1219" w:type="dxa"/>
            <w:tcBorders>
              <w:top w:val="nil"/>
              <w:left w:val="nil"/>
              <w:bottom w:val="single" w:sz="4" w:space="0" w:color="auto"/>
              <w:right w:val="single" w:sz="4" w:space="0" w:color="auto"/>
            </w:tcBorders>
            <w:shd w:val="clear" w:color="auto" w:fill="auto"/>
            <w:vAlign w:val="center"/>
            <w:hideMark/>
          </w:tcPr>
          <w:p w14:paraId="67069B6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436.601</w:t>
            </w:r>
          </w:p>
        </w:tc>
        <w:tc>
          <w:tcPr>
            <w:tcW w:w="1310" w:type="dxa"/>
            <w:tcBorders>
              <w:top w:val="nil"/>
              <w:left w:val="nil"/>
              <w:bottom w:val="single" w:sz="4" w:space="0" w:color="auto"/>
              <w:right w:val="nil"/>
            </w:tcBorders>
            <w:shd w:val="clear" w:color="auto" w:fill="auto"/>
            <w:vAlign w:val="center"/>
            <w:hideMark/>
          </w:tcPr>
          <w:p w14:paraId="038425B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366.744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FA6D36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346.454</w:t>
            </w:r>
          </w:p>
        </w:tc>
        <w:tc>
          <w:tcPr>
            <w:tcW w:w="956" w:type="dxa"/>
            <w:tcBorders>
              <w:top w:val="nil"/>
              <w:left w:val="nil"/>
              <w:bottom w:val="single" w:sz="4" w:space="0" w:color="auto"/>
              <w:right w:val="single" w:sz="4" w:space="0" w:color="auto"/>
            </w:tcBorders>
            <w:shd w:val="clear" w:color="auto" w:fill="auto"/>
            <w:vAlign w:val="center"/>
            <w:hideMark/>
          </w:tcPr>
          <w:p w14:paraId="3E085FD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84,0</w:t>
            </w:r>
          </w:p>
        </w:tc>
        <w:tc>
          <w:tcPr>
            <w:tcW w:w="1018" w:type="dxa"/>
            <w:tcBorders>
              <w:top w:val="nil"/>
              <w:left w:val="nil"/>
              <w:bottom w:val="single" w:sz="4" w:space="0" w:color="auto"/>
              <w:right w:val="single" w:sz="4" w:space="0" w:color="auto"/>
            </w:tcBorders>
            <w:shd w:val="clear" w:color="auto" w:fill="auto"/>
            <w:vAlign w:val="center"/>
            <w:hideMark/>
          </w:tcPr>
          <w:p w14:paraId="6252BED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79,4</w:t>
            </w:r>
          </w:p>
        </w:tc>
        <w:tc>
          <w:tcPr>
            <w:tcW w:w="956" w:type="dxa"/>
            <w:tcBorders>
              <w:top w:val="nil"/>
              <w:left w:val="nil"/>
              <w:bottom w:val="single" w:sz="4" w:space="0" w:color="auto"/>
              <w:right w:val="single" w:sz="4" w:space="0" w:color="auto"/>
            </w:tcBorders>
            <w:shd w:val="clear" w:color="auto" w:fill="auto"/>
            <w:vAlign w:val="center"/>
            <w:hideMark/>
          </w:tcPr>
          <w:p w14:paraId="1B70D76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94,5</w:t>
            </w:r>
          </w:p>
        </w:tc>
      </w:tr>
      <w:tr w:rsidR="00D847F2" w:rsidRPr="003648DA" w14:paraId="74377787"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2D5DA86"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DAVKI NA PREMOŽENJE</w:t>
            </w:r>
          </w:p>
        </w:tc>
        <w:tc>
          <w:tcPr>
            <w:tcW w:w="1219" w:type="dxa"/>
            <w:tcBorders>
              <w:top w:val="nil"/>
              <w:left w:val="nil"/>
              <w:bottom w:val="single" w:sz="4" w:space="0" w:color="auto"/>
              <w:right w:val="single" w:sz="4" w:space="0" w:color="auto"/>
            </w:tcBorders>
            <w:shd w:val="clear" w:color="auto" w:fill="auto"/>
            <w:vAlign w:val="center"/>
            <w:hideMark/>
          </w:tcPr>
          <w:p w14:paraId="712D3964"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30.815.637</w:t>
            </w:r>
          </w:p>
        </w:tc>
        <w:tc>
          <w:tcPr>
            <w:tcW w:w="1310" w:type="dxa"/>
            <w:tcBorders>
              <w:top w:val="nil"/>
              <w:left w:val="nil"/>
              <w:bottom w:val="single" w:sz="4" w:space="0" w:color="auto"/>
              <w:right w:val="nil"/>
            </w:tcBorders>
            <w:shd w:val="clear" w:color="auto" w:fill="auto"/>
            <w:vAlign w:val="center"/>
            <w:hideMark/>
          </w:tcPr>
          <w:p w14:paraId="6EFFB50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27.453.928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62D19A2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23.445.583</w:t>
            </w:r>
          </w:p>
        </w:tc>
        <w:tc>
          <w:tcPr>
            <w:tcW w:w="956" w:type="dxa"/>
            <w:tcBorders>
              <w:top w:val="nil"/>
              <w:left w:val="nil"/>
              <w:bottom w:val="single" w:sz="4" w:space="0" w:color="auto"/>
              <w:right w:val="single" w:sz="4" w:space="0" w:color="auto"/>
            </w:tcBorders>
            <w:shd w:val="clear" w:color="auto" w:fill="auto"/>
            <w:vAlign w:val="center"/>
            <w:hideMark/>
          </w:tcPr>
          <w:p w14:paraId="1E13895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89,1</w:t>
            </w:r>
          </w:p>
        </w:tc>
        <w:tc>
          <w:tcPr>
            <w:tcW w:w="1018" w:type="dxa"/>
            <w:tcBorders>
              <w:top w:val="nil"/>
              <w:left w:val="nil"/>
              <w:bottom w:val="single" w:sz="4" w:space="0" w:color="auto"/>
              <w:right w:val="single" w:sz="4" w:space="0" w:color="auto"/>
            </w:tcBorders>
            <w:shd w:val="clear" w:color="auto" w:fill="auto"/>
            <w:vAlign w:val="center"/>
            <w:hideMark/>
          </w:tcPr>
          <w:p w14:paraId="6E886070"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76,1</w:t>
            </w:r>
          </w:p>
        </w:tc>
        <w:tc>
          <w:tcPr>
            <w:tcW w:w="956" w:type="dxa"/>
            <w:tcBorders>
              <w:top w:val="nil"/>
              <w:left w:val="nil"/>
              <w:bottom w:val="single" w:sz="4" w:space="0" w:color="auto"/>
              <w:right w:val="single" w:sz="4" w:space="0" w:color="auto"/>
            </w:tcBorders>
            <w:shd w:val="clear" w:color="auto" w:fill="auto"/>
            <w:vAlign w:val="center"/>
            <w:hideMark/>
          </w:tcPr>
          <w:p w14:paraId="00E88B5F"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85,4</w:t>
            </w:r>
          </w:p>
        </w:tc>
      </w:tr>
      <w:tr w:rsidR="00D847F2" w:rsidRPr="003648DA" w14:paraId="675BF646"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EF162D8"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Davki na nepremičnine</w:t>
            </w:r>
          </w:p>
        </w:tc>
        <w:tc>
          <w:tcPr>
            <w:tcW w:w="1219" w:type="dxa"/>
            <w:tcBorders>
              <w:top w:val="nil"/>
              <w:left w:val="nil"/>
              <w:bottom w:val="single" w:sz="4" w:space="0" w:color="auto"/>
              <w:right w:val="single" w:sz="4" w:space="0" w:color="auto"/>
            </w:tcBorders>
            <w:shd w:val="clear" w:color="auto" w:fill="auto"/>
            <w:vAlign w:val="center"/>
            <w:hideMark/>
          </w:tcPr>
          <w:p w14:paraId="5D69AD9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28.217.442</w:t>
            </w:r>
          </w:p>
        </w:tc>
        <w:tc>
          <w:tcPr>
            <w:tcW w:w="1310" w:type="dxa"/>
            <w:tcBorders>
              <w:top w:val="nil"/>
              <w:left w:val="nil"/>
              <w:bottom w:val="single" w:sz="4" w:space="0" w:color="auto"/>
              <w:right w:val="nil"/>
            </w:tcBorders>
            <w:shd w:val="clear" w:color="auto" w:fill="auto"/>
            <w:vAlign w:val="center"/>
            <w:hideMark/>
          </w:tcPr>
          <w:p w14:paraId="3A3571B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24.796.668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F59517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20.991.239</w:t>
            </w:r>
          </w:p>
        </w:tc>
        <w:tc>
          <w:tcPr>
            <w:tcW w:w="956" w:type="dxa"/>
            <w:tcBorders>
              <w:top w:val="nil"/>
              <w:left w:val="nil"/>
              <w:bottom w:val="single" w:sz="4" w:space="0" w:color="auto"/>
              <w:right w:val="single" w:sz="4" w:space="0" w:color="auto"/>
            </w:tcBorders>
            <w:shd w:val="clear" w:color="auto" w:fill="auto"/>
            <w:vAlign w:val="center"/>
            <w:hideMark/>
          </w:tcPr>
          <w:p w14:paraId="10978BC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87,9</w:t>
            </w:r>
          </w:p>
        </w:tc>
        <w:tc>
          <w:tcPr>
            <w:tcW w:w="1018" w:type="dxa"/>
            <w:tcBorders>
              <w:top w:val="nil"/>
              <w:left w:val="nil"/>
              <w:bottom w:val="single" w:sz="4" w:space="0" w:color="auto"/>
              <w:right w:val="single" w:sz="4" w:space="0" w:color="auto"/>
            </w:tcBorders>
            <w:shd w:val="clear" w:color="auto" w:fill="auto"/>
            <w:vAlign w:val="center"/>
            <w:hideMark/>
          </w:tcPr>
          <w:p w14:paraId="20DA8F6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74,4</w:t>
            </w:r>
          </w:p>
        </w:tc>
        <w:tc>
          <w:tcPr>
            <w:tcW w:w="956" w:type="dxa"/>
            <w:tcBorders>
              <w:top w:val="nil"/>
              <w:left w:val="nil"/>
              <w:bottom w:val="single" w:sz="4" w:space="0" w:color="auto"/>
              <w:right w:val="single" w:sz="4" w:space="0" w:color="auto"/>
            </w:tcBorders>
            <w:shd w:val="clear" w:color="auto" w:fill="auto"/>
            <w:vAlign w:val="center"/>
            <w:hideMark/>
          </w:tcPr>
          <w:p w14:paraId="7BBB9BF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84,7</w:t>
            </w:r>
          </w:p>
        </w:tc>
      </w:tr>
      <w:tr w:rsidR="00D847F2" w:rsidRPr="003648DA" w14:paraId="72F58ACF"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E03D2A4"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Davki na premičnine</w:t>
            </w:r>
          </w:p>
        </w:tc>
        <w:tc>
          <w:tcPr>
            <w:tcW w:w="1219" w:type="dxa"/>
            <w:tcBorders>
              <w:top w:val="nil"/>
              <w:left w:val="nil"/>
              <w:bottom w:val="single" w:sz="4" w:space="0" w:color="auto"/>
              <w:right w:val="single" w:sz="4" w:space="0" w:color="auto"/>
            </w:tcBorders>
            <w:shd w:val="clear" w:color="auto" w:fill="auto"/>
            <w:vAlign w:val="center"/>
            <w:hideMark/>
          </w:tcPr>
          <w:p w14:paraId="03B4B70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52.235</w:t>
            </w:r>
          </w:p>
        </w:tc>
        <w:tc>
          <w:tcPr>
            <w:tcW w:w="1310" w:type="dxa"/>
            <w:tcBorders>
              <w:top w:val="nil"/>
              <w:left w:val="nil"/>
              <w:bottom w:val="single" w:sz="4" w:space="0" w:color="auto"/>
              <w:right w:val="nil"/>
            </w:tcBorders>
            <w:shd w:val="clear" w:color="auto" w:fill="auto"/>
            <w:vAlign w:val="center"/>
            <w:hideMark/>
          </w:tcPr>
          <w:p w14:paraId="46DEF63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47.941</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2977D6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42.492</w:t>
            </w:r>
          </w:p>
        </w:tc>
        <w:tc>
          <w:tcPr>
            <w:tcW w:w="956" w:type="dxa"/>
            <w:tcBorders>
              <w:top w:val="nil"/>
              <w:left w:val="nil"/>
              <w:bottom w:val="single" w:sz="4" w:space="0" w:color="auto"/>
              <w:right w:val="single" w:sz="4" w:space="0" w:color="auto"/>
            </w:tcBorders>
            <w:shd w:val="clear" w:color="auto" w:fill="auto"/>
            <w:vAlign w:val="center"/>
            <w:hideMark/>
          </w:tcPr>
          <w:p w14:paraId="38B3D7A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91,8</w:t>
            </w:r>
          </w:p>
        </w:tc>
        <w:tc>
          <w:tcPr>
            <w:tcW w:w="1018" w:type="dxa"/>
            <w:tcBorders>
              <w:top w:val="nil"/>
              <w:left w:val="nil"/>
              <w:bottom w:val="single" w:sz="4" w:space="0" w:color="auto"/>
              <w:right w:val="single" w:sz="4" w:space="0" w:color="auto"/>
            </w:tcBorders>
            <w:shd w:val="clear" w:color="auto" w:fill="auto"/>
            <w:vAlign w:val="center"/>
            <w:hideMark/>
          </w:tcPr>
          <w:p w14:paraId="6665E54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81,3</w:t>
            </w:r>
          </w:p>
        </w:tc>
        <w:tc>
          <w:tcPr>
            <w:tcW w:w="956" w:type="dxa"/>
            <w:tcBorders>
              <w:top w:val="nil"/>
              <w:left w:val="nil"/>
              <w:bottom w:val="single" w:sz="4" w:space="0" w:color="auto"/>
              <w:right w:val="single" w:sz="4" w:space="0" w:color="auto"/>
            </w:tcBorders>
            <w:shd w:val="clear" w:color="auto" w:fill="auto"/>
            <w:vAlign w:val="center"/>
            <w:hideMark/>
          </w:tcPr>
          <w:p w14:paraId="6E19E86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88,6</w:t>
            </w:r>
          </w:p>
        </w:tc>
      </w:tr>
      <w:tr w:rsidR="00D847F2" w:rsidRPr="003648DA" w14:paraId="5E78DD53"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0DB2DD8"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Davki na dediščine in darila</w:t>
            </w:r>
          </w:p>
        </w:tc>
        <w:tc>
          <w:tcPr>
            <w:tcW w:w="1219" w:type="dxa"/>
            <w:tcBorders>
              <w:top w:val="nil"/>
              <w:left w:val="nil"/>
              <w:bottom w:val="single" w:sz="4" w:space="0" w:color="auto"/>
              <w:right w:val="single" w:sz="4" w:space="0" w:color="auto"/>
            </w:tcBorders>
            <w:shd w:val="clear" w:color="auto" w:fill="auto"/>
            <w:vAlign w:val="center"/>
            <w:hideMark/>
          </w:tcPr>
          <w:p w14:paraId="037AA10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2.130.804</w:t>
            </w:r>
          </w:p>
        </w:tc>
        <w:tc>
          <w:tcPr>
            <w:tcW w:w="1310" w:type="dxa"/>
            <w:tcBorders>
              <w:top w:val="nil"/>
              <w:left w:val="nil"/>
              <w:bottom w:val="single" w:sz="4" w:space="0" w:color="auto"/>
              <w:right w:val="nil"/>
            </w:tcBorders>
            <w:shd w:val="clear" w:color="auto" w:fill="auto"/>
            <w:vAlign w:val="center"/>
            <w:hideMark/>
          </w:tcPr>
          <w:p w14:paraId="1280FA3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2.142.855</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90BD3F0"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2.041.549</w:t>
            </w:r>
          </w:p>
        </w:tc>
        <w:tc>
          <w:tcPr>
            <w:tcW w:w="956" w:type="dxa"/>
            <w:tcBorders>
              <w:top w:val="nil"/>
              <w:left w:val="nil"/>
              <w:bottom w:val="single" w:sz="4" w:space="0" w:color="auto"/>
              <w:right w:val="single" w:sz="4" w:space="0" w:color="auto"/>
            </w:tcBorders>
            <w:shd w:val="clear" w:color="auto" w:fill="auto"/>
            <w:vAlign w:val="center"/>
            <w:hideMark/>
          </w:tcPr>
          <w:p w14:paraId="55CE94B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100,6</w:t>
            </w:r>
          </w:p>
        </w:tc>
        <w:tc>
          <w:tcPr>
            <w:tcW w:w="1018" w:type="dxa"/>
            <w:tcBorders>
              <w:top w:val="nil"/>
              <w:left w:val="nil"/>
              <w:bottom w:val="single" w:sz="4" w:space="0" w:color="auto"/>
              <w:right w:val="single" w:sz="4" w:space="0" w:color="auto"/>
            </w:tcBorders>
            <w:shd w:val="clear" w:color="auto" w:fill="auto"/>
            <w:vAlign w:val="center"/>
            <w:hideMark/>
          </w:tcPr>
          <w:p w14:paraId="712C64D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95,8</w:t>
            </w:r>
          </w:p>
        </w:tc>
        <w:tc>
          <w:tcPr>
            <w:tcW w:w="956" w:type="dxa"/>
            <w:tcBorders>
              <w:top w:val="nil"/>
              <w:left w:val="nil"/>
              <w:bottom w:val="single" w:sz="4" w:space="0" w:color="auto"/>
              <w:right w:val="single" w:sz="4" w:space="0" w:color="auto"/>
            </w:tcBorders>
            <w:shd w:val="clear" w:color="auto" w:fill="auto"/>
            <w:vAlign w:val="center"/>
            <w:hideMark/>
          </w:tcPr>
          <w:p w14:paraId="4F25213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95,3</w:t>
            </w:r>
          </w:p>
        </w:tc>
      </w:tr>
      <w:tr w:rsidR="00D847F2" w:rsidRPr="003648DA" w14:paraId="028177B1"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DCFB3E2"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Davek na promet nepremičnin</w:t>
            </w:r>
          </w:p>
        </w:tc>
        <w:tc>
          <w:tcPr>
            <w:tcW w:w="1219" w:type="dxa"/>
            <w:tcBorders>
              <w:top w:val="nil"/>
              <w:left w:val="nil"/>
              <w:bottom w:val="single" w:sz="4" w:space="0" w:color="auto"/>
              <w:right w:val="single" w:sz="4" w:space="0" w:color="auto"/>
            </w:tcBorders>
            <w:shd w:val="clear" w:color="auto" w:fill="auto"/>
            <w:vAlign w:val="center"/>
            <w:hideMark/>
          </w:tcPr>
          <w:p w14:paraId="0434D32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415.156</w:t>
            </w:r>
          </w:p>
        </w:tc>
        <w:tc>
          <w:tcPr>
            <w:tcW w:w="1310" w:type="dxa"/>
            <w:tcBorders>
              <w:top w:val="nil"/>
              <w:left w:val="nil"/>
              <w:bottom w:val="single" w:sz="4" w:space="0" w:color="auto"/>
              <w:right w:val="nil"/>
            </w:tcBorders>
            <w:shd w:val="clear" w:color="auto" w:fill="auto"/>
            <w:vAlign w:val="center"/>
            <w:hideMark/>
          </w:tcPr>
          <w:p w14:paraId="7996124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466.464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0D49139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370.303</w:t>
            </w:r>
          </w:p>
        </w:tc>
        <w:tc>
          <w:tcPr>
            <w:tcW w:w="956" w:type="dxa"/>
            <w:tcBorders>
              <w:top w:val="nil"/>
              <w:left w:val="nil"/>
              <w:bottom w:val="single" w:sz="4" w:space="0" w:color="auto"/>
              <w:right w:val="single" w:sz="4" w:space="0" w:color="auto"/>
            </w:tcBorders>
            <w:shd w:val="clear" w:color="auto" w:fill="auto"/>
            <w:vAlign w:val="center"/>
            <w:hideMark/>
          </w:tcPr>
          <w:p w14:paraId="4780D52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0,0</w:t>
            </w:r>
          </w:p>
        </w:tc>
        <w:tc>
          <w:tcPr>
            <w:tcW w:w="1018" w:type="dxa"/>
            <w:tcBorders>
              <w:top w:val="nil"/>
              <w:left w:val="nil"/>
              <w:bottom w:val="single" w:sz="4" w:space="0" w:color="auto"/>
              <w:right w:val="single" w:sz="4" w:space="0" w:color="auto"/>
            </w:tcBorders>
            <w:shd w:val="clear" w:color="auto" w:fill="auto"/>
            <w:vAlign w:val="center"/>
            <w:hideMark/>
          </w:tcPr>
          <w:p w14:paraId="347D2DF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0,0</w:t>
            </w:r>
          </w:p>
        </w:tc>
        <w:tc>
          <w:tcPr>
            <w:tcW w:w="956" w:type="dxa"/>
            <w:tcBorders>
              <w:top w:val="nil"/>
              <w:left w:val="nil"/>
              <w:bottom w:val="single" w:sz="4" w:space="0" w:color="auto"/>
              <w:right w:val="single" w:sz="4" w:space="0" w:color="auto"/>
            </w:tcBorders>
            <w:shd w:val="clear" w:color="auto" w:fill="auto"/>
            <w:vAlign w:val="center"/>
            <w:hideMark/>
          </w:tcPr>
          <w:p w14:paraId="4158B0B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0,0</w:t>
            </w:r>
          </w:p>
        </w:tc>
      </w:tr>
      <w:tr w:rsidR="00D847F2" w:rsidRPr="003648DA" w14:paraId="6F9F1740" w14:textId="77777777" w:rsidTr="00556699">
        <w:trPr>
          <w:trHeight w:val="383"/>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BD96EC8"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DOMAČI DAVKI NA BLAGO IN STORITVE</w:t>
            </w:r>
          </w:p>
        </w:tc>
        <w:tc>
          <w:tcPr>
            <w:tcW w:w="1219" w:type="dxa"/>
            <w:tcBorders>
              <w:top w:val="nil"/>
              <w:left w:val="nil"/>
              <w:bottom w:val="single" w:sz="4" w:space="0" w:color="auto"/>
              <w:right w:val="single" w:sz="4" w:space="0" w:color="auto"/>
            </w:tcBorders>
            <w:shd w:val="clear" w:color="auto" w:fill="auto"/>
            <w:vAlign w:val="center"/>
            <w:hideMark/>
          </w:tcPr>
          <w:p w14:paraId="1F7BD251"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322.953.980</w:t>
            </w:r>
          </w:p>
        </w:tc>
        <w:tc>
          <w:tcPr>
            <w:tcW w:w="1310" w:type="dxa"/>
            <w:tcBorders>
              <w:top w:val="nil"/>
              <w:left w:val="nil"/>
              <w:bottom w:val="single" w:sz="4" w:space="0" w:color="auto"/>
              <w:right w:val="nil"/>
            </w:tcBorders>
            <w:shd w:val="clear" w:color="auto" w:fill="auto"/>
            <w:vAlign w:val="center"/>
            <w:hideMark/>
          </w:tcPr>
          <w:p w14:paraId="6C4027DE"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308.916.036</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446638F"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301.464.304</w:t>
            </w:r>
          </w:p>
        </w:tc>
        <w:tc>
          <w:tcPr>
            <w:tcW w:w="956" w:type="dxa"/>
            <w:tcBorders>
              <w:top w:val="nil"/>
              <w:left w:val="nil"/>
              <w:bottom w:val="single" w:sz="4" w:space="0" w:color="auto"/>
              <w:right w:val="single" w:sz="4" w:space="0" w:color="auto"/>
            </w:tcBorders>
            <w:shd w:val="clear" w:color="auto" w:fill="auto"/>
            <w:vAlign w:val="center"/>
            <w:hideMark/>
          </w:tcPr>
          <w:p w14:paraId="4B66652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95,7</w:t>
            </w:r>
          </w:p>
        </w:tc>
        <w:tc>
          <w:tcPr>
            <w:tcW w:w="1018" w:type="dxa"/>
            <w:tcBorders>
              <w:top w:val="nil"/>
              <w:left w:val="nil"/>
              <w:bottom w:val="single" w:sz="4" w:space="0" w:color="auto"/>
              <w:right w:val="single" w:sz="4" w:space="0" w:color="auto"/>
            </w:tcBorders>
            <w:shd w:val="clear" w:color="auto" w:fill="auto"/>
            <w:vAlign w:val="center"/>
            <w:hideMark/>
          </w:tcPr>
          <w:p w14:paraId="32435AEA"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93,3</w:t>
            </w:r>
          </w:p>
        </w:tc>
        <w:tc>
          <w:tcPr>
            <w:tcW w:w="956" w:type="dxa"/>
            <w:tcBorders>
              <w:top w:val="nil"/>
              <w:left w:val="nil"/>
              <w:bottom w:val="single" w:sz="4" w:space="0" w:color="auto"/>
              <w:right w:val="single" w:sz="4" w:space="0" w:color="auto"/>
            </w:tcBorders>
            <w:shd w:val="clear" w:color="auto" w:fill="auto"/>
            <w:vAlign w:val="center"/>
            <w:hideMark/>
          </w:tcPr>
          <w:p w14:paraId="5D03A35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97,6</w:t>
            </w:r>
          </w:p>
        </w:tc>
      </w:tr>
      <w:tr w:rsidR="00D847F2" w:rsidRPr="003648DA" w14:paraId="1ECB1FDE"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54BE4BE"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Davek na dodano vrednost</w:t>
            </w:r>
          </w:p>
        </w:tc>
        <w:tc>
          <w:tcPr>
            <w:tcW w:w="1219" w:type="dxa"/>
            <w:tcBorders>
              <w:top w:val="nil"/>
              <w:left w:val="nil"/>
              <w:bottom w:val="single" w:sz="4" w:space="0" w:color="auto"/>
              <w:right w:val="single" w:sz="4" w:space="0" w:color="auto"/>
            </w:tcBorders>
            <w:shd w:val="clear" w:color="auto" w:fill="auto"/>
            <w:vAlign w:val="center"/>
            <w:hideMark/>
          </w:tcPr>
          <w:p w14:paraId="0B93157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317.788.667</w:t>
            </w:r>
          </w:p>
        </w:tc>
        <w:tc>
          <w:tcPr>
            <w:tcW w:w="1310" w:type="dxa"/>
            <w:tcBorders>
              <w:top w:val="nil"/>
              <w:left w:val="nil"/>
              <w:bottom w:val="single" w:sz="4" w:space="0" w:color="auto"/>
              <w:right w:val="nil"/>
            </w:tcBorders>
            <w:shd w:val="clear" w:color="auto" w:fill="auto"/>
            <w:vAlign w:val="center"/>
            <w:hideMark/>
          </w:tcPr>
          <w:p w14:paraId="24ABDBF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304.283.846</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02242C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298.539.342</w:t>
            </w:r>
          </w:p>
        </w:tc>
        <w:tc>
          <w:tcPr>
            <w:tcW w:w="956" w:type="dxa"/>
            <w:tcBorders>
              <w:top w:val="nil"/>
              <w:left w:val="nil"/>
              <w:bottom w:val="single" w:sz="4" w:space="0" w:color="auto"/>
              <w:right w:val="single" w:sz="4" w:space="0" w:color="auto"/>
            </w:tcBorders>
            <w:shd w:val="clear" w:color="auto" w:fill="auto"/>
            <w:vAlign w:val="center"/>
            <w:hideMark/>
          </w:tcPr>
          <w:p w14:paraId="6D67F6D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95,8</w:t>
            </w:r>
          </w:p>
        </w:tc>
        <w:tc>
          <w:tcPr>
            <w:tcW w:w="1018" w:type="dxa"/>
            <w:tcBorders>
              <w:top w:val="nil"/>
              <w:left w:val="nil"/>
              <w:bottom w:val="single" w:sz="4" w:space="0" w:color="auto"/>
              <w:right w:val="single" w:sz="4" w:space="0" w:color="auto"/>
            </w:tcBorders>
            <w:shd w:val="clear" w:color="auto" w:fill="auto"/>
            <w:vAlign w:val="center"/>
            <w:hideMark/>
          </w:tcPr>
          <w:p w14:paraId="4876C68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93,9</w:t>
            </w:r>
          </w:p>
        </w:tc>
        <w:tc>
          <w:tcPr>
            <w:tcW w:w="956" w:type="dxa"/>
            <w:tcBorders>
              <w:top w:val="nil"/>
              <w:left w:val="nil"/>
              <w:bottom w:val="single" w:sz="4" w:space="0" w:color="auto"/>
              <w:right w:val="single" w:sz="4" w:space="0" w:color="auto"/>
            </w:tcBorders>
            <w:shd w:val="clear" w:color="auto" w:fill="auto"/>
            <w:vAlign w:val="center"/>
            <w:hideMark/>
          </w:tcPr>
          <w:p w14:paraId="0FAA996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98,1</w:t>
            </w:r>
          </w:p>
        </w:tc>
      </w:tr>
      <w:tr w:rsidR="00D847F2" w:rsidRPr="003648DA" w14:paraId="40A64FA6"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1924443"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Drugi davki na blago in storitve (CO2)</w:t>
            </w:r>
          </w:p>
        </w:tc>
        <w:tc>
          <w:tcPr>
            <w:tcW w:w="1219" w:type="dxa"/>
            <w:tcBorders>
              <w:top w:val="nil"/>
              <w:left w:val="nil"/>
              <w:bottom w:val="single" w:sz="4" w:space="0" w:color="auto"/>
              <w:right w:val="single" w:sz="4" w:space="0" w:color="auto"/>
            </w:tcBorders>
            <w:shd w:val="clear" w:color="auto" w:fill="auto"/>
            <w:vAlign w:val="center"/>
            <w:hideMark/>
          </w:tcPr>
          <w:p w14:paraId="1351BC8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26.201</w:t>
            </w:r>
          </w:p>
        </w:tc>
        <w:tc>
          <w:tcPr>
            <w:tcW w:w="1310" w:type="dxa"/>
            <w:tcBorders>
              <w:top w:val="nil"/>
              <w:left w:val="nil"/>
              <w:bottom w:val="single" w:sz="4" w:space="0" w:color="auto"/>
              <w:right w:val="nil"/>
            </w:tcBorders>
            <w:shd w:val="clear" w:color="auto" w:fill="auto"/>
            <w:vAlign w:val="center"/>
            <w:hideMark/>
          </w:tcPr>
          <w:p w14:paraId="41BA0FA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39.135</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19F79BF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13.648</w:t>
            </w:r>
          </w:p>
        </w:tc>
        <w:tc>
          <w:tcPr>
            <w:tcW w:w="956" w:type="dxa"/>
            <w:tcBorders>
              <w:top w:val="nil"/>
              <w:left w:val="nil"/>
              <w:bottom w:val="single" w:sz="4" w:space="0" w:color="auto"/>
              <w:right w:val="single" w:sz="4" w:space="0" w:color="auto"/>
            </w:tcBorders>
            <w:shd w:val="clear" w:color="auto" w:fill="auto"/>
            <w:vAlign w:val="center"/>
            <w:hideMark/>
          </w:tcPr>
          <w:p w14:paraId="4B2716D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149,4</w:t>
            </w:r>
          </w:p>
        </w:tc>
        <w:tc>
          <w:tcPr>
            <w:tcW w:w="1018" w:type="dxa"/>
            <w:tcBorders>
              <w:top w:val="nil"/>
              <w:left w:val="nil"/>
              <w:bottom w:val="single" w:sz="4" w:space="0" w:color="auto"/>
              <w:right w:val="single" w:sz="4" w:space="0" w:color="auto"/>
            </w:tcBorders>
            <w:shd w:val="clear" w:color="auto" w:fill="auto"/>
            <w:vAlign w:val="center"/>
            <w:hideMark/>
          </w:tcPr>
          <w:p w14:paraId="35A4143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52,1</w:t>
            </w:r>
          </w:p>
        </w:tc>
        <w:tc>
          <w:tcPr>
            <w:tcW w:w="956" w:type="dxa"/>
            <w:tcBorders>
              <w:top w:val="nil"/>
              <w:left w:val="nil"/>
              <w:bottom w:val="single" w:sz="4" w:space="0" w:color="auto"/>
              <w:right w:val="single" w:sz="4" w:space="0" w:color="auto"/>
            </w:tcBorders>
            <w:shd w:val="clear" w:color="auto" w:fill="auto"/>
            <w:vAlign w:val="center"/>
            <w:hideMark/>
          </w:tcPr>
          <w:p w14:paraId="72A8613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34,9</w:t>
            </w:r>
          </w:p>
        </w:tc>
      </w:tr>
      <w:tr w:rsidR="00D847F2" w:rsidRPr="003648DA" w14:paraId="5E4EB65D"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74A7709"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 xml:space="preserve">Trošarine </w:t>
            </w:r>
          </w:p>
        </w:tc>
        <w:tc>
          <w:tcPr>
            <w:tcW w:w="1219" w:type="dxa"/>
            <w:tcBorders>
              <w:top w:val="nil"/>
              <w:left w:val="nil"/>
              <w:bottom w:val="single" w:sz="4" w:space="0" w:color="auto"/>
              <w:right w:val="single" w:sz="4" w:space="0" w:color="auto"/>
            </w:tcBorders>
            <w:shd w:val="clear" w:color="auto" w:fill="auto"/>
            <w:vAlign w:val="center"/>
            <w:hideMark/>
          </w:tcPr>
          <w:p w14:paraId="0EC5650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4.089.622</w:t>
            </w:r>
          </w:p>
        </w:tc>
        <w:tc>
          <w:tcPr>
            <w:tcW w:w="1310" w:type="dxa"/>
            <w:tcBorders>
              <w:top w:val="nil"/>
              <w:left w:val="nil"/>
              <w:bottom w:val="single" w:sz="4" w:space="0" w:color="auto"/>
              <w:right w:val="nil"/>
            </w:tcBorders>
            <w:shd w:val="clear" w:color="auto" w:fill="auto"/>
            <w:vAlign w:val="center"/>
            <w:hideMark/>
          </w:tcPr>
          <w:p w14:paraId="45C2297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3.447.425</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44BEA01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1.874.208</w:t>
            </w:r>
          </w:p>
        </w:tc>
        <w:tc>
          <w:tcPr>
            <w:tcW w:w="956" w:type="dxa"/>
            <w:tcBorders>
              <w:top w:val="nil"/>
              <w:left w:val="nil"/>
              <w:bottom w:val="single" w:sz="4" w:space="0" w:color="auto"/>
              <w:right w:val="single" w:sz="4" w:space="0" w:color="auto"/>
            </w:tcBorders>
            <w:shd w:val="clear" w:color="auto" w:fill="auto"/>
            <w:vAlign w:val="center"/>
            <w:hideMark/>
          </w:tcPr>
          <w:p w14:paraId="6010599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84,3</w:t>
            </w:r>
          </w:p>
        </w:tc>
        <w:tc>
          <w:tcPr>
            <w:tcW w:w="1018" w:type="dxa"/>
            <w:tcBorders>
              <w:top w:val="nil"/>
              <w:left w:val="nil"/>
              <w:bottom w:val="single" w:sz="4" w:space="0" w:color="auto"/>
              <w:right w:val="single" w:sz="4" w:space="0" w:color="auto"/>
            </w:tcBorders>
            <w:shd w:val="clear" w:color="auto" w:fill="auto"/>
            <w:vAlign w:val="center"/>
            <w:hideMark/>
          </w:tcPr>
          <w:p w14:paraId="6E4AABE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45,8</w:t>
            </w:r>
          </w:p>
        </w:tc>
        <w:tc>
          <w:tcPr>
            <w:tcW w:w="956" w:type="dxa"/>
            <w:tcBorders>
              <w:top w:val="nil"/>
              <w:left w:val="nil"/>
              <w:bottom w:val="single" w:sz="4" w:space="0" w:color="auto"/>
              <w:right w:val="single" w:sz="4" w:space="0" w:color="auto"/>
            </w:tcBorders>
            <w:shd w:val="clear" w:color="auto" w:fill="auto"/>
            <w:vAlign w:val="center"/>
            <w:hideMark/>
          </w:tcPr>
          <w:p w14:paraId="41B1D53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54,4</w:t>
            </w:r>
          </w:p>
        </w:tc>
      </w:tr>
      <w:tr w:rsidR="00D847F2" w:rsidRPr="003648DA" w14:paraId="5B9B2BB2"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CB6FDE2"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Davki na posebne storitve</w:t>
            </w:r>
          </w:p>
        </w:tc>
        <w:tc>
          <w:tcPr>
            <w:tcW w:w="1219" w:type="dxa"/>
            <w:tcBorders>
              <w:top w:val="nil"/>
              <w:left w:val="nil"/>
              <w:bottom w:val="single" w:sz="4" w:space="0" w:color="auto"/>
              <w:right w:val="single" w:sz="4" w:space="0" w:color="auto"/>
            </w:tcBorders>
            <w:shd w:val="clear" w:color="auto" w:fill="auto"/>
            <w:vAlign w:val="center"/>
            <w:hideMark/>
          </w:tcPr>
          <w:p w14:paraId="6336706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233.745</w:t>
            </w:r>
          </w:p>
        </w:tc>
        <w:tc>
          <w:tcPr>
            <w:tcW w:w="1310" w:type="dxa"/>
            <w:tcBorders>
              <w:top w:val="nil"/>
              <w:left w:val="nil"/>
              <w:bottom w:val="single" w:sz="4" w:space="0" w:color="auto"/>
              <w:right w:val="nil"/>
            </w:tcBorders>
            <w:shd w:val="clear" w:color="auto" w:fill="auto"/>
            <w:vAlign w:val="center"/>
            <w:hideMark/>
          </w:tcPr>
          <w:p w14:paraId="3A82630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263.738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371DCDF3"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396.665</w:t>
            </w:r>
          </w:p>
        </w:tc>
        <w:tc>
          <w:tcPr>
            <w:tcW w:w="956" w:type="dxa"/>
            <w:tcBorders>
              <w:top w:val="nil"/>
              <w:left w:val="nil"/>
              <w:bottom w:val="single" w:sz="4" w:space="0" w:color="auto"/>
              <w:right w:val="single" w:sz="4" w:space="0" w:color="auto"/>
            </w:tcBorders>
            <w:shd w:val="clear" w:color="auto" w:fill="auto"/>
            <w:vAlign w:val="center"/>
            <w:hideMark/>
          </w:tcPr>
          <w:p w14:paraId="0D72A4E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112,8</w:t>
            </w:r>
          </w:p>
        </w:tc>
        <w:tc>
          <w:tcPr>
            <w:tcW w:w="1018" w:type="dxa"/>
            <w:tcBorders>
              <w:top w:val="nil"/>
              <w:left w:val="nil"/>
              <w:bottom w:val="single" w:sz="4" w:space="0" w:color="auto"/>
              <w:right w:val="single" w:sz="4" w:space="0" w:color="auto"/>
            </w:tcBorders>
            <w:shd w:val="clear" w:color="auto" w:fill="auto"/>
            <w:vAlign w:val="center"/>
            <w:hideMark/>
          </w:tcPr>
          <w:p w14:paraId="022D8359"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169,7</w:t>
            </w:r>
          </w:p>
        </w:tc>
        <w:tc>
          <w:tcPr>
            <w:tcW w:w="956" w:type="dxa"/>
            <w:tcBorders>
              <w:top w:val="nil"/>
              <w:left w:val="nil"/>
              <w:bottom w:val="single" w:sz="4" w:space="0" w:color="auto"/>
              <w:right w:val="single" w:sz="4" w:space="0" w:color="auto"/>
            </w:tcBorders>
            <w:shd w:val="clear" w:color="auto" w:fill="auto"/>
            <w:vAlign w:val="center"/>
            <w:hideMark/>
          </w:tcPr>
          <w:p w14:paraId="271494B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150,4</w:t>
            </w:r>
          </w:p>
        </w:tc>
      </w:tr>
      <w:tr w:rsidR="00D847F2" w:rsidRPr="003648DA" w14:paraId="1374784F"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AE82101"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Drugi davki na uporabo blaga in storitev</w:t>
            </w:r>
          </w:p>
        </w:tc>
        <w:tc>
          <w:tcPr>
            <w:tcW w:w="1219" w:type="dxa"/>
            <w:tcBorders>
              <w:top w:val="nil"/>
              <w:left w:val="nil"/>
              <w:bottom w:val="single" w:sz="4" w:space="0" w:color="auto"/>
              <w:right w:val="single" w:sz="4" w:space="0" w:color="auto"/>
            </w:tcBorders>
            <w:shd w:val="clear" w:color="auto" w:fill="auto"/>
            <w:vAlign w:val="center"/>
            <w:hideMark/>
          </w:tcPr>
          <w:p w14:paraId="66471F4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450.746</w:t>
            </w:r>
          </w:p>
        </w:tc>
        <w:tc>
          <w:tcPr>
            <w:tcW w:w="1310" w:type="dxa"/>
            <w:tcBorders>
              <w:top w:val="nil"/>
              <w:left w:val="nil"/>
              <w:bottom w:val="single" w:sz="4" w:space="0" w:color="auto"/>
              <w:right w:val="nil"/>
            </w:tcBorders>
            <w:shd w:val="clear" w:color="auto" w:fill="auto"/>
            <w:vAlign w:val="center"/>
            <w:hideMark/>
          </w:tcPr>
          <w:p w14:paraId="51886AD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331.708</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978B2B1"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452.421</w:t>
            </w:r>
          </w:p>
        </w:tc>
        <w:tc>
          <w:tcPr>
            <w:tcW w:w="956" w:type="dxa"/>
            <w:tcBorders>
              <w:top w:val="nil"/>
              <w:left w:val="nil"/>
              <w:bottom w:val="single" w:sz="4" w:space="0" w:color="auto"/>
              <w:right w:val="single" w:sz="4" w:space="0" w:color="auto"/>
            </w:tcBorders>
            <w:shd w:val="clear" w:color="auto" w:fill="auto"/>
            <w:vAlign w:val="center"/>
            <w:hideMark/>
          </w:tcPr>
          <w:p w14:paraId="266C2DA8"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73,6</w:t>
            </w:r>
          </w:p>
        </w:tc>
        <w:tc>
          <w:tcPr>
            <w:tcW w:w="1018" w:type="dxa"/>
            <w:tcBorders>
              <w:top w:val="nil"/>
              <w:left w:val="nil"/>
              <w:bottom w:val="single" w:sz="4" w:space="0" w:color="auto"/>
              <w:right w:val="single" w:sz="4" w:space="0" w:color="auto"/>
            </w:tcBorders>
            <w:shd w:val="clear" w:color="auto" w:fill="auto"/>
            <w:vAlign w:val="center"/>
            <w:hideMark/>
          </w:tcPr>
          <w:p w14:paraId="1F205B87"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100,4</w:t>
            </w:r>
          </w:p>
        </w:tc>
        <w:tc>
          <w:tcPr>
            <w:tcW w:w="956" w:type="dxa"/>
            <w:tcBorders>
              <w:top w:val="nil"/>
              <w:left w:val="nil"/>
              <w:bottom w:val="single" w:sz="4" w:space="0" w:color="auto"/>
              <w:right w:val="single" w:sz="4" w:space="0" w:color="auto"/>
            </w:tcBorders>
            <w:shd w:val="clear" w:color="auto" w:fill="auto"/>
            <w:vAlign w:val="center"/>
            <w:hideMark/>
          </w:tcPr>
          <w:p w14:paraId="3764072F"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136,4</w:t>
            </w:r>
          </w:p>
        </w:tc>
      </w:tr>
      <w:tr w:rsidR="00D847F2" w:rsidRPr="003648DA" w14:paraId="181D2299"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6382731"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Davki na motorna vozila</w:t>
            </w:r>
          </w:p>
        </w:tc>
        <w:tc>
          <w:tcPr>
            <w:tcW w:w="1219" w:type="dxa"/>
            <w:tcBorders>
              <w:top w:val="nil"/>
              <w:left w:val="nil"/>
              <w:bottom w:val="single" w:sz="4" w:space="0" w:color="auto"/>
              <w:right w:val="single" w:sz="4" w:space="0" w:color="auto"/>
            </w:tcBorders>
            <w:shd w:val="clear" w:color="auto" w:fill="auto"/>
            <w:vAlign w:val="center"/>
            <w:hideMark/>
          </w:tcPr>
          <w:p w14:paraId="6344815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364.999</w:t>
            </w:r>
          </w:p>
        </w:tc>
        <w:tc>
          <w:tcPr>
            <w:tcW w:w="1310" w:type="dxa"/>
            <w:tcBorders>
              <w:top w:val="nil"/>
              <w:left w:val="nil"/>
              <w:bottom w:val="single" w:sz="4" w:space="0" w:color="auto"/>
              <w:right w:val="nil"/>
            </w:tcBorders>
            <w:shd w:val="clear" w:color="auto" w:fill="auto"/>
            <w:vAlign w:val="center"/>
            <w:hideMark/>
          </w:tcPr>
          <w:p w14:paraId="562351F4"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550.184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240BEBF0"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188.020</w:t>
            </w:r>
          </w:p>
        </w:tc>
        <w:tc>
          <w:tcPr>
            <w:tcW w:w="956" w:type="dxa"/>
            <w:tcBorders>
              <w:top w:val="nil"/>
              <w:left w:val="nil"/>
              <w:bottom w:val="single" w:sz="4" w:space="0" w:color="auto"/>
              <w:right w:val="single" w:sz="4" w:space="0" w:color="auto"/>
            </w:tcBorders>
            <w:shd w:val="clear" w:color="auto" w:fill="auto"/>
            <w:vAlign w:val="center"/>
            <w:hideMark/>
          </w:tcPr>
          <w:p w14:paraId="7867180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150,7</w:t>
            </w:r>
          </w:p>
        </w:tc>
        <w:tc>
          <w:tcPr>
            <w:tcW w:w="1018" w:type="dxa"/>
            <w:tcBorders>
              <w:top w:val="nil"/>
              <w:left w:val="nil"/>
              <w:bottom w:val="single" w:sz="4" w:space="0" w:color="auto"/>
              <w:right w:val="single" w:sz="4" w:space="0" w:color="auto"/>
            </w:tcBorders>
            <w:shd w:val="clear" w:color="auto" w:fill="auto"/>
            <w:vAlign w:val="center"/>
            <w:hideMark/>
          </w:tcPr>
          <w:p w14:paraId="2612779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51,5</w:t>
            </w:r>
          </w:p>
        </w:tc>
        <w:tc>
          <w:tcPr>
            <w:tcW w:w="956" w:type="dxa"/>
            <w:tcBorders>
              <w:top w:val="nil"/>
              <w:left w:val="nil"/>
              <w:bottom w:val="single" w:sz="4" w:space="0" w:color="auto"/>
              <w:right w:val="single" w:sz="4" w:space="0" w:color="auto"/>
            </w:tcBorders>
            <w:shd w:val="clear" w:color="auto" w:fill="auto"/>
            <w:vAlign w:val="center"/>
            <w:hideMark/>
          </w:tcPr>
          <w:p w14:paraId="2D831082"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34,2</w:t>
            </w:r>
          </w:p>
        </w:tc>
      </w:tr>
      <w:tr w:rsidR="00D847F2" w:rsidRPr="003648DA" w14:paraId="7273D715" w14:textId="77777777" w:rsidTr="00556699">
        <w:trPr>
          <w:trHeight w:val="41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0C4F31E"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DAVKI NA MEDNARODNO TRGOVINO IN TRANSAKCIJE</w:t>
            </w:r>
          </w:p>
        </w:tc>
        <w:tc>
          <w:tcPr>
            <w:tcW w:w="1219" w:type="dxa"/>
            <w:tcBorders>
              <w:top w:val="nil"/>
              <w:left w:val="nil"/>
              <w:bottom w:val="single" w:sz="4" w:space="0" w:color="auto"/>
              <w:right w:val="single" w:sz="4" w:space="0" w:color="auto"/>
            </w:tcBorders>
            <w:shd w:val="clear" w:color="auto" w:fill="auto"/>
            <w:vAlign w:val="center"/>
            <w:hideMark/>
          </w:tcPr>
          <w:p w14:paraId="0EAF8DD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3.006.341</w:t>
            </w:r>
          </w:p>
        </w:tc>
        <w:tc>
          <w:tcPr>
            <w:tcW w:w="1310" w:type="dxa"/>
            <w:tcBorders>
              <w:top w:val="nil"/>
              <w:left w:val="nil"/>
              <w:bottom w:val="single" w:sz="4" w:space="0" w:color="auto"/>
              <w:right w:val="nil"/>
            </w:tcBorders>
            <w:shd w:val="clear" w:color="auto" w:fill="auto"/>
            <w:vAlign w:val="center"/>
            <w:hideMark/>
          </w:tcPr>
          <w:p w14:paraId="7FE0E63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4.039.664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1EDA56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3.724.791</w:t>
            </w:r>
          </w:p>
        </w:tc>
        <w:tc>
          <w:tcPr>
            <w:tcW w:w="956" w:type="dxa"/>
            <w:tcBorders>
              <w:top w:val="nil"/>
              <w:left w:val="nil"/>
              <w:bottom w:val="single" w:sz="4" w:space="0" w:color="auto"/>
              <w:right w:val="single" w:sz="4" w:space="0" w:color="auto"/>
            </w:tcBorders>
            <w:shd w:val="clear" w:color="auto" w:fill="auto"/>
            <w:vAlign w:val="center"/>
            <w:hideMark/>
          </w:tcPr>
          <w:p w14:paraId="44EF21F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134,4</w:t>
            </w:r>
          </w:p>
        </w:tc>
        <w:tc>
          <w:tcPr>
            <w:tcW w:w="1018" w:type="dxa"/>
            <w:tcBorders>
              <w:top w:val="nil"/>
              <w:left w:val="nil"/>
              <w:bottom w:val="single" w:sz="4" w:space="0" w:color="auto"/>
              <w:right w:val="single" w:sz="4" w:space="0" w:color="auto"/>
            </w:tcBorders>
            <w:shd w:val="clear" w:color="auto" w:fill="auto"/>
            <w:vAlign w:val="center"/>
            <w:hideMark/>
          </w:tcPr>
          <w:p w14:paraId="24F771A0"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123,9</w:t>
            </w:r>
          </w:p>
        </w:tc>
        <w:tc>
          <w:tcPr>
            <w:tcW w:w="956" w:type="dxa"/>
            <w:tcBorders>
              <w:top w:val="nil"/>
              <w:left w:val="nil"/>
              <w:bottom w:val="single" w:sz="4" w:space="0" w:color="auto"/>
              <w:right w:val="single" w:sz="4" w:space="0" w:color="auto"/>
            </w:tcBorders>
            <w:shd w:val="clear" w:color="auto" w:fill="auto"/>
            <w:vAlign w:val="center"/>
            <w:hideMark/>
          </w:tcPr>
          <w:p w14:paraId="43CEDFFD"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92,2</w:t>
            </w:r>
          </w:p>
        </w:tc>
      </w:tr>
      <w:tr w:rsidR="00D847F2" w:rsidRPr="003648DA" w14:paraId="33DAEB79"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10F293A" w14:textId="77777777" w:rsidR="00D847F2" w:rsidRPr="003648DA" w:rsidRDefault="00D847F2" w:rsidP="00556699">
            <w:pPr>
              <w:spacing w:after="0" w:line="240" w:lineRule="auto"/>
              <w:rPr>
                <w:rFonts w:ascii="Arial" w:eastAsia="Times New Roman" w:hAnsi="Arial" w:cs="Arial"/>
                <w:sz w:val="16"/>
                <w:szCs w:val="16"/>
                <w:lang w:eastAsia="sl-SI"/>
              </w:rPr>
            </w:pPr>
            <w:r w:rsidRPr="003648DA">
              <w:rPr>
                <w:rFonts w:ascii="Arial" w:eastAsia="Times New Roman" w:hAnsi="Arial" w:cs="Arial"/>
                <w:sz w:val="16"/>
                <w:szCs w:val="16"/>
                <w:lang w:eastAsia="sl-SI"/>
              </w:rPr>
              <w:t>Carine</w:t>
            </w:r>
          </w:p>
        </w:tc>
        <w:tc>
          <w:tcPr>
            <w:tcW w:w="1219" w:type="dxa"/>
            <w:tcBorders>
              <w:top w:val="nil"/>
              <w:left w:val="nil"/>
              <w:bottom w:val="single" w:sz="4" w:space="0" w:color="auto"/>
              <w:right w:val="single" w:sz="4" w:space="0" w:color="auto"/>
            </w:tcBorders>
            <w:shd w:val="clear" w:color="auto" w:fill="auto"/>
            <w:vAlign w:val="center"/>
            <w:hideMark/>
          </w:tcPr>
          <w:p w14:paraId="1DAD85CA"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3.006.341</w:t>
            </w:r>
          </w:p>
        </w:tc>
        <w:tc>
          <w:tcPr>
            <w:tcW w:w="1310" w:type="dxa"/>
            <w:tcBorders>
              <w:top w:val="nil"/>
              <w:left w:val="nil"/>
              <w:bottom w:val="single" w:sz="4" w:space="0" w:color="auto"/>
              <w:right w:val="nil"/>
            </w:tcBorders>
            <w:shd w:val="clear" w:color="auto" w:fill="auto"/>
            <w:vAlign w:val="center"/>
            <w:hideMark/>
          </w:tcPr>
          <w:p w14:paraId="24F2698E"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4.039.664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02C837E5"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3.724.791</w:t>
            </w:r>
          </w:p>
        </w:tc>
        <w:tc>
          <w:tcPr>
            <w:tcW w:w="956" w:type="dxa"/>
            <w:tcBorders>
              <w:top w:val="nil"/>
              <w:left w:val="nil"/>
              <w:bottom w:val="single" w:sz="4" w:space="0" w:color="auto"/>
              <w:right w:val="single" w:sz="4" w:space="0" w:color="auto"/>
            </w:tcBorders>
            <w:shd w:val="clear" w:color="auto" w:fill="auto"/>
            <w:vAlign w:val="center"/>
            <w:hideMark/>
          </w:tcPr>
          <w:p w14:paraId="5614EE5C"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134,4</w:t>
            </w:r>
          </w:p>
        </w:tc>
        <w:tc>
          <w:tcPr>
            <w:tcW w:w="1018" w:type="dxa"/>
            <w:tcBorders>
              <w:top w:val="nil"/>
              <w:left w:val="nil"/>
              <w:bottom w:val="single" w:sz="4" w:space="0" w:color="auto"/>
              <w:right w:val="single" w:sz="4" w:space="0" w:color="auto"/>
            </w:tcBorders>
            <w:shd w:val="clear" w:color="auto" w:fill="auto"/>
            <w:vAlign w:val="center"/>
            <w:hideMark/>
          </w:tcPr>
          <w:p w14:paraId="7C0912AB"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123,9</w:t>
            </w:r>
          </w:p>
        </w:tc>
        <w:tc>
          <w:tcPr>
            <w:tcW w:w="956" w:type="dxa"/>
            <w:tcBorders>
              <w:top w:val="nil"/>
              <w:left w:val="nil"/>
              <w:bottom w:val="single" w:sz="4" w:space="0" w:color="auto"/>
              <w:right w:val="single" w:sz="4" w:space="0" w:color="auto"/>
            </w:tcBorders>
            <w:shd w:val="clear" w:color="auto" w:fill="auto"/>
            <w:vAlign w:val="center"/>
            <w:hideMark/>
          </w:tcPr>
          <w:p w14:paraId="031E1366" w14:textId="77777777" w:rsidR="00D847F2" w:rsidRPr="003648DA" w:rsidRDefault="00D847F2" w:rsidP="00556699">
            <w:pPr>
              <w:spacing w:after="0" w:line="240" w:lineRule="auto"/>
              <w:jc w:val="right"/>
              <w:rPr>
                <w:rFonts w:ascii="Arial" w:eastAsia="Times New Roman" w:hAnsi="Arial" w:cs="Arial"/>
                <w:sz w:val="16"/>
                <w:szCs w:val="16"/>
                <w:lang w:eastAsia="sl-SI"/>
              </w:rPr>
            </w:pPr>
            <w:r w:rsidRPr="003648DA">
              <w:rPr>
                <w:rFonts w:ascii="Arial" w:eastAsia="Times New Roman" w:hAnsi="Arial" w:cs="Arial"/>
                <w:sz w:val="16"/>
                <w:szCs w:val="16"/>
                <w:lang w:eastAsia="sl-SI"/>
              </w:rPr>
              <w:t>92,2</w:t>
            </w:r>
          </w:p>
        </w:tc>
      </w:tr>
      <w:tr w:rsidR="00D847F2" w:rsidRPr="003648DA" w14:paraId="7C6322A5" w14:textId="77777777" w:rsidTr="00556699">
        <w:trPr>
          <w:trHeight w:val="249"/>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0885C5F"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DRUGI DAVKI</w:t>
            </w:r>
          </w:p>
        </w:tc>
        <w:tc>
          <w:tcPr>
            <w:tcW w:w="1219" w:type="dxa"/>
            <w:tcBorders>
              <w:top w:val="nil"/>
              <w:left w:val="nil"/>
              <w:bottom w:val="single" w:sz="4" w:space="0" w:color="auto"/>
              <w:right w:val="single" w:sz="4" w:space="0" w:color="auto"/>
            </w:tcBorders>
            <w:shd w:val="clear" w:color="auto" w:fill="auto"/>
            <w:vAlign w:val="center"/>
            <w:hideMark/>
          </w:tcPr>
          <w:p w14:paraId="3A4C8A12"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320.439</w:t>
            </w:r>
          </w:p>
        </w:tc>
        <w:tc>
          <w:tcPr>
            <w:tcW w:w="1310" w:type="dxa"/>
            <w:tcBorders>
              <w:top w:val="nil"/>
              <w:left w:val="nil"/>
              <w:bottom w:val="single" w:sz="4" w:space="0" w:color="auto"/>
              <w:right w:val="nil"/>
            </w:tcBorders>
            <w:shd w:val="clear" w:color="auto" w:fill="auto"/>
            <w:vAlign w:val="center"/>
            <w:hideMark/>
          </w:tcPr>
          <w:p w14:paraId="25599B33"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257.414</w:t>
            </w:r>
          </w:p>
        </w:tc>
        <w:tc>
          <w:tcPr>
            <w:tcW w:w="1128" w:type="dxa"/>
            <w:tcBorders>
              <w:top w:val="nil"/>
              <w:left w:val="single" w:sz="8" w:space="0" w:color="auto"/>
              <w:bottom w:val="single" w:sz="4" w:space="0" w:color="auto"/>
              <w:right w:val="single" w:sz="8" w:space="0" w:color="auto"/>
            </w:tcBorders>
            <w:shd w:val="clear" w:color="auto" w:fill="auto"/>
            <w:vAlign w:val="center"/>
            <w:hideMark/>
          </w:tcPr>
          <w:p w14:paraId="79A3B204"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235.174</w:t>
            </w:r>
          </w:p>
        </w:tc>
        <w:tc>
          <w:tcPr>
            <w:tcW w:w="956" w:type="dxa"/>
            <w:tcBorders>
              <w:top w:val="nil"/>
              <w:left w:val="nil"/>
              <w:bottom w:val="single" w:sz="4" w:space="0" w:color="auto"/>
              <w:right w:val="single" w:sz="4" w:space="0" w:color="auto"/>
            </w:tcBorders>
            <w:shd w:val="clear" w:color="auto" w:fill="auto"/>
            <w:vAlign w:val="center"/>
            <w:hideMark/>
          </w:tcPr>
          <w:p w14:paraId="17F1300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80,3</w:t>
            </w:r>
          </w:p>
        </w:tc>
        <w:tc>
          <w:tcPr>
            <w:tcW w:w="1018" w:type="dxa"/>
            <w:tcBorders>
              <w:top w:val="nil"/>
              <w:left w:val="nil"/>
              <w:bottom w:val="single" w:sz="4" w:space="0" w:color="auto"/>
              <w:right w:val="single" w:sz="4" w:space="0" w:color="auto"/>
            </w:tcBorders>
            <w:shd w:val="clear" w:color="auto" w:fill="auto"/>
            <w:vAlign w:val="center"/>
            <w:hideMark/>
          </w:tcPr>
          <w:p w14:paraId="1ACC37AA"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73,4</w:t>
            </w:r>
          </w:p>
        </w:tc>
        <w:tc>
          <w:tcPr>
            <w:tcW w:w="956" w:type="dxa"/>
            <w:tcBorders>
              <w:top w:val="nil"/>
              <w:left w:val="nil"/>
              <w:bottom w:val="single" w:sz="4" w:space="0" w:color="auto"/>
              <w:right w:val="single" w:sz="4" w:space="0" w:color="auto"/>
            </w:tcBorders>
            <w:shd w:val="clear" w:color="auto" w:fill="auto"/>
            <w:vAlign w:val="center"/>
            <w:hideMark/>
          </w:tcPr>
          <w:p w14:paraId="2780344C"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91,4</w:t>
            </w:r>
          </w:p>
        </w:tc>
      </w:tr>
      <w:tr w:rsidR="00D847F2" w:rsidRPr="003648DA" w14:paraId="4970F91B"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DCE6F1"/>
            <w:vAlign w:val="center"/>
            <w:hideMark/>
          </w:tcPr>
          <w:p w14:paraId="02350862"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B. Nedavčni prihodki</w:t>
            </w:r>
          </w:p>
        </w:tc>
        <w:tc>
          <w:tcPr>
            <w:tcW w:w="1219" w:type="dxa"/>
            <w:tcBorders>
              <w:top w:val="nil"/>
              <w:left w:val="nil"/>
              <w:bottom w:val="single" w:sz="4" w:space="0" w:color="auto"/>
              <w:right w:val="single" w:sz="4" w:space="0" w:color="auto"/>
            </w:tcBorders>
            <w:shd w:val="clear" w:color="000000" w:fill="DCE6F1"/>
            <w:vAlign w:val="center"/>
            <w:hideMark/>
          </w:tcPr>
          <w:p w14:paraId="478F5591"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50.685.857</w:t>
            </w:r>
          </w:p>
        </w:tc>
        <w:tc>
          <w:tcPr>
            <w:tcW w:w="1310" w:type="dxa"/>
            <w:tcBorders>
              <w:top w:val="nil"/>
              <w:left w:val="nil"/>
              <w:bottom w:val="single" w:sz="4" w:space="0" w:color="auto"/>
              <w:right w:val="nil"/>
            </w:tcBorders>
            <w:shd w:val="clear" w:color="000000" w:fill="DCE6F1"/>
            <w:vAlign w:val="center"/>
            <w:hideMark/>
          </w:tcPr>
          <w:p w14:paraId="60D27DD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54.793.668</w:t>
            </w:r>
          </w:p>
        </w:tc>
        <w:tc>
          <w:tcPr>
            <w:tcW w:w="1128" w:type="dxa"/>
            <w:tcBorders>
              <w:top w:val="nil"/>
              <w:left w:val="single" w:sz="8" w:space="0" w:color="auto"/>
              <w:bottom w:val="single" w:sz="4" w:space="0" w:color="auto"/>
              <w:right w:val="single" w:sz="8" w:space="0" w:color="auto"/>
            </w:tcBorders>
            <w:shd w:val="clear" w:color="000000" w:fill="DCE6F1"/>
            <w:vAlign w:val="center"/>
            <w:hideMark/>
          </w:tcPr>
          <w:p w14:paraId="0632434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54.405.838</w:t>
            </w:r>
          </w:p>
        </w:tc>
        <w:tc>
          <w:tcPr>
            <w:tcW w:w="956" w:type="dxa"/>
            <w:tcBorders>
              <w:top w:val="nil"/>
              <w:left w:val="nil"/>
              <w:bottom w:val="single" w:sz="4" w:space="0" w:color="auto"/>
              <w:right w:val="single" w:sz="4" w:space="0" w:color="auto"/>
            </w:tcBorders>
            <w:shd w:val="clear" w:color="000000" w:fill="DCE6F1"/>
            <w:vAlign w:val="center"/>
            <w:hideMark/>
          </w:tcPr>
          <w:p w14:paraId="514BA7A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108,1</w:t>
            </w:r>
          </w:p>
        </w:tc>
        <w:tc>
          <w:tcPr>
            <w:tcW w:w="1018" w:type="dxa"/>
            <w:tcBorders>
              <w:top w:val="nil"/>
              <w:left w:val="nil"/>
              <w:bottom w:val="single" w:sz="4" w:space="0" w:color="auto"/>
              <w:right w:val="single" w:sz="4" w:space="0" w:color="auto"/>
            </w:tcBorders>
            <w:shd w:val="clear" w:color="000000" w:fill="DCE6F1"/>
            <w:vAlign w:val="center"/>
            <w:hideMark/>
          </w:tcPr>
          <w:p w14:paraId="5E6C6A1E"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107,3</w:t>
            </w:r>
          </w:p>
        </w:tc>
        <w:tc>
          <w:tcPr>
            <w:tcW w:w="956" w:type="dxa"/>
            <w:tcBorders>
              <w:top w:val="nil"/>
              <w:left w:val="nil"/>
              <w:bottom w:val="single" w:sz="4" w:space="0" w:color="auto"/>
              <w:right w:val="single" w:sz="4" w:space="0" w:color="auto"/>
            </w:tcBorders>
            <w:shd w:val="clear" w:color="000000" w:fill="DCE6F1"/>
            <w:vAlign w:val="center"/>
            <w:hideMark/>
          </w:tcPr>
          <w:p w14:paraId="002FEBA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99,3</w:t>
            </w:r>
          </w:p>
        </w:tc>
      </w:tr>
      <w:tr w:rsidR="00D847F2" w:rsidRPr="003648DA" w14:paraId="1E1F45D3"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DCE6F1"/>
            <w:vAlign w:val="center"/>
            <w:hideMark/>
          </w:tcPr>
          <w:p w14:paraId="0E114F90"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C. Transferni prihodki</w:t>
            </w:r>
          </w:p>
        </w:tc>
        <w:tc>
          <w:tcPr>
            <w:tcW w:w="1219" w:type="dxa"/>
            <w:tcBorders>
              <w:top w:val="nil"/>
              <w:left w:val="nil"/>
              <w:bottom w:val="single" w:sz="4" w:space="0" w:color="auto"/>
              <w:right w:val="single" w:sz="4" w:space="0" w:color="auto"/>
            </w:tcBorders>
            <w:shd w:val="clear" w:color="000000" w:fill="DCE6F1"/>
            <w:vAlign w:val="center"/>
            <w:hideMark/>
          </w:tcPr>
          <w:p w14:paraId="49260581"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135.169</w:t>
            </w:r>
          </w:p>
        </w:tc>
        <w:tc>
          <w:tcPr>
            <w:tcW w:w="1310" w:type="dxa"/>
            <w:tcBorders>
              <w:top w:val="nil"/>
              <w:left w:val="nil"/>
              <w:bottom w:val="single" w:sz="4" w:space="0" w:color="auto"/>
              <w:right w:val="nil"/>
            </w:tcBorders>
            <w:shd w:val="clear" w:color="000000" w:fill="DCE6F1"/>
            <w:vAlign w:val="center"/>
            <w:hideMark/>
          </w:tcPr>
          <w:p w14:paraId="52ADF68F"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19.820</w:t>
            </w:r>
          </w:p>
        </w:tc>
        <w:tc>
          <w:tcPr>
            <w:tcW w:w="1128" w:type="dxa"/>
            <w:tcBorders>
              <w:top w:val="nil"/>
              <w:left w:val="single" w:sz="8" w:space="0" w:color="auto"/>
              <w:bottom w:val="single" w:sz="4" w:space="0" w:color="auto"/>
              <w:right w:val="single" w:sz="8" w:space="0" w:color="auto"/>
            </w:tcBorders>
            <w:shd w:val="clear" w:color="000000" w:fill="DCE6F1"/>
            <w:vAlign w:val="center"/>
            <w:hideMark/>
          </w:tcPr>
          <w:p w14:paraId="76D8BDD6"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5.974</w:t>
            </w:r>
          </w:p>
        </w:tc>
        <w:tc>
          <w:tcPr>
            <w:tcW w:w="956" w:type="dxa"/>
            <w:tcBorders>
              <w:top w:val="nil"/>
              <w:left w:val="nil"/>
              <w:bottom w:val="single" w:sz="4" w:space="0" w:color="auto"/>
              <w:right w:val="single" w:sz="4" w:space="0" w:color="auto"/>
            </w:tcBorders>
            <w:shd w:val="clear" w:color="000000" w:fill="DCE6F1"/>
            <w:vAlign w:val="center"/>
            <w:hideMark/>
          </w:tcPr>
          <w:p w14:paraId="73F7BE8A"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14,7</w:t>
            </w:r>
          </w:p>
        </w:tc>
        <w:tc>
          <w:tcPr>
            <w:tcW w:w="1018" w:type="dxa"/>
            <w:tcBorders>
              <w:top w:val="nil"/>
              <w:left w:val="nil"/>
              <w:bottom w:val="single" w:sz="4" w:space="0" w:color="auto"/>
              <w:right w:val="single" w:sz="4" w:space="0" w:color="auto"/>
            </w:tcBorders>
            <w:shd w:val="clear" w:color="000000" w:fill="DCE6F1"/>
            <w:vAlign w:val="center"/>
            <w:hideMark/>
          </w:tcPr>
          <w:p w14:paraId="0255A17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4,4</w:t>
            </w:r>
          </w:p>
        </w:tc>
        <w:tc>
          <w:tcPr>
            <w:tcW w:w="956" w:type="dxa"/>
            <w:tcBorders>
              <w:top w:val="nil"/>
              <w:left w:val="nil"/>
              <w:bottom w:val="single" w:sz="4" w:space="0" w:color="auto"/>
              <w:right w:val="single" w:sz="4" w:space="0" w:color="auto"/>
            </w:tcBorders>
            <w:shd w:val="clear" w:color="000000" w:fill="DCE6F1"/>
            <w:vAlign w:val="center"/>
            <w:hideMark/>
          </w:tcPr>
          <w:p w14:paraId="2A1FB99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30,1</w:t>
            </w:r>
          </w:p>
        </w:tc>
      </w:tr>
      <w:tr w:rsidR="00D847F2" w:rsidRPr="003648DA" w14:paraId="4A275260"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DCE6F1"/>
            <w:vAlign w:val="center"/>
            <w:hideMark/>
          </w:tcPr>
          <w:p w14:paraId="30C67F14" w14:textId="7F687F55" w:rsidR="00D847F2" w:rsidRPr="00EF20C3" w:rsidRDefault="00D847F2" w:rsidP="00D540CC">
            <w:pPr>
              <w:spacing w:after="0" w:line="240" w:lineRule="auto"/>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 xml:space="preserve">D. </w:t>
            </w:r>
            <w:r w:rsidR="00D540CC">
              <w:rPr>
                <w:rFonts w:ascii="Arial" w:eastAsia="Times New Roman" w:hAnsi="Arial" w:cs="Arial"/>
                <w:b/>
                <w:bCs/>
                <w:sz w:val="16"/>
                <w:szCs w:val="16"/>
                <w:lang w:eastAsia="sl-SI"/>
              </w:rPr>
              <w:t>Preo</w:t>
            </w:r>
            <w:r w:rsidRPr="00EF20C3">
              <w:rPr>
                <w:rFonts w:ascii="Arial" w:eastAsia="Times New Roman" w:hAnsi="Arial" w:cs="Arial"/>
                <w:b/>
                <w:bCs/>
                <w:sz w:val="16"/>
                <w:szCs w:val="16"/>
                <w:lang w:eastAsia="sl-SI"/>
              </w:rPr>
              <w:t xml:space="preserve">stalo </w:t>
            </w:r>
          </w:p>
        </w:tc>
        <w:tc>
          <w:tcPr>
            <w:tcW w:w="1219" w:type="dxa"/>
            <w:tcBorders>
              <w:top w:val="nil"/>
              <w:left w:val="nil"/>
              <w:bottom w:val="single" w:sz="4" w:space="0" w:color="auto"/>
              <w:right w:val="single" w:sz="4" w:space="0" w:color="auto"/>
            </w:tcBorders>
            <w:shd w:val="clear" w:color="000000" w:fill="DCE6F1"/>
            <w:vAlign w:val="center"/>
            <w:hideMark/>
          </w:tcPr>
          <w:p w14:paraId="4A05EA6C"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9.733</w:t>
            </w:r>
          </w:p>
        </w:tc>
        <w:tc>
          <w:tcPr>
            <w:tcW w:w="1310" w:type="dxa"/>
            <w:tcBorders>
              <w:top w:val="nil"/>
              <w:left w:val="nil"/>
              <w:bottom w:val="single" w:sz="4" w:space="0" w:color="auto"/>
              <w:right w:val="nil"/>
            </w:tcBorders>
            <w:shd w:val="clear" w:color="000000" w:fill="DCE6F1"/>
            <w:vAlign w:val="center"/>
            <w:hideMark/>
          </w:tcPr>
          <w:p w14:paraId="5FFF0800"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51.559</w:t>
            </w:r>
          </w:p>
        </w:tc>
        <w:tc>
          <w:tcPr>
            <w:tcW w:w="1128" w:type="dxa"/>
            <w:tcBorders>
              <w:top w:val="nil"/>
              <w:left w:val="single" w:sz="8" w:space="0" w:color="auto"/>
              <w:bottom w:val="single" w:sz="4" w:space="0" w:color="auto"/>
              <w:right w:val="single" w:sz="8" w:space="0" w:color="auto"/>
            </w:tcBorders>
            <w:shd w:val="clear" w:color="000000" w:fill="DCE6F1"/>
            <w:vAlign w:val="center"/>
            <w:hideMark/>
          </w:tcPr>
          <w:p w14:paraId="55E2CEE0"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6.023</w:t>
            </w:r>
          </w:p>
        </w:tc>
        <w:tc>
          <w:tcPr>
            <w:tcW w:w="956" w:type="dxa"/>
            <w:tcBorders>
              <w:top w:val="nil"/>
              <w:left w:val="nil"/>
              <w:bottom w:val="single" w:sz="4" w:space="0" w:color="auto"/>
              <w:right w:val="single" w:sz="4" w:space="0" w:color="auto"/>
            </w:tcBorders>
            <w:shd w:val="clear" w:color="000000" w:fill="DCE6F1"/>
            <w:vAlign w:val="center"/>
            <w:hideMark/>
          </w:tcPr>
          <w:p w14:paraId="79275045"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529,7</w:t>
            </w:r>
          </w:p>
        </w:tc>
        <w:tc>
          <w:tcPr>
            <w:tcW w:w="1018" w:type="dxa"/>
            <w:tcBorders>
              <w:top w:val="nil"/>
              <w:left w:val="nil"/>
              <w:bottom w:val="single" w:sz="4" w:space="0" w:color="auto"/>
              <w:right w:val="single" w:sz="4" w:space="0" w:color="auto"/>
            </w:tcBorders>
            <w:shd w:val="clear" w:color="000000" w:fill="DCE6F1"/>
            <w:vAlign w:val="center"/>
            <w:hideMark/>
          </w:tcPr>
          <w:p w14:paraId="743F72A8"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61,9</w:t>
            </w:r>
          </w:p>
        </w:tc>
        <w:tc>
          <w:tcPr>
            <w:tcW w:w="956" w:type="dxa"/>
            <w:tcBorders>
              <w:top w:val="nil"/>
              <w:left w:val="nil"/>
              <w:bottom w:val="single" w:sz="4" w:space="0" w:color="auto"/>
              <w:right w:val="single" w:sz="4" w:space="0" w:color="auto"/>
            </w:tcBorders>
            <w:shd w:val="clear" w:color="000000" w:fill="DCE6F1"/>
            <w:vAlign w:val="center"/>
            <w:hideMark/>
          </w:tcPr>
          <w:p w14:paraId="411E8028" w14:textId="77777777" w:rsidR="00D847F2" w:rsidRPr="00EF20C3" w:rsidRDefault="00D847F2" w:rsidP="00556699">
            <w:pPr>
              <w:spacing w:after="0" w:line="240" w:lineRule="auto"/>
              <w:jc w:val="right"/>
              <w:rPr>
                <w:rFonts w:ascii="Arial" w:eastAsia="Times New Roman" w:hAnsi="Arial" w:cs="Arial"/>
                <w:b/>
                <w:bCs/>
                <w:sz w:val="16"/>
                <w:szCs w:val="16"/>
                <w:lang w:eastAsia="sl-SI"/>
              </w:rPr>
            </w:pPr>
            <w:r w:rsidRPr="00EF20C3">
              <w:rPr>
                <w:rFonts w:ascii="Arial" w:eastAsia="Times New Roman" w:hAnsi="Arial" w:cs="Arial"/>
                <w:b/>
                <w:bCs/>
                <w:sz w:val="16"/>
                <w:szCs w:val="16"/>
                <w:lang w:eastAsia="sl-SI"/>
              </w:rPr>
              <w:t>11,7</w:t>
            </w:r>
          </w:p>
        </w:tc>
      </w:tr>
      <w:tr w:rsidR="00D847F2" w:rsidRPr="003648DA" w14:paraId="605B9037"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B8CCE4"/>
            <w:vAlign w:val="center"/>
            <w:hideMark/>
          </w:tcPr>
          <w:p w14:paraId="61901087"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E. Skupaj davčni dolg (A+B+C+D)</w:t>
            </w:r>
          </w:p>
        </w:tc>
        <w:tc>
          <w:tcPr>
            <w:tcW w:w="1219" w:type="dxa"/>
            <w:tcBorders>
              <w:top w:val="nil"/>
              <w:left w:val="nil"/>
              <w:bottom w:val="single" w:sz="4" w:space="0" w:color="auto"/>
              <w:right w:val="single" w:sz="4" w:space="0" w:color="auto"/>
            </w:tcBorders>
            <w:shd w:val="clear" w:color="000000" w:fill="B8CCE4"/>
            <w:vAlign w:val="center"/>
            <w:hideMark/>
          </w:tcPr>
          <w:p w14:paraId="6ED6FB3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998.089.189</w:t>
            </w:r>
          </w:p>
        </w:tc>
        <w:tc>
          <w:tcPr>
            <w:tcW w:w="1310" w:type="dxa"/>
            <w:tcBorders>
              <w:top w:val="nil"/>
              <w:left w:val="nil"/>
              <w:bottom w:val="single" w:sz="4" w:space="0" w:color="auto"/>
              <w:right w:val="nil"/>
            </w:tcBorders>
            <w:shd w:val="clear" w:color="000000" w:fill="B8CCE4"/>
            <w:vAlign w:val="center"/>
            <w:hideMark/>
          </w:tcPr>
          <w:p w14:paraId="48701D3C"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918.181.894</w:t>
            </w:r>
          </w:p>
        </w:tc>
        <w:tc>
          <w:tcPr>
            <w:tcW w:w="1128" w:type="dxa"/>
            <w:tcBorders>
              <w:top w:val="nil"/>
              <w:left w:val="single" w:sz="8" w:space="0" w:color="auto"/>
              <w:bottom w:val="single" w:sz="4" w:space="0" w:color="auto"/>
              <w:right w:val="single" w:sz="8" w:space="0" w:color="auto"/>
            </w:tcBorders>
            <w:shd w:val="clear" w:color="000000" w:fill="B8CCE4"/>
            <w:vAlign w:val="center"/>
            <w:hideMark/>
          </w:tcPr>
          <w:p w14:paraId="101E5FB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894.034.872</w:t>
            </w:r>
          </w:p>
        </w:tc>
        <w:tc>
          <w:tcPr>
            <w:tcW w:w="956" w:type="dxa"/>
            <w:tcBorders>
              <w:top w:val="nil"/>
              <w:left w:val="nil"/>
              <w:bottom w:val="single" w:sz="4" w:space="0" w:color="auto"/>
              <w:right w:val="single" w:sz="4" w:space="0" w:color="auto"/>
            </w:tcBorders>
            <w:shd w:val="clear" w:color="000000" w:fill="B8CCE4"/>
            <w:vAlign w:val="center"/>
            <w:hideMark/>
          </w:tcPr>
          <w:p w14:paraId="784BA06F"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92,0</w:t>
            </w:r>
          </w:p>
        </w:tc>
        <w:tc>
          <w:tcPr>
            <w:tcW w:w="1018" w:type="dxa"/>
            <w:tcBorders>
              <w:top w:val="nil"/>
              <w:left w:val="nil"/>
              <w:bottom w:val="single" w:sz="4" w:space="0" w:color="auto"/>
              <w:right w:val="single" w:sz="4" w:space="0" w:color="auto"/>
            </w:tcBorders>
            <w:shd w:val="clear" w:color="000000" w:fill="B8CCE4"/>
            <w:vAlign w:val="center"/>
            <w:hideMark/>
          </w:tcPr>
          <w:p w14:paraId="0856CD2C"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89,6</w:t>
            </w:r>
          </w:p>
        </w:tc>
        <w:tc>
          <w:tcPr>
            <w:tcW w:w="956" w:type="dxa"/>
            <w:tcBorders>
              <w:top w:val="nil"/>
              <w:left w:val="nil"/>
              <w:bottom w:val="single" w:sz="4" w:space="0" w:color="auto"/>
              <w:right w:val="single" w:sz="4" w:space="0" w:color="auto"/>
            </w:tcBorders>
            <w:shd w:val="clear" w:color="000000" w:fill="B8CCE4"/>
            <w:vAlign w:val="center"/>
            <w:hideMark/>
          </w:tcPr>
          <w:p w14:paraId="0509B46E"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97,4</w:t>
            </w:r>
          </w:p>
        </w:tc>
      </w:tr>
      <w:tr w:rsidR="00D847F2" w:rsidRPr="003648DA" w14:paraId="065E648F" w14:textId="77777777" w:rsidTr="00556699">
        <w:trPr>
          <w:trHeight w:val="249"/>
        </w:trPr>
        <w:tc>
          <w:tcPr>
            <w:tcW w:w="2790" w:type="dxa"/>
            <w:tcBorders>
              <w:top w:val="nil"/>
              <w:left w:val="single" w:sz="4" w:space="0" w:color="auto"/>
              <w:bottom w:val="single" w:sz="4" w:space="0" w:color="auto"/>
              <w:right w:val="single" w:sz="4" w:space="0" w:color="auto"/>
            </w:tcBorders>
            <w:shd w:val="clear" w:color="000000" w:fill="DCE6F1"/>
            <w:vAlign w:val="center"/>
            <w:hideMark/>
          </w:tcPr>
          <w:p w14:paraId="33B866EC"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F. Druge terjatve</w:t>
            </w:r>
          </w:p>
        </w:tc>
        <w:tc>
          <w:tcPr>
            <w:tcW w:w="1219" w:type="dxa"/>
            <w:tcBorders>
              <w:top w:val="nil"/>
              <w:left w:val="nil"/>
              <w:bottom w:val="single" w:sz="4" w:space="0" w:color="auto"/>
              <w:right w:val="single" w:sz="4" w:space="0" w:color="auto"/>
            </w:tcBorders>
            <w:shd w:val="clear" w:color="000000" w:fill="DCE6F1"/>
            <w:vAlign w:val="center"/>
            <w:hideMark/>
          </w:tcPr>
          <w:p w14:paraId="44513683"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204</w:t>
            </w:r>
          </w:p>
        </w:tc>
        <w:tc>
          <w:tcPr>
            <w:tcW w:w="1310" w:type="dxa"/>
            <w:tcBorders>
              <w:top w:val="nil"/>
              <w:left w:val="nil"/>
              <w:bottom w:val="single" w:sz="4" w:space="0" w:color="auto"/>
              <w:right w:val="nil"/>
            </w:tcBorders>
            <w:shd w:val="clear" w:color="000000" w:fill="DCE6F1"/>
            <w:vAlign w:val="center"/>
            <w:hideMark/>
          </w:tcPr>
          <w:p w14:paraId="7AA52411"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326.080</w:t>
            </w:r>
          </w:p>
        </w:tc>
        <w:tc>
          <w:tcPr>
            <w:tcW w:w="1128" w:type="dxa"/>
            <w:tcBorders>
              <w:top w:val="nil"/>
              <w:left w:val="single" w:sz="8" w:space="0" w:color="auto"/>
              <w:bottom w:val="single" w:sz="4" w:space="0" w:color="auto"/>
              <w:right w:val="single" w:sz="8" w:space="0" w:color="auto"/>
            </w:tcBorders>
            <w:shd w:val="clear" w:color="000000" w:fill="DCE6F1"/>
            <w:vAlign w:val="center"/>
            <w:hideMark/>
          </w:tcPr>
          <w:p w14:paraId="2C65904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2.315.118</w:t>
            </w:r>
          </w:p>
        </w:tc>
        <w:tc>
          <w:tcPr>
            <w:tcW w:w="956" w:type="dxa"/>
            <w:tcBorders>
              <w:top w:val="nil"/>
              <w:left w:val="nil"/>
              <w:bottom w:val="single" w:sz="4" w:space="0" w:color="auto"/>
              <w:right w:val="single" w:sz="4" w:space="0" w:color="auto"/>
            </w:tcBorders>
            <w:shd w:val="clear" w:color="000000" w:fill="DCE6F1"/>
            <w:vAlign w:val="center"/>
            <w:hideMark/>
          </w:tcPr>
          <w:p w14:paraId="4F5C76B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159.796,1</w:t>
            </w:r>
          </w:p>
        </w:tc>
        <w:tc>
          <w:tcPr>
            <w:tcW w:w="1018" w:type="dxa"/>
            <w:tcBorders>
              <w:top w:val="nil"/>
              <w:left w:val="nil"/>
              <w:bottom w:val="single" w:sz="4" w:space="0" w:color="auto"/>
              <w:right w:val="single" w:sz="4" w:space="0" w:color="auto"/>
            </w:tcBorders>
            <w:shd w:val="clear" w:color="000000" w:fill="DCE6F1"/>
            <w:vAlign w:val="center"/>
            <w:hideMark/>
          </w:tcPr>
          <w:p w14:paraId="2943278B"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1.134.528,1</w:t>
            </w:r>
          </w:p>
        </w:tc>
        <w:tc>
          <w:tcPr>
            <w:tcW w:w="956" w:type="dxa"/>
            <w:tcBorders>
              <w:top w:val="nil"/>
              <w:left w:val="nil"/>
              <w:bottom w:val="single" w:sz="4" w:space="0" w:color="auto"/>
              <w:right w:val="single" w:sz="4" w:space="0" w:color="auto"/>
            </w:tcBorders>
            <w:shd w:val="clear" w:color="000000" w:fill="DCE6F1"/>
            <w:vAlign w:val="center"/>
            <w:hideMark/>
          </w:tcPr>
          <w:p w14:paraId="1050C9E7"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710,0</w:t>
            </w:r>
          </w:p>
        </w:tc>
      </w:tr>
      <w:tr w:rsidR="00D847F2" w:rsidRPr="003648DA" w14:paraId="59C37F8C" w14:textId="77777777" w:rsidTr="00556699">
        <w:trPr>
          <w:trHeight w:val="383"/>
        </w:trPr>
        <w:tc>
          <w:tcPr>
            <w:tcW w:w="2790" w:type="dxa"/>
            <w:tcBorders>
              <w:top w:val="nil"/>
              <w:left w:val="single" w:sz="4" w:space="0" w:color="auto"/>
              <w:bottom w:val="single" w:sz="4" w:space="0" w:color="auto"/>
              <w:right w:val="single" w:sz="4" w:space="0" w:color="auto"/>
            </w:tcBorders>
            <w:shd w:val="clear" w:color="000000" w:fill="B8CCE4"/>
            <w:vAlign w:val="center"/>
            <w:hideMark/>
          </w:tcPr>
          <w:p w14:paraId="6E4479EB" w14:textId="77777777" w:rsidR="00D847F2" w:rsidRPr="003648DA" w:rsidRDefault="00D847F2" w:rsidP="00556699">
            <w:pPr>
              <w:spacing w:after="0" w:line="240" w:lineRule="auto"/>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Skupaj davčni dolg in druge terjatve (E + F)</w:t>
            </w:r>
          </w:p>
        </w:tc>
        <w:tc>
          <w:tcPr>
            <w:tcW w:w="1219" w:type="dxa"/>
            <w:tcBorders>
              <w:top w:val="nil"/>
              <w:left w:val="nil"/>
              <w:bottom w:val="single" w:sz="4" w:space="0" w:color="auto"/>
              <w:right w:val="single" w:sz="4" w:space="0" w:color="auto"/>
            </w:tcBorders>
            <w:shd w:val="clear" w:color="000000" w:fill="B8CCE4"/>
            <w:vAlign w:val="center"/>
            <w:hideMark/>
          </w:tcPr>
          <w:p w14:paraId="54062082"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998.089.393</w:t>
            </w:r>
          </w:p>
        </w:tc>
        <w:tc>
          <w:tcPr>
            <w:tcW w:w="1310" w:type="dxa"/>
            <w:tcBorders>
              <w:top w:val="nil"/>
              <w:left w:val="nil"/>
              <w:bottom w:val="single" w:sz="4" w:space="0" w:color="auto"/>
              <w:right w:val="nil"/>
            </w:tcBorders>
            <w:shd w:val="clear" w:color="000000" w:fill="B8CCE4"/>
            <w:vAlign w:val="center"/>
            <w:hideMark/>
          </w:tcPr>
          <w:p w14:paraId="0A1A0A0D"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918.507.974</w:t>
            </w:r>
          </w:p>
        </w:tc>
        <w:tc>
          <w:tcPr>
            <w:tcW w:w="1128" w:type="dxa"/>
            <w:tcBorders>
              <w:top w:val="nil"/>
              <w:left w:val="single" w:sz="8" w:space="0" w:color="auto"/>
              <w:bottom w:val="single" w:sz="8" w:space="0" w:color="auto"/>
              <w:right w:val="single" w:sz="8" w:space="0" w:color="auto"/>
            </w:tcBorders>
            <w:shd w:val="clear" w:color="000000" w:fill="B8CCE4"/>
            <w:vAlign w:val="center"/>
            <w:hideMark/>
          </w:tcPr>
          <w:p w14:paraId="24003AA3"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896.349.990</w:t>
            </w:r>
          </w:p>
        </w:tc>
        <w:tc>
          <w:tcPr>
            <w:tcW w:w="956" w:type="dxa"/>
            <w:tcBorders>
              <w:top w:val="nil"/>
              <w:left w:val="nil"/>
              <w:bottom w:val="single" w:sz="4" w:space="0" w:color="auto"/>
              <w:right w:val="single" w:sz="4" w:space="0" w:color="auto"/>
            </w:tcBorders>
            <w:shd w:val="clear" w:color="000000" w:fill="B8CCE4"/>
            <w:vAlign w:val="center"/>
            <w:hideMark/>
          </w:tcPr>
          <w:p w14:paraId="37D6559C"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92,0</w:t>
            </w:r>
          </w:p>
        </w:tc>
        <w:tc>
          <w:tcPr>
            <w:tcW w:w="1018" w:type="dxa"/>
            <w:tcBorders>
              <w:top w:val="nil"/>
              <w:left w:val="nil"/>
              <w:bottom w:val="single" w:sz="4" w:space="0" w:color="auto"/>
              <w:right w:val="single" w:sz="4" w:space="0" w:color="auto"/>
            </w:tcBorders>
            <w:shd w:val="clear" w:color="000000" w:fill="B8CCE4"/>
            <w:vAlign w:val="center"/>
            <w:hideMark/>
          </w:tcPr>
          <w:p w14:paraId="349F05B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89,8</w:t>
            </w:r>
          </w:p>
        </w:tc>
        <w:tc>
          <w:tcPr>
            <w:tcW w:w="956" w:type="dxa"/>
            <w:tcBorders>
              <w:top w:val="nil"/>
              <w:left w:val="nil"/>
              <w:bottom w:val="single" w:sz="4" w:space="0" w:color="auto"/>
              <w:right w:val="single" w:sz="4" w:space="0" w:color="auto"/>
            </w:tcBorders>
            <w:shd w:val="clear" w:color="000000" w:fill="B8CCE4"/>
            <w:vAlign w:val="center"/>
            <w:hideMark/>
          </w:tcPr>
          <w:p w14:paraId="53AAC7E5" w14:textId="77777777" w:rsidR="00D847F2" w:rsidRPr="003648DA" w:rsidRDefault="00D847F2" w:rsidP="00556699">
            <w:pPr>
              <w:spacing w:after="0" w:line="240" w:lineRule="auto"/>
              <w:jc w:val="right"/>
              <w:rPr>
                <w:rFonts w:ascii="Arial" w:eastAsia="Times New Roman" w:hAnsi="Arial" w:cs="Arial"/>
                <w:b/>
                <w:bCs/>
                <w:sz w:val="16"/>
                <w:szCs w:val="16"/>
                <w:lang w:eastAsia="sl-SI"/>
              </w:rPr>
            </w:pPr>
            <w:r w:rsidRPr="003648DA">
              <w:rPr>
                <w:rFonts w:ascii="Arial" w:eastAsia="Times New Roman" w:hAnsi="Arial" w:cs="Arial"/>
                <w:b/>
                <w:bCs/>
                <w:sz w:val="16"/>
                <w:szCs w:val="16"/>
                <w:lang w:eastAsia="sl-SI"/>
              </w:rPr>
              <w:t>97,6</w:t>
            </w:r>
          </w:p>
        </w:tc>
      </w:tr>
    </w:tbl>
    <w:p w14:paraId="3C00F227" w14:textId="7F044776" w:rsidR="00D847F2" w:rsidRDefault="00D847F2" w:rsidP="00D847F2">
      <w:pPr>
        <w:rPr>
          <w:rFonts w:ascii="Arial" w:hAnsi="Arial" w:cs="Arial"/>
          <w:i/>
          <w:sz w:val="20"/>
          <w:szCs w:val="20"/>
        </w:rPr>
      </w:pPr>
      <w:r>
        <w:rPr>
          <w:rFonts w:ascii="Arial" w:hAnsi="Arial" w:cs="Arial"/>
          <w:i/>
          <w:sz w:val="20"/>
          <w:szCs w:val="20"/>
        </w:rPr>
        <w:t>V</w:t>
      </w:r>
      <w:r w:rsidRPr="006512EC">
        <w:rPr>
          <w:rFonts w:ascii="Arial" w:hAnsi="Arial" w:cs="Arial"/>
          <w:i/>
          <w:sz w:val="20"/>
          <w:szCs w:val="20"/>
        </w:rPr>
        <w:t>ir: FURS</w:t>
      </w:r>
      <w:r w:rsidR="00D540CC">
        <w:rPr>
          <w:rFonts w:ascii="Arial" w:hAnsi="Arial" w:cs="Arial"/>
          <w:i/>
          <w:sz w:val="20"/>
          <w:szCs w:val="20"/>
        </w:rPr>
        <w:t>.</w:t>
      </w:r>
    </w:p>
    <w:p w14:paraId="3C019C2D" w14:textId="77777777" w:rsidR="00247C3E" w:rsidRDefault="00247C3E" w:rsidP="00D847F2">
      <w:pPr>
        <w:pStyle w:val="Brezrazmikov"/>
        <w:rPr>
          <w:rFonts w:ascii="Arial" w:hAnsi="Arial" w:cs="Arial"/>
          <w:b/>
          <w:sz w:val="20"/>
          <w:szCs w:val="20"/>
        </w:rPr>
      </w:pPr>
    </w:p>
    <w:p w14:paraId="0826BA29" w14:textId="77777777" w:rsidR="00247C3E" w:rsidRDefault="00247C3E" w:rsidP="00D847F2">
      <w:pPr>
        <w:pStyle w:val="Brezrazmikov"/>
        <w:rPr>
          <w:rFonts w:ascii="Arial" w:hAnsi="Arial" w:cs="Arial"/>
          <w:b/>
          <w:sz w:val="20"/>
          <w:szCs w:val="20"/>
        </w:rPr>
      </w:pPr>
    </w:p>
    <w:p w14:paraId="5C2FBB17" w14:textId="24D12FE2" w:rsidR="00D847F2" w:rsidRPr="0052764D" w:rsidRDefault="00D847F2" w:rsidP="00D847F2">
      <w:pPr>
        <w:pStyle w:val="Brezrazmikov"/>
        <w:rPr>
          <w:rFonts w:ascii="Arial" w:hAnsi="Arial" w:cs="Arial"/>
          <w:b/>
          <w:sz w:val="20"/>
          <w:szCs w:val="20"/>
        </w:rPr>
      </w:pPr>
      <w:r w:rsidRPr="00C46CA4">
        <w:rPr>
          <w:rFonts w:ascii="Arial" w:hAnsi="Arial" w:cs="Arial"/>
          <w:b/>
          <w:sz w:val="20"/>
          <w:szCs w:val="20"/>
        </w:rPr>
        <w:lastRenderedPageBreak/>
        <w:t>4.5</w:t>
      </w:r>
      <w:r w:rsidR="00992912">
        <w:rPr>
          <w:rFonts w:ascii="Arial" w:hAnsi="Arial" w:cs="Arial"/>
          <w:b/>
          <w:sz w:val="20"/>
          <w:szCs w:val="20"/>
        </w:rPr>
        <w:t xml:space="preserve"> </w:t>
      </w:r>
      <w:r w:rsidRPr="00C46CA4">
        <w:rPr>
          <w:rFonts w:ascii="Arial" w:hAnsi="Arial" w:cs="Arial"/>
          <w:b/>
          <w:sz w:val="20"/>
          <w:szCs w:val="20"/>
        </w:rPr>
        <w:t>Davčni dolg po vrsti dajatve</w:t>
      </w:r>
    </w:p>
    <w:p w14:paraId="01502998" w14:textId="77777777" w:rsidR="00247C3E" w:rsidRDefault="00247C3E" w:rsidP="00D847F2">
      <w:pPr>
        <w:jc w:val="both"/>
        <w:rPr>
          <w:rFonts w:ascii="Arial" w:hAnsi="Arial" w:cs="Arial"/>
          <w:sz w:val="20"/>
          <w:szCs w:val="20"/>
        </w:rPr>
      </w:pPr>
    </w:p>
    <w:p w14:paraId="014362A6" w14:textId="50C06E31" w:rsidR="00D847F2" w:rsidRDefault="00D847F2" w:rsidP="00D847F2">
      <w:pPr>
        <w:jc w:val="both"/>
        <w:rPr>
          <w:rFonts w:ascii="Arial" w:hAnsi="Arial" w:cs="Arial"/>
          <w:sz w:val="20"/>
          <w:szCs w:val="20"/>
        </w:rPr>
      </w:pPr>
      <w:r w:rsidRPr="00D41C58">
        <w:rPr>
          <w:rFonts w:ascii="Arial" w:hAnsi="Arial" w:cs="Arial"/>
          <w:sz w:val="20"/>
          <w:szCs w:val="20"/>
        </w:rPr>
        <w:t>V okviru davčnih prihodkov imajo največji delež dolga domači davki na blago in storitve, in sicer 35,</w:t>
      </w:r>
      <w:r>
        <w:rPr>
          <w:rFonts w:ascii="Arial" w:hAnsi="Arial" w:cs="Arial"/>
          <w:sz w:val="20"/>
          <w:szCs w:val="20"/>
        </w:rPr>
        <w:t>9</w:t>
      </w:r>
      <w:r w:rsidRPr="00D41C58">
        <w:rPr>
          <w:rFonts w:ascii="Arial" w:hAnsi="Arial" w:cs="Arial"/>
          <w:sz w:val="20"/>
          <w:szCs w:val="20"/>
        </w:rPr>
        <w:t xml:space="preserve"> odstotka. Davki na dohodek in dobiček</w:t>
      </w:r>
      <w:r w:rsidR="00D540CC">
        <w:rPr>
          <w:rFonts w:ascii="Arial" w:hAnsi="Arial" w:cs="Arial"/>
          <w:sz w:val="20"/>
          <w:szCs w:val="20"/>
        </w:rPr>
        <w:t xml:space="preserve"> imajo</w:t>
      </w:r>
      <w:r w:rsidRPr="00D41C58">
        <w:rPr>
          <w:rFonts w:ascii="Arial" w:hAnsi="Arial" w:cs="Arial"/>
          <w:sz w:val="20"/>
          <w:szCs w:val="20"/>
        </w:rPr>
        <w:t xml:space="preserve"> </w:t>
      </w:r>
      <w:r>
        <w:rPr>
          <w:rFonts w:ascii="Arial" w:hAnsi="Arial" w:cs="Arial"/>
          <w:sz w:val="20"/>
          <w:szCs w:val="20"/>
        </w:rPr>
        <w:t>30,4</w:t>
      </w:r>
      <w:r w:rsidRPr="00D41C58">
        <w:rPr>
          <w:rFonts w:ascii="Arial" w:hAnsi="Arial" w:cs="Arial"/>
          <w:sz w:val="20"/>
          <w:szCs w:val="20"/>
        </w:rPr>
        <w:t>-odstotni delež, prispevki za socialno varnost imajo 3</w:t>
      </w:r>
      <w:r>
        <w:rPr>
          <w:rFonts w:ascii="Arial" w:hAnsi="Arial" w:cs="Arial"/>
          <w:sz w:val="20"/>
          <w:szCs w:val="20"/>
        </w:rPr>
        <w:t>0,5</w:t>
      </w:r>
      <w:r w:rsidRPr="00D41C58">
        <w:rPr>
          <w:rFonts w:ascii="Arial" w:hAnsi="Arial" w:cs="Arial"/>
          <w:sz w:val="20"/>
          <w:szCs w:val="20"/>
        </w:rPr>
        <w:t xml:space="preserve">-odstotni delež dolga, davki na premoženje </w:t>
      </w:r>
      <w:r>
        <w:rPr>
          <w:rFonts w:ascii="Arial" w:hAnsi="Arial" w:cs="Arial"/>
          <w:sz w:val="20"/>
          <w:szCs w:val="20"/>
        </w:rPr>
        <w:t>2,8</w:t>
      </w:r>
      <w:r w:rsidRPr="00D41C58">
        <w:rPr>
          <w:rFonts w:ascii="Arial" w:hAnsi="Arial" w:cs="Arial"/>
          <w:sz w:val="20"/>
          <w:szCs w:val="20"/>
        </w:rPr>
        <w:t>-odstotni delež ter davki na mednarodno trgovino in transakcije 0,</w:t>
      </w:r>
      <w:r>
        <w:rPr>
          <w:rFonts w:ascii="Arial" w:hAnsi="Arial" w:cs="Arial"/>
          <w:sz w:val="20"/>
          <w:szCs w:val="20"/>
        </w:rPr>
        <w:t>4</w:t>
      </w:r>
      <w:r w:rsidRPr="00D41C58">
        <w:rPr>
          <w:rFonts w:ascii="Arial" w:hAnsi="Arial" w:cs="Arial"/>
          <w:sz w:val="20"/>
          <w:szCs w:val="20"/>
        </w:rPr>
        <w:t>-odstotni delež.</w:t>
      </w:r>
      <w:r w:rsidR="00992912">
        <w:rPr>
          <w:rFonts w:ascii="Arial" w:hAnsi="Arial" w:cs="Arial"/>
          <w:sz w:val="20"/>
          <w:szCs w:val="20"/>
        </w:rPr>
        <w:t xml:space="preserve"> </w:t>
      </w:r>
    </w:p>
    <w:p w14:paraId="112C1D4D" w14:textId="77777777" w:rsidR="00D847F2" w:rsidRDefault="00D847F2" w:rsidP="00D847F2">
      <w:pPr>
        <w:jc w:val="both"/>
        <w:rPr>
          <w:rFonts w:ascii="Arial" w:hAnsi="Arial" w:cs="Arial"/>
          <w:i/>
          <w:sz w:val="20"/>
          <w:szCs w:val="20"/>
        </w:rPr>
      </w:pPr>
      <w:r w:rsidRPr="00F42A36">
        <w:rPr>
          <w:rFonts w:ascii="Arial" w:hAnsi="Arial" w:cs="Arial"/>
          <w:i/>
          <w:sz w:val="20"/>
          <w:szCs w:val="20"/>
        </w:rPr>
        <w:t xml:space="preserve">Slika </w:t>
      </w:r>
      <w:r>
        <w:rPr>
          <w:rFonts w:ascii="Arial" w:hAnsi="Arial" w:cs="Arial"/>
          <w:i/>
          <w:sz w:val="20"/>
          <w:szCs w:val="20"/>
        </w:rPr>
        <w:t>8:</w:t>
      </w:r>
      <w:r w:rsidRPr="00F42A36">
        <w:rPr>
          <w:rFonts w:ascii="Arial" w:hAnsi="Arial" w:cs="Arial"/>
          <w:i/>
          <w:sz w:val="20"/>
          <w:szCs w:val="20"/>
        </w:rPr>
        <w:t xml:space="preserve"> Struktura davčnega dolga iz davčnih prihodkov</w:t>
      </w:r>
    </w:p>
    <w:p w14:paraId="3B063276" w14:textId="77777777" w:rsidR="00D847F2" w:rsidRDefault="00D847F2" w:rsidP="006E5CB1">
      <w:pPr>
        <w:jc w:val="center"/>
        <w:rPr>
          <w:rFonts w:ascii="Arial" w:hAnsi="Arial" w:cs="Arial"/>
          <w:i/>
          <w:sz w:val="20"/>
          <w:szCs w:val="20"/>
        </w:rPr>
      </w:pPr>
      <w:r>
        <w:rPr>
          <w:noProof/>
          <w:lang w:eastAsia="sl-SI"/>
        </w:rPr>
        <w:drawing>
          <wp:inline distT="0" distB="0" distL="0" distR="0" wp14:anchorId="308C4129" wp14:editId="0FAC803D">
            <wp:extent cx="3590926" cy="3390898"/>
            <wp:effectExtent l="0" t="0" r="0" b="635"/>
            <wp:docPr id="19" name="Grafikon 19">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CAB015" w14:textId="5CDC4E65" w:rsidR="00D847F2" w:rsidRPr="00F42A36" w:rsidRDefault="00D847F2" w:rsidP="00D847F2">
      <w:pPr>
        <w:jc w:val="both"/>
        <w:rPr>
          <w:rFonts w:ascii="Arial" w:hAnsi="Arial" w:cs="Arial"/>
          <w:i/>
          <w:color w:val="000000"/>
          <w:sz w:val="20"/>
          <w:szCs w:val="20"/>
        </w:rPr>
      </w:pPr>
      <w:r>
        <w:rPr>
          <w:rFonts w:ascii="Arial" w:hAnsi="Arial" w:cs="Arial"/>
          <w:i/>
          <w:color w:val="000000"/>
          <w:sz w:val="20"/>
          <w:szCs w:val="20"/>
        </w:rPr>
        <w:t>V</w:t>
      </w:r>
      <w:r w:rsidRPr="00F42A36">
        <w:rPr>
          <w:rFonts w:ascii="Arial" w:hAnsi="Arial" w:cs="Arial"/>
          <w:i/>
          <w:color w:val="000000"/>
          <w:sz w:val="20"/>
          <w:szCs w:val="20"/>
        </w:rPr>
        <w:t>ir: FURS</w:t>
      </w:r>
      <w:r w:rsidR="00D540CC">
        <w:rPr>
          <w:rFonts w:ascii="Arial" w:hAnsi="Arial" w:cs="Arial"/>
          <w:i/>
          <w:color w:val="000000"/>
          <w:sz w:val="20"/>
          <w:szCs w:val="20"/>
        </w:rPr>
        <w:t xml:space="preserve">. </w:t>
      </w:r>
    </w:p>
    <w:p w14:paraId="119E2C2B" w14:textId="77777777" w:rsidR="004E60F1" w:rsidRDefault="004E60F1" w:rsidP="00D847F2">
      <w:pPr>
        <w:pStyle w:val="Odstavekseznama1"/>
        <w:ind w:left="0"/>
        <w:rPr>
          <w:rFonts w:ascii="Arial" w:hAnsi="Arial" w:cs="Arial"/>
          <w:sz w:val="20"/>
          <w:szCs w:val="20"/>
        </w:rPr>
      </w:pPr>
    </w:p>
    <w:p w14:paraId="3A3D9617" w14:textId="77777777" w:rsidR="004E60F1" w:rsidRDefault="004E60F1" w:rsidP="00D847F2">
      <w:pPr>
        <w:pStyle w:val="Odstavekseznama1"/>
        <w:ind w:left="0"/>
        <w:rPr>
          <w:rFonts w:ascii="Arial" w:hAnsi="Arial" w:cs="Arial"/>
          <w:sz w:val="20"/>
          <w:szCs w:val="20"/>
        </w:rPr>
      </w:pPr>
    </w:p>
    <w:p w14:paraId="35D1FFF4" w14:textId="7C112ECE" w:rsidR="00D847F2" w:rsidRPr="006E2C83" w:rsidRDefault="00D847F2" w:rsidP="00D847F2">
      <w:pPr>
        <w:pStyle w:val="Odstavekseznama1"/>
        <w:ind w:left="0"/>
        <w:rPr>
          <w:rFonts w:ascii="Arial" w:hAnsi="Arial" w:cs="Arial"/>
          <w:sz w:val="20"/>
          <w:szCs w:val="20"/>
        </w:rPr>
      </w:pPr>
      <w:r w:rsidRPr="006E2C83">
        <w:rPr>
          <w:rFonts w:ascii="Arial" w:hAnsi="Arial" w:cs="Arial"/>
          <w:sz w:val="20"/>
          <w:szCs w:val="20"/>
        </w:rPr>
        <w:t>Analiza gibanja davčnega dolga po vrstah davkov kaže, da je v letu 2022 zaznati:</w:t>
      </w:r>
    </w:p>
    <w:p w14:paraId="5C8309E8" w14:textId="29B69AE7" w:rsidR="00D847F2" w:rsidRPr="001A2992" w:rsidRDefault="00D847F2" w:rsidP="006E5CB1">
      <w:pPr>
        <w:pStyle w:val="Odstavekseznama1"/>
        <w:numPr>
          <w:ilvl w:val="0"/>
          <w:numId w:val="28"/>
        </w:numPr>
        <w:rPr>
          <w:rFonts w:ascii="Arial" w:hAnsi="Arial" w:cs="Arial"/>
          <w:sz w:val="20"/>
          <w:szCs w:val="20"/>
        </w:rPr>
      </w:pPr>
      <w:r w:rsidRPr="006E2C83">
        <w:rPr>
          <w:rFonts w:ascii="Arial" w:hAnsi="Arial" w:cs="Arial"/>
          <w:i/>
          <w:iCs/>
          <w:sz w:val="20"/>
          <w:szCs w:val="20"/>
        </w:rPr>
        <w:t xml:space="preserve">znižanje dolga </w:t>
      </w:r>
      <w:r w:rsidRPr="006E2C83">
        <w:rPr>
          <w:rFonts w:ascii="Arial" w:hAnsi="Arial" w:cs="Arial"/>
          <w:sz w:val="20"/>
          <w:szCs w:val="20"/>
        </w:rPr>
        <w:t>pri prispevkih za socialno varnost za 12.019.613</w:t>
      </w:r>
      <w:r w:rsidR="00727BBD" w:rsidRPr="006E2C83">
        <w:rPr>
          <w:rFonts w:ascii="Arial" w:hAnsi="Arial" w:cs="Arial"/>
          <w:sz w:val="20"/>
          <w:szCs w:val="20"/>
        </w:rPr>
        <w:t> EUR</w:t>
      </w:r>
      <w:r w:rsidRPr="006E2C83">
        <w:rPr>
          <w:rFonts w:ascii="Arial" w:hAnsi="Arial" w:cs="Arial"/>
          <w:sz w:val="20"/>
          <w:szCs w:val="20"/>
        </w:rPr>
        <w:t xml:space="preserve"> oziroma 4,5 odstotka, pri</w:t>
      </w:r>
      <w:r>
        <w:rPr>
          <w:rFonts w:ascii="Arial" w:hAnsi="Arial" w:cs="Arial"/>
          <w:sz w:val="20"/>
          <w:szCs w:val="20"/>
        </w:rPr>
        <w:t xml:space="preserve"> </w:t>
      </w:r>
      <w:r w:rsidRPr="001A2992">
        <w:rPr>
          <w:rFonts w:ascii="Arial" w:hAnsi="Arial" w:cs="Arial"/>
          <w:sz w:val="20"/>
          <w:szCs w:val="20"/>
        </w:rPr>
        <w:t>domačih davkih na blago in storitve za 7.451.732</w:t>
      </w:r>
      <w:r w:rsidR="001A2992" w:rsidRPr="001A2992">
        <w:rPr>
          <w:rFonts w:ascii="Arial" w:hAnsi="Arial" w:cs="Arial"/>
          <w:sz w:val="20"/>
          <w:szCs w:val="20"/>
        </w:rPr>
        <w:t> EUR</w:t>
      </w:r>
      <w:r w:rsidRPr="001A2992">
        <w:rPr>
          <w:rFonts w:ascii="Arial" w:hAnsi="Arial" w:cs="Arial"/>
          <w:sz w:val="20"/>
          <w:szCs w:val="20"/>
        </w:rPr>
        <w:t xml:space="preserve"> oziroma 2,4 odstotka, pri davkih na premoženje za 4.008.345</w:t>
      </w:r>
      <w:r w:rsidR="001A2992" w:rsidRPr="001A2992">
        <w:rPr>
          <w:rFonts w:ascii="Arial" w:hAnsi="Arial" w:cs="Arial"/>
          <w:sz w:val="20"/>
          <w:szCs w:val="20"/>
        </w:rPr>
        <w:t> EUR</w:t>
      </w:r>
      <w:r w:rsidRPr="001A2992">
        <w:rPr>
          <w:rFonts w:ascii="Arial" w:hAnsi="Arial" w:cs="Arial"/>
          <w:sz w:val="20"/>
          <w:szCs w:val="20"/>
        </w:rPr>
        <w:t xml:space="preserve"> oziroma 14,6 odstotka, pri mednarodni trgovini in transakcijah za 314.873</w:t>
      </w:r>
      <w:r w:rsidR="001A2992" w:rsidRPr="001A2992">
        <w:rPr>
          <w:rFonts w:ascii="Arial" w:hAnsi="Arial" w:cs="Arial"/>
          <w:sz w:val="20"/>
          <w:szCs w:val="20"/>
        </w:rPr>
        <w:t> EUR</w:t>
      </w:r>
      <w:r w:rsidRPr="001A2992">
        <w:rPr>
          <w:rFonts w:ascii="Arial" w:hAnsi="Arial" w:cs="Arial"/>
          <w:sz w:val="20"/>
          <w:szCs w:val="20"/>
        </w:rPr>
        <w:t xml:space="preserve"> oziroma 7,8 odstotka ter pri davkih na plačilno listo in delovno silo za 20.290</w:t>
      </w:r>
      <w:r w:rsidR="001A2992" w:rsidRPr="001A2992">
        <w:rPr>
          <w:rFonts w:ascii="Arial" w:hAnsi="Arial" w:cs="Arial"/>
          <w:sz w:val="20"/>
          <w:szCs w:val="20"/>
        </w:rPr>
        <w:t> EUR</w:t>
      </w:r>
      <w:r w:rsidRPr="001A2992">
        <w:rPr>
          <w:rFonts w:ascii="Arial" w:hAnsi="Arial" w:cs="Arial"/>
          <w:sz w:val="20"/>
          <w:szCs w:val="20"/>
        </w:rPr>
        <w:t xml:space="preserve"> oziroma 5,5 odstotka; </w:t>
      </w:r>
    </w:p>
    <w:p w14:paraId="2A1FFF72" w14:textId="09032777" w:rsidR="00D847F2" w:rsidRPr="006E2C83" w:rsidRDefault="00D847F2" w:rsidP="00D847F2">
      <w:pPr>
        <w:pStyle w:val="Odstavekseznama1"/>
        <w:numPr>
          <w:ilvl w:val="0"/>
          <w:numId w:val="28"/>
        </w:numPr>
        <w:rPr>
          <w:rFonts w:ascii="Arial" w:hAnsi="Arial" w:cs="Arial"/>
          <w:sz w:val="20"/>
          <w:szCs w:val="20"/>
        </w:rPr>
      </w:pPr>
      <w:r w:rsidRPr="006E2C83">
        <w:rPr>
          <w:rFonts w:ascii="Arial" w:hAnsi="Arial" w:cs="Arial"/>
          <w:i/>
          <w:iCs/>
          <w:sz w:val="20"/>
          <w:szCs w:val="20"/>
        </w:rPr>
        <w:t xml:space="preserve">povečanje dolga </w:t>
      </w:r>
      <w:r w:rsidRPr="006E2C83">
        <w:rPr>
          <w:rFonts w:ascii="Arial" w:hAnsi="Arial" w:cs="Arial"/>
          <w:iCs/>
          <w:sz w:val="20"/>
          <w:szCs w:val="20"/>
        </w:rPr>
        <w:t>p</w:t>
      </w:r>
      <w:r w:rsidRPr="006E2C83">
        <w:rPr>
          <w:rFonts w:ascii="Arial" w:hAnsi="Arial" w:cs="Arial"/>
          <w:sz w:val="20"/>
          <w:szCs w:val="20"/>
        </w:rPr>
        <w:t>ri davkih na dohodek in dobiček za 137.283</w:t>
      </w:r>
      <w:r w:rsidR="001A2992" w:rsidRPr="006E2C83">
        <w:rPr>
          <w:rFonts w:ascii="Arial" w:hAnsi="Arial" w:cs="Arial"/>
          <w:sz w:val="20"/>
          <w:szCs w:val="20"/>
        </w:rPr>
        <w:t> EUR</w:t>
      </w:r>
      <w:r w:rsidRPr="006E2C83">
        <w:rPr>
          <w:rFonts w:ascii="Arial" w:hAnsi="Arial" w:cs="Arial"/>
          <w:sz w:val="20"/>
          <w:szCs w:val="20"/>
        </w:rPr>
        <w:t xml:space="preserve"> oziroma 0,1 odstotk</w:t>
      </w:r>
      <w:r w:rsidR="001A2992">
        <w:rPr>
          <w:rFonts w:ascii="Arial" w:hAnsi="Arial" w:cs="Arial"/>
          <w:sz w:val="20"/>
          <w:szCs w:val="20"/>
        </w:rPr>
        <w:t>a</w:t>
      </w:r>
      <w:r w:rsidR="00D540CC">
        <w:rPr>
          <w:rFonts w:ascii="Arial" w:hAnsi="Arial" w:cs="Arial"/>
          <w:sz w:val="20"/>
          <w:szCs w:val="20"/>
        </w:rPr>
        <w:t xml:space="preserve">. </w:t>
      </w:r>
    </w:p>
    <w:p w14:paraId="3E4B32CD" w14:textId="77777777" w:rsidR="00FD449C" w:rsidRDefault="00FD449C" w:rsidP="00D847F2">
      <w:pPr>
        <w:pStyle w:val="Brezrazmikov"/>
        <w:rPr>
          <w:rFonts w:ascii="Arial" w:hAnsi="Arial" w:cs="Arial"/>
          <w:b/>
          <w:sz w:val="20"/>
          <w:szCs w:val="20"/>
        </w:rPr>
      </w:pPr>
    </w:p>
    <w:p w14:paraId="56A51DE2" w14:textId="475C62E8" w:rsidR="00D847F2" w:rsidRPr="006461B2" w:rsidRDefault="00D847F2" w:rsidP="00D847F2">
      <w:pPr>
        <w:pStyle w:val="Brezrazmikov"/>
        <w:rPr>
          <w:rFonts w:ascii="Arial" w:hAnsi="Arial" w:cs="Arial"/>
          <w:b/>
          <w:sz w:val="20"/>
          <w:szCs w:val="20"/>
        </w:rPr>
      </w:pPr>
      <w:r w:rsidRPr="005B396F">
        <w:rPr>
          <w:rFonts w:ascii="Arial" w:hAnsi="Arial" w:cs="Arial"/>
          <w:b/>
          <w:sz w:val="20"/>
          <w:szCs w:val="20"/>
        </w:rPr>
        <w:t>4.6</w:t>
      </w:r>
      <w:r w:rsidR="00992912">
        <w:rPr>
          <w:rFonts w:ascii="Arial" w:hAnsi="Arial" w:cs="Arial"/>
          <w:b/>
          <w:sz w:val="20"/>
          <w:szCs w:val="20"/>
        </w:rPr>
        <w:t xml:space="preserve">  </w:t>
      </w:r>
      <w:r w:rsidRPr="005B396F">
        <w:rPr>
          <w:rFonts w:ascii="Arial" w:hAnsi="Arial" w:cs="Arial"/>
          <w:b/>
          <w:sz w:val="20"/>
          <w:szCs w:val="20"/>
        </w:rPr>
        <w:t>Davčni dolg po starosti</w:t>
      </w:r>
      <w:r w:rsidRPr="006461B2">
        <w:rPr>
          <w:rFonts w:ascii="Arial" w:hAnsi="Arial" w:cs="Arial"/>
          <w:b/>
          <w:sz w:val="20"/>
          <w:szCs w:val="20"/>
        </w:rPr>
        <w:t xml:space="preserve"> </w:t>
      </w:r>
    </w:p>
    <w:p w14:paraId="17784FDB" w14:textId="77777777" w:rsidR="00D847F2" w:rsidRPr="006461B2" w:rsidRDefault="00D847F2" w:rsidP="00D847F2">
      <w:pPr>
        <w:pStyle w:val="Brezrazmikov"/>
      </w:pPr>
    </w:p>
    <w:p w14:paraId="7D9C357C" w14:textId="77777777" w:rsidR="00D847F2" w:rsidRPr="002903DA" w:rsidRDefault="00D847F2" w:rsidP="00D847F2">
      <w:pPr>
        <w:jc w:val="both"/>
        <w:rPr>
          <w:rFonts w:ascii="Arial" w:hAnsi="Arial" w:cs="Arial"/>
          <w:sz w:val="20"/>
          <w:szCs w:val="20"/>
        </w:rPr>
      </w:pPr>
      <w:r w:rsidRPr="006461B2">
        <w:rPr>
          <w:rFonts w:ascii="Arial" w:hAnsi="Arial" w:cs="Arial"/>
          <w:sz w:val="20"/>
          <w:szCs w:val="20"/>
        </w:rPr>
        <w:t xml:space="preserve">Pregled višine davčnega dolga po blagajnah in letu nastanka dolga glede na datum zapadlosti je </w:t>
      </w:r>
      <w:r w:rsidRPr="002903DA">
        <w:rPr>
          <w:rFonts w:ascii="Arial" w:hAnsi="Arial" w:cs="Arial"/>
          <w:sz w:val="20"/>
          <w:szCs w:val="20"/>
        </w:rPr>
        <w:t xml:space="preserve">razviden iz preglednice 8. </w:t>
      </w:r>
    </w:p>
    <w:p w14:paraId="4C244C82" w14:textId="65E8B81D" w:rsidR="001C21D4" w:rsidRDefault="00D847F2" w:rsidP="00FD449C">
      <w:pPr>
        <w:jc w:val="both"/>
        <w:rPr>
          <w:rFonts w:ascii="Arial" w:hAnsi="Arial" w:cs="Arial"/>
          <w:i/>
          <w:sz w:val="20"/>
          <w:szCs w:val="20"/>
        </w:rPr>
      </w:pPr>
      <w:r w:rsidRPr="002903DA">
        <w:rPr>
          <w:rFonts w:ascii="Arial" w:hAnsi="Arial" w:cs="Arial"/>
          <w:sz w:val="20"/>
          <w:szCs w:val="20"/>
        </w:rPr>
        <w:t xml:space="preserve">Dolg z zapadlostjo v letu 2022 po stanju na dan 31. </w:t>
      </w:r>
      <w:r w:rsidR="000E7DDB">
        <w:rPr>
          <w:rFonts w:ascii="Arial" w:hAnsi="Arial" w:cs="Arial"/>
          <w:sz w:val="20"/>
          <w:szCs w:val="20"/>
        </w:rPr>
        <w:t>december</w:t>
      </w:r>
      <w:r w:rsidRPr="002903DA">
        <w:rPr>
          <w:rFonts w:ascii="Arial" w:hAnsi="Arial" w:cs="Arial"/>
          <w:sz w:val="20"/>
          <w:szCs w:val="20"/>
        </w:rPr>
        <w:t xml:space="preserve"> 2022 znaša 207.221.208</w:t>
      </w:r>
      <w:r w:rsidR="001A2992" w:rsidRPr="002903DA">
        <w:rPr>
          <w:rFonts w:ascii="Arial" w:hAnsi="Arial" w:cs="Arial"/>
          <w:sz w:val="20"/>
          <w:szCs w:val="20"/>
        </w:rPr>
        <w:t> EUR</w:t>
      </w:r>
      <w:r w:rsidRPr="002903DA">
        <w:rPr>
          <w:rFonts w:ascii="Arial" w:hAnsi="Arial" w:cs="Arial"/>
          <w:sz w:val="20"/>
          <w:szCs w:val="20"/>
        </w:rPr>
        <w:t xml:space="preserve"> (23,1 odstotek), ob sestavi poročila na dan </w:t>
      </w:r>
      <w:r>
        <w:rPr>
          <w:rFonts w:ascii="Arial" w:hAnsi="Arial" w:cs="Arial"/>
          <w:sz w:val="20"/>
          <w:szCs w:val="20"/>
        </w:rPr>
        <w:t>28</w:t>
      </w:r>
      <w:r w:rsidRPr="002903DA">
        <w:rPr>
          <w:rFonts w:ascii="Arial" w:hAnsi="Arial" w:cs="Arial"/>
          <w:sz w:val="20"/>
          <w:szCs w:val="20"/>
        </w:rPr>
        <w:t xml:space="preserve">. </w:t>
      </w:r>
      <w:r w:rsidR="000E7DDB">
        <w:rPr>
          <w:rFonts w:ascii="Arial" w:hAnsi="Arial" w:cs="Arial"/>
          <w:sz w:val="20"/>
          <w:szCs w:val="20"/>
        </w:rPr>
        <w:t>februar</w:t>
      </w:r>
      <w:r w:rsidRPr="002903DA">
        <w:rPr>
          <w:rFonts w:ascii="Arial" w:hAnsi="Arial" w:cs="Arial"/>
          <w:sz w:val="20"/>
          <w:szCs w:val="20"/>
        </w:rPr>
        <w:t xml:space="preserve"> 202</w:t>
      </w:r>
      <w:r>
        <w:rPr>
          <w:rFonts w:ascii="Arial" w:hAnsi="Arial" w:cs="Arial"/>
          <w:sz w:val="20"/>
          <w:szCs w:val="20"/>
        </w:rPr>
        <w:t>3</w:t>
      </w:r>
      <w:r w:rsidRPr="002903DA">
        <w:rPr>
          <w:rFonts w:ascii="Arial" w:hAnsi="Arial" w:cs="Arial"/>
          <w:color w:val="FF0000"/>
          <w:sz w:val="20"/>
          <w:szCs w:val="20"/>
        </w:rPr>
        <w:t xml:space="preserve"> </w:t>
      </w:r>
      <w:r w:rsidRPr="002903DA">
        <w:rPr>
          <w:rFonts w:ascii="Arial" w:hAnsi="Arial" w:cs="Arial"/>
          <w:sz w:val="20"/>
          <w:szCs w:val="20"/>
        </w:rPr>
        <w:t>znaša 116.666.312</w:t>
      </w:r>
      <w:r w:rsidR="001A2992" w:rsidRPr="002903DA">
        <w:rPr>
          <w:rFonts w:ascii="Arial" w:hAnsi="Arial" w:cs="Arial"/>
          <w:sz w:val="20"/>
          <w:szCs w:val="20"/>
        </w:rPr>
        <w:t> EUR</w:t>
      </w:r>
      <w:r w:rsidRPr="002903DA">
        <w:rPr>
          <w:rFonts w:ascii="Arial" w:hAnsi="Arial" w:cs="Arial"/>
          <w:sz w:val="20"/>
          <w:szCs w:val="20"/>
        </w:rPr>
        <w:t xml:space="preserve"> (12,7 odstotka). Preostali dolg je iz prejšnjih let.</w:t>
      </w:r>
      <w:r w:rsidRPr="00815C36">
        <w:rPr>
          <w:rFonts w:ascii="Arial" w:hAnsi="Arial" w:cs="Arial"/>
          <w:sz w:val="20"/>
          <w:szCs w:val="20"/>
        </w:rPr>
        <w:t xml:space="preserve"> </w:t>
      </w:r>
    </w:p>
    <w:p w14:paraId="058A81CD" w14:textId="77777777" w:rsidR="00247C3E" w:rsidRDefault="00247C3E" w:rsidP="00D847F2">
      <w:pPr>
        <w:pStyle w:val="Brezrazmikov"/>
        <w:rPr>
          <w:rFonts w:ascii="Arial" w:hAnsi="Arial" w:cs="Arial"/>
          <w:i/>
          <w:sz w:val="20"/>
          <w:szCs w:val="20"/>
        </w:rPr>
      </w:pPr>
    </w:p>
    <w:p w14:paraId="474B1323" w14:textId="77777777" w:rsidR="00247C3E" w:rsidRDefault="00247C3E" w:rsidP="00D847F2">
      <w:pPr>
        <w:pStyle w:val="Brezrazmikov"/>
        <w:rPr>
          <w:rFonts w:ascii="Arial" w:hAnsi="Arial" w:cs="Arial"/>
          <w:i/>
          <w:sz w:val="20"/>
          <w:szCs w:val="20"/>
        </w:rPr>
      </w:pPr>
    </w:p>
    <w:p w14:paraId="34603AB5" w14:textId="77777777" w:rsidR="00247C3E" w:rsidRDefault="00247C3E" w:rsidP="00D847F2">
      <w:pPr>
        <w:pStyle w:val="Brezrazmikov"/>
        <w:rPr>
          <w:rFonts w:ascii="Arial" w:hAnsi="Arial" w:cs="Arial"/>
          <w:i/>
          <w:sz w:val="20"/>
          <w:szCs w:val="20"/>
        </w:rPr>
      </w:pPr>
    </w:p>
    <w:p w14:paraId="5643EBCE" w14:textId="77777777" w:rsidR="00247C3E" w:rsidRDefault="00247C3E" w:rsidP="00D847F2">
      <w:pPr>
        <w:pStyle w:val="Brezrazmikov"/>
        <w:rPr>
          <w:rFonts w:ascii="Arial" w:hAnsi="Arial" w:cs="Arial"/>
          <w:i/>
          <w:sz w:val="20"/>
          <w:szCs w:val="20"/>
        </w:rPr>
      </w:pPr>
    </w:p>
    <w:p w14:paraId="0FF1F86A" w14:textId="6AB9000D" w:rsidR="00D847F2" w:rsidRDefault="00D847F2" w:rsidP="00D847F2">
      <w:pPr>
        <w:pStyle w:val="Brezrazmikov"/>
        <w:rPr>
          <w:rFonts w:ascii="Arial" w:hAnsi="Arial" w:cs="Arial"/>
          <w:i/>
          <w:sz w:val="20"/>
          <w:szCs w:val="20"/>
        </w:rPr>
      </w:pPr>
      <w:r w:rsidRPr="00E26F75">
        <w:rPr>
          <w:rFonts w:ascii="Arial" w:hAnsi="Arial" w:cs="Arial"/>
          <w:i/>
          <w:sz w:val="20"/>
          <w:szCs w:val="20"/>
        </w:rPr>
        <w:lastRenderedPageBreak/>
        <w:t>Preglednica 8</w:t>
      </w:r>
      <w:r>
        <w:rPr>
          <w:rFonts w:ascii="Arial" w:hAnsi="Arial" w:cs="Arial"/>
          <w:i/>
          <w:sz w:val="20"/>
          <w:szCs w:val="20"/>
        </w:rPr>
        <w:t xml:space="preserve">: </w:t>
      </w:r>
      <w:r w:rsidRPr="00E26F75">
        <w:rPr>
          <w:rFonts w:ascii="Arial" w:hAnsi="Arial" w:cs="Arial"/>
          <w:i/>
          <w:sz w:val="20"/>
          <w:szCs w:val="20"/>
        </w:rPr>
        <w:t>Davčni dolg po javnofinančnih blagajnah glede na zapadlost v EUR</w:t>
      </w:r>
    </w:p>
    <w:p w14:paraId="50D3A792" w14:textId="77777777" w:rsidR="00D847F2" w:rsidRDefault="00D847F2" w:rsidP="00D847F2">
      <w:pPr>
        <w:pStyle w:val="Brezrazmikov"/>
        <w:rPr>
          <w:rFonts w:ascii="Arial" w:hAnsi="Arial" w:cs="Arial"/>
          <w:i/>
          <w:sz w:val="20"/>
          <w:szCs w:val="20"/>
        </w:rPr>
      </w:pPr>
    </w:p>
    <w:tbl>
      <w:tblPr>
        <w:tblW w:w="9288" w:type="dxa"/>
        <w:tblCellMar>
          <w:left w:w="70" w:type="dxa"/>
          <w:right w:w="70" w:type="dxa"/>
        </w:tblCellMar>
        <w:tblLook w:val="04A0" w:firstRow="1" w:lastRow="0" w:firstColumn="1" w:lastColumn="0" w:noHBand="0" w:noVBand="1"/>
      </w:tblPr>
      <w:tblGrid>
        <w:gridCol w:w="1419"/>
        <w:gridCol w:w="1150"/>
        <w:gridCol w:w="1064"/>
        <w:gridCol w:w="1093"/>
        <w:gridCol w:w="1092"/>
        <w:gridCol w:w="1042"/>
        <w:gridCol w:w="1146"/>
        <w:gridCol w:w="1141"/>
        <w:gridCol w:w="146"/>
      </w:tblGrid>
      <w:tr w:rsidR="00D847F2" w:rsidRPr="002A7699" w14:paraId="77BF1AE3" w14:textId="77777777" w:rsidTr="00556699">
        <w:trPr>
          <w:gridAfter w:val="1"/>
          <w:wAfter w:w="145" w:type="dxa"/>
          <w:trHeight w:val="450"/>
        </w:trPr>
        <w:tc>
          <w:tcPr>
            <w:tcW w:w="1419"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62D07B49"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Davčni dolg po javnofinančnih blagajnah</w:t>
            </w:r>
          </w:p>
        </w:tc>
        <w:tc>
          <w:tcPr>
            <w:tcW w:w="1150"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73169D79"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Zapadlost dolga </w:t>
            </w:r>
            <w:r>
              <w:rPr>
                <w:rFonts w:ascii="Arial" w:eastAsia="Times New Roman" w:hAnsi="Arial" w:cs="Arial"/>
                <w:b/>
                <w:bCs/>
                <w:sz w:val="18"/>
                <w:szCs w:val="18"/>
                <w:lang w:eastAsia="sl-SI"/>
              </w:rPr>
              <w:t>do</w:t>
            </w:r>
            <w:r w:rsidRPr="002A7699">
              <w:rPr>
                <w:rFonts w:ascii="Arial" w:eastAsia="Times New Roman" w:hAnsi="Arial" w:cs="Arial"/>
                <w:b/>
                <w:bCs/>
                <w:sz w:val="18"/>
                <w:szCs w:val="18"/>
                <w:lang w:eastAsia="sl-SI"/>
              </w:rPr>
              <w:t xml:space="preserve"> let</w:t>
            </w:r>
            <w:r>
              <w:rPr>
                <w:rFonts w:ascii="Arial" w:eastAsia="Times New Roman" w:hAnsi="Arial" w:cs="Arial"/>
                <w:b/>
                <w:bCs/>
                <w:sz w:val="18"/>
                <w:szCs w:val="18"/>
                <w:lang w:eastAsia="sl-SI"/>
              </w:rPr>
              <w:t>a</w:t>
            </w:r>
            <w:r w:rsidRPr="002A7699">
              <w:rPr>
                <w:rFonts w:ascii="Arial" w:eastAsia="Times New Roman" w:hAnsi="Arial" w:cs="Arial"/>
                <w:b/>
                <w:bCs/>
                <w:sz w:val="18"/>
                <w:szCs w:val="18"/>
                <w:lang w:eastAsia="sl-SI"/>
              </w:rPr>
              <w:t xml:space="preserve"> 2017</w:t>
            </w:r>
          </w:p>
        </w:tc>
        <w:tc>
          <w:tcPr>
            <w:tcW w:w="1062"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45A411C2"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Zapadlost dolga v letu 2018</w:t>
            </w:r>
          </w:p>
        </w:tc>
        <w:tc>
          <w:tcPr>
            <w:tcW w:w="1093"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424A2168"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Zapadlost dolga v letu 2019</w:t>
            </w:r>
          </w:p>
        </w:tc>
        <w:tc>
          <w:tcPr>
            <w:tcW w:w="1111"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30F07C22"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Zapadlost dolga v letu 2020</w:t>
            </w:r>
          </w:p>
        </w:tc>
        <w:tc>
          <w:tcPr>
            <w:tcW w:w="1042"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14D6E6AB"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Zapadlost dolga v letu 2021</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135BD816"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Zapadlost dolga v letu 2022</w:t>
            </w:r>
          </w:p>
        </w:tc>
        <w:tc>
          <w:tcPr>
            <w:tcW w:w="1118"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457D6CAE"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Skupaj stanje dolga </w:t>
            </w:r>
          </w:p>
        </w:tc>
      </w:tr>
      <w:tr w:rsidR="00D847F2" w:rsidRPr="002A7699" w14:paraId="62DFE8AA" w14:textId="77777777" w:rsidTr="00556699">
        <w:trPr>
          <w:trHeight w:val="250"/>
        </w:trPr>
        <w:tc>
          <w:tcPr>
            <w:tcW w:w="1419" w:type="dxa"/>
            <w:vMerge/>
            <w:tcBorders>
              <w:top w:val="single" w:sz="4" w:space="0" w:color="auto"/>
              <w:left w:val="single" w:sz="4" w:space="0" w:color="auto"/>
              <w:bottom w:val="single" w:sz="4" w:space="0" w:color="000000"/>
              <w:right w:val="single" w:sz="4" w:space="0" w:color="auto"/>
            </w:tcBorders>
            <w:vAlign w:val="center"/>
            <w:hideMark/>
          </w:tcPr>
          <w:p w14:paraId="797761D5"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14:paraId="73F133D1"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075DDA7B"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093" w:type="dxa"/>
            <w:vMerge/>
            <w:tcBorders>
              <w:top w:val="single" w:sz="4" w:space="0" w:color="auto"/>
              <w:left w:val="single" w:sz="4" w:space="0" w:color="auto"/>
              <w:bottom w:val="single" w:sz="4" w:space="0" w:color="000000"/>
              <w:right w:val="single" w:sz="4" w:space="0" w:color="auto"/>
            </w:tcBorders>
            <w:vAlign w:val="center"/>
            <w:hideMark/>
          </w:tcPr>
          <w:p w14:paraId="36935668"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4D66B6B0"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787B4EC8"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14:paraId="2D8A4E7C"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2DF1C064" w14:textId="77777777" w:rsidR="00D847F2" w:rsidRPr="002A7699" w:rsidRDefault="00D847F2" w:rsidP="00556699">
            <w:pPr>
              <w:spacing w:after="0" w:line="240" w:lineRule="auto"/>
              <w:rPr>
                <w:rFonts w:ascii="Arial" w:eastAsia="Times New Roman" w:hAnsi="Arial" w:cs="Arial"/>
                <w:b/>
                <w:bCs/>
                <w:sz w:val="18"/>
                <w:szCs w:val="18"/>
                <w:lang w:eastAsia="sl-SI"/>
              </w:rPr>
            </w:pPr>
          </w:p>
        </w:tc>
        <w:tc>
          <w:tcPr>
            <w:tcW w:w="141" w:type="dxa"/>
            <w:tcBorders>
              <w:top w:val="nil"/>
              <w:left w:val="nil"/>
              <w:bottom w:val="nil"/>
              <w:right w:val="nil"/>
            </w:tcBorders>
            <w:shd w:val="clear" w:color="auto" w:fill="auto"/>
            <w:noWrap/>
            <w:vAlign w:val="bottom"/>
            <w:hideMark/>
          </w:tcPr>
          <w:p w14:paraId="2E6E91E6" w14:textId="77777777" w:rsidR="00D847F2" w:rsidRPr="002A7699" w:rsidRDefault="00D847F2" w:rsidP="00556699">
            <w:pPr>
              <w:spacing w:after="0" w:line="240" w:lineRule="auto"/>
              <w:jc w:val="center"/>
              <w:rPr>
                <w:rFonts w:ascii="Arial" w:eastAsia="Times New Roman" w:hAnsi="Arial" w:cs="Arial"/>
                <w:b/>
                <w:bCs/>
                <w:sz w:val="18"/>
                <w:szCs w:val="18"/>
                <w:lang w:eastAsia="sl-SI"/>
              </w:rPr>
            </w:pPr>
          </w:p>
        </w:tc>
      </w:tr>
      <w:tr w:rsidR="00D847F2" w:rsidRPr="002A7699" w14:paraId="701840C5" w14:textId="77777777" w:rsidTr="00556699">
        <w:trPr>
          <w:trHeight w:val="194"/>
        </w:trPr>
        <w:tc>
          <w:tcPr>
            <w:tcW w:w="9147" w:type="dxa"/>
            <w:gridSpan w:val="8"/>
            <w:tcBorders>
              <w:top w:val="single" w:sz="4" w:space="0" w:color="auto"/>
              <w:left w:val="single" w:sz="4" w:space="0" w:color="auto"/>
              <w:bottom w:val="single" w:sz="4" w:space="0" w:color="auto"/>
              <w:right w:val="single" w:sz="4" w:space="0" w:color="000000"/>
            </w:tcBorders>
            <w:shd w:val="clear" w:color="000000" w:fill="DCE6F1"/>
            <w:vAlign w:val="center"/>
            <w:hideMark/>
          </w:tcPr>
          <w:p w14:paraId="42ED9FDE"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Državni proračun </w:t>
            </w:r>
          </w:p>
        </w:tc>
        <w:tc>
          <w:tcPr>
            <w:tcW w:w="141" w:type="dxa"/>
            <w:vAlign w:val="center"/>
            <w:hideMark/>
          </w:tcPr>
          <w:p w14:paraId="311AE6E2"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7CBE1322"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D79A925"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Aktivni dolg </w:t>
            </w:r>
          </w:p>
        </w:tc>
        <w:tc>
          <w:tcPr>
            <w:tcW w:w="1150" w:type="dxa"/>
            <w:tcBorders>
              <w:top w:val="nil"/>
              <w:left w:val="nil"/>
              <w:bottom w:val="single" w:sz="4" w:space="0" w:color="auto"/>
              <w:right w:val="single" w:sz="4" w:space="0" w:color="auto"/>
            </w:tcBorders>
            <w:shd w:val="clear" w:color="auto" w:fill="auto"/>
            <w:vAlign w:val="center"/>
            <w:hideMark/>
          </w:tcPr>
          <w:p w14:paraId="6F5AD9B7"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63.721.295</w:t>
            </w:r>
          </w:p>
        </w:tc>
        <w:tc>
          <w:tcPr>
            <w:tcW w:w="1062" w:type="dxa"/>
            <w:tcBorders>
              <w:top w:val="nil"/>
              <w:left w:val="nil"/>
              <w:bottom w:val="single" w:sz="4" w:space="0" w:color="auto"/>
              <w:right w:val="single" w:sz="4" w:space="0" w:color="auto"/>
            </w:tcBorders>
            <w:shd w:val="clear" w:color="auto" w:fill="auto"/>
            <w:vAlign w:val="center"/>
            <w:hideMark/>
          </w:tcPr>
          <w:p w14:paraId="0B5F2344"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10.846.485</w:t>
            </w:r>
          </w:p>
        </w:tc>
        <w:tc>
          <w:tcPr>
            <w:tcW w:w="1093" w:type="dxa"/>
            <w:tcBorders>
              <w:top w:val="nil"/>
              <w:left w:val="nil"/>
              <w:bottom w:val="single" w:sz="4" w:space="0" w:color="auto"/>
              <w:right w:val="single" w:sz="4" w:space="0" w:color="auto"/>
            </w:tcBorders>
            <w:shd w:val="clear" w:color="auto" w:fill="auto"/>
            <w:vAlign w:val="center"/>
            <w:hideMark/>
          </w:tcPr>
          <w:p w14:paraId="5BD89CD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19.844.824</w:t>
            </w:r>
          </w:p>
        </w:tc>
        <w:tc>
          <w:tcPr>
            <w:tcW w:w="1111" w:type="dxa"/>
            <w:tcBorders>
              <w:top w:val="nil"/>
              <w:left w:val="nil"/>
              <w:bottom w:val="single" w:sz="4" w:space="0" w:color="auto"/>
              <w:right w:val="single" w:sz="4" w:space="0" w:color="auto"/>
            </w:tcBorders>
            <w:shd w:val="clear" w:color="auto" w:fill="auto"/>
            <w:vAlign w:val="center"/>
            <w:hideMark/>
          </w:tcPr>
          <w:p w14:paraId="2005428A"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32.432.680</w:t>
            </w:r>
          </w:p>
        </w:tc>
        <w:tc>
          <w:tcPr>
            <w:tcW w:w="1042" w:type="dxa"/>
            <w:tcBorders>
              <w:top w:val="nil"/>
              <w:left w:val="nil"/>
              <w:bottom w:val="single" w:sz="4" w:space="0" w:color="auto"/>
              <w:right w:val="single" w:sz="4" w:space="0" w:color="auto"/>
            </w:tcBorders>
            <w:shd w:val="clear" w:color="auto" w:fill="auto"/>
            <w:vAlign w:val="center"/>
            <w:hideMark/>
          </w:tcPr>
          <w:p w14:paraId="04D67397"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37.992.119</w:t>
            </w:r>
          </w:p>
        </w:tc>
        <w:tc>
          <w:tcPr>
            <w:tcW w:w="1148" w:type="dxa"/>
            <w:tcBorders>
              <w:top w:val="nil"/>
              <w:left w:val="nil"/>
              <w:bottom w:val="single" w:sz="4" w:space="0" w:color="auto"/>
              <w:right w:val="single" w:sz="4" w:space="0" w:color="auto"/>
            </w:tcBorders>
            <w:shd w:val="clear" w:color="auto" w:fill="auto"/>
            <w:vAlign w:val="center"/>
            <w:hideMark/>
          </w:tcPr>
          <w:p w14:paraId="321D17F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141.892.791</w:t>
            </w:r>
          </w:p>
        </w:tc>
        <w:tc>
          <w:tcPr>
            <w:tcW w:w="1118" w:type="dxa"/>
            <w:tcBorders>
              <w:top w:val="nil"/>
              <w:left w:val="nil"/>
              <w:bottom w:val="single" w:sz="4" w:space="0" w:color="auto"/>
              <w:right w:val="single" w:sz="4" w:space="0" w:color="auto"/>
            </w:tcBorders>
            <w:shd w:val="clear" w:color="auto" w:fill="auto"/>
            <w:vAlign w:val="center"/>
            <w:hideMark/>
          </w:tcPr>
          <w:p w14:paraId="212D035F"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306.730.194</w:t>
            </w:r>
          </w:p>
        </w:tc>
        <w:tc>
          <w:tcPr>
            <w:tcW w:w="141" w:type="dxa"/>
            <w:vAlign w:val="center"/>
            <w:hideMark/>
          </w:tcPr>
          <w:p w14:paraId="56E72688"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56F79315" w14:textId="77777777" w:rsidTr="00556699">
        <w:trPr>
          <w:trHeight w:val="290"/>
        </w:trPr>
        <w:tc>
          <w:tcPr>
            <w:tcW w:w="1419" w:type="dxa"/>
            <w:tcBorders>
              <w:top w:val="nil"/>
              <w:left w:val="single" w:sz="4" w:space="0" w:color="auto"/>
              <w:bottom w:val="nil"/>
              <w:right w:val="single" w:sz="4" w:space="0" w:color="auto"/>
            </w:tcBorders>
            <w:shd w:val="clear" w:color="auto" w:fill="auto"/>
            <w:vAlign w:val="center"/>
            <w:hideMark/>
          </w:tcPr>
          <w:p w14:paraId="22F0F67D"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Pogojno izterljivi dolg </w:t>
            </w:r>
          </w:p>
        </w:tc>
        <w:tc>
          <w:tcPr>
            <w:tcW w:w="1150" w:type="dxa"/>
            <w:tcBorders>
              <w:top w:val="nil"/>
              <w:left w:val="nil"/>
              <w:bottom w:val="nil"/>
              <w:right w:val="single" w:sz="4" w:space="0" w:color="auto"/>
            </w:tcBorders>
            <w:shd w:val="clear" w:color="auto" w:fill="auto"/>
            <w:vAlign w:val="center"/>
            <w:hideMark/>
          </w:tcPr>
          <w:p w14:paraId="112CEC0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201.255.080</w:t>
            </w:r>
          </w:p>
        </w:tc>
        <w:tc>
          <w:tcPr>
            <w:tcW w:w="1062" w:type="dxa"/>
            <w:tcBorders>
              <w:top w:val="nil"/>
              <w:left w:val="nil"/>
              <w:bottom w:val="nil"/>
              <w:right w:val="single" w:sz="4" w:space="0" w:color="auto"/>
            </w:tcBorders>
            <w:shd w:val="clear" w:color="auto" w:fill="auto"/>
            <w:vAlign w:val="center"/>
            <w:hideMark/>
          </w:tcPr>
          <w:p w14:paraId="0368BC57"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18.576.991</w:t>
            </w:r>
          </w:p>
        </w:tc>
        <w:tc>
          <w:tcPr>
            <w:tcW w:w="1093" w:type="dxa"/>
            <w:tcBorders>
              <w:top w:val="nil"/>
              <w:left w:val="nil"/>
              <w:bottom w:val="nil"/>
              <w:right w:val="single" w:sz="4" w:space="0" w:color="auto"/>
            </w:tcBorders>
            <w:shd w:val="clear" w:color="auto" w:fill="auto"/>
            <w:vAlign w:val="center"/>
            <w:hideMark/>
          </w:tcPr>
          <w:p w14:paraId="640E149E"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26.521.882</w:t>
            </w:r>
          </w:p>
        </w:tc>
        <w:tc>
          <w:tcPr>
            <w:tcW w:w="1111" w:type="dxa"/>
            <w:tcBorders>
              <w:top w:val="nil"/>
              <w:left w:val="nil"/>
              <w:bottom w:val="single" w:sz="4" w:space="0" w:color="auto"/>
              <w:right w:val="single" w:sz="4" w:space="0" w:color="auto"/>
            </w:tcBorders>
            <w:shd w:val="clear" w:color="auto" w:fill="auto"/>
            <w:vAlign w:val="center"/>
            <w:hideMark/>
          </w:tcPr>
          <w:p w14:paraId="0B39E86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25.499.499</w:t>
            </w:r>
          </w:p>
        </w:tc>
        <w:tc>
          <w:tcPr>
            <w:tcW w:w="1042" w:type="dxa"/>
            <w:tcBorders>
              <w:top w:val="nil"/>
              <w:left w:val="nil"/>
              <w:bottom w:val="single" w:sz="4" w:space="0" w:color="auto"/>
              <w:right w:val="single" w:sz="4" w:space="0" w:color="auto"/>
            </w:tcBorders>
            <w:shd w:val="clear" w:color="auto" w:fill="auto"/>
            <w:vAlign w:val="center"/>
            <w:hideMark/>
          </w:tcPr>
          <w:p w14:paraId="4794E28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25.011.198</w:t>
            </w:r>
          </w:p>
        </w:tc>
        <w:tc>
          <w:tcPr>
            <w:tcW w:w="1148" w:type="dxa"/>
            <w:tcBorders>
              <w:top w:val="nil"/>
              <w:left w:val="nil"/>
              <w:bottom w:val="single" w:sz="4" w:space="0" w:color="auto"/>
              <w:right w:val="single" w:sz="4" w:space="0" w:color="auto"/>
            </w:tcBorders>
            <w:shd w:val="clear" w:color="auto" w:fill="auto"/>
            <w:vAlign w:val="center"/>
            <w:hideMark/>
          </w:tcPr>
          <w:p w14:paraId="35C3103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13.618.629</w:t>
            </w:r>
          </w:p>
        </w:tc>
        <w:tc>
          <w:tcPr>
            <w:tcW w:w="1118" w:type="dxa"/>
            <w:tcBorders>
              <w:top w:val="nil"/>
              <w:left w:val="nil"/>
              <w:bottom w:val="single" w:sz="4" w:space="0" w:color="auto"/>
              <w:right w:val="single" w:sz="4" w:space="0" w:color="auto"/>
            </w:tcBorders>
            <w:shd w:val="clear" w:color="auto" w:fill="auto"/>
            <w:vAlign w:val="center"/>
            <w:hideMark/>
          </w:tcPr>
          <w:p w14:paraId="1752BAAC"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310.483.279</w:t>
            </w:r>
          </w:p>
        </w:tc>
        <w:tc>
          <w:tcPr>
            <w:tcW w:w="141" w:type="dxa"/>
            <w:vAlign w:val="center"/>
            <w:hideMark/>
          </w:tcPr>
          <w:p w14:paraId="5BD00909"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F0AF975" w14:textId="77777777" w:rsidTr="00556699">
        <w:trPr>
          <w:trHeight w:val="177"/>
        </w:trPr>
        <w:tc>
          <w:tcPr>
            <w:tcW w:w="1419"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72D26D49"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Skupaj država</w:t>
            </w:r>
          </w:p>
        </w:tc>
        <w:tc>
          <w:tcPr>
            <w:tcW w:w="1150" w:type="dxa"/>
            <w:tcBorders>
              <w:top w:val="double" w:sz="6" w:space="0" w:color="auto"/>
              <w:left w:val="nil"/>
              <w:bottom w:val="double" w:sz="6" w:space="0" w:color="auto"/>
              <w:right w:val="single" w:sz="4" w:space="0" w:color="auto"/>
            </w:tcBorders>
            <w:shd w:val="clear" w:color="auto" w:fill="auto"/>
            <w:vAlign w:val="center"/>
            <w:hideMark/>
          </w:tcPr>
          <w:p w14:paraId="0DB76F80"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264.976.375</w:t>
            </w:r>
          </w:p>
        </w:tc>
        <w:tc>
          <w:tcPr>
            <w:tcW w:w="1062" w:type="dxa"/>
            <w:tcBorders>
              <w:top w:val="double" w:sz="6" w:space="0" w:color="auto"/>
              <w:left w:val="nil"/>
              <w:bottom w:val="double" w:sz="6" w:space="0" w:color="auto"/>
              <w:right w:val="single" w:sz="4" w:space="0" w:color="auto"/>
            </w:tcBorders>
            <w:shd w:val="clear" w:color="auto" w:fill="auto"/>
            <w:vAlign w:val="center"/>
            <w:hideMark/>
          </w:tcPr>
          <w:p w14:paraId="513D3D38"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29.423.476</w:t>
            </w:r>
          </w:p>
        </w:tc>
        <w:tc>
          <w:tcPr>
            <w:tcW w:w="1093" w:type="dxa"/>
            <w:tcBorders>
              <w:top w:val="double" w:sz="6" w:space="0" w:color="auto"/>
              <w:left w:val="nil"/>
              <w:bottom w:val="double" w:sz="6" w:space="0" w:color="auto"/>
              <w:right w:val="single" w:sz="4" w:space="0" w:color="auto"/>
            </w:tcBorders>
            <w:shd w:val="clear" w:color="auto" w:fill="auto"/>
            <w:vAlign w:val="center"/>
            <w:hideMark/>
          </w:tcPr>
          <w:p w14:paraId="35625E44"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46.366.706</w:t>
            </w:r>
          </w:p>
        </w:tc>
        <w:tc>
          <w:tcPr>
            <w:tcW w:w="1111" w:type="dxa"/>
            <w:tcBorders>
              <w:top w:val="double" w:sz="6" w:space="0" w:color="auto"/>
              <w:left w:val="nil"/>
              <w:bottom w:val="double" w:sz="6" w:space="0" w:color="auto"/>
              <w:right w:val="single" w:sz="4" w:space="0" w:color="auto"/>
            </w:tcBorders>
            <w:shd w:val="clear" w:color="auto" w:fill="auto"/>
            <w:vAlign w:val="center"/>
            <w:hideMark/>
          </w:tcPr>
          <w:p w14:paraId="19C73723"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57.932.179</w:t>
            </w:r>
          </w:p>
        </w:tc>
        <w:tc>
          <w:tcPr>
            <w:tcW w:w="1042" w:type="dxa"/>
            <w:tcBorders>
              <w:top w:val="double" w:sz="6" w:space="0" w:color="auto"/>
              <w:left w:val="nil"/>
              <w:bottom w:val="double" w:sz="6" w:space="0" w:color="auto"/>
              <w:right w:val="single" w:sz="4" w:space="0" w:color="auto"/>
            </w:tcBorders>
            <w:shd w:val="clear" w:color="auto" w:fill="auto"/>
            <w:vAlign w:val="center"/>
            <w:hideMark/>
          </w:tcPr>
          <w:p w14:paraId="0A9B0ACA"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63.003.317</w:t>
            </w:r>
          </w:p>
        </w:tc>
        <w:tc>
          <w:tcPr>
            <w:tcW w:w="1148" w:type="dxa"/>
            <w:tcBorders>
              <w:top w:val="double" w:sz="6" w:space="0" w:color="auto"/>
              <w:left w:val="nil"/>
              <w:bottom w:val="double" w:sz="6" w:space="0" w:color="auto"/>
              <w:right w:val="single" w:sz="4" w:space="0" w:color="auto"/>
            </w:tcBorders>
            <w:shd w:val="clear" w:color="auto" w:fill="auto"/>
            <w:vAlign w:val="center"/>
            <w:hideMark/>
          </w:tcPr>
          <w:p w14:paraId="78F9AF63"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155.511.420</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1DCA5829"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617.213.473</w:t>
            </w:r>
          </w:p>
        </w:tc>
        <w:tc>
          <w:tcPr>
            <w:tcW w:w="141" w:type="dxa"/>
            <w:vAlign w:val="center"/>
            <w:hideMark/>
          </w:tcPr>
          <w:p w14:paraId="76A4E5A6"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71465D6" w14:textId="77777777" w:rsidTr="00556699">
        <w:trPr>
          <w:trHeight w:val="210"/>
        </w:trPr>
        <w:tc>
          <w:tcPr>
            <w:tcW w:w="9147" w:type="dxa"/>
            <w:gridSpan w:val="8"/>
            <w:tcBorders>
              <w:top w:val="double" w:sz="6" w:space="0" w:color="auto"/>
              <w:left w:val="single" w:sz="4" w:space="0" w:color="auto"/>
              <w:bottom w:val="single" w:sz="4" w:space="0" w:color="auto"/>
              <w:right w:val="single" w:sz="4" w:space="0" w:color="000000"/>
            </w:tcBorders>
            <w:shd w:val="clear" w:color="000000" w:fill="DCE6F1"/>
            <w:noWrap/>
            <w:vAlign w:val="center"/>
            <w:hideMark/>
          </w:tcPr>
          <w:p w14:paraId="5310C390"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Zavod za pokojninsko in invalidsko zavarovanje </w:t>
            </w:r>
          </w:p>
        </w:tc>
        <w:tc>
          <w:tcPr>
            <w:tcW w:w="141" w:type="dxa"/>
            <w:vAlign w:val="center"/>
            <w:hideMark/>
          </w:tcPr>
          <w:p w14:paraId="452B3EC8"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4A180705"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54937ACA"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Aktivni dolg </w:t>
            </w:r>
          </w:p>
        </w:tc>
        <w:tc>
          <w:tcPr>
            <w:tcW w:w="1150" w:type="dxa"/>
            <w:tcBorders>
              <w:top w:val="nil"/>
              <w:left w:val="nil"/>
              <w:bottom w:val="single" w:sz="4" w:space="0" w:color="auto"/>
              <w:right w:val="single" w:sz="4" w:space="0" w:color="auto"/>
            </w:tcBorders>
            <w:shd w:val="clear" w:color="auto" w:fill="auto"/>
            <w:vAlign w:val="center"/>
            <w:hideMark/>
          </w:tcPr>
          <w:p w14:paraId="38DA6C21"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27.185.915</w:t>
            </w:r>
          </w:p>
        </w:tc>
        <w:tc>
          <w:tcPr>
            <w:tcW w:w="1062" w:type="dxa"/>
            <w:tcBorders>
              <w:top w:val="nil"/>
              <w:left w:val="nil"/>
              <w:bottom w:val="single" w:sz="4" w:space="0" w:color="auto"/>
              <w:right w:val="single" w:sz="4" w:space="0" w:color="auto"/>
            </w:tcBorders>
            <w:shd w:val="clear" w:color="auto" w:fill="auto"/>
            <w:vAlign w:val="center"/>
            <w:hideMark/>
          </w:tcPr>
          <w:p w14:paraId="2E72F22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5.624.162</w:t>
            </w:r>
          </w:p>
        </w:tc>
        <w:tc>
          <w:tcPr>
            <w:tcW w:w="1093" w:type="dxa"/>
            <w:tcBorders>
              <w:top w:val="nil"/>
              <w:left w:val="nil"/>
              <w:bottom w:val="single" w:sz="4" w:space="0" w:color="auto"/>
              <w:right w:val="single" w:sz="4" w:space="0" w:color="auto"/>
            </w:tcBorders>
            <w:shd w:val="clear" w:color="auto" w:fill="auto"/>
            <w:vAlign w:val="center"/>
            <w:hideMark/>
          </w:tcPr>
          <w:p w14:paraId="0AC16711"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4.527.613</w:t>
            </w:r>
          </w:p>
        </w:tc>
        <w:tc>
          <w:tcPr>
            <w:tcW w:w="1111" w:type="dxa"/>
            <w:tcBorders>
              <w:top w:val="nil"/>
              <w:left w:val="nil"/>
              <w:bottom w:val="single" w:sz="4" w:space="0" w:color="auto"/>
              <w:right w:val="single" w:sz="4" w:space="0" w:color="auto"/>
            </w:tcBorders>
            <w:shd w:val="clear" w:color="auto" w:fill="auto"/>
            <w:vAlign w:val="center"/>
            <w:hideMark/>
          </w:tcPr>
          <w:p w14:paraId="389BABE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5.279.766</w:t>
            </w:r>
          </w:p>
        </w:tc>
        <w:tc>
          <w:tcPr>
            <w:tcW w:w="1042" w:type="dxa"/>
            <w:tcBorders>
              <w:top w:val="nil"/>
              <w:left w:val="nil"/>
              <w:bottom w:val="single" w:sz="4" w:space="0" w:color="auto"/>
              <w:right w:val="single" w:sz="4" w:space="0" w:color="auto"/>
            </w:tcBorders>
            <w:shd w:val="clear" w:color="auto" w:fill="auto"/>
            <w:vAlign w:val="center"/>
            <w:hideMark/>
          </w:tcPr>
          <w:p w14:paraId="471F7824"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7.885.124</w:t>
            </w:r>
          </w:p>
        </w:tc>
        <w:tc>
          <w:tcPr>
            <w:tcW w:w="1148" w:type="dxa"/>
            <w:tcBorders>
              <w:top w:val="nil"/>
              <w:left w:val="nil"/>
              <w:bottom w:val="single" w:sz="4" w:space="0" w:color="auto"/>
              <w:right w:val="single" w:sz="4" w:space="0" w:color="auto"/>
            </w:tcBorders>
            <w:shd w:val="clear" w:color="auto" w:fill="auto"/>
            <w:vAlign w:val="center"/>
            <w:hideMark/>
          </w:tcPr>
          <w:p w14:paraId="1D50DD2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28.762.205</w:t>
            </w:r>
          </w:p>
        </w:tc>
        <w:tc>
          <w:tcPr>
            <w:tcW w:w="1118" w:type="dxa"/>
            <w:tcBorders>
              <w:top w:val="nil"/>
              <w:left w:val="nil"/>
              <w:bottom w:val="single" w:sz="4" w:space="0" w:color="auto"/>
              <w:right w:val="single" w:sz="4" w:space="0" w:color="auto"/>
            </w:tcBorders>
            <w:shd w:val="clear" w:color="auto" w:fill="auto"/>
            <w:vAlign w:val="center"/>
            <w:hideMark/>
          </w:tcPr>
          <w:p w14:paraId="42405C4F"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79.264.785</w:t>
            </w:r>
          </w:p>
        </w:tc>
        <w:tc>
          <w:tcPr>
            <w:tcW w:w="141" w:type="dxa"/>
            <w:vAlign w:val="center"/>
            <w:hideMark/>
          </w:tcPr>
          <w:p w14:paraId="3A221F50"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0CBB71E9"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6D2252F"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Pogojno izterljivi dolg </w:t>
            </w:r>
          </w:p>
        </w:tc>
        <w:tc>
          <w:tcPr>
            <w:tcW w:w="1150" w:type="dxa"/>
            <w:tcBorders>
              <w:top w:val="nil"/>
              <w:left w:val="nil"/>
              <w:bottom w:val="single" w:sz="4" w:space="0" w:color="auto"/>
              <w:right w:val="single" w:sz="4" w:space="0" w:color="auto"/>
            </w:tcBorders>
            <w:shd w:val="clear" w:color="auto" w:fill="auto"/>
            <w:vAlign w:val="center"/>
            <w:hideMark/>
          </w:tcPr>
          <w:p w14:paraId="16E931C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68.210.069</w:t>
            </w:r>
          </w:p>
        </w:tc>
        <w:tc>
          <w:tcPr>
            <w:tcW w:w="1062" w:type="dxa"/>
            <w:tcBorders>
              <w:top w:val="nil"/>
              <w:left w:val="nil"/>
              <w:bottom w:val="single" w:sz="4" w:space="0" w:color="auto"/>
              <w:right w:val="single" w:sz="4" w:space="0" w:color="auto"/>
            </w:tcBorders>
            <w:shd w:val="clear" w:color="auto" w:fill="auto"/>
            <w:vAlign w:val="center"/>
            <w:hideMark/>
          </w:tcPr>
          <w:p w14:paraId="0B284205"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6.535.224</w:t>
            </w:r>
          </w:p>
        </w:tc>
        <w:tc>
          <w:tcPr>
            <w:tcW w:w="1093" w:type="dxa"/>
            <w:tcBorders>
              <w:top w:val="nil"/>
              <w:left w:val="nil"/>
              <w:bottom w:val="single" w:sz="4" w:space="0" w:color="auto"/>
              <w:right w:val="single" w:sz="4" w:space="0" w:color="auto"/>
            </w:tcBorders>
            <w:shd w:val="clear" w:color="auto" w:fill="auto"/>
            <w:vAlign w:val="center"/>
            <w:hideMark/>
          </w:tcPr>
          <w:p w14:paraId="2279644E"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5.364.879</w:t>
            </w:r>
          </w:p>
        </w:tc>
        <w:tc>
          <w:tcPr>
            <w:tcW w:w="1111" w:type="dxa"/>
            <w:tcBorders>
              <w:top w:val="nil"/>
              <w:left w:val="nil"/>
              <w:bottom w:val="single" w:sz="4" w:space="0" w:color="auto"/>
              <w:right w:val="single" w:sz="4" w:space="0" w:color="auto"/>
            </w:tcBorders>
            <w:shd w:val="clear" w:color="auto" w:fill="auto"/>
            <w:vAlign w:val="center"/>
            <w:hideMark/>
          </w:tcPr>
          <w:p w14:paraId="2609B770"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4.361.258</w:t>
            </w:r>
          </w:p>
        </w:tc>
        <w:tc>
          <w:tcPr>
            <w:tcW w:w="1042" w:type="dxa"/>
            <w:tcBorders>
              <w:top w:val="nil"/>
              <w:left w:val="nil"/>
              <w:bottom w:val="single" w:sz="4" w:space="0" w:color="auto"/>
              <w:right w:val="single" w:sz="4" w:space="0" w:color="auto"/>
            </w:tcBorders>
            <w:shd w:val="clear" w:color="auto" w:fill="auto"/>
            <w:vAlign w:val="center"/>
            <w:hideMark/>
          </w:tcPr>
          <w:p w14:paraId="5DCF18E1"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3.613.574</w:t>
            </w:r>
          </w:p>
        </w:tc>
        <w:tc>
          <w:tcPr>
            <w:tcW w:w="1148" w:type="dxa"/>
            <w:tcBorders>
              <w:top w:val="nil"/>
              <w:left w:val="nil"/>
              <w:bottom w:val="single" w:sz="4" w:space="0" w:color="auto"/>
              <w:right w:val="single" w:sz="4" w:space="0" w:color="auto"/>
            </w:tcBorders>
            <w:shd w:val="clear" w:color="auto" w:fill="auto"/>
            <w:vAlign w:val="center"/>
            <w:hideMark/>
          </w:tcPr>
          <w:p w14:paraId="6CFA5DBB"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1.387.979</w:t>
            </w:r>
          </w:p>
        </w:tc>
        <w:tc>
          <w:tcPr>
            <w:tcW w:w="1118" w:type="dxa"/>
            <w:tcBorders>
              <w:top w:val="nil"/>
              <w:left w:val="nil"/>
              <w:bottom w:val="single" w:sz="4" w:space="0" w:color="auto"/>
              <w:right w:val="single" w:sz="4" w:space="0" w:color="auto"/>
            </w:tcBorders>
            <w:shd w:val="clear" w:color="auto" w:fill="auto"/>
            <w:vAlign w:val="center"/>
            <w:hideMark/>
          </w:tcPr>
          <w:p w14:paraId="5BEAC1A6"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89.472.983</w:t>
            </w:r>
          </w:p>
        </w:tc>
        <w:tc>
          <w:tcPr>
            <w:tcW w:w="141" w:type="dxa"/>
            <w:vAlign w:val="center"/>
            <w:hideMark/>
          </w:tcPr>
          <w:p w14:paraId="5813DABD"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352399EE" w14:textId="77777777" w:rsidTr="00556699">
        <w:trPr>
          <w:trHeight w:val="177"/>
        </w:trPr>
        <w:tc>
          <w:tcPr>
            <w:tcW w:w="1419"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0E0DA4AE"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Skupaj ZPIZ </w:t>
            </w:r>
          </w:p>
        </w:tc>
        <w:tc>
          <w:tcPr>
            <w:tcW w:w="1150" w:type="dxa"/>
            <w:tcBorders>
              <w:top w:val="double" w:sz="6" w:space="0" w:color="auto"/>
              <w:left w:val="nil"/>
              <w:bottom w:val="double" w:sz="6" w:space="0" w:color="auto"/>
              <w:right w:val="single" w:sz="4" w:space="0" w:color="auto"/>
            </w:tcBorders>
            <w:shd w:val="clear" w:color="auto" w:fill="auto"/>
            <w:vAlign w:val="center"/>
            <w:hideMark/>
          </w:tcPr>
          <w:p w14:paraId="3C73610E"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95.395.984</w:t>
            </w:r>
          </w:p>
        </w:tc>
        <w:tc>
          <w:tcPr>
            <w:tcW w:w="1062" w:type="dxa"/>
            <w:tcBorders>
              <w:top w:val="double" w:sz="6" w:space="0" w:color="auto"/>
              <w:left w:val="nil"/>
              <w:bottom w:val="double" w:sz="6" w:space="0" w:color="auto"/>
              <w:right w:val="single" w:sz="4" w:space="0" w:color="auto"/>
            </w:tcBorders>
            <w:shd w:val="clear" w:color="auto" w:fill="auto"/>
            <w:vAlign w:val="center"/>
            <w:hideMark/>
          </w:tcPr>
          <w:p w14:paraId="315F389E"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12.159.386</w:t>
            </w:r>
          </w:p>
        </w:tc>
        <w:tc>
          <w:tcPr>
            <w:tcW w:w="1093" w:type="dxa"/>
            <w:tcBorders>
              <w:top w:val="double" w:sz="6" w:space="0" w:color="auto"/>
              <w:left w:val="nil"/>
              <w:bottom w:val="double" w:sz="6" w:space="0" w:color="auto"/>
              <w:right w:val="single" w:sz="4" w:space="0" w:color="auto"/>
            </w:tcBorders>
            <w:shd w:val="clear" w:color="auto" w:fill="auto"/>
            <w:vAlign w:val="center"/>
            <w:hideMark/>
          </w:tcPr>
          <w:p w14:paraId="2D0BD9C5"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9.892.492</w:t>
            </w:r>
          </w:p>
        </w:tc>
        <w:tc>
          <w:tcPr>
            <w:tcW w:w="1111" w:type="dxa"/>
            <w:tcBorders>
              <w:top w:val="double" w:sz="6" w:space="0" w:color="auto"/>
              <w:left w:val="nil"/>
              <w:bottom w:val="double" w:sz="6" w:space="0" w:color="auto"/>
              <w:right w:val="single" w:sz="4" w:space="0" w:color="auto"/>
            </w:tcBorders>
            <w:shd w:val="clear" w:color="auto" w:fill="auto"/>
            <w:vAlign w:val="center"/>
            <w:hideMark/>
          </w:tcPr>
          <w:p w14:paraId="3AAE2246"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9.641.024</w:t>
            </w:r>
          </w:p>
        </w:tc>
        <w:tc>
          <w:tcPr>
            <w:tcW w:w="1042" w:type="dxa"/>
            <w:tcBorders>
              <w:top w:val="double" w:sz="6" w:space="0" w:color="auto"/>
              <w:left w:val="nil"/>
              <w:bottom w:val="double" w:sz="6" w:space="0" w:color="auto"/>
              <w:right w:val="single" w:sz="4" w:space="0" w:color="auto"/>
            </w:tcBorders>
            <w:shd w:val="clear" w:color="auto" w:fill="auto"/>
            <w:vAlign w:val="center"/>
            <w:hideMark/>
          </w:tcPr>
          <w:p w14:paraId="4565AAC0"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11.498.698</w:t>
            </w:r>
          </w:p>
        </w:tc>
        <w:tc>
          <w:tcPr>
            <w:tcW w:w="1148" w:type="dxa"/>
            <w:tcBorders>
              <w:top w:val="double" w:sz="6" w:space="0" w:color="auto"/>
              <w:left w:val="nil"/>
              <w:bottom w:val="double" w:sz="6" w:space="0" w:color="auto"/>
              <w:right w:val="single" w:sz="4" w:space="0" w:color="auto"/>
            </w:tcBorders>
            <w:shd w:val="clear" w:color="auto" w:fill="auto"/>
            <w:vAlign w:val="center"/>
            <w:hideMark/>
          </w:tcPr>
          <w:p w14:paraId="685460FD"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30.150.184</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0819B091"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168.737.768</w:t>
            </w:r>
          </w:p>
        </w:tc>
        <w:tc>
          <w:tcPr>
            <w:tcW w:w="141" w:type="dxa"/>
            <w:vAlign w:val="center"/>
            <w:hideMark/>
          </w:tcPr>
          <w:p w14:paraId="5C97584E"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310B5E02" w14:textId="77777777" w:rsidTr="00556699">
        <w:trPr>
          <w:trHeight w:val="218"/>
        </w:trPr>
        <w:tc>
          <w:tcPr>
            <w:tcW w:w="3633" w:type="dxa"/>
            <w:gridSpan w:val="3"/>
            <w:tcBorders>
              <w:top w:val="double" w:sz="6" w:space="0" w:color="auto"/>
              <w:left w:val="single" w:sz="4" w:space="0" w:color="auto"/>
              <w:bottom w:val="single" w:sz="4" w:space="0" w:color="auto"/>
              <w:right w:val="nil"/>
            </w:tcBorders>
            <w:shd w:val="clear" w:color="000000" w:fill="DCE6F1"/>
            <w:noWrap/>
            <w:vAlign w:val="center"/>
            <w:hideMark/>
          </w:tcPr>
          <w:p w14:paraId="31D50106"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Zavod za zdravstveno zavarovanje Slovenije </w:t>
            </w:r>
          </w:p>
        </w:tc>
        <w:tc>
          <w:tcPr>
            <w:tcW w:w="1093" w:type="dxa"/>
            <w:tcBorders>
              <w:top w:val="nil"/>
              <w:left w:val="nil"/>
              <w:bottom w:val="single" w:sz="4" w:space="0" w:color="auto"/>
              <w:right w:val="nil"/>
            </w:tcBorders>
            <w:shd w:val="clear" w:color="000000" w:fill="DCE6F1"/>
            <w:noWrap/>
            <w:vAlign w:val="center"/>
            <w:hideMark/>
          </w:tcPr>
          <w:p w14:paraId="53951A8C"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4420" w:type="dxa"/>
            <w:gridSpan w:val="4"/>
            <w:tcBorders>
              <w:top w:val="double" w:sz="6" w:space="0" w:color="auto"/>
              <w:left w:val="nil"/>
              <w:bottom w:val="single" w:sz="4" w:space="0" w:color="auto"/>
              <w:right w:val="single" w:sz="4" w:space="0" w:color="000000"/>
            </w:tcBorders>
            <w:shd w:val="clear" w:color="000000" w:fill="DCE6F1"/>
            <w:noWrap/>
            <w:vAlign w:val="center"/>
            <w:hideMark/>
          </w:tcPr>
          <w:p w14:paraId="1A283EC2" w14:textId="77777777" w:rsidR="00D847F2" w:rsidRPr="002A7699" w:rsidRDefault="00D847F2" w:rsidP="00556699">
            <w:pPr>
              <w:spacing w:after="0" w:line="240" w:lineRule="auto"/>
              <w:jc w:val="center"/>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141" w:type="dxa"/>
            <w:vAlign w:val="center"/>
            <w:hideMark/>
          </w:tcPr>
          <w:p w14:paraId="14FC6069"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0CC8811B"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C223F9B"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Aktivni dolg </w:t>
            </w:r>
          </w:p>
        </w:tc>
        <w:tc>
          <w:tcPr>
            <w:tcW w:w="1150" w:type="dxa"/>
            <w:tcBorders>
              <w:top w:val="nil"/>
              <w:left w:val="nil"/>
              <w:bottom w:val="single" w:sz="4" w:space="0" w:color="auto"/>
              <w:right w:val="single" w:sz="4" w:space="0" w:color="auto"/>
            </w:tcBorders>
            <w:shd w:val="clear" w:color="auto" w:fill="auto"/>
            <w:vAlign w:val="center"/>
            <w:hideMark/>
          </w:tcPr>
          <w:p w14:paraId="68EEDEB8"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14.108.285</w:t>
            </w:r>
          </w:p>
        </w:tc>
        <w:tc>
          <w:tcPr>
            <w:tcW w:w="1062" w:type="dxa"/>
            <w:tcBorders>
              <w:top w:val="nil"/>
              <w:left w:val="nil"/>
              <w:bottom w:val="single" w:sz="4" w:space="0" w:color="auto"/>
              <w:right w:val="single" w:sz="4" w:space="0" w:color="auto"/>
            </w:tcBorders>
            <w:shd w:val="clear" w:color="auto" w:fill="auto"/>
            <w:vAlign w:val="center"/>
            <w:hideMark/>
          </w:tcPr>
          <w:p w14:paraId="2EE328A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2.838.585</w:t>
            </w:r>
          </w:p>
        </w:tc>
        <w:tc>
          <w:tcPr>
            <w:tcW w:w="1093" w:type="dxa"/>
            <w:tcBorders>
              <w:top w:val="nil"/>
              <w:left w:val="nil"/>
              <w:bottom w:val="single" w:sz="4" w:space="0" w:color="auto"/>
              <w:right w:val="single" w:sz="4" w:space="0" w:color="auto"/>
            </w:tcBorders>
            <w:shd w:val="clear" w:color="auto" w:fill="auto"/>
            <w:vAlign w:val="center"/>
            <w:hideMark/>
          </w:tcPr>
          <w:p w14:paraId="5B9ACF5A"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2.366.661</w:t>
            </w:r>
          </w:p>
        </w:tc>
        <w:tc>
          <w:tcPr>
            <w:tcW w:w="1111" w:type="dxa"/>
            <w:tcBorders>
              <w:top w:val="nil"/>
              <w:left w:val="nil"/>
              <w:bottom w:val="single" w:sz="4" w:space="0" w:color="auto"/>
              <w:right w:val="single" w:sz="4" w:space="0" w:color="auto"/>
            </w:tcBorders>
            <w:shd w:val="clear" w:color="auto" w:fill="auto"/>
            <w:vAlign w:val="center"/>
            <w:hideMark/>
          </w:tcPr>
          <w:p w14:paraId="5D119D3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2.814.808</w:t>
            </w:r>
          </w:p>
        </w:tc>
        <w:tc>
          <w:tcPr>
            <w:tcW w:w="1042" w:type="dxa"/>
            <w:tcBorders>
              <w:top w:val="nil"/>
              <w:left w:val="nil"/>
              <w:bottom w:val="single" w:sz="4" w:space="0" w:color="auto"/>
              <w:right w:val="single" w:sz="4" w:space="0" w:color="auto"/>
            </w:tcBorders>
            <w:shd w:val="clear" w:color="auto" w:fill="auto"/>
            <w:vAlign w:val="center"/>
            <w:hideMark/>
          </w:tcPr>
          <w:p w14:paraId="07CA1C6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4.023.768</w:t>
            </w:r>
          </w:p>
        </w:tc>
        <w:tc>
          <w:tcPr>
            <w:tcW w:w="1148" w:type="dxa"/>
            <w:tcBorders>
              <w:top w:val="nil"/>
              <w:left w:val="nil"/>
              <w:bottom w:val="single" w:sz="4" w:space="0" w:color="auto"/>
              <w:right w:val="single" w:sz="4" w:space="0" w:color="auto"/>
            </w:tcBorders>
            <w:shd w:val="clear" w:color="auto" w:fill="auto"/>
            <w:vAlign w:val="center"/>
            <w:hideMark/>
          </w:tcPr>
          <w:p w14:paraId="6FB177A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15.255.289</w:t>
            </w:r>
          </w:p>
        </w:tc>
        <w:tc>
          <w:tcPr>
            <w:tcW w:w="1118" w:type="dxa"/>
            <w:tcBorders>
              <w:top w:val="nil"/>
              <w:left w:val="nil"/>
              <w:bottom w:val="single" w:sz="4" w:space="0" w:color="auto"/>
              <w:right w:val="single" w:sz="4" w:space="0" w:color="auto"/>
            </w:tcBorders>
            <w:shd w:val="clear" w:color="auto" w:fill="auto"/>
            <w:vAlign w:val="center"/>
            <w:hideMark/>
          </w:tcPr>
          <w:p w14:paraId="0649589B"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41.407.396</w:t>
            </w:r>
          </w:p>
        </w:tc>
        <w:tc>
          <w:tcPr>
            <w:tcW w:w="141" w:type="dxa"/>
            <w:vAlign w:val="center"/>
            <w:hideMark/>
          </w:tcPr>
          <w:p w14:paraId="46D8F8AB"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744DFC6"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30D9924"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Pogojno izterljivi dolg </w:t>
            </w:r>
          </w:p>
        </w:tc>
        <w:tc>
          <w:tcPr>
            <w:tcW w:w="1150" w:type="dxa"/>
            <w:tcBorders>
              <w:top w:val="nil"/>
              <w:left w:val="nil"/>
              <w:bottom w:val="single" w:sz="4" w:space="0" w:color="auto"/>
              <w:right w:val="single" w:sz="4" w:space="0" w:color="auto"/>
            </w:tcBorders>
            <w:shd w:val="clear" w:color="auto" w:fill="auto"/>
            <w:vAlign w:val="center"/>
            <w:hideMark/>
          </w:tcPr>
          <w:p w14:paraId="3BB8B3A0"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31.945.820</w:t>
            </w:r>
          </w:p>
        </w:tc>
        <w:tc>
          <w:tcPr>
            <w:tcW w:w="1062" w:type="dxa"/>
            <w:tcBorders>
              <w:top w:val="nil"/>
              <w:left w:val="nil"/>
              <w:bottom w:val="single" w:sz="4" w:space="0" w:color="auto"/>
              <w:right w:val="single" w:sz="4" w:space="0" w:color="auto"/>
            </w:tcBorders>
            <w:shd w:val="clear" w:color="auto" w:fill="auto"/>
            <w:vAlign w:val="center"/>
            <w:hideMark/>
          </w:tcPr>
          <w:p w14:paraId="37CFC7C9"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3.335.248</w:t>
            </w:r>
          </w:p>
        </w:tc>
        <w:tc>
          <w:tcPr>
            <w:tcW w:w="1093" w:type="dxa"/>
            <w:tcBorders>
              <w:top w:val="nil"/>
              <w:left w:val="nil"/>
              <w:bottom w:val="single" w:sz="4" w:space="0" w:color="auto"/>
              <w:right w:val="single" w:sz="4" w:space="0" w:color="auto"/>
            </w:tcBorders>
            <w:shd w:val="clear" w:color="auto" w:fill="auto"/>
            <w:vAlign w:val="center"/>
            <w:hideMark/>
          </w:tcPr>
          <w:p w14:paraId="39303F8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2.680.801</w:t>
            </w:r>
          </w:p>
        </w:tc>
        <w:tc>
          <w:tcPr>
            <w:tcW w:w="1111" w:type="dxa"/>
            <w:tcBorders>
              <w:top w:val="nil"/>
              <w:left w:val="nil"/>
              <w:bottom w:val="single" w:sz="4" w:space="0" w:color="auto"/>
              <w:right w:val="single" w:sz="4" w:space="0" w:color="auto"/>
            </w:tcBorders>
            <w:shd w:val="clear" w:color="auto" w:fill="auto"/>
            <w:vAlign w:val="center"/>
            <w:hideMark/>
          </w:tcPr>
          <w:p w14:paraId="0B016819"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2.477.263</w:t>
            </w:r>
          </w:p>
        </w:tc>
        <w:tc>
          <w:tcPr>
            <w:tcW w:w="1042" w:type="dxa"/>
            <w:tcBorders>
              <w:top w:val="nil"/>
              <w:left w:val="nil"/>
              <w:bottom w:val="single" w:sz="4" w:space="0" w:color="auto"/>
              <w:right w:val="single" w:sz="4" w:space="0" w:color="auto"/>
            </w:tcBorders>
            <w:shd w:val="clear" w:color="auto" w:fill="auto"/>
            <w:vAlign w:val="center"/>
            <w:hideMark/>
          </w:tcPr>
          <w:p w14:paraId="500342F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1.918.867</w:t>
            </w:r>
          </w:p>
        </w:tc>
        <w:tc>
          <w:tcPr>
            <w:tcW w:w="1148" w:type="dxa"/>
            <w:tcBorders>
              <w:top w:val="nil"/>
              <w:left w:val="nil"/>
              <w:bottom w:val="single" w:sz="4" w:space="0" w:color="auto"/>
              <w:right w:val="single" w:sz="4" w:space="0" w:color="auto"/>
            </w:tcBorders>
            <w:shd w:val="clear" w:color="auto" w:fill="auto"/>
            <w:vAlign w:val="center"/>
            <w:hideMark/>
          </w:tcPr>
          <w:p w14:paraId="282C4323"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750.229</w:t>
            </w:r>
          </w:p>
        </w:tc>
        <w:tc>
          <w:tcPr>
            <w:tcW w:w="1118" w:type="dxa"/>
            <w:tcBorders>
              <w:top w:val="nil"/>
              <w:left w:val="nil"/>
              <w:bottom w:val="single" w:sz="4" w:space="0" w:color="auto"/>
              <w:right w:val="single" w:sz="4" w:space="0" w:color="auto"/>
            </w:tcBorders>
            <w:shd w:val="clear" w:color="auto" w:fill="auto"/>
            <w:vAlign w:val="center"/>
            <w:hideMark/>
          </w:tcPr>
          <w:p w14:paraId="45186DE8"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43.108.228</w:t>
            </w:r>
          </w:p>
        </w:tc>
        <w:tc>
          <w:tcPr>
            <w:tcW w:w="141" w:type="dxa"/>
            <w:vAlign w:val="center"/>
            <w:hideMark/>
          </w:tcPr>
          <w:p w14:paraId="553D2F1A"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E51ADCB" w14:textId="77777777" w:rsidTr="00556699">
        <w:trPr>
          <w:trHeight w:val="177"/>
        </w:trPr>
        <w:tc>
          <w:tcPr>
            <w:tcW w:w="1419"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184974EA"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Skupaj ZZZS</w:t>
            </w:r>
          </w:p>
        </w:tc>
        <w:tc>
          <w:tcPr>
            <w:tcW w:w="1150" w:type="dxa"/>
            <w:tcBorders>
              <w:top w:val="double" w:sz="6" w:space="0" w:color="auto"/>
              <w:left w:val="nil"/>
              <w:bottom w:val="double" w:sz="6" w:space="0" w:color="auto"/>
              <w:right w:val="single" w:sz="4" w:space="0" w:color="auto"/>
            </w:tcBorders>
            <w:shd w:val="clear" w:color="auto" w:fill="auto"/>
            <w:vAlign w:val="center"/>
            <w:hideMark/>
          </w:tcPr>
          <w:p w14:paraId="55170182"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46.054.105</w:t>
            </w:r>
          </w:p>
        </w:tc>
        <w:tc>
          <w:tcPr>
            <w:tcW w:w="1062" w:type="dxa"/>
            <w:tcBorders>
              <w:top w:val="double" w:sz="6" w:space="0" w:color="auto"/>
              <w:left w:val="nil"/>
              <w:bottom w:val="double" w:sz="6" w:space="0" w:color="auto"/>
              <w:right w:val="single" w:sz="4" w:space="0" w:color="auto"/>
            </w:tcBorders>
            <w:shd w:val="clear" w:color="auto" w:fill="auto"/>
            <w:vAlign w:val="center"/>
            <w:hideMark/>
          </w:tcPr>
          <w:p w14:paraId="6EA1C385"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6.173.833</w:t>
            </w:r>
          </w:p>
        </w:tc>
        <w:tc>
          <w:tcPr>
            <w:tcW w:w="1093" w:type="dxa"/>
            <w:tcBorders>
              <w:top w:val="double" w:sz="6" w:space="0" w:color="auto"/>
              <w:left w:val="nil"/>
              <w:bottom w:val="double" w:sz="6" w:space="0" w:color="auto"/>
              <w:right w:val="single" w:sz="4" w:space="0" w:color="auto"/>
            </w:tcBorders>
            <w:shd w:val="clear" w:color="auto" w:fill="auto"/>
            <w:vAlign w:val="center"/>
            <w:hideMark/>
          </w:tcPr>
          <w:p w14:paraId="4ED6C9B7"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5.047.462</w:t>
            </w:r>
          </w:p>
        </w:tc>
        <w:tc>
          <w:tcPr>
            <w:tcW w:w="1111" w:type="dxa"/>
            <w:tcBorders>
              <w:top w:val="double" w:sz="6" w:space="0" w:color="auto"/>
              <w:left w:val="nil"/>
              <w:bottom w:val="double" w:sz="6" w:space="0" w:color="auto"/>
              <w:right w:val="single" w:sz="4" w:space="0" w:color="auto"/>
            </w:tcBorders>
            <w:shd w:val="clear" w:color="auto" w:fill="auto"/>
            <w:vAlign w:val="center"/>
            <w:hideMark/>
          </w:tcPr>
          <w:p w14:paraId="210549D3"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5.292.071</w:t>
            </w:r>
          </w:p>
        </w:tc>
        <w:tc>
          <w:tcPr>
            <w:tcW w:w="1042" w:type="dxa"/>
            <w:tcBorders>
              <w:top w:val="double" w:sz="6" w:space="0" w:color="auto"/>
              <w:left w:val="nil"/>
              <w:bottom w:val="double" w:sz="6" w:space="0" w:color="auto"/>
              <w:right w:val="single" w:sz="4" w:space="0" w:color="auto"/>
            </w:tcBorders>
            <w:shd w:val="clear" w:color="auto" w:fill="auto"/>
            <w:vAlign w:val="center"/>
            <w:hideMark/>
          </w:tcPr>
          <w:p w14:paraId="62EDDD0C"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5.942.635</w:t>
            </w:r>
          </w:p>
        </w:tc>
        <w:tc>
          <w:tcPr>
            <w:tcW w:w="1148" w:type="dxa"/>
            <w:tcBorders>
              <w:top w:val="double" w:sz="6" w:space="0" w:color="auto"/>
              <w:left w:val="nil"/>
              <w:bottom w:val="double" w:sz="6" w:space="0" w:color="auto"/>
              <w:right w:val="single" w:sz="4" w:space="0" w:color="auto"/>
            </w:tcBorders>
            <w:shd w:val="clear" w:color="auto" w:fill="auto"/>
            <w:vAlign w:val="center"/>
            <w:hideMark/>
          </w:tcPr>
          <w:p w14:paraId="5A45F471"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16.005.518</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48BF8025"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84.515.624</w:t>
            </w:r>
          </w:p>
        </w:tc>
        <w:tc>
          <w:tcPr>
            <w:tcW w:w="141" w:type="dxa"/>
            <w:vAlign w:val="center"/>
            <w:hideMark/>
          </w:tcPr>
          <w:p w14:paraId="75A3F743"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6EDBA67E" w14:textId="77777777" w:rsidTr="00556699">
        <w:trPr>
          <w:trHeight w:val="210"/>
        </w:trPr>
        <w:tc>
          <w:tcPr>
            <w:tcW w:w="1419" w:type="dxa"/>
            <w:tcBorders>
              <w:top w:val="nil"/>
              <w:left w:val="single" w:sz="4" w:space="0" w:color="auto"/>
              <w:bottom w:val="single" w:sz="4" w:space="0" w:color="auto"/>
              <w:right w:val="nil"/>
            </w:tcBorders>
            <w:shd w:val="clear" w:color="000000" w:fill="DCE6F1"/>
            <w:noWrap/>
            <w:vAlign w:val="center"/>
            <w:hideMark/>
          </w:tcPr>
          <w:p w14:paraId="0E850051"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Proračun občin</w:t>
            </w:r>
          </w:p>
        </w:tc>
        <w:tc>
          <w:tcPr>
            <w:tcW w:w="1150" w:type="dxa"/>
            <w:tcBorders>
              <w:top w:val="nil"/>
              <w:left w:val="nil"/>
              <w:bottom w:val="single" w:sz="4" w:space="0" w:color="auto"/>
              <w:right w:val="nil"/>
            </w:tcBorders>
            <w:shd w:val="clear" w:color="000000" w:fill="DCE6F1"/>
            <w:noWrap/>
            <w:vAlign w:val="center"/>
            <w:hideMark/>
          </w:tcPr>
          <w:p w14:paraId="1F69E66A"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1062" w:type="dxa"/>
            <w:tcBorders>
              <w:top w:val="nil"/>
              <w:left w:val="nil"/>
              <w:bottom w:val="single" w:sz="4" w:space="0" w:color="auto"/>
              <w:right w:val="nil"/>
            </w:tcBorders>
            <w:shd w:val="clear" w:color="000000" w:fill="DCE6F1"/>
            <w:noWrap/>
            <w:vAlign w:val="center"/>
            <w:hideMark/>
          </w:tcPr>
          <w:p w14:paraId="3CB932D2"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1093" w:type="dxa"/>
            <w:tcBorders>
              <w:top w:val="nil"/>
              <w:left w:val="nil"/>
              <w:bottom w:val="single" w:sz="4" w:space="0" w:color="auto"/>
              <w:right w:val="nil"/>
            </w:tcBorders>
            <w:shd w:val="clear" w:color="000000" w:fill="DCE6F1"/>
            <w:noWrap/>
            <w:vAlign w:val="center"/>
            <w:hideMark/>
          </w:tcPr>
          <w:p w14:paraId="27DF729D"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4420" w:type="dxa"/>
            <w:gridSpan w:val="4"/>
            <w:tcBorders>
              <w:top w:val="double" w:sz="6" w:space="0" w:color="auto"/>
              <w:left w:val="nil"/>
              <w:bottom w:val="single" w:sz="4" w:space="0" w:color="auto"/>
              <w:right w:val="single" w:sz="4" w:space="0" w:color="000000"/>
            </w:tcBorders>
            <w:shd w:val="clear" w:color="000000" w:fill="DCE6F1"/>
            <w:noWrap/>
            <w:vAlign w:val="center"/>
            <w:hideMark/>
          </w:tcPr>
          <w:p w14:paraId="423CC016" w14:textId="77777777" w:rsidR="00D847F2" w:rsidRPr="002A7699" w:rsidRDefault="00D847F2" w:rsidP="00556699">
            <w:pPr>
              <w:spacing w:after="0" w:line="240" w:lineRule="auto"/>
              <w:jc w:val="center"/>
              <w:rPr>
                <w:rFonts w:ascii="Arial" w:eastAsia="Times New Roman" w:hAnsi="Arial" w:cs="Arial"/>
                <w:sz w:val="18"/>
                <w:szCs w:val="18"/>
                <w:lang w:eastAsia="sl-SI"/>
              </w:rPr>
            </w:pPr>
            <w:r w:rsidRPr="002A7699">
              <w:rPr>
                <w:rFonts w:ascii="Arial" w:eastAsia="Times New Roman" w:hAnsi="Arial" w:cs="Arial"/>
                <w:sz w:val="18"/>
                <w:szCs w:val="18"/>
                <w:lang w:eastAsia="sl-SI"/>
              </w:rPr>
              <w:t> </w:t>
            </w:r>
          </w:p>
        </w:tc>
        <w:tc>
          <w:tcPr>
            <w:tcW w:w="141" w:type="dxa"/>
            <w:vAlign w:val="center"/>
            <w:hideMark/>
          </w:tcPr>
          <w:p w14:paraId="2FA1D7AC"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F27EE19"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7B8F14C6"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Aktivni dolg </w:t>
            </w:r>
          </w:p>
        </w:tc>
        <w:tc>
          <w:tcPr>
            <w:tcW w:w="1150" w:type="dxa"/>
            <w:tcBorders>
              <w:top w:val="nil"/>
              <w:left w:val="nil"/>
              <w:bottom w:val="single" w:sz="4" w:space="0" w:color="auto"/>
              <w:right w:val="single" w:sz="4" w:space="0" w:color="auto"/>
            </w:tcBorders>
            <w:shd w:val="clear" w:color="auto" w:fill="auto"/>
            <w:vAlign w:val="center"/>
            <w:hideMark/>
          </w:tcPr>
          <w:p w14:paraId="3B1CEA70"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2.520.602</w:t>
            </w:r>
          </w:p>
        </w:tc>
        <w:tc>
          <w:tcPr>
            <w:tcW w:w="1062" w:type="dxa"/>
            <w:tcBorders>
              <w:top w:val="nil"/>
              <w:left w:val="nil"/>
              <w:bottom w:val="single" w:sz="4" w:space="0" w:color="auto"/>
              <w:right w:val="single" w:sz="4" w:space="0" w:color="auto"/>
            </w:tcBorders>
            <w:shd w:val="clear" w:color="auto" w:fill="auto"/>
            <w:vAlign w:val="center"/>
            <w:hideMark/>
          </w:tcPr>
          <w:p w14:paraId="5F5AA3E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1.261.006</w:t>
            </w:r>
          </w:p>
        </w:tc>
        <w:tc>
          <w:tcPr>
            <w:tcW w:w="1093" w:type="dxa"/>
            <w:tcBorders>
              <w:top w:val="nil"/>
              <w:left w:val="nil"/>
              <w:bottom w:val="single" w:sz="4" w:space="0" w:color="auto"/>
              <w:right w:val="single" w:sz="4" w:space="0" w:color="auto"/>
            </w:tcBorders>
            <w:shd w:val="clear" w:color="auto" w:fill="auto"/>
            <w:vAlign w:val="center"/>
            <w:hideMark/>
          </w:tcPr>
          <w:p w14:paraId="334FA1C0"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788.794</w:t>
            </w:r>
          </w:p>
        </w:tc>
        <w:tc>
          <w:tcPr>
            <w:tcW w:w="1111" w:type="dxa"/>
            <w:tcBorders>
              <w:top w:val="nil"/>
              <w:left w:val="nil"/>
              <w:bottom w:val="single" w:sz="4" w:space="0" w:color="auto"/>
              <w:right w:val="single" w:sz="4" w:space="0" w:color="auto"/>
            </w:tcBorders>
            <w:shd w:val="clear" w:color="auto" w:fill="auto"/>
            <w:vAlign w:val="center"/>
            <w:hideMark/>
          </w:tcPr>
          <w:p w14:paraId="10FD16B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900.300</w:t>
            </w:r>
          </w:p>
        </w:tc>
        <w:tc>
          <w:tcPr>
            <w:tcW w:w="1042" w:type="dxa"/>
            <w:tcBorders>
              <w:top w:val="nil"/>
              <w:left w:val="nil"/>
              <w:bottom w:val="single" w:sz="4" w:space="0" w:color="auto"/>
              <w:right w:val="single" w:sz="4" w:space="0" w:color="auto"/>
            </w:tcBorders>
            <w:shd w:val="clear" w:color="auto" w:fill="auto"/>
            <w:vAlign w:val="center"/>
            <w:hideMark/>
          </w:tcPr>
          <w:p w14:paraId="585E689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1.094.628</w:t>
            </w:r>
          </w:p>
        </w:tc>
        <w:tc>
          <w:tcPr>
            <w:tcW w:w="1148" w:type="dxa"/>
            <w:tcBorders>
              <w:top w:val="nil"/>
              <w:left w:val="nil"/>
              <w:bottom w:val="single" w:sz="4" w:space="0" w:color="auto"/>
              <w:right w:val="single" w:sz="4" w:space="0" w:color="auto"/>
            </w:tcBorders>
            <w:shd w:val="clear" w:color="auto" w:fill="auto"/>
            <w:vAlign w:val="center"/>
            <w:hideMark/>
          </w:tcPr>
          <w:p w14:paraId="38E036F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3.342.540</w:t>
            </w:r>
          </w:p>
        </w:tc>
        <w:tc>
          <w:tcPr>
            <w:tcW w:w="1118" w:type="dxa"/>
            <w:tcBorders>
              <w:top w:val="nil"/>
              <w:left w:val="nil"/>
              <w:bottom w:val="single" w:sz="4" w:space="0" w:color="auto"/>
              <w:right w:val="single" w:sz="4" w:space="0" w:color="auto"/>
            </w:tcBorders>
            <w:shd w:val="clear" w:color="auto" w:fill="auto"/>
            <w:vAlign w:val="center"/>
            <w:hideMark/>
          </w:tcPr>
          <w:p w14:paraId="0CA952BD"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9.907.870</w:t>
            </w:r>
          </w:p>
        </w:tc>
        <w:tc>
          <w:tcPr>
            <w:tcW w:w="141" w:type="dxa"/>
            <w:vAlign w:val="center"/>
            <w:hideMark/>
          </w:tcPr>
          <w:p w14:paraId="56D7C831"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0E2F28D8"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29E5F6F2"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Pogojno izterljivi dolg </w:t>
            </w:r>
          </w:p>
        </w:tc>
        <w:tc>
          <w:tcPr>
            <w:tcW w:w="1150" w:type="dxa"/>
            <w:tcBorders>
              <w:top w:val="nil"/>
              <w:left w:val="nil"/>
              <w:bottom w:val="single" w:sz="4" w:space="0" w:color="auto"/>
              <w:right w:val="single" w:sz="4" w:space="0" w:color="auto"/>
            </w:tcBorders>
            <w:shd w:val="clear" w:color="auto" w:fill="auto"/>
            <w:vAlign w:val="center"/>
            <w:hideMark/>
          </w:tcPr>
          <w:p w14:paraId="763F6ECA"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10.311.833</w:t>
            </w:r>
          </w:p>
        </w:tc>
        <w:tc>
          <w:tcPr>
            <w:tcW w:w="1062" w:type="dxa"/>
            <w:tcBorders>
              <w:top w:val="nil"/>
              <w:left w:val="nil"/>
              <w:bottom w:val="single" w:sz="4" w:space="0" w:color="auto"/>
              <w:right w:val="single" w:sz="4" w:space="0" w:color="auto"/>
            </w:tcBorders>
            <w:shd w:val="clear" w:color="auto" w:fill="auto"/>
            <w:vAlign w:val="center"/>
            <w:hideMark/>
          </w:tcPr>
          <w:p w14:paraId="7A8A2328"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1.716.646</w:t>
            </w:r>
          </w:p>
        </w:tc>
        <w:tc>
          <w:tcPr>
            <w:tcW w:w="1093" w:type="dxa"/>
            <w:tcBorders>
              <w:top w:val="nil"/>
              <w:left w:val="nil"/>
              <w:bottom w:val="single" w:sz="4" w:space="0" w:color="auto"/>
              <w:right w:val="single" w:sz="4" w:space="0" w:color="auto"/>
            </w:tcBorders>
            <w:shd w:val="clear" w:color="auto" w:fill="auto"/>
            <w:vAlign w:val="center"/>
            <w:hideMark/>
          </w:tcPr>
          <w:p w14:paraId="2073A567"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790.336</w:t>
            </w:r>
          </w:p>
        </w:tc>
        <w:tc>
          <w:tcPr>
            <w:tcW w:w="1111" w:type="dxa"/>
            <w:tcBorders>
              <w:top w:val="nil"/>
              <w:left w:val="nil"/>
              <w:bottom w:val="single" w:sz="4" w:space="0" w:color="auto"/>
              <w:right w:val="single" w:sz="4" w:space="0" w:color="auto"/>
            </w:tcBorders>
            <w:shd w:val="clear" w:color="auto" w:fill="auto"/>
            <w:vAlign w:val="center"/>
            <w:hideMark/>
          </w:tcPr>
          <w:p w14:paraId="0F9D1B3D"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333.232</w:t>
            </w:r>
          </w:p>
        </w:tc>
        <w:tc>
          <w:tcPr>
            <w:tcW w:w="1042" w:type="dxa"/>
            <w:tcBorders>
              <w:top w:val="nil"/>
              <w:left w:val="nil"/>
              <w:bottom w:val="single" w:sz="4" w:space="0" w:color="auto"/>
              <w:right w:val="single" w:sz="4" w:space="0" w:color="auto"/>
            </w:tcBorders>
            <w:shd w:val="clear" w:color="auto" w:fill="auto"/>
            <w:vAlign w:val="center"/>
            <w:hideMark/>
          </w:tcPr>
          <w:p w14:paraId="192ABD31"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420.913</w:t>
            </w:r>
          </w:p>
        </w:tc>
        <w:tc>
          <w:tcPr>
            <w:tcW w:w="1148" w:type="dxa"/>
            <w:tcBorders>
              <w:top w:val="nil"/>
              <w:left w:val="nil"/>
              <w:bottom w:val="single" w:sz="4" w:space="0" w:color="auto"/>
              <w:right w:val="single" w:sz="4" w:space="0" w:color="auto"/>
            </w:tcBorders>
            <w:shd w:val="clear" w:color="auto" w:fill="auto"/>
            <w:vAlign w:val="center"/>
            <w:hideMark/>
          </w:tcPr>
          <w:p w14:paraId="17A8C5F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87.177</w:t>
            </w:r>
          </w:p>
        </w:tc>
        <w:tc>
          <w:tcPr>
            <w:tcW w:w="1118" w:type="dxa"/>
            <w:tcBorders>
              <w:top w:val="nil"/>
              <w:left w:val="nil"/>
              <w:bottom w:val="single" w:sz="4" w:space="0" w:color="auto"/>
              <w:right w:val="single" w:sz="4" w:space="0" w:color="auto"/>
            </w:tcBorders>
            <w:shd w:val="clear" w:color="auto" w:fill="auto"/>
            <w:vAlign w:val="center"/>
            <w:hideMark/>
          </w:tcPr>
          <w:p w14:paraId="40BF3AF2"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13.660.137</w:t>
            </w:r>
          </w:p>
        </w:tc>
        <w:tc>
          <w:tcPr>
            <w:tcW w:w="141" w:type="dxa"/>
            <w:vAlign w:val="center"/>
            <w:hideMark/>
          </w:tcPr>
          <w:p w14:paraId="034521D2"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0AADC0A" w14:textId="77777777" w:rsidTr="00556699">
        <w:trPr>
          <w:trHeight w:val="177"/>
        </w:trPr>
        <w:tc>
          <w:tcPr>
            <w:tcW w:w="1419"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423E98C0"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Skupaj občine</w:t>
            </w:r>
          </w:p>
        </w:tc>
        <w:tc>
          <w:tcPr>
            <w:tcW w:w="1150" w:type="dxa"/>
            <w:tcBorders>
              <w:top w:val="double" w:sz="6" w:space="0" w:color="auto"/>
              <w:left w:val="nil"/>
              <w:bottom w:val="double" w:sz="6" w:space="0" w:color="auto"/>
              <w:right w:val="single" w:sz="4" w:space="0" w:color="auto"/>
            </w:tcBorders>
            <w:shd w:val="clear" w:color="auto" w:fill="auto"/>
            <w:vAlign w:val="center"/>
            <w:hideMark/>
          </w:tcPr>
          <w:p w14:paraId="7676C3A8"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12.832.435</w:t>
            </w:r>
          </w:p>
        </w:tc>
        <w:tc>
          <w:tcPr>
            <w:tcW w:w="1062" w:type="dxa"/>
            <w:tcBorders>
              <w:top w:val="double" w:sz="6" w:space="0" w:color="auto"/>
              <w:left w:val="nil"/>
              <w:bottom w:val="double" w:sz="6" w:space="0" w:color="auto"/>
              <w:right w:val="single" w:sz="4" w:space="0" w:color="auto"/>
            </w:tcBorders>
            <w:shd w:val="clear" w:color="auto" w:fill="auto"/>
            <w:vAlign w:val="center"/>
            <w:hideMark/>
          </w:tcPr>
          <w:p w14:paraId="453CEFEE"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2.977.652</w:t>
            </w:r>
          </w:p>
        </w:tc>
        <w:tc>
          <w:tcPr>
            <w:tcW w:w="1093" w:type="dxa"/>
            <w:tcBorders>
              <w:top w:val="double" w:sz="6" w:space="0" w:color="auto"/>
              <w:left w:val="nil"/>
              <w:bottom w:val="double" w:sz="6" w:space="0" w:color="auto"/>
              <w:right w:val="single" w:sz="4" w:space="0" w:color="auto"/>
            </w:tcBorders>
            <w:shd w:val="clear" w:color="auto" w:fill="auto"/>
            <w:vAlign w:val="center"/>
            <w:hideMark/>
          </w:tcPr>
          <w:p w14:paraId="4DCD4684"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1.579.130</w:t>
            </w:r>
          </w:p>
        </w:tc>
        <w:tc>
          <w:tcPr>
            <w:tcW w:w="1111" w:type="dxa"/>
            <w:tcBorders>
              <w:top w:val="double" w:sz="6" w:space="0" w:color="auto"/>
              <w:left w:val="nil"/>
              <w:bottom w:val="double" w:sz="6" w:space="0" w:color="auto"/>
              <w:right w:val="single" w:sz="4" w:space="0" w:color="auto"/>
            </w:tcBorders>
            <w:shd w:val="clear" w:color="auto" w:fill="auto"/>
            <w:vAlign w:val="center"/>
            <w:hideMark/>
          </w:tcPr>
          <w:p w14:paraId="5717139D"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1.233.532</w:t>
            </w:r>
          </w:p>
        </w:tc>
        <w:tc>
          <w:tcPr>
            <w:tcW w:w="1042" w:type="dxa"/>
            <w:tcBorders>
              <w:top w:val="double" w:sz="6" w:space="0" w:color="auto"/>
              <w:left w:val="nil"/>
              <w:bottom w:val="double" w:sz="6" w:space="0" w:color="auto"/>
              <w:right w:val="single" w:sz="4" w:space="0" w:color="auto"/>
            </w:tcBorders>
            <w:shd w:val="clear" w:color="auto" w:fill="auto"/>
            <w:vAlign w:val="center"/>
            <w:hideMark/>
          </w:tcPr>
          <w:p w14:paraId="2B5849D3"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1.515.541</w:t>
            </w:r>
          </w:p>
        </w:tc>
        <w:tc>
          <w:tcPr>
            <w:tcW w:w="1148" w:type="dxa"/>
            <w:tcBorders>
              <w:top w:val="double" w:sz="6" w:space="0" w:color="auto"/>
              <w:left w:val="nil"/>
              <w:bottom w:val="double" w:sz="6" w:space="0" w:color="auto"/>
              <w:right w:val="single" w:sz="4" w:space="0" w:color="auto"/>
            </w:tcBorders>
            <w:shd w:val="clear" w:color="auto" w:fill="auto"/>
            <w:vAlign w:val="center"/>
            <w:hideMark/>
          </w:tcPr>
          <w:p w14:paraId="7514EAAE"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3.429.717</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3E7C1CE8" w14:textId="77777777" w:rsidR="00D847F2" w:rsidRPr="002A7699" w:rsidRDefault="00D847F2" w:rsidP="00556699">
            <w:pPr>
              <w:spacing w:after="0" w:line="240" w:lineRule="auto"/>
              <w:jc w:val="right"/>
              <w:rPr>
                <w:rFonts w:ascii="Arial" w:eastAsia="Times New Roman" w:hAnsi="Arial" w:cs="Arial"/>
                <w:b/>
                <w:bCs/>
                <w:i/>
                <w:iCs/>
                <w:sz w:val="18"/>
                <w:szCs w:val="18"/>
                <w:lang w:eastAsia="sl-SI"/>
              </w:rPr>
            </w:pPr>
            <w:r w:rsidRPr="002A7699">
              <w:rPr>
                <w:rFonts w:ascii="Arial" w:eastAsia="Times New Roman" w:hAnsi="Arial" w:cs="Arial"/>
                <w:b/>
                <w:bCs/>
                <w:i/>
                <w:iCs/>
                <w:sz w:val="18"/>
                <w:szCs w:val="18"/>
                <w:lang w:eastAsia="sl-SI"/>
              </w:rPr>
              <w:t>23.568.007</w:t>
            </w:r>
          </w:p>
        </w:tc>
        <w:tc>
          <w:tcPr>
            <w:tcW w:w="141" w:type="dxa"/>
            <w:vAlign w:val="center"/>
            <w:hideMark/>
          </w:tcPr>
          <w:p w14:paraId="3A6DC853"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1C949A27" w14:textId="77777777" w:rsidTr="00556699">
        <w:trPr>
          <w:trHeight w:val="210"/>
        </w:trPr>
        <w:tc>
          <w:tcPr>
            <w:tcW w:w="9147" w:type="dxa"/>
            <w:gridSpan w:val="8"/>
            <w:tcBorders>
              <w:top w:val="double" w:sz="6" w:space="0" w:color="auto"/>
              <w:left w:val="single" w:sz="4" w:space="0" w:color="auto"/>
              <w:bottom w:val="single" w:sz="4" w:space="0" w:color="auto"/>
              <w:right w:val="single" w:sz="4" w:space="0" w:color="000000"/>
            </w:tcBorders>
            <w:shd w:val="clear" w:color="000000" w:fill="DCE6F1"/>
            <w:vAlign w:val="center"/>
            <w:hideMark/>
          </w:tcPr>
          <w:p w14:paraId="55C834D6" w14:textId="0E3B040F" w:rsidR="00D847F2" w:rsidRPr="002A7699" w:rsidRDefault="00D540CC" w:rsidP="00556699">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Preo</w:t>
            </w:r>
            <w:r w:rsidR="00D847F2" w:rsidRPr="002A7699">
              <w:rPr>
                <w:rFonts w:ascii="Arial" w:eastAsia="Times New Roman" w:hAnsi="Arial" w:cs="Arial"/>
                <w:b/>
                <w:bCs/>
                <w:sz w:val="18"/>
                <w:szCs w:val="18"/>
                <w:lang w:eastAsia="sl-SI"/>
              </w:rPr>
              <w:t>stalo</w:t>
            </w:r>
          </w:p>
        </w:tc>
        <w:tc>
          <w:tcPr>
            <w:tcW w:w="141" w:type="dxa"/>
            <w:vAlign w:val="center"/>
            <w:hideMark/>
          </w:tcPr>
          <w:p w14:paraId="7C9FE156"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3297E78E"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BEA9207"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Aktivni dolg </w:t>
            </w:r>
          </w:p>
        </w:tc>
        <w:tc>
          <w:tcPr>
            <w:tcW w:w="1150" w:type="dxa"/>
            <w:tcBorders>
              <w:top w:val="nil"/>
              <w:left w:val="nil"/>
              <w:bottom w:val="single" w:sz="4" w:space="0" w:color="auto"/>
              <w:right w:val="single" w:sz="4" w:space="0" w:color="auto"/>
            </w:tcBorders>
            <w:shd w:val="clear" w:color="auto" w:fill="auto"/>
            <w:vAlign w:val="center"/>
            <w:hideMark/>
          </w:tcPr>
          <w:p w14:paraId="40F0D170"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98</w:t>
            </w:r>
          </w:p>
        </w:tc>
        <w:tc>
          <w:tcPr>
            <w:tcW w:w="1062" w:type="dxa"/>
            <w:tcBorders>
              <w:top w:val="nil"/>
              <w:left w:val="nil"/>
              <w:bottom w:val="single" w:sz="4" w:space="0" w:color="auto"/>
              <w:right w:val="single" w:sz="4" w:space="0" w:color="auto"/>
            </w:tcBorders>
            <w:shd w:val="clear" w:color="auto" w:fill="auto"/>
            <w:vAlign w:val="center"/>
            <w:hideMark/>
          </w:tcPr>
          <w:p w14:paraId="719F86AF"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37</w:t>
            </w:r>
          </w:p>
        </w:tc>
        <w:tc>
          <w:tcPr>
            <w:tcW w:w="1093" w:type="dxa"/>
            <w:tcBorders>
              <w:top w:val="nil"/>
              <w:left w:val="nil"/>
              <w:bottom w:val="single" w:sz="4" w:space="0" w:color="auto"/>
              <w:right w:val="single" w:sz="4" w:space="0" w:color="auto"/>
            </w:tcBorders>
            <w:shd w:val="clear" w:color="auto" w:fill="auto"/>
            <w:vAlign w:val="center"/>
            <w:hideMark/>
          </w:tcPr>
          <w:p w14:paraId="0FFECEFB"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34</w:t>
            </w:r>
          </w:p>
        </w:tc>
        <w:tc>
          <w:tcPr>
            <w:tcW w:w="1111" w:type="dxa"/>
            <w:tcBorders>
              <w:top w:val="nil"/>
              <w:left w:val="nil"/>
              <w:bottom w:val="single" w:sz="4" w:space="0" w:color="auto"/>
              <w:right w:val="single" w:sz="4" w:space="0" w:color="auto"/>
            </w:tcBorders>
            <w:shd w:val="clear" w:color="auto" w:fill="auto"/>
            <w:vAlign w:val="center"/>
            <w:hideMark/>
          </w:tcPr>
          <w:p w14:paraId="3D5719C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377</w:t>
            </w:r>
          </w:p>
        </w:tc>
        <w:tc>
          <w:tcPr>
            <w:tcW w:w="1042" w:type="dxa"/>
            <w:tcBorders>
              <w:top w:val="nil"/>
              <w:left w:val="nil"/>
              <w:bottom w:val="single" w:sz="4" w:space="0" w:color="auto"/>
              <w:right w:val="single" w:sz="4" w:space="0" w:color="auto"/>
            </w:tcBorders>
            <w:shd w:val="clear" w:color="auto" w:fill="auto"/>
            <w:vAlign w:val="center"/>
            <w:hideMark/>
          </w:tcPr>
          <w:p w14:paraId="5184894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190.203</w:t>
            </w:r>
          </w:p>
        </w:tc>
        <w:tc>
          <w:tcPr>
            <w:tcW w:w="1148" w:type="dxa"/>
            <w:tcBorders>
              <w:top w:val="nil"/>
              <w:left w:val="nil"/>
              <w:bottom w:val="single" w:sz="4" w:space="0" w:color="auto"/>
              <w:right w:val="single" w:sz="4" w:space="0" w:color="auto"/>
            </w:tcBorders>
            <w:shd w:val="clear" w:color="auto" w:fill="auto"/>
            <w:vAlign w:val="center"/>
            <w:hideMark/>
          </w:tcPr>
          <w:p w14:paraId="6494875F"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2.124.369</w:t>
            </w:r>
          </w:p>
        </w:tc>
        <w:tc>
          <w:tcPr>
            <w:tcW w:w="1118" w:type="dxa"/>
            <w:tcBorders>
              <w:top w:val="nil"/>
              <w:left w:val="nil"/>
              <w:bottom w:val="single" w:sz="4" w:space="0" w:color="auto"/>
              <w:right w:val="single" w:sz="4" w:space="0" w:color="auto"/>
            </w:tcBorders>
            <w:shd w:val="clear" w:color="auto" w:fill="auto"/>
            <w:vAlign w:val="center"/>
            <w:hideMark/>
          </w:tcPr>
          <w:p w14:paraId="311A2207"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2.315.118</w:t>
            </w:r>
          </w:p>
        </w:tc>
        <w:tc>
          <w:tcPr>
            <w:tcW w:w="141" w:type="dxa"/>
            <w:vAlign w:val="center"/>
            <w:hideMark/>
          </w:tcPr>
          <w:p w14:paraId="52982A34"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28370159" w14:textId="77777777" w:rsidTr="00556699">
        <w:trPr>
          <w:trHeight w:val="290"/>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89B0430"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 xml:space="preserve">Pogojno izterljivi dolg </w:t>
            </w:r>
          </w:p>
        </w:tc>
        <w:tc>
          <w:tcPr>
            <w:tcW w:w="1150" w:type="dxa"/>
            <w:tcBorders>
              <w:top w:val="nil"/>
              <w:left w:val="nil"/>
              <w:bottom w:val="single" w:sz="4" w:space="0" w:color="auto"/>
              <w:right w:val="single" w:sz="4" w:space="0" w:color="auto"/>
            </w:tcBorders>
            <w:shd w:val="clear" w:color="auto" w:fill="auto"/>
            <w:vAlign w:val="center"/>
            <w:hideMark/>
          </w:tcPr>
          <w:p w14:paraId="3DFC517F"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0</w:t>
            </w:r>
          </w:p>
        </w:tc>
        <w:tc>
          <w:tcPr>
            <w:tcW w:w="1062" w:type="dxa"/>
            <w:tcBorders>
              <w:top w:val="nil"/>
              <w:left w:val="nil"/>
              <w:bottom w:val="single" w:sz="4" w:space="0" w:color="auto"/>
              <w:right w:val="single" w:sz="4" w:space="0" w:color="auto"/>
            </w:tcBorders>
            <w:shd w:val="clear" w:color="auto" w:fill="auto"/>
            <w:vAlign w:val="center"/>
            <w:hideMark/>
          </w:tcPr>
          <w:p w14:paraId="13CF477C"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0</w:t>
            </w:r>
          </w:p>
        </w:tc>
        <w:tc>
          <w:tcPr>
            <w:tcW w:w="1093" w:type="dxa"/>
            <w:tcBorders>
              <w:top w:val="nil"/>
              <w:left w:val="nil"/>
              <w:bottom w:val="single" w:sz="4" w:space="0" w:color="auto"/>
              <w:right w:val="single" w:sz="4" w:space="0" w:color="auto"/>
            </w:tcBorders>
            <w:shd w:val="clear" w:color="auto" w:fill="auto"/>
            <w:vAlign w:val="center"/>
            <w:hideMark/>
          </w:tcPr>
          <w:p w14:paraId="11F62B6E" w14:textId="77777777" w:rsidR="00D847F2" w:rsidRPr="002A7699" w:rsidRDefault="00D847F2" w:rsidP="00556699">
            <w:pPr>
              <w:spacing w:after="0" w:line="240" w:lineRule="auto"/>
              <w:jc w:val="right"/>
              <w:rPr>
                <w:rFonts w:ascii="Arial" w:eastAsia="Times New Roman" w:hAnsi="Arial" w:cs="Arial"/>
                <w:i/>
                <w:iCs/>
                <w:sz w:val="18"/>
                <w:szCs w:val="18"/>
                <w:lang w:eastAsia="sl-SI"/>
              </w:rPr>
            </w:pPr>
            <w:r w:rsidRPr="002A7699">
              <w:rPr>
                <w:rFonts w:ascii="Arial" w:eastAsia="Times New Roman" w:hAnsi="Arial" w:cs="Arial"/>
                <w:i/>
                <w:iCs/>
                <w:sz w:val="18"/>
                <w:szCs w:val="18"/>
                <w:lang w:eastAsia="sl-SI"/>
              </w:rPr>
              <w:t>0</w:t>
            </w:r>
          </w:p>
        </w:tc>
        <w:tc>
          <w:tcPr>
            <w:tcW w:w="1111" w:type="dxa"/>
            <w:tcBorders>
              <w:top w:val="nil"/>
              <w:left w:val="nil"/>
              <w:bottom w:val="single" w:sz="4" w:space="0" w:color="auto"/>
              <w:right w:val="single" w:sz="4" w:space="0" w:color="auto"/>
            </w:tcBorders>
            <w:shd w:val="clear" w:color="auto" w:fill="auto"/>
            <w:vAlign w:val="center"/>
            <w:hideMark/>
          </w:tcPr>
          <w:p w14:paraId="2BECC419"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0</w:t>
            </w:r>
          </w:p>
        </w:tc>
        <w:tc>
          <w:tcPr>
            <w:tcW w:w="1042" w:type="dxa"/>
            <w:tcBorders>
              <w:top w:val="nil"/>
              <w:left w:val="nil"/>
              <w:bottom w:val="nil"/>
              <w:right w:val="single" w:sz="4" w:space="0" w:color="auto"/>
            </w:tcBorders>
            <w:shd w:val="clear" w:color="auto" w:fill="auto"/>
            <w:vAlign w:val="center"/>
            <w:hideMark/>
          </w:tcPr>
          <w:p w14:paraId="352BC235"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0</w:t>
            </w:r>
          </w:p>
        </w:tc>
        <w:tc>
          <w:tcPr>
            <w:tcW w:w="1148" w:type="dxa"/>
            <w:tcBorders>
              <w:top w:val="nil"/>
              <w:left w:val="nil"/>
              <w:bottom w:val="nil"/>
              <w:right w:val="single" w:sz="4" w:space="0" w:color="auto"/>
            </w:tcBorders>
            <w:shd w:val="clear" w:color="auto" w:fill="auto"/>
            <w:vAlign w:val="center"/>
            <w:hideMark/>
          </w:tcPr>
          <w:p w14:paraId="6AC63DE6" w14:textId="77777777" w:rsidR="00D847F2" w:rsidRPr="002A7699" w:rsidRDefault="00D847F2" w:rsidP="00556699">
            <w:pPr>
              <w:spacing w:after="0" w:line="240" w:lineRule="auto"/>
              <w:jc w:val="right"/>
              <w:rPr>
                <w:rFonts w:ascii="Arial" w:eastAsia="Times New Roman" w:hAnsi="Arial" w:cs="Arial"/>
                <w:sz w:val="18"/>
                <w:szCs w:val="18"/>
                <w:lang w:eastAsia="sl-SI"/>
              </w:rPr>
            </w:pPr>
            <w:r w:rsidRPr="002A7699">
              <w:rPr>
                <w:rFonts w:ascii="Arial" w:eastAsia="Times New Roman" w:hAnsi="Arial" w:cs="Arial"/>
                <w:sz w:val="18"/>
                <w:szCs w:val="18"/>
                <w:lang w:eastAsia="sl-SI"/>
              </w:rPr>
              <w:t>0</w:t>
            </w:r>
          </w:p>
        </w:tc>
        <w:tc>
          <w:tcPr>
            <w:tcW w:w="1118" w:type="dxa"/>
            <w:tcBorders>
              <w:top w:val="nil"/>
              <w:left w:val="nil"/>
              <w:bottom w:val="single" w:sz="4" w:space="0" w:color="auto"/>
              <w:right w:val="single" w:sz="4" w:space="0" w:color="auto"/>
            </w:tcBorders>
            <w:shd w:val="clear" w:color="auto" w:fill="auto"/>
            <w:vAlign w:val="center"/>
            <w:hideMark/>
          </w:tcPr>
          <w:p w14:paraId="524187CE" w14:textId="77777777" w:rsidR="00D847F2" w:rsidRPr="002A7699" w:rsidRDefault="00D847F2" w:rsidP="00556699">
            <w:pPr>
              <w:spacing w:after="0" w:line="240" w:lineRule="auto"/>
              <w:jc w:val="right"/>
              <w:rPr>
                <w:rFonts w:ascii="Arial" w:eastAsia="Times New Roman" w:hAnsi="Arial" w:cs="Arial"/>
                <w:color w:val="000000"/>
                <w:sz w:val="18"/>
                <w:szCs w:val="18"/>
                <w:lang w:eastAsia="sl-SI"/>
              </w:rPr>
            </w:pPr>
            <w:r w:rsidRPr="002A7699">
              <w:rPr>
                <w:rFonts w:ascii="Arial" w:eastAsia="Times New Roman" w:hAnsi="Arial" w:cs="Arial"/>
                <w:color w:val="000000"/>
                <w:sz w:val="18"/>
                <w:szCs w:val="18"/>
                <w:lang w:eastAsia="sl-SI"/>
              </w:rPr>
              <w:t>0</w:t>
            </w:r>
          </w:p>
        </w:tc>
        <w:tc>
          <w:tcPr>
            <w:tcW w:w="141" w:type="dxa"/>
            <w:vAlign w:val="center"/>
            <w:hideMark/>
          </w:tcPr>
          <w:p w14:paraId="3703CF5D"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119FAFDA" w14:textId="77777777" w:rsidTr="00556699">
        <w:trPr>
          <w:trHeight w:val="177"/>
        </w:trPr>
        <w:tc>
          <w:tcPr>
            <w:tcW w:w="1419"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613B6FA6" w14:textId="5772909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 xml:space="preserve">Skupaj </w:t>
            </w:r>
            <w:r w:rsidR="00D540CC">
              <w:rPr>
                <w:rFonts w:ascii="Arial" w:eastAsia="Times New Roman" w:hAnsi="Arial" w:cs="Arial"/>
                <w:b/>
                <w:bCs/>
                <w:sz w:val="18"/>
                <w:szCs w:val="18"/>
                <w:lang w:eastAsia="sl-SI"/>
              </w:rPr>
              <w:t>pre</w:t>
            </w:r>
            <w:r w:rsidRPr="002A7699">
              <w:rPr>
                <w:rFonts w:ascii="Arial" w:eastAsia="Times New Roman" w:hAnsi="Arial" w:cs="Arial"/>
                <w:b/>
                <w:bCs/>
                <w:sz w:val="18"/>
                <w:szCs w:val="18"/>
                <w:lang w:eastAsia="sl-SI"/>
              </w:rPr>
              <w:t>ostalo</w:t>
            </w:r>
          </w:p>
        </w:tc>
        <w:tc>
          <w:tcPr>
            <w:tcW w:w="1150" w:type="dxa"/>
            <w:tcBorders>
              <w:top w:val="double" w:sz="6" w:space="0" w:color="auto"/>
              <w:left w:val="nil"/>
              <w:bottom w:val="double" w:sz="6" w:space="0" w:color="auto"/>
              <w:right w:val="single" w:sz="4" w:space="0" w:color="auto"/>
            </w:tcBorders>
            <w:shd w:val="clear" w:color="auto" w:fill="auto"/>
            <w:vAlign w:val="center"/>
            <w:hideMark/>
          </w:tcPr>
          <w:p w14:paraId="4037159C"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98</w:t>
            </w:r>
          </w:p>
        </w:tc>
        <w:tc>
          <w:tcPr>
            <w:tcW w:w="1062" w:type="dxa"/>
            <w:tcBorders>
              <w:top w:val="double" w:sz="6" w:space="0" w:color="auto"/>
              <w:left w:val="nil"/>
              <w:bottom w:val="double" w:sz="6" w:space="0" w:color="auto"/>
              <w:right w:val="single" w:sz="4" w:space="0" w:color="auto"/>
            </w:tcBorders>
            <w:shd w:val="clear" w:color="auto" w:fill="auto"/>
            <w:vAlign w:val="center"/>
            <w:hideMark/>
          </w:tcPr>
          <w:p w14:paraId="1C44E780"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37</w:t>
            </w:r>
          </w:p>
        </w:tc>
        <w:tc>
          <w:tcPr>
            <w:tcW w:w="1093" w:type="dxa"/>
            <w:tcBorders>
              <w:top w:val="double" w:sz="6" w:space="0" w:color="auto"/>
              <w:left w:val="nil"/>
              <w:bottom w:val="double" w:sz="6" w:space="0" w:color="auto"/>
              <w:right w:val="single" w:sz="4" w:space="0" w:color="auto"/>
            </w:tcBorders>
            <w:shd w:val="clear" w:color="auto" w:fill="auto"/>
            <w:vAlign w:val="center"/>
            <w:hideMark/>
          </w:tcPr>
          <w:p w14:paraId="1A71ED92"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34</w:t>
            </w:r>
          </w:p>
        </w:tc>
        <w:tc>
          <w:tcPr>
            <w:tcW w:w="1111" w:type="dxa"/>
            <w:tcBorders>
              <w:top w:val="double" w:sz="6" w:space="0" w:color="auto"/>
              <w:left w:val="nil"/>
              <w:bottom w:val="double" w:sz="6" w:space="0" w:color="auto"/>
              <w:right w:val="single" w:sz="4" w:space="0" w:color="auto"/>
            </w:tcBorders>
            <w:shd w:val="clear" w:color="auto" w:fill="auto"/>
            <w:vAlign w:val="center"/>
            <w:hideMark/>
          </w:tcPr>
          <w:p w14:paraId="1FB3CC3D"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377</w:t>
            </w:r>
          </w:p>
        </w:tc>
        <w:tc>
          <w:tcPr>
            <w:tcW w:w="1042" w:type="dxa"/>
            <w:tcBorders>
              <w:top w:val="double" w:sz="6" w:space="0" w:color="auto"/>
              <w:left w:val="nil"/>
              <w:bottom w:val="double" w:sz="6" w:space="0" w:color="auto"/>
              <w:right w:val="single" w:sz="4" w:space="0" w:color="auto"/>
            </w:tcBorders>
            <w:shd w:val="clear" w:color="auto" w:fill="auto"/>
            <w:vAlign w:val="center"/>
            <w:hideMark/>
          </w:tcPr>
          <w:p w14:paraId="4FAEFD9A"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190203</w:t>
            </w:r>
          </w:p>
        </w:tc>
        <w:tc>
          <w:tcPr>
            <w:tcW w:w="1148" w:type="dxa"/>
            <w:tcBorders>
              <w:top w:val="double" w:sz="6" w:space="0" w:color="auto"/>
              <w:left w:val="nil"/>
              <w:bottom w:val="double" w:sz="6" w:space="0" w:color="auto"/>
              <w:right w:val="single" w:sz="4" w:space="0" w:color="auto"/>
            </w:tcBorders>
            <w:shd w:val="clear" w:color="auto" w:fill="auto"/>
            <w:vAlign w:val="center"/>
            <w:hideMark/>
          </w:tcPr>
          <w:p w14:paraId="0743D4B1"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2124369</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50433250"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2.315.118</w:t>
            </w:r>
          </w:p>
        </w:tc>
        <w:tc>
          <w:tcPr>
            <w:tcW w:w="141" w:type="dxa"/>
            <w:vAlign w:val="center"/>
            <w:hideMark/>
          </w:tcPr>
          <w:p w14:paraId="3CEE00C1"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5B68C361" w14:textId="77777777" w:rsidTr="00556699">
        <w:trPr>
          <w:trHeight w:val="315"/>
        </w:trPr>
        <w:tc>
          <w:tcPr>
            <w:tcW w:w="1419" w:type="dxa"/>
            <w:tcBorders>
              <w:top w:val="nil"/>
              <w:left w:val="single" w:sz="4" w:space="0" w:color="auto"/>
              <w:bottom w:val="single" w:sz="4" w:space="0" w:color="auto"/>
              <w:right w:val="single" w:sz="4" w:space="0" w:color="auto"/>
            </w:tcBorders>
            <w:shd w:val="clear" w:color="000000" w:fill="B8CCE4"/>
            <w:vAlign w:val="center"/>
            <w:hideMark/>
          </w:tcPr>
          <w:p w14:paraId="3629F977"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SKUPAJ AKTIVNI DOLG</w:t>
            </w:r>
          </w:p>
        </w:tc>
        <w:tc>
          <w:tcPr>
            <w:tcW w:w="1150" w:type="dxa"/>
            <w:tcBorders>
              <w:top w:val="nil"/>
              <w:left w:val="nil"/>
              <w:bottom w:val="single" w:sz="4" w:space="0" w:color="auto"/>
              <w:right w:val="single" w:sz="4" w:space="0" w:color="auto"/>
            </w:tcBorders>
            <w:shd w:val="clear" w:color="000000" w:fill="B8CCE4"/>
            <w:vAlign w:val="center"/>
            <w:hideMark/>
          </w:tcPr>
          <w:p w14:paraId="035417B6"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107.536.195</w:t>
            </w:r>
          </w:p>
        </w:tc>
        <w:tc>
          <w:tcPr>
            <w:tcW w:w="1062" w:type="dxa"/>
            <w:tcBorders>
              <w:top w:val="nil"/>
              <w:left w:val="nil"/>
              <w:bottom w:val="single" w:sz="4" w:space="0" w:color="auto"/>
              <w:right w:val="single" w:sz="4" w:space="0" w:color="auto"/>
            </w:tcBorders>
            <w:shd w:val="clear" w:color="000000" w:fill="B8CCE4"/>
            <w:vAlign w:val="center"/>
            <w:hideMark/>
          </w:tcPr>
          <w:p w14:paraId="4C1E4D8D"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20.570.275</w:t>
            </w:r>
          </w:p>
        </w:tc>
        <w:tc>
          <w:tcPr>
            <w:tcW w:w="1093" w:type="dxa"/>
            <w:tcBorders>
              <w:top w:val="nil"/>
              <w:left w:val="nil"/>
              <w:bottom w:val="single" w:sz="4" w:space="0" w:color="auto"/>
              <w:right w:val="single" w:sz="4" w:space="0" w:color="auto"/>
            </w:tcBorders>
            <w:shd w:val="clear" w:color="000000" w:fill="B8CCE4"/>
            <w:vAlign w:val="center"/>
            <w:hideMark/>
          </w:tcPr>
          <w:p w14:paraId="4191E90D"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27.527.926</w:t>
            </w:r>
          </w:p>
        </w:tc>
        <w:tc>
          <w:tcPr>
            <w:tcW w:w="1111" w:type="dxa"/>
            <w:tcBorders>
              <w:top w:val="nil"/>
              <w:left w:val="nil"/>
              <w:bottom w:val="single" w:sz="4" w:space="0" w:color="auto"/>
              <w:right w:val="single" w:sz="4" w:space="0" w:color="auto"/>
            </w:tcBorders>
            <w:shd w:val="clear" w:color="000000" w:fill="B8CCE4"/>
            <w:vAlign w:val="center"/>
            <w:hideMark/>
          </w:tcPr>
          <w:p w14:paraId="15A66580"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41.427.931</w:t>
            </w:r>
          </w:p>
        </w:tc>
        <w:tc>
          <w:tcPr>
            <w:tcW w:w="1042" w:type="dxa"/>
            <w:tcBorders>
              <w:top w:val="nil"/>
              <w:left w:val="nil"/>
              <w:bottom w:val="single" w:sz="4" w:space="0" w:color="auto"/>
              <w:right w:val="single" w:sz="4" w:space="0" w:color="auto"/>
            </w:tcBorders>
            <w:shd w:val="clear" w:color="000000" w:fill="B8CCE4"/>
            <w:vAlign w:val="center"/>
            <w:hideMark/>
          </w:tcPr>
          <w:p w14:paraId="2B90A7CF"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51.185.842</w:t>
            </w:r>
          </w:p>
        </w:tc>
        <w:tc>
          <w:tcPr>
            <w:tcW w:w="1148" w:type="dxa"/>
            <w:tcBorders>
              <w:top w:val="nil"/>
              <w:left w:val="nil"/>
              <w:bottom w:val="single" w:sz="4" w:space="0" w:color="auto"/>
              <w:right w:val="single" w:sz="4" w:space="0" w:color="auto"/>
            </w:tcBorders>
            <w:shd w:val="clear" w:color="000000" w:fill="B8CCE4"/>
            <w:vAlign w:val="center"/>
            <w:hideMark/>
          </w:tcPr>
          <w:p w14:paraId="67826E8A"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191.377.194</w:t>
            </w:r>
          </w:p>
        </w:tc>
        <w:tc>
          <w:tcPr>
            <w:tcW w:w="1118" w:type="dxa"/>
            <w:tcBorders>
              <w:top w:val="nil"/>
              <w:left w:val="nil"/>
              <w:bottom w:val="single" w:sz="4" w:space="0" w:color="auto"/>
              <w:right w:val="single" w:sz="4" w:space="0" w:color="auto"/>
            </w:tcBorders>
            <w:shd w:val="clear" w:color="000000" w:fill="B8CCE4"/>
            <w:vAlign w:val="center"/>
            <w:hideMark/>
          </w:tcPr>
          <w:p w14:paraId="11D782C5"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439.625.363</w:t>
            </w:r>
          </w:p>
        </w:tc>
        <w:tc>
          <w:tcPr>
            <w:tcW w:w="141" w:type="dxa"/>
            <w:vAlign w:val="center"/>
            <w:hideMark/>
          </w:tcPr>
          <w:p w14:paraId="13C082DB"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0CA82363" w14:textId="77777777" w:rsidTr="00556699">
        <w:trPr>
          <w:trHeight w:val="388"/>
        </w:trPr>
        <w:tc>
          <w:tcPr>
            <w:tcW w:w="1419" w:type="dxa"/>
            <w:tcBorders>
              <w:top w:val="nil"/>
              <w:left w:val="single" w:sz="4" w:space="0" w:color="auto"/>
              <w:bottom w:val="single" w:sz="4" w:space="0" w:color="auto"/>
              <w:right w:val="single" w:sz="4" w:space="0" w:color="auto"/>
            </w:tcBorders>
            <w:shd w:val="clear" w:color="000000" w:fill="B8CCE4"/>
            <w:vAlign w:val="center"/>
            <w:hideMark/>
          </w:tcPr>
          <w:p w14:paraId="5D1C4670" w14:textId="77777777" w:rsidR="00D847F2" w:rsidRPr="002A7699" w:rsidRDefault="00D847F2" w:rsidP="00556699">
            <w:pPr>
              <w:spacing w:after="0" w:line="240" w:lineRule="auto"/>
              <w:rPr>
                <w:rFonts w:ascii="Arial" w:eastAsia="Times New Roman" w:hAnsi="Arial" w:cs="Arial"/>
                <w:sz w:val="18"/>
                <w:szCs w:val="18"/>
                <w:lang w:eastAsia="sl-SI"/>
              </w:rPr>
            </w:pPr>
            <w:r w:rsidRPr="002A7699">
              <w:rPr>
                <w:rFonts w:ascii="Arial" w:eastAsia="Times New Roman" w:hAnsi="Arial" w:cs="Arial"/>
                <w:sz w:val="18"/>
                <w:szCs w:val="18"/>
                <w:lang w:eastAsia="sl-SI"/>
              </w:rPr>
              <w:t>SKUPAJ POGOJNO IZTERLJIVI DOLG</w:t>
            </w:r>
          </w:p>
        </w:tc>
        <w:tc>
          <w:tcPr>
            <w:tcW w:w="1150" w:type="dxa"/>
            <w:tcBorders>
              <w:top w:val="nil"/>
              <w:left w:val="nil"/>
              <w:bottom w:val="single" w:sz="4" w:space="0" w:color="auto"/>
              <w:right w:val="single" w:sz="4" w:space="0" w:color="auto"/>
            </w:tcBorders>
            <w:shd w:val="clear" w:color="000000" w:fill="B8CCE4"/>
            <w:vAlign w:val="center"/>
            <w:hideMark/>
          </w:tcPr>
          <w:p w14:paraId="20C72D9A"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311.722.802</w:t>
            </w:r>
          </w:p>
        </w:tc>
        <w:tc>
          <w:tcPr>
            <w:tcW w:w="1062" w:type="dxa"/>
            <w:tcBorders>
              <w:top w:val="nil"/>
              <w:left w:val="nil"/>
              <w:bottom w:val="single" w:sz="4" w:space="0" w:color="auto"/>
              <w:right w:val="single" w:sz="4" w:space="0" w:color="auto"/>
            </w:tcBorders>
            <w:shd w:val="clear" w:color="000000" w:fill="B8CCE4"/>
            <w:vAlign w:val="center"/>
            <w:hideMark/>
          </w:tcPr>
          <w:p w14:paraId="142D2A8A"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30.164.109</w:t>
            </w:r>
          </w:p>
        </w:tc>
        <w:tc>
          <w:tcPr>
            <w:tcW w:w="1093" w:type="dxa"/>
            <w:tcBorders>
              <w:top w:val="nil"/>
              <w:left w:val="nil"/>
              <w:bottom w:val="single" w:sz="4" w:space="0" w:color="auto"/>
              <w:right w:val="single" w:sz="4" w:space="0" w:color="auto"/>
            </w:tcBorders>
            <w:shd w:val="clear" w:color="000000" w:fill="B8CCE4"/>
            <w:vAlign w:val="center"/>
            <w:hideMark/>
          </w:tcPr>
          <w:p w14:paraId="23C5AF73"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35.357.898</w:t>
            </w:r>
          </w:p>
        </w:tc>
        <w:tc>
          <w:tcPr>
            <w:tcW w:w="1111" w:type="dxa"/>
            <w:tcBorders>
              <w:top w:val="nil"/>
              <w:left w:val="nil"/>
              <w:bottom w:val="single" w:sz="4" w:space="0" w:color="auto"/>
              <w:right w:val="single" w:sz="4" w:space="0" w:color="auto"/>
            </w:tcBorders>
            <w:shd w:val="clear" w:color="000000" w:fill="B8CCE4"/>
            <w:vAlign w:val="center"/>
            <w:hideMark/>
          </w:tcPr>
          <w:p w14:paraId="71E894E8"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32.671.252</w:t>
            </w:r>
          </w:p>
        </w:tc>
        <w:tc>
          <w:tcPr>
            <w:tcW w:w="1042" w:type="dxa"/>
            <w:tcBorders>
              <w:top w:val="nil"/>
              <w:left w:val="nil"/>
              <w:bottom w:val="single" w:sz="4" w:space="0" w:color="auto"/>
              <w:right w:val="single" w:sz="4" w:space="0" w:color="auto"/>
            </w:tcBorders>
            <w:shd w:val="clear" w:color="000000" w:fill="B8CCE4"/>
            <w:vAlign w:val="center"/>
            <w:hideMark/>
          </w:tcPr>
          <w:p w14:paraId="02A58916"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30.964.552</w:t>
            </w:r>
          </w:p>
        </w:tc>
        <w:tc>
          <w:tcPr>
            <w:tcW w:w="1148" w:type="dxa"/>
            <w:tcBorders>
              <w:top w:val="nil"/>
              <w:left w:val="nil"/>
              <w:bottom w:val="single" w:sz="4" w:space="0" w:color="auto"/>
              <w:right w:val="single" w:sz="4" w:space="0" w:color="auto"/>
            </w:tcBorders>
            <w:shd w:val="clear" w:color="000000" w:fill="B8CCE4"/>
            <w:vAlign w:val="center"/>
            <w:hideMark/>
          </w:tcPr>
          <w:p w14:paraId="2388CDC3"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15.844.014</w:t>
            </w:r>
          </w:p>
        </w:tc>
        <w:tc>
          <w:tcPr>
            <w:tcW w:w="1118" w:type="dxa"/>
            <w:tcBorders>
              <w:top w:val="nil"/>
              <w:left w:val="nil"/>
              <w:bottom w:val="single" w:sz="4" w:space="0" w:color="auto"/>
              <w:right w:val="single" w:sz="4" w:space="0" w:color="auto"/>
            </w:tcBorders>
            <w:shd w:val="clear" w:color="000000" w:fill="B8CCE4"/>
            <w:vAlign w:val="center"/>
            <w:hideMark/>
          </w:tcPr>
          <w:p w14:paraId="524A713B"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456.724.627</w:t>
            </w:r>
          </w:p>
        </w:tc>
        <w:tc>
          <w:tcPr>
            <w:tcW w:w="141" w:type="dxa"/>
            <w:vAlign w:val="center"/>
            <w:hideMark/>
          </w:tcPr>
          <w:p w14:paraId="0CE6C88B"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r w:rsidR="00D847F2" w:rsidRPr="002A7699" w14:paraId="744DE9EE" w14:textId="77777777" w:rsidTr="00556699">
        <w:trPr>
          <w:trHeight w:val="388"/>
        </w:trPr>
        <w:tc>
          <w:tcPr>
            <w:tcW w:w="1419" w:type="dxa"/>
            <w:tcBorders>
              <w:top w:val="nil"/>
              <w:left w:val="single" w:sz="4" w:space="0" w:color="auto"/>
              <w:bottom w:val="single" w:sz="4" w:space="0" w:color="auto"/>
              <w:right w:val="single" w:sz="4" w:space="0" w:color="auto"/>
            </w:tcBorders>
            <w:shd w:val="clear" w:color="000000" w:fill="B8CCE4"/>
            <w:vAlign w:val="center"/>
            <w:hideMark/>
          </w:tcPr>
          <w:p w14:paraId="29624ADB" w14:textId="77777777" w:rsidR="00D847F2" w:rsidRPr="002A7699" w:rsidRDefault="00D847F2" w:rsidP="00556699">
            <w:pPr>
              <w:spacing w:after="0" w:line="240" w:lineRule="auto"/>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SKUPAJ DAVČNI DOLG</w:t>
            </w:r>
          </w:p>
        </w:tc>
        <w:tc>
          <w:tcPr>
            <w:tcW w:w="1150" w:type="dxa"/>
            <w:tcBorders>
              <w:top w:val="nil"/>
              <w:left w:val="nil"/>
              <w:bottom w:val="single" w:sz="4" w:space="0" w:color="auto"/>
              <w:right w:val="single" w:sz="4" w:space="0" w:color="auto"/>
            </w:tcBorders>
            <w:shd w:val="clear" w:color="000000" w:fill="B8CCE4"/>
            <w:vAlign w:val="center"/>
            <w:hideMark/>
          </w:tcPr>
          <w:p w14:paraId="3ADE8EBF"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419.258.997</w:t>
            </w:r>
          </w:p>
        </w:tc>
        <w:tc>
          <w:tcPr>
            <w:tcW w:w="1062" w:type="dxa"/>
            <w:tcBorders>
              <w:top w:val="nil"/>
              <w:left w:val="nil"/>
              <w:bottom w:val="single" w:sz="4" w:space="0" w:color="auto"/>
              <w:right w:val="single" w:sz="4" w:space="0" w:color="auto"/>
            </w:tcBorders>
            <w:shd w:val="clear" w:color="000000" w:fill="B8CCE4"/>
            <w:vAlign w:val="center"/>
            <w:hideMark/>
          </w:tcPr>
          <w:p w14:paraId="07171167"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50.734.384</w:t>
            </w:r>
          </w:p>
        </w:tc>
        <w:tc>
          <w:tcPr>
            <w:tcW w:w="1093" w:type="dxa"/>
            <w:tcBorders>
              <w:top w:val="nil"/>
              <w:left w:val="nil"/>
              <w:bottom w:val="single" w:sz="4" w:space="0" w:color="auto"/>
              <w:right w:val="single" w:sz="4" w:space="0" w:color="auto"/>
            </w:tcBorders>
            <w:shd w:val="clear" w:color="000000" w:fill="B8CCE4"/>
            <w:vAlign w:val="center"/>
            <w:hideMark/>
          </w:tcPr>
          <w:p w14:paraId="1B0351FF"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62.885.824</w:t>
            </w:r>
          </w:p>
        </w:tc>
        <w:tc>
          <w:tcPr>
            <w:tcW w:w="1111" w:type="dxa"/>
            <w:tcBorders>
              <w:top w:val="nil"/>
              <w:left w:val="nil"/>
              <w:bottom w:val="single" w:sz="4" w:space="0" w:color="auto"/>
              <w:right w:val="single" w:sz="4" w:space="0" w:color="auto"/>
            </w:tcBorders>
            <w:shd w:val="clear" w:color="000000" w:fill="B8CCE4"/>
            <w:vAlign w:val="center"/>
            <w:hideMark/>
          </w:tcPr>
          <w:p w14:paraId="696D523D"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74.099.183</w:t>
            </w:r>
          </w:p>
        </w:tc>
        <w:tc>
          <w:tcPr>
            <w:tcW w:w="1042" w:type="dxa"/>
            <w:tcBorders>
              <w:top w:val="nil"/>
              <w:left w:val="nil"/>
              <w:bottom w:val="single" w:sz="4" w:space="0" w:color="auto"/>
              <w:right w:val="single" w:sz="4" w:space="0" w:color="auto"/>
            </w:tcBorders>
            <w:shd w:val="clear" w:color="000000" w:fill="B8CCE4"/>
            <w:vAlign w:val="center"/>
            <w:hideMark/>
          </w:tcPr>
          <w:p w14:paraId="21F8ED9E"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82.150.394</w:t>
            </w:r>
          </w:p>
        </w:tc>
        <w:tc>
          <w:tcPr>
            <w:tcW w:w="1148" w:type="dxa"/>
            <w:tcBorders>
              <w:top w:val="nil"/>
              <w:left w:val="nil"/>
              <w:bottom w:val="single" w:sz="4" w:space="0" w:color="auto"/>
              <w:right w:val="single" w:sz="4" w:space="0" w:color="auto"/>
            </w:tcBorders>
            <w:shd w:val="clear" w:color="000000" w:fill="B8CCE4"/>
            <w:vAlign w:val="center"/>
            <w:hideMark/>
          </w:tcPr>
          <w:p w14:paraId="65C078C0"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207.221.208</w:t>
            </w:r>
          </w:p>
        </w:tc>
        <w:tc>
          <w:tcPr>
            <w:tcW w:w="1118" w:type="dxa"/>
            <w:tcBorders>
              <w:top w:val="nil"/>
              <w:left w:val="nil"/>
              <w:bottom w:val="single" w:sz="4" w:space="0" w:color="auto"/>
              <w:right w:val="single" w:sz="4" w:space="0" w:color="auto"/>
            </w:tcBorders>
            <w:shd w:val="clear" w:color="000000" w:fill="B8CCE4"/>
            <w:vAlign w:val="center"/>
            <w:hideMark/>
          </w:tcPr>
          <w:p w14:paraId="23E539FD" w14:textId="77777777" w:rsidR="00D847F2" w:rsidRPr="002A7699" w:rsidRDefault="00D847F2" w:rsidP="00556699">
            <w:pPr>
              <w:spacing w:after="0" w:line="240" w:lineRule="auto"/>
              <w:jc w:val="right"/>
              <w:rPr>
                <w:rFonts w:ascii="Arial" w:eastAsia="Times New Roman" w:hAnsi="Arial" w:cs="Arial"/>
                <w:b/>
                <w:bCs/>
                <w:sz w:val="18"/>
                <w:szCs w:val="18"/>
                <w:lang w:eastAsia="sl-SI"/>
              </w:rPr>
            </w:pPr>
            <w:r w:rsidRPr="002A7699">
              <w:rPr>
                <w:rFonts w:ascii="Arial" w:eastAsia="Times New Roman" w:hAnsi="Arial" w:cs="Arial"/>
                <w:b/>
                <w:bCs/>
                <w:sz w:val="18"/>
                <w:szCs w:val="18"/>
                <w:lang w:eastAsia="sl-SI"/>
              </w:rPr>
              <w:t>896.349.990</w:t>
            </w:r>
          </w:p>
        </w:tc>
        <w:tc>
          <w:tcPr>
            <w:tcW w:w="141" w:type="dxa"/>
            <w:vAlign w:val="center"/>
            <w:hideMark/>
          </w:tcPr>
          <w:p w14:paraId="2BEE6964" w14:textId="77777777" w:rsidR="00D847F2" w:rsidRPr="002A7699" w:rsidRDefault="00D847F2" w:rsidP="00556699">
            <w:pPr>
              <w:spacing w:after="0" w:line="240" w:lineRule="auto"/>
              <w:rPr>
                <w:rFonts w:ascii="Times New Roman" w:eastAsia="Times New Roman" w:hAnsi="Times New Roman"/>
                <w:sz w:val="20"/>
                <w:szCs w:val="20"/>
                <w:lang w:eastAsia="sl-SI"/>
              </w:rPr>
            </w:pPr>
          </w:p>
        </w:tc>
      </w:tr>
    </w:tbl>
    <w:p w14:paraId="6C145009" w14:textId="5B3C70B7" w:rsidR="00D847F2" w:rsidRPr="00A33E86" w:rsidRDefault="00D847F2" w:rsidP="00D847F2">
      <w:pPr>
        <w:spacing w:after="0"/>
        <w:jc w:val="both"/>
        <w:rPr>
          <w:rFonts w:ascii="Arial" w:hAnsi="Arial" w:cs="Arial"/>
          <w:sz w:val="16"/>
          <w:szCs w:val="16"/>
        </w:rPr>
      </w:pPr>
      <w:r w:rsidRPr="00A33E86">
        <w:rPr>
          <w:rFonts w:ascii="Arial" w:hAnsi="Arial" w:cs="Arial"/>
          <w:sz w:val="16"/>
          <w:szCs w:val="16"/>
          <w:u w:val="single"/>
        </w:rPr>
        <w:t>Opomba:</w:t>
      </w:r>
      <w:r w:rsidRPr="00A33E86">
        <w:rPr>
          <w:rFonts w:ascii="Arial" w:hAnsi="Arial" w:cs="Arial"/>
          <w:sz w:val="16"/>
          <w:szCs w:val="16"/>
        </w:rPr>
        <w:t xml:space="preserve"> Absolutno zastaranje davčnega dolga nast</w:t>
      </w:r>
      <w:r w:rsidR="00D540CC">
        <w:rPr>
          <w:rFonts w:ascii="Arial" w:hAnsi="Arial" w:cs="Arial"/>
          <w:sz w:val="16"/>
          <w:szCs w:val="16"/>
        </w:rPr>
        <w:t>ane</w:t>
      </w:r>
      <w:r w:rsidRPr="00A33E86">
        <w:rPr>
          <w:rFonts w:ascii="Arial" w:hAnsi="Arial" w:cs="Arial"/>
          <w:sz w:val="16"/>
          <w:szCs w:val="16"/>
        </w:rPr>
        <w:t xml:space="preserve"> po desetih letih, zaradi nekaterih postopkov se v skladu s predpisi rok zastaranja podaljša, zato je del dolga tudi starejši od </w:t>
      </w:r>
      <w:r w:rsidR="00D540CC">
        <w:rPr>
          <w:rFonts w:ascii="Arial" w:hAnsi="Arial" w:cs="Arial"/>
          <w:sz w:val="16"/>
          <w:szCs w:val="16"/>
        </w:rPr>
        <w:t>deset</w:t>
      </w:r>
      <w:r w:rsidRPr="00A33E86">
        <w:rPr>
          <w:rFonts w:ascii="Arial" w:hAnsi="Arial" w:cs="Arial"/>
          <w:sz w:val="16"/>
          <w:szCs w:val="16"/>
        </w:rPr>
        <w:t xml:space="preserve"> let (znesek je vključen v stolpec</w:t>
      </w:r>
      <w:r w:rsidR="00992912">
        <w:rPr>
          <w:rFonts w:ascii="Arial" w:hAnsi="Arial" w:cs="Arial"/>
          <w:sz w:val="16"/>
          <w:szCs w:val="16"/>
        </w:rPr>
        <w:t xml:space="preserve"> </w:t>
      </w:r>
      <w:r w:rsidRPr="00A33E86">
        <w:rPr>
          <w:rFonts w:ascii="Arial" w:hAnsi="Arial" w:cs="Arial"/>
          <w:sz w:val="16"/>
          <w:szCs w:val="16"/>
        </w:rPr>
        <w:t>»zapadlost dolga do</w:t>
      </w:r>
      <w:r w:rsidR="00992912">
        <w:rPr>
          <w:rFonts w:ascii="Arial" w:hAnsi="Arial" w:cs="Arial"/>
          <w:sz w:val="16"/>
          <w:szCs w:val="16"/>
        </w:rPr>
        <w:t xml:space="preserve"> </w:t>
      </w:r>
      <w:r w:rsidRPr="00A33E86">
        <w:rPr>
          <w:rFonts w:ascii="Arial" w:hAnsi="Arial" w:cs="Arial"/>
          <w:sz w:val="16"/>
          <w:szCs w:val="16"/>
        </w:rPr>
        <w:t>leta 201</w:t>
      </w:r>
      <w:r>
        <w:rPr>
          <w:rFonts w:ascii="Arial" w:hAnsi="Arial" w:cs="Arial"/>
          <w:sz w:val="16"/>
          <w:szCs w:val="16"/>
        </w:rPr>
        <w:t>7</w:t>
      </w:r>
      <w:r w:rsidRPr="00A33E86">
        <w:rPr>
          <w:rFonts w:ascii="Arial" w:hAnsi="Arial" w:cs="Arial"/>
          <w:sz w:val="16"/>
          <w:szCs w:val="16"/>
        </w:rPr>
        <w:t>«).</w:t>
      </w:r>
    </w:p>
    <w:p w14:paraId="624F5DC8" w14:textId="428ECB44"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D540CC">
        <w:rPr>
          <w:rFonts w:ascii="Arial" w:hAnsi="Arial" w:cs="Arial"/>
          <w:i/>
          <w:sz w:val="20"/>
          <w:szCs w:val="20"/>
        </w:rPr>
        <w:t xml:space="preserve">. </w:t>
      </w:r>
    </w:p>
    <w:p w14:paraId="19CDACE2" w14:textId="1A6B417B" w:rsidR="00D847F2" w:rsidRDefault="00D847F2" w:rsidP="00D847F2">
      <w:pPr>
        <w:jc w:val="both"/>
        <w:rPr>
          <w:rFonts w:ascii="Arial" w:hAnsi="Arial" w:cs="Arial"/>
          <w:sz w:val="20"/>
          <w:szCs w:val="20"/>
        </w:rPr>
      </w:pPr>
      <w:r w:rsidRPr="002B7283">
        <w:rPr>
          <w:rFonts w:ascii="Arial" w:hAnsi="Arial" w:cs="Arial"/>
          <w:sz w:val="20"/>
          <w:szCs w:val="20"/>
        </w:rPr>
        <w:t>Delež aktivnega dolga z zapadlostjo v letu 20</w:t>
      </w:r>
      <w:r>
        <w:rPr>
          <w:rFonts w:ascii="Arial" w:hAnsi="Arial" w:cs="Arial"/>
          <w:sz w:val="20"/>
          <w:szCs w:val="20"/>
        </w:rPr>
        <w:t>22</w:t>
      </w:r>
      <w:r w:rsidRPr="002B7283">
        <w:rPr>
          <w:rFonts w:ascii="Arial" w:hAnsi="Arial" w:cs="Arial"/>
          <w:sz w:val="20"/>
          <w:szCs w:val="20"/>
        </w:rPr>
        <w:t xml:space="preserve"> znaša </w:t>
      </w:r>
      <w:r>
        <w:rPr>
          <w:rFonts w:ascii="Arial" w:hAnsi="Arial" w:cs="Arial"/>
          <w:sz w:val="20"/>
          <w:szCs w:val="20"/>
        </w:rPr>
        <w:t>43</w:t>
      </w:r>
      <w:r w:rsidRPr="002B7283">
        <w:rPr>
          <w:rFonts w:ascii="Arial" w:hAnsi="Arial" w:cs="Arial"/>
          <w:sz w:val="20"/>
          <w:szCs w:val="20"/>
        </w:rPr>
        <w:t>,</w:t>
      </w:r>
      <w:r>
        <w:rPr>
          <w:rFonts w:ascii="Arial" w:hAnsi="Arial" w:cs="Arial"/>
          <w:sz w:val="20"/>
          <w:szCs w:val="20"/>
        </w:rPr>
        <w:t>5</w:t>
      </w:r>
      <w:r w:rsidRPr="002B7283">
        <w:rPr>
          <w:rFonts w:ascii="Arial" w:hAnsi="Arial" w:cs="Arial"/>
          <w:sz w:val="20"/>
          <w:szCs w:val="20"/>
        </w:rPr>
        <w:t xml:space="preserve"> odstotka, pogojno izterljivega pa 3</w:t>
      </w:r>
      <w:r>
        <w:rPr>
          <w:rFonts w:ascii="Arial" w:hAnsi="Arial" w:cs="Arial"/>
          <w:sz w:val="20"/>
          <w:szCs w:val="20"/>
        </w:rPr>
        <w:t>,4</w:t>
      </w:r>
      <w:r w:rsidRPr="002B7283">
        <w:rPr>
          <w:rFonts w:ascii="Arial" w:hAnsi="Arial" w:cs="Arial"/>
          <w:sz w:val="20"/>
          <w:szCs w:val="20"/>
        </w:rPr>
        <w:t xml:space="preserve"> odstotka. Dolg iz leta 20</w:t>
      </w:r>
      <w:r>
        <w:rPr>
          <w:rFonts w:ascii="Arial" w:hAnsi="Arial" w:cs="Arial"/>
          <w:sz w:val="20"/>
          <w:szCs w:val="20"/>
        </w:rPr>
        <w:t>22</w:t>
      </w:r>
      <w:r w:rsidRPr="002B7283">
        <w:rPr>
          <w:rFonts w:ascii="Arial" w:hAnsi="Arial" w:cs="Arial"/>
          <w:sz w:val="20"/>
          <w:szCs w:val="20"/>
        </w:rPr>
        <w:t xml:space="preserve"> je predmet izvršb s sistemskimi ukrepi (sklepi na denarne prejemke in sredstva na računih), dolg pred letom 20</w:t>
      </w:r>
      <w:r>
        <w:rPr>
          <w:rFonts w:ascii="Arial" w:hAnsi="Arial" w:cs="Arial"/>
          <w:sz w:val="20"/>
          <w:szCs w:val="20"/>
        </w:rPr>
        <w:t>22</w:t>
      </w:r>
      <w:r w:rsidRPr="002B7283">
        <w:rPr>
          <w:rFonts w:ascii="Arial" w:hAnsi="Arial" w:cs="Arial"/>
          <w:sz w:val="20"/>
          <w:szCs w:val="20"/>
        </w:rPr>
        <w:t xml:space="preserve"> pa zahteva individualno obravnavo v postopkih glede na sredstva, ki so lahko predmet izvršbe (terjatve, premičnine, nepremičnine).</w:t>
      </w:r>
    </w:p>
    <w:p w14:paraId="2F38F658" w14:textId="77777777" w:rsidR="00247C3E" w:rsidRDefault="00247C3E" w:rsidP="00D847F2">
      <w:pPr>
        <w:rPr>
          <w:rFonts w:ascii="Arial" w:hAnsi="Arial" w:cs="Arial"/>
          <w:i/>
          <w:sz w:val="20"/>
          <w:szCs w:val="20"/>
        </w:rPr>
      </w:pPr>
    </w:p>
    <w:p w14:paraId="7AFB1121" w14:textId="77777777" w:rsidR="00247C3E" w:rsidRDefault="00247C3E" w:rsidP="00D847F2">
      <w:pPr>
        <w:rPr>
          <w:rFonts w:ascii="Arial" w:hAnsi="Arial" w:cs="Arial"/>
          <w:i/>
          <w:sz w:val="20"/>
          <w:szCs w:val="20"/>
        </w:rPr>
      </w:pPr>
    </w:p>
    <w:p w14:paraId="324402CB" w14:textId="77777777" w:rsidR="00247C3E" w:rsidRDefault="00247C3E" w:rsidP="00D847F2">
      <w:pPr>
        <w:rPr>
          <w:rFonts w:ascii="Arial" w:hAnsi="Arial" w:cs="Arial"/>
          <w:i/>
          <w:sz w:val="20"/>
          <w:szCs w:val="20"/>
        </w:rPr>
      </w:pPr>
    </w:p>
    <w:p w14:paraId="0EF0A693" w14:textId="77777777" w:rsidR="00247C3E" w:rsidRDefault="00247C3E" w:rsidP="00D847F2">
      <w:pPr>
        <w:rPr>
          <w:rFonts w:ascii="Arial" w:hAnsi="Arial" w:cs="Arial"/>
          <w:i/>
          <w:sz w:val="20"/>
          <w:szCs w:val="20"/>
        </w:rPr>
      </w:pPr>
    </w:p>
    <w:p w14:paraId="606694B3" w14:textId="77777777" w:rsidR="00247C3E" w:rsidRDefault="00247C3E" w:rsidP="00D847F2">
      <w:pPr>
        <w:rPr>
          <w:rFonts w:ascii="Arial" w:hAnsi="Arial" w:cs="Arial"/>
          <w:i/>
          <w:sz w:val="20"/>
          <w:szCs w:val="20"/>
        </w:rPr>
      </w:pPr>
    </w:p>
    <w:p w14:paraId="52A15D39" w14:textId="41331983" w:rsidR="00D847F2" w:rsidRDefault="00D847F2" w:rsidP="00D847F2">
      <w:pPr>
        <w:rPr>
          <w:rFonts w:ascii="Arial" w:hAnsi="Arial" w:cs="Arial"/>
          <w:i/>
          <w:sz w:val="20"/>
          <w:szCs w:val="20"/>
        </w:rPr>
      </w:pPr>
      <w:r w:rsidRPr="009838E2">
        <w:rPr>
          <w:rFonts w:ascii="Arial" w:hAnsi="Arial" w:cs="Arial"/>
          <w:i/>
          <w:sz w:val="20"/>
          <w:szCs w:val="20"/>
        </w:rPr>
        <w:lastRenderedPageBreak/>
        <w:t>Preglednica 9: Davčni dolg po javnofinančnih blagajnah glede na zapadlost v EUR</w:t>
      </w:r>
    </w:p>
    <w:tbl>
      <w:tblPr>
        <w:tblW w:w="9099" w:type="dxa"/>
        <w:tblCellMar>
          <w:left w:w="70" w:type="dxa"/>
          <w:right w:w="70" w:type="dxa"/>
        </w:tblCellMar>
        <w:tblLook w:val="04A0" w:firstRow="1" w:lastRow="0" w:firstColumn="1" w:lastColumn="0" w:noHBand="0" w:noVBand="1"/>
      </w:tblPr>
      <w:tblGrid>
        <w:gridCol w:w="1408"/>
        <w:gridCol w:w="1144"/>
        <w:gridCol w:w="1056"/>
        <w:gridCol w:w="1091"/>
        <w:gridCol w:w="1109"/>
        <w:gridCol w:w="1038"/>
        <w:gridCol w:w="1144"/>
        <w:gridCol w:w="1109"/>
      </w:tblGrid>
      <w:tr w:rsidR="00D847F2" w:rsidRPr="00B10884" w14:paraId="6477AE7C" w14:textId="77777777" w:rsidTr="00556699">
        <w:trPr>
          <w:trHeight w:val="370"/>
        </w:trPr>
        <w:tc>
          <w:tcPr>
            <w:tcW w:w="1408"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3822C21" w14:textId="77777777" w:rsidR="00D847F2" w:rsidRPr="00B10884" w:rsidRDefault="00D847F2" w:rsidP="00556699">
            <w:pPr>
              <w:spacing w:after="0" w:line="240" w:lineRule="auto"/>
              <w:jc w:val="center"/>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Delež davčnega dolga v strukturi dolga glede na zapadlost</w:t>
            </w:r>
          </w:p>
        </w:tc>
        <w:tc>
          <w:tcPr>
            <w:tcW w:w="1144" w:type="dxa"/>
            <w:tcBorders>
              <w:top w:val="single" w:sz="4" w:space="0" w:color="auto"/>
              <w:left w:val="nil"/>
              <w:bottom w:val="single" w:sz="4" w:space="0" w:color="auto"/>
              <w:right w:val="single" w:sz="4" w:space="0" w:color="auto"/>
            </w:tcBorders>
            <w:shd w:val="clear" w:color="000000" w:fill="B8CCE4"/>
            <w:vAlign w:val="center"/>
            <w:hideMark/>
          </w:tcPr>
          <w:p w14:paraId="03E39EFF"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2017</w:t>
            </w:r>
          </w:p>
        </w:tc>
        <w:tc>
          <w:tcPr>
            <w:tcW w:w="1056" w:type="dxa"/>
            <w:tcBorders>
              <w:top w:val="single" w:sz="4" w:space="0" w:color="auto"/>
              <w:left w:val="nil"/>
              <w:bottom w:val="single" w:sz="4" w:space="0" w:color="auto"/>
              <w:right w:val="single" w:sz="4" w:space="0" w:color="auto"/>
            </w:tcBorders>
            <w:shd w:val="clear" w:color="000000" w:fill="B8CCE4"/>
            <w:vAlign w:val="center"/>
            <w:hideMark/>
          </w:tcPr>
          <w:p w14:paraId="4E57482B"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2018</w:t>
            </w:r>
          </w:p>
        </w:tc>
        <w:tc>
          <w:tcPr>
            <w:tcW w:w="1091" w:type="dxa"/>
            <w:tcBorders>
              <w:top w:val="single" w:sz="4" w:space="0" w:color="auto"/>
              <w:left w:val="nil"/>
              <w:bottom w:val="single" w:sz="4" w:space="0" w:color="auto"/>
              <w:right w:val="single" w:sz="4" w:space="0" w:color="auto"/>
            </w:tcBorders>
            <w:shd w:val="clear" w:color="000000" w:fill="B8CCE4"/>
            <w:vAlign w:val="center"/>
            <w:hideMark/>
          </w:tcPr>
          <w:p w14:paraId="057887EB"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2019</w:t>
            </w:r>
          </w:p>
        </w:tc>
        <w:tc>
          <w:tcPr>
            <w:tcW w:w="1109" w:type="dxa"/>
            <w:tcBorders>
              <w:top w:val="single" w:sz="4" w:space="0" w:color="auto"/>
              <w:left w:val="nil"/>
              <w:bottom w:val="single" w:sz="4" w:space="0" w:color="auto"/>
              <w:right w:val="single" w:sz="4" w:space="0" w:color="auto"/>
            </w:tcBorders>
            <w:shd w:val="clear" w:color="000000" w:fill="B8CCE4"/>
            <w:vAlign w:val="center"/>
            <w:hideMark/>
          </w:tcPr>
          <w:p w14:paraId="7C03043B"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2020</w:t>
            </w:r>
          </w:p>
        </w:tc>
        <w:tc>
          <w:tcPr>
            <w:tcW w:w="1038" w:type="dxa"/>
            <w:tcBorders>
              <w:top w:val="single" w:sz="4" w:space="0" w:color="auto"/>
              <w:left w:val="nil"/>
              <w:bottom w:val="single" w:sz="4" w:space="0" w:color="auto"/>
              <w:right w:val="single" w:sz="4" w:space="0" w:color="auto"/>
            </w:tcBorders>
            <w:shd w:val="clear" w:color="000000" w:fill="B8CCE4"/>
            <w:vAlign w:val="center"/>
            <w:hideMark/>
          </w:tcPr>
          <w:p w14:paraId="1AC63EAD"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2021</w:t>
            </w:r>
          </w:p>
        </w:tc>
        <w:tc>
          <w:tcPr>
            <w:tcW w:w="1144" w:type="dxa"/>
            <w:tcBorders>
              <w:top w:val="single" w:sz="4" w:space="0" w:color="auto"/>
              <w:left w:val="nil"/>
              <w:bottom w:val="single" w:sz="4" w:space="0" w:color="auto"/>
              <w:right w:val="single" w:sz="4" w:space="0" w:color="auto"/>
            </w:tcBorders>
            <w:shd w:val="clear" w:color="000000" w:fill="B8CCE4"/>
            <w:vAlign w:val="center"/>
            <w:hideMark/>
          </w:tcPr>
          <w:p w14:paraId="425F3469"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Zapadlost dolga v letu 2022</w:t>
            </w:r>
          </w:p>
        </w:tc>
        <w:tc>
          <w:tcPr>
            <w:tcW w:w="1109" w:type="dxa"/>
            <w:tcBorders>
              <w:top w:val="single" w:sz="4" w:space="0" w:color="auto"/>
              <w:left w:val="nil"/>
              <w:bottom w:val="single" w:sz="4" w:space="0" w:color="auto"/>
              <w:right w:val="single" w:sz="4" w:space="0" w:color="auto"/>
            </w:tcBorders>
            <w:shd w:val="clear" w:color="000000" w:fill="B8CCE4"/>
            <w:vAlign w:val="center"/>
            <w:hideMark/>
          </w:tcPr>
          <w:p w14:paraId="596A7782" w14:textId="77777777" w:rsidR="00D847F2" w:rsidRPr="00B10884" w:rsidRDefault="00D847F2" w:rsidP="00556699">
            <w:pPr>
              <w:spacing w:after="0" w:line="240" w:lineRule="auto"/>
              <w:jc w:val="center"/>
              <w:rPr>
                <w:rFonts w:ascii="Arial" w:eastAsia="Times New Roman" w:hAnsi="Arial" w:cs="Arial"/>
                <w:b/>
                <w:bCs/>
                <w:color w:val="000000"/>
                <w:sz w:val="18"/>
                <w:szCs w:val="18"/>
                <w:lang w:eastAsia="sl-SI"/>
              </w:rPr>
            </w:pPr>
            <w:r w:rsidRPr="00B10884">
              <w:rPr>
                <w:rFonts w:ascii="Arial" w:eastAsia="Times New Roman" w:hAnsi="Arial" w:cs="Arial"/>
                <w:b/>
                <w:bCs/>
                <w:color w:val="000000"/>
                <w:sz w:val="18"/>
                <w:szCs w:val="18"/>
                <w:lang w:eastAsia="sl-SI"/>
              </w:rPr>
              <w:t>Skupaj delež dolga</w:t>
            </w:r>
          </w:p>
        </w:tc>
      </w:tr>
      <w:tr w:rsidR="00D847F2" w:rsidRPr="00B10884" w14:paraId="25BBE55D" w14:textId="77777777" w:rsidTr="00556699">
        <w:trPr>
          <w:trHeight w:val="159"/>
        </w:trPr>
        <w:tc>
          <w:tcPr>
            <w:tcW w:w="1408" w:type="dxa"/>
            <w:tcBorders>
              <w:top w:val="nil"/>
              <w:left w:val="single" w:sz="4" w:space="0" w:color="auto"/>
              <w:bottom w:val="single" w:sz="4" w:space="0" w:color="auto"/>
              <w:right w:val="single" w:sz="4" w:space="0" w:color="auto"/>
            </w:tcBorders>
            <w:shd w:val="clear" w:color="auto" w:fill="auto"/>
            <w:vAlign w:val="center"/>
            <w:hideMark/>
          </w:tcPr>
          <w:p w14:paraId="5E6DB957" w14:textId="77777777" w:rsidR="00D847F2" w:rsidRPr="00B10884" w:rsidRDefault="00D847F2" w:rsidP="00556699">
            <w:pPr>
              <w:spacing w:after="0" w:line="240" w:lineRule="auto"/>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Aktivni dolg</w:t>
            </w:r>
          </w:p>
        </w:tc>
        <w:tc>
          <w:tcPr>
            <w:tcW w:w="1144" w:type="dxa"/>
            <w:tcBorders>
              <w:top w:val="nil"/>
              <w:left w:val="nil"/>
              <w:bottom w:val="single" w:sz="4" w:space="0" w:color="auto"/>
              <w:right w:val="single" w:sz="4" w:space="0" w:color="auto"/>
            </w:tcBorders>
            <w:shd w:val="clear" w:color="auto" w:fill="auto"/>
            <w:vAlign w:val="center"/>
            <w:hideMark/>
          </w:tcPr>
          <w:p w14:paraId="326C26D5"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24,5</w:t>
            </w:r>
          </w:p>
        </w:tc>
        <w:tc>
          <w:tcPr>
            <w:tcW w:w="1056" w:type="dxa"/>
            <w:tcBorders>
              <w:top w:val="nil"/>
              <w:left w:val="nil"/>
              <w:bottom w:val="single" w:sz="4" w:space="0" w:color="auto"/>
              <w:right w:val="single" w:sz="4" w:space="0" w:color="auto"/>
            </w:tcBorders>
            <w:shd w:val="clear" w:color="auto" w:fill="auto"/>
            <w:vAlign w:val="center"/>
            <w:hideMark/>
          </w:tcPr>
          <w:p w14:paraId="7A1A8641"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4,7</w:t>
            </w:r>
          </w:p>
        </w:tc>
        <w:tc>
          <w:tcPr>
            <w:tcW w:w="1091" w:type="dxa"/>
            <w:tcBorders>
              <w:top w:val="nil"/>
              <w:left w:val="nil"/>
              <w:bottom w:val="single" w:sz="4" w:space="0" w:color="auto"/>
              <w:right w:val="single" w:sz="4" w:space="0" w:color="auto"/>
            </w:tcBorders>
            <w:shd w:val="clear" w:color="auto" w:fill="auto"/>
            <w:vAlign w:val="center"/>
            <w:hideMark/>
          </w:tcPr>
          <w:p w14:paraId="669D5363"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6,3</w:t>
            </w:r>
          </w:p>
        </w:tc>
        <w:tc>
          <w:tcPr>
            <w:tcW w:w="1109" w:type="dxa"/>
            <w:tcBorders>
              <w:top w:val="nil"/>
              <w:left w:val="nil"/>
              <w:bottom w:val="single" w:sz="4" w:space="0" w:color="auto"/>
              <w:right w:val="single" w:sz="4" w:space="0" w:color="auto"/>
            </w:tcBorders>
            <w:shd w:val="clear" w:color="auto" w:fill="auto"/>
            <w:vAlign w:val="center"/>
            <w:hideMark/>
          </w:tcPr>
          <w:p w14:paraId="3C94ECD5"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9,4</w:t>
            </w:r>
          </w:p>
        </w:tc>
        <w:tc>
          <w:tcPr>
            <w:tcW w:w="1038" w:type="dxa"/>
            <w:tcBorders>
              <w:top w:val="nil"/>
              <w:left w:val="nil"/>
              <w:bottom w:val="single" w:sz="4" w:space="0" w:color="auto"/>
              <w:right w:val="single" w:sz="4" w:space="0" w:color="auto"/>
            </w:tcBorders>
            <w:shd w:val="clear" w:color="auto" w:fill="auto"/>
            <w:vAlign w:val="center"/>
            <w:hideMark/>
          </w:tcPr>
          <w:p w14:paraId="384E887D"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11,6</w:t>
            </w:r>
          </w:p>
        </w:tc>
        <w:tc>
          <w:tcPr>
            <w:tcW w:w="1144" w:type="dxa"/>
            <w:tcBorders>
              <w:top w:val="nil"/>
              <w:left w:val="nil"/>
              <w:bottom w:val="single" w:sz="4" w:space="0" w:color="auto"/>
              <w:right w:val="single" w:sz="4" w:space="0" w:color="auto"/>
            </w:tcBorders>
            <w:shd w:val="clear" w:color="auto" w:fill="auto"/>
            <w:vAlign w:val="center"/>
            <w:hideMark/>
          </w:tcPr>
          <w:p w14:paraId="37D6E679"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43,5</w:t>
            </w:r>
          </w:p>
        </w:tc>
        <w:tc>
          <w:tcPr>
            <w:tcW w:w="1109" w:type="dxa"/>
            <w:tcBorders>
              <w:top w:val="nil"/>
              <w:left w:val="nil"/>
              <w:bottom w:val="single" w:sz="4" w:space="0" w:color="auto"/>
              <w:right w:val="single" w:sz="4" w:space="0" w:color="auto"/>
            </w:tcBorders>
            <w:shd w:val="clear" w:color="auto" w:fill="auto"/>
            <w:vAlign w:val="center"/>
            <w:hideMark/>
          </w:tcPr>
          <w:p w14:paraId="4A54793D"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100,0</w:t>
            </w:r>
          </w:p>
        </w:tc>
      </w:tr>
      <w:tr w:rsidR="00D847F2" w:rsidRPr="00B10884" w14:paraId="65E89D26" w14:textId="77777777" w:rsidTr="00556699">
        <w:trPr>
          <w:trHeight w:val="175"/>
        </w:trPr>
        <w:tc>
          <w:tcPr>
            <w:tcW w:w="1408" w:type="dxa"/>
            <w:tcBorders>
              <w:top w:val="nil"/>
              <w:left w:val="single" w:sz="4" w:space="0" w:color="auto"/>
              <w:bottom w:val="single" w:sz="4" w:space="0" w:color="auto"/>
              <w:right w:val="single" w:sz="4" w:space="0" w:color="auto"/>
            </w:tcBorders>
            <w:shd w:val="clear" w:color="auto" w:fill="auto"/>
            <w:vAlign w:val="center"/>
            <w:hideMark/>
          </w:tcPr>
          <w:p w14:paraId="345AF036" w14:textId="77777777" w:rsidR="00D847F2" w:rsidRPr="00B10884" w:rsidRDefault="00D847F2" w:rsidP="00556699">
            <w:pPr>
              <w:spacing w:after="0" w:line="240" w:lineRule="auto"/>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 xml:space="preserve">Pogojno izterljivi dolg </w:t>
            </w:r>
          </w:p>
        </w:tc>
        <w:tc>
          <w:tcPr>
            <w:tcW w:w="1144" w:type="dxa"/>
            <w:tcBorders>
              <w:top w:val="nil"/>
              <w:left w:val="nil"/>
              <w:bottom w:val="single" w:sz="4" w:space="0" w:color="auto"/>
              <w:right w:val="single" w:sz="4" w:space="0" w:color="auto"/>
            </w:tcBorders>
            <w:shd w:val="clear" w:color="auto" w:fill="auto"/>
            <w:vAlign w:val="center"/>
            <w:hideMark/>
          </w:tcPr>
          <w:p w14:paraId="1FBE0FC7"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68,3</w:t>
            </w:r>
          </w:p>
        </w:tc>
        <w:tc>
          <w:tcPr>
            <w:tcW w:w="1056" w:type="dxa"/>
            <w:tcBorders>
              <w:top w:val="nil"/>
              <w:left w:val="nil"/>
              <w:bottom w:val="single" w:sz="4" w:space="0" w:color="auto"/>
              <w:right w:val="single" w:sz="4" w:space="0" w:color="auto"/>
            </w:tcBorders>
            <w:shd w:val="clear" w:color="auto" w:fill="auto"/>
            <w:vAlign w:val="center"/>
            <w:hideMark/>
          </w:tcPr>
          <w:p w14:paraId="596FF5B2"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6,6</w:t>
            </w:r>
          </w:p>
        </w:tc>
        <w:tc>
          <w:tcPr>
            <w:tcW w:w="1091" w:type="dxa"/>
            <w:tcBorders>
              <w:top w:val="nil"/>
              <w:left w:val="nil"/>
              <w:bottom w:val="single" w:sz="4" w:space="0" w:color="auto"/>
              <w:right w:val="single" w:sz="4" w:space="0" w:color="auto"/>
            </w:tcBorders>
            <w:shd w:val="clear" w:color="auto" w:fill="auto"/>
            <w:vAlign w:val="center"/>
            <w:hideMark/>
          </w:tcPr>
          <w:p w14:paraId="3731948B"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7,7</w:t>
            </w:r>
          </w:p>
        </w:tc>
        <w:tc>
          <w:tcPr>
            <w:tcW w:w="1109" w:type="dxa"/>
            <w:tcBorders>
              <w:top w:val="nil"/>
              <w:left w:val="nil"/>
              <w:bottom w:val="single" w:sz="4" w:space="0" w:color="auto"/>
              <w:right w:val="single" w:sz="4" w:space="0" w:color="auto"/>
            </w:tcBorders>
            <w:shd w:val="clear" w:color="auto" w:fill="auto"/>
            <w:vAlign w:val="center"/>
            <w:hideMark/>
          </w:tcPr>
          <w:p w14:paraId="041C5B09"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7,2</w:t>
            </w:r>
          </w:p>
        </w:tc>
        <w:tc>
          <w:tcPr>
            <w:tcW w:w="1038" w:type="dxa"/>
            <w:tcBorders>
              <w:top w:val="nil"/>
              <w:left w:val="nil"/>
              <w:bottom w:val="single" w:sz="4" w:space="0" w:color="auto"/>
              <w:right w:val="single" w:sz="4" w:space="0" w:color="auto"/>
            </w:tcBorders>
            <w:shd w:val="clear" w:color="auto" w:fill="auto"/>
            <w:vAlign w:val="center"/>
            <w:hideMark/>
          </w:tcPr>
          <w:p w14:paraId="4EDD2722"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6,8</w:t>
            </w:r>
          </w:p>
        </w:tc>
        <w:tc>
          <w:tcPr>
            <w:tcW w:w="1144" w:type="dxa"/>
            <w:tcBorders>
              <w:top w:val="nil"/>
              <w:left w:val="nil"/>
              <w:bottom w:val="single" w:sz="4" w:space="0" w:color="auto"/>
              <w:right w:val="single" w:sz="4" w:space="0" w:color="auto"/>
            </w:tcBorders>
            <w:shd w:val="clear" w:color="auto" w:fill="auto"/>
            <w:vAlign w:val="center"/>
            <w:hideMark/>
          </w:tcPr>
          <w:p w14:paraId="15332C67"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3,4</w:t>
            </w:r>
          </w:p>
        </w:tc>
        <w:tc>
          <w:tcPr>
            <w:tcW w:w="1109" w:type="dxa"/>
            <w:tcBorders>
              <w:top w:val="nil"/>
              <w:left w:val="nil"/>
              <w:bottom w:val="single" w:sz="4" w:space="0" w:color="auto"/>
              <w:right w:val="single" w:sz="4" w:space="0" w:color="auto"/>
            </w:tcBorders>
            <w:shd w:val="clear" w:color="auto" w:fill="auto"/>
            <w:vAlign w:val="center"/>
            <w:hideMark/>
          </w:tcPr>
          <w:p w14:paraId="673B3838" w14:textId="77777777" w:rsidR="00D847F2" w:rsidRPr="00B10884" w:rsidRDefault="00D847F2" w:rsidP="00556699">
            <w:pPr>
              <w:spacing w:after="0" w:line="240" w:lineRule="auto"/>
              <w:jc w:val="right"/>
              <w:rPr>
                <w:rFonts w:ascii="Arial" w:eastAsia="Times New Roman" w:hAnsi="Arial" w:cs="Arial"/>
                <w:sz w:val="18"/>
                <w:szCs w:val="18"/>
                <w:lang w:eastAsia="sl-SI"/>
              </w:rPr>
            </w:pPr>
            <w:r w:rsidRPr="00B10884">
              <w:rPr>
                <w:rFonts w:ascii="Arial" w:eastAsia="Times New Roman" w:hAnsi="Arial" w:cs="Arial"/>
                <w:sz w:val="18"/>
                <w:szCs w:val="18"/>
                <w:lang w:eastAsia="sl-SI"/>
              </w:rPr>
              <w:t>100,0</w:t>
            </w:r>
          </w:p>
        </w:tc>
      </w:tr>
      <w:tr w:rsidR="00D847F2" w:rsidRPr="00B10884" w14:paraId="1EF9D9D7" w14:textId="77777777" w:rsidTr="00556699">
        <w:trPr>
          <w:trHeight w:val="163"/>
        </w:trPr>
        <w:tc>
          <w:tcPr>
            <w:tcW w:w="1408" w:type="dxa"/>
            <w:tcBorders>
              <w:top w:val="nil"/>
              <w:left w:val="single" w:sz="4" w:space="0" w:color="auto"/>
              <w:bottom w:val="single" w:sz="4" w:space="0" w:color="auto"/>
              <w:right w:val="single" w:sz="4" w:space="0" w:color="auto"/>
            </w:tcBorders>
            <w:shd w:val="clear" w:color="000000" w:fill="B8CCE4"/>
            <w:vAlign w:val="center"/>
            <w:hideMark/>
          </w:tcPr>
          <w:p w14:paraId="27E1AEB8" w14:textId="77777777" w:rsidR="00D847F2" w:rsidRPr="00B10884" w:rsidRDefault="00D847F2" w:rsidP="00556699">
            <w:pPr>
              <w:spacing w:after="0" w:line="240" w:lineRule="auto"/>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SKUPAJ DAVČNI DOLG</w:t>
            </w:r>
          </w:p>
        </w:tc>
        <w:tc>
          <w:tcPr>
            <w:tcW w:w="1144" w:type="dxa"/>
            <w:tcBorders>
              <w:top w:val="nil"/>
              <w:left w:val="nil"/>
              <w:bottom w:val="single" w:sz="4" w:space="0" w:color="auto"/>
              <w:right w:val="single" w:sz="4" w:space="0" w:color="auto"/>
            </w:tcBorders>
            <w:shd w:val="clear" w:color="000000" w:fill="B8CCE4"/>
            <w:vAlign w:val="center"/>
            <w:hideMark/>
          </w:tcPr>
          <w:p w14:paraId="17F8A29C"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46,8</w:t>
            </w:r>
          </w:p>
        </w:tc>
        <w:tc>
          <w:tcPr>
            <w:tcW w:w="1056" w:type="dxa"/>
            <w:tcBorders>
              <w:top w:val="nil"/>
              <w:left w:val="nil"/>
              <w:bottom w:val="single" w:sz="4" w:space="0" w:color="auto"/>
              <w:right w:val="single" w:sz="4" w:space="0" w:color="auto"/>
            </w:tcBorders>
            <w:shd w:val="clear" w:color="000000" w:fill="B8CCE4"/>
            <w:vAlign w:val="center"/>
            <w:hideMark/>
          </w:tcPr>
          <w:p w14:paraId="38830560"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5,7</w:t>
            </w:r>
          </w:p>
        </w:tc>
        <w:tc>
          <w:tcPr>
            <w:tcW w:w="1091" w:type="dxa"/>
            <w:tcBorders>
              <w:top w:val="nil"/>
              <w:left w:val="nil"/>
              <w:bottom w:val="single" w:sz="4" w:space="0" w:color="auto"/>
              <w:right w:val="single" w:sz="4" w:space="0" w:color="auto"/>
            </w:tcBorders>
            <w:shd w:val="clear" w:color="000000" w:fill="B8CCE4"/>
            <w:vAlign w:val="center"/>
            <w:hideMark/>
          </w:tcPr>
          <w:p w14:paraId="15721163"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7,0</w:t>
            </w:r>
          </w:p>
        </w:tc>
        <w:tc>
          <w:tcPr>
            <w:tcW w:w="1109" w:type="dxa"/>
            <w:tcBorders>
              <w:top w:val="nil"/>
              <w:left w:val="nil"/>
              <w:bottom w:val="single" w:sz="4" w:space="0" w:color="auto"/>
              <w:right w:val="single" w:sz="4" w:space="0" w:color="auto"/>
            </w:tcBorders>
            <w:shd w:val="clear" w:color="000000" w:fill="B8CCE4"/>
            <w:vAlign w:val="center"/>
            <w:hideMark/>
          </w:tcPr>
          <w:p w14:paraId="5411D0D0"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8,3</w:t>
            </w:r>
          </w:p>
        </w:tc>
        <w:tc>
          <w:tcPr>
            <w:tcW w:w="1038" w:type="dxa"/>
            <w:tcBorders>
              <w:top w:val="nil"/>
              <w:left w:val="nil"/>
              <w:bottom w:val="single" w:sz="4" w:space="0" w:color="auto"/>
              <w:right w:val="single" w:sz="4" w:space="0" w:color="auto"/>
            </w:tcBorders>
            <w:shd w:val="clear" w:color="000000" w:fill="B8CCE4"/>
            <w:vAlign w:val="center"/>
            <w:hideMark/>
          </w:tcPr>
          <w:p w14:paraId="4A84B133"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9,2</w:t>
            </w:r>
          </w:p>
        </w:tc>
        <w:tc>
          <w:tcPr>
            <w:tcW w:w="1144" w:type="dxa"/>
            <w:tcBorders>
              <w:top w:val="nil"/>
              <w:left w:val="nil"/>
              <w:bottom w:val="single" w:sz="4" w:space="0" w:color="auto"/>
              <w:right w:val="single" w:sz="4" w:space="0" w:color="auto"/>
            </w:tcBorders>
            <w:shd w:val="clear" w:color="000000" w:fill="B8CCE4"/>
            <w:vAlign w:val="center"/>
            <w:hideMark/>
          </w:tcPr>
          <w:p w14:paraId="5F8ED21C"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23,1</w:t>
            </w:r>
          </w:p>
        </w:tc>
        <w:tc>
          <w:tcPr>
            <w:tcW w:w="1109" w:type="dxa"/>
            <w:tcBorders>
              <w:top w:val="nil"/>
              <w:left w:val="nil"/>
              <w:bottom w:val="single" w:sz="4" w:space="0" w:color="auto"/>
              <w:right w:val="single" w:sz="4" w:space="0" w:color="auto"/>
            </w:tcBorders>
            <w:shd w:val="clear" w:color="000000" w:fill="B8CCE4"/>
            <w:vAlign w:val="center"/>
            <w:hideMark/>
          </w:tcPr>
          <w:p w14:paraId="051F5B2F" w14:textId="77777777" w:rsidR="00D847F2" w:rsidRPr="00B10884" w:rsidRDefault="00D847F2" w:rsidP="00556699">
            <w:pPr>
              <w:spacing w:after="0" w:line="240" w:lineRule="auto"/>
              <w:jc w:val="right"/>
              <w:rPr>
                <w:rFonts w:ascii="Arial" w:eastAsia="Times New Roman" w:hAnsi="Arial" w:cs="Arial"/>
                <w:b/>
                <w:bCs/>
                <w:sz w:val="18"/>
                <w:szCs w:val="18"/>
                <w:lang w:eastAsia="sl-SI"/>
              </w:rPr>
            </w:pPr>
            <w:r w:rsidRPr="00B10884">
              <w:rPr>
                <w:rFonts w:ascii="Arial" w:eastAsia="Times New Roman" w:hAnsi="Arial" w:cs="Arial"/>
                <w:b/>
                <w:bCs/>
                <w:sz w:val="18"/>
                <w:szCs w:val="18"/>
                <w:lang w:eastAsia="sl-SI"/>
              </w:rPr>
              <w:t>100,0</w:t>
            </w:r>
          </w:p>
        </w:tc>
      </w:tr>
    </w:tbl>
    <w:p w14:paraId="7226D6AF" w14:textId="0DD11749" w:rsidR="00D847F2" w:rsidRPr="00815C36" w:rsidRDefault="00D847F2" w:rsidP="00D847F2">
      <w:pPr>
        <w:rPr>
          <w:rFonts w:ascii="Arial" w:hAnsi="Arial" w:cs="Arial"/>
          <w:i/>
          <w:sz w:val="20"/>
          <w:szCs w:val="20"/>
        </w:rPr>
      </w:pPr>
      <w:r w:rsidRPr="00815C36">
        <w:rPr>
          <w:rFonts w:ascii="Arial" w:hAnsi="Arial" w:cs="Arial"/>
          <w:i/>
          <w:sz w:val="20"/>
          <w:szCs w:val="20"/>
        </w:rPr>
        <w:t>Vir: FURS</w:t>
      </w:r>
      <w:r w:rsidR="00216669">
        <w:rPr>
          <w:rFonts w:ascii="Arial" w:hAnsi="Arial" w:cs="Arial"/>
          <w:i/>
          <w:sz w:val="20"/>
          <w:szCs w:val="20"/>
        </w:rPr>
        <w:t xml:space="preserve">. </w:t>
      </w:r>
    </w:p>
    <w:p w14:paraId="5706DFA6" w14:textId="77777777" w:rsidR="00D847F2" w:rsidRPr="00616BD2" w:rsidRDefault="00D847F2" w:rsidP="00D847F2">
      <w:pPr>
        <w:pStyle w:val="Naslov3"/>
        <w:spacing w:after="0"/>
        <w:jc w:val="both"/>
        <w:rPr>
          <w:rFonts w:ascii="Arial" w:hAnsi="Arial" w:cs="Arial"/>
          <w:sz w:val="20"/>
          <w:szCs w:val="20"/>
        </w:rPr>
      </w:pPr>
      <w:r w:rsidRPr="007E4815">
        <w:rPr>
          <w:rFonts w:ascii="Arial" w:hAnsi="Arial" w:cs="Arial"/>
          <w:sz w:val="20"/>
          <w:szCs w:val="20"/>
        </w:rPr>
        <w:t>4.7 Odpis davčnih obveznosti</w:t>
      </w:r>
    </w:p>
    <w:p w14:paraId="3DBEC8AF" w14:textId="77777777" w:rsidR="00D847F2" w:rsidRDefault="00D847F2" w:rsidP="00D847F2">
      <w:pPr>
        <w:jc w:val="both"/>
        <w:rPr>
          <w:rFonts w:ascii="Arial" w:hAnsi="Arial" w:cs="Arial"/>
          <w:sz w:val="20"/>
          <w:szCs w:val="20"/>
        </w:rPr>
      </w:pPr>
    </w:p>
    <w:p w14:paraId="5B25B232" w14:textId="5EFD8722" w:rsidR="00D847F2" w:rsidRPr="00D32CBE" w:rsidRDefault="00D847F2" w:rsidP="00D847F2">
      <w:pPr>
        <w:jc w:val="both"/>
        <w:rPr>
          <w:rFonts w:ascii="Arial" w:hAnsi="Arial" w:cs="Arial"/>
          <w:sz w:val="20"/>
          <w:szCs w:val="20"/>
        </w:rPr>
      </w:pPr>
      <w:r w:rsidRPr="00081276">
        <w:rPr>
          <w:rFonts w:ascii="Arial" w:hAnsi="Arial" w:cs="Arial"/>
          <w:sz w:val="20"/>
          <w:szCs w:val="20"/>
        </w:rPr>
        <w:t>Davčni organ v skladu z določbami 101., 105., 106. in 107. člen</w:t>
      </w:r>
      <w:r>
        <w:rPr>
          <w:rFonts w:ascii="Arial" w:hAnsi="Arial" w:cs="Arial"/>
          <w:sz w:val="20"/>
          <w:szCs w:val="20"/>
        </w:rPr>
        <w:t>a</w:t>
      </w:r>
      <w:r w:rsidRPr="00081276">
        <w:rPr>
          <w:rFonts w:ascii="Arial" w:hAnsi="Arial" w:cs="Arial"/>
          <w:sz w:val="20"/>
          <w:szCs w:val="20"/>
        </w:rPr>
        <w:t xml:space="preserve"> ZDavP-2 odpiše davek oziroma del davka</w:t>
      </w:r>
      <w:r w:rsidRPr="00D32CBE">
        <w:rPr>
          <w:rFonts w:ascii="Arial" w:hAnsi="Arial" w:cs="Arial"/>
          <w:sz w:val="20"/>
          <w:szCs w:val="20"/>
        </w:rPr>
        <w:t xml:space="preserve"> zaradi naslednjih razlogov: </w:t>
      </w:r>
    </w:p>
    <w:p w14:paraId="50321316" w14:textId="38BD0DFF" w:rsidR="00D847F2" w:rsidRPr="00E374C3" w:rsidRDefault="00D847F2" w:rsidP="00D847F2">
      <w:pPr>
        <w:pStyle w:val="Brezrazmikov"/>
        <w:numPr>
          <w:ilvl w:val="0"/>
          <w:numId w:val="19"/>
        </w:numPr>
        <w:spacing w:line="260" w:lineRule="atLeast"/>
        <w:ind w:left="714" w:hanging="357"/>
        <w:jc w:val="both"/>
        <w:rPr>
          <w:rFonts w:ascii="Arial" w:hAnsi="Arial" w:cs="Arial"/>
          <w:sz w:val="20"/>
          <w:szCs w:val="20"/>
        </w:rPr>
      </w:pPr>
      <w:r w:rsidRPr="00E374C3">
        <w:rPr>
          <w:rFonts w:ascii="Arial" w:hAnsi="Arial" w:cs="Arial"/>
          <w:sz w:val="20"/>
          <w:szCs w:val="20"/>
        </w:rPr>
        <w:t>odpisi davka pri stečajih in prisilnih poravnavah – zaključek stečaja, prisilne poravnave, poenostavljene prisilne poravnave in stečaja zapuščine (prvi stolpec v preglednici 10),</w:t>
      </w:r>
      <w:r w:rsidR="00992912">
        <w:rPr>
          <w:rFonts w:ascii="Arial" w:hAnsi="Arial" w:cs="Arial"/>
          <w:sz w:val="20"/>
          <w:szCs w:val="20"/>
        </w:rPr>
        <w:t xml:space="preserve"> </w:t>
      </w:r>
    </w:p>
    <w:p w14:paraId="2C13148D" w14:textId="47CED098" w:rsidR="00D847F2" w:rsidRPr="00E374C3" w:rsidRDefault="00D847F2" w:rsidP="00D847F2">
      <w:pPr>
        <w:pStyle w:val="Brezrazmikov"/>
        <w:numPr>
          <w:ilvl w:val="0"/>
          <w:numId w:val="19"/>
        </w:numPr>
        <w:spacing w:line="260" w:lineRule="atLeast"/>
        <w:ind w:left="714" w:hanging="357"/>
        <w:jc w:val="both"/>
        <w:rPr>
          <w:rFonts w:ascii="Arial" w:hAnsi="Arial" w:cs="Arial"/>
          <w:sz w:val="20"/>
          <w:szCs w:val="20"/>
        </w:rPr>
      </w:pPr>
      <w:r w:rsidRPr="00E374C3">
        <w:rPr>
          <w:rFonts w:ascii="Arial" w:hAnsi="Arial" w:cs="Arial"/>
          <w:sz w:val="20"/>
          <w:szCs w:val="20"/>
        </w:rPr>
        <w:t>če je pravica do izterjave zastarala, razen v primerih, ko je davčni dolg zavarovan s hipoteko in je pred potekom roka za zastaranje vložen predlog za izvršbo na nepremičnine (drugi stolpec v preglednici 10),</w:t>
      </w:r>
      <w:r w:rsidR="00992912">
        <w:rPr>
          <w:rFonts w:ascii="Arial" w:hAnsi="Arial" w:cs="Arial"/>
          <w:sz w:val="20"/>
          <w:szCs w:val="20"/>
        </w:rPr>
        <w:t xml:space="preserve"> </w:t>
      </w:r>
    </w:p>
    <w:p w14:paraId="73082BBA" w14:textId="77777777" w:rsidR="00D847F2" w:rsidRPr="009C5FA1" w:rsidRDefault="00D847F2" w:rsidP="00D847F2">
      <w:pPr>
        <w:pStyle w:val="Brezrazmikov"/>
        <w:numPr>
          <w:ilvl w:val="0"/>
          <w:numId w:val="19"/>
        </w:numPr>
        <w:spacing w:line="260" w:lineRule="atLeast"/>
        <w:ind w:left="714" w:hanging="357"/>
        <w:jc w:val="both"/>
        <w:rPr>
          <w:rFonts w:ascii="Arial" w:hAnsi="Arial" w:cs="Arial"/>
          <w:sz w:val="20"/>
          <w:szCs w:val="20"/>
        </w:rPr>
      </w:pPr>
      <w:r w:rsidRPr="00E374C3">
        <w:rPr>
          <w:rFonts w:ascii="Arial" w:hAnsi="Arial" w:cs="Arial"/>
          <w:sz w:val="20"/>
          <w:szCs w:val="20"/>
        </w:rPr>
        <w:t xml:space="preserve">odpisi zaradi ogrožanja preživljanja davčnega zavezanca in njegovih družinskih članov (tretji stolpec v preglednici 10), </w:t>
      </w:r>
    </w:p>
    <w:p w14:paraId="1B827BDA" w14:textId="4B7E3E3F" w:rsidR="00D847F2" w:rsidRPr="009C5FA1" w:rsidRDefault="00D847F2" w:rsidP="00D847F2">
      <w:pPr>
        <w:pStyle w:val="Brezrazmikov"/>
        <w:numPr>
          <w:ilvl w:val="0"/>
          <w:numId w:val="19"/>
        </w:numPr>
        <w:spacing w:line="260" w:lineRule="atLeast"/>
        <w:ind w:left="714" w:hanging="357"/>
        <w:jc w:val="both"/>
        <w:rPr>
          <w:rFonts w:ascii="Arial" w:hAnsi="Arial" w:cs="Arial"/>
          <w:sz w:val="20"/>
          <w:szCs w:val="20"/>
        </w:rPr>
      </w:pPr>
      <w:r w:rsidRPr="009C5FA1">
        <w:rPr>
          <w:rFonts w:ascii="Arial" w:hAnsi="Arial" w:cs="Arial"/>
          <w:sz w:val="20"/>
          <w:szCs w:val="20"/>
        </w:rPr>
        <w:t xml:space="preserve">odpisi po višini neplačanega davka do </w:t>
      </w:r>
      <w:r w:rsidR="00216669">
        <w:rPr>
          <w:rFonts w:ascii="Arial" w:hAnsi="Arial" w:cs="Arial"/>
          <w:sz w:val="20"/>
          <w:szCs w:val="20"/>
        </w:rPr>
        <w:t>enega</w:t>
      </w:r>
      <w:r w:rsidRPr="009C5FA1">
        <w:rPr>
          <w:rFonts w:ascii="Arial" w:hAnsi="Arial" w:cs="Arial"/>
          <w:sz w:val="20"/>
          <w:szCs w:val="20"/>
        </w:rPr>
        <w:t xml:space="preserve"> evr</w:t>
      </w:r>
      <w:r w:rsidR="00216669">
        <w:rPr>
          <w:rFonts w:ascii="Arial" w:hAnsi="Arial" w:cs="Arial"/>
          <w:sz w:val="20"/>
          <w:szCs w:val="20"/>
        </w:rPr>
        <w:t>a</w:t>
      </w:r>
      <w:r w:rsidRPr="009C5FA1">
        <w:rPr>
          <w:rFonts w:ascii="Arial" w:hAnsi="Arial" w:cs="Arial"/>
          <w:sz w:val="20"/>
          <w:szCs w:val="20"/>
        </w:rPr>
        <w:t xml:space="preserve"> (tretji stolpec v preglednici 10),</w:t>
      </w:r>
      <w:r w:rsidR="00992912">
        <w:rPr>
          <w:rFonts w:ascii="Arial" w:hAnsi="Arial" w:cs="Arial"/>
          <w:sz w:val="20"/>
          <w:szCs w:val="20"/>
        </w:rPr>
        <w:t xml:space="preserve"> </w:t>
      </w:r>
    </w:p>
    <w:p w14:paraId="77D628A4" w14:textId="7CA0FE10" w:rsidR="00D847F2" w:rsidRPr="009C5FA1" w:rsidRDefault="00D847F2" w:rsidP="00D847F2">
      <w:pPr>
        <w:pStyle w:val="Brezrazmikov"/>
        <w:numPr>
          <w:ilvl w:val="0"/>
          <w:numId w:val="19"/>
        </w:numPr>
        <w:spacing w:line="260" w:lineRule="atLeast"/>
        <w:ind w:left="714" w:hanging="357"/>
        <w:jc w:val="both"/>
        <w:rPr>
          <w:rFonts w:ascii="Arial" w:hAnsi="Arial" w:cs="Arial"/>
          <w:sz w:val="20"/>
          <w:szCs w:val="20"/>
        </w:rPr>
      </w:pPr>
      <w:r w:rsidRPr="009C5FA1">
        <w:rPr>
          <w:rFonts w:ascii="Arial" w:hAnsi="Arial" w:cs="Arial"/>
          <w:sz w:val="20"/>
          <w:szCs w:val="20"/>
        </w:rPr>
        <w:t>odpisi, če je davčni zavezanec umrl in ni zapustil premoženja, če ga ni mogoče izterjati od pravne osebe, zavezanca za davek, niti iz morebitnega predloženega instrumenta zavarovanja niti od njenega pravnega naslednika (tretji stolpec v preglednici 10),</w:t>
      </w:r>
      <w:r w:rsidR="00885FCA">
        <w:rPr>
          <w:rFonts w:ascii="Arial" w:hAnsi="Arial" w:cs="Arial"/>
          <w:sz w:val="20"/>
          <w:szCs w:val="20"/>
        </w:rPr>
        <w:t xml:space="preserve"> in</w:t>
      </w:r>
      <w:r w:rsidR="00992912">
        <w:rPr>
          <w:rFonts w:ascii="Arial" w:hAnsi="Arial" w:cs="Arial"/>
          <w:sz w:val="20"/>
          <w:szCs w:val="20"/>
        </w:rPr>
        <w:t xml:space="preserve"> </w:t>
      </w:r>
    </w:p>
    <w:p w14:paraId="6DE22299" w14:textId="473F9C21" w:rsidR="00D847F2" w:rsidRPr="009C5FA1" w:rsidRDefault="00D847F2" w:rsidP="00D847F2">
      <w:pPr>
        <w:pStyle w:val="Brezrazmikov"/>
        <w:numPr>
          <w:ilvl w:val="0"/>
          <w:numId w:val="19"/>
        </w:numPr>
        <w:spacing w:line="260" w:lineRule="atLeast"/>
        <w:ind w:left="714" w:hanging="357"/>
        <w:jc w:val="both"/>
        <w:rPr>
          <w:rFonts w:ascii="Arial" w:hAnsi="Arial" w:cs="Arial"/>
          <w:sz w:val="20"/>
          <w:szCs w:val="20"/>
        </w:rPr>
      </w:pPr>
      <w:r w:rsidRPr="009C5FA1">
        <w:rPr>
          <w:rFonts w:ascii="Arial" w:hAnsi="Arial" w:cs="Arial"/>
          <w:sz w:val="20"/>
          <w:szCs w:val="20"/>
        </w:rPr>
        <w:t>in v drugih primerih, določenih z</w:t>
      </w:r>
      <w:r w:rsidR="00992912">
        <w:rPr>
          <w:rFonts w:ascii="Arial" w:hAnsi="Arial" w:cs="Arial"/>
          <w:sz w:val="20"/>
          <w:szCs w:val="20"/>
        </w:rPr>
        <w:t xml:space="preserve"> </w:t>
      </w:r>
      <w:r w:rsidRPr="009C5FA1">
        <w:rPr>
          <w:rFonts w:ascii="Arial" w:hAnsi="Arial" w:cs="Arial"/>
          <w:sz w:val="20"/>
          <w:szCs w:val="20"/>
        </w:rPr>
        <w:t>zakonom (tretji stolpec v preglednici 10).</w:t>
      </w:r>
    </w:p>
    <w:p w14:paraId="17562DB6" w14:textId="77777777" w:rsidR="00D847F2" w:rsidRPr="00E374C3" w:rsidRDefault="00D847F2" w:rsidP="00D847F2">
      <w:pPr>
        <w:jc w:val="both"/>
        <w:rPr>
          <w:rFonts w:ascii="Arial" w:hAnsi="Arial" w:cs="Arial"/>
          <w:sz w:val="20"/>
          <w:szCs w:val="20"/>
        </w:rPr>
      </w:pPr>
    </w:p>
    <w:p w14:paraId="602468C5" w14:textId="5CB5BE5F" w:rsidR="00D847F2" w:rsidRPr="00770F58" w:rsidRDefault="00D847F2" w:rsidP="00D847F2">
      <w:pPr>
        <w:jc w:val="both"/>
        <w:rPr>
          <w:rFonts w:ascii="Arial" w:hAnsi="Arial" w:cs="Arial"/>
          <w:sz w:val="20"/>
          <w:szCs w:val="20"/>
        </w:rPr>
      </w:pPr>
      <w:r w:rsidRPr="00770F58">
        <w:rPr>
          <w:rFonts w:ascii="Arial" w:hAnsi="Arial" w:cs="Arial"/>
          <w:sz w:val="20"/>
          <w:szCs w:val="20"/>
        </w:rPr>
        <w:t>Z odpisom davčna obveznost preneha. Davčni organ odpisani davek izbriše iz evidenc, ki izkazujejo terjatve do posameznega zavezanca za davek.</w:t>
      </w:r>
    </w:p>
    <w:p w14:paraId="6FD43C9C" w14:textId="5D99C0ED" w:rsidR="00D847F2" w:rsidRPr="00A07D2C" w:rsidRDefault="00D847F2" w:rsidP="00D847F2">
      <w:pPr>
        <w:jc w:val="both"/>
        <w:rPr>
          <w:rFonts w:ascii="Arial" w:hAnsi="Arial" w:cs="Arial"/>
          <w:sz w:val="20"/>
          <w:szCs w:val="20"/>
          <w:lang w:eastAsia="sl-SI"/>
        </w:rPr>
      </w:pPr>
      <w:bookmarkStart w:id="15" w:name="_Hlk128387387"/>
      <w:bookmarkStart w:id="16" w:name="_Hlk99718294"/>
      <w:r w:rsidRPr="000D0089">
        <w:rPr>
          <w:rFonts w:ascii="Arial" w:hAnsi="Arial" w:cs="Arial"/>
          <w:sz w:val="20"/>
          <w:szCs w:val="20"/>
        </w:rPr>
        <w:t>V letu 202</w:t>
      </w:r>
      <w:r>
        <w:rPr>
          <w:rFonts w:ascii="Arial" w:hAnsi="Arial" w:cs="Arial"/>
          <w:sz w:val="20"/>
          <w:szCs w:val="20"/>
        </w:rPr>
        <w:t>2</w:t>
      </w:r>
      <w:r w:rsidRPr="000D0089">
        <w:rPr>
          <w:rFonts w:ascii="Arial" w:hAnsi="Arial" w:cs="Arial"/>
          <w:sz w:val="20"/>
          <w:szCs w:val="20"/>
        </w:rPr>
        <w:t xml:space="preserve"> je bilo odpisanih za </w:t>
      </w:r>
      <w:r w:rsidRPr="009C5FA1">
        <w:rPr>
          <w:rFonts w:ascii="Arial" w:hAnsi="Arial" w:cs="Arial"/>
          <w:sz w:val="20"/>
          <w:szCs w:val="20"/>
        </w:rPr>
        <w:t>144.643.540</w:t>
      </w:r>
      <w:r w:rsidR="001A2992" w:rsidRPr="000D0089">
        <w:rPr>
          <w:rFonts w:ascii="Arial" w:hAnsi="Arial" w:cs="Arial"/>
          <w:sz w:val="20"/>
          <w:szCs w:val="20"/>
        </w:rPr>
        <w:t> EUR</w:t>
      </w:r>
      <w:r w:rsidRPr="000D0089">
        <w:rPr>
          <w:rFonts w:ascii="Arial" w:hAnsi="Arial" w:cs="Arial"/>
          <w:sz w:val="20"/>
          <w:szCs w:val="20"/>
        </w:rPr>
        <w:t xml:space="preserve"> davčnih obveznosti. Največ obveznosti, in sicer v višini </w:t>
      </w:r>
      <w:r w:rsidRPr="009C5FA1">
        <w:rPr>
          <w:rFonts w:ascii="Arial" w:hAnsi="Arial" w:cs="Arial"/>
          <w:sz w:val="20"/>
          <w:szCs w:val="20"/>
        </w:rPr>
        <w:t>105.621.864</w:t>
      </w:r>
      <w:r w:rsidR="001A2992" w:rsidRPr="000D0089">
        <w:rPr>
          <w:rFonts w:ascii="Arial" w:hAnsi="Arial" w:cs="Arial"/>
          <w:sz w:val="20"/>
          <w:szCs w:val="20"/>
        </w:rPr>
        <w:t> EUR</w:t>
      </w:r>
      <w:r w:rsidRPr="000D0089">
        <w:rPr>
          <w:rFonts w:ascii="Arial" w:hAnsi="Arial" w:cs="Arial"/>
          <w:sz w:val="20"/>
          <w:szCs w:val="20"/>
        </w:rPr>
        <w:t xml:space="preserve"> oziroma </w:t>
      </w:r>
      <w:r>
        <w:rPr>
          <w:rFonts w:ascii="Arial" w:hAnsi="Arial" w:cs="Arial"/>
          <w:sz w:val="20"/>
          <w:szCs w:val="20"/>
        </w:rPr>
        <w:t>73</w:t>
      </w:r>
      <w:r w:rsidRPr="000D0089">
        <w:rPr>
          <w:rFonts w:ascii="Arial" w:hAnsi="Arial" w:cs="Arial"/>
          <w:sz w:val="20"/>
          <w:szCs w:val="20"/>
        </w:rPr>
        <w:t xml:space="preserve"> odstotk</w:t>
      </w:r>
      <w:r w:rsidR="001A2992">
        <w:rPr>
          <w:rFonts w:ascii="Arial" w:hAnsi="Arial" w:cs="Arial"/>
          <w:sz w:val="20"/>
          <w:szCs w:val="20"/>
        </w:rPr>
        <w:t>ov</w:t>
      </w:r>
      <w:r w:rsidR="00885FCA">
        <w:rPr>
          <w:rFonts w:ascii="Arial" w:hAnsi="Arial" w:cs="Arial"/>
          <w:sz w:val="20"/>
          <w:szCs w:val="20"/>
        </w:rPr>
        <w:t>,</w:t>
      </w:r>
      <w:r w:rsidRPr="000D0089">
        <w:rPr>
          <w:rFonts w:ascii="Arial" w:hAnsi="Arial" w:cs="Arial"/>
          <w:sz w:val="20"/>
          <w:szCs w:val="20"/>
        </w:rPr>
        <w:t xml:space="preserve"> je bilo odpisanih iz razloga zaključenih </w:t>
      </w:r>
      <w:r w:rsidRPr="006377CE">
        <w:rPr>
          <w:rFonts w:ascii="Arial" w:eastAsiaTheme="minorHAnsi" w:hAnsi="Arial" w:cstheme="minorBidi"/>
          <w:sz w:val="20"/>
          <w:lang w:eastAsia="sl-SI"/>
        </w:rPr>
        <w:t>postopk</w:t>
      </w:r>
      <w:r>
        <w:rPr>
          <w:rFonts w:ascii="Arial" w:eastAsiaTheme="minorHAnsi" w:hAnsi="Arial" w:cstheme="minorBidi"/>
          <w:sz w:val="20"/>
          <w:lang w:eastAsia="sl-SI"/>
        </w:rPr>
        <w:t>ov</w:t>
      </w:r>
      <w:r w:rsidRPr="006377CE">
        <w:rPr>
          <w:rFonts w:ascii="Arial" w:eastAsiaTheme="minorHAnsi" w:hAnsi="Arial" w:cstheme="minorBidi"/>
          <w:sz w:val="20"/>
          <w:lang w:eastAsia="sl-SI"/>
        </w:rPr>
        <w:t xml:space="preserve"> </w:t>
      </w:r>
      <w:r w:rsidRPr="006377CE">
        <w:rPr>
          <w:rFonts w:ascii="Arial" w:eastAsiaTheme="minorHAnsi" w:hAnsi="Arial" w:cstheme="minorBidi"/>
          <w:sz w:val="20"/>
        </w:rPr>
        <w:t>zaradi insolventnosti</w:t>
      </w:r>
      <w:r w:rsidRPr="00860FFB">
        <w:rPr>
          <w:rFonts w:ascii="Arial" w:hAnsi="Arial" w:cs="Arial"/>
          <w:sz w:val="20"/>
          <w:szCs w:val="20"/>
        </w:rPr>
        <w:t xml:space="preserve">. </w:t>
      </w:r>
      <w:r w:rsidRPr="00A07D2C">
        <w:rPr>
          <w:rFonts w:ascii="Arial" w:hAnsi="Arial" w:cs="Arial"/>
          <w:sz w:val="20"/>
          <w:szCs w:val="20"/>
        </w:rPr>
        <w:t>Od tega je bilo pri le desetih zavezancih, pri katerih je bil prav</w:t>
      </w:r>
      <w:r w:rsidR="001A2992">
        <w:rPr>
          <w:rFonts w:ascii="Arial" w:hAnsi="Arial" w:cs="Arial"/>
          <w:sz w:val="20"/>
          <w:szCs w:val="20"/>
        </w:rPr>
        <w:t>n</w:t>
      </w:r>
      <w:r w:rsidRPr="00A07D2C">
        <w:rPr>
          <w:rFonts w:ascii="Arial" w:hAnsi="Arial" w:cs="Arial"/>
          <w:sz w:val="20"/>
          <w:szCs w:val="20"/>
        </w:rPr>
        <w:t>omočno končan postopek stečaja, skupno odpisan dolg v višini 21.156.829</w:t>
      </w:r>
      <w:r w:rsidR="001A2992" w:rsidRPr="00A07D2C">
        <w:rPr>
          <w:rFonts w:ascii="Arial" w:hAnsi="Arial" w:cs="Arial"/>
          <w:sz w:val="20"/>
          <w:szCs w:val="20"/>
        </w:rPr>
        <w:t> EUR</w:t>
      </w:r>
      <w:r w:rsidRPr="00A07D2C">
        <w:rPr>
          <w:rFonts w:ascii="Arial" w:hAnsi="Arial" w:cs="Arial"/>
          <w:sz w:val="20"/>
          <w:szCs w:val="20"/>
          <w:lang w:eastAsia="sl-SI"/>
        </w:rPr>
        <w:t xml:space="preserve"> oziroma 20 odstotk</w:t>
      </w:r>
      <w:r w:rsidR="001A2992">
        <w:rPr>
          <w:rFonts w:ascii="Arial" w:hAnsi="Arial" w:cs="Arial"/>
          <w:sz w:val="20"/>
          <w:szCs w:val="20"/>
          <w:lang w:eastAsia="sl-SI"/>
        </w:rPr>
        <w:t>ov</w:t>
      </w:r>
      <w:r w:rsidRPr="00A07D2C">
        <w:rPr>
          <w:rFonts w:ascii="Arial" w:hAnsi="Arial" w:cs="Arial"/>
          <w:sz w:val="20"/>
          <w:szCs w:val="20"/>
          <w:lang w:eastAsia="sl-SI"/>
        </w:rPr>
        <w:t xml:space="preserve">. Največji odpis je bil </w:t>
      </w:r>
      <w:r>
        <w:rPr>
          <w:rFonts w:ascii="Arial" w:hAnsi="Arial" w:cs="Arial"/>
          <w:sz w:val="20"/>
          <w:szCs w:val="20"/>
          <w:lang w:eastAsia="sl-SI"/>
        </w:rPr>
        <w:t>izveden ob</w:t>
      </w:r>
      <w:r w:rsidRPr="00A07D2C">
        <w:rPr>
          <w:rFonts w:ascii="Arial" w:hAnsi="Arial" w:cs="Arial"/>
          <w:sz w:val="20"/>
          <w:szCs w:val="20"/>
          <w:lang w:eastAsia="sl-SI"/>
        </w:rPr>
        <w:t xml:space="preserve"> zaključk</w:t>
      </w:r>
      <w:r>
        <w:rPr>
          <w:rFonts w:ascii="Arial" w:hAnsi="Arial" w:cs="Arial"/>
          <w:sz w:val="20"/>
          <w:szCs w:val="20"/>
          <w:lang w:eastAsia="sl-SI"/>
        </w:rPr>
        <w:t>u</w:t>
      </w:r>
      <w:r w:rsidRPr="00A07D2C">
        <w:rPr>
          <w:rFonts w:ascii="Arial" w:hAnsi="Arial" w:cs="Arial"/>
          <w:sz w:val="20"/>
          <w:szCs w:val="20"/>
          <w:lang w:eastAsia="sl-SI"/>
        </w:rPr>
        <w:t xml:space="preserve"> stečaj</w:t>
      </w:r>
      <w:r>
        <w:rPr>
          <w:rFonts w:ascii="Arial" w:hAnsi="Arial" w:cs="Arial"/>
          <w:sz w:val="20"/>
          <w:szCs w:val="20"/>
          <w:lang w:eastAsia="sl-SI"/>
        </w:rPr>
        <w:t>neg</w:t>
      </w:r>
      <w:r w:rsidRPr="00A07D2C">
        <w:rPr>
          <w:rFonts w:ascii="Arial" w:hAnsi="Arial" w:cs="Arial"/>
          <w:sz w:val="20"/>
          <w:szCs w:val="20"/>
          <w:lang w:eastAsia="sl-SI"/>
        </w:rPr>
        <w:t xml:space="preserve">a </w:t>
      </w:r>
      <w:r>
        <w:rPr>
          <w:rFonts w:ascii="Arial" w:hAnsi="Arial" w:cs="Arial"/>
          <w:sz w:val="20"/>
          <w:szCs w:val="20"/>
          <w:lang w:eastAsia="sl-SI"/>
        </w:rPr>
        <w:t>postopka</w:t>
      </w:r>
      <w:r w:rsidRPr="00A07D2C">
        <w:rPr>
          <w:rFonts w:ascii="Arial" w:hAnsi="Arial" w:cs="Arial"/>
          <w:sz w:val="20"/>
          <w:szCs w:val="20"/>
          <w:lang w:eastAsia="sl-SI"/>
        </w:rPr>
        <w:t xml:space="preserve"> v višini 4.916.874</w:t>
      </w:r>
      <w:r w:rsidR="001A2992" w:rsidRPr="00A07D2C">
        <w:rPr>
          <w:rFonts w:ascii="Arial" w:hAnsi="Arial" w:cs="Arial"/>
          <w:sz w:val="20"/>
          <w:szCs w:val="20"/>
          <w:lang w:eastAsia="sl-SI"/>
        </w:rPr>
        <w:t> EUR</w:t>
      </w:r>
      <w:r w:rsidRPr="00A07D2C">
        <w:rPr>
          <w:rFonts w:ascii="Arial" w:hAnsi="Arial" w:cs="Arial"/>
          <w:sz w:val="20"/>
          <w:szCs w:val="20"/>
          <w:lang w:eastAsia="sl-SI"/>
        </w:rPr>
        <w:t>.</w:t>
      </w:r>
    </w:p>
    <w:bookmarkEnd w:id="15"/>
    <w:bookmarkEnd w:id="16"/>
    <w:p w14:paraId="3C260DDB" w14:textId="61946368" w:rsidR="00D847F2" w:rsidRDefault="00D847F2" w:rsidP="00D847F2">
      <w:pPr>
        <w:rPr>
          <w:rFonts w:ascii="Arial" w:hAnsi="Arial" w:cs="Arial"/>
          <w:i/>
          <w:sz w:val="20"/>
          <w:szCs w:val="20"/>
        </w:rPr>
      </w:pPr>
      <w:r w:rsidRPr="00843477">
        <w:rPr>
          <w:rFonts w:ascii="Arial" w:hAnsi="Arial" w:cs="Arial"/>
          <w:i/>
          <w:sz w:val="20"/>
          <w:szCs w:val="20"/>
        </w:rPr>
        <w:t xml:space="preserve">Preglednica </w:t>
      </w:r>
      <w:r>
        <w:rPr>
          <w:rFonts w:ascii="Arial" w:hAnsi="Arial" w:cs="Arial"/>
          <w:i/>
          <w:sz w:val="20"/>
          <w:szCs w:val="20"/>
        </w:rPr>
        <w:t xml:space="preserve">10: </w:t>
      </w:r>
      <w:r w:rsidRPr="00843477">
        <w:rPr>
          <w:rFonts w:ascii="Arial" w:hAnsi="Arial" w:cs="Arial"/>
          <w:i/>
          <w:sz w:val="20"/>
          <w:szCs w:val="20"/>
        </w:rPr>
        <w:t>Odpisi davčnih obveznosti po razlogih v EUR</w:t>
      </w:r>
    </w:p>
    <w:tbl>
      <w:tblPr>
        <w:tblW w:w="8690" w:type="dxa"/>
        <w:tblCellMar>
          <w:left w:w="70" w:type="dxa"/>
          <w:right w:w="70" w:type="dxa"/>
        </w:tblCellMar>
        <w:tblLook w:val="04A0" w:firstRow="1" w:lastRow="0" w:firstColumn="1" w:lastColumn="0" w:noHBand="0" w:noVBand="1"/>
      </w:tblPr>
      <w:tblGrid>
        <w:gridCol w:w="1483"/>
        <w:gridCol w:w="1883"/>
        <w:gridCol w:w="1745"/>
        <w:gridCol w:w="1826"/>
        <w:gridCol w:w="1753"/>
      </w:tblGrid>
      <w:tr w:rsidR="00D847F2" w:rsidRPr="00E37478" w14:paraId="5535C96C" w14:textId="77777777" w:rsidTr="00556699">
        <w:trPr>
          <w:trHeight w:val="693"/>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54AA" w14:textId="77777777" w:rsidR="00D847F2" w:rsidRPr="00E37478"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LETO</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432C9E3" w14:textId="12EF56EA" w:rsidR="00D847F2" w:rsidRPr="00E37478"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Odpisan</w:t>
            </w:r>
            <w:r w:rsidR="00216669">
              <w:rPr>
                <w:rFonts w:ascii="Arial" w:eastAsia="Times New Roman" w:hAnsi="Arial" w:cs="Arial"/>
                <w:b/>
                <w:bCs/>
                <w:sz w:val="18"/>
                <w:szCs w:val="18"/>
                <w:lang w:eastAsia="sl-SI"/>
              </w:rPr>
              <w:t>i</w:t>
            </w:r>
            <w:r w:rsidRPr="00E37478">
              <w:rPr>
                <w:rFonts w:ascii="Arial" w:eastAsia="Times New Roman" w:hAnsi="Arial" w:cs="Arial"/>
                <w:b/>
                <w:bCs/>
                <w:sz w:val="18"/>
                <w:szCs w:val="18"/>
                <w:lang w:eastAsia="sl-SI"/>
              </w:rPr>
              <w:t xml:space="preserve"> znesek</w:t>
            </w:r>
            <w:r w:rsidR="00216669">
              <w:rPr>
                <w:rFonts w:ascii="Arial" w:eastAsia="Times New Roman" w:hAnsi="Arial" w:cs="Arial"/>
                <w:b/>
                <w:bCs/>
                <w:sz w:val="18"/>
                <w:szCs w:val="18"/>
                <w:lang w:eastAsia="sl-SI"/>
              </w:rPr>
              <w:t xml:space="preserve"> </w:t>
            </w:r>
            <w:r w:rsidR="001A2992">
              <w:rPr>
                <w:rFonts w:ascii="Arial" w:eastAsia="Times New Roman" w:hAnsi="Arial" w:cs="Arial"/>
                <w:b/>
                <w:bCs/>
                <w:sz w:val="18"/>
                <w:szCs w:val="18"/>
                <w:lang w:eastAsia="sl-SI"/>
              </w:rPr>
              <w:t xml:space="preserve">– </w:t>
            </w:r>
            <w:r w:rsidRPr="00E37478">
              <w:rPr>
                <w:rFonts w:ascii="Arial" w:eastAsia="Times New Roman" w:hAnsi="Arial" w:cs="Arial"/>
                <w:b/>
                <w:bCs/>
                <w:sz w:val="18"/>
                <w:szCs w:val="18"/>
                <w:lang w:eastAsia="sl-SI"/>
              </w:rPr>
              <w:t xml:space="preserve">insolventnost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B77D1EB" w14:textId="41F9DCF3" w:rsidR="00D847F2" w:rsidRPr="00E37478"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Odpisan</w:t>
            </w:r>
            <w:r w:rsidR="00216669">
              <w:rPr>
                <w:rFonts w:ascii="Arial" w:eastAsia="Times New Roman" w:hAnsi="Arial" w:cs="Arial"/>
                <w:b/>
                <w:bCs/>
                <w:sz w:val="18"/>
                <w:szCs w:val="18"/>
                <w:lang w:eastAsia="sl-SI"/>
              </w:rPr>
              <w:t>i</w:t>
            </w:r>
            <w:r w:rsidRPr="00E37478">
              <w:rPr>
                <w:rFonts w:ascii="Arial" w:eastAsia="Times New Roman" w:hAnsi="Arial" w:cs="Arial"/>
                <w:b/>
                <w:bCs/>
                <w:sz w:val="18"/>
                <w:szCs w:val="18"/>
                <w:lang w:eastAsia="sl-SI"/>
              </w:rPr>
              <w:t xml:space="preserve"> znesek </w:t>
            </w:r>
            <w:r w:rsidR="00216669">
              <w:rPr>
                <w:rFonts w:ascii="Arial" w:eastAsia="Times New Roman" w:hAnsi="Arial" w:cs="Arial"/>
                <w:b/>
                <w:bCs/>
                <w:sz w:val="18"/>
                <w:szCs w:val="18"/>
                <w:lang w:eastAsia="sl-SI"/>
              </w:rPr>
              <w:t xml:space="preserve">– </w:t>
            </w:r>
            <w:r w:rsidRPr="00E37478">
              <w:rPr>
                <w:rFonts w:ascii="Arial" w:eastAsia="Times New Roman" w:hAnsi="Arial" w:cs="Arial"/>
                <w:b/>
                <w:bCs/>
                <w:sz w:val="18"/>
                <w:szCs w:val="18"/>
                <w:lang w:eastAsia="sl-SI"/>
              </w:rPr>
              <w:t xml:space="preserve">zastaranje </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6EBD1702" w14:textId="02E617B1" w:rsidR="00D847F2" w:rsidRPr="00E37478"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Odpisan</w:t>
            </w:r>
            <w:r w:rsidR="00216669">
              <w:rPr>
                <w:rFonts w:ascii="Arial" w:eastAsia="Times New Roman" w:hAnsi="Arial" w:cs="Arial"/>
                <w:b/>
                <w:bCs/>
                <w:sz w:val="18"/>
                <w:szCs w:val="18"/>
                <w:lang w:eastAsia="sl-SI"/>
              </w:rPr>
              <w:t>i</w:t>
            </w:r>
            <w:r w:rsidRPr="00E37478">
              <w:rPr>
                <w:rFonts w:ascii="Arial" w:eastAsia="Times New Roman" w:hAnsi="Arial" w:cs="Arial"/>
                <w:b/>
                <w:bCs/>
                <w:sz w:val="18"/>
                <w:szCs w:val="18"/>
                <w:lang w:eastAsia="sl-SI"/>
              </w:rPr>
              <w:t xml:space="preserve"> znesek</w:t>
            </w:r>
            <w:r w:rsidR="00216669">
              <w:rPr>
                <w:rFonts w:ascii="Arial" w:eastAsia="Times New Roman" w:hAnsi="Arial" w:cs="Arial"/>
                <w:b/>
                <w:bCs/>
                <w:sz w:val="18"/>
                <w:szCs w:val="18"/>
                <w:lang w:eastAsia="sl-SI"/>
              </w:rPr>
              <w:t xml:space="preserve"> –</w:t>
            </w:r>
            <w:r w:rsidR="00992912">
              <w:rPr>
                <w:rFonts w:ascii="Arial" w:eastAsia="Times New Roman" w:hAnsi="Arial" w:cs="Arial"/>
                <w:b/>
                <w:bCs/>
                <w:sz w:val="18"/>
                <w:szCs w:val="18"/>
                <w:lang w:eastAsia="sl-SI"/>
              </w:rPr>
              <w:t xml:space="preserve"> </w:t>
            </w:r>
            <w:r w:rsidR="00216669">
              <w:rPr>
                <w:rFonts w:ascii="Arial" w:eastAsia="Times New Roman" w:hAnsi="Arial" w:cs="Arial"/>
                <w:b/>
                <w:bCs/>
                <w:sz w:val="18"/>
                <w:szCs w:val="18"/>
                <w:lang w:eastAsia="sl-SI"/>
              </w:rPr>
              <w:t>pre</w:t>
            </w:r>
            <w:r w:rsidRPr="00E37478">
              <w:rPr>
                <w:rFonts w:ascii="Arial" w:eastAsia="Times New Roman" w:hAnsi="Arial" w:cs="Arial"/>
                <w:b/>
                <w:bCs/>
                <w:sz w:val="18"/>
                <w:szCs w:val="18"/>
                <w:lang w:eastAsia="sl-SI"/>
              </w:rPr>
              <w:t xml:space="preserve">ostalo </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6728A4A1" w14:textId="64EC3D6B" w:rsidR="00D847F2"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Odpisan</w:t>
            </w:r>
            <w:r w:rsidR="00216669">
              <w:rPr>
                <w:rFonts w:ascii="Arial" w:eastAsia="Times New Roman" w:hAnsi="Arial" w:cs="Arial"/>
                <w:b/>
                <w:bCs/>
                <w:sz w:val="18"/>
                <w:szCs w:val="18"/>
                <w:lang w:eastAsia="sl-SI"/>
              </w:rPr>
              <w:t>i</w:t>
            </w:r>
            <w:r w:rsidRPr="00E37478">
              <w:rPr>
                <w:rFonts w:ascii="Arial" w:eastAsia="Times New Roman" w:hAnsi="Arial" w:cs="Arial"/>
                <w:b/>
                <w:bCs/>
                <w:sz w:val="18"/>
                <w:szCs w:val="18"/>
                <w:lang w:eastAsia="sl-SI"/>
              </w:rPr>
              <w:t xml:space="preserve"> znesek dajatev</w:t>
            </w:r>
          </w:p>
          <w:p w14:paraId="1D40ACE7" w14:textId="77777777" w:rsidR="00D847F2" w:rsidRPr="00E37478" w:rsidRDefault="00D847F2" w:rsidP="00556699">
            <w:pPr>
              <w:spacing w:after="0" w:line="240" w:lineRule="auto"/>
              <w:jc w:val="center"/>
              <w:rPr>
                <w:rFonts w:ascii="Arial" w:eastAsia="Times New Roman" w:hAnsi="Arial" w:cs="Arial"/>
                <w:b/>
                <w:bCs/>
                <w:sz w:val="18"/>
                <w:szCs w:val="18"/>
                <w:lang w:eastAsia="sl-SI"/>
              </w:rPr>
            </w:pPr>
            <w:r w:rsidRPr="00E37478">
              <w:rPr>
                <w:rFonts w:ascii="Arial" w:eastAsia="Times New Roman" w:hAnsi="Arial" w:cs="Arial"/>
                <w:b/>
                <w:bCs/>
                <w:sz w:val="18"/>
                <w:szCs w:val="18"/>
                <w:lang w:eastAsia="sl-SI"/>
              </w:rPr>
              <w:t xml:space="preserve"> SKUPAJ </w:t>
            </w:r>
          </w:p>
        </w:tc>
      </w:tr>
      <w:tr w:rsidR="00D847F2" w:rsidRPr="00E37478" w14:paraId="6B235EEC"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0B7D1439"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2017</w:t>
            </w:r>
          </w:p>
        </w:tc>
        <w:tc>
          <w:tcPr>
            <w:tcW w:w="1883" w:type="dxa"/>
            <w:tcBorders>
              <w:top w:val="nil"/>
              <w:left w:val="nil"/>
              <w:bottom w:val="single" w:sz="4" w:space="0" w:color="auto"/>
              <w:right w:val="single" w:sz="4" w:space="0" w:color="auto"/>
            </w:tcBorders>
            <w:shd w:val="clear" w:color="000000" w:fill="FFFFFF"/>
            <w:vAlign w:val="center"/>
            <w:hideMark/>
          </w:tcPr>
          <w:p w14:paraId="587D75F8"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129.466.573</w:t>
            </w:r>
          </w:p>
        </w:tc>
        <w:tc>
          <w:tcPr>
            <w:tcW w:w="1745" w:type="dxa"/>
            <w:tcBorders>
              <w:top w:val="nil"/>
              <w:left w:val="nil"/>
              <w:bottom w:val="single" w:sz="4" w:space="0" w:color="auto"/>
              <w:right w:val="single" w:sz="4" w:space="0" w:color="auto"/>
            </w:tcBorders>
            <w:shd w:val="clear" w:color="000000" w:fill="FFFFFF"/>
            <w:vAlign w:val="center"/>
            <w:hideMark/>
          </w:tcPr>
          <w:p w14:paraId="60238BD3"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20.080.108</w:t>
            </w:r>
          </w:p>
        </w:tc>
        <w:tc>
          <w:tcPr>
            <w:tcW w:w="1826" w:type="dxa"/>
            <w:tcBorders>
              <w:top w:val="nil"/>
              <w:left w:val="nil"/>
              <w:bottom w:val="single" w:sz="4" w:space="0" w:color="auto"/>
              <w:right w:val="single" w:sz="4" w:space="0" w:color="auto"/>
            </w:tcBorders>
            <w:shd w:val="clear" w:color="000000" w:fill="FFFFFF"/>
            <w:vAlign w:val="center"/>
            <w:hideMark/>
          </w:tcPr>
          <w:p w14:paraId="4EB80A99"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25.218.437</w:t>
            </w:r>
          </w:p>
        </w:tc>
        <w:tc>
          <w:tcPr>
            <w:tcW w:w="1753" w:type="dxa"/>
            <w:tcBorders>
              <w:top w:val="nil"/>
              <w:left w:val="nil"/>
              <w:bottom w:val="single" w:sz="4" w:space="0" w:color="auto"/>
              <w:right w:val="single" w:sz="4" w:space="0" w:color="auto"/>
            </w:tcBorders>
            <w:shd w:val="clear" w:color="000000" w:fill="FFFFFF"/>
            <w:vAlign w:val="center"/>
            <w:hideMark/>
          </w:tcPr>
          <w:p w14:paraId="057B6D79"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174.765.118</w:t>
            </w:r>
          </w:p>
        </w:tc>
      </w:tr>
      <w:tr w:rsidR="00D847F2" w:rsidRPr="00E37478" w14:paraId="43F9F0C7"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46FD64C4"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2018</w:t>
            </w:r>
          </w:p>
        </w:tc>
        <w:tc>
          <w:tcPr>
            <w:tcW w:w="1883" w:type="dxa"/>
            <w:tcBorders>
              <w:top w:val="nil"/>
              <w:left w:val="nil"/>
              <w:bottom w:val="single" w:sz="4" w:space="0" w:color="auto"/>
              <w:right w:val="single" w:sz="4" w:space="0" w:color="auto"/>
            </w:tcBorders>
            <w:shd w:val="clear" w:color="000000" w:fill="FFFFFF"/>
            <w:vAlign w:val="center"/>
            <w:hideMark/>
          </w:tcPr>
          <w:p w14:paraId="020F95BD"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125.448.259</w:t>
            </w:r>
          </w:p>
        </w:tc>
        <w:tc>
          <w:tcPr>
            <w:tcW w:w="1745" w:type="dxa"/>
            <w:tcBorders>
              <w:top w:val="nil"/>
              <w:left w:val="nil"/>
              <w:bottom w:val="single" w:sz="4" w:space="0" w:color="auto"/>
              <w:right w:val="single" w:sz="4" w:space="0" w:color="auto"/>
            </w:tcBorders>
            <w:shd w:val="clear" w:color="000000" w:fill="FFFFFF"/>
            <w:vAlign w:val="center"/>
            <w:hideMark/>
          </w:tcPr>
          <w:p w14:paraId="2AF021AB"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21.275.352</w:t>
            </w:r>
          </w:p>
        </w:tc>
        <w:tc>
          <w:tcPr>
            <w:tcW w:w="1826" w:type="dxa"/>
            <w:tcBorders>
              <w:top w:val="nil"/>
              <w:left w:val="nil"/>
              <w:bottom w:val="single" w:sz="4" w:space="0" w:color="auto"/>
              <w:right w:val="single" w:sz="4" w:space="0" w:color="auto"/>
            </w:tcBorders>
            <w:shd w:val="clear" w:color="000000" w:fill="FFFFFF"/>
            <w:vAlign w:val="center"/>
            <w:hideMark/>
          </w:tcPr>
          <w:p w14:paraId="594864D4"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24.652.827</w:t>
            </w:r>
          </w:p>
        </w:tc>
        <w:tc>
          <w:tcPr>
            <w:tcW w:w="1753" w:type="dxa"/>
            <w:tcBorders>
              <w:top w:val="nil"/>
              <w:left w:val="nil"/>
              <w:bottom w:val="single" w:sz="4" w:space="0" w:color="auto"/>
              <w:right w:val="single" w:sz="4" w:space="0" w:color="auto"/>
            </w:tcBorders>
            <w:shd w:val="clear" w:color="000000" w:fill="FFFFFF"/>
            <w:vAlign w:val="center"/>
            <w:hideMark/>
          </w:tcPr>
          <w:p w14:paraId="49510357"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171.376.438</w:t>
            </w:r>
          </w:p>
        </w:tc>
      </w:tr>
      <w:tr w:rsidR="00D847F2" w:rsidRPr="00E37478" w14:paraId="5A7E4974"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696E9C4"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2019</w:t>
            </w:r>
          </w:p>
        </w:tc>
        <w:tc>
          <w:tcPr>
            <w:tcW w:w="1883" w:type="dxa"/>
            <w:tcBorders>
              <w:top w:val="nil"/>
              <w:left w:val="nil"/>
              <w:bottom w:val="single" w:sz="4" w:space="0" w:color="auto"/>
              <w:right w:val="single" w:sz="4" w:space="0" w:color="auto"/>
            </w:tcBorders>
            <w:shd w:val="clear" w:color="000000" w:fill="FFFFFF"/>
            <w:vAlign w:val="center"/>
            <w:hideMark/>
          </w:tcPr>
          <w:p w14:paraId="4692FE7C"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137.919.176</w:t>
            </w:r>
          </w:p>
        </w:tc>
        <w:tc>
          <w:tcPr>
            <w:tcW w:w="1745" w:type="dxa"/>
            <w:tcBorders>
              <w:top w:val="nil"/>
              <w:left w:val="nil"/>
              <w:bottom w:val="single" w:sz="4" w:space="0" w:color="auto"/>
              <w:right w:val="single" w:sz="4" w:space="0" w:color="auto"/>
            </w:tcBorders>
            <w:shd w:val="clear" w:color="000000" w:fill="FFFFFF"/>
            <w:vAlign w:val="center"/>
            <w:hideMark/>
          </w:tcPr>
          <w:p w14:paraId="1039C5AC"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36.195.219</w:t>
            </w:r>
          </w:p>
        </w:tc>
        <w:tc>
          <w:tcPr>
            <w:tcW w:w="1826" w:type="dxa"/>
            <w:tcBorders>
              <w:top w:val="nil"/>
              <w:left w:val="nil"/>
              <w:bottom w:val="single" w:sz="4" w:space="0" w:color="auto"/>
              <w:right w:val="single" w:sz="4" w:space="0" w:color="auto"/>
            </w:tcBorders>
            <w:shd w:val="clear" w:color="000000" w:fill="FFFFFF"/>
            <w:vAlign w:val="center"/>
            <w:hideMark/>
          </w:tcPr>
          <w:p w14:paraId="13611D2C"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14.800.879</w:t>
            </w:r>
          </w:p>
        </w:tc>
        <w:tc>
          <w:tcPr>
            <w:tcW w:w="1753" w:type="dxa"/>
            <w:tcBorders>
              <w:top w:val="nil"/>
              <w:left w:val="nil"/>
              <w:bottom w:val="single" w:sz="4" w:space="0" w:color="auto"/>
              <w:right w:val="single" w:sz="4" w:space="0" w:color="auto"/>
            </w:tcBorders>
            <w:shd w:val="clear" w:color="000000" w:fill="FFFFFF"/>
            <w:vAlign w:val="center"/>
            <w:hideMark/>
          </w:tcPr>
          <w:p w14:paraId="0FA8D19E"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188.915.274</w:t>
            </w:r>
          </w:p>
        </w:tc>
      </w:tr>
      <w:tr w:rsidR="00D847F2" w:rsidRPr="00E37478" w14:paraId="39065A15"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39D4C3AE"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2020</w:t>
            </w:r>
          </w:p>
        </w:tc>
        <w:tc>
          <w:tcPr>
            <w:tcW w:w="1883" w:type="dxa"/>
            <w:tcBorders>
              <w:top w:val="nil"/>
              <w:left w:val="nil"/>
              <w:bottom w:val="single" w:sz="4" w:space="0" w:color="auto"/>
              <w:right w:val="single" w:sz="4" w:space="0" w:color="auto"/>
            </w:tcBorders>
            <w:shd w:val="clear" w:color="000000" w:fill="FFFFFF"/>
            <w:vAlign w:val="center"/>
            <w:hideMark/>
          </w:tcPr>
          <w:p w14:paraId="3263AA33"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161.003.981</w:t>
            </w:r>
          </w:p>
        </w:tc>
        <w:tc>
          <w:tcPr>
            <w:tcW w:w="1745" w:type="dxa"/>
            <w:tcBorders>
              <w:top w:val="nil"/>
              <w:left w:val="nil"/>
              <w:bottom w:val="single" w:sz="4" w:space="0" w:color="auto"/>
              <w:right w:val="single" w:sz="4" w:space="0" w:color="auto"/>
            </w:tcBorders>
            <w:shd w:val="clear" w:color="000000" w:fill="FFFFFF"/>
            <w:vAlign w:val="center"/>
            <w:hideMark/>
          </w:tcPr>
          <w:p w14:paraId="34854503"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26.476.791</w:t>
            </w:r>
          </w:p>
        </w:tc>
        <w:tc>
          <w:tcPr>
            <w:tcW w:w="1826" w:type="dxa"/>
            <w:tcBorders>
              <w:top w:val="nil"/>
              <w:left w:val="nil"/>
              <w:bottom w:val="single" w:sz="4" w:space="0" w:color="auto"/>
              <w:right w:val="single" w:sz="4" w:space="0" w:color="auto"/>
            </w:tcBorders>
            <w:shd w:val="clear" w:color="000000" w:fill="FFFFFF"/>
            <w:vAlign w:val="center"/>
            <w:hideMark/>
          </w:tcPr>
          <w:p w14:paraId="77B55FCD"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22.214.061</w:t>
            </w:r>
          </w:p>
        </w:tc>
        <w:tc>
          <w:tcPr>
            <w:tcW w:w="1753" w:type="dxa"/>
            <w:tcBorders>
              <w:top w:val="nil"/>
              <w:left w:val="nil"/>
              <w:bottom w:val="single" w:sz="4" w:space="0" w:color="auto"/>
              <w:right w:val="single" w:sz="4" w:space="0" w:color="auto"/>
            </w:tcBorders>
            <w:shd w:val="clear" w:color="000000" w:fill="FFFFFF"/>
            <w:vAlign w:val="center"/>
            <w:hideMark/>
          </w:tcPr>
          <w:p w14:paraId="042921E7"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209.694.833</w:t>
            </w:r>
          </w:p>
        </w:tc>
      </w:tr>
      <w:tr w:rsidR="00D847F2" w:rsidRPr="00E37478" w14:paraId="1440D835"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43BAB630"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2021</w:t>
            </w:r>
          </w:p>
        </w:tc>
        <w:tc>
          <w:tcPr>
            <w:tcW w:w="1883" w:type="dxa"/>
            <w:tcBorders>
              <w:top w:val="nil"/>
              <w:left w:val="nil"/>
              <w:bottom w:val="single" w:sz="4" w:space="0" w:color="auto"/>
              <w:right w:val="single" w:sz="4" w:space="0" w:color="auto"/>
            </w:tcBorders>
            <w:shd w:val="clear" w:color="000000" w:fill="FFFFFF"/>
            <w:vAlign w:val="center"/>
            <w:hideMark/>
          </w:tcPr>
          <w:p w14:paraId="6CEC321E"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119.650.637</w:t>
            </w:r>
          </w:p>
        </w:tc>
        <w:tc>
          <w:tcPr>
            <w:tcW w:w="1745" w:type="dxa"/>
            <w:tcBorders>
              <w:top w:val="nil"/>
              <w:left w:val="nil"/>
              <w:bottom w:val="single" w:sz="4" w:space="0" w:color="auto"/>
              <w:right w:val="single" w:sz="4" w:space="0" w:color="auto"/>
            </w:tcBorders>
            <w:shd w:val="clear" w:color="000000" w:fill="FFFFFF"/>
            <w:vAlign w:val="center"/>
            <w:hideMark/>
          </w:tcPr>
          <w:p w14:paraId="3C4B8B34"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39.045.370</w:t>
            </w:r>
          </w:p>
        </w:tc>
        <w:tc>
          <w:tcPr>
            <w:tcW w:w="1826" w:type="dxa"/>
            <w:tcBorders>
              <w:top w:val="nil"/>
              <w:left w:val="nil"/>
              <w:bottom w:val="single" w:sz="4" w:space="0" w:color="auto"/>
              <w:right w:val="single" w:sz="4" w:space="0" w:color="auto"/>
            </w:tcBorders>
            <w:shd w:val="clear" w:color="000000" w:fill="FFFFFF"/>
            <w:vAlign w:val="center"/>
            <w:hideMark/>
          </w:tcPr>
          <w:p w14:paraId="39282FB8"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21.938.411</w:t>
            </w:r>
          </w:p>
        </w:tc>
        <w:tc>
          <w:tcPr>
            <w:tcW w:w="1753" w:type="dxa"/>
            <w:tcBorders>
              <w:top w:val="nil"/>
              <w:left w:val="nil"/>
              <w:bottom w:val="single" w:sz="4" w:space="0" w:color="auto"/>
              <w:right w:val="single" w:sz="4" w:space="0" w:color="auto"/>
            </w:tcBorders>
            <w:shd w:val="clear" w:color="000000" w:fill="FFFFFF"/>
            <w:vAlign w:val="center"/>
            <w:hideMark/>
          </w:tcPr>
          <w:p w14:paraId="55BB79EA"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180.634.418</w:t>
            </w:r>
          </w:p>
        </w:tc>
      </w:tr>
      <w:tr w:rsidR="00D847F2" w:rsidRPr="00E37478" w14:paraId="660E7876" w14:textId="77777777" w:rsidTr="00556699">
        <w:trPr>
          <w:trHeight w:val="216"/>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6B326B3" w14:textId="77777777" w:rsidR="00D847F2" w:rsidRPr="00E37478" w:rsidRDefault="00D847F2" w:rsidP="00556699">
            <w:pPr>
              <w:spacing w:after="0" w:line="240" w:lineRule="auto"/>
              <w:jc w:val="center"/>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2022</w:t>
            </w:r>
          </w:p>
        </w:tc>
        <w:tc>
          <w:tcPr>
            <w:tcW w:w="1883" w:type="dxa"/>
            <w:tcBorders>
              <w:top w:val="nil"/>
              <w:left w:val="nil"/>
              <w:bottom w:val="single" w:sz="4" w:space="0" w:color="auto"/>
              <w:right w:val="single" w:sz="4" w:space="0" w:color="auto"/>
            </w:tcBorders>
            <w:shd w:val="clear" w:color="000000" w:fill="FFFFFF"/>
            <w:vAlign w:val="center"/>
            <w:hideMark/>
          </w:tcPr>
          <w:p w14:paraId="71E05267"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105.621.864</w:t>
            </w:r>
          </w:p>
        </w:tc>
        <w:tc>
          <w:tcPr>
            <w:tcW w:w="1745" w:type="dxa"/>
            <w:tcBorders>
              <w:top w:val="nil"/>
              <w:left w:val="nil"/>
              <w:bottom w:val="single" w:sz="4" w:space="0" w:color="auto"/>
              <w:right w:val="single" w:sz="4" w:space="0" w:color="auto"/>
            </w:tcBorders>
            <w:shd w:val="clear" w:color="000000" w:fill="FFFFFF"/>
            <w:vAlign w:val="center"/>
            <w:hideMark/>
          </w:tcPr>
          <w:p w14:paraId="45C62E28"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28.826.573</w:t>
            </w:r>
          </w:p>
        </w:tc>
        <w:tc>
          <w:tcPr>
            <w:tcW w:w="1826" w:type="dxa"/>
            <w:tcBorders>
              <w:top w:val="nil"/>
              <w:left w:val="nil"/>
              <w:bottom w:val="single" w:sz="4" w:space="0" w:color="auto"/>
              <w:right w:val="single" w:sz="4" w:space="0" w:color="auto"/>
            </w:tcBorders>
            <w:shd w:val="clear" w:color="000000" w:fill="FFFFFF"/>
            <w:vAlign w:val="center"/>
            <w:hideMark/>
          </w:tcPr>
          <w:p w14:paraId="5EE58E5E" w14:textId="77777777" w:rsidR="00D847F2" w:rsidRPr="00E37478" w:rsidRDefault="00D847F2" w:rsidP="00556699">
            <w:pPr>
              <w:spacing w:after="0" w:line="240" w:lineRule="auto"/>
              <w:jc w:val="right"/>
              <w:rPr>
                <w:rFonts w:ascii="Arial" w:eastAsia="Times New Roman" w:hAnsi="Arial" w:cs="Arial"/>
                <w:color w:val="000000"/>
                <w:sz w:val="20"/>
                <w:szCs w:val="20"/>
                <w:lang w:eastAsia="sl-SI"/>
              </w:rPr>
            </w:pPr>
            <w:r w:rsidRPr="00E37478">
              <w:rPr>
                <w:rFonts w:ascii="Arial" w:eastAsia="Times New Roman" w:hAnsi="Arial" w:cs="Arial"/>
                <w:color w:val="000000"/>
                <w:sz w:val="20"/>
                <w:szCs w:val="20"/>
                <w:lang w:eastAsia="sl-SI"/>
              </w:rPr>
              <w:t>10.195.104</w:t>
            </w:r>
          </w:p>
        </w:tc>
        <w:tc>
          <w:tcPr>
            <w:tcW w:w="1753" w:type="dxa"/>
            <w:tcBorders>
              <w:top w:val="nil"/>
              <w:left w:val="nil"/>
              <w:bottom w:val="single" w:sz="4" w:space="0" w:color="auto"/>
              <w:right w:val="single" w:sz="4" w:space="0" w:color="auto"/>
            </w:tcBorders>
            <w:shd w:val="clear" w:color="000000" w:fill="FFFFFF"/>
            <w:vAlign w:val="center"/>
            <w:hideMark/>
          </w:tcPr>
          <w:p w14:paraId="2793A42F" w14:textId="77777777" w:rsidR="00D847F2" w:rsidRPr="00E37478" w:rsidRDefault="00D847F2" w:rsidP="00556699">
            <w:pPr>
              <w:spacing w:after="0" w:line="240" w:lineRule="auto"/>
              <w:jc w:val="right"/>
              <w:rPr>
                <w:rFonts w:ascii="Arial" w:eastAsia="Times New Roman" w:hAnsi="Arial" w:cs="Arial"/>
                <w:b/>
                <w:bCs/>
                <w:color w:val="000000"/>
                <w:sz w:val="20"/>
                <w:szCs w:val="20"/>
                <w:lang w:eastAsia="sl-SI"/>
              </w:rPr>
            </w:pPr>
            <w:r w:rsidRPr="00E37478">
              <w:rPr>
                <w:rFonts w:ascii="Arial" w:eastAsia="Times New Roman" w:hAnsi="Arial" w:cs="Arial"/>
                <w:b/>
                <w:bCs/>
                <w:color w:val="000000"/>
                <w:sz w:val="20"/>
                <w:szCs w:val="20"/>
                <w:lang w:eastAsia="sl-SI"/>
              </w:rPr>
              <w:t>144.643.540</w:t>
            </w:r>
          </w:p>
        </w:tc>
      </w:tr>
    </w:tbl>
    <w:p w14:paraId="54303B74" w14:textId="5394A028"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216669">
        <w:rPr>
          <w:rFonts w:ascii="Arial" w:hAnsi="Arial" w:cs="Arial"/>
          <w:i/>
          <w:sz w:val="20"/>
          <w:szCs w:val="20"/>
        </w:rPr>
        <w:t>.</w:t>
      </w:r>
    </w:p>
    <w:p w14:paraId="5965C341" w14:textId="77777777" w:rsidR="00D847F2" w:rsidRPr="005263B6" w:rsidRDefault="00D847F2" w:rsidP="00D847F2">
      <w:pPr>
        <w:jc w:val="both"/>
        <w:rPr>
          <w:rFonts w:ascii="Arial" w:hAnsi="Arial" w:cs="Arial"/>
          <w:sz w:val="20"/>
          <w:szCs w:val="20"/>
        </w:rPr>
      </w:pPr>
      <w:r>
        <w:rPr>
          <w:rFonts w:ascii="Arial" w:hAnsi="Arial" w:cs="Arial"/>
          <w:sz w:val="20"/>
          <w:szCs w:val="20"/>
        </w:rPr>
        <w:lastRenderedPageBreak/>
        <w:t>P</w:t>
      </w:r>
      <w:r w:rsidRPr="005263B6">
        <w:rPr>
          <w:rFonts w:ascii="Arial" w:hAnsi="Arial" w:cs="Arial"/>
          <w:sz w:val="20"/>
          <w:szCs w:val="20"/>
        </w:rPr>
        <w:t>odatki o odpisanih davčnih obveznostih ločeno po javnofinančnih blaga</w:t>
      </w:r>
      <w:r>
        <w:rPr>
          <w:rFonts w:ascii="Arial" w:hAnsi="Arial" w:cs="Arial"/>
          <w:sz w:val="20"/>
          <w:szCs w:val="20"/>
        </w:rPr>
        <w:t>jnah so prikazani v preglednici 11.</w:t>
      </w:r>
    </w:p>
    <w:p w14:paraId="300086F5" w14:textId="77777777" w:rsidR="00D847F2" w:rsidRDefault="00D847F2" w:rsidP="00D847F2">
      <w:pPr>
        <w:rPr>
          <w:rFonts w:ascii="Arial" w:hAnsi="Arial" w:cs="Arial"/>
          <w:i/>
          <w:sz w:val="20"/>
          <w:szCs w:val="20"/>
        </w:rPr>
      </w:pPr>
      <w:r w:rsidRPr="002C0730">
        <w:rPr>
          <w:rFonts w:ascii="Arial" w:hAnsi="Arial" w:cs="Arial"/>
          <w:i/>
          <w:sz w:val="20"/>
          <w:szCs w:val="20"/>
        </w:rPr>
        <w:t>Preglednica 11: Odpisi davčnih obveznosti po blagajnah javnega financiranja v EUR</w:t>
      </w:r>
    </w:p>
    <w:tbl>
      <w:tblPr>
        <w:tblW w:w="8843" w:type="dxa"/>
        <w:tblCellMar>
          <w:left w:w="70" w:type="dxa"/>
          <w:right w:w="70" w:type="dxa"/>
        </w:tblCellMar>
        <w:tblLook w:val="04A0" w:firstRow="1" w:lastRow="0" w:firstColumn="1" w:lastColumn="0" w:noHBand="0" w:noVBand="1"/>
      </w:tblPr>
      <w:tblGrid>
        <w:gridCol w:w="1447"/>
        <w:gridCol w:w="1282"/>
        <w:gridCol w:w="1419"/>
        <w:gridCol w:w="1308"/>
        <w:gridCol w:w="1038"/>
        <w:gridCol w:w="1096"/>
        <w:gridCol w:w="1253"/>
      </w:tblGrid>
      <w:tr w:rsidR="00D847F2" w:rsidRPr="001B5B9E" w14:paraId="0C7FA345" w14:textId="77777777" w:rsidTr="00556699">
        <w:trPr>
          <w:trHeight w:val="1159"/>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1F86"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Leto odpisa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0342C32"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 xml:space="preserve">Državni proračun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4C90762C"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 xml:space="preserve">Zavod za pokojninsko in invalidsko zavarovanje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5D124110"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 xml:space="preserve">Zavod za zdravstveno zavarovanje Slovenije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2056DCCE"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Proračun občin</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3F618415" w14:textId="50279C1E" w:rsidR="00D847F2" w:rsidRPr="001B5B9E" w:rsidRDefault="00216669" w:rsidP="00216669">
            <w:pPr>
              <w:spacing w:after="0" w:line="240" w:lineRule="auto"/>
              <w:jc w:val="center"/>
              <w:rPr>
                <w:rFonts w:ascii="Arial" w:eastAsia="Times New Roman" w:hAnsi="Arial" w:cs="Arial"/>
                <w:b/>
                <w:bCs/>
                <w:i/>
                <w:iCs/>
                <w:color w:val="000000"/>
                <w:sz w:val="20"/>
                <w:szCs w:val="20"/>
                <w:lang w:eastAsia="sl-SI"/>
              </w:rPr>
            </w:pPr>
            <w:r>
              <w:rPr>
                <w:rFonts w:ascii="Arial" w:eastAsia="Times New Roman" w:hAnsi="Arial" w:cs="Arial"/>
                <w:b/>
                <w:bCs/>
                <w:i/>
                <w:iCs/>
                <w:color w:val="000000"/>
                <w:sz w:val="20"/>
                <w:szCs w:val="20"/>
                <w:lang w:eastAsia="sl-SI"/>
              </w:rPr>
              <w:t>Preo</w:t>
            </w:r>
            <w:r w:rsidR="00D847F2" w:rsidRPr="001B5B9E">
              <w:rPr>
                <w:rFonts w:ascii="Arial" w:eastAsia="Times New Roman" w:hAnsi="Arial" w:cs="Arial"/>
                <w:b/>
                <w:bCs/>
                <w:i/>
                <w:iCs/>
                <w:color w:val="000000"/>
                <w:sz w:val="20"/>
                <w:szCs w:val="20"/>
                <w:lang w:eastAsia="sl-SI"/>
              </w:rPr>
              <w:t>stalo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B14EAC7" w14:textId="77777777" w:rsidR="00D847F2" w:rsidRPr="001B5B9E" w:rsidRDefault="00D847F2" w:rsidP="00556699">
            <w:pPr>
              <w:spacing w:after="0" w:line="240" w:lineRule="auto"/>
              <w:jc w:val="center"/>
              <w:rPr>
                <w:rFonts w:ascii="Arial" w:eastAsia="Times New Roman" w:hAnsi="Arial" w:cs="Arial"/>
                <w:b/>
                <w:bCs/>
                <w:i/>
                <w:iCs/>
                <w:color w:val="000000"/>
                <w:sz w:val="20"/>
                <w:szCs w:val="20"/>
                <w:lang w:eastAsia="sl-SI"/>
              </w:rPr>
            </w:pPr>
            <w:r w:rsidRPr="001B5B9E">
              <w:rPr>
                <w:rFonts w:ascii="Arial" w:eastAsia="Times New Roman" w:hAnsi="Arial" w:cs="Arial"/>
                <w:b/>
                <w:bCs/>
                <w:i/>
                <w:iCs/>
                <w:color w:val="000000"/>
                <w:sz w:val="20"/>
                <w:szCs w:val="20"/>
                <w:lang w:eastAsia="sl-SI"/>
              </w:rPr>
              <w:t>SKUPAJ</w:t>
            </w:r>
          </w:p>
        </w:tc>
      </w:tr>
      <w:tr w:rsidR="00D847F2" w:rsidRPr="001B5B9E" w14:paraId="4EBE3903"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7A752C7"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2016</w:t>
            </w:r>
          </w:p>
        </w:tc>
        <w:tc>
          <w:tcPr>
            <w:tcW w:w="1304" w:type="dxa"/>
            <w:tcBorders>
              <w:top w:val="nil"/>
              <w:left w:val="nil"/>
              <w:bottom w:val="single" w:sz="4" w:space="0" w:color="auto"/>
              <w:right w:val="single" w:sz="4" w:space="0" w:color="auto"/>
            </w:tcBorders>
            <w:shd w:val="clear" w:color="auto" w:fill="auto"/>
            <w:vAlign w:val="center"/>
            <w:hideMark/>
          </w:tcPr>
          <w:p w14:paraId="091F656D"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134.878.424</w:t>
            </w:r>
          </w:p>
        </w:tc>
        <w:tc>
          <w:tcPr>
            <w:tcW w:w="1497" w:type="dxa"/>
            <w:tcBorders>
              <w:top w:val="nil"/>
              <w:left w:val="nil"/>
              <w:bottom w:val="single" w:sz="4" w:space="0" w:color="auto"/>
              <w:right w:val="single" w:sz="4" w:space="0" w:color="auto"/>
            </w:tcBorders>
            <w:shd w:val="clear" w:color="auto" w:fill="auto"/>
            <w:vAlign w:val="center"/>
            <w:hideMark/>
          </w:tcPr>
          <w:p w14:paraId="1482C4DE"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28.814.402</w:t>
            </w:r>
          </w:p>
        </w:tc>
        <w:tc>
          <w:tcPr>
            <w:tcW w:w="1166" w:type="dxa"/>
            <w:tcBorders>
              <w:top w:val="nil"/>
              <w:left w:val="nil"/>
              <w:bottom w:val="single" w:sz="4" w:space="0" w:color="auto"/>
              <w:right w:val="single" w:sz="4" w:space="0" w:color="auto"/>
            </w:tcBorders>
            <w:shd w:val="clear" w:color="auto" w:fill="auto"/>
            <w:vAlign w:val="center"/>
            <w:hideMark/>
          </w:tcPr>
          <w:p w14:paraId="77C729F3"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14.391.524</w:t>
            </w:r>
          </w:p>
        </w:tc>
        <w:tc>
          <w:tcPr>
            <w:tcW w:w="1045" w:type="dxa"/>
            <w:tcBorders>
              <w:top w:val="nil"/>
              <w:left w:val="nil"/>
              <w:bottom w:val="single" w:sz="4" w:space="0" w:color="auto"/>
              <w:right w:val="single" w:sz="4" w:space="0" w:color="auto"/>
            </w:tcBorders>
            <w:shd w:val="clear" w:color="auto" w:fill="auto"/>
            <w:vAlign w:val="center"/>
            <w:hideMark/>
          </w:tcPr>
          <w:p w14:paraId="2EA13D0C"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3.023.231</w:t>
            </w:r>
          </w:p>
        </w:tc>
        <w:tc>
          <w:tcPr>
            <w:tcW w:w="1131" w:type="dxa"/>
            <w:tcBorders>
              <w:top w:val="nil"/>
              <w:left w:val="nil"/>
              <w:bottom w:val="single" w:sz="4" w:space="0" w:color="auto"/>
              <w:right w:val="single" w:sz="4" w:space="0" w:color="auto"/>
            </w:tcBorders>
            <w:shd w:val="clear" w:color="auto" w:fill="auto"/>
            <w:vAlign w:val="center"/>
            <w:hideMark/>
          </w:tcPr>
          <w:p w14:paraId="7AAFD33E"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923.710</w:t>
            </w:r>
          </w:p>
        </w:tc>
        <w:tc>
          <w:tcPr>
            <w:tcW w:w="1253" w:type="dxa"/>
            <w:tcBorders>
              <w:top w:val="nil"/>
              <w:left w:val="nil"/>
              <w:bottom w:val="single" w:sz="4" w:space="0" w:color="auto"/>
              <w:right w:val="single" w:sz="4" w:space="0" w:color="auto"/>
            </w:tcBorders>
            <w:shd w:val="clear" w:color="auto" w:fill="auto"/>
            <w:vAlign w:val="center"/>
            <w:hideMark/>
          </w:tcPr>
          <w:p w14:paraId="4647E237"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182.031.290</w:t>
            </w:r>
          </w:p>
        </w:tc>
      </w:tr>
      <w:tr w:rsidR="00D847F2" w:rsidRPr="001B5B9E" w14:paraId="18EFB8FF"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29E0A8B"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2017</w:t>
            </w:r>
          </w:p>
        </w:tc>
        <w:tc>
          <w:tcPr>
            <w:tcW w:w="1304" w:type="dxa"/>
            <w:tcBorders>
              <w:top w:val="nil"/>
              <w:left w:val="nil"/>
              <w:bottom w:val="single" w:sz="4" w:space="0" w:color="auto"/>
              <w:right w:val="single" w:sz="4" w:space="0" w:color="auto"/>
            </w:tcBorders>
            <w:shd w:val="clear" w:color="auto" w:fill="auto"/>
            <w:vAlign w:val="center"/>
            <w:hideMark/>
          </w:tcPr>
          <w:p w14:paraId="34076A43"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134.363.290</w:t>
            </w:r>
          </w:p>
        </w:tc>
        <w:tc>
          <w:tcPr>
            <w:tcW w:w="1497" w:type="dxa"/>
            <w:tcBorders>
              <w:top w:val="nil"/>
              <w:left w:val="nil"/>
              <w:bottom w:val="single" w:sz="4" w:space="0" w:color="auto"/>
              <w:right w:val="single" w:sz="4" w:space="0" w:color="auto"/>
            </w:tcBorders>
            <w:shd w:val="clear" w:color="auto" w:fill="auto"/>
            <w:vAlign w:val="center"/>
            <w:hideMark/>
          </w:tcPr>
          <w:p w14:paraId="1B84583F"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25.644.156</w:t>
            </w:r>
          </w:p>
        </w:tc>
        <w:tc>
          <w:tcPr>
            <w:tcW w:w="1166" w:type="dxa"/>
            <w:tcBorders>
              <w:top w:val="nil"/>
              <w:left w:val="nil"/>
              <w:bottom w:val="single" w:sz="4" w:space="0" w:color="auto"/>
              <w:right w:val="single" w:sz="4" w:space="0" w:color="auto"/>
            </w:tcBorders>
            <w:shd w:val="clear" w:color="auto" w:fill="auto"/>
            <w:vAlign w:val="center"/>
            <w:hideMark/>
          </w:tcPr>
          <w:p w14:paraId="3F3A1C70"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12.349.980</w:t>
            </w:r>
          </w:p>
        </w:tc>
        <w:tc>
          <w:tcPr>
            <w:tcW w:w="1045" w:type="dxa"/>
            <w:tcBorders>
              <w:top w:val="nil"/>
              <w:left w:val="nil"/>
              <w:bottom w:val="single" w:sz="4" w:space="0" w:color="auto"/>
              <w:right w:val="single" w:sz="4" w:space="0" w:color="auto"/>
            </w:tcBorders>
            <w:shd w:val="clear" w:color="auto" w:fill="auto"/>
            <w:vAlign w:val="center"/>
            <w:hideMark/>
          </w:tcPr>
          <w:p w14:paraId="3361CD54"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2.407.691</w:t>
            </w:r>
          </w:p>
        </w:tc>
        <w:tc>
          <w:tcPr>
            <w:tcW w:w="1131" w:type="dxa"/>
            <w:tcBorders>
              <w:top w:val="nil"/>
              <w:left w:val="nil"/>
              <w:bottom w:val="single" w:sz="4" w:space="0" w:color="auto"/>
              <w:right w:val="single" w:sz="4" w:space="0" w:color="auto"/>
            </w:tcBorders>
            <w:shd w:val="clear" w:color="auto" w:fill="auto"/>
            <w:vAlign w:val="center"/>
            <w:hideMark/>
          </w:tcPr>
          <w:p w14:paraId="4A0EE4C9"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0</w:t>
            </w:r>
          </w:p>
        </w:tc>
        <w:tc>
          <w:tcPr>
            <w:tcW w:w="1253" w:type="dxa"/>
            <w:tcBorders>
              <w:top w:val="nil"/>
              <w:left w:val="nil"/>
              <w:bottom w:val="single" w:sz="4" w:space="0" w:color="auto"/>
              <w:right w:val="single" w:sz="4" w:space="0" w:color="auto"/>
            </w:tcBorders>
            <w:shd w:val="clear" w:color="auto" w:fill="auto"/>
            <w:vAlign w:val="center"/>
            <w:hideMark/>
          </w:tcPr>
          <w:p w14:paraId="386BC19F"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174.765.118</w:t>
            </w:r>
          </w:p>
        </w:tc>
      </w:tr>
      <w:tr w:rsidR="00D847F2" w:rsidRPr="001B5B9E" w14:paraId="165496D4"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F98C602"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2018</w:t>
            </w:r>
          </w:p>
        </w:tc>
        <w:tc>
          <w:tcPr>
            <w:tcW w:w="1304" w:type="dxa"/>
            <w:tcBorders>
              <w:top w:val="nil"/>
              <w:left w:val="nil"/>
              <w:bottom w:val="single" w:sz="4" w:space="0" w:color="auto"/>
              <w:right w:val="single" w:sz="4" w:space="0" w:color="auto"/>
            </w:tcBorders>
            <w:shd w:val="clear" w:color="auto" w:fill="auto"/>
            <w:vAlign w:val="center"/>
            <w:hideMark/>
          </w:tcPr>
          <w:p w14:paraId="62F11D7B"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124.381.850</w:t>
            </w:r>
          </w:p>
        </w:tc>
        <w:tc>
          <w:tcPr>
            <w:tcW w:w="1497" w:type="dxa"/>
            <w:tcBorders>
              <w:top w:val="nil"/>
              <w:left w:val="nil"/>
              <w:bottom w:val="single" w:sz="4" w:space="0" w:color="auto"/>
              <w:right w:val="single" w:sz="4" w:space="0" w:color="auto"/>
            </w:tcBorders>
            <w:shd w:val="clear" w:color="auto" w:fill="auto"/>
            <w:vAlign w:val="center"/>
            <w:hideMark/>
          </w:tcPr>
          <w:p w14:paraId="5704E0F5"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29.447.278</w:t>
            </w:r>
          </w:p>
        </w:tc>
        <w:tc>
          <w:tcPr>
            <w:tcW w:w="1166" w:type="dxa"/>
            <w:tcBorders>
              <w:top w:val="nil"/>
              <w:left w:val="nil"/>
              <w:bottom w:val="single" w:sz="4" w:space="0" w:color="auto"/>
              <w:right w:val="single" w:sz="4" w:space="0" w:color="auto"/>
            </w:tcBorders>
            <w:shd w:val="clear" w:color="auto" w:fill="auto"/>
            <w:vAlign w:val="center"/>
            <w:hideMark/>
          </w:tcPr>
          <w:p w14:paraId="7136F8B5"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14.837.531</w:t>
            </w:r>
          </w:p>
        </w:tc>
        <w:tc>
          <w:tcPr>
            <w:tcW w:w="1045" w:type="dxa"/>
            <w:tcBorders>
              <w:top w:val="nil"/>
              <w:left w:val="nil"/>
              <w:bottom w:val="single" w:sz="4" w:space="0" w:color="auto"/>
              <w:right w:val="single" w:sz="4" w:space="0" w:color="auto"/>
            </w:tcBorders>
            <w:shd w:val="clear" w:color="auto" w:fill="auto"/>
            <w:vAlign w:val="center"/>
            <w:hideMark/>
          </w:tcPr>
          <w:p w14:paraId="64F0328F"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2.709.779</w:t>
            </w:r>
          </w:p>
        </w:tc>
        <w:tc>
          <w:tcPr>
            <w:tcW w:w="1131" w:type="dxa"/>
            <w:tcBorders>
              <w:top w:val="nil"/>
              <w:left w:val="nil"/>
              <w:bottom w:val="single" w:sz="4" w:space="0" w:color="auto"/>
              <w:right w:val="single" w:sz="4" w:space="0" w:color="auto"/>
            </w:tcBorders>
            <w:shd w:val="clear" w:color="auto" w:fill="auto"/>
            <w:vAlign w:val="center"/>
            <w:hideMark/>
          </w:tcPr>
          <w:p w14:paraId="6DD08D0F"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0</w:t>
            </w:r>
          </w:p>
        </w:tc>
        <w:tc>
          <w:tcPr>
            <w:tcW w:w="1253" w:type="dxa"/>
            <w:tcBorders>
              <w:top w:val="nil"/>
              <w:left w:val="nil"/>
              <w:bottom w:val="single" w:sz="4" w:space="0" w:color="auto"/>
              <w:right w:val="single" w:sz="4" w:space="0" w:color="auto"/>
            </w:tcBorders>
            <w:shd w:val="clear" w:color="auto" w:fill="auto"/>
            <w:vAlign w:val="center"/>
            <w:hideMark/>
          </w:tcPr>
          <w:p w14:paraId="74C074FA"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171.376.438</w:t>
            </w:r>
          </w:p>
        </w:tc>
      </w:tr>
      <w:tr w:rsidR="00D847F2" w:rsidRPr="001B5B9E" w14:paraId="788192CF"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62B0E2B"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2019</w:t>
            </w:r>
          </w:p>
        </w:tc>
        <w:tc>
          <w:tcPr>
            <w:tcW w:w="1304" w:type="dxa"/>
            <w:tcBorders>
              <w:top w:val="nil"/>
              <w:left w:val="nil"/>
              <w:bottom w:val="single" w:sz="4" w:space="0" w:color="auto"/>
              <w:right w:val="single" w:sz="4" w:space="0" w:color="auto"/>
            </w:tcBorders>
            <w:shd w:val="clear" w:color="auto" w:fill="auto"/>
            <w:vAlign w:val="center"/>
            <w:hideMark/>
          </w:tcPr>
          <w:p w14:paraId="7CCB6893"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136.113.653</w:t>
            </w:r>
          </w:p>
        </w:tc>
        <w:tc>
          <w:tcPr>
            <w:tcW w:w="1497" w:type="dxa"/>
            <w:tcBorders>
              <w:top w:val="nil"/>
              <w:left w:val="nil"/>
              <w:bottom w:val="single" w:sz="4" w:space="0" w:color="auto"/>
              <w:right w:val="single" w:sz="4" w:space="0" w:color="auto"/>
            </w:tcBorders>
            <w:shd w:val="clear" w:color="auto" w:fill="auto"/>
            <w:vAlign w:val="center"/>
            <w:hideMark/>
          </w:tcPr>
          <w:p w14:paraId="2277D141"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32.748.637</w:t>
            </w:r>
          </w:p>
        </w:tc>
        <w:tc>
          <w:tcPr>
            <w:tcW w:w="1166" w:type="dxa"/>
            <w:tcBorders>
              <w:top w:val="nil"/>
              <w:left w:val="nil"/>
              <w:bottom w:val="single" w:sz="4" w:space="0" w:color="auto"/>
              <w:right w:val="single" w:sz="4" w:space="0" w:color="auto"/>
            </w:tcBorders>
            <w:shd w:val="clear" w:color="auto" w:fill="auto"/>
            <w:vAlign w:val="center"/>
            <w:hideMark/>
          </w:tcPr>
          <w:p w14:paraId="69A37C35"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16.421.408</w:t>
            </w:r>
          </w:p>
        </w:tc>
        <w:tc>
          <w:tcPr>
            <w:tcW w:w="1045" w:type="dxa"/>
            <w:tcBorders>
              <w:top w:val="nil"/>
              <w:left w:val="nil"/>
              <w:bottom w:val="single" w:sz="4" w:space="0" w:color="auto"/>
              <w:right w:val="single" w:sz="4" w:space="0" w:color="auto"/>
            </w:tcBorders>
            <w:shd w:val="clear" w:color="auto" w:fill="auto"/>
            <w:vAlign w:val="center"/>
            <w:hideMark/>
          </w:tcPr>
          <w:p w14:paraId="3FE0F60A"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3.631.575</w:t>
            </w:r>
          </w:p>
        </w:tc>
        <w:tc>
          <w:tcPr>
            <w:tcW w:w="1131" w:type="dxa"/>
            <w:tcBorders>
              <w:top w:val="nil"/>
              <w:left w:val="nil"/>
              <w:bottom w:val="single" w:sz="4" w:space="0" w:color="auto"/>
              <w:right w:val="single" w:sz="4" w:space="0" w:color="auto"/>
            </w:tcBorders>
            <w:shd w:val="clear" w:color="auto" w:fill="auto"/>
            <w:vAlign w:val="center"/>
            <w:hideMark/>
          </w:tcPr>
          <w:p w14:paraId="344BAFFB"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0</w:t>
            </w:r>
          </w:p>
        </w:tc>
        <w:tc>
          <w:tcPr>
            <w:tcW w:w="1253" w:type="dxa"/>
            <w:tcBorders>
              <w:top w:val="nil"/>
              <w:left w:val="nil"/>
              <w:bottom w:val="single" w:sz="4" w:space="0" w:color="auto"/>
              <w:right w:val="single" w:sz="4" w:space="0" w:color="auto"/>
            </w:tcBorders>
            <w:shd w:val="clear" w:color="auto" w:fill="auto"/>
            <w:vAlign w:val="center"/>
            <w:hideMark/>
          </w:tcPr>
          <w:p w14:paraId="56AAFB8F"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188.915.274</w:t>
            </w:r>
          </w:p>
        </w:tc>
      </w:tr>
      <w:tr w:rsidR="00D847F2" w:rsidRPr="001B5B9E" w14:paraId="4DA2A1DA"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vAlign w:val="center"/>
            <w:hideMark/>
          </w:tcPr>
          <w:p w14:paraId="1DEA04B0"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2020</w:t>
            </w:r>
          </w:p>
        </w:tc>
        <w:tc>
          <w:tcPr>
            <w:tcW w:w="1304" w:type="dxa"/>
            <w:tcBorders>
              <w:top w:val="nil"/>
              <w:left w:val="nil"/>
              <w:bottom w:val="single" w:sz="4" w:space="0" w:color="auto"/>
              <w:right w:val="single" w:sz="4" w:space="0" w:color="auto"/>
            </w:tcBorders>
            <w:shd w:val="clear" w:color="auto" w:fill="auto"/>
            <w:vAlign w:val="center"/>
            <w:hideMark/>
          </w:tcPr>
          <w:p w14:paraId="35C2A696"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168.617.302</w:t>
            </w:r>
          </w:p>
        </w:tc>
        <w:tc>
          <w:tcPr>
            <w:tcW w:w="1497" w:type="dxa"/>
            <w:tcBorders>
              <w:top w:val="nil"/>
              <w:left w:val="nil"/>
              <w:bottom w:val="single" w:sz="4" w:space="0" w:color="auto"/>
              <w:right w:val="single" w:sz="4" w:space="0" w:color="auto"/>
            </w:tcBorders>
            <w:shd w:val="clear" w:color="auto" w:fill="auto"/>
            <w:vAlign w:val="center"/>
            <w:hideMark/>
          </w:tcPr>
          <w:p w14:paraId="077D8962"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25.398.543</w:t>
            </w:r>
          </w:p>
        </w:tc>
        <w:tc>
          <w:tcPr>
            <w:tcW w:w="1166" w:type="dxa"/>
            <w:tcBorders>
              <w:top w:val="nil"/>
              <w:left w:val="nil"/>
              <w:bottom w:val="single" w:sz="4" w:space="0" w:color="auto"/>
              <w:right w:val="single" w:sz="4" w:space="0" w:color="auto"/>
            </w:tcBorders>
            <w:shd w:val="clear" w:color="auto" w:fill="auto"/>
            <w:vAlign w:val="center"/>
            <w:hideMark/>
          </w:tcPr>
          <w:p w14:paraId="760C339D"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12.666.562</w:t>
            </w:r>
          </w:p>
        </w:tc>
        <w:tc>
          <w:tcPr>
            <w:tcW w:w="1045" w:type="dxa"/>
            <w:tcBorders>
              <w:top w:val="nil"/>
              <w:left w:val="nil"/>
              <w:bottom w:val="single" w:sz="4" w:space="0" w:color="auto"/>
              <w:right w:val="single" w:sz="4" w:space="0" w:color="auto"/>
            </w:tcBorders>
            <w:shd w:val="clear" w:color="auto" w:fill="auto"/>
            <w:vAlign w:val="center"/>
            <w:hideMark/>
          </w:tcPr>
          <w:p w14:paraId="4D250505"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3.012.426</w:t>
            </w:r>
          </w:p>
        </w:tc>
        <w:tc>
          <w:tcPr>
            <w:tcW w:w="1131" w:type="dxa"/>
            <w:tcBorders>
              <w:top w:val="nil"/>
              <w:left w:val="nil"/>
              <w:bottom w:val="single" w:sz="4" w:space="0" w:color="auto"/>
              <w:right w:val="single" w:sz="4" w:space="0" w:color="auto"/>
            </w:tcBorders>
            <w:shd w:val="clear" w:color="auto" w:fill="auto"/>
            <w:vAlign w:val="center"/>
            <w:hideMark/>
          </w:tcPr>
          <w:p w14:paraId="203E7BBE"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0</w:t>
            </w:r>
          </w:p>
        </w:tc>
        <w:tc>
          <w:tcPr>
            <w:tcW w:w="1253" w:type="dxa"/>
            <w:tcBorders>
              <w:top w:val="nil"/>
              <w:left w:val="nil"/>
              <w:bottom w:val="single" w:sz="4" w:space="0" w:color="auto"/>
              <w:right w:val="single" w:sz="4" w:space="0" w:color="auto"/>
            </w:tcBorders>
            <w:shd w:val="clear" w:color="auto" w:fill="auto"/>
            <w:vAlign w:val="center"/>
            <w:hideMark/>
          </w:tcPr>
          <w:p w14:paraId="181DE338"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209.694.833</w:t>
            </w:r>
          </w:p>
        </w:tc>
      </w:tr>
      <w:tr w:rsidR="00D847F2" w:rsidRPr="001B5B9E" w14:paraId="61A273F1"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327FF1C"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2021</w:t>
            </w:r>
          </w:p>
        </w:tc>
        <w:tc>
          <w:tcPr>
            <w:tcW w:w="1304" w:type="dxa"/>
            <w:tcBorders>
              <w:top w:val="nil"/>
              <w:left w:val="nil"/>
              <w:bottom w:val="single" w:sz="4" w:space="0" w:color="auto"/>
              <w:right w:val="single" w:sz="4" w:space="0" w:color="auto"/>
            </w:tcBorders>
            <w:shd w:val="clear" w:color="auto" w:fill="auto"/>
            <w:vAlign w:val="center"/>
            <w:hideMark/>
          </w:tcPr>
          <w:p w14:paraId="6072C9FC"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141.284.904</w:t>
            </w:r>
          </w:p>
        </w:tc>
        <w:tc>
          <w:tcPr>
            <w:tcW w:w="1497" w:type="dxa"/>
            <w:tcBorders>
              <w:top w:val="nil"/>
              <w:left w:val="nil"/>
              <w:bottom w:val="single" w:sz="4" w:space="0" w:color="auto"/>
              <w:right w:val="single" w:sz="4" w:space="0" w:color="auto"/>
            </w:tcBorders>
            <w:shd w:val="clear" w:color="auto" w:fill="auto"/>
            <w:vAlign w:val="center"/>
            <w:hideMark/>
          </w:tcPr>
          <w:p w14:paraId="2EBBA948"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23.600.155</w:t>
            </w:r>
          </w:p>
        </w:tc>
        <w:tc>
          <w:tcPr>
            <w:tcW w:w="1166" w:type="dxa"/>
            <w:tcBorders>
              <w:top w:val="nil"/>
              <w:left w:val="nil"/>
              <w:bottom w:val="single" w:sz="4" w:space="0" w:color="auto"/>
              <w:right w:val="single" w:sz="4" w:space="0" w:color="auto"/>
            </w:tcBorders>
            <w:shd w:val="clear" w:color="auto" w:fill="auto"/>
            <w:vAlign w:val="center"/>
            <w:hideMark/>
          </w:tcPr>
          <w:p w14:paraId="7059F5BC"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11.772.464</w:t>
            </w:r>
          </w:p>
        </w:tc>
        <w:tc>
          <w:tcPr>
            <w:tcW w:w="1045" w:type="dxa"/>
            <w:tcBorders>
              <w:top w:val="nil"/>
              <w:left w:val="nil"/>
              <w:bottom w:val="single" w:sz="4" w:space="0" w:color="auto"/>
              <w:right w:val="single" w:sz="4" w:space="0" w:color="auto"/>
            </w:tcBorders>
            <w:shd w:val="clear" w:color="auto" w:fill="auto"/>
            <w:vAlign w:val="center"/>
            <w:hideMark/>
          </w:tcPr>
          <w:p w14:paraId="4635318C"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3.973.309</w:t>
            </w:r>
          </w:p>
        </w:tc>
        <w:tc>
          <w:tcPr>
            <w:tcW w:w="1131" w:type="dxa"/>
            <w:tcBorders>
              <w:top w:val="nil"/>
              <w:left w:val="nil"/>
              <w:bottom w:val="single" w:sz="4" w:space="0" w:color="auto"/>
              <w:right w:val="single" w:sz="4" w:space="0" w:color="auto"/>
            </w:tcBorders>
            <w:shd w:val="clear" w:color="auto" w:fill="auto"/>
            <w:vAlign w:val="center"/>
            <w:hideMark/>
          </w:tcPr>
          <w:p w14:paraId="01BA9244"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3.586</w:t>
            </w:r>
          </w:p>
        </w:tc>
        <w:tc>
          <w:tcPr>
            <w:tcW w:w="1253" w:type="dxa"/>
            <w:tcBorders>
              <w:top w:val="nil"/>
              <w:left w:val="nil"/>
              <w:bottom w:val="single" w:sz="4" w:space="0" w:color="auto"/>
              <w:right w:val="single" w:sz="4" w:space="0" w:color="auto"/>
            </w:tcBorders>
            <w:shd w:val="clear" w:color="auto" w:fill="auto"/>
            <w:vAlign w:val="center"/>
            <w:hideMark/>
          </w:tcPr>
          <w:p w14:paraId="6D89FC56"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180.634.418</w:t>
            </w:r>
          </w:p>
        </w:tc>
      </w:tr>
      <w:tr w:rsidR="00D847F2" w:rsidRPr="001B5B9E" w14:paraId="296F4662" w14:textId="77777777" w:rsidTr="00556699">
        <w:trPr>
          <w:trHeight w:val="27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046C955" w14:textId="77777777" w:rsidR="00D847F2" w:rsidRPr="001B5B9E" w:rsidRDefault="00D847F2" w:rsidP="00556699">
            <w:pPr>
              <w:spacing w:after="0" w:line="240" w:lineRule="auto"/>
              <w:jc w:val="center"/>
              <w:rPr>
                <w:rFonts w:ascii="Arial" w:eastAsia="Times New Roman" w:hAnsi="Arial" w:cs="Arial"/>
                <w:b/>
                <w:bCs/>
                <w:sz w:val="20"/>
                <w:szCs w:val="20"/>
                <w:lang w:eastAsia="sl-SI"/>
              </w:rPr>
            </w:pPr>
            <w:r w:rsidRPr="001B5B9E">
              <w:rPr>
                <w:rFonts w:ascii="Arial" w:eastAsia="Times New Roman" w:hAnsi="Arial" w:cs="Arial"/>
                <w:b/>
                <w:bCs/>
                <w:sz w:val="20"/>
                <w:szCs w:val="20"/>
                <w:lang w:eastAsia="sl-SI"/>
              </w:rPr>
              <w:t>2022</w:t>
            </w:r>
          </w:p>
        </w:tc>
        <w:tc>
          <w:tcPr>
            <w:tcW w:w="1304" w:type="dxa"/>
            <w:tcBorders>
              <w:top w:val="nil"/>
              <w:left w:val="nil"/>
              <w:bottom w:val="single" w:sz="4" w:space="0" w:color="auto"/>
              <w:right w:val="single" w:sz="4" w:space="0" w:color="auto"/>
            </w:tcBorders>
            <w:shd w:val="clear" w:color="auto" w:fill="auto"/>
            <w:vAlign w:val="center"/>
            <w:hideMark/>
          </w:tcPr>
          <w:p w14:paraId="26A6811F"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108.099.962</w:t>
            </w:r>
          </w:p>
        </w:tc>
        <w:tc>
          <w:tcPr>
            <w:tcW w:w="1497" w:type="dxa"/>
            <w:tcBorders>
              <w:top w:val="nil"/>
              <w:left w:val="nil"/>
              <w:bottom w:val="single" w:sz="4" w:space="0" w:color="auto"/>
              <w:right w:val="single" w:sz="4" w:space="0" w:color="auto"/>
            </w:tcBorders>
            <w:shd w:val="clear" w:color="auto" w:fill="auto"/>
            <w:vAlign w:val="center"/>
            <w:hideMark/>
          </w:tcPr>
          <w:p w14:paraId="5CB4416D"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22.154.237</w:t>
            </w:r>
          </w:p>
        </w:tc>
        <w:tc>
          <w:tcPr>
            <w:tcW w:w="1166" w:type="dxa"/>
            <w:tcBorders>
              <w:top w:val="nil"/>
              <w:left w:val="nil"/>
              <w:bottom w:val="single" w:sz="4" w:space="0" w:color="auto"/>
              <w:right w:val="single" w:sz="4" w:space="0" w:color="auto"/>
            </w:tcBorders>
            <w:shd w:val="clear" w:color="auto" w:fill="auto"/>
            <w:vAlign w:val="center"/>
            <w:hideMark/>
          </w:tcPr>
          <w:p w14:paraId="0A3ED129"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10.628.648</w:t>
            </w:r>
          </w:p>
        </w:tc>
        <w:tc>
          <w:tcPr>
            <w:tcW w:w="1045" w:type="dxa"/>
            <w:tcBorders>
              <w:top w:val="nil"/>
              <w:left w:val="nil"/>
              <w:bottom w:val="single" w:sz="4" w:space="0" w:color="auto"/>
              <w:right w:val="single" w:sz="4" w:space="0" w:color="auto"/>
            </w:tcBorders>
            <w:shd w:val="clear" w:color="auto" w:fill="auto"/>
            <w:vAlign w:val="center"/>
            <w:hideMark/>
          </w:tcPr>
          <w:p w14:paraId="26EACE37"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3.234.080</w:t>
            </w:r>
          </w:p>
        </w:tc>
        <w:tc>
          <w:tcPr>
            <w:tcW w:w="1131" w:type="dxa"/>
            <w:tcBorders>
              <w:top w:val="nil"/>
              <w:left w:val="nil"/>
              <w:bottom w:val="single" w:sz="4" w:space="0" w:color="auto"/>
              <w:right w:val="single" w:sz="4" w:space="0" w:color="auto"/>
            </w:tcBorders>
            <w:shd w:val="clear" w:color="auto" w:fill="auto"/>
            <w:vAlign w:val="center"/>
            <w:hideMark/>
          </w:tcPr>
          <w:p w14:paraId="18F5CFED" w14:textId="77777777" w:rsidR="00D847F2" w:rsidRPr="001B5B9E" w:rsidRDefault="00D847F2" w:rsidP="00556699">
            <w:pPr>
              <w:spacing w:after="0" w:line="240" w:lineRule="auto"/>
              <w:jc w:val="right"/>
              <w:rPr>
                <w:rFonts w:ascii="Arial" w:eastAsia="Times New Roman" w:hAnsi="Arial" w:cs="Arial"/>
                <w:color w:val="000000"/>
                <w:sz w:val="20"/>
                <w:szCs w:val="20"/>
                <w:lang w:eastAsia="sl-SI"/>
              </w:rPr>
            </w:pPr>
            <w:r w:rsidRPr="001B5B9E">
              <w:rPr>
                <w:rFonts w:ascii="Arial" w:eastAsia="Times New Roman" w:hAnsi="Arial" w:cs="Arial"/>
                <w:color w:val="000000"/>
                <w:sz w:val="20"/>
                <w:szCs w:val="20"/>
                <w:lang w:eastAsia="sl-SI"/>
              </w:rPr>
              <w:t>526.613</w:t>
            </w:r>
          </w:p>
        </w:tc>
        <w:tc>
          <w:tcPr>
            <w:tcW w:w="1253" w:type="dxa"/>
            <w:tcBorders>
              <w:top w:val="nil"/>
              <w:left w:val="nil"/>
              <w:bottom w:val="single" w:sz="4" w:space="0" w:color="auto"/>
              <w:right w:val="single" w:sz="4" w:space="0" w:color="auto"/>
            </w:tcBorders>
            <w:shd w:val="clear" w:color="auto" w:fill="auto"/>
            <w:vAlign w:val="center"/>
            <w:hideMark/>
          </w:tcPr>
          <w:p w14:paraId="29367690" w14:textId="77777777" w:rsidR="00D847F2" w:rsidRPr="001B5B9E" w:rsidRDefault="00D847F2" w:rsidP="00556699">
            <w:pPr>
              <w:spacing w:after="0" w:line="240" w:lineRule="auto"/>
              <w:jc w:val="right"/>
              <w:rPr>
                <w:rFonts w:ascii="Arial" w:eastAsia="Times New Roman" w:hAnsi="Arial" w:cs="Arial"/>
                <w:b/>
                <w:bCs/>
                <w:color w:val="000000"/>
                <w:sz w:val="20"/>
                <w:szCs w:val="20"/>
                <w:lang w:eastAsia="sl-SI"/>
              </w:rPr>
            </w:pPr>
            <w:r w:rsidRPr="001B5B9E">
              <w:rPr>
                <w:rFonts w:ascii="Arial" w:eastAsia="Times New Roman" w:hAnsi="Arial" w:cs="Arial"/>
                <w:b/>
                <w:bCs/>
                <w:color w:val="000000"/>
                <w:sz w:val="20"/>
                <w:szCs w:val="20"/>
                <w:lang w:eastAsia="sl-SI"/>
              </w:rPr>
              <w:t>144.643.540</w:t>
            </w:r>
          </w:p>
        </w:tc>
      </w:tr>
    </w:tbl>
    <w:p w14:paraId="2CEBEFCD" w14:textId="55FD2B8E"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216669">
        <w:rPr>
          <w:rFonts w:ascii="Arial" w:hAnsi="Arial" w:cs="Arial"/>
          <w:i/>
          <w:sz w:val="20"/>
          <w:szCs w:val="20"/>
        </w:rPr>
        <w:t>.</w:t>
      </w:r>
    </w:p>
    <w:p w14:paraId="725B48E9" w14:textId="0DDCC7A9" w:rsidR="00D847F2" w:rsidRDefault="00D847F2" w:rsidP="00D847F2">
      <w:pPr>
        <w:rPr>
          <w:rFonts w:ascii="Arial" w:hAnsi="Arial" w:cs="Arial"/>
          <w:b/>
        </w:rPr>
      </w:pPr>
      <w:r w:rsidRPr="00815C36">
        <w:rPr>
          <w:rFonts w:ascii="Arial" w:hAnsi="Arial" w:cs="Arial"/>
          <w:b/>
        </w:rPr>
        <w:t>5</w:t>
      </w:r>
      <w:r w:rsidR="00992912">
        <w:rPr>
          <w:rFonts w:ascii="Arial" w:hAnsi="Arial" w:cs="Arial"/>
          <w:b/>
        </w:rPr>
        <w:t xml:space="preserve">  </w:t>
      </w:r>
      <w:bookmarkStart w:id="17" w:name="_Hlk99717015"/>
      <w:r w:rsidR="00992912">
        <w:rPr>
          <w:rFonts w:ascii="Arial" w:hAnsi="Arial" w:cs="Arial"/>
          <w:b/>
        </w:rPr>
        <w:t xml:space="preserve"> </w:t>
      </w:r>
      <w:r w:rsidRPr="003216F7">
        <w:rPr>
          <w:rFonts w:ascii="Arial" w:hAnsi="Arial" w:cs="Arial"/>
          <w:b/>
        </w:rPr>
        <w:t>Plačilne ugodnosti</w:t>
      </w:r>
      <w:r w:rsidRPr="00163E99">
        <w:rPr>
          <w:rFonts w:ascii="Arial" w:hAnsi="Arial" w:cs="Arial"/>
          <w:b/>
        </w:rPr>
        <w:t xml:space="preserve"> </w:t>
      </w:r>
    </w:p>
    <w:p w14:paraId="330910C0" w14:textId="69E444C1" w:rsidR="00D847F2" w:rsidRDefault="00D847F2" w:rsidP="00D847F2">
      <w:pPr>
        <w:pStyle w:val="FURSNavaden"/>
        <w:rPr>
          <w:rFonts w:cs="Arial"/>
          <w:szCs w:val="20"/>
          <w:lang w:eastAsia="en-US"/>
        </w:rPr>
      </w:pPr>
      <w:r w:rsidRPr="006C6CC5">
        <w:rPr>
          <w:rFonts w:cs="Arial"/>
          <w:szCs w:val="20"/>
          <w:lang w:eastAsia="en-US"/>
        </w:rPr>
        <w:t>Odobritev plačilnih ugodnosti ima zaradi prestavitve roka zapadlosti posredno vpliv na davčni dolg. Zavezanci, ki so v finančni stiski, imajo v skladu z zakonodajo pravico do obročnega odplačevanja, odloga ali celo do odpisa davka.</w:t>
      </w:r>
    </w:p>
    <w:p w14:paraId="7DD46432" w14:textId="77777777" w:rsidR="00D847F2" w:rsidRPr="00C272D5" w:rsidRDefault="00D847F2" w:rsidP="00D847F2">
      <w:pPr>
        <w:pStyle w:val="FURSNavaden"/>
        <w:rPr>
          <w:rFonts w:cs="Arial"/>
          <w:szCs w:val="20"/>
          <w:lang w:eastAsia="en-US"/>
        </w:rPr>
      </w:pPr>
    </w:p>
    <w:p w14:paraId="5814D92F" w14:textId="752EA050" w:rsidR="00D847F2" w:rsidRDefault="00D847F2" w:rsidP="00D847F2">
      <w:pPr>
        <w:pStyle w:val="FURSNavaden"/>
      </w:pPr>
      <w:r w:rsidRPr="00843477">
        <w:t>Institut odloga oziroma obročnega plačevanja davka je urejen v 101., 102., 103., 104. in 110. členu ZDavP-2, podrobnejš</w:t>
      </w:r>
      <w:r>
        <w:t>a merila</w:t>
      </w:r>
      <w:r w:rsidRPr="00843477">
        <w:t xml:space="preserve"> pa določa Pravilnik o izvajanju Zakona o davčnem postopku</w:t>
      </w:r>
      <w:r w:rsidR="00885FCA">
        <w:t>.</w:t>
      </w:r>
      <w:r>
        <w:rPr>
          <w:rStyle w:val="Sprotnaopomba-sklic"/>
          <w:rFonts w:cs="Arial"/>
          <w:szCs w:val="20"/>
        </w:rPr>
        <w:footnoteReference w:id="12"/>
      </w:r>
    </w:p>
    <w:p w14:paraId="32DCC634" w14:textId="77777777" w:rsidR="00D847F2" w:rsidRPr="00843477" w:rsidRDefault="00D847F2" w:rsidP="00D847F2">
      <w:pPr>
        <w:pStyle w:val="FURSNavaden"/>
      </w:pPr>
    </w:p>
    <w:p w14:paraId="5AAC8278" w14:textId="77777777" w:rsidR="00D847F2" w:rsidRPr="00843477" w:rsidRDefault="00D847F2" w:rsidP="00D847F2">
      <w:pPr>
        <w:pStyle w:val="FURSNavaden"/>
      </w:pPr>
      <w:r w:rsidRPr="00843477">
        <w:t xml:space="preserve">FURS lahko fizičnim osebam na podlagi 101. člena ZDavP-2 dovoli odpis, delni odpis </w:t>
      </w:r>
      <w:r>
        <w:t>ali</w:t>
      </w:r>
      <w:r w:rsidRPr="00843477">
        <w:t xml:space="preserve"> odlog plačila davka za do dve let</w:t>
      </w:r>
      <w:r>
        <w:t>i</w:t>
      </w:r>
      <w:r w:rsidRPr="00843477">
        <w:t xml:space="preserve"> oziroma dovoli plačilo davka v največ 24 mesečnih obrokih v obdobju 24 mesecev, če bi </w:t>
      </w:r>
      <w:r>
        <w:t>bilo</w:t>
      </w:r>
      <w:r w:rsidRPr="00843477">
        <w:t xml:space="preserve"> </w:t>
      </w:r>
      <w:r>
        <w:t>zaradi</w:t>
      </w:r>
      <w:r w:rsidRPr="00843477">
        <w:t xml:space="preserve"> plačil</w:t>
      </w:r>
      <w:r>
        <w:t>a</w:t>
      </w:r>
      <w:r w:rsidRPr="00843477">
        <w:t xml:space="preserve"> davčne obveznosti lahko ogro</w:t>
      </w:r>
      <w:r>
        <w:t>ženo</w:t>
      </w:r>
      <w:r w:rsidRPr="00843477">
        <w:t xml:space="preserve"> preživljanje davčnega zavezanca in njegovih družinskih članov. </w:t>
      </w:r>
    </w:p>
    <w:p w14:paraId="27161DAC" w14:textId="77777777" w:rsidR="00D847F2" w:rsidRDefault="00D847F2" w:rsidP="00D847F2">
      <w:pPr>
        <w:pStyle w:val="FURSNavaden"/>
        <w:rPr>
          <w:rFonts w:cs="Arial"/>
          <w:szCs w:val="20"/>
        </w:rPr>
      </w:pPr>
    </w:p>
    <w:p w14:paraId="167D0E6D" w14:textId="18C9151A" w:rsidR="00D847F2" w:rsidRDefault="00D847F2" w:rsidP="00D847F2">
      <w:pPr>
        <w:pStyle w:val="FURSNavaden"/>
        <w:rPr>
          <w:rFonts w:cs="Arial"/>
          <w:szCs w:val="20"/>
        </w:rPr>
      </w:pPr>
      <w:r w:rsidRPr="00843477">
        <w:rPr>
          <w:rFonts w:cs="Arial"/>
          <w:szCs w:val="20"/>
        </w:rPr>
        <w:t>V skladu s 102. členom ZDavP-2 se poslovnim subjektom lahko odobri odlog plačila davka za največ 24 mesecev ali obročno plačilo v največ 24 mesečnih obrokih, če bi jim zaradi trajnejše nelikvidnosti ali izgube sposobnosti pridobivanja prihodkov iz razlogov, na katere</w:t>
      </w:r>
      <w:r>
        <w:rPr>
          <w:rFonts w:cs="Arial"/>
          <w:szCs w:val="20"/>
        </w:rPr>
        <w:t xml:space="preserve"> </w:t>
      </w:r>
      <w:r w:rsidRPr="00C92301">
        <w:rPr>
          <w:rFonts w:cs="Arial"/>
          <w:szCs w:val="20"/>
        </w:rPr>
        <w:t>davčni zavezanec ni mogel vplivati, nastala hujša gospodarska škoda in bi davčnemu zavezancu odlog in obročno plačevanje davka omogočil</w:t>
      </w:r>
      <w:r w:rsidR="00564CB8">
        <w:rPr>
          <w:rFonts w:cs="Arial"/>
          <w:szCs w:val="20"/>
        </w:rPr>
        <w:t>a</w:t>
      </w:r>
      <w:r w:rsidRPr="00C92301">
        <w:rPr>
          <w:rFonts w:cs="Arial"/>
          <w:szCs w:val="20"/>
        </w:rPr>
        <w:t xml:space="preserve"> preprečitev hujše gospodarske škode.</w:t>
      </w:r>
      <w:r>
        <w:rPr>
          <w:rFonts w:cs="Arial"/>
          <w:szCs w:val="20"/>
        </w:rPr>
        <w:t xml:space="preserve"> </w:t>
      </w:r>
      <w:r w:rsidRPr="00C92301">
        <w:rPr>
          <w:rFonts w:cs="Arial"/>
          <w:szCs w:val="20"/>
        </w:rPr>
        <w:t>FURS lahko dovoli plačilo davka v največ 60 mesečnih obrokih po drugem odstavku 102. člena ZDavP-2, če vlagatelj predloži pravnomočni sklep, s katerim je na podlagi zakona, ki ureja finančno poslovanje, postopke zaradi insolventnosti in postopke prisilnega prenehanja, potrjen sporazum o finančnem prestrukturiranju ali sklep o potrjeni poenostavljeni prisilni poravnavi.</w:t>
      </w:r>
    </w:p>
    <w:p w14:paraId="569F3540" w14:textId="77777777" w:rsidR="00D847F2" w:rsidRPr="00C92301" w:rsidRDefault="00D847F2" w:rsidP="00D847F2">
      <w:pPr>
        <w:pStyle w:val="FURSNavaden"/>
        <w:rPr>
          <w:rFonts w:cs="Arial"/>
          <w:szCs w:val="20"/>
        </w:rPr>
      </w:pPr>
    </w:p>
    <w:p w14:paraId="34CAC74B" w14:textId="753B399E" w:rsidR="00D847F2" w:rsidRDefault="00D847F2" w:rsidP="00D847F2">
      <w:pPr>
        <w:pStyle w:val="FURSNavaden"/>
      </w:pPr>
      <w:r w:rsidRPr="00C92301">
        <w:t>Ne glede na izpolnjevanje pogojev iz 101. in 102. člena ZDavP-2 lahko davčni organ v skladu s prvim odstavkom 103. člena ZDavP-2 dovoli plačilo davka v največ 24 mesečnih obrokih ali dovoli odlog za največ 24 mesecev davčnemu zavezancu, ki predloži ustrezn</w:t>
      </w:r>
      <w:r w:rsidR="005C0748">
        <w:t>i</w:t>
      </w:r>
      <w:r w:rsidRPr="00C92301">
        <w:t xml:space="preserve"> instrument zavarovanja iz 117. člena </w:t>
      </w:r>
      <w:r w:rsidRPr="007144F7">
        <w:t>ZDavP-2 ali dovoli vknjižbo zastavne pravice v ustrezni register.</w:t>
      </w:r>
    </w:p>
    <w:p w14:paraId="624C696D" w14:textId="77777777" w:rsidR="00D847F2" w:rsidRPr="007144F7" w:rsidRDefault="00D847F2" w:rsidP="00D847F2">
      <w:pPr>
        <w:pStyle w:val="FURSNavaden"/>
      </w:pPr>
    </w:p>
    <w:p w14:paraId="28756AFE" w14:textId="77777777" w:rsidR="00D847F2" w:rsidRDefault="00D847F2" w:rsidP="00D847F2">
      <w:pPr>
        <w:pStyle w:val="FURSNavaden"/>
      </w:pPr>
      <w:r w:rsidRPr="007144F7">
        <w:t xml:space="preserve">Na podlagi drugega odstavka 103. člena ZDavP-2 se lahko fizični osebi odobri obročno plačilo davka v največ treh mesečnih obrokih, če gre za davek, ki se ne nanaša na opravljanje dejavnosti. </w:t>
      </w:r>
      <w:r>
        <w:t>Večina</w:t>
      </w:r>
      <w:r w:rsidRPr="00087025">
        <w:t xml:space="preserve"> obročnih plačil se odobri po tej pravni podlagi za plačila letnega poračuna dohodnine. </w:t>
      </w:r>
    </w:p>
    <w:p w14:paraId="3B96576F" w14:textId="77777777" w:rsidR="00D847F2" w:rsidRPr="00087025" w:rsidRDefault="00D847F2" w:rsidP="00D847F2">
      <w:pPr>
        <w:pStyle w:val="FURSNavaden"/>
      </w:pPr>
    </w:p>
    <w:p w14:paraId="11A509E7" w14:textId="35129BC2" w:rsidR="00D847F2" w:rsidRPr="008A7060" w:rsidRDefault="00D847F2" w:rsidP="00D847F2">
      <w:pPr>
        <w:pStyle w:val="FURSNavaden"/>
      </w:pPr>
      <w:bookmarkStart w:id="18" w:name="_Hlk129344924"/>
      <w:r w:rsidRPr="008A7060">
        <w:lastRenderedPageBreak/>
        <w:t>K</w:t>
      </w:r>
      <w:r w:rsidR="005C0748">
        <w:t>akor</w:t>
      </w:r>
      <w:r w:rsidRPr="008A7060">
        <w:t xml:space="preserve"> je razvidno iz preglednice 12, je v letu 2022 število odobrenih zahtevkov za odlog plačila približno enako kot v preteklem letu oziroma večje za 2 odstotka, število odobrenih zahtevkov za obročno plačilo pa se je povečalo za 1.547 zahtevkov oziroma za 16,8 odstotka.</w:t>
      </w:r>
    </w:p>
    <w:p w14:paraId="0379AED3" w14:textId="77777777" w:rsidR="00D847F2" w:rsidRPr="008A7060" w:rsidRDefault="00D847F2" w:rsidP="00D847F2">
      <w:pPr>
        <w:pStyle w:val="FURSNavaden"/>
      </w:pPr>
    </w:p>
    <w:p w14:paraId="6E348833" w14:textId="25EE3C37" w:rsidR="00D847F2" w:rsidRPr="008A7060" w:rsidRDefault="00D847F2" w:rsidP="00D847F2">
      <w:pPr>
        <w:pStyle w:val="FURSNavaden"/>
        <w:rPr>
          <w:rFonts w:cs="Arial"/>
          <w:szCs w:val="20"/>
        </w:rPr>
      </w:pPr>
      <w:r w:rsidRPr="008A7060">
        <w:t>Znesek odloženih davčnih obveznosti se je v primerjavi z letom 2021 zmanjšal za 4.736.592 EUR oziroma 63,4 odstotka, znesek odobrenih obročnih plačil pa se je povečal za 142.806.516</w:t>
      </w:r>
      <w:r w:rsidR="001A2992" w:rsidRPr="008A7060">
        <w:t> EUR</w:t>
      </w:r>
      <w:r w:rsidRPr="008A7060">
        <w:t xml:space="preserve"> oziroma 491,8 odstotka, </w:t>
      </w:r>
      <w:r w:rsidRPr="008A7060">
        <w:rPr>
          <w:rFonts w:cs="Arial"/>
          <w:szCs w:val="20"/>
        </w:rPr>
        <w:t>predvsem kot posledica večjih zneskov odobrenih obročnih plačil za energetska podjetja.</w:t>
      </w:r>
    </w:p>
    <w:bookmarkEnd w:id="18"/>
    <w:p w14:paraId="705A0B87" w14:textId="77777777" w:rsidR="00D847F2" w:rsidRPr="006E7FB2" w:rsidRDefault="00D847F2" w:rsidP="00D847F2">
      <w:pPr>
        <w:pStyle w:val="FURSNavaden"/>
        <w:rPr>
          <w:color w:val="FF0000"/>
        </w:rPr>
      </w:pPr>
    </w:p>
    <w:p w14:paraId="497935C0" w14:textId="77777777" w:rsidR="00D847F2" w:rsidRDefault="00D847F2" w:rsidP="00D847F2">
      <w:pPr>
        <w:pStyle w:val="FURSNavaden"/>
        <w:tabs>
          <w:tab w:val="left" w:pos="6466"/>
        </w:tabs>
        <w:jc w:val="left"/>
        <w:rPr>
          <w:rFonts w:cs="Arial"/>
          <w:szCs w:val="20"/>
          <w:lang w:eastAsia="en-US"/>
        </w:rPr>
      </w:pPr>
      <w:r w:rsidRPr="00907842">
        <w:rPr>
          <w:rFonts w:cs="Arial"/>
          <w:i/>
          <w:iCs/>
          <w:szCs w:val="20"/>
          <w:lang w:eastAsia="en-US"/>
        </w:rPr>
        <w:t>Preglednica 12: Odlogi in obročno plačilo davka po ZDavP-2</w:t>
      </w:r>
    </w:p>
    <w:p w14:paraId="4A0FDC65" w14:textId="77777777" w:rsidR="00D847F2" w:rsidRDefault="00D847F2" w:rsidP="00D847F2">
      <w:pPr>
        <w:pStyle w:val="FURSNavaden"/>
        <w:tabs>
          <w:tab w:val="left" w:pos="6466"/>
        </w:tabs>
        <w:jc w:val="left"/>
        <w:rPr>
          <w:rFonts w:cs="Arial"/>
          <w:szCs w:val="20"/>
          <w:lang w:eastAsia="en-US"/>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1"/>
        <w:gridCol w:w="1216"/>
        <w:gridCol w:w="1243"/>
        <w:gridCol w:w="1216"/>
        <w:gridCol w:w="1243"/>
        <w:gridCol w:w="910"/>
        <w:gridCol w:w="1236"/>
      </w:tblGrid>
      <w:tr w:rsidR="00D847F2" w:rsidRPr="00A03253" w14:paraId="3E41220A" w14:textId="77777777" w:rsidTr="00556699">
        <w:trPr>
          <w:trHeight w:val="189"/>
        </w:trPr>
        <w:tc>
          <w:tcPr>
            <w:tcW w:w="2041" w:type="dxa"/>
            <w:vMerge w:val="restart"/>
            <w:shd w:val="clear" w:color="auto" w:fill="auto"/>
            <w:noWrap/>
            <w:vAlign w:val="center"/>
            <w:hideMark/>
          </w:tcPr>
          <w:p w14:paraId="5D86D9C5"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Vrsta zahtevka</w:t>
            </w:r>
          </w:p>
        </w:tc>
        <w:tc>
          <w:tcPr>
            <w:tcW w:w="2459" w:type="dxa"/>
            <w:gridSpan w:val="2"/>
            <w:shd w:val="clear" w:color="auto" w:fill="auto"/>
            <w:noWrap/>
            <w:vAlign w:val="center"/>
            <w:hideMark/>
          </w:tcPr>
          <w:p w14:paraId="195D348F"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2021</w:t>
            </w:r>
          </w:p>
        </w:tc>
        <w:tc>
          <w:tcPr>
            <w:tcW w:w="2459" w:type="dxa"/>
            <w:gridSpan w:val="2"/>
            <w:shd w:val="clear" w:color="auto" w:fill="auto"/>
            <w:noWrap/>
            <w:vAlign w:val="center"/>
            <w:hideMark/>
          </w:tcPr>
          <w:p w14:paraId="27B60B32" w14:textId="77777777" w:rsidR="00D847F2" w:rsidRPr="00A03253" w:rsidRDefault="00D847F2" w:rsidP="00556699">
            <w:pPr>
              <w:spacing w:after="0" w:line="240" w:lineRule="auto"/>
              <w:jc w:val="center"/>
              <w:rPr>
                <w:rFonts w:ascii="Arial" w:eastAsia="Times New Roman" w:hAnsi="Arial" w:cs="Arial"/>
                <w:b/>
                <w:bCs/>
                <w:sz w:val="18"/>
                <w:szCs w:val="18"/>
                <w:lang w:eastAsia="sl-SI"/>
              </w:rPr>
            </w:pPr>
            <w:r w:rsidRPr="00A03253">
              <w:rPr>
                <w:rFonts w:ascii="Arial" w:eastAsia="Times New Roman" w:hAnsi="Arial" w:cs="Arial"/>
                <w:b/>
                <w:bCs/>
                <w:sz w:val="18"/>
                <w:szCs w:val="18"/>
                <w:lang w:eastAsia="sl-SI"/>
              </w:rPr>
              <w:t>2022</w:t>
            </w:r>
          </w:p>
        </w:tc>
        <w:tc>
          <w:tcPr>
            <w:tcW w:w="2146" w:type="dxa"/>
            <w:gridSpan w:val="2"/>
            <w:shd w:val="clear" w:color="auto" w:fill="auto"/>
            <w:vAlign w:val="center"/>
            <w:hideMark/>
          </w:tcPr>
          <w:p w14:paraId="0DD84E51"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Indeks 2022/2021</w:t>
            </w:r>
          </w:p>
        </w:tc>
      </w:tr>
      <w:tr w:rsidR="00D847F2" w:rsidRPr="00A03253" w14:paraId="6234616C" w14:textId="77777777" w:rsidTr="00556699">
        <w:trPr>
          <w:trHeight w:val="647"/>
        </w:trPr>
        <w:tc>
          <w:tcPr>
            <w:tcW w:w="2041" w:type="dxa"/>
            <w:vMerge/>
            <w:vAlign w:val="center"/>
            <w:hideMark/>
          </w:tcPr>
          <w:p w14:paraId="63C39E57" w14:textId="77777777" w:rsidR="00D847F2" w:rsidRPr="00A03253" w:rsidRDefault="00D847F2" w:rsidP="00556699">
            <w:pPr>
              <w:spacing w:after="0" w:line="240" w:lineRule="auto"/>
              <w:rPr>
                <w:rFonts w:ascii="Arial" w:eastAsia="Times New Roman" w:hAnsi="Arial" w:cs="Arial"/>
                <w:b/>
                <w:bCs/>
                <w:color w:val="000000"/>
                <w:sz w:val="18"/>
                <w:szCs w:val="18"/>
                <w:lang w:eastAsia="sl-SI"/>
              </w:rPr>
            </w:pPr>
          </w:p>
        </w:tc>
        <w:tc>
          <w:tcPr>
            <w:tcW w:w="1216" w:type="dxa"/>
            <w:shd w:val="clear" w:color="auto" w:fill="auto"/>
            <w:vAlign w:val="center"/>
            <w:hideMark/>
          </w:tcPr>
          <w:p w14:paraId="629E5F19"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 xml:space="preserve">Število odobrenih zahtevkov </w:t>
            </w:r>
          </w:p>
        </w:tc>
        <w:tc>
          <w:tcPr>
            <w:tcW w:w="1243" w:type="dxa"/>
            <w:shd w:val="clear" w:color="auto" w:fill="auto"/>
            <w:vAlign w:val="center"/>
            <w:hideMark/>
          </w:tcPr>
          <w:p w14:paraId="70B326B5"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Znesek odobrenih zahtevkov (v EUR)</w:t>
            </w:r>
          </w:p>
        </w:tc>
        <w:tc>
          <w:tcPr>
            <w:tcW w:w="1216" w:type="dxa"/>
            <w:shd w:val="clear" w:color="auto" w:fill="auto"/>
            <w:vAlign w:val="center"/>
            <w:hideMark/>
          </w:tcPr>
          <w:p w14:paraId="23E0EBC9" w14:textId="77777777" w:rsidR="00D847F2" w:rsidRPr="00A03253" w:rsidRDefault="00D847F2" w:rsidP="00556699">
            <w:pPr>
              <w:spacing w:after="0" w:line="240" w:lineRule="auto"/>
              <w:jc w:val="center"/>
              <w:rPr>
                <w:rFonts w:ascii="Arial" w:eastAsia="Times New Roman" w:hAnsi="Arial" w:cs="Arial"/>
                <w:b/>
                <w:bCs/>
                <w:sz w:val="18"/>
                <w:szCs w:val="18"/>
                <w:lang w:eastAsia="sl-SI"/>
              </w:rPr>
            </w:pPr>
            <w:r w:rsidRPr="00A03253">
              <w:rPr>
                <w:rFonts w:ascii="Arial" w:eastAsia="Times New Roman" w:hAnsi="Arial" w:cs="Arial"/>
                <w:b/>
                <w:bCs/>
                <w:sz w:val="18"/>
                <w:szCs w:val="18"/>
                <w:lang w:eastAsia="sl-SI"/>
              </w:rPr>
              <w:t xml:space="preserve">Število odobrenih zahtevkov </w:t>
            </w:r>
          </w:p>
        </w:tc>
        <w:tc>
          <w:tcPr>
            <w:tcW w:w="1243" w:type="dxa"/>
            <w:shd w:val="clear" w:color="auto" w:fill="auto"/>
            <w:vAlign w:val="center"/>
            <w:hideMark/>
          </w:tcPr>
          <w:p w14:paraId="06C24594" w14:textId="3551895F" w:rsidR="00D847F2" w:rsidRPr="00A03253" w:rsidRDefault="00D847F2" w:rsidP="00556699">
            <w:pPr>
              <w:spacing w:after="0" w:line="240" w:lineRule="auto"/>
              <w:jc w:val="center"/>
              <w:rPr>
                <w:rFonts w:ascii="Arial" w:eastAsia="Times New Roman" w:hAnsi="Arial" w:cs="Arial"/>
                <w:b/>
                <w:bCs/>
                <w:sz w:val="18"/>
                <w:szCs w:val="18"/>
                <w:lang w:eastAsia="sl-SI"/>
              </w:rPr>
            </w:pPr>
            <w:r w:rsidRPr="00A03253">
              <w:rPr>
                <w:rFonts w:ascii="Arial" w:eastAsia="Times New Roman" w:hAnsi="Arial" w:cs="Arial"/>
                <w:b/>
                <w:bCs/>
                <w:sz w:val="18"/>
                <w:szCs w:val="18"/>
                <w:lang w:eastAsia="sl-SI"/>
              </w:rPr>
              <w:t>Znesek odobrenih zahtevkov</w:t>
            </w:r>
            <w:r w:rsidR="00992912">
              <w:rPr>
                <w:rFonts w:ascii="Arial" w:eastAsia="Times New Roman" w:hAnsi="Arial" w:cs="Arial"/>
                <w:b/>
                <w:bCs/>
                <w:sz w:val="18"/>
                <w:szCs w:val="18"/>
                <w:lang w:eastAsia="sl-SI"/>
              </w:rPr>
              <w:t xml:space="preserve">     </w:t>
            </w:r>
            <w:r w:rsidRPr="00A03253">
              <w:rPr>
                <w:rFonts w:ascii="Arial" w:eastAsia="Times New Roman" w:hAnsi="Arial" w:cs="Arial"/>
                <w:b/>
                <w:bCs/>
                <w:sz w:val="18"/>
                <w:szCs w:val="18"/>
                <w:lang w:eastAsia="sl-SI"/>
              </w:rPr>
              <w:t>(v EUR)</w:t>
            </w:r>
          </w:p>
        </w:tc>
        <w:tc>
          <w:tcPr>
            <w:tcW w:w="910" w:type="dxa"/>
            <w:shd w:val="clear" w:color="auto" w:fill="auto"/>
            <w:noWrap/>
            <w:vAlign w:val="center"/>
            <w:hideMark/>
          </w:tcPr>
          <w:p w14:paraId="65F40426"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Število</w:t>
            </w:r>
          </w:p>
        </w:tc>
        <w:tc>
          <w:tcPr>
            <w:tcW w:w="1235" w:type="dxa"/>
            <w:shd w:val="clear" w:color="auto" w:fill="auto"/>
            <w:noWrap/>
            <w:vAlign w:val="center"/>
            <w:hideMark/>
          </w:tcPr>
          <w:p w14:paraId="5D500749" w14:textId="77777777" w:rsidR="00D847F2" w:rsidRPr="00A03253" w:rsidRDefault="00D847F2" w:rsidP="00556699">
            <w:pPr>
              <w:spacing w:after="0" w:line="240" w:lineRule="auto"/>
              <w:jc w:val="center"/>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Znesek</w:t>
            </w:r>
          </w:p>
        </w:tc>
      </w:tr>
      <w:tr w:rsidR="00D847F2" w:rsidRPr="00A03253" w14:paraId="7E6DC131" w14:textId="77777777" w:rsidTr="00556699">
        <w:trPr>
          <w:trHeight w:val="189"/>
        </w:trPr>
        <w:tc>
          <w:tcPr>
            <w:tcW w:w="2041" w:type="dxa"/>
            <w:shd w:val="clear" w:color="auto" w:fill="93CFDD"/>
            <w:noWrap/>
            <w:vAlign w:val="center"/>
            <w:hideMark/>
          </w:tcPr>
          <w:p w14:paraId="0E8A4747" w14:textId="77777777" w:rsidR="00D847F2" w:rsidRPr="00A03253" w:rsidRDefault="00D847F2" w:rsidP="00556699">
            <w:pPr>
              <w:spacing w:after="0" w:line="240" w:lineRule="auto"/>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Odlog plačila</w:t>
            </w:r>
          </w:p>
        </w:tc>
        <w:tc>
          <w:tcPr>
            <w:tcW w:w="1216" w:type="dxa"/>
            <w:shd w:val="clear" w:color="000000" w:fill="93CFDD"/>
            <w:noWrap/>
            <w:hideMark/>
          </w:tcPr>
          <w:p w14:paraId="69DD1681" w14:textId="77777777" w:rsidR="00D847F2" w:rsidRPr="00A03253" w:rsidRDefault="00D847F2" w:rsidP="00556699">
            <w:pPr>
              <w:spacing w:after="0" w:line="240" w:lineRule="auto"/>
              <w:jc w:val="center"/>
              <w:rPr>
                <w:rFonts w:ascii="Arial" w:eastAsia="Times New Roman" w:hAnsi="Arial" w:cs="Arial"/>
                <w:b/>
                <w:bCs/>
                <w:sz w:val="18"/>
                <w:szCs w:val="18"/>
              </w:rPr>
            </w:pPr>
            <w:r w:rsidRPr="00A03253">
              <w:rPr>
                <w:rFonts w:ascii="Arial" w:hAnsi="Arial" w:cs="Arial"/>
                <w:b/>
                <w:bCs/>
                <w:sz w:val="18"/>
                <w:szCs w:val="18"/>
              </w:rPr>
              <w:t>153</w:t>
            </w:r>
          </w:p>
        </w:tc>
        <w:tc>
          <w:tcPr>
            <w:tcW w:w="1243" w:type="dxa"/>
            <w:shd w:val="clear" w:color="000000" w:fill="93CFDD"/>
            <w:noWrap/>
            <w:hideMark/>
          </w:tcPr>
          <w:p w14:paraId="61B5370A"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7.468.258</w:t>
            </w:r>
          </w:p>
        </w:tc>
        <w:tc>
          <w:tcPr>
            <w:tcW w:w="1216" w:type="dxa"/>
            <w:shd w:val="clear" w:color="000000" w:fill="93CFDD"/>
            <w:noWrap/>
            <w:hideMark/>
          </w:tcPr>
          <w:p w14:paraId="000D7538"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156</w:t>
            </w:r>
          </w:p>
        </w:tc>
        <w:tc>
          <w:tcPr>
            <w:tcW w:w="1243" w:type="dxa"/>
            <w:shd w:val="clear" w:color="000000" w:fill="93CFDD"/>
            <w:noWrap/>
            <w:hideMark/>
          </w:tcPr>
          <w:p w14:paraId="1F569F1E"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2.731.666</w:t>
            </w:r>
          </w:p>
        </w:tc>
        <w:tc>
          <w:tcPr>
            <w:tcW w:w="910" w:type="dxa"/>
            <w:shd w:val="clear" w:color="000000" w:fill="93CFDD"/>
            <w:noWrap/>
            <w:hideMark/>
          </w:tcPr>
          <w:p w14:paraId="5922F719"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102,0</w:t>
            </w:r>
          </w:p>
        </w:tc>
        <w:tc>
          <w:tcPr>
            <w:tcW w:w="1235" w:type="dxa"/>
            <w:shd w:val="clear" w:color="000000" w:fill="93CFDD"/>
            <w:noWrap/>
            <w:hideMark/>
          </w:tcPr>
          <w:p w14:paraId="2D6E6036"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36,6</w:t>
            </w:r>
          </w:p>
        </w:tc>
      </w:tr>
      <w:tr w:rsidR="00D847F2" w:rsidRPr="00A03253" w14:paraId="6E257D4F" w14:textId="77777777" w:rsidTr="00556699">
        <w:trPr>
          <w:trHeight w:val="189"/>
        </w:trPr>
        <w:tc>
          <w:tcPr>
            <w:tcW w:w="2041" w:type="dxa"/>
            <w:shd w:val="clear" w:color="auto" w:fill="auto"/>
            <w:noWrap/>
            <w:vAlign w:val="center"/>
            <w:hideMark/>
          </w:tcPr>
          <w:p w14:paraId="5399833D" w14:textId="77777777" w:rsidR="00D847F2" w:rsidRPr="00A03253" w:rsidRDefault="00D847F2" w:rsidP="00556699">
            <w:pPr>
              <w:spacing w:after="0" w:line="240" w:lineRule="auto"/>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 xml:space="preserve">od tega poslovnih subjektov </w:t>
            </w:r>
          </w:p>
        </w:tc>
        <w:tc>
          <w:tcPr>
            <w:tcW w:w="1216" w:type="dxa"/>
            <w:shd w:val="clear" w:color="auto" w:fill="auto"/>
            <w:noWrap/>
            <w:hideMark/>
          </w:tcPr>
          <w:p w14:paraId="434CA08A"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25</w:t>
            </w:r>
          </w:p>
        </w:tc>
        <w:tc>
          <w:tcPr>
            <w:tcW w:w="1243" w:type="dxa"/>
            <w:shd w:val="clear" w:color="auto" w:fill="auto"/>
            <w:noWrap/>
            <w:hideMark/>
          </w:tcPr>
          <w:p w14:paraId="6DB79EC1"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6.497.579</w:t>
            </w:r>
          </w:p>
        </w:tc>
        <w:tc>
          <w:tcPr>
            <w:tcW w:w="1216" w:type="dxa"/>
            <w:shd w:val="clear" w:color="auto" w:fill="auto"/>
            <w:noWrap/>
            <w:hideMark/>
          </w:tcPr>
          <w:p w14:paraId="38523D09"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66</w:t>
            </w:r>
          </w:p>
        </w:tc>
        <w:tc>
          <w:tcPr>
            <w:tcW w:w="1243" w:type="dxa"/>
            <w:shd w:val="clear" w:color="auto" w:fill="auto"/>
            <w:noWrap/>
            <w:hideMark/>
          </w:tcPr>
          <w:p w14:paraId="45FC63E7"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2.307.580</w:t>
            </w:r>
          </w:p>
        </w:tc>
        <w:tc>
          <w:tcPr>
            <w:tcW w:w="910" w:type="dxa"/>
            <w:shd w:val="clear" w:color="auto" w:fill="auto"/>
            <w:noWrap/>
            <w:hideMark/>
          </w:tcPr>
          <w:p w14:paraId="7E916264"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264,0</w:t>
            </w:r>
          </w:p>
        </w:tc>
        <w:tc>
          <w:tcPr>
            <w:tcW w:w="1235" w:type="dxa"/>
            <w:shd w:val="clear" w:color="auto" w:fill="auto"/>
            <w:noWrap/>
            <w:hideMark/>
          </w:tcPr>
          <w:p w14:paraId="2A788F7D"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35,5</w:t>
            </w:r>
          </w:p>
        </w:tc>
      </w:tr>
      <w:tr w:rsidR="00D847F2" w:rsidRPr="00A03253" w14:paraId="17E34611" w14:textId="77777777" w:rsidTr="00556699">
        <w:trPr>
          <w:trHeight w:val="189"/>
        </w:trPr>
        <w:tc>
          <w:tcPr>
            <w:tcW w:w="2041" w:type="dxa"/>
            <w:shd w:val="clear" w:color="auto" w:fill="93CFDD"/>
            <w:noWrap/>
            <w:vAlign w:val="center"/>
            <w:hideMark/>
          </w:tcPr>
          <w:p w14:paraId="2F4523CE" w14:textId="77777777" w:rsidR="00D847F2" w:rsidRPr="00A03253" w:rsidRDefault="00D847F2" w:rsidP="00556699">
            <w:pPr>
              <w:spacing w:after="0" w:line="240" w:lineRule="auto"/>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Obročno plačilo</w:t>
            </w:r>
          </w:p>
        </w:tc>
        <w:tc>
          <w:tcPr>
            <w:tcW w:w="1216" w:type="dxa"/>
            <w:shd w:val="clear" w:color="000000" w:fill="93CFDD"/>
            <w:noWrap/>
            <w:hideMark/>
          </w:tcPr>
          <w:p w14:paraId="0A7B6317"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9232</w:t>
            </w:r>
          </w:p>
        </w:tc>
        <w:tc>
          <w:tcPr>
            <w:tcW w:w="1243" w:type="dxa"/>
            <w:shd w:val="clear" w:color="000000" w:fill="93CFDD"/>
            <w:noWrap/>
            <w:hideMark/>
          </w:tcPr>
          <w:p w14:paraId="3A95273F"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29.036.367</w:t>
            </w:r>
          </w:p>
        </w:tc>
        <w:tc>
          <w:tcPr>
            <w:tcW w:w="1216" w:type="dxa"/>
            <w:shd w:val="clear" w:color="000000" w:fill="93CFDD"/>
            <w:noWrap/>
            <w:hideMark/>
          </w:tcPr>
          <w:p w14:paraId="070F7714"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1</w:t>
            </w:r>
            <w:r>
              <w:rPr>
                <w:rFonts w:ascii="Arial" w:hAnsi="Arial" w:cs="Arial"/>
                <w:b/>
                <w:bCs/>
                <w:sz w:val="18"/>
                <w:szCs w:val="18"/>
              </w:rPr>
              <w:t>.</w:t>
            </w:r>
            <w:r w:rsidRPr="00A03253">
              <w:rPr>
                <w:rFonts w:ascii="Arial" w:hAnsi="Arial" w:cs="Arial"/>
                <w:b/>
                <w:bCs/>
                <w:sz w:val="18"/>
                <w:szCs w:val="18"/>
              </w:rPr>
              <w:t>0779</w:t>
            </w:r>
          </w:p>
        </w:tc>
        <w:tc>
          <w:tcPr>
            <w:tcW w:w="1243" w:type="dxa"/>
            <w:shd w:val="clear" w:color="000000" w:fill="93CFDD"/>
            <w:noWrap/>
            <w:hideMark/>
          </w:tcPr>
          <w:p w14:paraId="7757EFE9"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171.842.883</w:t>
            </w:r>
          </w:p>
        </w:tc>
        <w:tc>
          <w:tcPr>
            <w:tcW w:w="910" w:type="dxa"/>
            <w:shd w:val="clear" w:color="000000" w:fill="93CFDD"/>
            <w:noWrap/>
            <w:hideMark/>
          </w:tcPr>
          <w:p w14:paraId="039BBFF3"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116,8</w:t>
            </w:r>
          </w:p>
        </w:tc>
        <w:tc>
          <w:tcPr>
            <w:tcW w:w="1235" w:type="dxa"/>
            <w:shd w:val="clear" w:color="000000" w:fill="93CFDD"/>
            <w:noWrap/>
            <w:hideMark/>
          </w:tcPr>
          <w:p w14:paraId="091F7BF6" w14:textId="77777777" w:rsidR="00D847F2" w:rsidRPr="00A03253" w:rsidRDefault="00D847F2" w:rsidP="00556699">
            <w:pPr>
              <w:jc w:val="center"/>
              <w:rPr>
                <w:rFonts w:ascii="Arial" w:hAnsi="Arial" w:cs="Arial"/>
                <w:b/>
                <w:bCs/>
                <w:sz w:val="18"/>
                <w:szCs w:val="18"/>
              </w:rPr>
            </w:pPr>
            <w:r w:rsidRPr="00A03253">
              <w:rPr>
                <w:rFonts w:ascii="Arial" w:hAnsi="Arial" w:cs="Arial"/>
                <w:b/>
                <w:bCs/>
                <w:sz w:val="18"/>
                <w:szCs w:val="18"/>
              </w:rPr>
              <w:t>591,8</w:t>
            </w:r>
          </w:p>
        </w:tc>
      </w:tr>
      <w:tr w:rsidR="00D847F2" w:rsidRPr="00A03253" w14:paraId="78AB83DB" w14:textId="77777777" w:rsidTr="00556699">
        <w:trPr>
          <w:trHeight w:val="189"/>
        </w:trPr>
        <w:tc>
          <w:tcPr>
            <w:tcW w:w="2041" w:type="dxa"/>
            <w:shd w:val="clear" w:color="auto" w:fill="auto"/>
            <w:noWrap/>
            <w:vAlign w:val="center"/>
            <w:hideMark/>
          </w:tcPr>
          <w:p w14:paraId="0503A869" w14:textId="77777777" w:rsidR="00D847F2" w:rsidRPr="00A03253" w:rsidRDefault="00D847F2" w:rsidP="00556699">
            <w:pPr>
              <w:spacing w:after="0" w:line="240" w:lineRule="auto"/>
              <w:rPr>
                <w:rFonts w:ascii="Arial" w:eastAsia="Times New Roman" w:hAnsi="Arial" w:cs="Arial"/>
                <w:b/>
                <w:bCs/>
                <w:color w:val="000000"/>
                <w:sz w:val="18"/>
                <w:szCs w:val="18"/>
                <w:lang w:eastAsia="sl-SI"/>
              </w:rPr>
            </w:pPr>
            <w:r w:rsidRPr="00A03253">
              <w:rPr>
                <w:rFonts w:ascii="Arial" w:eastAsia="Times New Roman" w:hAnsi="Arial" w:cs="Arial"/>
                <w:b/>
                <w:bCs/>
                <w:color w:val="000000"/>
                <w:sz w:val="18"/>
                <w:szCs w:val="18"/>
                <w:lang w:eastAsia="sl-SI"/>
              </w:rPr>
              <w:t>od tega poslovnih subjektov</w:t>
            </w:r>
          </w:p>
        </w:tc>
        <w:tc>
          <w:tcPr>
            <w:tcW w:w="1216" w:type="dxa"/>
            <w:shd w:val="clear" w:color="auto" w:fill="auto"/>
            <w:noWrap/>
            <w:hideMark/>
          </w:tcPr>
          <w:p w14:paraId="78607A64"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128</w:t>
            </w:r>
          </w:p>
        </w:tc>
        <w:tc>
          <w:tcPr>
            <w:tcW w:w="1243" w:type="dxa"/>
            <w:shd w:val="clear" w:color="auto" w:fill="auto"/>
            <w:noWrap/>
            <w:hideMark/>
          </w:tcPr>
          <w:p w14:paraId="28443BA6"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14.449.268</w:t>
            </w:r>
          </w:p>
        </w:tc>
        <w:tc>
          <w:tcPr>
            <w:tcW w:w="1216" w:type="dxa"/>
            <w:shd w:val="clear" w:color="auto" w:fill="auto"/>
            <w:noWrap/>
            <w:hideMark/>
          </w:tcPr>
          <w:p w14:paraId="5CB129BE"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426</w:t>
            </w:r>
          </w:p>
        </w:tc>
        <w:tc>
          <w:tcPr>
            <w:tcW w:w="1243" w:type="dxa"/>
            <w:shd w:val="clear" w:color="auto" w:fill="auto"/>
            <w:noWrap/>
            <w:hideMark/>
          </w:tcPr>
          <w:p w14:paraId="139B4115"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154.096.154</w:t>
            </w:r>
          </w:p>
        </w:tc>
        <w:tc>
          <w:tcPr>
            <w:tcW w:w="910" w:type="dxa"/>
            <w:shd w:val="clear" w:color="auto" w:fill="auto"/>
            <w:noWrap/>
            <w:hideMark/>
          </w:tcPr>
          <w:p w14:paraId="461C7B0D"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332,8</w:t>
            </w:r>
          </w:p>
        </w:tc>
        <w:tc>
          <w:tcPr>
            <w:tcW w:w="1235" w:type="dxa"/>
            <w:shd w:val="clear" w:color="auto" w:fill="auto"/>
            <w:noWrap/>
            <w:hideMark/>
          </w:tcPr>
          <w:p w14:paraId="4DA972F2" w14:textId="77777777" w:rsidR="00D847F2" w:rsidRPr="00A03253" w:rsidRDefault="00D847F2" w:rsidP="00556699">
            <w:pPr>
              <w:jc w:val="center"/>
              <w:rPr>
                <w:rFonts w:ascii="Arial" w:hAnsi="Arial" w:cs="Arial"/>
                <w:sz w:val="18"/>
                <w:szCs w:val="18"/>
              </w:rPr>
            </w:pPr>
            <w:r w:rsidRPr="00A03253">
              <w:rPr>
                <w:rFonts w:ascii="Arial" w:hAnsi="Arial" w:cs="Arial"/>
                <w:sz w:val="18"/>
                <w:szCs w:val="18"/>
              </w:rPr>
              <w:t>1.066,5</w:t>
            </w:r>
          </w:p>
        </w:tc>
      </w:tr>
    </w:tbl>
    <w:p w14:paraId="66EE4F82" w14:textId="7A2D917B" w:rsidR="00D847F2" w:rsidRDefault="00D847F2" w:rsidP="00D847F2">
      <w:pPr>
        <w:spacing w:after="0"/>
        <w:jc w:val="both"/>
        <w:rPr>
          <w:rFonts w:ascii="Arial" w:hAnsi="Arial" w:cs="Arial"/>
          <w:i/>
          <w:iCs/>
          <w:sz w:val="20"/>
          <w:szCs w:val="20"/>
        </w:rPr>
      </w:pPr>
      <w:r w:rsidRPr="00C92301">
        <w:rPr>
          <w:rFonts w:ascii="Arial" w:hAnsi="Arial" w:cs="Arial"/>
          <w:i/>
          <w:iCs/>
          <w:sz w:val="20"/>
          <w:szCs w:val="20"/>
        </w:rPr>
        <w:t>Vir: FURS</w:t>
      </w:r>
      <w:r w:rsidR="005C0748">
        <w:rPr>
          <w:rFonts w:ascii="Arial" w:hAnsi="Arial" w:cs="Arial"/>
          <w:i/>
          <w:iCs/>
          <w:sz w:val="20"/>
          <w:szCs w:val="20"/>
        </w:rPr>
        <w:t xml:space="preserve">. </w:t>
      </w:r>
    </w:p>
    <w:p w14:paraId="5F6D1E3E" w14:textId="77777777" w:rsidR="00D847F2" w:rsidRDefault="00D847F2" w:rsidP="00D847F2">
      <w:pPr>
        <w:pStyle w:val="FURSNavaden"/>
      </w:pPr>
      <w:r w:rsidRPr="00075D84">
        <w:t>V zvezi s postopki odloga in obročnega plačevanja davka ni dovoljeno odložiti oziroma dovoliti obročnega plačila za akontacije davka, davčn</w:t>
      </w:r>
      <w:r>
        <w:t>e</w:t>
      </w:r>
      <w:r w:rsidRPr="00075D84">
        <w:t xml:space="preserve"> odtegljaj</w:t>
      </w:r>
      <w:r>
        <w:t>e</w:t>
      </w:r>
      <w:r w:rsidRPr="00075D84">
        <w:t>, prispevke za pokojninsko in invalidsko zavarovanje, prispevke za zdravstveno zavarovanje, globe in stroške postopka o prekršku, obveznosti, za katere davčni organ vodi samo izvršbo in ne vodi knjigovodskih evidenc</w:t>
      </w:r>
      <w:r>
        <w:t>,</w:t>
      </w:r>
      <w:r w:rsidRPr="00075D84">
        <w:t xml:space="preserve"> ter za obveznosti, na katere učinkuje postopek zaradi insolventnosti. </w:t>
      </w:r>
    </w:p>
    <w:p w14:paraId="782E1F90" w14:textId="77777777" w:rsidR="00D847F2" w:rsidRDefault="00D847F2" w:rsidP="00D847F2">
      <w:pPr>
        <w:pStyle w:val="FURSNavaden"/>
      </w:pPr>
    </w:p>
    <w:p w14:paraId="1C7DDEDC" w14:textId="77777777" w:rsidR="00D847F2" w:rsidRDefault="00D847F2" w:rsidP="00D847F2">
      <w:pPr>
        <w:pStyle w:val="FURSNavaden"/>
      </w:pPr>
      <w:r w:rsidRPr="00075D84">
        <w:t>V prim</w:t>
      </w:r>
      <w:r>
        <w:t xml:space="preserve">eru glob in stroškov postopka o </w:t>
      </w:r>
      <w:r w:rsidRPr="00075D84">
        <w:t>prekršku se lahko odobri le obročno odplačilo v skladu z določbami zakona, ki ureja prekrške.</w:t>
      </w:r>
      <w:r w:rsidRPr="009C2EB8">
        <w:t xml:space="preserve"> </w:t>
      </w:r>
    </w:p>
    <w:p w14:paraId="23DB6807" w14:textId="77777777" w:rsidR="00D847F2" w:rsidRDefault="00D847F2" w:rsidP="00D847F2">
      <w:pPr>
        <w:pStyle w:val="FURSNavaden"/>
      </w:pPr>
    </w:p>
    <w:p w14:paraId="3332A0AC" w14:textId="77777777" w:rsidR="00D847F2" w:rsidRDefault="00D847F2" w:rsidP="00D847F2">
      <w:pPr>
        <w:pStyle w:val="FURSNavaden"/>
        <w:rPr>
          <w:b/>
          <w:bCs/>
          <w:i/>
          <w:iCs/>
        </w:rPr>
      </w:pPr>
      <w:r w:rsidRPr="001D1E58">
        <w:rPr>
          <w:b/>
          <w:bCs/>
          <w:i/>
          <w:iCs/>
        </w:rPr>
        <w:t xml:space="preserve">Izvajanje ukrepov, povezanih z epidemijo </w:t>
      </w:r>
      <w:r>
        <w:rPr>
          <w:rFonts w:cs="Arial"/>
          <w:b/>
          <w:bCs/>
          <w:i/>
          <w:iCs/>
          <w:szCs w:val="20"/>
        </w:rPr>
        <w:t>covida</w:t>
      </w:r>
      <w:r w:rsidRPr="001D1E58">
        <w:rPr>
          <w:rFonts w:cs="Arial"/>
          <w:b/>
          <w:bCs/>
          <w:i/>
          <w:iCs/>
          <w:szCs w:val="20"/>
        </w:rPr>
        <w:t>-19</w:t>
      </w:r>
    </w:p>
    <w:p w14:paraId="384AAEF1" w14:textId="77777777" w:rsidR="00D847F2" w:rsidRPr="001D1E58" w:rsidRDefault="00D847F2" w:rsidP="00D847F2">
      <w:pPr>
        <w:pStyle w:val="FURSNavaden"/>
      </w:pPr>
    </w:p>
    <w:p w14:paraId="24261FD4" w14:textId="403F1348" w:rsidR="00D847F2" w:rsidRPr="00FE3490" w:rsidRDefault="00D847F2" w:rsidP="00D847F2">
      <w:pPr>
        <w:pStyle w:val="FURSNavaden"/>
        <w:rPr>
          <w:rFonts w:cs="Arial"/>
          <w:bCs/>
          <w:iCs/>
          <w:szCs w:val="20"/>
        </w:rPr>
      </w:pPr>
      <w:r w:rsidRPr="00FE3490">
        <w:rPr>
          <w:rFonts w:cs="Arial"/>
          <w:bCs/>
          <w:iCs/>
          <w:szCs w:val="20"/>
        </w:rPr>
        <w:t xml:space="preserve">Na podlagi 67. člena ZIUOPDVE je bilo poslovnim subjektom, ki so izgubili sposobnost pridobivanja prihodkov zaradi epidemije, omogočeno lažje uveljavljanje pravice do odloga </w:t>
      </w:r>
      <w:r w:rsidR="005C0748">
        <w:rPr>
          <w:rFonts w:cs="Arial"/>
          <w:bCs/>
          <w:iCs/>
          <w:szCs w:val="20"/>
        </w:rPr>
        <w:t>ter</w:t>
      </w:r>
      <w:r w:rsidR="005C0748" w:rsidRPr="00FE3490">
        <w:rPr>
          <w:rFonts w:cs="Arial"/>
          <w:bCs/>
          <w:iCs/>
          <w:szCs w:val="20"/>
        </w:rPr>
        <w:t xml:space="preserve"> </w:t>
      </w:r>
      <w:r w:rsidRPr="00FE3490">
        <w:rPr>
          <w:rFonts w:cs="Arial"/>
          <w:bCs/>
          <w:iCs/>
          <w:szCs w:val="20"/>
        </w:rPr>
        <w:t xml:space="preserve">obročnega plačila davkov in prispevkov za socialno varnost. Ukrepi po ZIUOPDVE so veljali do vključno 30. </w:t>
      </w:r>
      <w:r w:rsidR="005C0748">
        <w:rPr>
          <w:rFonts w:cs="Arial"/>
          <w:bCs/>
          <w:iCs/>
          <w:szCs w:val="20"/>
        </w:rPr>
        <w:t>junija</w:t>
      </w:r>
      <w:r w:rsidRPr="00FE3490">
        <w:rPr>
          <w:rFonts w:cs="Arial"/>
          <w:bCs/>
          <w:iCs/>
          <w:szCs w:val="20"/>
        </w:rPr>
        <w:t xml:space="preserve"> 2021.</w:t>
      </w:r>
    </w:p>
    <w:p w14:paraId="659FDE68" w14:textId="77777777" w:rsidR="00D847F2" w:rsidRPr="000078B1" w:rsidRDefault="00D847F2" w:rsidP="00D847F2">
      <w:pPr>
        <w:pStyle w:val="FURSNavaden"/>
        <w:rPr>
          <w:rFonts w:cs="Arial"/>
          <w:bCs/>
          <w:iCs/>
          <w:szCs w:val="20"/>
        </w:rPr>
      </w:pPr>
    </w:p>
    <w:p w14:paraId="4124262E" w14:textId="31AD2015" w:rsidR="00D847F2" w:rsidRDefault="00D847F2" w:rsidP="00D847F2">
      <w:pPr>
        <w:pStyle w:val="FURSNavaden"/>
        <w:rPr>
          <w:rFonts w:cs="Arial"/>
          <w:bCs/>
          <w:iCs/>
          <w:szCs w:val="20"/>
        </w:rPr>
      </w:pPr>
      <w:r w:rsidRPr="000078B1">
        <w:rPr>
          <w:rFonts w:cs="Arial"/>
          <w:bCs/>
          <w:iCs/>
          <w:szCs w:val="20"/>
        </w:rPr>
        <w:t xml:space="preserve">Znesek odprtih nedospelih obrokov in odlogov na podlagi 67. člena ZIUOPDVE, ki zapadejo v plačilo po 1. </w:t>
      </w:r>
      <w:r w:rsidR="003E635B">
        <w:rPr>
          <w:rFonts w:cs="Arial"/>
          <w:bCs/>
          <w:iCs/>
          <w:szCs w:val="20"/>
        </w:rPr>
        <w:t>januarju</w:t>
      </w:r>
      <w:r w:rsidRPr="000078B1">
        <w:rPr>
          <w:rFonts w:cs="Arial"/>
          <w:bCs/>
          <w:iCs/>
          <w:szCs w:val="20"/>
        </w:rPr>
        <w:t xml:space="preserve"> 2023, </w:t>
      </w:r>
      <w:r w:rsidR="00180BB6">
        <w:rPr>
          <w:rFonts w:cs="Arial"/>
          <w:bCs/>
          <w:iCs/>
          <w:szCs w:val="20"/>
        </w:rPr>
        <w:t xml:space="preserve">je </w:t>
      </w:r>
      <w:r w:rsidRPr="000078B1">
        <w:rPr>
          <w:rFonts w:cs="Arial"/>
          <w:bCs/>
          <w:iCs/>
          <w:szCs w:val="20"/>
        </w:rPr>
        <w:t xml:space="preserve">na dan 31. </w:t>
      </w:r>
      <w:r w:rsidR="003E635B">
        <w:rPr>
          <w:rFonts w:cs="Arial"/>
          <w:bCs/>
          <w:iCs/>
          <w:szCs w:val="20"/>
        </w:rPr>
        <w:t>december</w:t>
      </w:r>
      <w:r w:rsidRPr="000078B1">
        <w:rPr>
          <w:rFonts w:cs="Arial"/>
          <w:bCs/>
          <w:iCs/>
          <w:szCs w:val="20"/>
        </w:rPr>
        <w:t xml:space="preserve"> 2022</w:t>
      </w:r>
      <w:r w:rsidR="00180BB6">
        <w:rPr>
          <w:rFonts w:cs="Arial"/>
          <w:bCs/>
          <w:iCs/>
          <w:szCs w:val="20"/>
        </w:rPr>
        <w:t>:</w:t>
      </w:r>
      <w:r w:rsidRPr="000078B1">
        <w:rPr>
          <w:rFonts w:cs="Arial"/>
          <w:bCs/>
          <w:iCs/>
          <w:szCs w:val="20"/>
        </w:rPr>
        <w:t xml:space="preserve"> 17.099.712</w:t>
      </w:r>
      <w:r w:rsidR="001A2992" w:rsidRPr="000078B1">
        <w:rPr>
          <w:rFonts w:cs="Arial"/>
          <w:bCs/>
          <w:iCs/>
          <w:szCs w:val="20"/>
        </w:rPr>
        <w:t> EUR</w:t>
      </w:r>
      <w:r w:rsidRPr="000078B1">
        <w:rPr>
          <w:rFonts w:cs="Arial"/>
          <w:bCs/>
          <w:iCs/>
          <w:szCs w:val="20"/>
        </w:rPr>
        <w:t>.</w:t>
      </w:r>
    </w:p>
    <w:p w14:paraId="22D989DB" w14:textId="77777777" w:rsidR="00D847F2" w:rsidRPr="000078B1" w:rsidRDefault="00D847F2" w:rsidP="00D847F2">
      <w:pPr>
        <w:pStyle w:val="FURSNavaden"/>
        <w:rPr>
          <w:rFonts w:cs="Arial"/>
          <w:bCs/>
          <w:iCs/>
          <w:szCs w:val="20"/>
        </w:rPr>
      </w:pPr>
    </w:p>
    <w:p w14:paraId="34BCBD03"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6BC6E8A"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03F54BCC"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0D559415"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5F8BC34D"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46D99C48"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014518E"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31620B5"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64B542C"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CEF3F8D"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6AE56A6A"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200D7D74" w14:textId="77777777" w:rsidR="00247C3E" w:rsidRDefault="00247C3E"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p w14:paraId="0E8A538E" w14:textId="7E305A84" w:rsidR="00D847F2" w:rsidRPr="00693A7D" w:rsidRDefault="00D847F2" w:rsidP="00D847F2">
      <w:pPr>
        <w:autoSpaceDE w:val="0"/>
        <w:autoSpaceDN w:val="0"/>
        <w:adjustRightInd w:val="0"/>
        <w:spacing w:after="0" w:line="260" w:lineRule="atLeast"/>
        <w:jc w:val="both"/>
        <w:rPr>
          <w:rFonts w:ascii="Arial" w:eastAsia="AvantGarGotItcTOT-BooObl" w:hAnsi="Arial" w:cs="Arial"/>
          <w:i/>
          <w:iCs/>
          <w:sz w:val="20"/>
          <w:szCs w:val="20"/>
          <w:lang w:eastAsia="sl-SI"/>
        </w:rPr>
      </w:pPr>
      <w:r w:rsidRPr="007F178B">
        <w:rPr>
          <w:rFonts w:ascii="Arial" w:eastAsia="AvantGarGotItcTOT-BooObl" w:hAnsi="Arial" w:cs="Arial"/>
          <w:i/>
          <w:iCs/>
          <w:sz w:val="20"/>
          <w:szCs w:val="20"/>
          <w:lang w:eastAsia="sl-SI"/>
        </w:rPr>
        <w:lastRenderedPageBreak/>
        <w:t>Preglednica 13: Stanj</w:t>
      </w:r>
      <w:r w:rsidRPr="000078B1">
        <w:rPr>
          <w:rFonts w:ascii="Arial" w:eastAsia="AvantGarGotItcTOT-BooObl" w:hAnsi="Arial" w:cs="Arial"/>
          <w:i/>
          <w:iCs/>
          <w:sz w:val="20"/>
          <w:szCs w:val="20"/>
          <w:lang w:eastAsia="sl-SI"/>
        </w:rPr>
        <w:t xml:space="preserve">e odprtih nedospelih obrokov in odlogov po ZIUOPDVE </w:t>
      </w:r>
      <w:r w:rsidR="00180BB6">
        <w:rPr>
          <w:rFonts w:ascii="Arial" w:eastAsia="AvantGarGotItcTOT-BooObl" w:hAnsi="Arial" w:cs="Arial"/>
          <w:i/>
          <w:iCs/>
          <w:sz w:val="20"/>
          <w:szCs w:val="20"/>
          <w:lang w:eastAsia="sl-SI"/>
        </w:rPr>
        <w:t>(</w:t>
      </w:r>
      <w:r w:rsidRPr="00693A7D">
        <w:rPr>
          <w:rFonts w:ascii="Arial" w:eastAsia="AvantGarGotItcTOT-BooObl" w:hAnsi="Arial" w:cs="Arial"/>
          <w:i/>
          <w:iCs/>
          <w:sz w:val="20"/>
          <w:szCs w:val="20"/>
          <w:lang w:eastAsia="sl-SI"/>
        </w:rPr>
        <w:t>v EUR</w:t>
      </w:r>
      <w:r w:rsidR="00180BB6">
        <w:rPr>
          <w:rFonts w:ascii="Arial" w:eastAsia="AvantGarGotItcTOT-BooObl" w:hAnsi="Arial" w:cs="Arial"/>
          <w:i/>
          <w:iCs/>
          <w:sz w:val="20"/>
          <w:szCs w:val="20"/>
          <w:lang w:eastAsia="sl-SI"/>
        </w:rPr>
        <w:t>)</w:t>
      </w:r>
    </w:p>
    <w:p w14:paraId="6BB41C84" w14:textId="77777777" w:rsidR="00D847F2" w:rsidRDefault="00D847F2" w:rsidP="00D847F2">
      <w:pPr>
        <w:autoSpaceDE w:val="0"/>
        <w:autoSpaceDN w:val="0"/>
        <w:adjustRightInd w:val="0"/>
        <w:spacing w:after="0" w:line="260" w:lineRule="atLeast"/>
        <w:jc w:val="both"/>
        <w:rPr>
          <w:rFonts w:ascii="Arial" w:eastAsia="AvantGarGotItcTOT-BooObl" w:hAnsi="Arial" w:cs="Arial"/>
          <w:i/>
          <w:iCs/>
          <w:sz w:val="20"/>
          <w:szCs w:val="20"/>
          <w:lang w:eastAsia="sl-SI"/>
        </w:rPr>
      </w:pPr>
    </w:p>
    <w:tbl>
      <w:tblPr>
        <w:tblW w:w="8420" w:type="dxa"/>
        <w:tblCellMar>
          <w:top w:w="15" w:type="dxa"/>
          <w:left w:w="70" w:type="dxa"/>
          <w:right w:w="70" w:type="dxa"/>
        </w:tblCellMar>
        <w:tblLook w:val="04A0" w:firstRow="1" w:lastRow="0" w:firstColumn="1" w:lastColumn="0" w:noHBand="0" w:noVBand="1"/>
      </w:tblPr>
      <w:tblGrid>
        <w:gridCol w:w="1950"/>
        <w:gridCol w:w="2098"/>
        <w:gridCol w:w="2098"/>
        <w:gridCol w:w="2006"/>
        <w:gridCol w:w="268"/>
      </w:tblGrid>
      <w:tr w:rsidR="00D847F2" w:rsidRPr="00693A7D" w14:paraId="13BA50A2" w14:textId="77777777" w:rsidTr="00556699">
        <w:trPr>
          <w:gridAfter w:val="1"/>
          <w:wAfter w:w="268" w:type="dxa"/>
          <w:trHeight w:val="1058"/>
        </w:trPr>
        <w:tc>
          <w:tcPr>
            <w:tcW w:w="1950"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14:paraId="77B6DB0D" w14:textId="77777777" w:rsidR="00D847F2" w:rsidRPr="00693A7D" w:rsidRDefault="00D847F2" w:rsidP="00556699">
            <w:pPr>
              <w:spacing w:after="0" w:line="240" w:lineRule="auto"/>
              <w:jc w:val="center"/>
              <w:rPr>
                <w:rFonts w:ascii="Arial" w:eastAsia="Times New Roman" w:hAnsi="Arial" w:cs="Arial"/>
                <w:b/>
                <w:bCs/>
                <w:color w:val="FFFFFF"/>
                <w:sz w:val="18"/>
                <w:szCs w:val="18"/>
                <w:lang w:eastAsia="sl-SI"/>
              </w:rPr>
            </w:pPr>
            <w:r w:rsidRPr="00693A7D">
              <w:rPr>
                <w:rFonts w:ascii="Arial" w:eastAsia="Times New Roman" w:hAnsi="Arial" w:cs="Arial"/>
                <w:b/>
                <w:bCs/>
                <w:color w:val="FFFFFF"/>
                <w:sz w:val="18"/>
                <w:szCs w:val="18"/>
                <w:lang w:eastAsia="sl-SI"/>
              </w:rPr>
              <w:t>PRAVNA PODLAGA</w:t>
            </w:r>
          </w:p>
        </w:tc>
        <w:tc>
          <w:tcPr>
            <w:tcW w:w="2098" w:type="dxa"/>
            <w:tcBorders>
              <w:top w:val="single" w:sz="4" w:space="0" w:color="auto"/>
              <w:left w:val="nil"/>
              <w:bottom w:val="single" w:sz="4" w:space="0" w:color="auto"/>
              <w:right w:val="single" w:sz="4" w:space="0" w:color="auto"/>
            </w:tcBorders>
            <w:shd w:val="clear" w:color="000000" w:fill="31849B"/>
            <w:vAlign w:val="center"/>
            <w:hideMark/>
          </w:tcPr>
          <w:p w14:paraId="3CFE7F87" w14:textId="01AFAC43" w:rsidR="00D847F2" w:rsidRPr="00693A7D" w:rsidRDefault="00D847F2" w:rsidP="00556699">
            <w:pPr>
              <w:spacing w:after="0" w:line="240" w:lineRule="auto"/>
              <w:jc w:val="center"/>
              <w:rPr>
                <w:rFonts w:ascii="Arial" w:eastAsia="Times New Roman" w:hAnsi="Arial" w:cs="Arial"/>
                <w:b/>
                <w:bCs/>
                <w:color w:val="FFFFFF"/>
                <w:sz w:val="18"/>
                <w:szCs w:val="18"/>
                <w:lang w:eastAsia="sl-SI"/>
              </w:rPr>
            </w:pPr>
            <w:r w:rsidRPr="00693A7D">
              <w:rPr>
                <w:rFonts w:ascii="Arial" w:eastAsia="Times New Roman" w:hAnsi="Arial" w:cs="Arial"/>
                <w:b/>
                <w:bCs/>
                <w:color w:val="FFFFFF"/>
                <w:sz w:val="18"/>
                <w:szCs w:val="18"/>
                <w:lang w:eastAsia="sl-SI"/>
              </w:rPr>
              <w:t xml:space="preserve">Znesek odprtih nedospelih obrokov in odlogov na dan </w:t>
            </w:r>
            <w:r w:rsidR="001A2992" w:rsidRPr="00693A7D">
              <w:rPr>
                <w:rFonts w:ascii="Arial" w:eastAsia="Times New Roman" w:hAnsi="Arial" w:cs="Arial"/>
                <w:b/>
                <w:bCs/>
                <w:color w:val="FFFFFF"/>
                <w:sz w:val="18"/>
                <w:szCs w:val="18"/>
                <w:lang w:eastAsia="sl-SI"/>
              </w:rPr>
              <w:t>31.</w:t>
            </w:r>
            <w:r w:rsidR="001A2992">
              <w:rPr>
                <w:rFonts w:ascii="Arial" w:eastAsia="Times New Roman" w:hAnsi="Arial" w:cs="Arial"/>
                <w:b/>
                <w:bCs/>
                <w:color w:val="FFFFFF"/>
                <w:sz w:val="18"/>
                <w:szCs w:val="18"/>
                <w:lang w:eastAsia="sl-SI"/>
              </w:rPr>
              <w:t> 12. 2020</w:t>
            </w:r>
          </w:p>
        </w:tc>
        <w:tc>
          <w:tcPr>
            <w:tcW w:w="2098" w:type="dxa"/>
            <w:tcBorders>
              <w:top w:val="single" w:sz="4" w:space="0" w:color="auto"/>
              <w:left w:val="nil"/>
              <w:bottom w:val="single" w:sz="4" w:space="0" w:color="auto"/>
              <w:right w:val="single" w:sz="4" w:space="0" w:color="auto"/>
            </w:tcBorders>
            <w:shd w:val="clear" w:color="000000" w:fill="31849B"/>
            <w:vAlign w:val="center"/>
            <w:hideMark/>
          </w:tcPr>
          <w:p w14:paraId="0A6F36FD" w14:textId="4B702CB4" w:rsidR="00D847F2" w:rsidRPr="00693A7D" w:rsidRDefault="00D847F2" w:rsidP="00556699">
            <w:pPr>
              <w:spacing w:after="0" w:line="240" w:lineRule="auto"/>
              <w:jc w:val="center"/>
              <w:rPr>
                <w:rFonts w:ascii="Arial" w:eastAsia="Times New Roman" w:hAnsi="Arial" w:cs="Arial"/>
                <w:b/>
                <w:bCs/>
                <w:color w:val="FFFFFF"/>
                <w:sz w:val="18"/>
                <w:szCs w:val="18"/>
                <w:lang w:eastAsia="sl-SI"/>
              </w:rPr>
            </w:pPr>
            <w:r w:rsidRPr="00693A7D">
              <w:rPr>
                <w:rFonts w:ascii="Arial" w:eastAsia="Times New Roman" w:hAnsi="Arial" w:cs="Arial"/>
                <w:b/>
                <w:bCs/>
                <w:color w:val="FFFFFF"/>
                <w:sz w:val="18"/>
                <w:szCs w:val="18"/>
                <w:lang w:eastAsia="sl-SI"/>
              </w:rPr>
              <w:t xml:space="preserve">Znesek odprtih nedospelih obrokov in odlogov na dan </w:t>
            </w:r>
            <w:r w:rsidR="001A2992" w:rsidRPr="00693A7D">
              <w:rPr>
                <w:rFonts w:ascii="Arial" w:eastAsia="Times New Roman" w:hAnsi="Arial" w:cs="Arial"/>
                <w:b/>
                <w:bCs/>
                <w:color w:val="FFFFFF"/>
                <w:sz w:val="18"/>
                <w:szCs w:val="18"/>
                <w:lang w:eastAsia="sl-SI"/>
              </w:rPr>
              <w:t>31.</w:t>
            </w:r>
            <w:r w:rsidR="001A2992">
              <w:rPr>
                <w:rFonts w:ascii="Arial" w:eastAsia="Times New Roman" w:hAnsi="Arial" w:cs="Arial"/>
                <w:b/>
                <w:bCs/>
                <w:color w:val="FFFFFF"/>
                <w:sz w:val="18"/>
                <w:szCs w:val="18"/>
                <w:lang w:eastAsia="sl-SI"/>
              </w:rPr>
              <w:t> 12. 2021</w:t>
            </w:r>
          </w:p>
        </w:tc>
        <w:tc>
          <w:tcPr>
            <w:tcW w:w="2006" w:type="dxa"/>
            <w:tcBorders>
              <w:top w:val="single" w:sz="4" w:space="0" w:color="auto"/>
              <w:left w:val="nil"/>
              <w:bottom w:val="single" w:sz="4" w:space="0" w:color="auto"/>
              <w:right w:val="single" w:sz="4" w:space="0" w:color="auto"/>
            </w:tcBorders>
            <w:shd w:val="clear" w:color="000000" w:fill="31849B"/>
            <w:vAlign w:val="center"/>
            <w:hideMark/>
          </w:tcPr>
          <w:p w14:paraId="679D2C53" w14:textId="296FCF3C" w:rsidR="00D847F2" w:rsidRPr="00693A7D" w:rsidRDefault="00D847F2" w:rsidP="00556699">
            <w:pPr>
              <w:spacing w:after="0" w:line="240" w:lineRule="auto"/>
              <w:jc w:val="center"/>
              <w:rPr>
                <w:rFonts w:ascii="Arial" w:eastAsia="Times New Roman" w:hAnsi="Arial" w:cs="Arial"/>
                <w:b/>
                <w:bCs/>
                <w:color w:val="FFFFFF"/>
                <w:sz w:val="18"/>
                <w:szCs w:val="18"/>
                <w:lang w:eastAsia="sl-SI"/>
              </w:rPr>
            </w:pPr>
            <w:r w:rsidRPr="00693A7D">
              <w:rPr>
                <w:rFonts w:ascii="Arial" w:eastAsia="Times New Roman" w:hAnsi="Arial" w:cs="Arial"/>
                <w:b/>
                <w:bCs/>
                <w:color w:val="FFFFFF"/>
                <w:sz w:val="18"/>
                <w:szCs w:val="18"/>
                <w:lang w:eastAsia="sl-SI"/>
              </w:rPr>
              <w:t xml:space="preserve">Znesek odprtih nedospelih obrokov in odlogov na dan </w:t>
            </w:r>
            <w:r w:rsidR="001A2992" w:rsidRPr="00693A7D">
              <w:rPr>
                <w:rFonts w:ascii="Arial" w:eastAsia="Times New Roman" w:hAnsi="Arial" w:cs="Arial"/>
                <w:b/>
                <w:bCs/>
                <w:color w:val="FFFFFF"/>
                <w:sz w:val="18"/>
                <w:szCs w:val="18"/>
                <w:lang w:eastAsia="sl-SI"/>
              </w:rPr>
              <w:t>31.</w:t>
            </w:r>
            <w:r w:rsidR="001A2992">
              <w:rPr>
                <w:rFonts w:ascii="Arial" w:eastAsia="Times New Roman" w:hAnsi="Arial" w:cs="Arial"/>
                <w:b/>
                <w:bCs/>
                <w:color w:val="FFFFFF"/>
                <w:sz w:val="18"/>
                <w:szCs w:val="18"/>
                <w:lang w:eastAsia="sl-SI"/>
              </w:rPr>
              <w:t> 12. 2022</w:t>
            </w:r>
          </w:p>
        </w:tc>
      </w:tr>
      <w:tr w:rsidR="00D847F2" w:rsidRPr="00693A7D" w14:paraId="13D8CFC3" w14:textId="77777777" w:rsidTr="00556699">
        <w:trPr>
          <w:gridAfter w:val="1"/>
          <w:wAfter w:w="268" w:type="dxa"/>
          <w:trHeight w:val="450"/>
        </w:trPr>
        <w:tc>
          <w:tcPr>
            <w:tcW w:w="19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42094" w14:textId="77777777" w:rsidR="00D847F2" w:rsidRPr="00693A7D" w:rsidRDefault="00D847F2" w:rsidP="00556699">
            <w:pPr>
              <w:spacing w:after="0" w:line="240" w:lineRule="auto"/>
              <w:jc w:val="center"/>
              <w:rPr>
                <w:rFonts w:ascii="Arial" w:eastAsia="Times New Roman" w:hAnsi="Arial" w:cs="Arial"/>
                <w:color w:val="000000"/>
                <w:sz w:val="18"/>
                <w:szCs w:val="18"/>
                <w:lang w:eastAsia="sl-SI"/>
              </w:rPr>
            </w:pPr>
            <w:r w:rsidRPr="00693A7D">
              <w:rPr>
                <w:rFonts w:ascii="Arial" w:eastAsia="Times New Roman" w:hAnsi="Arial" w:cs="Arial"/>
                <w:color w:val="000000"/>
                <w:sz w:val="18"/>
                <w:szCs w:val="18"/>
                <w:lang w:eastAsia="sl-SI"/>
              </w:rPr>
              <w:t xml:space="preserve">67. člen ZIUOPDVE </w:t>
            </w:r>
          </w:p>
        </w:tc>
        <w:tc>
          <w:tcPr>
            <w:tcW w:w="20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52C3C7" w14:textId="77777777" w:rsidR="00D847F2" w:rsidRPr="00693A7D" w:rsidRDefault="00D847F2" w:rsidP="00556699">
            <w:pPr>
              <w:spacing w:after="0" w:line="240" w:lineRule="auto"/>
              <w:jc w:val="right"/>
              <w:rPr>
                <w:rFonts w:ascii="Arial" w:eastAsia="Times New Roman" w:hAnsi="Arial" w:cs="Arial"/>
                <w:color w:val="000000"/>
                <w:sz w:val="18"/>
                <w:szCs w:val="18"/>
                <w:lang w:eastAsia="sl-SI"/>
              </w:rPr>
            </w:pPr>
            <w:r w:rsidRPr="00693A7D">
              <w:rPr>
                <w:rFonts w:ascii="Arial" w:eastAsia="Times New Roman" w:hAnsi="Arial" w:cs="Arial"/>
                <w:color w:val="000000"/>
                <w:sz w:val="18"/>
                <w:szCs w:val="18"/>
                <w:lang w:eastAsia="sl-SI"/>
              </w:rPr>
              <w:t>213.456.509</w:t>
            </w:r>
          </w:p>
        </w:tc>
        <w:tc>
          <w:tcPr>
            <w:tcW w:w="20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2D866E" w14:textId="77777777" w:rsidR="00D847F2" w:rsidRPr="00693A7D" w:rsidRDefault="00D847F2" w:rsidP="00556699">
            <w:pPr>
              <w:spacing w:after="0" w:line="240" w:lineRule="auto"/>
              <w:jc w:val="right"/>
              <w:rPr>
                <w:rFonts w:ascii="Arial" w:eastAsia="Times New Roman" w:hAnsi="Arial" w:cs="Arial"/>
                <w:color w:val="000000"/>
                <w:sz w:val="18"/>
                <w:szCs w:val="18"/>
                <w:lang w:eastAsia="sl-SI"/>
              </w:rPr>
            </w:pPr>
            <w:r w:rsidRPr="00693A7D">
              <w:rPr>
                <w:rFonts w:ascii="Arial" w:eastAsia="Times New Roman" w:hAnsi="Arial" w:cs="Arial"/>
                <w:color w:val="000000"/>
                <w:sz w:val="18"/>
                <w:szCs w:val="18"/>
                <w:lang w:eastAsia="sl-SI"/>
              </w:rPr>
              <w:t>124.693.125</w:t>
            </w:r>
          </w:p>
        </w:tc>
        <w:tc>
          <w:tcPr>
            <w:tcW w:w="20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8AFB55" w14:textId="77777777" w:rsidR="00D847F2" w:rsidRPr="00693A7D" w:rsidRDefault="00D847F2" w:rsidP="00556699">
            <w:pPr>
              <w:spacing w:after="0" w:line="240" w:lineRule="auto"/>
              <w:jc w:val="center"/>
              <w:rPr>
                <w:rFonts w:ascii="Arial" w:eastAsia="Times New Roman" w:hAnsi="Arial" w:cs="Arial"/>
                <w:color w:val="000000"/>
                <w:sz w:val="18"/>
                <w:szCs w:val="18"/>
                <w:lang w:eastAsia="sl-SI"/>
              </w:rPr>
            </w:pPr>
            <w:r w:rsidRPr="00693A7D">
              <w:rPr>
                <w:rFonts w:ascii="Arial" w:eastAsia="Times New Roman" w:hAnsi="Arial" w:cs="Arial"/>
                <w:color w:val="000000"/>
                <w:sz w:val="18"/>
                <w:szCs w:val="18"/>
                <w:lang w:eastAsia="sl-SI"/>
              </w:rPr>
              <w:t>17.099.712</w:t>
            </w:r>
          </w:p>
        </w:tc>
      </w:tr>
      <w:tr w:rsidR="00D847F2" w:rsidRPr="00693A7D" w14:paraId="0564BC1E" w14:textId="77777777" w:rsidTr="00556699">
        <w:trPr>
          <w:trHeight w:val="189"/>
        </w:trPr>
        <w:tc>
          <w:tcPr>
            <w:tcW w:w="1950" w:type="dxa"/>
            <w:vMerge/>
            <w:tcBorders>
              <w:top w:val="nil"/>
              <w:left w:val="single" w:sz="4" w:space="0" w:color="auto"/>
              <w:bottom w:val="single" w:sz="4" w:space="0" w:color="auto"/>
              <w:right w:val="single" w:sz="4" w:space="0" w:color="auto"/>
            </w:tcBorders>
            <w:vAlign w:val="center"/>
            <w:hideMark/>
          </w:tcPr>
          <w:p w14:paraId="7FA7242F"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98" w:type="dxa"/>
            <w:vMerge/>
            <w:tcBorders>
              <w:top w:val="nil"/>
              <w:left w:val="single" w:sz="4" w:space="0" w:color="auto"/>
              <w:bottom w:val="single" w:sz="4" w:space="0" w:color="auto"/>
              <w:right w:val="single" w:sz="4" w:space="0" w:color="auto"/>
            </w:tcBorders>
            <w:vAlign w:val="center"/>
            <w:hideMark/>
          </w:tcPr>
          <w:p w14:paraId="4A240FB1"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98" w:type="dxa"/>
            <w:vMerge/>
            <w:tcBorders>
              <w:top w:val="nil"/>
              <w:left w:val="single" w:sz="4" w:space="0" w:color="auto"/>
              <w:bottom w:val="single" w:sz="4" w:space="0" w:color="auto"/>
              <w:right w:val="single" w:sz="4" w:space="0" w:color="auto"/>
            </w:tcBorders>
            <w:vAlign w:val="center"/>
            <w:hideMark/>
          </w:tcPr>
          <w:p w14:paraId="647AD370"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06" w:type="dxa"/>
            <w:vMerge/>
            <w:tcBorders>
              <w:top w:val="nil"/>
              <w:left w:val="single" w:sz="4" w:space="0" w:color="auto"/>
              <w:bottom w:val="single" w:sz="4" w:space="0" w:color="000000"/>
              <w:right w:val="single" w:sz="4" w:space="0" w:color="auto"/>
            </w:tcBorders>
            <w:vAlign w:val="center"/>
            <w:hideMark/>
          </w:tcPr>
          <w:p w14:paraId="570E5D3B"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68" w:type="dxa"/>
            <w:tcBorders>
              <w:top w:val="nil"/>
              <w:left w:val="nil"/>
              <w:bottom w:val="nil"/>
              <w:right w:val="nil"/>
            </w:tcBorders>
            <w:shd w:val="clear" w:color="auto" w:fill="auto"/>
            <w:noWrap/>
            <w:vAlign w:val="bottom"/>
            <w:hideMark/>
          </w:tcPr>
          <w:p w14:paraId="5D1B8FB3" w14:textId="77777777" w:rsidR="00D847F2" w:rsidRPr="00693A7D" w:rsidRDefault="00D847F2" w:rsidP="00556699">
            <w:pPr>
              <w:spacing w:after="0" w:line="240" w:lineRule="auto"/>
              <w:jc w:val="center"/>
              <w:rPr>
                <w:rFonts w:ascii="Arial" w:eastAsia="Times New Roman" w:hAnsi="Arial" w:cs="Arial"/>
                <w:color w:val="000000"/>
                <w:sz w:val="18"/>
                <w:szCs w:val="18"/>
                <w:lang w:eastAsia="sl-SI"/>
              </w:rPr>
            </w:pPr>
          </w:p>
        </w:tc>
      </w:tr>
      <w:tr w:rsidR="00D847F2" w:rsidRPr="00693A7D" w14:paraId="2C6FFF29" w14:textId="77777777" w:rsidTr="00556699">
        <w:trPr>
          <w:trHeight w:val="189"/>
        </w:trPr>
        <w:tc>
          <w:tcPr>
            <w:tcW w:w="1950" w:type="dxa"/>
            <w:vMerge/>
            <w:tcBorders>
              <w:top w:val="nil"/>
              <w:left w:val="single" w:sz="4" w:space="0" w:color="auto"/>
              <w:bottom w:val="single" w:sz="4" w:space="0" w:color="auto"/>
              <w:right w:val="single" w:sz="4" w:space="0" w:color="auto"/>
            </w:tcBorders>
            <w:vAlign w:val="center"/>
            <w:hideMark/>
          </w:tcPr>
          <w:p w14:paraId="04918892"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98" w:type="dxa"/>
            <w:vMerge/>
            <w:tcBorders>
              <w:top w:val="nil"/>
              <w:left w:val="single" w:sz="4" w:space="0" w:color="auto"/>
              <w:bottom w:val="single" w:sz="4" w:space="0" w:color="auto"/>
              <w:right w:val="single" w:sz="4" w:space="0" w:color="auto"/>
            </w:tcBorders>
            <w:vAlign w:val="center"/>
            <w:hideMark/>
          </w:tcPr>
          <w:p w14:paraId="5E30E8F5"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98" w:type="dxa"/>
            <w:vMerge/>
            <w:tcBorders>
              <w:top w:val="nil"/>
              <w:left w:val="single" w:sz="4" w:space="0" w:color="auto"/>
              <w:bottom w:val="single" w:sz="4" w:space="0" w:color="auto"/>
              <w:right w:val="single" w:sz="4" w:space="0" w:color="auto"/>
            </w:tcBorders>
            <w:vAlign w:val="center"/>
            <w:hideMark/>
          </w:tcPr>
          <w:p w14:paraId="1565E762"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006" w:type="dxa"/>
            <w:vMerge/>
            <w:tcBorders>
              <w:top w:val="nil"/>
              <w:left w:val="single" w:sz="4" w:space="0" w:color="auto"/>
              <w:bottom w:val="single" w:sz="4" w:space="0" w:color="000000"/>
              <w:right w:val="single" w:sz="4" w:space="0" w:color="auto"/>
            </w:tcBorders>
            <w:vAlign w:val="center"/>
            <w:hideMark/>
          </w:tcPr>
          <w:p w14:paraId="016A4F0E" w14:textId="77777777" w:rsidR="00D847F2" w:rsidRPr="00693A7D" w:rsidRDefault="00D847F2" w:rsidP="00556699">
            <w:pPr>
              <w:spacing w:after="0" w:line="240" w:lineRule="auto"/>
              <w:rPr>
                <w:rFonts w:ascii="Arial" w:eastAsia="Times New Roman" w:hAnsi="Arial" w:cs="Arial"/>
                <w:color w:val="000000"/>
                <w:sz w:val="18"/>
                <w:szCs w:val="18"/>
                <w:lang w:eastAsia="sl-SI"/>
              </w:rPr>
            </w:pPr>
          </w:p>
        </w:tc>
        <w:tc>
          <w:tcPr>
            <w:tcW w:w="268" w:type="dxa"/>
            <w:tcBorders>
              <w:top w:val="nil"/>
              <w:left w:val="nil"/>
              <w:bottom w:val="nil"/>
              <w:right w:val="nil"/>
            </w:tcBorders>
            <w:shd w:val="clear" w:color="auto" w:fill="auto"/>
            <w:noWrap/>
            <w:vAlign w:val="bottom"/>
            <w:hideMark/>
          </w:tcPr>
          <w:p w14:paraId="66678541" w14:textId="77777777" w:rsidR="00D847F2" w:rsidRPr="00693A7D" w:rsidRDefault="00D847F2" w:rsidP="00556699">
            <w:pPr>
              <w:spacing w:after="0" w:line="240" w:lineRule="auto"/>
              <w:rPr>
                <w:rFonts w:ascii="Times New Roman" w:eastAsia="Times New Roman" w:hAnsi="Times New Roman"/>
                <w:sz w:val="20"/>
                <w:szCs w:val="20"/>
                <w:lang w:eastAsia="sl-SI"/>
              </w:rPr>
            </w:pPr>
          </w:p>
        </w:tc>
      </w:tr>
    </w:tbl>
    <w:p w14:paraId="5F9C8017" w14:textId="498D7A4A" w:rsidR="00D847F2" w:rsidRDefault="00D847F2" w:rsidP="00D847F2">
      <w:pPr>
        <w:spacing w:after="0"/>
        <w:jc w:val="both"/>
        <w:rPr>
          <w:rFonts w:ascii="Arial" w:hAnsi="Arial" w:cs="Arial"/>
          <w:i/>
          <w:iCs/>
          <w:sz w:val="20"/>
          <w:szCs w:val="20"/>
        </w:rPr>
      </w:pPr>
      <w:r w:rsidRPr="00C92301">
        <w:rPr>
          <w:rFonts w:ascii="Arial" w:hAnsi="Arial" w:cs="Arial"/>
          <w:i/>
          <w:iCs/>
          <w:sz w:val="20"/>
          <w:szCs w:val="20"/>
        </w:rPr>
        <w:t>Vir: FURS</w:t>
      </w:r>
      <w:r w:rsidR="003E635B">
        <w:rPr>
          <w:rFonts w:ascii="Arial" w:hAnsi="Arial" w:cs="Arial"/>
          <w:i/>
          <w:iCs/>
          <w:sz w:val="20"/>
          <w:szCs w:val="20"/>
        </w:rPr>
        <w:t xml:space="preserve">. </w:t>
      </w:r>
    </w:p>
    <w:p w14:paraId="11EAD50A" w14:textId="60F86954" w:rsidR="00D847F2" w:rsidRDefault="00D847F2" w:rsidP="00D847F2">
      <w:pPr>
        <w:pStyle w:val="FURSNavaden"/>
        <w:rPr>
          <w:rFonts w:cs="Arial"/>
          <w:szCs w:val="20"/>
          <w:lang w:eastAsia="en-US"/>
        </w:rPr>
      </w:pPr>
    </w:p>
    <w:bookmarkEnd w:id="17"/>
    <w:p w14:paraId="78FB9C93" w14:textId="6766718E" w:rsidR="00D847F2" w:rsidRPr="00D35294" w:rsidRDefault="00D847F2" w:rsidP="00D847F2">
      <w:pPr>
        <w:pStyle w:val="Brezrazmikov"/>
        <w:rPr>
          <w:rFonts w:ascii="Arial" w:hAnsi="Arial" w:cs="Arial"/>
          <w:b/>
          <w:color w:val="538135" w:themeColor="accent6" w:themeShade="BF"/>
          <w:lang w:eastAsia="sl-SI"/>
        </w:rPr>
      </w:pPr>
      <w:r w:rsidRPr="00D108FA">
        <w:rPr>
          <w:rFonts w:ascii="Arial" w:hAnsi="Arial" w:cs="Arial"/>
          <w:b/>
          <w:lang w:eastAsia="sl-SI"/>
        </w:rPr>
        <w:t>6 Rezultati ukrepov izterjave</w:t>
      </w:r>
      <w:r w:rsidR="00992912">
        <w:rPr>
          <w:rFonts w:ascii="Arial" w:hAnsi="Arial" w:cs="Arial"/>
          <w:b/>
          <w:lang w:eastAsia="sl-SI"/>
        </w:rPr>
        <w:t xml:space="preserve"> </w:t>
      </w:r>
    </w:p>
    <w:p w14:paraId="67B2993A" w14:textId="77777777" w:rsidR="00D847F2" w:rsidRPr="00E26F75" w:rsidRDefault="00D847F2" w:rsidP="00D847F2">
      <w:pPr>
        <w:pStyle w:val="Brezrazmikov"/>
        <w:rPr>
          <w:lang w:eastAsia="sl-SI"/>
        </w:rPr>
      </w:pPr>
    </w:p>
    <w:p w14:paraId="49AD4094" w14:textId="601F3ADD" w:rsidR="00D847F2" w:rsidRPr="00E008FC" w:rsidRDefault="00D847F2" w:rsidP="00D847F2">
      <w:pPr>
        <w:spacing w:line="260" w:lineRule="exact"/>
        <w:jc w:val="both"/>
        <w:rPr>
          <w:rFonts w:ascii="Arial" w:hAnsi="Arial" w:cs="Arial"/>
          <w:bCs/>
          <w:sz w:val="20"/>
          <w:szCs w:val="20"/>
        </w:rPr>
      </w:pPr>
      <w:r w:rsidRPr="00E008FC">
        <w:rPr>
          <w:rFonts w:ascii="Arial" w:hAnsi="Arial" w:cs="Arial"/>
          <w:bCs/>
          <w:sz w:val="20"/>
          <w:szCs w:val="20"/>
        </w:rPr>
        <w:t xml:space="preserve">FURS je </w:t>
      </w:r>
      <w:r w:rsidR="003E635B">
        <w:rPr>
          <w:rFonts w:ascii="Arial" w:hAnsi="Arial" w:cs="Arial"/>
          <w:bCs/>
          <w:sz w:val="20"/>
          <w:szCs w:val="20"/>
        </w:rPr>
        <w:t>predvsem</w:t>
      </w:r>
      <w:r w:rsidRPr="00E008FC">
        <w:rPr>
          <w:rFonts w:ascii="Arial" w:hAnsi="Arial" w:cs="Arial"/>
          <w:bCs/>
          <w:sz w:val="20"/>
          <w:szCs w:val="20"/>
        </w:rPr>
        <w:t xml:space="preserve"> pristojen za izterjavo davkov, prispevkov in drugih obveznih dajatev, ki jih sam odmerja, izterjuje pa tudi nedavčne obveznosti drugih predlagateljev, če za to obstaja pravna podlaga v zakonu. </w:t>
      </w:r>
    </w:p>
    <w:p w14:paraId="169346EF" w14:textId="77777777" w:rsidR="00D847F2" w:rsidRPr="00E008FC" w:rsidRDefault="00D847F2" w:rsidP="00D847F2">
      <w:pPr>
        <w:jc w:val="both"/>
        <w:rPr>
          <w:rFonts w:ascii="Arial" w:eastAsia="Times New Roman" w:hAnsi="Arial" w:cs="Arial"/>
          <w:sz w:val="20"/>
          <w:szCs w:val="20"/>
        </w:rPr>
      </w:pPr>
      <w:r>
        <w:rPr>
          <w:rFonts w:ascii="Arial" w:eastAsia="Times New Roman" w:hAnsi="Arial" w:cs="Arial"/>
          <w:sz w:val="20"/>
          <w:szCs w:val="20"/>
        </w:rPr>
        <w:t>Čeprav</w:t>
      </w:r>
      <w:r w:rsidRPr="00E008FC" w:rsidDel="00BD7EEF">
        <w:rPr>
          <w:rFonts w:ascii="Arial" w:eastAsia="Times New Roman" w:hAnsi="Arial" w:cs="Arial"/>
          <w:sz w:val="20"/>
          <w:szCs w:val="20"/>
        </w:rPr>
        <w:t xml:space="preserve"> </w:t>
      </w:r>
      <w:r w:rsidRPr="00E008FC">
        <w:rPr>
          <w:rFonts w:ascii="Arial" w:eastAsia="Times New Roman" w:hAnsi="Arial" w:cs="Arial"/>
          <w:sz w:val="20"/>
          <w:szCs w:val="20"/>
        </w:rPr>
        <w:t xml:space="preserve">zakonodaja ne predpisuje obveznega opominjanja, FURS uporabnikom mobilne aplikacije </w:t>
      </w:r>
      <w:proofErr w:type="spellStart"/>
      <w:r w:rsidRPr="00E008FC">
        <w:rPr>
          <w:rFonts w:ascii="Arial" w:eastAsia="Times New Roman" w:hAnsi="Arial" w:cs="Arial"/>
          <w:sz w:val="20"/>
          <w:szCs w:val="20"/>
        </w:rPr>
        <w:t>eDavki</w:t>
      </w:r>
      <w:proofErr w:type="spellEnd"/>
      <w:r w:rsidRPr="00E008FC">
        <w:rPr>
          <w:rFonts w:ascii="Arial" w:eastAsia="Times New Roman" w:hAnsi="Arial" w:cs="Arial"/>
          <w:sz w:val="20"/>
          <w:szCs w:val="20"/>
        </w:rPr>
        <w:t xml:space="preserve"> pred zapadlostjo njihovih obveznosti omogoča obveščanje o izteku roka za plačilo davka, če so na to storitev naročeni. </w:t>
      </w:r>
    </w:p>
    <w:p w14:paraId="2B14F825" w14:textId="2DE2B7F1" w:rsidR="00D847F2" w:rsidRPr="00E008FC" w:rsidRDefault="00D847F2" w:rsidP="00D847F2">
      <w:pPr>
        <w:jc w:val="both"/>
        <w:rPr>
          <w:rFonts w:ascii="Arial" w:eastAsia="Times New Roman" w:hAnsi="Arial" w:cs="Arial"/>
          <w:sz w:val="20"/>
          <w:szCs w:val="20"/>
        </w:rPr>
      </w:pPr>
      <w:r w:rsidRPr="00E008FC">
        <w:rPr>
          <w:rFonts w:ascii="Arial" w:eastAsia="Times New Roman" w:hAnsi="Arial" w:cs="Arial"/>
          <w:sz w:val="20"/>
          <w:szCs w:val="20"/>
        </w:rPr>
        <w:t>Po zapadlosti terjatev in pred začetkom davčne izvršbe FURS pozove dolžnike k prostovoljni poravnavi zapadl</w:t>
      </w:r>
      <w:r w:rsidR="001A2992">
        <w:rPr>
          <w:rFonts w:ascii="Arial" w:eastAsia="Times New Roman" w:hAnsi="Arial" w:cs="Arial"/>
          <w:sz w:val="20"/>
          <w:szCs w:val="20"/>
        </w:rPr>
        <w:t>ih</w:t>
      </w:r>
      <w:r w:rsidRPr="00E008FC">
        <w:rPr>
          <w:rFonts w:ascii="Arial" w:eastAsia="Times New Roman" w:hAnsi="Arial" w:cs="Arial"/>
          <w:sz w:val="20"/>
          <w:szCs w:val="20"/>
        </w:rPr>
        <w:t xml:space="preserve"> obveznost</w:t>
      </w:r>
      <w:r w:rsidR="001A2992">
        <w:rPr>
          <w:rFonts w:ascii="Arial" w:eastAsia="Times New Roman" w:hAnsi="Arial" w:cs="Arial"/>
          <w:sz w:val="20"/>
          <w:szCs w:val="20"/>
        </w:rPr>
        <w:t>i</w:t>
      </w:r>
      <w:r w:rsidRPr="00E008FC">
        <w:rPr>
          <w:rFonts w:ascii="Arial" w:eastAsia="Times New Roman" w:hAnsi="Arial" w:cs="Arial"/>
          <w:sz w:val="20"/>
          <w:szCs w:val="20"/>
        </w:rPr>
        <w:t xml:space="preserve"> z opominom, ki poleg poziva k plačilu opozori tudi na posledice neplačila dolga in stroške, ki bi </w:t>
      </w:r>
      <w:r w:rsidR="005F4065">
        <w:rPr>
          <w:rFonts w:ascii="Arial" w:eastAsia="Times New Roman" w:hAnsi="Arial" w:cs="Arial"/>
          <w:sz w:val="20"/>
          <w:szCs w:val="20"/>
        </w:rPr>
        <w:t>jih</w:t>
      </w:r>
      <w:r w:rsidR="005F4065" w:rsidRPr="00E008FC">
        <w:rPr>
          <w:rFonts w:ascii="Arial" w:eastAsia="Times New Roman" w:hAnsi="Arial" w:cs="Arial"/>
          <w:sz w:val="20"/>
          <w:szCs w:val="20"/>
        </w:rPr>
        <w:t xml:space="preserve"> </w:t>
      </w:r>
      <w:r w:rsidRPr="00E008FC">
        <w:rPr>
          <w:rFonts w:ascii="Arial" w:eastAsia="Times New Roman" w:hAnsi="Arial" w:cs="Arial"/>
          <w:sz w:val="20"/>
          <w:szCs w:val="20"/>
        </w:rPr>
        <w:t xml:space="preserve">bremenili v primeru začetka izvršbe. </w:t>
      </w:r>
    </w:p>
    <w:p w14:paraId="5E807B8E" w14:textId="2EACBA88" w:rsidR="00D847F2" w:rsidRPr="003E2A34" w:rsidRDefault="00D847F2" w:rsidP="00D847F2">
      <w:pPr>
        <w:spacing w:line="260" w:lineRule="exact"/>
        <w:jc w:val="both"/>
        <w:rPr>
          <w:rFonts w:ascii="Arial" w:hAnsi="Arial" w:cs="Arial"/>
          <w:bCs/>
          <w:sz w:val="20"/>
          <w:szCs w:val="20"/>
        </w:rPr>
      </w:pPr>
      <w:r w:rsidRPr="00E008FC">
        <w:rPr>
          <w:rFonts w:ascii="Arial" w:hAnsi="Arial" w:cs="Arial"/>
          <w:bCs/>
          <w:sz w:val="20"/>
          <w:szCs w:val="20"/>
        </w:rPr>
        <w:t>FURS poziva dolžnike k plačilu tudi z izdajo pozivov za plačilo in predložitev seznama premoženja. V skladu z načelom ekonomičnosti in sorazmernosti izvršilnih sredstev postopkov davčne izvršbe ni</w:t>
      </w:r>
      <w:r w:rsidRPr="0090615A">
        <w:rPr>
          <w:rFonts w:ascii="Arial" w:hAnsi="Arial" w:cs="Arial"/>
          <w:bCs/>
          <w:sz w:val="20"/>
          <w:szCs w:val="20"/>
        </w:rPr>
        <w:t xml:space="preserve"> mogoče oziroma smiselno začeti v primeru dolžnikov z nizkimi dolgovanimi obveznostmi, ki ne dosegajo niti stroškov vodenja postopka</w:t>
      </w:r>
      <w:r w:rsidR="005F4065">
        <w:rPr>
          <w:rFonts w:ascii="Arial" w:hAnsi="Arial" w:cs="Arial"/>
          <w:bCs/>
          <w:sz w:val="20"/>
          <w:szCs w:val="20"/>
        </w:rPr>
        <w:t>,</w:t>
      </w:r>
      <w:r w:rsidRPr="0090615A">
        <w:rPr>
          <w:rFonts w:ascii="Arial" w:hAnsi="Arial" w:cs="Arial"/>
          <w:bCs/>
          <w:sz w:val="20"/>
          <w:szCs w:val="20"/>
        </w:rPr>
        <w:t xml:space="preserve"> ali za nove obveznosti dolžnikov, ki po podatkih uradnih evidenc in/ali ob upoštevanju ugotovitev v predhodnih že izvedenih postopkih v Sloveniji nimajo </w:t>
      </w:r>
      <w:proofErr w:type="spellStart"/>
      <w:r w:rsidRPr="0090615A">
        <w:rPr>
          <w:rFonts w:ascii="Arial" w:hAnsi="Arial" w:cs="Arial"/>
          <w:bCs/>
          <w:sz w:val="20"/>
          <w:szCs w:val="20"/>
        </w:rPr>
        <w:t>rubljivega</w:t>
      </w:r>
      <w:proofErr w:type="spellEnd"/>
      <w:r w:rsidRPr="0090615A">
        <w:rPr>
          <w:rFonts w:ascii="Arial" w:hAnsi="Arial" w:cs="Arial"/>
          <w:bCs/>
          <w:sz w:val="20"/>
          <w:szCs w:val="20"/>
        </w:rPr>
        <w:t xml:space="preserve"> premoženja </w:t>
      </w:r>
      <w:r w:rsidRPr="00F02F2F">
        <w:rPr>
          <w:rFonts w:ascii="Arial" w:hAnsi="Arial" w:cs="Arial"/>
          <w:bCs/>
          <w:sz w:val="20"/>
          <w:szCs w:val="20"/>
        </w:rPr>
        <w:t>oziroma</w:t>
      </w:r>
      <w:r w:rsidRPr="0090615A" w:rsidDel="00BD7EEF">
        <w:rPr>
          <w:rFonts w:ascii="Arial" w:hAnsi="Arial" w:cs="Arial"/>
          <w:bCs/>
          <w:sz w:val="20"/>
          <w:szCs w:val="20"/>
        </w:rPr>
        <w:t xml:space="preserve"> </w:t>
      </w:r>
      <w:r w:rsidRPr="0090615A">
        <w:rPr>
          <w:rFonts w:ascii="Arial" w:hAnsi="Arial" w:cs="Arial"/>
          <w:bCs/>
          <w:sz w:val="20"/>
          <w:szCs w:val="20"/>
        </w:rPr>
        <w:t xml:space="preserve">bivališča oziroma so na uradno registriranem naslovu neznani ali na prestajanju zaporne kazni. Navedenim dolžnikom se izda poziv, ki </w:t>
      </w:r>
      <w:r w:rsidR="005F4065">
        <w:rPr>
          <w:rFonts w:ascii="Arial" w:hAnsi="Arial" w:cs="Arial"/>
          <w:bCs/>
          <w:sz w:val="20"/>
          <w:szCs w:val="20"/>
        </w:rPr>
        <w:t>pomeni</w:t>
      </w:r>
      <w:r w:rsidR="005F4065" w:rsidRPr="0090615A">
        <w:rPr>
          <w:rFonts w:ascii="Arial" w:hAnsi="Arial" w:cs="Arial"/>
          <w:bCs/>
          <w:sz w:val="20"/>
          <w:szCs w:val="20"/>
        </w:rPr>
        <w:t xml:space="preserve"> </w:t>
      </w:r>
      <w:r w:rsidRPr="0090615A">
        <w:rPr>
          <w:rFonts w:ascii="Arial" w:hAnsi="Arial" w:cs="Arial"/>
          <w:bCs/>
          <w:sz w:val="20"/>
          <w:szCs w:val="20"/>
        </w:rPr>
        <w:t>uradno dejanje davčnega organa z namenom davčne izvršbe.</w:t>
      </w:r>
    </w:p>
    <w:p w14:paraId="0210E7CF" w14:textId="6524B8B5" w:rsidR="00D847F2" w:rsidRPr="00C92301"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C92301">
        <w:rPr>
          <w:rFonts w:ascii="Arial" w:hAnsi="Arial" w:cs="Arial"/>
          <w:bCs/>
          <w:sz w:val="20"/>
          <w:szCs w:val="20"/>
        </w:rPr>
        <w:t xml:space="preserve">Kljub ukrepom za </w:t>
      </w:r>
      <w:r w:rsidR="005F4065">
        <w:rPr>
          <w:rFonts w:ascii="Arial" w:hAnsi="Arial" w:cs="Arial"/>
          <w:bCs/>
          <w:sz w:val="20"/>
          <w:szCs w:val="20"/>
        </w:rPr>
        <w:t>s</w:t>
      </w:r>
      <w:r w:rsidRPr="00C92301">
        <w:rPr>
          <w:rFonts w:ascii="Arial" w:hAnsi="Arial" w:cs="Arial"/>
          <w:bCs/>
          <w:sz w:val="20"/>
          <w:szCs w:val="20"/>
        </w:rPr>
        <w:t>podbujanje prostovoljnega plačevanja davkov (</w:t>
      </w:r>
      <w:r w:rsidR="0024486B">
        <w:rPr>
          <w:rFonts w:ascii="Arial" w:hAnsi="Arial" w:cs="Arial"/>
          <w:sz w:val="20"/>
          <w:szCs w:val="20"/>
        </w:rPr>
        <w:t>na primer</w:t>
      </w:r>
      <w:r w:rsidRPr="00C92301">
        <w:rPr>
          <w:rFonts w:ascii="Arial" w:hAnsi="Arial" w:cs="Arial"/>
          <w:sz w:val="20"/>
          <w:szCs w:val="20"/>
        </w:rPr>
        <w:t xml:space="preserve"> ozaveščanje posameznih ciljnih skupin, medijske objave, pošiljanje opominov) </w:t>
      </w:r>
      <w:r w:rsidRPr="00C92301">
        <w:rPr>
          <w:rFonts w:ascii="Arial" w:hAnsi="Arial" w:cs="Arial"/>
          <w:bCs/>
          <w:sz w:val="20"/>
          <w:szCs w:val="20"/>
        </w:rPr>
        <w:t>del davčnih obveznosti ostane neplačan, zato mora FURS dosledno, učinkovito in nepristransko uporabljati vsa zakonita sredstva prisile za izterjavo dolga</w:t>
      </w:r>
      <w:r>
        <w:rPr>
          <w:rFonts w:ascii="Arial" w:hAnsi="Arial" w:cs="Arial"/>
          <w:bCs/>
          <w:sz w:val="20"/>
          <w:szCs w:val="20"/>
        </w:rPr>
        <w:t>.</w:t>
      </w:r>
    </w:p>
    <w:p w14:paraId="5D998EEB" w14:textId="77777777" w:rsidR="00D847F2" w:rsidRDefault="00D847F2" w:rsidP="00D847F2">
      <w:pPr>
        <w:spacing w:line="260" w:lineRule="exact"/>
        <w:jc w:val="both"/>
        <w:rPr>
          <w:rFonts w:ascii="Arial" w:hAnsi="Arial" w:cs="Arial"/>
          <w:bCs/>
          <w:sz w:val="20"/>
          <w:szCs w:val="20"/>
        </w:rPr>
      </w:pPr>
      <w:r w:rsidRPr="00DC377A">
        <w:rPr>
          <w:rFonts w:ascii="Arial" w:hAnsi="Arial" w:cs="Arial"/>
          <w:bCs/>
          <w:sz w:val="20"/>
          <w:szCs w:val="20"/>
        </w:rPr>
        <w:t>Postopek davčne izvršbe se začne z izdajo sklepa o davčni izvršbi. Z izvršbo po upravni poti se lahko poseže na dolžnikove denarne prejemke, denarna sredstva, ki jih ima dolžnik pri bankah ali hranilnicah, denarne terjatve do tretjih, vrednostne papirje in premičnine.</w:t>
      </w:r>
      <w:r>
        <w:rPr>
          <w:rFonts w:ascii="Arial" w:hAnsi="Arial" w:cs="Arial"/>
          <w:bCs/>
          <w:sz w:val="20"/>
          <w:szCs w:val="20"/>
        </w:rPr>
        <w:t xml:space="preserve"> </w:t>
      </w:r>
      <w:r w:rsidRPr="00C92301">
        <w:rPr>
          <w:rFonts w:ascii="Arial" w:hAnsi="Arial" w:cs="Arial"/>
          <w:bCs/>
          <w:sz w:val="20"/>
          <w:szCs w:val="20"/>
        </w:rPr>
        <w:t>Posebne oblike izvršbe so izvršba iz nepremičnega premoženja in deleža družbenika v družbi. Ukrepi davčne izvršbe so načrtovani glede na sredstva</w:t>
      </w:r>
      <w:r>
        <w:rPr>
          <w:rFonts w:ascii="Arial" w:hAnsi="Arial" w:cs="Arial"/>
          <w:bCs/>
          <w:sz w:val="20"/>
          <w:szCs w:val="20"/>
        </w:rPr>
        <w:t xml:space="preserve"> </w:t>
      </w:r>
      <w:r w:rsidRPr="00C92301">
        <w:rPr>
          <w:rFonts w:ascii="Arial" w:hAnsi="Arial" w:cs="Arial"/>
          <w:bCs/>
          <w:sz w:val="20"/>
          <w:szCs w:val="20"/>
        </w:rPr>
        <w:t>dolžnik</w:t>
      </w:r>
      <w:r>
        <w:rPr>
          <w:rFonts w:ascii="Arial" w:hAnsi="Arial" w:cs="Arial"/>
          <w:bCs/>
          <w:sz w:val="20"/>
          <w:szCs w:val="20"/>
        </w:rPr>
        <w:t>a</w:t>
      </w:r>
      <w:r w:rsidRPr="00C92301">
        <w:rPr>
          <w:rFonts w:ascii="Arial" w:hAnsi="Arial" w:cs="Arial"/>
          <w:bCs/>
          <w:sz w:val="20"/>
          <w:szCs w:val="20"/>
        </w:rPr>
        <w:t xml:space="preserve"> s ciljem čim lažjega poplačila dolga in glede na višino stroškov, ki nastanejo v postopku izvršbe za davčni organ in zavezanca. </w:t>
      </w:r>
    </w:p>
    <w:p w14:paraId="670CB958" w14:textId="77777777"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C92301">
        <w:rPr>
          <w:rFonts w:ascii="Arial" w:hAnsi="Arial" w:cs="Arial"/>
          <w:bCs/>
          <w:sz w:val="20"/>
          <w:szCs w:val="20"/>
        </w:rPr>
        <w:t xml:space="preserve">Skrajni ukrep za poplačilo oziroma obvladovanje dolga je predlog davčnega organa za uvedbo stečajnega postopka zoper dolžnika in izbris dolžnika iz Poslovnega registra Slovenije. </w:t>
      </w:r>
    </w:p>
    <w:p w14:paraId="6E2F4BFE" w14:textId="1BA53303"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Pr>
          <w:rFonts w:ascii="Arial" w:hAnsi="Arial" w:cs="Arial"/>
          <w:bCs/>
          <w:sz w:val="20"/>
          <w:szCs w:val="20"/>
        </w:rPr>
        <w:t>Kadar</w:t>
      </w:r>
      <w:r w:rsidRPr="00BC13F8" w:rsidDel="00BD7EEF">
        <w:rPr>
          <w:rFonts w:ascii="Arial" w:hAnsi="Arial" w:cs="Arial"/>
          <w:bCs/>
          <w:sz w:val="20"/>
          <w:szCs w:val="20"/>
        </w:rPr>
        <w:t xml:space="preserve"> </w:t>
      </w:r>
      <w:r w:rsidRPr="00BC13F8">
        <w:rPr>
          <w:rFonts w:ascii="Arial" w:hAnsi="Arial" w:cs="Arial"/>
          <w:bCs/>
          <w:sz w:val="20"/>
          <w:szCs w:val="20"/>
        </w:rPr>
        <w:t xml:space="preserve">zoper dolžnika </w:t>
      </w:r>
      <w:r>
        <w:rPr>
          <w:rFonts w:ascii="Arial" w:hAnsi="Arial" w:cs="Arial"/>
          <w:bCs/>
          <w:sz w:val="20"/>
          <w:szCs w:val="20"/>
        </w:rPr>
        <w:t>teče</w:t>
      </w:r>
      <w:r w:rsidRPr="00BC13F8">
        <w:rPr>
          <w:rFonts w:ascii="Arial" w:hAnsi="Arial" w:cs="Arial"/>
          <w:bCs/>
          <w:sz w:val="20"/>
          <w:szCs w:val="20"/>
        </w:rPr>
        <w:t xml:space="preserve"> kateri izmed postopkov zaradi insolventnosti, je pri uveljavljanju terjatev treb</w:t>
      </w:r>
      <w:r w:rsidR="005F4065">
        <w:rPr>
          <w:rFonts w:ascii="Arial" w:hAnsi="Arial" w:cs="Arial"/>
          <w:bCs/>
          <w:sz w:val="20"/>
          <w:szCs w:val="20"/>
        </w:rPr>
        <w:t>a</w:t>
      </w:r>
      <w:r w:rsidRPr="00BC13F8">
        <w:rPr>
          <w:rFonts w:ascii="Arial" w:hAnsi="Arial" w:cs="Arial"/>
          <w:bCs/>
          <w:sz w:val="20"/>
          <w:szCs w:val="20"/>
        </w:rPr>
        <w:t xml:space="preserve"> upoštevati pravila </w:t>
      </w:r>
      <w:proofErr w:type="spellStart"/>
      <w:r w:rsidRPr="00BC13F8">
        <w:rPr>
          <w:rFonts w:ascii="Arial" w:hAnsi="Arial" w:cs="Arial"/>
          <w:bCs/>
          <w:sz w:val="20"/>
          <w:szCs w:val="20"/>
        </w:rPr>
        <w:t>insolvenčne</w:t>
      </w:r>
      <w:proofErr w:type="spellEnd"/>
      <w:r w:rsidRPr="00BC13F8">
        <w:rPr>
          <w:rFonts w:ascii="Arial" w:hAnsi="Arial" w:cs="Arial"/>
          <w:bCs/>
          <w:sz w:val="20"/>
          <w:szCs w:val="20"/>
        </w:rPr>
        <w:t xml:space="preserve"> zakonodaje. V času trajanja postopka</w:t>
      </w:r>
      <w:r>
        <w:rPr>
          <w:rFonts w:ascii="Arial" w:hAnsi="Arial" w:cs="Arial"/>
          <w:bCs/>
          <w:sz w:val="20"/>
          <w:szCs w:val="20"/>
        </w:rPr>
        <w:t xml:space="preserve"> zaradi insolventnosti</w:t>
      </w:r>
      <w:r w:rsidRPr="00BC13F8">
        <w:rPr>
          <w:rFonts w:ascii="Arial" w:hAnsi="Arial" w:cs="Arial"/>
          <w:bCs/>
          <w:sz w:val="20"/>
          <w:szCs w:val="20"/>
        </w:rPr>
        <w:t xml:space="preserve"> za dolg, na katerega učinkuje ta postopek, ni dovoljeno voditi postopka izvršbe niti zavarovanja. Terjatve zoper insolventnega dolžnika se lahko poplačajo le v skladu z </w:t>
      </w:r>
      <w:proofErr w:type="spellStart"/>
      <w:r w:rsidRPr="00BC13F8">
        <w:rPr>
          <w:rFonts w:ascii="Arial" w:hAnsi="Arial" w:cs="Arial"/>
          <w:bCs/>
          <w:sz w:val="20"/>
          <w:szCs w:val="20"/>
        </w:rPr>
        <w:t>insolvenčno</w:t>
      </w:r>
      <w:proofErr w:type="spellEnd"/>
      <w:r w:rsidRPr="00BC13F8">
        <w:rPr>
          <w:rFonts w:ascii="Arial" w:hAnsi="Arial" w:cs="Arial"/>
          <w:bCs/>
          <w:sz w:val="20"/>
          <w:szCs w:val="20"/>
        </w:rPr>
        <w:t xml:space="preserve"> zakonodajo, ki položaj davčnega organa izenačuje z drugimi (civilnimi) </w:t>
      </w:r>
      <w:r w:rsidRPr="003616C0">
        <w:rPr>
          <w:rFonts w:ascii="Arial" w:hAnsi="Arial" w:cs="Arial"/>
          <w:bCs/>
          <w:sz w:val="20"/>
          <w:szCs w:val="20"/>
        </w:rPr>
        <w:t xml:space="preserve">upniki. </w:t>
      </w:r>
      <w:r w:rsidRPr="00B058C6">
        <w:rPr>
          <w:rFonts w:ascii="Arial" w:hAnsi="Arial" w:cs="Arial"/>
          <w:bCs/>
          <w:sz w:val="20"/>
          <w:szCs w:val="20"/>
        </w:rPr>
        <w:t xml:space="preserve">Po stanju 31. </w:t>
      </w:r>
      <w:r w:rsidR="000E7DDB">
        <w:rPr>
          <w:rFonts w:ascii="Arial" w:hAnsi="Arial" w:cs="Arial"/>
          <w:bCs/>
          <w:sz w:val="20"/>
          <w:szCs w:val="20"/>
        </w:rPr>
        <w:t>decembra</w:t>
      </w:r>
      <w:r w:rsidRPr="00B058C6">
        <w:rPr>
          <w:rFonts w:ascii="Arial" w:hAnsi="Arial" w:cs="Arial"/>
          <w:bCs/>
          <w:sz w:val="20"/>
          <w:szCs w:val="20"/>
        </w:rPr>
        <w:t xml:space="preserve"> 2022 je </w:t>
      </w:r>
      <w:r w:rsidRPr="003616C0">
        <w:rPr>
          <w:rFonts w:ascii="Arial" w:hAnsi="Arial" w:cs="Arial"/>
          <w:bCs/>
          <w:sz w:val="20"/>
          <w:szCs w:val="20"/>
        </w:rPr>
        <w:t>pogojno izterljiv</w:t>
      </w:r>
      <w:r>
        <w:rPr>
          <w:rFonts w:ascii="Arial" w:hAnsi="Arial" w:cs="Arial"/>
          <w:bCs/>
          <w:sz w:val="20"/>
          <w:szCs w:val="20"/>
        </w:rPr>
        <w:t xml:space="preserve">i </w:t>
      </w:r>
      <w:r w:rsidRPr="003616C0">
        <w:rPr>
          <w:rFonts w:ascii="Arial" w:hAnsi="Arial" w:cs="Arial"/>
          <w:bCs/>
          <w:sz w:val="20"/>
          <w:szCs w:val="20"/>
        </w:rPr>
        <w:t>dolg</w:t>
      </w:r>
      <w:r w:rsidRPr="00B058C6">
        <w:rPr>
          <w:rFonts w:ascii="Arial" w:hAnsi="Arial" w:cs="Arial"/>
          <w:bCs/>
          <w:sz w:val="20"/>
          <w:szCs w:val="20"/>
        </w:rPr>
        <w:t xml:space="preserve">, </w:t>
      </w:r>
      <w:r w:rsidRPr="00B058C6">
        <w:rPr>
          <w:rFonts w:ascii="Arial" w:hAnsi="Arial" w:cs="Arial"/>
          <w:bCs/>
          <w:sz w:val="20"/>
          <w:szCs w:val="20"/>
        </w:rPr>
        <w:lastRenderedPageBreak/>
        <w:t xml:space="preserve">prijavljen v </w:t>
      </w:r>
      <w:proofErr w:type="spellStart"/>
      <w:r w:rsidRPr="00B058C6">
        <w:rPr>
          <w:rFonts w:ascii="Arial" w:hAnsi="Arial" w:cs="Arial"/>
          <w:bCs/>
          <w:sz w:val="20"/>
          <w:szCs w:val="20"/>
        </w:rPr>
        <w:t>insolvenčne</w:t>
      </w:r>
      <w:proofErr w:type="spellEnd"/>
      <w:r w:rsidRPr="00B058C6">
        <w:rPr>
          <w:rFonts w:ascii="Arial" w:hAnsi="Arial" w:cs="Arial"/>
          <w:bCs/>
          <w:sz w:val="20"/>
          <w:szCs w:val="20"/>
        </w:rPr>
        <w:t xml:space="preserve"> postopke, ki ga </w:t>
      </w:r>
      <w:r>
        <w:rPr>
          <w:rFonts w:ascii="Arial" w:hAnsi="Arial" w:cs="Arial"/>
          <w:bCs/>
          <w:sz w:val="20"/>
          <w:szCs w:val="20"/>
        </w:rPr>
        <w:t xml:space="preserve">ni dovoljeno izterjevati </w:t>
      </w:r>
      <w:r w:rsidRPr="00B058C6">
        <w:rPr>
          <w:rFonts w:ascii="Arial" w:hAnsi="Arial" w:cs="Arial"/>
          <w:bCs/>
          <w:sz w:val="20"/>
          <w:szCs w:val="20"/>
        </w:rPr>
        <w:t>v izvršbi, 277,3 milijon</w:t>
      </w:r>
      <w:r w:rsidR="005F4065">
        <w:rPr>
          <w:rFonts w:ascii="Arial" w:hAnsi="Arial" w:cs="Arial"/>
          <w:bCs/>
          <w:sz w:val="20"/>
          <w:szCs w:val="20"/>
        </w:rPr>
        <w:t>a</w:t>
      </w:r>
      <w:r w:rsidRPr="00B058C6">
        <w:rPr>
          <w:rFonts w:ascii="Arial" w:hAnsi="Arial" w:cs="Arial"/>
          <w:bCs/>
          <w:sz w:val="20"/>
          <w:szCs w:val="20"/>
        </w:rPr>
        <w:t xml:space="preserve"> </w:t>
      </w:r>
      <w:r>
        <w:rPr>
          <w:rFonts w:ascii="Arial" w:hAnsi="Arial" w:cs="Arial"/>
          <w:bCs/>
          <w:sz w:val="20"/>
          <w:szCs w:val="20"/>
        </w:rPr>
        <w:t>EUR</w:t>
      </w:r>
      <w:r w:rsidRPr="00B058C6">
        <w:rPr>
          <w:rFonts w:ascii="Arial" w:hAnsi="Arial" w:cs="Arial"/>
          <w:bCs/>
          <w:sz w:val="20"/>
          <w:szCs w:val="20"/>
        </w:rPr>
        <w:t xml:space="preserve">, kar </w:t>
      </w:r>
      <w:r>
        <w:rPr>
          <w:rFonts w:ascii="Arial" w:hAnsi="Arial" w:cs="Arial"/>
          <w:bCs/>
          <w:sz w:val="20"/>
          <w:szCs w:val="20"/>
        </w:rPr>
        <w:t>znaša</w:t>
      </w:r>
      <w:r w:rsidRPr="00B058C6">
        <w:rPr>
          <w:rFonts w:ascii="Arial" w:hAnsi="Arial" w:cs="Arial"/>
          <w:bCs/>
          <w:sz w:val="20"/>
          <w:szCs w:val="20"/>
        </w:rPr>
        <w:t xml:space="preserve"> skoraj 30,8 </w:t>
      </w:r>
      <w:r>
        <w:rPr>
          <w:rFonts w:ascii="Arial" w:hAnsi="Arial" w:cs="Arial"/>
          <w:bCs/>
          <w:sz w:val="20"/>
          <w:szCs w:val="20"/>
        </w:rPr>
        <w:t xml:space="preserve">odstotka </w:t>
      </w:r>
      <w:r w:rsidRPr="00B058C6">
        <w:rPr>
          <w:rFonts w:ascii="Arial" w:hAnsi="Arial" w:cs="Arial"/>
          <w:bCs/>
          <w:sz w:val="20"/>
          <w:szCs w:val="20"/>
        </w:rPr>
        <w:t>davčnega dolga</w:t>
      </w:r>
      <w:r>
        <w:rPr>
          <w:rFonts w:ascii="Arial" w:hAnsi="Arial" w:cs="Arial"/>
          <w:bCs/>
          <w:sz w:val="20"/>
          <w:szCs w:val="20"/>
        </w:rPr>
        <w:t>.</w:t>
      </w:r>
      <w:r w:rsidR="00992912">
        <w:rPr>
          <w:rFonts w:ascii="Arial" w:hAnsi="Arial" w:cs="Arial"/>
          <w:bCs/>
          <w:sz w:val="20"/>
          <w:szCs w:val="20"/>
        </w:rPr>
        <w:t xml:space="preserve"> </w:t>
      </w:r>
    </w:p>
    <w:p w14:paraId="2783461D" w14:textId="569D5C85"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bookmarkStart w:id="19" w:name="_Hlk129331928"/>
      <w:r w:rsidRPr="00B058C6">
        <w:rPr>
          <w:rFonts w:ascii="Arial" w:hAnsi="Arial" w:cs="Arial"/>
          <w:bCs/>
          <w:sz w:val="20"/>
          <w:szCs w:val="20"/>
        </w:rPr>
        <w:t xml:space="preserve">Na področju izterjave v letu 2022 ni bilo več zaznati vpliva epidemije </w:t>
      </w:r>
      <w:r>
        <w:rPr>
          <w:rFonts w:ascii="Arial" w:hAnsi="Arial" w:cs="Arial"/>
          <w:bCs/>
          <w:sz w:val="20"/>
          <w:szCs w:val="20"/>
        </w:rPr>
        <w:t>c</w:t>
      </w:r>
      <w:r w:rsidRPr="00B058C6">
        <w:rPr>
          <w:rFonts w:ascii="Arial" w:hAnsi="Arial" w:cs="Arial"/>
          <w:bCs/>
          <w:sz w:val="20"/>
          <w:szCs w:val="20"/>
        </w:rPr>
        <w:t>ovid</w:t>
      </w:r>
      <w:r>
        <w:rPr>
          <w:rFonts w:ascii="Arial" w:hAnsi="Arial" w:cs="Arial"/>
          <w:bCs/>
          <w:sz w:val="20"/>
          <w:szCs w:val="20"/>
        </w:rPr>
        <w:t>a</w:t>
      </w:r>
      <w:r w:rsidRPr="00B058C6">
        <w:rPr>
          <w:rFonts w:ascii="Arial" w:hAnsi="Arial" w:cs="Arial"/>
          <w:bCs/>
          <w:sz w:val="20"/>
          <w:szCs w:val="20"/>
        </w:rPr>
        <w:t>-19, kot je bilo to v letih 2020 in 2021, ko so bili sprejeti interventni ukrepi, ki so v določenem časovnem obdobju omejevali izvajanje postopkov davčne izvršbe. Na podlagi izvedenih ukrepov je bilo izterjan</w:t>
      </w:r>
      <w:r>
        <w:rPr>
          <w:rFonts w:ascii="Arial" w:hAnsi="Arial" w:cs="Arial"/>
          <w:bCs/>
          <w:sz w:val="20"/>
          <w:szCs w:val="20"/>
        </w:rPr>
        <w:t>ih</w:t>
      </w:r>
      <w:r w:rsidRPr="00B058C6">
        <w:rPr>
          <w:rFonts w:ascii="Arial" w:hAnsi="Arial" w:cs="Arial"/>
          <w:bCs/>
          <w:sz w:val="20"/>
          <w:szCs w:val="20"/>
        </w:rPr>
        <w:t xml:space="preserve"> 614.678.853</w:t>
      </w:r>
      <w:r w:rsidR="00527930" w:rsidRPr="00B058C6">
        <w:rPr>
          <w:rFonts w:ascii="Arial" w:hAnsi="Arial" w:cs="Arial"/>
          <w:bCs/>
          <w:sz w:val="20"/>
          <w:szCs w:val="20"/>
        </w:rPr>
        <w:t> EUR</w:t>
      </w:r>
      <w:r w:rsidRPr="00B058C6">
        <w:rPr>
          <w:rFonts w:ascii="Arial" w:hAnsi="Arial" w:cs="Arial"/>
          <w:bCs/>
          <w:sz w:val="20"/>
          <w:szCs w:val="20"/>
        </w:rPr>
        <w:t xml:space="preserve"> dolga (od tega 570.121.792</w:t>
      </w:r>
      <w:r w:rsidR="00527930" w:rsidRPr="00B058C6">
        <w:rPr>
          <w:rFonts w:ascii="Arial" w:hAnsi="Arial" w:cs="Arial"/>
          <w:bCs/>
          <w:sz w:val="20"/>
          <w:szCs w:val="20"/>
        </w:rPr>
        <w:t> EUR</w:t>
      </w:r>
      <w:r w:rsidRPr="00B058C6">
        <w:rPr>
          <w:rFonts w:ascii="Arial" w:hAnsi="Arial" w:cs="Arial"/>
          <w:bCs/>
          <w:sz w:val="20"/>
          <w:szCs w:val="20"/>
        </w:rPr>
        <w:t xml:space="preserve"> iz naslova obveznih dajatev in 44.557.061</w:t>
      </w:r>
      <w:r w:rsidR="00527930" w:rsidRPr="00B058C6">
        <w:rPr>
          <w:rFonts w:ascii="Arial" w:hAnsi="Arial" w:cs="Arial"/>
          <w:bCs/>
          <w:sz w:val="20"/>
          <w:szCs w:val="20"/>
        </w:rPr>
        <w:t> EUR</w:t>
      </w:r>
      <w:r w:rsidRPr="00B058C6">
        <w:rPr>
          <w:rFonts w:ascii="Arial" w:hAnsi="Arial" w:cs="Arial"/>
          <w:bCs/>
          <w:sz w:val="20"/>
          <w:szCs w:val="20"/>
        </w:rPr>
        <w:t xml:space="preserve"> iz naslova nedavčnih obveznosti). Največji delež </w:t>
      </w:r>
      <w:r>
        <w:rPr>
          <w:rFonts w:ascii="Arial" w:hAnsi="Arial" w:cs="Arial"/>
          <w:bCs/>
          <w:sz w:val="20"/>
          <w:szCs w:val="20"/>
        </w:rPr>
        <w:t>imajo</w:t>
      </w:r>
      <w:r w:rsidRPr="00B058C6">
        <w:rPr>
          <w:rFonts w:ascii="Arial" w:hAnsi="Arial" w:cs="Arial"/>
          <w:bCs/>
          <w:sz w:val="20"/>
          <w:szCs w:val="20"/>
        </w:rPr>
        <w:t xml:space="preserve"> plačila po opominih in pozivih, in sicer 69,6 </w:t>
      </w:r>
      <w:r>
        <w:rPr>
          <w:rFonts w:ascii="Arial" w:hAnsi="Arial" w:cs="Arial"/>
          <w:bCs/>
          <w:sz w:val="20"/>
          <w:szCs w:val="20"/>
        </w:rPr>
        <w:t xml:space="preserve">odstotka </w:t>
      </w:r>
      <w:r w:rsidRPr="00B058C6">
        <w:rPr>
          <w:rFonts w:ascii="Arial" w:hAnsi="Arial" w:cs="Arial"/>
          <w:bCs/>
          <w:sz w:val="20"/>
          <w:szCs w:val="20"/>
        </w:rPr>
        <w:t>vseh plačil. Plačila</w:t>
      </w:r>
      <w:r w:rsidR="005F4065">
        <w:rPr>
          <w:rFonts w:ascii="Arial" w:hAnsi="Arial" w:cs="Arial"/>
          <w:bCs/>
          <w:sz w:val="20"/>
          <w:szCs w:val="20"/>
        </w:rPr>
        <w:t>,</w:t>
      </w:r>
      <w:r w:rsidRPr="00B058C6">
        <w:rPr>
          <w:rFonts w:ascii="Arial" w:hAnsi="Arial" w:cs="Arial"/>
          <w:bCs/>
          <w:sz w:val="20"/>
          <w:szCs w:val="20"/>
        </w:rPr>
        <w:t xml:space="preserve"> prejeta na podlagi sklepov o davčni izvršbi</w:t>
      </w:r>
      <w:r w:rsidR="005F4065">
        <w:rPr>
          <w:rFonts w:ascii="Arial" w:hAnsi="Arial" w:cs="Arial"/>
          <w:bCs/>
          <w:sz w:val="20"/>
          <w:szCs w:val="20"/>
        </w:rPr>
        <w:t>,</w:t>
      </w:r>
      <w:r w:rsidRPr="00B058C6">
        <w:rPr>
          <w:rFonts w:ascii="Arial" w:hAnsi="Arial" w:cs="Arial"/>
          <w:bCs/>
          <w:sz w:val="20"/>
          <w:szCs w:val="20"/>
        </w:rPr>
        <w:t xml:space="preserve"> imajo 30,4</w:t>
      </w:r>
      <w:r>
        <w:rPr>
          <w:rFonts w:ascii="Arial" w:hAnsi="Arial" w:cs="Arial"/>
          <w:bCs/>
          <w:sz w:val="20"/>
          <w:szCs w:val="20"/>
        </w:rPr>
        <w:t xml:space="preserve">-odstotni </w:t>
      </w:r>
      <w:r w:rsidRPr="00B058C6">
        <w:rPr>
          <w:rFonts w:ascii="Arial" w:hAnsi="Arial" w:cs="Arial"/>
          <w:bCs/>
          <w:sz w:val="20"/>
          <w:szCs w:val="20"/>
        </w:rPr>
        <w:t>delež.</w:t>
      </w:r>
    </w:p>
    <w:p w14:paraId="72257D4E" w14:textId="4C962523"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A1221F">
        <w:rPr>
          <w:rFonts w:ascii="Arial" w:hAnsi="Arial" w:cs="Arial"/>
          <w:bCs/>
          <w:sz w:val="20"/>
          <w:szCs w:val="20"/>
        </w:rPr>
        <w:t>V primerjavi s preteklim letom je bilo v letu 2022 izterjan</w:t>
      </w:r>
      <w:r w:rsidR="005F4065">
        <w:rPr>
          <w:rFonts w:ascii="Arial" w:hAnsi="Arial" w:cs="Arial"/>
          <w:bCs/>
          <w:sz w:val="20"/>
          <w:szCs w:val="20"/>
        </w:rPr>
        <w:t>ega</w:t>
      </w:r>
      <w:r w:rsidRPr="00A1221F">
        <w:rPr>
          <w:rFonts w:ascii="Arial" w:hAnsi="Arial" w:cs="Arial"/>
          <w:bCs/>
          <w:sz w:val="20"/>
          <w:szCs w:val="20"/>
        </w:rPr>
        <w:t xml:space="preserve"> za 161.974.930</w:t>
      </w:r>
      <w:r w:rsidR="00527930" w:rsidRPr="00A1221F">
        <w:rPr>
          <w:rFonts w:ascii="Arial" w:hAnsi="Arial" w:cs="Arial"/>
          <w:bCs/>
          <w:sz w:val="20"/>
          <w:szCs w:val="20"/>
        </w:rPr>
        <w:t> EUR</w:t>
      </w:r>
      <w:r w:rsidRPr="00A1221F">
        <w:rPr>
          <w:rFonts w:ascii="Arial" w:hAnsi="Arial" w:cs="Arial"/>
          <w:bCs/>
          <w:sz w:val="20"/>
          <w:szCs w:val="20"/>
        </w:rPr>
        <w:t xml:space="preserve"> več dolga. Navedeno je mo</w:t>
      </w:r>
      <w:r w:rsidR="005F4065">
        <w:rPr>
          <w:rFonts w:ascii="Arial" w:hAnsi="Arial" w:cs="Arial"/>
          <w:bCs/>
          <w:sz w:val="20"/>
          <w:szCs w:val="20"/>
        </w:rPr>
        <w:t>go</w:t>
      </w:r>
      <w:r w:rsidRPr="00A1221F">
        <w:rPr>
          <w:rFonts w:ascii="Arial" w:hAnsi="Arial" w:cs="Arial"/>
          <w:bCs/>
          <w:sz w:val="20"/>
          <w:szCs w:val="20"/>
        </w:rPr>
        <w:t>č</w:t>
      </w:r>
      <w:r w:rsidR="005F4065">
        <w:rPr>
          <w:rFonts w:ascii="Arial" w:hAnsi="Arial" w:cs="Arial"/>
          <w:bCs/>
          <w:sz w:val="20"/>
          <w:szCs w:val="20"/>
        </w:rPr>
        <w:t>e</w:t>
      </w:r>
      <w:r w:rsidRPr="00A1221F">
        <w:rPr>
          <w:rFonts w:ascii="Arial" w:hAnsi="Arial" w:cs="Arial"/>
          <w:bCs/>
          <w:sz w:val="20"/>
          <w:szCs w:val="20"/>
        </w:rPr>
        <w:t xml:space="preserve"> pripisati razširitvi aktivnosti na področju opominjanja in pozivanja dolžnikov k prostovoljnemu plačevanju neporavnanih obveznosti. V letu 2022 je bilo izdano več opominov kot v letu 2021, enako velja tudi za prejeta plačila na podlagi izdanih opominov, ki jih je bilo za 104 mio več kot leto poprej. Med razlogi za povečanje plačil iz tega naslova velja </w:t>
      </w:r>
      <w:r w:rsidR="005F4065">
        <w:rPr>
          <w:rFonts w:ascii="Arial" w:hAnsi="Arial" w:cs="Arial"/>
          <w:bCs/>
          <w:sz w:val="20"/>
          <w:szCs w:val="20"/>
        </w:rPr>
        <w:t>p</w:t>
      </w:r>
      <w:r w:rsidR="00527930">
        <w:rPr>
          <w:rFonts w:ascii="Arial" w:hAnsi="Arial" w:cs="Arial"/>
          <w:bCs/>
          <w:sz w:val="20"/>
          <w:szCs w:val="20"/>
        </w:rPr>
        <w:t>o</w:t>
      </w:r>
      <w:r w:rsidR="005F4065">
        <w:rPr>
          <w:rFonts w:ascii="Arial" w:hAnsi="Arial" w:cs="Arial"/>
          <w:bCs/>
          <w:sz w:val="20"/>
          <w:szCs w:val="20"/>
        </w:rPr>
        <w:t>sebej navesti</w:t>
      </w:r>
      <w:r w:rsidR="005F4065" w:rsidRPr="00A1221F">
        <w:rPr>
          <w:rFonts w:ascii="Arial" w:hAnsi="Arial" w:cs="Arial"/>
          <w:bCs/>
          <w:sz w:val="20"/>
          <w:szCs w:val="20"/>
        </w:rPr>
        <w:t xml:space="preserve"> </w:t>
      </w:r>
      <w:r w:rsidRPr="00A1221F">
        <w:rPr>
          <w:rFonts w:ascii="Arial" w:hAnsi="Arial" w:cs="Arial"/>
          <w:bCs/>
          <w:sz w:val="20"/>
          <w:szCs w:val="20"/>
        </w:rPr>
        <w:t>obveznosti iz naslova odloženih prispevkov za socialno varnost samozaposlenim in kmetom za marec, april in maj 2020 do 31. 3. 2022 na podlagi ZIUPPP. Od druge polovice leta 2022 so se opomini za zapadle davčne obveznosti pošiljali tudi zavezancem, ki imajo naslov za vročanje v tujini. Dopolnjena je bila vsebina opomina, ki omogoča preglednejšo navedbo številke podračunov in možnost priprave plačilnega naloga s QR</w:t>
      </w:r>
      <w:r w:rsidR="005F4065">
        <w:rPr>
          <w:rFonts w:ascii="Arial" w:hAnsi="Arial" w:cs="Arial"/>
          <w:bCs/>
          <w:sz w:val="20"/>
          <w:szCs w:val="20"/>
        </w:rPr>
        <w:t>-</w:t>
      </w:r>
      <w:r w:rsidRPr="00A1221F">
        <w:rPr>
          <w:rFonts w:ascii="Arial" w:hAnsi="Arial" w:cs="Arial"/>
          <w:bCs/>
          <w:sz w:val="20"/>
          <w:szCs w:val="20"/>
        </w:rPr>
        <w:t>kodo.</w:t>
      </w:r>
    </w:p>
    <w:p w14:paraId="23451113" w14:textId="5905E6FF"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058C6">
        <w:rPr>
          <w:rFonts w:ascii="Arial" w:hAnsi="Arial" w:cs="Arial"/>
          <w:bCs/>
          <w:sz w:val="20"/>
          <w:szCs w:val="20"/>
        </w:rPr>
        <w:t>V letu</w:t>
      </w:r>
      <w:r w:rsidR="00992912">
        <w:rPr>
          <w:rFonts w:ascii="Arial" w:hAnsi="Arial" w:cs="Arial"/>
          <w:bCs/>
          <w:sz w:val="20"/>
          <w:szCs w:val="20"/>
        </w:rPr>
        <w:t xml:space="preserve"> </w:t>
      </w:r>
      <w:r w:rsidRPr="00B058C6">
        <w:rPr>
          <w:rFonts w:ascii="Arial" w:hAnsi="Arial" w:cs="Arial"/>
          <w:bCs/>
          <w:sz w:val="20"/>
          <w:szCs w:val="20"/>
        </w:rPr>
        <w:t>2022 je F</w:t>
      </w:r>
      <w:r>
        <w:rPr>
          <w:rFonts w:ascii="Arial" w:hAnsi="Arial" w:cs="Arial"/>
          <w:bCs/>
          <w:sz w:val="20"/>
          <w:szCs w:val="20"/>
        </w:rPr>
        <w:t xml:space="preserve">URS </w:t>
      </w:r>
      <w:r w:rsidRPr="00B058C6">
        <w:rPr>
          <w:rFonts w:ascii="Arial" w:hAnsi="Arial" w:cs="Arial"/>
          <w:bCs/>
          <w:sz w:val="20"/>
          <w:szCs w:val="20"/>
        </w:rPr>
        <w:t>izdal 14.023</w:t>
      </w:r>
      <w:r w:rsidR="00992912">
        <w:rPr>
          <w:rFonts w:ascii="Arial" w:hAnsi="Arial" w:cs="Arial"/>
          <w:bCs/>
          <w:sz w:val="20"/>
          <w:szCs w:val="20"/>
        </w:rPr>
        <w:t xml:space="preserve"> </w:t>
      </w:r>
      <w:r w:rsidRPr="00B058C6">
        <w:rPr>
          <w:rFonts w:ascii="Arial" w:hAnsi="Arial" w:cs="Arial"/>
          <w:bCs/>
          <w:sz w:val="20"/>
          <w:szCs w:val="20"/>
        </w:rPr>
        <w:t>obvestil o neplačanem zapadlem obroku oziroma odlogu za zapadle davčne obveznosti. Zapadle davčne obveznosti so bile davčnim zavezancem odobrene po posameznem obročnem načrtu odplačila davkov, s katerimi s</w:t>
      </w:r>
      <w:r w:rsidR="000555B9">
        <w:rPr>
          <w:rFonts w:ascii="Arial" w:hAnsi="Arial" w:cs="Arial"/>
          <w:bCs/>
          <w:sz w:val="20"/>
          <w:szCs w:val="20"/>
        </w:rPr>
        <w:t>o</w:t>
      </w:r>
      <w:r w:rsidRPr="00B058C6">
        <w:rPr>
          <w:rFonts w:ascii="Arial" w:hAnsi="Arial" w:cs="Arial"/>
          <w:bCs/>
          <w:sz w:val="20"/>
          <w:szCs w:val="20"/>
        </w:rPr>
        <w:t xml:space="preserve"> zavezanc</w:t>
      </w:r>
      <w:r w:rsidR="000555B9">
        <w:rPr>
          <w:rFonts w:ascii="Arial" w:hAnsi="Arial" w:cs="Arial"/>
          <w:bCs/>
          <w:sz w:val="20"/>
          <w:szCs w:val="20"/>
        </w:rPr>
        <w:t>i</w:t>
      </w:r>
      <w:r w:rsidRPr="00B058C6">
        <w:rPr>
          <w:rFonts w:ascii="Arial" w:hAnsi="Arial" w:cs="Arial"/>
          <w:bCs/>
          <w:sz w:val="20"/>
          <w:szCs w:val="20"/>
        </w:rPr>
        <w:t xml:space="preserve"> pozva</w:t>
      </w:r>
      <w:r w:rsidR="000555B9">
        <w:rPr>
          <w:rFonts w:ascii="Arial" w:hAnsi="Arial" w:cs="Arial"/>
          <w:bCs/>
          <w:sz w:val="20"/>
          <w:szCs w:val="20"/>
        </w:rPr>
        <w:t>ni</w:t>
      </w:r>
      <w:r w:rsidRPr="00B058C6">
        <w:rPr>
          <w:rFonts w:ascii="Arial" w:hAnsi="Arial" w:cs="Arial"/>
          <w:bCs/>
          <w:sz w:val="20"/>
          <w:szCs w:val="20"/>
        </w:rPr>
        <w:t xml:space="preserve"> k prostovoljnemu plačilu zamujenih obveznosti oziroma uskladitvi knjigovodskega stanja v primeru uporabe napačne reference za plačilo ali iz drugih razlogov. </w:t>
      </w:r>
    </w:p>
    <w:p w14:paraId="2BACC392" w14:textId="6F49F426" w:rsidR="00D847F2" w:rsidRPr="00B058C6"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058C6">
        <w:rPr>
          <w:rFonts w:ascii="Arial" w:hAnsi="Arial" w:cs="Arial"/>
          <w:bCs/>
          <w:sz w:val="20"/>
          <w:szCs w:val="20"/>
        </w:rPr>
        <w:t>Prav tako je bilo v letu 2022 izdanih več sklepov o davčni izvršbi kot v letu 2021</w:t>
      </w:r>
      <w:r>
        <w:rPr>
          <w:rFonts w:ascii="Arial" w:hAnsi="Arial" w:cs="Arial"/>
          <w:bCs/>
          <w:sz w:val="20"/>
          <w:szCs w:val="20"/>
        </w:rPr>
        <w:t xml:space="preserve"> </w:t>
      </w:r>
      <w:r w:rsidRPr="00B058C6">
        <w:rPr>
          <w:rFonts w:ascii="Arial" w:hAnsi="Arial" w:cs="Arial"/>
          <w:bCs/>
          <w:sz w:val="20"/>
          <w:szCs w:val="20"/>
        </w:rPr>
        <w:t xml:space="preserve">ter </w:t>
      </w:r>
      <w:r w:rsidR="000555B9">
        <w:rPr>
          <w:rFonts w:ascii="Arial" w:hAnsi="Arial" w:cs="Arial"/>
          <w:bCs/>
          <w:sz w:val="20"/>
          <w:szCs w:val="20"/>
        </w:rPr>
        <w:t>tako</w:t>
      </w:r>
      <w:r w:rsidR="000555B9" w:rsidRPr="00B058C6">
        <w:rPr>
          <w:rFonts w:ascii="Arial" w:hAnsi="Arial" w:cs="Arial"/>
          <w:bCs/>
          <w:sz w:val="20"/>
          <w:szCs w:val="20"/>
        </w:rPr>
        <w:t xml:space="preserve"> </w:t>
      </w:r>
      <w:r w:rsidRPr="00B058C6">
        <w:rPr>
          <w:rFonts w:ascii="Arial" w:hAnsi="Arial" w:cs="Arial"/>
          <w:bCs/>
          <w:sz w:val="20"/>
          <w:szCs w:val="20"/>
        </w:rPr>
        <w:t xml:space="preserve">poplačanega za 58 mio </w:t>
      </w:r>
      <w:r>
        <w:rPr>
          <w:rFonts w:ascii="Arial" w:hAnsi="Arial" w:cs="Arial"/>
          <w:bCs/>
          <w:sz w:val="20"/>
          <w:szCs w:val="20"/>
        </w:rPr>
        <w:t>EUR</w:t>
      </w:r>
      <w:r w:rsidRPr="00B058C6">
        <w:rPr>
          <w:rFonts w:ascii="Arial" w:hAnsi="Arial" w:cs="Arial"/>
          <w:bCs/>
          <w:sz w:val="20"/>
          <w:szCs w:val="20"/>
        </w:rPr>
        <w:t xml:space="preserve"> več davčnega dolga. </w:t>
      </w:r>
    </w:p>
    <w:p w14:paraId="1DD77E53" w14:textId="7AE5AF98" w:rsidR="00D847F2"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058C6">
        <w:rPr>
          <w:rFonts w:ascii="Arial" w:hAnsi="Arial" w:cs="Arial"/>
          <w:bCs/>
          <w:sz w:val="20"/>
          <w:szCs w:val="20"/>
        </w:rPr>
        <w:t xml:space="preserve">V letu 2022 je bilo zaznati tudi boljšo realizacijo izvedenih ukrepov izterjave kot v preteklem letu. V povprečju je bilo po opominih poplačanega 63,8 </w:t>
      </w:r>
      <w:r>
        <w:rPr>
          <w:rFonts w:ascii="Arial" w:hAnsi="Arial" w:cs="Arial"/>
          <w:bCs/>
          <w:sz w:val="20"/>
          <w:szCs w:val="20"/>
        </w:rPr>
        <w:t xml:space="preserve">odstotka </w:t>
      </w:r>
      <w:r w:rsidRPr="00B058C6">
        <w:rPr>
          <w:rFonts w:ascii="Arial" w:hAnsi="Arial" w:cs="Arial"/>
          <w:bCs/>
          <w:sz w:val="20"/>
          <w:szCs w:val="20"/>
        </w:rPr>
        <w:t>terjanega dolga</w:t>
      </w:r>
      <w:r w:rsidR="000555B9">
        <w:rPr>
          <w:rFonts w:ascii="Arial" w:hAnsi="Arial" w:cs="Arial"/>
          <w:bCs/>
          <w:sz w:val="20"/>
          <w:szCs w:val="20"/>
        </w:rPr>
        <w:t>,</w:t>
      </w:r>
      <w:r w:rsidRPr="00B058C6">
        <w:rPr>
          <w:rFonts w:ascii="Arial" w:hAnsi="Arial" w:cs="Arial"/>
          <w:bCs/>
          <w:sz w:val="20"/>
          <w:szCs w:val="20"/>
        </w:rPr>
        <w:t xml:space="preserve"> kar je za 10,6</w:t>
      </w:r>
      <w:r>
        <w:rPr>
          <w:rFonts w:ascii="Arial" w:hAnsi="Arial" w:cs="Arial"/>
          <w:bCs/>
          <w:sz w:val="20"/>
          <w:szCs w:val="20"/>
        </w:rPr>
        <w:t>-</w:t>
      </w:r>
      <w:r w:rsidRPr="00B058C6">
        <w:rPr>
          <w:rFonts w:ascii="Arial" w:hAnsi="Arial" w:cs="Arial"/>
          <w:bCs/>
          <w:sz w:val="20"/>
          <w:szCs w:val="20"/>
        </w:rPr>
        <w:t xml:space="preserve">odstotne točke več kot v letu 2021. Realizacija po sklepih o davčni izvršbi je </w:t>
      </w:r>
      <w:r w:rsidR="00180BB6">
        <w:rPr>
          <w:rFonts w:ascii="Arial" w:hAnsi="Arial" w:cs="Arial"/>
          <w:bCs/>
          <w:sz w:val="20"/>
          <w:szCs w:val="20"/>
        </w:rPr>
        <w:t>bila</w:t>
      </w:r>
      <w:r w:rsidR="00180BB6" w:rsidRPr="00B058C6">
        <w:rPr>
          <w:rFonts w:ascii="Arial" w:hAnsi="Arial" w:cs="Arial"/>
          <w:bCs/>
          <w:sz w:val="20"/>
          <w:szCs w:val="20"/>
        </w:rPr>
        <w:t xml:space="preserve"> </w:t>
      </w:r>
      <w:r w:rsidRPr="00B058C6">
        <w:rPr>
          <w:rFonts w:ascii="Arial" w:hAnsi="Arial" w:cs="Arial"/>
          <w:bCs/>
          <w:sz w:val="20"/>
          <w:szCs w:val="20"/>
        </w:rPr>
        <w:t>31,7</w:t>
      </w:r>
      <w:r w:rsidR="00180BB6">
        <w:rPr>
          <w:rFonts w:ascii="Arial" w:hAnsi="Arial" w:cs="Arial"/>
          <w:bCs/>
          <w:sz w:val="20"/>
          <w:szCs w:val="20"/>
        </w:rPr>
        <w:t>-</w:t>
      </w:r>
      <w:r>
        <w:rPr>
          <w:rFonts w:ascii="Arial" w:hAnsi="Arial" w:cs="Arial"/>
          <w:bCs/>
          <w:sz w:val="20"/>
          <w:szCs w:val="20"/>
        </w:rPr>
        <w:t>odstot</w:t>
      </w:r>
      <w:r w:rsidR="00180BB6">
        <w:rPr>
          <w:rFonts w:ascii="Arial" w:hAnsi="Arial" w:cs="Arial"/>
          <w:bCs/>
          <w:sz w:val="20"/>
          <w:szCs w:val="20"/>
        </w:rPr>
        <w:t>n</w:t>
      </w:r>
      <w:r>
        <w:rPr>
          <w:rFonts w:ascii="Arial" w:hAnsi="Arial" w:cs="Arial"/>
          <w:bCs/>
          <w:sz w:val="20"/>
          <w:szCs w:val="20"/>
        </w:rPr>
        <w:t xml:space="preserve">a </w:t>
      </w:r>
      <w:r w:rsidRPr="00B058C6">
        <w:rPr>
          <w:rFonts w:ascii="Arial" w:hAnsi="Arial" w:cs="Arial"/>
          <w:bCs/>
          <w:sz w:val="20"/>
          <w:szCs w:val="20"/>
        </w:rPr>
        <w:t>in je bila v primerjavi z letom 2021 višja za 8,1</w:t>
      </w:r>
      <w:r>
        <w:rPr>
          <w:rFonts w:ascii="Arial" w:hAnsi="Arial" w:cs="Arial"/>
          <w:bCs/>
          <w:sz w:val="20"/>
          <w:szCs w:val="20"/>
        </w:rPr>
        <w:t>-</w:t>
      </w:r>
      <w:r w:rsidRPr="00B058C6">
        <w:rPr>
          <w:rFonts w:ascii="Arial" w:hAnsi="Arial" w:cs="Arial"/>
          <w:bCs/>
          <w:sz w:val="20"/>
          <w:szCs w:val="20"/>
        </w:rPr>
        <w:t>odstotno točko.</w:t>
      </w:r>
      <w:r w:rsidR="00992912">
        <w:rPr>
          <w:rFonts w:ascii="Arial" w:hAnsi="Arial" w:cs="Arial"/>
          <w:bCs/>
          <w:sz w:val="20"/>
          <w:szCs w:val="20"/>
        </w:rPr>
        <w:t xml:space="preserve"> </w:t>
      </w:r>
      <w:r w:rsidRPr="00B058C6">
        <w:rPr>
          <w:rFonts w:ascii="Arial" w:hAnsi="Arial" w:cs="Arial"/>
          <w:bCs/>
          <w:sz w:val="20"/>
          <w:szCs w:val="20"/>
        </w:rPr>
        <w:t xml:space="preserve"> </w:t>
      </w:r>
    </w:p>
    <w:p w14:paraId="588E521A" w14:textId="76B032E8"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609DF85F" w14:textId="1D6788AE"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27F342D9" w14:textId="0B17E805"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2F2CB8E5" w14:textId="2DA67594"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65F9781E" w14:textId="4CF21205"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7DAA1D0F" w14:textId="579D5BC8"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4AD6E52B" w14:textId="1DD33505"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4AA5B976" w14:textId="41A6F70E"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3D60B977" w14:textId="03310876"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0B1E3704" w14:textId="4EEAB754"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1D87E690" w14:textId="06A0DF68"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p w14:paraId="64A744E0" w14:textId="77777777" w:rsidR="00247C3E" w:rsidRDefault="00247C3E"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p>
    <w:bookmarkEnd w:id="19"/>
    <w:p w14:paraId="6F15F829" w14:textId="66B4FD57" w:rsidR="00D847F2" w:rsidRDefault="00D847F2" w:rsidP="00D847F2">
      <w:pPr>
        <w:jc w:val="both"/>
        <w:rPr>
          <w:rFonts w:ascii="Arial" w:hAnsi="Arial" w:cs="Arial"/>
          <w:i/>
          <w:sz w:val="20"/>
          <w:szCs w:val="20"/>
        </w:rPr>
      </w:pPr>
      <w:r w:rsidRPr="003872A4">
        <w:rPr>
          <w:rFonts w:ascii="Arial" w:hAnsi="Arial" w:cs="Arial"/>
          <w:bCs/>
          <w:i/>
          <w:sz w:val="20"/>
          <w:szCs w:val="20"/>
        </w:rPr>
        <w:lastRenderedPageBreak/>
        <w:t>Preglednica</w:t>
      </w:r>
      <w:r w:rsidRPr="003872A4">
        <w:rPr>
          <w:rFonts w:ascii="Arial" w:hAnsi="Arial" w:cs="Arial"/>
          <w:i/>
          <w:sz w:val="20"/>
          <w:szCs w:val="20"/>
        </w:rPr>
        <w:t xml:space="preserve"> 1</w:t>
      </w:r>
      <w:r>
        <w:rPr>
          <w:rFonts w:ascii="Arial" w:hAnsi="Arial" w:cs="Arial"/>
          <w:i/>
          <w:sz w:val="20"/>
          <w:szCs w:val="20"/>
        </w:rPr>
        <w:t>4</w:t>
      </w:r>
      <w:r w:rsidRPr="003872A4">
        <w:rPr>
          <w:rFonts w:ascii="Arial" w:hAnsi="Arial" w:cs="Arial"/>
          <w:i/>
          <w:sz w:val="20"/>
          <w:szCs w:val="20"/>
        </w:rPr>
        <w:t>: Ukrepi izterjave davkov in drugih obveznih dajatev ter nedavčnih obveznosti</w:t>
      </w:r>
      <w:r w:rsidR="00992912">
        <w:rPr>
          <w:rFonts w:ascii="Arial" w:hAnsi="Arial" w:cs="Arial"/>
          <w:i/>
          <w:sz w:val="20"/>
          <w:szCs w:val="20"/>
        </w:rPr>
        <w:t xml:space="preserve"> </w:t>
      </w:r>
    </w:p>
    <w:tbl>
      <w:tblPr>
        <w:tblW w:w="9017" w:type="dxa"/>
        <w:tblCellMar>
          <w:left w:w="70" w:type="dxa"/>
          <w:right w:w="70" w:type="dxa"/>
        </w:tblCellMar>
        <w:tblLook w:val="04A0" w:firstRow="1" w:lastRow="0" w:firstColumn="1" w:lastColumn="0" w:noHBand="0" w:noVBand="1"/>
      </w:tblPr>
      <w:tblGrid>
        <w:gridCol w:w="2503"/>
        <w:gridCol w:w="997"/>
        <w:gridCol w:w="1342"/>
        <w:gridCol w:w="997"/>
        <w:gridCol w:w="1350"/>
        <w:gridCol w:w="933"/>
        <w:gridCol w:w="895"/>
      </w:tblGrid>
      <w:tr w:rsidR="00D847F2" w:rsidRPr="000743A6" w14:paraId="56242EE7" w14:textId="77777777" w:rsidTr="00556699">
        <w:trPr>
          <w:trHeight w:val="374"/>
        </w:trPr>
        <w:tc>
          <w:tcPr>
            <w:tcW w:w="2503"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14:paraId="38DE3E12" w14:textId="77777777" w:rsidR="00D847F2" w:rsidRPr="000743A6" w:rsidRDefault="00D847F2" w:rsidP="00556699">
            <w:pPr>
              <w:spacing w:after="0" w:line="240" w:lineRule="auto"/>
              <w:jc w:val="center"/>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Ukrepi izterjave</w:t>
            </w:r>
          </w:p>
        </w:tc>
        <w:tc>
          <w:tcPr>
            <w:tcW w:w="2339" w:type="dxa"/>
            <w:gridSpan w:val="2"/>
            <w:tcBorders>
              <w:top w:val="single" w:sz="4" w:space="0" w:color="auto"/>
              <w:left w:val="nil"/>
              <w:bottom w:val="single" w:sz="4" w:space="0" w:color="auto"/>
              <w:right w:val="single" w:sz="4" w:space="0" w:color="auto"/>
            </w:tcBorders>
            <w:shd w:val="clear" w:color="000000" w:fill="31849B"/>
            <w:vAlign w:val="center"/>
            <w:hideMark/>
          </w:tcPr>
          <w:p w14:paraId="41001813" w14:textId="77777777" w:rsidR="00D847F2" w:rsidRPr="000743A6" w:rsidRDefault="00D847F2" w:rsidP="00556699">
            <w:pPr>
              <w:spacing w:after="0" w:line="240" w:lineRule="auto"/>
              <w:jc w:val="center"/>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2021</w:t>
            </w:r>
          </w:p>
        </w:tc>
        <w:tc>
          <w:tcPr>
            <w:tcW w:w="2347" w:type="dxa"/>
            <w:gridSpan w:val="2"/>
            <w:tcBorders>
              <w:top w:val="single" w:sz="4" w:space="0" w:color="auto"/>
              <w:left w:val="nil"/>
              <w:bottom w:val="single" w:sz="4" w:space="0" w:color="auto"/>
              <w:right w:val="single" w:sz="4" w:space="0" w:color="auto"/>
            </w:tcBorders>
            <w:shd w:val="clear" w:color="000000" w:fill="31849B"/>
            <w:vAlign w:val="center"/>
            <w:hideMark/>
          </w:tcPr>
          <w:p w14:paraId="3BA85B15" w14:textId="77777777" w:rsidR="00D847F2" w:rsidRPr="000743A6" w:rsidRDefault="00D847F2" w:rsidP="00556699">
            <w:pPr>
              <w:spacing w:after="0" w:line="240" w:lineRule="auto"/>
              <w:jc w:val="center"/>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2022</w:t>
            </w:r>
          </w:p>
        </w:tc>
        <w:tc>
          <w:tcPr>
            <w:tcW w:w="1826" w:type="dxa"/>
            <w:gridSpan w:val="2"/>
            <w:tcBorders>
              <w:top w:val="single" w:sz="4" w:space="0" w:color="auto"/>
              <w:left w:val="nil"/>
              <w:bottom w:val="single" w:sz="4" w:space="0" w:color="auto"/>
              <w:right w:val="single" w:sz="4" w:space="0" w:color="auto"/>
            </w:tcBorders>
            <w:shd w:val="clear" w:color="000000" w:fill="31849B"/>
            <w:vAlign w:val="center"/>
            <w:hideMark/>
          </w:tcPr>
          <w:p w14:paraId="44BB07B9" w14:textId="77777777" w:rsidR="00D847F2" w:rsidRPr="000743A6" w:rsidRDefault="00D847F2" w:rsidP="00556699">
            <w:pPr>
              <w:spacing w:after="0" w:line="240" w:lineRule="auto"/>
              <w:jc w:val="center"/>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Indeks 2022/2021</w:t>
            </w:r>
          </w:p>
        </w:tc>
      </w:tr>
      <w:tr w:rsidR="00D847F2" w:rsidRPr="000743A6" w14:paraId="63EDC27B" w14:textId="77777777" w:rsidTr="00556699">
        <w:trPr>
          <w:trHeight w:val="411"/>
        </w:trPr>
        <w:tc>
          <w:tcPr>
            <w:tcW w:w="2503" w:type="dxa"/>
            <w:vMerge/>
            <w:tcBorders>
              <w:top w:val="single" w:sz="4" w:space="0" w:color="auto"/>
              <w:left w:val="single" w:sz="4" w:space="0" w:color="auto"/>
              <w:bottom w:val="single" w:sz="4" w:space="0" w:color="auto"/>
              <w:right w:val="single" w:sz="4" w:space="0" w:color="auto"/>
            </w:tcBorders>
            <w:vAlign w:val="center"/>
            <w:hideMark/>
          </w:tcPr>
          <w:p w14:paraId="452846EF"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p>
        </w:tc>
        <w:tc>
          <w:tcPr>
            <w:tcW w:w="997" w:type="dxa"/>
            <w:tcBorders>
              <w:top w:val="nil"/>
              <w:left w:val="nil"/>
              <w:bottom w:val="single" w:sz="4" w:space="0" w:color="auto"/>
              <w:right w:val="single" w:sz="4" w:space="0" w:color="auto"/>
            </w:tcBorders>
            <w:shd w:val="clear" w:color="000000" w:fill="31849B"/>
            <w:vAlign w:val="center"/>
            <w:hideMark/>
          </w:tcPr>
          <w:p w14:paraId="353611B2"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Število</w:t>
            </w:r>
          </w:p>
        </w:tc>
        <w:tc>
          <w:tcPr>
            <w:tcW w:w="1342" w:type="dxa"/>
            <w:tcBorders>
              <w:top w:val="nil"/>
              <w:left w:val="nil"/>
              <w:bottom w:val="single" w:sz="4" w:space="0" w:color="auto"/>
              <w:right w:val="single" w:sz="4" w:space="0" w:color="auto"/>
            </w:tcBorders>
            <w:shd w:val="clear" w:color="000000" w:fill="31849B"/>
            <w:vAlign w:val="center"/>
            <w:hideMark/>
          </w:tcPr>
          <w:p w14:paraId="7651AF74"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Znesek v evrih</w:t>
            </w:r>
          </w:p>
        </w:tc>
        <w:tc>
          <w:tcPr>
            <w:tcW w:w="997" w:type="dxa"/>
            <w:tcBorders>
              <w:top w:val="nil"/>
              <w:left w:val="nil"/>
              <w:bottom w:val="single" w:sz="4" w:space="0" w:color="auto"/>
              <w:right w:val="single" w:sz="4" w:space="0" w:color="auto"/>
            </w:tcBorders>
            <w:shd w:val="clear" w:color="000000" w:fill="31849B"/>
            <w:vAlign w:val="center"/>
            <w:hideMark/>
          </w:tcPr>
          <w:p w14:paraId="36C4F485"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Število</w:t>
            </w:r>
          </w:p>
        </w:tc>
        <w:tc>
          <w:tcPr>
            <w:tcW w:w="1350" w:type="dxa"/>
            <w:tcBorders>
              <w:top w:val="nil"/>
              <w:left w:val="nil"/>
              <w:bottom w:val="single" w:sz="4" w:space="0" w:color="auto"/>
              <w:right w:val="single" w:sz="4" w:space="0" w:color="auto"/>
            </w:tcBorders>
            <w:shd w:val="clear" w:color="000000" w:fill="31849B"/>
            <w:vAlign w:val="center"/>
            <w:hideMark/>
          </w:tcPr>
          <w:p w14:paraId="3CE56410"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Znesek v evrih</w:t>
            </w:r>
          </w:p>
        </w:tc>
        <w:tc>
          <w:tcPr>
            <w:tcW w:w="933" w:type="dxa"/>
            <w:tcBorders>
              <w:top w:val="nil"/>
              <w:left w:val="nil"/>
              <w:bottom w:val="single" w:sz="4" w:space="0" w:color="auto"/>
              <w:right w:val="single" w:sz="4" w:space="0" w:color="auto"/>
            </w:tcBorders>
            <w:shd w:val="clear" w:color="000000" w:fill="31849B"/>
            <w:vAlign w:val="center"/>
            <w:hideMark/>
          </w:tcPr>
          <w:p w14:paraId="473C9A2C"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Število</w:t>
            </w:r>
          </w:p>
        </w:tc>
        <w:tc>
          <w:tcPr>
            <w:tcW w:w="892" w:type="dxa"/>
            <w:tcBorders>
              <w:top w:val="nil"/>
              <w:left w:val="nil"/>
              <w:bottom w:val="single" w:sz="4" w:space="0" w:color="auto"/>
              <w:right w:val="single" w:sz="4" w:space="0" w:color="auto"/>
            </w:tcBorders>
            <w:shd w:val="clear" w:color="000000" w:fill="31849B"/>
            <w:vAlign w:val="center"/>
            <w:hideMark/>
          </w:tcPr>
          <w:p w14:paraId="7AF35416"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Znesek</w:t>
            </w:r>
          </w:p>
        </w:tc>
      </w:tr>
      <w:tr w:rsidR="00D847F2" w:rsidRPr="000743A6" w14:paraId="593A3C24" w14:textId="77777777" w:rsidTr="00556699">
        <w:trPr>
          <w:trHeight w:val="253"/>
        </w:trPr>
        <w:tc>
          <w:tcPr>
            <w:tcW w:w="9017"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334AD781"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 xml:space="preserve">Opomini pred začetkom davčne izvršbe </w:t>
            </w:r>
          </w:p>
        </w:tc>
      </w:tr>
      <w:tr w:rsidR="00D847F2" w:rsidRPr="000743A6" w14:paraId="75B5ACCA" w14:textId="77777777" w:rsidTr="00556699">
        <w:trPr>
          <w:trHeight w:val="253"/>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2A220779"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 xml:space="preserve">Poslani opomini </w:t>
            </w:r>
          </w:p>
        </w:tc>
        <w:tc>
          <w:tcPr>
            <w:tcW w:w="997" w:type="dxa"/>
            <w:tcBorders>
              <w:top w:val="nil"/>
              <w:left w:val="nil"/>
              <w:bottom w:val="single" w:sz="4" w:space="0" w:color="auto"/>
              <w:right w:val="single" w:sz="4" w:space="0" w:color="auto"/>
            </w:tcBorders>
            <w:shd w:val="clear" w:color="auto" w:fill="auto"/>
            <w:vAlign w:val="center"/>
            <w:hideMark/>
          </w:tcPr>
          <w:p w14:paraId="768570FD"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858.068</w:t>
            </w:r>
          </w:p>
        </w:tc>
        <w:tc>
          <w:tcPr>
            <w:tcW w:w="1342" w:type="dxa"/>
            <w:tcBorders>
              <w:top w:val="nil"/>
              <w:left w:val="nil"/>
              <w:bottom w:val="single" w:sz="4" w:space="0" w:color="auto"/>
              <w:right w:val="single" w:sz="4" w:space="0" w:color="auto"/>
            </w:tcBorders>
            <w:shd w:val="clear" w:color="000000" w:fill="DAEEF3"/>
            <w:vAlign w:val="center"/>
            <w:hideMark/>
          </w:tcPr>
          <w:p w14:paraId="784C9769"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603.935.848</w:t>
            </w:r>
          </w:p>
        </w:tc>
        <w:tc>
          <w:tcPr>
            <w:tcW w:w="997" w:type="dxa"/>
            <w:tcBorders>
              <w:top w:val="nil"/>
              <w:left w:val="nil"/>
              <w:bottom w:val="single" w:sz="4" w:space="0" w:color="auto"/>
              <w:right w:val="single" w:sz="4" w:space="0" w:color="auto"/>
            </w:tcBorders>
            <w:shd w:val="clear" w:color="auto" w:fill="auto"/>
            <w:vAlign w:val="center"/>
            <w:hideMark/>
          </w:tcPr>
          <w:p w14:paraId="2D59A0F0"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985.229</w:t>
            </w:r>
          </w:p>
        </w:tc>
        <w:tc>
          <w:tcPr>
            <w:tcW w:w="1350" w:type="dxa"/>
            <w:tcBorders>
              <w:top w:val="nil"/>
              <w:left w:val="nil"/>
              <w:bottom w:val="single" w:sz="4" w:space="0" w:color="auto"/>
              <w:right w:val="single" w:sz="4" w:space="0" w:color="auto"/>
            </w:tcBorders>
            <w:shd w:val="clear" w:color="000000" w:fill="DAEEF3"/>
            <w:vAlign w:val="center"/>
            <w:hideMark/>
          </w:tcPr>
          <w:p w14:paraId="627FF286"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666.975.195</w:t>
            </w:r>
          </w:p>
        </w:tc>
        <w:tc>
          <w:tcPr>
            <w:tcW w:w="933" w:type="dxa"/>
            <w:tcBorders>
              <w:top w:val="nil"/>
              <w:left w:val="nil"/>
              <w:bottom w:val="single" w:sz="4" w:space="0" w:color="auto"/>
              <w:right w:val="single" w:sz="4" w:space="0" w:color="auto"/>
            </w:tcBorders>
            <w:shd w:val="clear" w:color="auto" w:fill="auto"/>
            <w:vAlign w:val="center"/>
            <w:hideMark/>
          </w:tcPr>
          <w:p w14:paraId="6187E8A0"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114,8</w:t>
            </w:r>
          </w:p>
        </w:tc>
        <w:tc>
          <w:tcPr>
            <w:tcW w:w="892" w:type="dxa"/>
            <w:tcBorders>
              <w:top w:val="nil"/>
              <w:left w:val="nil"/>
              <w:bottom w:val="single" w:sz="4" w:space="0" w:color="auto"/>
              <w:right w:val="single" w:sz="4" w:space="0" w:color="auto"/>
            </w:tcBorders>
            <w:shd w:val="clear" w:color="auto" w:fill="auto"/>
            <w:vAlign w:val="center"/>
            <w:hideMark/>
          </w:tcPr>
          <w:p w14:paraId="35F43C2F"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110,4</w:t>
            </w:r>
          </w:p>
        </w:tc>
      </w:tr>
      <w:tr w:rsidR="00D847F2" w:rsidRPr="000743A6" w14:paraId="590DD8DC" w14:textId="77777777" w:rsidTr="00556699">
        <w:trPr>
          <w:trHeight w:val="398"/>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55B2B9CB"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Plačila na podlagi opominov</w:t>
            </w:r>
          </w:p>
        </w:tc>
        <w:tc>
          <w:tcPr>
            <w:tcW w:w="997" w:type="dxa"/>
            <w:tcBorders>
              <w:top w:val="nil"/>
              <w:left w:val="nil"/>
              <w:bottom w:val="single" w:sz="4" w:space="0" w:color="auto"/>
              <w:right w:val="single" w:sz="4" w:space="0" w:color="auto"/>
            </w:tcBorders>
            <w:shd w:val="clear" w:color="auto" w:fill="auto"/>
            <w:vAlign w:val="center"/>
            <w:hideMark/>
          </w:tcPr>
          <w:p w14:paraId="448E76B0"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543.457</w:t>
            </w:r>
          </w:p>
        </w:tc>
        <w:tc>
          <w:tcPr>
            <w:tcW w:w="1342" w:type="dxa"/>
            <w:tcBorders>
              <w:top w:val="nil"/>
              <w:left w:val="nil"/>
              <w:bottom w:val="single" w:sz="4" w:space="0" w:color="auto"/>
              <w:right w:val="single" w:sz="4" w:space="0" w:color="auto"/>
            </w:tcBorders>
            <w:shd w:val="clear" w:color="000000" w:fill="DAEEF3"/>
            <w:vAlign w:val="center"/>
            <w:hideMark/>
          </w:tcPr>
          <w:p w14:paraId="286C24E4"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320.813.391</w:t>
            </w:r>
          </w:p>
        </w:tc>
        <w:tc>
          <w:tcPr>
            <w:tcW w:w="997" w:type="dxa"/>
            <w:tcBorders>
              <w:top w:val="nil"/>
              <w:left w:val="nil"/>
              <w:bottom w:val="single" w:sz="4" w:space="0" w:color="auto"/>
              <w:right w:val="single" w:sz="4" w:space="0" w:color="auto"/>
            </w:tcBorders>
            <w:shd w:val="clear" w:color="auto" w:fill="auto"/>
            <w:vAlign w:val="center"/>
            <w:hideMark/>
          </w:tcPr>
          <w:p w14:paraId="57D00855"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645.052</w:t>
            </w:r>
          </w:p>
        </w:tc>
        <w:tc>
          <w:tcPr>
            <w:tcW w:w="1350" w:type="dxa"/>
            <w:tcBorders>
              <w:top w:val="nil"/>
              <w:left w:val="nil"/>
              <w:bottom w:val="single" w:sz="4" w:space="0" w:color="auto"/>
              <w:right w:val="single" w:sz="4" w:space="0" w:color="auto"/>
            </w:tcBorders>
            <w:shd w:val="clear" w:color="000000" w:fill="DAEEF3"/>
            <w:vAlign w:val="center"/>
            <w:hideMark/>
          </w:tcPr>
          <w:p w14:paraId="62DC85FC"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425.282.341</w:t>
            </w:r>
          </w:p>
        </w:tc>
        <w:tc>
          <w:tcPr>
            <w:tcW w:w="933" w:type="dxa"/>
            <w:tcBorders>
              <w:top w:val="nil"/>
              <w:left w:val="nil"/>
              <w:bottom w:val="single" w:sz="4" w:space="0" w:color="auto"/>
              <w:right w:val="single" w:sz="4" w:space="0" w:color="auto"/>
            </w:tcBorders>
            <w:shd w:val="clear" w:color="auto" w:fill="auto"/>
            <w:vAlign w:val="center"/>
            <w:hideMark/>
          </w:tcPr>
          <w:p w14:paraId="410CFDF9"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118,7</w:t>
            </w:r>
          </w:p>
        </w:tc>
        <w:tc>
          <w:tcPr>
            <w:tcW w:w="892" w:type="dxa"/>
            <w:tcBorders>
              <w:top w:val="nil"/>
              <w:left w:val="nil"/>
              <w:bottom w:val="single" w:sz="4" w:space="0" w:color="auto"/>
              <w:right w:val="single" w:sz="4" w:space="0" w:color="auto"/>
            </w:tcBorders>
            <w:shd w:val="clear" w:color="auto" w:fill="auto"/>
            <w:vAlign w:val="center"/>
            <w:hideMark/>
          </w:tcPr>
          <w:p w14:paraId="2A7802BD"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132,6</w:t>
            </w:r>
          </w:p>
        </w:tc>
      </w:tr>
      <w:tr w:rsidR="00D847F2" w:rsidRPr="000743A6" w14:paraId="185BBF47" w14:textId="77777777" w:rsidTr="00556699">
        <w:trPr>
          <w:trHeight w:val="386"/>
        </w:trPr>
        <w:tc>
          <w:tcPr>
            <w:tcW w:w="9017"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034565B7"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Pozivi za plačilo in predložitev seznama premoženja</w:t>
            </w:r>
          </w:p>
        </w:tc>
      </w:tr>
      <w:tr w:rsidR="00D847F2" w:rsidRPr="000743A6" w14:paraId="2C837DB7" w14:textId="77777777" w:rsidTr="00556699">
        <w:trPr>
          <w:trHeight w:val="701"/>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12C5B734"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Izdani pozivi za plačilo in predložitev seznama premoženja</w:t>
            </w:r>
          </w:p>
        </w:tc>
        <w:tc>
          <w:tcPr>
            <w:tcW w:w="997" w:type="dxa"/>
            <w:tcBorders>
              <w:top w:val="nil"/>
              <w:left w:val="nil"/>
              <w:bottom w:val="single" w:sz="4" w:space="0" w:color="auto"/>
              <w:right w:val="single" w:sz="4" w:space="0" w:color="auto"/>
            </w:tcBorders>
            <w:shd w:val="clear" w:color="auto" w:fill="auto"/>
            <w:vAlign w:val="center"/>
            <w:hideMark/>
          </w:tcPr>
          <w:p w14:paraId="4611F70B"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29.469</w:t>
            </w:r>
          </w:p>
        </w:tc>
        <w:tc>
          <w:tcPr>
            <w:tcW w:w="1342" w:type="dxa"/>
            <w:tcBorders>
              <w:top w:val="nil"/>
              <w:left w:val="nil"/>
              <w:bottom w:val="single" w:sz="4" w:space="0" w:color="auto"/>
              <w:right w:val="single" w:sz="4" w:space="0" w:color="auto"/>
            </w:tcBorders>
            <w:shd w:val="clear" w:color="000000" w:fill="DAEEF3"/>
            <w:vAlign w:val="center"/>
            <w:hideMark/>
          </w:tcPr>
          <w:p w14:paraId="3A3F40D4"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44.301.044</w:t>
            </w:r>
          </w:p>
        </w:tc>
        <w:tc>
          <w:tcPr>
            <w:tcW w:w="997" w:type="dxa"/>
            <w:tcBorders>
              <w:top w:val="nil"/>
              <w:left w:val="nil"/>
              <w:bottom w:val="single" w:sz="4" w:space="0" w:color="auto"/>
              <w:right w:val="single" w:sz="4" w:space="0" w:color="auto"/>
            </w:tcBorders>
            <w:shd w:val="clear" w:color="auto" w:fill="auto"/>
            <w:vAlign w:val="center"/>
            <w:hideMark/>
          </w:tcPr>
          <w:p w14:paraId="27A6EB12"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30.920</w:t>
            </w:r>
          </w:p>
        </w:tc>
        <w:tc>
          <w:tcPr>
            <w:tcW w:w="1350" w:type="dxa"/>
            <w:tcBorders>
              <w:top w:val="nil"/>
              <w:left w:val="nil"/>
              <w:bottom w:val="single" w:sz="4" w:space="0" w:color="auto"/>
              <w:right w:val="single" w:sz="4" w:space="0" w:color="auto"/>
            </w:tcBorders>
            <w:shd w:val="clear" w:color="000000" w:fill="DAEEF3"/>
            <w:vAlign w:val="center"/>
            <w:hideMark/>
          </w:tcPr>
          <w:p w14:paraId="4994D426"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90.162.837</w:t>
            </w:r>
          </w:p>
        </w:tc>
        <w:tc>
          <w:tcPr>
            <w:tcW w:w="933" w:type="dxa"/>
            <w:tcBorders>
              <w:top w:val="nil"/>
              <w:left w:val="nil"/>
              <w:bottom w:val="single" w:sz="4" w:space="0" w:color="auto"/>
              <w:right w:val="single" w:sz="4" w:space="0" w:color="auto"/>
            </w:tcBorders>
            <w:shd w:val="clear" w:color="auto" w:fill="auto"/>
            <w:vAlign w:val="center"/>
            <w:hideMark/>
          </w:tcPr>
          <w:p w14:paraId="6D9BA200"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104,9</w:t>
            </w:r>
          </w:p>
        </w:tc>
        <w:tc>
          <w:tcPr>
            <w:tcW w:w="892" w:type="dxa"/>
            <w:tcBorders>
              <w:top w:val="nil"/>
              <w:left w:val="nil"/>
              <w:bottom w:val="single" w:sz="4" w:space="0" w:color="auto"/>
              <w:right w:val="single" w:sz="4" w:space="0" w:color="auto"/>
            </w:tcBorders>
            <w:shd w:val="clear" w:color="auto" w:fill="auto"/>
            <w:vAlign w:val="center"/>
            <w:hideMark/>
          </w:tcPr>
          <w:p w14:paraId="06A2BEEF"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203,5</w:t>
            </w:r>
          </w:p>
        </w:tc>
      </w:tr>
      <w:tr w:rsidR="00D847F2" w:rsidRPr="000743A6" w14:paraId="5443E8D0" w14:textId="77777777" w:rsidTr="00556699">
        <w:trPr>
          <w:trHeight w:val="374"/>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4B7A935F"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Plačila na podlagi pozivov</w:t>
            </w:r>
          </w:p>
        </w:tc>
        <w:tc>
          <w:tcPr>
            <w:tcW w:w="997" w:type="dxa"/>
            <w:tcBorders>
              <w:top w:val="nil"/>
              <w:left w:val="nil"/>
              <w:bottom w:val="single" w:sz="4" w:space="0" w:color="auto"/>
              <w:right w:val="single" w:sz="4" w:space="0" w:color="auto"/>
            </w:tcBorders>
            <w:shd w:val="clear" w:color="auto" w:fill="auto"/>
            <w:vAlign w:val="center"/>
            <w:hideMark/>
          </w:tcPr>
          <w:p w14:paraId="38747EB3"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98.496</w:t>
            </w:r>
          </w:p>
        </w:tc>
        <w:tc>
          <w:tcPr>
            <w:tcW w:w="1342" w:type="dxa"/>
            <w:tcBorders>
              <w:top w:val="nil"/>
              <w:left w:val="nil"/>
              <w:bottom w:val="single" w:sz="4" w:space="0" w:color="auto"/>
              <w:right w:val="single" w:sz="4" w:space="0" w:color="auto"/>
            </w:tcBorders>
            <w:shd w:val="clear" w:color="000000" w:fill="DAEEF3"/>
            <w:vAlign w:val="center"/>
            <w:hideMark/>
          </w:tcPr>
          <w:p w14:paraId="682D750A"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2.887.117</w:t>
            </w:r>
          </w:p>
        </w:tc>
        <w:tc>
          <w:tcPr>
            <w:tcW w:w="997" w:type="dxa"/>
            <w:tcBorders>
              <w:top w:val="nil"/>
              <w:left w:val="nil"/>
              <w:bottom w:val="single" w:sz="4" w:space="0" w:color="auto"/>
              <w:right w:val="single" w:sz="4" w:space="0" w:color="auto"/>
            </w:tcBorders>
            <w:shd w:val="clear" w:color="auto" w:fill="auto"/>
            <w:vAlign w:val="center"/>
            <w:hideMark/>
          </w:tcPr>
          <w:p w14:paraId="32EFDC92"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107.597</w:t>
            </w:r>
          </w:p>
        </w:tc>
        <w:tc>
          <w:tcPr>
            <w:tcW w:w="1350" w:type="dxa"/>
            <w:tcBorders>
              <w:top w:val="nil"/>
              <w:left w:val="nil"/>
              <w:bottom w:val="single" w:sz="4" w:space="0" w:color="auto"/>
              <w:right w:val="single" w:sz="4" w:space="0" w:color="auto"/>
            </w:tcBorders>
            <w:shd w:val="clear" w:color="000000" w:fill="DAEEF3"/>
            <w:vAlign w:val="center"/>
            <w:hideMark/>
          </w:tcPr>
          <w:p w14:paraId="36EDA202"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2.333.753</w:t>
            </w:r>
          </w:p>
        </w:tc>
        <w:tc>
          <w:tcPr>
            <w:tcW w:w="933" w:type="dxa"/>
            <w:tcBorders>
              <w:top w:val="nil"/>
              <w:left w:val="nil"/>
              <w:bottom w:val="single" w:sz="4" w:space="0" w:color="auto"/>
              <w:right w:val="single" w:sz="4" w:space="0" w:color="auto"/>
            </w:tcBorders>
            <w:shd w:val="clear" w:color="auto" w:fill="auto"/>
            <w:vAlign w:val="center"/>
            <w:hideMark/>
          </w:tcPr>
          <w:p w14:paraId="556CFFD1"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109,2</w:t>
            </w:r>
          </w:p>
        </w:tc>
        <w:tc>
          <w:tcPr>
            <w:tcW w:w="892" w:type="dxa"/>
            <w:tcBorders>
              <w:top w:val="nil"/>
              <w:left w:val="nil"/>
              <w:bottom w:val="single" w:sz="4" w:space="0" w:color="auto"/>
              <w:right w:val="single" w:sz="4" w:space="0" w:color="auto"/>
            </w:tcBorders>
            <w:shd w:val="clear" w:color="auto" w:fill="auto"/>
            <w:vAlign w:val="center"/>
            <w:hideMark/>
          </w:tcPr>
          <w:p w14:paraId="519ECDA4"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80,8</w:t>
            </w:r>
          </w:p>
        </w:tc>
      </w:tr>
      <w:tr w:rsidR="00D847F2" w:rsidRPr="000743A6" w14:paraId="69E3B262" w14:textId="77777777" w:rsidTr="00556699">
        <w:trPr>
          <w:trHeight w:val="398"/>
        </w:trPr>
        <w:tc>
          <w:tcPr>
            <w:tcW w:w="9017"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4C476467"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Sklep o davčni izvršbi</w:t>
            </w:r>
          </w:p>
        </w:tc>
      </w:tr>
      <w:tr w:rsidR="00D847F2" w:rsidRPr="000743A6" w14:paraId="132A5DCB" w14:textId="77777777" w:rsidTr="00556699">
        <w:trPr>
          <w:trHeight w:val="374"/>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5F3F5A2D"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Izdani sklepi</w:t>
            </w:r>
          </w:p>
        </w:tc>
        <w:tc>
          <w:tcPr>
            <w:tcW w:w="997" w:type="dxa"/>
            <w:tcBorders>
              <w:top w:val="nil"/>
              <w:left w:val="nil"/>
              <w:bottom w:val="single" w:sz="4" w:space="0" w:color="auto"/>
              <w:right w:val="single" w:sz="4" w:space="0" w:color="auto"/>
            </w:tcBorders>
            <w:shd w:val="clear" w:color="auto" w:fill="auto"/>
            <w:vAlign w:val="center"/>
            <w:hideMark/>
          </w:tcPr>
          <w:p w14:paraId="1C7364DD"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242.310</w:t>
            </w:r>
          </w:p>
        </w:tc>
        <w:tc>
          <w:tcPr>
            <w:tcW w:w="1342" w:type="dxa"/>
            <w:tcBorders>
              <w:top w:val="nil"/>
              <w:left w:val="nil"/>
              <w:bottom w:val="single" w:sz="4" w:space="0" w:color="auto"/>
              <w:right w:val="single" w:sz="4" w:space="0" w:color="auto"/>
            </w:tcBorders>
            <w:shd w:val="clear" w:color="000000" w:fill="DAEEF3"/>
            <w:vAlign w:val="center"/>
            <w:hideMark/>
          </w:tcPr>
          <w:p w14:paraId="11F13713"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545.155.488</w:t>
            </w:r>
          </w:p>
        </w:tc>
        <w:tc>
          <w:tcPr>
            <w:tcW w:w="997" w:type="dxa"/>
            <w:tcBorders>
              <w:top w:val="nil"/>
              <w:left w:val="nil"/>
              <w:bottom w:val="single" w:sz="4" w:space="0" w:color="auto"/>
              <w:right w:val="single" w:sz="4" w:space="0" w:color="auto"/>
            </w:tcBorders>
            <w:shd w:val="clear" w:color="auto" w:fill="auto"/>
            <w:vAlign w:val="center"/>
            <w:hideMark/>
          </w:tcPr>
          <w:p w14:paraId="6DDA7DA3"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305.944</w:t>
            </w:r>
          </w:p>
        </w:tc>
        <w:tc>
          <w:tcPr>
            <w:tcW w:w="1350" w:type="dxa"/>
            <w:tcBorders>
              <w:top w:val="nil"/>
              <w:left w:val="nil"/>
              <w:bottom w:val="single" w:sz="4" w:space="0" w:color="auto"/>
              <w:right w:val="single" w:sz="4" w:space="0" w:color="auto"/>
            </w:tcBorders>
            <w:shd w:val="clear" w:color="000000" w:fill="DAEEF3"/>
            <w:vAlign w:val="center"/>
            <w:hideMark/>
          </w:tcPr>
          <w:p w14:paraId="7212B6B8"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589.561.652</w:t>
            </w:r>
          </w:p>
        </w:tc>
        <w:tc>
          <w:tcPr>
            <w:tcW w:w="933" w:type="dxa"/>
            <w:tcBorders>
              <w:top w:val="nil"/>
              <w:left w:val="nil"/>
              <w:bottom w:val="single" w:sz="4" w:space="0" w:color="auto"/>
              <w:right w:val="single" w:sz="4" w:space="0" w:color="auto"/>
            </w:tcBorders>
            <w:shd w:val="clear" w:color="auto" w:fill="auto"/>
            <w:vAlign w:val="center"/>
            <w:hideMark/>
          </w:tcPr>
          <w:p w14:paraId="52F8AF3F"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126,3</w:t>
            </w:r>
          </w:p>
        </w:tc>
        <w:tc>
          <w:tcPr>
            <w:tcW w:w="892" w:type="dxa"/>
            <w:tcBorders>
              <w:top w:val="nil"/>
              <w:left w:val="nil"/>
              <w:bottom w:val="single" w:sz="4" w:space="0" w:color="auto"/>
              <w:right w:val="single" w:sz="4" w:space="0" w:color="auto"/>
            </w:tcBorders>
            <w:shd w:val="clear" w:color="auto" w:fill="auto"/>
            <w:vAlign w:val="center"/>
            <w:hideMark/>
          </w:tcPr>
          <w:p w14:paraId="2967EE36"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108,1</w:t>
            </w:r>
          </w:p>
        </w:tc>
      </w:tr>
      <w:tr w:rsidR="00D847F2" w:rsidRPr="000743A6" w14:paraId="25766192" w14:textId="77777777" w:rsidTr="00556699">
        <w:trPr>
          <w:trHeight w:val="447"/>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5B5CF5DC" w14:textId="77777777" w:rsidR="00D847F2" w:rsidRPr="000743A6" w:rsidRDefault="00D847F2" w:rsidP="00556699">
            <w:pPr>
              <w:spacing w:after="0" w:line="240" w:lineRule="auto"/>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Plačila na podlagi sklepov</w:t>
            </w:r>
          </w:p>
        </w:tc>
        <w:tc>
          <w:tcPr>
            <w:tcW w:w="997" w:type="dxa"/>
            <w:tcBorders>
              <w:top w:val="nil"/>
              <w:left w:val="nil"/>
              <w:bottom w:val="single" w:sz="4" w:space="0" w:color="auto"/>
              <w:right w:val="single" w:sz="4" w:space="0" w:color="auto"/>
            </w:tcBorders>
            <w:shd w:val="clear" w:color="auto" w:fill="auto"/>
            <w:vAlign w:val="center"/>
            <w:hideMark/>
          </w:tcPr>
          <w:p w14:paraId="1850CCD8"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283.243</w:t>
            </w:r>
          </w:p>
        </w:tc>
        <w:tc>
          <w:tcPr>
            <w:tcW w:w="1342" w:type="dxa"/>
            <w:tcBorders>
              <w:top w:val="nil"/>
              <w:left w:val="nil"/>
              <w:bottom w:val="single" w:sz="4" w:space="0" w:color="auto"/>
              <w:right w:val="single" w:sz="4" w:space="0" w:color="auto"/>
            </w:tcBorders>
            <w:shd w:val="clear" w:color="000000" w:fill="DAEEF3"/>
            <w:vAlign w:val="center"/>
            <w:hideMark/>
          </w:tcPr>
          <w:p w14:paraId="6ECF3EBA"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129.003.415</w:t>
            </w:r>
          </w:p>
        </w:tc>
        <w:tc>
          <w:tcPr>
            <w:tcW w:w="997" w:type="dxa"/>
            <w:tcBorders>
              <w:top w:val="nil"/>
              <w:left w:val="nil"/>
              <w:bottom w:val="single" w:sz="4" w:space="0" w:color="auto"/>
              <w:right w:val="single" w:sz="4" w:space="0" w:color="auto"/>
            </w:tcBorders>
            <w:shd w:val="clear" w:color="auto" w:fill="auto"/>
            <w:vAlign w:val="center"/>
            <w:hideMark/>
          </w:tcPr>
          <w:p w14:paraId="1FA6519F"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347.809</w:t>
            </w:r>
          </w:p>
        </w:tc>
        <w:tc>
          <w:tcPr>
            <w:tcW w:w="1350" w:type="dxa"/>
            <w:tcBorders>
              <w:top w:val="nil"/>
              <w:left w:val="nil"/>
              <w:bottom w:val="single" w:sz="4" w:space="0" w:color="auto"/>
              <w:right w:val="single" w:sz="4" w:space="0" w:color="auto"/>
            </w:tcBorders>
            <w:shd w:val="clear" w:color="000000" w:fill="DAEEF3"/>
            <w:vAlign w:val="center"/>
            <w:hideMark/>
          </w:tcPr>
          <w:p w14:paraId="4A95F18A"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187.062.759</w:t>
            </w:r>
          </w:p>
        </w:tc>
        <w:tc>
          <w:tcPr>
            <w:tcW w:w="933" w:type="dxa"/>
            <w:tcBorders>
              <w:top w:val="nil"/>
              <w:left w:val="nil"/>
              <w:bottom w:val="single" w:sz="4" w:space="0" w:color="auto"/>
              <w:right w:val="single" w:sz="4" w:space="0" w:color="auto"/>
            </w:tcBorders>
            <w:shd w:val="clear" w:color="auto" w:fill="auto"/>
            <w:vAlign w:val="center"/>
            <w:hideMark/>
          </w:tcPr>
          <w:p w14:paraId="75601E7C"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122,8</w:t>
            </w:r>
          </w:p>
        </w:tc>
        <w:tc>
          <w:tcPr>
            <w:tcW w:w="892" w:type="dxa"/>
            <w:tcBorders>
              <w:top w:val="nil"/>
              <w:left w:val="nil"/>
              <w:bottom w:val="single" w:sz="4" w:space="0" w:color="auto"/>
              <w:right w:val="single" w:sz="4" w:space="0" w:color="auto"/>
            </w:tcBorders>
            <w:shd w:val="clear" w:color="auto" w:fill="auto"/>
            <w:vAlign w:val="center"/>
            <w:hideMark/>
          </w:tcPr>
          <w:p w14:paraId="037E75B5" w14:textId="77777777" w:rsidR="00D847F2" w:rsidRPr="000743A6" w:rsidRDefault="00D847F2" w:rsidP="00556699">
            <w:pPr>
              <w:spacing w:after="0" w:line="240" w:lineRule="auto"/>
              <w:jc w:val="right"/>
              <w:rPr>
                <w:rFonts w:ascii="Arial" w:eastAsia="Times New Roman" w:hAnsi="Arial" w:cs="Arial"/>
                <w:color w:val="000000"/>
                <w:sz w:val="18"/>
                <w:szCs w:val="18"/>
                <w:lang w:eastAsia="sl-SI"/>
              </w:rPr>
            </w:pPr>
            <w:r w:rsidRPr="000743A6">
              <w:rPr>
                <w:rFonts w:ascii="Arial" w:eastAsia="Times New Roman" w:hAnsi="Arial" w:cs="Arial"/>
                <w:color w:val="000000"/>
                <w:sz w:val="18"/>
                <w:szCs w:val="18"/>
                <w:lang w:eastAsia="sl-SI"/>
              </w:rPr>
              <w:t>145,0</w:t>
            </w:r>
          </w:p>
        </w:tc>
      </w:tr>
      <w:tr w:rsidR="00D847F2" w:rsidRPr="000743A6" w14:paraId="35EE9DBF" w14:textId="77777777" w:rsidTr="00556699">
        <w:trPr>
          <w:trHeight w:val="628"/>
        </w:trPr>
        <w:tc>
          <w:tcPr>
            <w:tcW w:w="2503" w:type="dxa"/>
            <w:tcBorders>
              <w:top w:val="nil"/>
              <w:left w:val="single" w:sz="4" w:space="0" w:color="auto"/>
              <w:bottom w:val="single" w:sz="4" w:space="0" w:color="auto"/>
              <w:right w:val="single" w:sz="4" w:space="0" w:color="auto"/>
            </w:tcBorders>
            <w:shd w:val="clear" w:color="000000" w:fill="31849B"/>
            <w:vAlign w:val="center"/>
            <w:hideMark/>
          </w:tcPr>
          <w:p w14:paraId="4989D616" w14:textId="4867E459"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Terjani dolg po opominih in sklepih SKUPAJ</w:t>
            </w:r>
            <w:r w:rsidR="00992912">
              <w:rPr>
                <w:rFonts w:ascii="Arial" w:eastAsia="Times New Roman" w:hAnsi="Arial" w:cs="Arial"/>
                <w:b/>
                <w:bCs/>
                <w:color w:val="FFFFFF"/>
                <w:sz w:val="18"/>
                <w:szCs w:val="18"/>
                <w:lang w:eastAsia="sl-SI"/>
              </w:rPr>
              <w:t xml:space="preserve"> </w:t>
            </w:r>
          </w:p>
        </w:tc>
        <w:tc>
          <w:tcPr>
            <w:tcW w:w="997" w:type="dxa"/>
            <w:tcBorders>
              <w:top w:val="nil"/>
              <w:left w:val="nil"/>
              <w:bottom w:val="single" w:sz="4" w:space="0" w:color="auto"/>
              <w:right w:val="single" w:sz="4" w:space="0" w:color="auto"/>
            </w:tcBorders>
            <w:shd w:val="clear" w:color="000000" w:fill="31849B"/>
            <w:vAlign w:val="center"/>
            <w:hideMark/>
          </w:tcPr>
          <w:p w14:paraId="47E6DEBC"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1.129.847</w:t>
            </w:r>
          </w:p>
        </w:tc>
        <w:tc>
          <w:tcPr>
            <w:tcW w:w="1342" w:type="dxa"/>
            <w:tcBorders>
              <w:top w:val="nil"/>
              <w:left w:val="nil"/>
              <w:bottom w:val="single" w:sz="4" w:space="0" w:color="auto"/>
              <w:right w:val="single" w:sz="4" w:space="0" w:color="auto"/>
            </w:tcBorders>
            <w:shd w:val="clear" w:color="000000" w:fill="31849B"/>
            <w:vAlign w:val="center"/>
            <w:hideMark/>
          </w:tcPr>
          <w:p w14:paraId="7EFBBCD7"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1.193.392.380</w:t>
            </w:r>
          </w:p>
        </w:tc>
        <w:tc>
          <w:tcPr>
            <w:tcW w:w="997" w:type="dxa"/>
            <w:tcBorders>
              <w:top w:val="nil"/>
              <w:left w:val="nil"/>
              <w:bottom w:val="single" w:sz="4" w:space="0" w:color="auto"/>
              <w:right w:val="single" w:sz="4" w:space="0" w:color="auto"/>
            </w:tcBorders>
            <w:shd w:val="clear" w:color="000000" w:fill="31849B"/>
            <w:vAlign w:val="center"/>
            <w:hideMark/>
          </w:tcPr>
          <w:p w14:paraId="1A888F8D"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1.322.093</w:t>
            </w:r>
          </w:p>
        </w:tc>
        <w:tc>
          <w:tcPr>
            <w:tcW w:w="1350" w:type="dxa"/>
            <w:tcBorders>
              <w:top w:val="nil"/>
              <w:left w:val="nil"/>
              <w:bottom w:val="single" w:sz="4" w:space="0" w:color="auto"/>
              <w:right w:val="single" w:sz="4" w:space="0" w:color="auto"/>
            </w:tcBorders>
            <w:shd w:val="clear" w:color="000000" w:fill="31849B"/>
            <w:vAlign w:val="center"/>
            <w:hideMark/>
          </w:tcPr>
          <w:p w14:paraId="03F7C90D"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1.346.699.684</w:t>
            </w:r>
          </w:p>
        </w:tc>
        <w:tc>
          <w:tcPr>
            <w:tcW w:w="933" w:type="dxa"/>
            <w:tcBorders>
              <w:top w:val="nil"/>
              <w:left w:val="nil"/>
              <w:bottom w:val="single" w:sz="4" w:space="0" w:color="auto"/>
              <w:right w:val="single" w:sz="4" w:space="0" w:color="auto"/>
            </w:tcBorders>
            <w:shd w:val="clear" w:color="000000" w:fill="31849B"/>
            <w:vAlign w:val="center"/>
            <w:hideMark/>
          </w:tcPr>
          <w:p w14:paraId="53E8AD5F"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117,0</w:t>
            </w:r>
          </w:p>
        </w:tc>
        <w:tc>
          <w:tcPr>
            <w:tcW w:w="892" w:type="dxa"/>
            <w:tcBorders>
              <w:top w:val="nil"/>
              <w:left w:val="nil"/>
              <w:bottom w:val="single" w:sz="4" w:space="0" w:color="auto"/>
              <w:right w:val="single" w:sz="4" w:space="0" w:color="auto"/>
            </w:tcBorders>
            <w:shd w:val="clear" w:color="000000" w:fill="31849B"/>
            <w:vAlign w:val="center"/>
            <w:hideMark/>
          </w:tcPr>
          <w:p w14:paraId="204FF173"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112,8</w:t>
            </w:r>
          </w:p>
        </w:tc>
      </w:tr>
      <w:tr w:rsidR="00D847F2" w:rsidRPr="000743A6" w14:paraId="228B0B61" w14:textId="77777777" w:rsidTr="00556699">
        <w:trPr>
          <w:trHeight w:val="616"/>
        </w:trPr>
        <w:tc>
          <w:tcPr>
            <w:tcW w:w="2503" w:type="dxa"/>
            <w:tcBorders>
              <w:top w:val="nil"/>
              <w:left w:val="single" w:sz="4" w:space="0" w:color="auto"/>
              <w:bottom w:val="single" w:sz="4" w:space="0" w:color="auto"/>
              <w:right w:val="single" w:sz="4" w:space="0" w:color="auto"/>
            </w:tcBorders>
            <w:shd w:val="clear" w:color="000000" w:fill="31849B"/>
            <w:vAlign w:val="center"/>
            <w:hideMark/>
          </w:tcPr>
          <w:p w14:paraId="1E26817B" w14:textId="77777777" w:rsidR="00D847F2" w:rsidRPr="000743A6" w:rsidRDefault="00D847F2" w:rsidP="00556699">
            <w:pPr>
              <w:spacing w:after="0" w:line="240" w:lineRule="auto"/>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Realizacija po opominih in sklepih SKUPAJ</w:t>
            </w:r>
          </w:p>
        </w:tc>
        <w:tc>
          <w:tcPr>
            <w:tcW w:w="997" w:type="dxa"/>
            <w:tcBorders>
              <w:top w:val="nil"/>
              <w:left w:val="nil"/>
              <w:bottom w:val="single" w:sz="4" w:space="0" w:color="auto"/>
              <w:right w:val="single" w:sz="4" w:space="0" w:color="auto"/>
            </w:tcBorders>
            <w:shd w:val="clear" w:color="000000" w:fill="31849B"/>
            <w:vAlign w:val="center"/>
            <w:hideMark/>
          </w:tcPr>
          <w:p w14:paraId="4641FE09"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925.196</w:t>
            </w:r>
          </w:p>
        </w:tc>
        <w:tc>
          <w:tcPr>
            <w:tcW w:w="1342" w:type="dxa"/>
            <w:tcBorders>
              <w:top w:val="nil"/>
              <w:left w:val="nil"/>
              <w:bottom w:val="single" w:sz="4" w:space="0" w:color="auto"/>
              <w:right w:val="single" w:sz="4" w:space="0" w:color="auto"/>
            </w:tcBorders>
            <w:shd w:val="clear" w:color="000000" w:fill="31849B"/>
            <w:vAlign w:val="center"/>
            <w:hideMark/>
          </w:tcPr>
          <w:p w14:paraId="6CBB7B81"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452.703.923</w:t>
            </w:r>
          </w:p>
        </w:tc>
        <w:tc>
          <w:tcPr>
            <w:tcW w:w="997" w:type="dxa"/>
            <w:tcBorders>
              <w:top w:val="nil"/>
              <w:left w:val="nil"/>
              <w:bottom w:val="single" w:sz="4" w:space="0" w:color="auto"/>
              <w:right w:val="single" w:sz="4" w:space="0" w:color="auto"/>
            </w:tcBorders>
            <w:shd w:val="clear" w:color="000000" w:fill="31849B"/>
            <w:vAlign w:val="center"/>
            <w:hideMark/>
          </w:tcPr>
          <w:p w14:paraId="6F7DF4B4"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1.100.458</w:t>
            </w:r>
          </w:p>
        </w:tc>
        <w:tc>
          <w:tcPr>
            <w:tcW w:w="1350" w:type="dxa"/>
            <w:tcBorders>
              <w:top w:val="nil"/>
              <w:left w:val="nil"/>
              <w:bottom w:val="single" w:sz="4" w:space="0" w:color="auto"/>
              <w:right w:val="single" w:sz="4" w:space="0" w:color="auto"/>
            </w:tcBorders>
            <w:shd w:val="clear" w:color="000000" w:fill="31849B"/>
            <w:vAlign w:val="center"/>
            <w:hideMark/>
          </w:tcPr>
          <w:p w14:paraId="4E218C82"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614.678.853</w:t>
            </w:r>
          </w:p>
        </w:tc>
        <w:tc>
          <w:tcPr>
            <w:tcW w:w="933" w:type="dxa"/>
            <w:tcBorders>
              <w:top w:val="nil"/>
              <w:left w:val="nil"/>
              <w:bottom w:val="single" w:sz="4" w:space="0" w:color="auto"/>
              <w:right w:val="single" w:sz="4" w:space="0" w:color="auto"/>
            </w:tcBorders>
            <w:shd w:val="clear" w:color="000000" w:fill="31849B"/>
            <w:vAlign w:val="center"/>
            <w:hideMark/>
          </w:tcPr>
          <w:p w14:paraId="78183F73"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118,9</w:t>
            </w:r>
          </w:p>
        </w:tc>
        <w:tc>
          <w:tcPr>
            <w:tcW w:w="892" w:type="dxa"/>
            <w:tcBorders>
              <w:top w:val="nil"/>
              <w:left w:val="nil"/>
              <w:bottom w:val="single" w:sz="4" w:space="0" w:color="auto"/>
              <w:right w:val="single" w:sz="4" w:space="0" w:color="auto"/>
            </w:tcBorders>
            <w:shd w:val="clear" w:color="000000" w:fill="31849B"/>
            <w:vAlign w:val="center"/>
            <w:hideMark/>
          </w:tcPr>
          <w:p w14:paraId="55471204" w14:textId="77777777" w:rsidR="00D847F2" w:rsidRPr="000743A6" w:rsidRDefault="00D847F2" w:rsidP="00556699">
            <w:pPr>
              <w:spacing w:after="0" w:line="240" w:lineRule="auto"/>
              <w:jc w:val="right"/>
              <w:rPr>
                <w:rFonts w:ascii="Arial" w:eastAsia="Times New Roman" w:hAnsi="Arial" w:cs="Arial"/>
                <w:b/>
                <w:bCs/>
                <w:color w:val="FFFFFF"/>
                <w:sz w:val="18"/>
                <w:szCs w:val="18"/>
                <w:lang w:eastAsia="sl-SI"/>
              </w:rPr>
            </w:pPr>
            <w:r w:rsidRPr="000743A6">
              <w:rPr>
                <w:rFonts w:ascii="Arial" w:eastAsia="Times New Roman" w:hAnsi="Arial" w:cs="Arial"/>
                <w:b/>
                <w:bCs/>
                <w:color w:val="FFFFFF"/>
                <w:sz w:val="18"/>
                <w:szCs w:val="18"/>
                <w:lang w:eastAsia="sl-SI"/>
              </w:rPr>
              <w:t>135,8</w:t>
            </w:r>
          </w:p>
        </w:tc>
      </w:tr>
    </w:tbl>
    <w:p w14:paraId="4B405F9B" w14:textId="2C4117CE" w:rsidR="00D847F2" w:rsidRDefault="00D847F2" w:rsidP="00D847F2">
      <w:pPr>
        <w:ind w:hanging="110"/>
        <w:rPr>
          <w:rFonts w:ascii="Arial" w:hAnsi="Arial" w:cs="Arial"/>
          <w:i/>
          <w:color w:val="000000"/>
          <w:sz w:val="20"/>
          <w:szCs w:val="20"/>
        </w:rPr>
      </w:pPr>
      <w:r w:rsidRPr="00601714">
        <w:rPr>
          <w:rFonts w:ascii="Arial" w:hAnsi="Arial" w:cs="Arial"/>
          <w:i/>
          <w:color w:val="000000"/>
          <w:sz w:val="20"/>
          <w:szCs w:val="20"/>
        </w:rPr>
        <w:t xml:space="preserve"> Vir: FURS</w:t>
      </w:r>
      <w:r w:rsidR="000555B9">
        <w:rPr>
          <w:rFonts w:ascii="Arial" w:hAnsi="Arial" w:cs="Arial"/>
          <w:i/>
          <w:color w:val="000000"/>
          <w:sz w:val="20"/>
          <w:szCs w:val="20"/>
        </w:rPr>
        <w:t xml:space="preserve">. </w:t>
      </w:r>
    </w:p>
    <w:p w14:paraId="7FA08F34" w14:textId="7E102F80" w:rsidR="00D847F2" w:rsidRPr="009E2C9B" w:rsidRDefault="00D847F2" w:rsidP="00D847F2">
      <w:pPr>
        <w:spacing w:line="260" w:lineRule="exact"/>
        <w:contextualSpacing/>
        <w:jc w:val="both"/>
        <w:rPr>
          <w:rFonts w:ascii="Arial" w:hAnsi="Arial" w:cs="Arial"/>
          <w:bCs/>
          <w:sz w:val="20"/>
          <w:szCs w:val="20"/>
        </w:rPr>
      </w:pPr>
      <w:r w:rsidRPr="009E2C9B">
        <w:rPr>
          <w:rFonts w:ascii="Arial" w:hAnsi="Arial" w:cs="Arial"/>
          <w:bCs/>
          <w:sz w:val="20"/>
          <w:szCs w:val="20"/>
        </w:rPr>
        <w:t>Pri zavezancih, ki imajo v knjigovodski evidenci izkazane neporavnane obveznosti, hkrati pa so upravičeni do vračila davka, F</w:t>
      </w:r>
      <w:r>
        <w:rPr>
          <w:rFonts w:ascii="Arial" w:hAnsi="Arial" w:cs="Arial"/>
          <w:bCs/>
          <w:sz w:val="20"/>
          <w:szCs w:val="20"/>
        </w:rPr>
        <w:t xml:space="preserve">URS </w:t>
      </w:r>
      <w:r w:rsidRPr="009E2C9B">
        <w:rPr>
          <w:rFonts w:ascii="Arial" w:hAnsi="Arial" w:cs="Arial"/>
          <w:bCs/>
          <w:sz w:val="20"/>
          <w:szCs w:val="20"/>
        </w:rPr>
        <w:t>izvaja pobot obveznosti. V letu 2022 je bilo izvedenih za 269.639.213</w:t>
      </w:r>
      <w:r w:rsidR="00527930" w:rsidRPr="009E2C9B">
        <w:rPr>
          <w:rFonts w:ascii="Arial" w:hAnsi="Arial" w:cs="Arial"/>
          <w:bCs/>
          <w:sz w:val="20"/>
          <w:szCs w:val="20"/>
        </w:rPr>
        <w:t> EUR</w:t>
      </w:r>
      <w:r w:rsidRPr="009E2C9B">
        <w:rPr>
          <w:rFonts w:ascii="Arial" w:hAnsi="Arial" w:cs="Arial"/>
          <w:bCs/>
          <w:sz w:val="20"/>
          <w:szCs w:val="20"/>
        </w:rPr>
        <w:t xml:space="preserve"> pobotov. </w:t>
      </w:r>
    </w:p>
    <w:p w14:paraId="4DA2AC2F" w14:textId="77777777" w:rsidR="00D847F2" w:rsidRPr="009E2C9B" w:rsidRDefault="00D847F2" w:rsidP="00D847F2">
      <w:pPr>
        <w:spacing w:line="260" w:lineRule="exact"/>
        <w:contextualSpacing/>
        <w:jc w:val="both"/>
        <w:rPr>
          <w:rFonts w:ascii="Arial" w:hAnsi="Arial" w:cs="Arial"/>
          <w:bCs/>
          <w:sz w:val="20"/>
          <w:szCs w:val="20"/>
        </w:rPr>
      </w:pPr>
    </w:p>
    <w:p w14:paraId="74B46F4C" w14:textId="3A00748E" w:rsidR="00D847F2" w:rsidRPr="009E2C9B" w:rsidRDefault="00D847F2" w:rsidP="00D847F2">
      <w:pPr>
        <w:spacing w:line="260" w:lineRule="exact"/>
        <w:contextualSpacing/>
        <w:jc w:val="both"/>
        <w:rPr>
          <w:rFonts w:ascii="Arial" w:hAnsi="Arial" w:cs="Arial"/>
          <w:bCs/>
          <w:sz w:val="20"/>
          <w:szCs w:val="20"/>
        </w:rPr>
      </w:pPr>
      <w:r w:rsidRPr="009E2C9B">
        <w:rPr>
          <w:rFonts w:ascii="Arial" w:hAnsi="Arial" w:cs="Arial"/>
          <w:bCs/>
          <w:sz w:val="20"/>
          <w:szCs w:val="20"/>
        </w:rPr>
        <w:t>V primeru zavarovanja davčnega dolga F</w:t>
      </w:r>
      <w:r>
        <w:rPr>
          <w:rFonts w:ascii="Arial" w:hAnsi="Arial" w:cs="Arial"/>
          <w:bCs/>
          <w:sz w:val="20"/>
          <w:szCs w:val="20"/>
        </w:rPr>
        <w:t xml:space="preserve">URS </w:t>
      </w:r>
      <w:r w:rsidRPr="009E2C9B">
        <w:rPr>
          <w:rFonts w:ascii="Arial" w:hAnsi="Arial" w:cs="Arial"/>
          <w:bCs/>
          <w:sz w:val="20"/>
          <w:szCs w:val="20"/>
        </w:rPr>
        <w:t>izvede unovčitev predloženih instrumentov zavarovanja. V letu 2022 je bilo unovčenih zavarovanj za dolg v višini 5.132.035</w:t>
      </w:r>
      <w:r w:rsidR="00527930" w:rsidRPr="009E2C9B">
        <w:rPr>
          <w:rFonts w:ascii="Arial" w:hAnsi="Arial" w:cs="Arial"/>
          <w:bCs/>
          <w:sz w:val="20"/>
          <w:szCs w:val="20"/>
        </w:rPr>
        <w:t> EUR</w:t>
      </w:r>
      <w:r w:rsidRPr="009E2C9B">
        <w:rPr>
          <w:rFonts w:ascii="Arial" w:hAnsi="Arial" w:cs="Arial"/>
          <w:bCs/>
          <w:sz w:val="20"/>
          <w:szCs w:val="20"/>
        </w:rPr>
        <w:t xml:space="preserve">. </w:t>
      </w:r>
    </w:p>
    <w:p w14:paraId="491EA9D9" w14:textId="77777777" w:rsidR="00D847F2" w:rsidRDefault="00D847F2" w:rsidP="00D847F2">
      <w:pPr>
        <w:spacing w:line="260" w:lineRule="exact"/>
        <w:contextualSpacing/>
        <w:jc w:val="both"/>
        <w:rPr>
          <w:rFonts w:ascii="Arial" w:hAnsi="Arial" w:cs="Arial"/>
          <w:bCs/>
          <w:sz w:val="20"/>
          <w:szCs w:val="20"/>
        </w:rPr>
      </w:pPr>
    </w:p>
    <w:p w14:paraId="3866D1C2" w14:textId="77777777" w:rsidR="00D847F2" w:rsidRDefault="00D847F2" w:rsidP="00D847F2">
      <w:pPr>
        <w:rPr>
          <w:rFonts w:ascii="Arial" w:hAnsi="Arial" w:cs="Arial"/>
          <w:i/>
          <w:sz w:val="20"/>
          <w:szCs w:val="20"/>
        </w:rPr>
      </w:pPr>
      <w:r w:rsidRPr="00E53B72">
        <w:rPr>
          <w:rFonts w:ascii="Arial" w:hAnsi="Arial" w:cs="Arial"/>
          <w:bCs/>
          <w:i/>
          <w:sz w:val="20"/>
          <w:szCs w:val="20"/>
        </w:rPr>
        <w:t>Preglednica</w:t>
      </w:r>
      <w:r w:rsidRPr="00E53B72">
        <w:rPr>
          <w:rFonts w:ascii="Arial" w:hAnsi="Arial" w:cs="Arial"/>
          <w:i/>
          <w:sz w:val="20"/>
          <w:szCs w:val="20"/>
        </w:rPr>
        <w:t xml:space="preserve"> 1</w:t>
      </w:r>
      <w:r>
        <w:rPr>
          <w:rFonts w:ascii="Arial" w:hAnsi="Arial" w:cs="Arial"/>
          <w:i/>
          <w:sz w:val="20"/>
          <w:szCs w:val="20"/>
        </w:rPr>
        <w:t>5</w:t>
      </w:r>
      <w:r w:rsidRPr="00E53B72">
        <w:rPr>
          <w:rFonts w:ascii="Arial" w:hAnsi="Arial" w:cs="Arial"/>
          <w:i/>
          <w:sz w:val="20"/>
          <w:szCs w:val="20"/>
        </w:rPr>
        <w:t xml:space="preserve">: </w:t>
      </w:r>
      <w:r w:rsidRPr="000404D7">
        <w:rPr>
          <w:rFonts w:ascii="Arial" w:hAnsi="Arial" w:cs="Arial"/>
          <w:i/>
          <w:sz w:val="20"/>
          <w:szCs w:val="20"/>
        </w:rPr>
        <w:t>Izvedeni poboti in unovčitve zavarovanj ter plačila po izdanih pozivih</w:t>
      </w:r>
      <w:r>
        <w:rPr>
          <w:rFonts w:ascii="Arial" w:hAnsi="Arial" w:cs="Arial"/>
          <w:i/>
          <w:sz w:val="20"/>
          <w:szCs w:val="20"/>
        </w:rPr>
        <w:t xml:space="preserve"> (zneski v evrih)</w:t>
      </w:r>
    </w:p>
    <w:tbl>
      <w:tblPr>
        <w:tblW w:w="8664" w:type="dxa"/>
        <w:tblCellMar>
          <w:left w:w="70" w:type="dxa"/>
          <w:right w:w="70" w:type="dxa"/>
        </w:tblCellMar>
        <w:tblLook w:val="04A0" w:firstRow="1" w:lastRow="0" w:firstColumn="1" w:lastColumn="0" w:noHBand="0" w:noVBand="1"/>
      </w:tblPr>
      <w:tblGrid>
        <w:gridCol w:w="2359"/>
        <w:gridCol w:w="2086"/>
        <w:gridCol w:w="2427"/>
        <w:gridCol w:w="1792"/>
      </w:tblGrid>
      <w:tr w:rsidR="00D847F2" w:rsidRPr="000404D7" w14:paraId="62328DB9" w14:textId="77777777" w:rsidTr="00556699">
        <w:trPr>
          <w:trHeight w:val="381"/>
        </w:trPr>
        <w:tc>
          <w:tcPr>
            <w:tcW w:w="2359" w:type="dxa"/>
            <w:tcBorders>
              <w:top w:val="single" w:sz="4" w:space="0" w:color="auto"/>
              <w:left w:val="single" w:sz="4" w:space="0" w:color="auto"/>
              <w:bottom w:val="single" w:sz="4" w:space="0" w:color="auto"/>
              <w:right w:val="single" w:sz="4" w:space="0" w:color="auto"/>
            </w:tcBorders>
            <w:shd w:val="clear" w:color="000000" w:fill="31849B"/>
            <w:vAlign w:val="center"/>
            <w:hideMark/>
          </w:tcPr>
          <w:p w14:paraId="5B89D6D7" w14:textId="77777777" w:rsidR="00D847F2" w:rsidRPr="000404D7" w:rsidRDefault="00D847F2" w:rsidP="00556699">
            <w:pPr>
              <w:spacing w:after="0" w:line="240" w:lineRule="auto"/>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Ukrepi izterjave</w:t>
            </w:r>
          </w:p>
        </w:tc>
        <w:tc>
          <w:tcPr>
            <w:tcW w:w="2086" w:type="dxa"/>
            <w:tcBorders>
              <w:top w:val="single" w:sz="4" w:space="0" w:color="auto"/>
              <w:left w:val="nil"/>
              <w:bottom w:val="single" w:sz="4" w:space="0" w:color="auto"/>
              <w:right w:val="single" w:sz="4" w:space="0" w:color="auto"/>
            </w:tcBorders>
            <w:shd w:val="clear" w:color="000000" w:fill="31849B"/>
            <w:vAlign w:val="center"/>
            <w:hideMark/>
          </w:tcPr>
          <w:p w14:paraId="5203EE5D" w14:textId="77777777" w:rsidR="00D847F2" w:rsidRPr="000404D7" w:rsidRDefault="00D847F2" w:rsidP="00556699">
            <w:pPr>
              <w:spacing w:after="0" w:line="240" w:lineRule="auto"/>
              <w:jc w:val="center"/>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2021</w:t>
            </w:r>
          </w:p>
        </w:tc>
        <w:tc>
          <w:tcPr>
            <w:tcW w:w="2427" w:type="dxa"/>
            <w:tcBorders>
              <w:top w:val="single" w:sz="4" w:space="0" w:color="auto"/>
              <w:left w:val="nil"/>
              <w:bottom w:val="single" w:sz="4" w:space="0" w:color="auto"/>
              <w:right w:val="single" w:sz="4" w:space="0" w:color="auto"/>
            </w:tcBorders>
            <w:shd w:val="clear" w:color="000000" w:fill="31849B"/>
            <w:vAlign w:val="center"/>
            <w:hideMark/>
          </w:tcPr>
          <w:p w14:paraId="7BDC5414" w14:textId="77777777" w:rsidR="00D847F2" w:rsidRPr="000404D7" w:rsidRDefault="00D847F2" w:rsidP="00556699">
            <w:pPr>
              <w:spacing w:after="0" w:line="240" w:lineRule="auto"/>
              <w:jc w:val="center"/>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2022</w:t>
            </w:r>
          </w:p>
        </w:tc>
        <w:tc>
          <w:tcPr>
            <w:tcW w:w="1792" w:type="dxa"/>
            <w:tcBorders>
              <w:top w:val="single" w:sz="4" w:space="0" w:color="auto"/>
              <w:left w:val="nil"/>
              <w:bottom w:val="single" w:sz="4" w:space="0" w:color="auto"/>
              <w:right w:val="single" w:sz="4" w:space="0" w:color="auto"/>
            </w:tcBorders>
            <w:shd w:val="clear" w:color="000000" w:fill="31849B"/>
            <w:vAlign w:val="center"/>
            <w:hideMark/>
          </w:tcPr>
          <w:p w14:paraId="4E926B7E" w14:textId="77777777" w:rsidR="00D847F2" w:rsidRPr="000404D7" w:rsidRDefault="00D847F2" w:rsidP="00556699">
            <w:pPr>
              <w:spacing w:after="0" w:line="240" w:lineRule="auto"/>
              <w:jc w:val="center"/>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Indeks 2022/2021</w:t>
            </w:r>
          </w:p>
        </w:tc>
      </w:tr>
      <w:tr w:rsidR="00D847F2" w:rsidRPr="000404D7" w14:paraId="3EC17072" w14:textId="77777777" w:rsidTr="00556699">
        <w:trPr>
          <w:trHeight w:val="228"/>
        </w:trPr>
        <w:tc>
          <w:tcPr>
            <w:tcW w:w="2359" w:type="dxa"/>
            <w:tcBorders>
              <w:top w:val="nil"/>
              <w:left w:val="single" w:sz="4" w:space="0" w:color="auto"/>
              <w:bottom w:val="single" w:sz="4" w:space="0" w:color="auto"/>
              <w:right w:val="single" w:sz="4" w:space="0" w:color="auto"/>
            </w:tcBorders>
            <w:shd w:val="clear" w:color="auto" w:fill="auto"/>
            <w:vAlign w:val="center"/>
            <w:hideMark/>
          </w:tcPr>
          <w:p w14:paraId="4873E0F3" w14:textId="77777777" w:rsidR="00D847F2" w:rsidRPr="000404D7" w:rsidRDefault="00D847F2" w:rsidP="00556699">
            <w:pPr>
              <w:spacing w:after="0" w:line="240" w:lineRule="auto"/>
              <w:jc w:val="both"/>
              <w:rPr>
                <w:rFonts w:ascii="Arial" w:eastAsia="Times New Roman" w:hAnsi="Arial" w:cs="Arial"/>
                <w:sz w:val="18"/>
                <w:szCs w:val="18"/>
                <w:lang w:eastAsia="sl-SI"/>
              </w:rPr>
            </w:pPr>
            <w:r w:rsidRPr="000404D7">
              <w:rPr>
                <w:rFonts w:ascii="Arial" w:eastAsia="Times New Roman" w:hAnsi="Arial" w:cs="Arial"/>
                <w:sz w:val="18"/>
                <w:szCs w:val="18"/>
                <w:lang w:eastAsia="sl-SI"/>
              </w:rPr>
              <w:t>Poboti</w:t>
            </w:r>
          </w:p>
        </w:tc>
        <w:tc>
          <w:tcPr>
            <w:tcW w:w="2086" w:type="dxa"/>
            <w:tcBorders>
              <w:top w:val="nil"/>
              <w:left w:val="nil"/>
              <w:bottom w:val="single" w:sz="4" w:space="0" w:color="auto"/>
              <w:right w:val="single" w:sz="4" w:space="0" w:color="auto"/>
            </w:tcBorders>
            <w:shd w:val="clear" w:color="auto" w:fill="auto"/>
            <w:vAlign w:val="center"/>
            <w:hideMark/>
          </w:tcPr>
          <w:p w14:paraId="2089B5F4"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212.397.593</w:t>
            </w:r>
          </w:p>
        </w:tc>
        <w:tc>
          <w:tcPr>
            <w:tcW w:w="2427" w:type="dxa"/>
            <w:tcBorders>
              <w:top w:val="nil"/>
              <w:left w:val="nil"/>
              <w:bottom w:val="single" w:sz="4" w:space="0" w:color="auto"/>
              <w:right w:val="single" w:sz="4" w:space="0" w:color="auto"/>
            </w:tcBorders>
            <w:shd w:val="clear" w:color="auto" w:fill="auto"/>
            <w:vAlign w:val="center"/>
            <w:hideMark/>
          </w:tcPr>
          <w:p w14:paraId="5E1605CA"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269.639.213</w:t>
            </w:r>
          </w:p>
        </w:tc>
        <w:tc>
          <w:tcPr>
            <w:tcW w:w="1792" w:type="dxa"/>
            <w:tcBorders>
              <w:top w:val="nil"/>
              <w:left w:val="nil"/>
              <w:bottom w:val="single" w:sz="4" w:space="0" w:color="auto"/>
              <w:right w:val="single" w:sz="4" w:space="0" w:color="auto"/>
            </w:tcBorders>
            <w:shd w:val="clear" w:color="auto" w:fill="auto"/>
            <w:vAlign w:val="center"/>
            <w:hideMark/>
          </w:tcPr>
          <w:p w14:paraId="0DE90069"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127,0</w:t>
            </w:r>
          </w:p>
        </w:tc>
      </w:tr>
      <w:tr w:rsidR="00D847F2" w:rsidRPr="000404D7" w14:paraId="5DDFEF2C" w14:textId="77777777" w:rsidTr="00556699">
        <w:trPr>
          <w:trHeight w:val="228"/>
        </w:trPr>
        <w:tc>
          <w:tcPr>
            <w:tcW w:w="2359" w:type="dxa"/>
            <w:tcBorders>
              <w:top w:val="nil"/>
              <w:left w:val="single" w:sz="4" w:space="0" w:color="auto"/>
              <w:bottom w:val="single" w:sz="4" w:space="0" w:color="auto"/>
              <w:right w:val="single" w:sz="4" w:space="0" w:color="auto"/>
            </w:tcBorders>
            <w:shd w:val="clear" w:color="auto" w:fill="auto"/>
            <w:vAlign w:val="center"/>
            <w:hideMark/>
          </w:tcPr>
          <w:p w14:paraId="1E039703" w14:textId="77777777" w:rsidR="00D847F2" w:rsidRPr="000404D7" w:rsidRDefault="00D847F2" w:rsidP="00556699">
            <w:pPr>
              <w:spacing w:after="0" w:line="240" w:lineRule="auto"/>
              <w:jc w:val="both"/>
              <w:rPr>
                <w:rFonts w:ascii="Arial" w:eastAsia="Times New Roman" w:hAnsi="Arial" w:cs="Arial"/>
                <w:sz w:val="18"/>
                <w:szCs w:val="18"/>
                <w:lang w:eastAsia="sl-SI"/>
              </w:rPr>
            </w:pPr>
            <w:r w:rsidRPr="000404D7">
              <w:rPr>
                <w:rFonts w:ascii="Arial" w:eastAsia="Times New Roman" w:hAnsi="Arial" w:cs="Arial"/>
                <w:sz w:val="18"/>
                <w:szCs w:val="18"/>
                <w:lang w:eastAsia="sl-SI"/>
              </w:rPr>
              <w:t>Unovčitve zavarovanj</w:t>
            </w:r>
          </w:p>
        </w:tc>
        <w:tc>
          <w:tcPr>
            <w:tcW w:w="2086" w:type="dxa"/>
            <w:tcBorders>
              <w:top w:val="nil"/>
              <w:left w:val="nil"/>
              <w:bottom w:val="single" w:sz="4" w:space="0" w:color="auto"/>
              <w:right w:val="single" w:sz="4" w:space="0" w:color="auto"/>
            </w:tcBorders>
            <w:shd w:val="clear" w:color="auto" w:fill="auto"/>
            <w:vAlign w:val="center"/>
            <w:hideMark/>
          </w:tcPr>
          <w:p w14:paraId="0AC52084"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4.077.514</w:t>
            </w:r>
          </w:p>
        </w:tc>
        <w:tc>
          <w:tcPr>
            <w:tcW w:w="2427" w:type="dxa"/>
            <w:tcBorders>
              <w:top w:val="nil"/>
              <w:left w:val="nil"/>
              <w:bottom w:val="single" w:sz="4" w:space="0" w:color="auto"/>
              <w:right w:val="single" w:sz="4" w:space="0" w:color="auto"/>
            </w:tcBorders>
            <w:shd w:val="clear" w:color="auto" w:fill="auto"/>
            <w:vAlign w:val="center"/>
            <w:hideMark/>
          </w:tcPr>
          <w:p w14:paraId="477D13F0"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5.132.035</w:t>
            </w:r>
          </w:p>
        </w:tc>
        <w:tc>
          <w:tcPr>
            <w:tcW w:w="1792" w:type="dxa"/>
            <w:tcBorders>
              <w:top w:val="nil"/>
              <w:left w:val="nil"/>
              <w:bottom w:val="single" w:sz="4" w:space="0" w:color="auto"/>
              <w:right w:val="single" w:sz="4" w:space="0" w:color="auto"/>
            </w:tcBorders>
            <w:shd w:val="clear" w:color="auto" w:fill="auto"/>
            <w:vAlign w:val="center"/>
            <w:hideMark/>
          </w:tcPr>
          <w:p w14:paraId="2472A991" w14:textId="77777777" w:rsidR="00D847F2" w:rsidRPr="000404D7" w:rsidRDefault="00D847F2" w:rsidP="00556699">
            <w:pPr>
              <w:spacing w:after="0" w:line="240" w:lineRule="auto"/>
              <w:jc w:val="right"/>
              <w:rPr>
                <w:rFonts w:ascii="Arial" w:eastAsia="Times New Roman" w:hAnsi="Arial" w:cs="Arial"/>
                <w:sz w:val="18"/>
                <w:szCs w:val="18"/>
                <w:lang w:eastAsia="sl-SI"/>
              </w:rPr>
            </w:pPr>
            <w:r w:rsidRPr="000404D7">
              <w:rPr>
                <w:rFonts w:ascii="Arial" w:eastAsia="Times New Roman" w:hAnsi="Arial" w:cs="Arial"/>
                <w:sz w:val="18"/>
                <w:szCs w:val="18"/>
                <w:lang w:eastAsia="sl-SI"/>
              </w:rPr>
              <w:t>125,9</w:t>
            </w:r>
          </w:p>
        </w:tc>
      </w:tr>
      <w:tr w:rsidR="00D847F2" w:rsidRPr="000404D7" w14:paraId="43D13D02" w14:textId="77777777" w:rsidTr="00556699">
        <w:trPr>
          <w:trHeight w:val="359"/>
        </w:trPr>
        <w:tc>
          <w:tcPr>
            <w:tcW w:w="2359" w:type="dxa"/>
            <w:tcBorders>
              <w:top w:val="nil"/>
              <w:left w:val="single" w:sz="4" w:space="0" w:color="auto"/>
              <w:bottom w:val="single" w:sz="4" w:space="0" w:color="auto"/>
              <w:right w:val="single" w:sz="4" w:space="0" w:color="auto"/>
            </w:tcBorders>
            <w:shd w:val="clear" w:color="000000" w:fill="31849B"/>
            <w:vAlign w:val="center"/>
            <w:hideMark/>
          </w:tcPr>
          <w:p w14:paraId="72E76078" w14:textId="77777777" w:rsidR="00D847F2" w:rsidRPr="000404D7" w:rsidRDefault="00D847F2" w:rsidP="00556699">
            <w:pPr>
              <w:spacing w:after="0" w:line="240" w:lineRule="auto"/>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Skupaj</w:t>
            </w:r>
          </w:p>
        </w:tc>
        <w:tc>
          <w:tcPr>
            <w:tcW w:w="2086" w:type="dxa"/>
            <w:tcBorders>
              <w:top w:val="nil"/>
              <w:left w:val="nil"/>
              <w:bottom w:val="single" w:sz="4" w:space="0" w:color="auto"/>
              <w:right w:val="single" w:sz="4" w:space="0" w:color="auto"/>
            </w:tcBorders>
            <w:shd w:val="clear" w:color="000000" w:fill="31849B"/>
            <w:vAlign w:val="center"/>
            <w:hideMark/>
          </w:tcPr>
          <w:p w14:paraId="316CD49B" w14:textId="77777777" w:rsidR="00D847F2" w:rsidRPr="000404D7" w:rsidRDefault="00D847F2" w:rsidP="00556699">
            <w:pPr>
              <w:spacing w:after="0" w:line="240" w:lineRule="auto"/>
              <w:jc w:val="right"/>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216.475.107</w:t>
            </w:r>
          </w:p>
        </w:tc>
        <w:tc>
          <w:tcPr>
            <w:tcW w:w="2427" w:type="dxa"/>
            <w:tcBorders>
              <w:top w:val="nil"/>
              <w:left w:val="nil"/>
              <w:bottom w:val="single" w:sz="4" w:space="0" w:color="auto"/>
              <w:right w:val="single" w:sz="4" w:space="0" w:color="auto"/>
            </w:tcBorders>
            <w:shd w:val="clear" w:color="000000" w:fill="31849B"/>
            <w:vAlign w:val="center"/>
            <w:hideMark/>
          </w:tcPr>
          <w:p w14:paraId="3724FF46" w14:textId="77777777" w:rsidR="00D847F2" w:rsidRPr="000404D7" w:rsidRDefault="00D847F2" w:rsidP="00556699">
            <w:pPr>
              <w:spacing w:after="0" w:line="240" w:lineRule="auto"/>
              <w:jc w:val="right"/>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274.771.248</w:t>
            </w:r>
          </w:p>
        </w:tc>
        <w:tc>
          <w:tcPr>
            <w:tcW w:w="1792" w:type="dxa"/>
            <w:tcBorders>
              <w:top w:val="nil"/>
              <w:left w:val="nil"/>
              <w:bottom w:val="single" w:sz="4" w:space="0" w:color="auto"/>
              <w:right w:val="single" w:sz="4" w:space="0" w:color="auto"/>
            </w:tcBorders>
            <w:shd w:val="clear" w:color="000000" w:fill="31849B"/>
            <w:vAlign w:val="center"/>
            <w:hideMark/>
          </w:tcPr>
          <w:p w14:paraId="2161E66A" w14:textId="77777777" w:rsidR="00D847F2" w:rsidRPr="000404D7" w:rsidRDefault="00D847F2" w:rsidP="00556699">
            <w:pPr>
              <w:spacing w:after="0" w:line="240" w:lineRule="auto"/>
              <w:jc w:val="right"/>
              <w:rPr>
                <w:rFonts w:ascii="Arial" w:eastAsia="Times New Roman" w:hAnsi="Arial" w:cs="Arial"/>
                <w:b/>
                <w:bCs/>
                <w:color w:val="FFFFFF"/>
                <w:sz w:val="18"/>
                <w:szCs w:val="18"/>
                <w:lang w:eastAsia="sl-SI"/>
              </w:rPr>
            </w:pPr>
            <w:r w:rsidRPr="000404D7">
              <w:rPr>
                <w:rFonts w:ascii="Arial" w:eastAsia="Times New Roman" w:hAnsi="Arial" w:cs="Arial"/>
                <w:b/>
                <w:bCs/>
                <w:color w:val="FFFFFF"/>
                <w:sz w:val="18"/>
                <w:szCs w:val="18"/>
                <w:lang w:eastAsia="sl-SI"/>
              </w:rPr>
              <w:t>126,9</w:t>
            </w:r>
          </w:p>
        </w:tc>
      </w:tr>
    </w:tbl>
    <w:p w14:paraId="4D1E6106" w14:textId="583B042A"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0555B9">
        <w:rPr>
          <w:rFonts w:ascii="Arial" w:hAnsi="Arial" w:cs="Arial"/>
          <w:i/>
          <w:sz w:val="20"/>
          <w:szCs w:val="20"/>
        </w:rPr>
        <w:t xml:space="preserve">. </w:t>
      </w:r>
    </w:p>
    <w:p w14:paraId="217D0138" w14:textId="3E843192" w:rsidR="00D847F2" w:rsidRDefault="00D847F2" w:rsidP="00D847F2">
      <w:pPr>
        <w:pStyle w:val="Naslov3"/>
        <w:rPr>
          <w:rFonts w:ascii="Arial" w:hAnsi="Arial" w:cs="Arial"/>
          <w:sz w:val="20"/>
          <w:szCs w:val="20"/>
          <w:lang w:eastAsia="sl-SI"/>
        </w:rPr>
      </w:pPr>
      <w:bookmarkStart w:id="20" w:name="_Toc475381248"/>
      <w:r w:rsidRPr="0094063C">
        <w:rPr>
          <w:rFonts w:ascii="Arial" w:hAnsi="Arial" w:cs="Arial"/>
          <w:sz w:val="20"/>
          <w:szCs w:val="20"/>
          <w:lang w:eastAsia="sl-SI"/>
        </w:rPr>
        <w:t>6.1.</w:t>
      </w:r>
      <w:r w:rsidR="00992912">
        <w:rPr>
          <w:rFonts w:ascii="Arial" w:hAnsi="Arial" w:cs="Arial"/>
          <w:sz w:val="20"/>
          <w:szCs w:val="20"/>
          <w:lang w:eastAsia="sl-SI"/>
        </w:rPr>
        <w:t xml:space="preserve"> </w:t>
      </w:r>
      <w:r w:rsidRPr="0094063C">
        <w:rPr>
          <w:rFonts w:ascii="Arial" w:hAnsi="Arial" w:cs="Arial"/>
          <w:sz w:val="20"/>
          <w:szCs w:val="20"/>
          <w:lang w:eastAsia="sl-SI"/>
        </w:rPr>
        <w:t>Izterjava davkov in drugih obveznih dajatev</w:t>
      </w:r>
      <w:bookmarkEnd w:id="20"/>
    </w:p>
    <w:p w14:paraId="53A4733F" w14:textId="77777777" w:rsidR="00D847F2" w:rsidRDefault="00D847F2" w:rsidP="00D847F2">
      <w:pPr>
        <w:spacing w:after="0" w:line="260" w:lineRule="atLeast"/>
        <w:jc w:val="both"/>
        <w:rPr>
          <w:rFonts w:ascii="Arial" w:eastAsia="Times New Roman" w:hAnsi="Arial" w:cs="Arial"/>
          <w:sz w:val="20"/>
          <w:szCs w:val="20"/>
        </w:rPr>
      </w:pPr>
    </w:p>
    <w:p w14:paraId="66E610AD" w14:textId="0D2ACD22" w:rsidR="00D847F2" w:rsidRPr="000404D7" w:rsidRDefault="00D847F2" w:rsidP="00D847F2">
      <w:pPr>
        <w:spacing w:after="0" w:line="260" w:lineRule="atLeast"/>
        <w:jc w:val="both"/>
        <w:rPr>
          <w:rFonts w:ascii="Arial" w:eastAsia="Times New Roman" w:hAnsi="Arial" w:cs="Arial"/>
          <w:sz w:val="20"/>
          <w:szCs w:val="20"/>
        </w:rPr>
      </w:pPr>
      <w:r w:rsidRPr="000404D7">
        <w:rPr>
          <w:rFonts w:ascii="Arial" w:eastAsia="Times New Roman" w:hAnsi="Arial" w:cs="Arial"/>
          <w:sz w:val="20"/>
          <w:szCs w:val="20"/>
        </w:rPr>
        <w:t>V letu 2022 je F</w:t>
      </w:r>
      <w:r>
        <w:rPr>
          <w:rFonts w:ascii="Arial" w:eastAsia="Times New Roman" w:hAnsi="Arial" w:cs="Arial"/>
          <w:sz w:val="20"/>
          <w:szCs w:val="20"/>
        </w:rPr>
        <w:t xml:space="preserve">URS </w:t>
      </w:r>
      <w:r w:rsidRPr="000404D7">
        <w:rPr>
          <w:rFonts w:ascii="Arial" w:eastAsia="Times New Roman" w:hAnsi="Arial" w:cs="Arial"/>
          <w:sz w:val="20"/>
          <w:szCs w:val="20"/>
        </w:rPr>
        <w:t xml:space="preserve">z izdanimi opomini, pozivi in sklepi o davčni izvršbi terjal za 1.205.508.030 </w:t>
      </w:r>
      <w:r>
        <w:rPr>
          <w:rFonts w:ascii="Arial" w:eastAsia="Times New Roman" w:hAnsi="Arial" w:cs="Arial"/>
          <w:sz w:val="20"/>
          <w:szCs w:val="20"/>
        </w:rPr>
        <w:t>EUR</w:t>
      </w:r>
      <w:r w:rsidRPr="000404D7">
        <w:rPr>
          <w:rFonts w:ascii="Arial" w:eastAsia="Times New Roman" w:hAnsi="Arial" w:cs="Arial"/>
          <w:sz w:val="20"/>
          <w:szCs w:val="20"/>
        </w:rPr>
        <w:t xml:space="preserve"> dolga iz naslova davčnih dajatev. Na podlagi izvedenih ukrepov je bilo izterjanih 570.121.792</w:t>
      </w:r>
      <w:r w:rsidR="00527930" w:rsidRPr="000404D7">
        <w:rPr>
          <w:rFonts w:ascii="Arial" w:eastAsia="Times New Roman" w:hAnsi="Arial" w:cs="Arial"/>
          <w:sz w:val="20"/>
          <w:szCs w:val="20"/>
        </w:rPr>
        <w:t> EUR</w:t>
      </w:r>
      <w:r w:rsidRPr="000404D7">
        <w:rPr>
          <w:rFonts w:ascii="Arial" w:eastAsia="Times New Roman" w:hAnsi="Arial" w:cs="Arial"/>
          <w:sz w:val="20"/>
          <w:szCs w:val="20"/>
        </w:rPr>
        <w:t xml:space="preserve">. Večji delež plačil </w:t>
      </w:r>
      <w:r>
        <w:rPr>
          <w:rFonts w:ascii="Arial" w:eastAsia="Times New Roman" w:hAnsi="Arial" w:cs="Arial"/>
          <w:sz w:val="20"/>
          <w:szCs w:val="20"/>
        </w:rPr>
        <w:t>obsegajo</w:t>
      </w:r>
      <w:r w:rsidRPr="000404D7">
        <w:rPr>
          <w:rFonts w:ascii="Arial" w:eastAsia="Times New Roman" w:hAnsi="Arial" w:cs="Arial"/>
          <w:sz w:val="20"/>
          <w:szCs w:val="20"/>
        </w:rPr>
        <w:t xml:space="preserve"> sredstva, izterjana na podlagi opominov in pozivov, in sicer 70,8 </w:t>
      </w:r>
      <w:r>
        <w:rPr>
          <w:rFonts w:ascii="Arial" w:eastAsia="Times New Roman" w:hAnsi="Arial" w:cs="Arial"/>
          <w:sz w:val="20"/>
          <w:szCs w:val="20"/>
        </w:rPr>
        <w:t>odstotka</w:t>
      </w:r>
      <w:r w:rsidRPr="000404D7">
        <w:rPr>
          <w:rFonts w:ascii="Arial" w:eastAsia="Times New Roman" w:hAnsi="Arial" w:cs="Arial"/>
          <w:sz w:val="20"/>
          <w:szCs w:val="20"/>
        </w:rPr>
        <w:t xml:space="preserve"> vseh plačil, preostanek plačil </w:t>
      </w:r>
      <w:r w:rsidR="000555B9">
        <w:rPr>
          <w:rFonts w:ascii="Arial" w:eastAsia="Times New Roman" w:hAnsi="Arial" w:cs="Arial"/>
          <w:sz w:val="20"/>
          <w:szCs w:val="20"/>
        </w:rPr>
        <w:t>z</w:t>
      </w:r>
      <w:r w:rsidRPr="000404D7">
        <w:rPr>
          <w:rFonts w:ascii="Arial" w:eastAsia="Times New Roman" w:hAnsi="Arial" w:cs="Arial"/>
          <w:sz w:val="20"/>
          <w:szCs w:val="20"/>
        </w:rPr>
        <w:t xml:space="preserve"> 29,2</w:t>
      </w:r>
      <w:r>
        <w:rPr>
          <w:rFonts w:ascii="Arial" w:eastAsia="Times New Roman" w:hAnsi="Arial" w:cs="Arial"/>
          <w:sz w:val="20"/>
          <w:szCs w:val="20"/>
        </w:rPr>
        <w:t xml:space="preserve">-odstotnim </w:t>
      </w:r>
      <w:r w:rsidRPr="000404D7">
        <w:rPr>
          <w:rFonts w:ascii="Arial" w:eastAsia="Times New Roman" w:hAnsi="Arial" w:cs="Arial"/>
          <w:sz w:val="20"/>
          <w:szCs w:val="20"/>
        </w:rPr>
        <w:t>deležem pa odpade na izvršene sklepe o davčni izvršbi.</w:t>
      </w:r>
    </w:p>
    <w:p w14:paraId="231AA00E" w14:textId="77777777" w:rsidR="00D847F2" w:rsidRPr="000404D7" w:rsidRDefault="00D847F2" w:rsidP="00D847F2">
      <w:pPr>
        <w:spacing w:after="0" w:line="260" w:lineRule="atLeast"/>
        <w:jc w:val="both"/>
        <w:rPr>
          <w:rFonts w:ascii="Arial" w:eastAsia="Times New Roman" w:hAnsi="Arial" w:cs="Arial"/>
          <w:sz w:val="20"/>
          <w:szCs w:val="20"/>
        </w:rPr>
      </w:pPr>
    </w:p>
    <w:p w14:paraId="4F7AFF71" w14:textId="79C19347" w:rsidR="00D847F2" w:rsidRPr="000404D7" w:rsidRDefault="00D847F2" w:rsidP="00D847F2">
      <w:pPr>
        <w:spacing w:after="0" w:line="260" w:lineRule="atLeast"/>
        <w:jc w:val="both"/>
        <w:rPr>
          <w:rFonts w:ascii="Arial" w:eastAsia="Times New Roman" w:hAnsi="Arial" w:cs="Arial"/>
          <w:sz w:val="20"/>
          <w:szCs w:val="20"/>
        </w:rPr>
      </w:pPr>
      <w:r w:rsidRPr="000404D7">
        <w:rPr>
          <w:rFonts w:ascii="Arial" w:eastAsia="Times New Roman" w:hAnsi="Arial" w:cs="Arial"/>
          <w:sz w:val="20"/>
          <w:szCs w:val="20"/>
        </w:rPr>
        <w:t>V zvezi z izdanimi opomini v letu 2022 za področje davkov je F</w:t>
      </w:r>
      <w:r>
        <w:rPr>
          <w:rFonts w:ascii="Arial" w:eastAsia="Times New Roman" w:hAnsi="Arial" w:cs="Arial"/>
          <w:sz w:val="20"/>
          <w:szCs w:val="20"/>
        </w:rPr>
        <w:t>URS predal</w:t>
      </w:r>
      <w:r w:rsidRPr="000404D7">
        <w:rPr>
          <w:rFonts w:ascii="Arial" w:eastAsia="Times New Roman" w:hAnsi="Arial" w:cs="Arial"/>
          <w:sz w:val="20"/>
          <w:szCs w:val="20"/>
        </w:rPr>
        <w:t xml:space="preserve"> 21.096 ustnih informacij zavezancem, ki so se telefonsko odzvali na opomin prek klicnega centra za opomine</w:t>
      </w:r>
      <w:r w:rsidR="00314AC1">
        <w:rPr>
          <w:rFonts w:ascii="Arial" w:eastAsia="Times New Roman" w:hAnsi="Arial" w:cs="Arial"/>
          <w:sz w:val="20"/>
          <w:szCs w:val="20"/>
        </w:rPr>
        <w:t>,</w:t>
      </w:r>
      <w:r w:rsidRPr="000404D7">
        <w:rPr>
          <w:rFonts w:ascii="Arial" w:eastAsia="Times New Roman" w:hAnsi="Arial" w:cs="Arial"/>
          <w:sz w:val="20"/>
          <w:szCs w:val="20"/>
        </w:rPr>
        <w:t xml:space="preserve"> in pripravil 4.021 pisnih odgovorov zavezancem. Informacije in pojasnila, ki jih zavezanci prejmejo na ta način, so zlasti pomembn</w:t>
      </w:r>
      <w:r w:rsidR="00314AC1">
        <w:rPr>
          <w:rFonts w:ascii="Arial" w:eastAsia="Times New Roman" w:hAnsi="Arial" w:cs="Arial"/>
          <w:sz w:val="20"/>
          <w:szCs w:val="20"/>
        </w:rPr>
        <w:t>i</w:t>
      </w:r>
      <w:r w:rsidRPr="000404D7">
        <w:rPr>
          <w:rFonts w:ascii="Arial" w:eastAsia="Times New Roman" w:hAnsi="Arial" w:cs="Arial"/>
          <w:sz w:val="20"/>
          <w:szCs w:val="20"/>
        </w:rPr>
        <w:t xml:space="preserve"> z vidika preprečitve neupravičeno začete davčne izvršbe in uskladitve knjigovodskega stanja zavezancev.</w:t>
      </w:r>
    </w:p>
    <w:p w14:paraId="3CA68165" w14:textId="77777777" w:rsidR="00D847F2" w:rsidRPr="000404D7" w:rsidRDefault="00D847F2" w:rsidP="00D847F2">
      <w:pPr>
        <w:spacing w:after="0" w:line="260" w:lineRule="atLeast"/>
        <w:jc w:val="both"/>
        <w:rPr>
          <w:rFonts w:ascii="Arial" w:eastAsia="Times New Roman" w:hAnsi="Arial" w:cs="Arial"/>
          <w:sz w:val="20"/>
          <w:szCs w:val="20"/>
        </w:rPr>
      </w:pPr>
    </w:p>
    <w:p w14:paraId="66334D82" w14:textId="77777777" w:rsidR="00D847F2" w:rsidRDefault="00D847F2" w:rsidP="00D847F2">
      <w:pPr>
        <w:jc w:val="both"/>
        <w:rPr>
          <w:rFonts w:ascii="Arial" w:eastAsia="Times New Roman" w:hAnsi="Arial" w:cs="Arial"/>
          <w:i/>
          <w:sz w:val="20"/>
          <w:szCs w:val="20"/>
        </w:rPr>
      </w:pPr>
      <w:r w:rsidRPr="00087025">
        <w:rPr>
          <w:rFonts w:ascii="Arial" w:eastAsia="Times New Roman" w:hAnsi="Arial" w:cs="Arial"/>
          <w:i/>
          <w:sz w:val="20"/>
          <w:szCs w:val="20"/>
          <w:lang w:eastAsia="sl-SI"/>
        </w:rPr>
        <w:t>Preglednica 1</w:t>
      </w:r>
      <w:r>
        <w:rPr>
          <w:rFonts w:ascii="Arial" w:eastAsia="Times New Roman" w:hAnsi="Arial" w:cs="Arial"/>
          <w:i/>
          <w:sz w:val="20"/>
          <w:szCs w:val="20"/>
          <w:lang w:eastAsia="sl-SI"/>
        </w:rPr>
        <w:t>6</w:t>
      </w:r>
      <w:r w:rsidRPr="00087025">
        <w:rPr>
          <w:rFonts w:ascii="Arial" w:eastAsia="Times New Roman" w:hAnsi="Arial" w:cs="Arial"/>
          <w:i/>
          <w:sz w:val="20"/>
          <w:szCs w:val="20"/>
          <w:lang w:eastAsia="sl-SI"/>
        </w:rPr>
        <w:t xml:space="preserve">: </w:t>
      </w:r>
      <w:r w:rsidRPr="00087025">
        <w:rPr>
          <w:rFonts w:ascii="Arial" w:eastAsia="Times New Roman" w:hAnsi="Arial" w:cs="Arial"/>
          <w:bCs/>
          <w:i/>
          <w:sz w:val="20"/>
          <w:szCs w:val="20"/>
        </w:rPr>
        <w:t>U</w:t>
      </w:r>
      <w:r w:rsidRPr="00087025">
        <w:rPr>
          <w:rFonts w:ascii="Arial" w:eastAsia="Times New Roman" w:hAnsi="Arial" w:cs="Arial"/>
          <w:i/>
          <w:sz w:val="20"/>
          <w:szCs w:val="20"/>
        </w:rPr>
        <w:t xml:space="preserve">krepi izterjave davkov in drugih obveznih dajatev </w:t>
      </w:r>
    </w:p>
    <w:tbl>
      <w:tblPr>
        <w:tblW w:w="9150" w:type="dxa"/>
        <w:tblCellMar>
          <w:left w:w="70" w:type="dxa"/>
          <w:right w:w="70" w:type="dxa"/>
        </w:tblCellMar>
        <w:tblLook w:val="04A0" w:firstRow="1" w:lastRow="0" w:firstColumn="1" w:lastColumn="0" w:noHBand="0" w:noVBand="1"/>
      </w:tblPr>
      <w:tblGrid>
        <w:gridCol w:w="2072"/>
        <w:gridCol w:w="1161"/>
        <w:gridCol w:w="1344"/>
        <w:gridCol w:w="1142"/>
        <w:gridCol w:w="1353"/>
        <w:gridCol w:w="1058"/>
        <w:gridCol w:w="1020"/>
      </w:tblGrid>
      <w:tr w:rsidR="00D847F2" w:rsidRPr="00E01402" w14:paraId="4B75400A" w14:textId="77777777" w:rsidTr="00556699">
        <w:trPr>
          <w:trHeight w:val="235"/>
        </w:trPr>
        <w:tc>
          <w:tcPr>
            <w:tcW w:w="2072"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14:paraId="5931613F"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Ukrepi izterjave</w:t>
            </w:r>
          </w:p>
        </w:tc>
        <w:tc>
          <w:tcPr>
            <w:tcW w:w="2505" w:type="dxa"/>
            <w:gridSpan w:val="2"/>
            <w:tcBorders>
              <w:top w:val="single" w:sz="4" w:space="0" w:color="auto"/>
              <w:left w:val="nil"/>
              <w:bottom w:val="single" w:sz="4" w:space="0" w:color="auto"/>
              <w:right w:val="single" w:sz="4" w:space="0" w:color="auto"/>
            </w:tcBorders>
            <w:shd w:val="clear" w:color="000000" w:fill="31849B"/>
            <w:vAlign w:val="center"/>
            <w:hideMark/>
          </w:tcPr>
          <w:p w14:paraId="566C92BD"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2021</w:t>
            </w:r>
          </w:p>
        </w:tc>
        <w:tc>
          <w:tcPr>
            <w:tcW w:w="2495" w:type="dxa"/>
            <w:gridSpan w:val="2"/>
            <w:tcBorders>
              <w:top w:val="single" w:sz="4" w:space="0" w:color="auto"/>
              <w:left w:val="nil"/>
              <w:bottom w:val="single" w:sz="4" w:space="0" w:color="auto"/>
              <w:right w:val="single" w:sz="4" w:space="0" w:color="auto"/>
            </w:tcBorders>
            <w:shd w:val="clear" w:color="000000" w:fill="31849B"/>
            <w:vAlign w:val="center"/>
            <w:hideMark/>
          </w:tcPr>
          <w:p w14:paraId="1E46493C"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2022</w:t>
            </w:r>
          </w:p>
        </w:tc>
        <w:tc>
          <w:tcPr>
            <w:tcW w:w="2077" w:type="dxa"/>
            <w:gridSpan w:val="2"/>
            <w:tcBorders>
              <w:top w:val="single" w:sz="4" w:space="0" w:color="auto"/>
              <w:left w:val="nil"/>
              <w:bottom w:val="single" w:sz="4" w:space="0" w:color="auto"/>
              <w:right w:val="single" w:sz="4" w:space="0" w:color="auto"/>
            </w:tcBorders>
            <w:shd w:val="clear" w:color="000000" w:fill="31849B"/>
            <w:vAlign w:val="center"/>
            <w:hideMark/>
          </w:tcPr>
          <w:p w14:paraId="09743DD8"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Indeks 2022/2021</w:t>
            </w:r>
          </w:p>
        </w:tc>
      </w:tr>
      <w:tr w:rsidR="00D847F2" w:rsidRPr="00E01402" w14:paraId="59BC1398" w14:textId="77777777" w:rsidTr="00556699">
        <w:trPr>
          <w:trHeight w:val="258"/>
        </w:trPr>
        <w:tc>
          <w:tcPr>
            <w:tcW w:w="2072" w:type="dxa"/>
            <w:vMerge/>
            <w:tcBorders>
              <w:top w:val="single" w:sz="4" w:space="0" w:color="auto"/>
              <w:left w:val="single" w:sz="4" w:space="0" w:color="auto"/>
              <w:bottom w:val="single" w:sz="4" w:space="0" w:color="auto"/>
              <w:right w:val="single" w:sz="4" w:space="0" w:color="auto"/>
            </w:tcBorders>
            <w:vAlign w:val="center"/>
            <w:hideMark/>
          </w:tcPr>
          <w:p w14:paraId="6C269ECA" w14:textId="77777777" w:rsidR="00D847F2" w:rsidRPr="00E01402" w:rsidRDefault="00D847F2" w:rsidP="00556699">
            <w:pPr>
              <w:spacing w:after="0" w:line="240" w:lineRule="auto"/>
              <w:rPr>
                <w:rFonts w:ascii="Arial" w:eastAsia="Times New Roman" w:hAnsi="Arial" w:cs="Arial"/>
                <w:b/>
                <w:bCs/>
                <w:color w:val="FFFFFF"/>
                <w:sz w:val="18"/>
                <w:szCs w:val="18"/>
                <w:lang w:eastAsia="sl-SI"/>
              </w:rPr>
            </w:pPr>
          </w:p>
        </w:tc>
        <w:tc>
          <w:tcPr>
            <w:tcW w:w="1161" w:type="dxa"/>
            <w:tcBorders>
              <w:top w:val="nil"/>
              <w:left w:val="nil"/>
              <w:bottom w:val="single" w:sz="4" w:space="0" w:color="auto"/>
              <w:right w:val="single" w:sz="4" w:space="0" w:color="auto"/>
            </w:tcBorders>
            <w:shd w:val="clear" w:color="000000" w:fill="31849B"/>
            <w:vAlign w:val="center"/>
            <w:hideMark/>
          </w:tcPr>
          <w:p w14:paraId="20A69F73"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Število</w:t>
            </w:r>
          </w:p>
        </w:tc>
        <w:tc>
          <w:tcPr>
            <w:tcW w:w="1343" w:type="dxa"/>
            <w:tcBorders>
              <w:top w:val="nil"/>
              <w:left w:val="nil"/>
              <w:bottom w:val="single" w:sz="4" w:space="0" w:color="auto"/>
              <w:right w:val="single" w:sz="4" w:space="0" w:color="auto"/>
            </w:tcBorders>
            <w:shd w:val="clear" w:color="000000" w:fill="31849B"/>
            <w:vAlign w:val="center"/>
            <w:hideMark/>
          </w:tcPr>
          <w:p w14:paraId="333FC031"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Znesek v evrih</w:t>
            </w:r>
          </w:p>
        </w:tc>
        <w:tc>
          <w:tcPr>
            <w:tcW w:w="1142" w:type="dxa"/>
            <w:tcBorders>
              <w:top w:val="nil"/>
              <w:left w:val="nil"/>
              <w:bottom w:val="single" w:sz="4" w:space="0" w:color="auto"/>
              <w:right w:val="single" w:sz="4" w:space="0" w:color="auto"/>
            </w:tcBorders>
            <w:shd w:val="clear" w:color="000000" w:fill="31849B"/>
            <w:vAlign w:val="center"/>
            <w:hideMark/>
          </w:tcPr>
          <w:p w14:paraId="2FBCE13B"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Število</w:t>
            </w:r>
          </w:p>
        </w:tc>
        <w:tc>
          <w:tcPr>
            <w:tcW w:w="1352" w:type="dxa"/>
            <w:tcBorders>
              <w:top w:val="nil"/>
              <w:left w:val="nil"/>
              <w:bottom w:val="single" w:sz="4" w:space="0" w:color="auto"/>
              <w:right w:val="single" w:sz="4" w:space="0" w:color="auto"/>
            </w:tcBorders>
            <w:shd w:val="clear" w:color="000000" w:fill="31849B"/>
            <w:vAlign w:val="center"/>
            <w:hideMark/>
          </w:tcPr>
          <w:p w14:paraId="7C196E92"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Znesek v evrih</w:t>
            </w:r>
          </w:p>
        </w:tc>
        <w:tc>
          <w:tcPr>
            <w:tcW w:w="1058" w:type="dxa"/>
            <w:tcBorders>
              <w:top w:val="nil"/>
              <w:left w:val="nil"/>
              <w:bottom w:val="single" w:sz="4" w:space="0" w:color="auto"/>
              <w:right w:val="single" w:sz="4" w:space="0" w:color="auto"/>
            </w:tcBorders>
            <w:shd w:val="clear" w:color="000000" w:fill="31849B"/>
            <w:vAlign w:val="center"/>
            <w:hideMark/>
          </w:tcPr>
          <w:p w14:paraId="76B3C495"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Število</w:t>
            </w:r>
          </w:p>
        </w:tc>
        <w:tc>
          <w:tcPr>
            <w:tcW w:w="1019" w:type="dxa"/>
            <w:tcBorders>
              <w:top w:val="nil"/>
              <w:left w:val="nil"/>
              <w:bottom w:val="single" w:sz="4" w:space="0" w:color="auto"/>
              <w:right w:val="single" w:sz="4" w:space="0" w:color="auto"/>
            </w:tcBorders>
            <w:shd w:val="clear" w:color="000000" w:fill="31849B"/>
            <w:vAlign w:val="center"/>
            <w:hideMark/>
          </w:tcPr>
          <w:p w14:paraId="6989778C" w14:textId="77777777" w:rsidR="00D847F2" w:rsidRPr="00E01402" w:rsidRDefault="00D847F2" w:rsidP="00556699">
            <w:pPr>
              <w:spacing w:after="0" w:line="240" w:lineRule="auto"/>
              <w:jc w:val="center"/>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 xml:space="preserve">Znesek </w:t>
            </w:r>
          </w:p>
        </w:tc>
      </w:tr>
      <w:tr w:rsidR="00D847F2" w:rsidRPr="00E01402" w14:paraId="3DEE89BB" w14:textId="77777777" w:rsidTr="00556699">
        <w:trPr>
          <w:trHeight w:val="159"/>
        </w:trPr>
        <w:tc>
          <w:tcPr>
            <w:tcW w:w="9150"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1F4890FA" w14:textId="77777777" w:rsidR="00D847F2" w:rsidRPr="00E01402" w:rsidRDefault="00D847F2" w:rsidP="00556699">
            <w:pPr>
              <w:spacing w:after="0" w:line="240" w:lineRule="auto"/>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Opomini pred začetkom davčne izvršbe</w:t>
            </w:r>
          </w:p>
        </w:tc>
      </w:tr>
      <w:tr w:rsidR="00D847F2" w:rsidRPr="00E01402" w14:paraId="64E5D639" w14:textId="77777777" w:rsidTr="00556699">
        <w:trPr>
          <w:trHeight w:val="250"/>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0326ACA5"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 xml:space="preserve">Poslani opomini </w:t>
            </w:r>
          </w:p>
        </w:tc>
        <w:tc>
          <w:tcPr>
            <w:tcW w:w="1161" w:type="dxa"/>
            <w:tcBorders>
              <w:top w:val="nil"/>
              <w:left w:val="nil"/>
              <w:bottom w:val="single" w:sz="4" w:space="0" w:color="auto"/>
              <w:right w:val="single" w:sz="4" w:space="0" w:color="auto"/>
            </w:tcBorders>
            <w:shd w:val="clear" w:color="auto" w:fill="auto"/>
            <w:vAlign w:val="center"/>
            <w:hideMark/>
          </w:tcPr>
          <w:p w14:paraId="7DB9E405"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688.728</w:t>
            </w:r>
          </w:p>
        </w:tc>
        <w:tc>
          <w:tcPr>
            <w:tcW w:w="1343" w:type="dxa"/>
            <w:tcBorders>
              <w:top w:val="nil"/>
              <w:left w:val="nil"/>
              <w:bottom w:val="single" w:sz="4" w:space="0" w:color="auto"/>
              <w:right w:val="single" w:sz="4" w:space="0" w:color="auto"/>
            </w:tcBorders>
            <w:shd w:val="clear" w:color="000000" w:fill="DAEEF3"/>
            <w:vAlign w:val="center"/>
            <w:hideMark/>
          </w:tcPr>
          <w:p w14:paraId="5F6D88DB"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540.295.929</w:t>
            </w:r>
          </w:p>
        </w:tc>
        <w:tc>
          <w:tcPr>
            <w:tcW w:w="1142" w:type="dxa"/>
            <w:tcBorders>
              <w:top w:val="nil"/>
              <w:left w:val="nil"/>
              <w:bottom w:val="single" w:sz="4" w:space="0" w:color="auto"/>
              <w:right w:val="single" w:sz="4" w:space="0" w:color="auto"/>
            </w:tcBorders>
            <w:shd w:val="clear" w:color="auto" w:fill="auto"/>
            <w:vAlign w:val="center"/>
            <w:hideMark/>
          </w:tcPr>
          <w:p w14:paraId="08281FD7"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817.288</w:t>
            </w:r>
          </w:p>
        </w:tc>
        <w:tc>
          <w:tcPr>
            <w:tcW w:w="1352" w:type="dxa"/>
            <w:tcBorders>
              <w:top w:val="nil"/>
              <w:left w:val="nil"/>
              <w:bottom w:val="single" w:sz="4" w:space="0" w:color="auto"/>
              <w:right w:val="single" w:sz="4" w:space="0" w:color="auto"/>
            </w:tcBorders>
            <w:shd w:val="clear" w:color="000000" w:fill="DAEEF3"/>
            <w:vAlign w:val="center"/>
            <w:hideMark/>
          </w:tcPr>
          <w:p w14:paraId="065A2C43"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622.913.847</w:t>
            </w:r>
          </w:p>
        </w:tc>
        <w:tc>
          <w:tcPr>
            <w:tcW w:w="1058" w:type="dxa"/>
            <w:tcBorders>
              <w:top w:val="nil"/>
              <w:left w:val="nil"/>
              <w:bottom w:val="single" w:sz="4" w:space="0" w:color="auto"/>
              <w:right w:val="single" w:sz="4" w:space="0" w:color="auto"/>
            </w:tcBorders>
            <w:shd w:val="clear" w:color="auto" w:fill="auto"/>
            <w:vAlign w:val="center"/>
            <w:hideMark/>
          </w:tcPr>
          <w:p w14:paraId="4C60BFCF"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118,7</w:t>
            </w:r>
          </w:p>
        </w:tc>
        <w:tc>
          <w:tcPr>
            <w:tcW w:w="1019" w:type="dxa"/>
            <w:tcBorders>
              <w:top w:val="nil"/>
              <w:left w:val="nil"/>
              <w:bottom w:val="single" w:sz="4" w:space="0" w:color="auto"/>
              <w:right w:val="single" w:sz="4" w:space="0" w:color="auto"/>
            </w:tcBorders>
            <w:shd w:val="clear" w:color="auto" w:fill="auto"/>
            <w:vAlign w:val="center"/>
            <w:hideMark/>
          </w:tcPr>
          <w:p w14:paraId="36AB4E41"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115,3</w:t>
            </w:r>
          </w:p>
        </w:tc>
      </w:tr>
      <w:tr w:rsidR="00D847F2" w:rsidRPr="00E01402" w14:paraId="7BD4B50C" w14:textId="77777777" w:rsidTr="00556699">
        <w:trPr>
          <w:trHeight w:val="243"/>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605834E7"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 xml:space="preserve">Plačila na podlagi opominov </w:t>
            </w:r>
          </w:p>
        </w:tc>
        <w:tc>
          <w:tcPr>
            <w:tcW w:w="1161" w:type="dxa"/>
            <w:tcBorders>
              <w:top w:val="nil"/>
              <w:left w:val="nil"/>
              <w:bottom w:val="single" w:sz="4" w:space="0" w:color="auto"/>
              <w:right w:val="single" w:sz="4" w:space="0" w:color="auto"/>
            </w:tcBorders>
            <w:shd w:val="clear" w:color="auto" w:fill="auto"/>
            <w:vAlign w:val="center"/>
            <w:hideMark/>
          </w:tcPr>
          <w:p w14:paraId="32F266D9"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450.609</w:t>
            </w:r>
          </w:p>
        </w:tc>
        <w:tc>
          <w:tcPr>
            <w:tcW w:w="1343" w:type="dxa"/>
            <w:tcBorders>
              <w:top w:val="nil"/>
              <w:left w:val="nil"/>
              <w:bottom w:val="single" w:sz="4" w:space="0" w:color="auto"/>
              <w:right w:val="single" w:sz="4" w:space="0" w:color="auto"/>
            </w:tcBorders>
            <w:shd w:val="clear" w:color="000000" w:fill="DAEEF3"/>
            <w:vAlign w:val="center"/>
            <w:hideMark/>
          </w:tcPr>
          <w:p w14:paraId="18606003"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299.607.703</w:t>
            </w:r>
          </w:p>
        </w:tc>
        <w:tc>
          <w:tcPr>
            <w:tcW w:w="1142" w:type="dxa"/>
            <w:tcBorders>
              <w:top w:val="nil"/>
              <w:left w:val="nil"/>
              <w:bottom w:val="single" w:sz="4" w:space="0" w:color="auto"/>
              <w:right w:val="single" w:sz="4" w:space="0" w:color="auto"/>
            </w:tcBorders>
            <w:shd w:val="clear" w:color="auto" w:fill="auto"/>
            <w:vAlign w:val="center"/>
            <w:hideMark/>
          </w:tcPr>
          <w:p w14:paraId="44500A03"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563.780</w:t>
            </w:r>
          </w:p>
        </w:tc>
        <w:tc>
          <w:tcPr>
            <w:tcW w:w="1352" w:type="dxa"/>
            <w:tcBorders>
              <w:top w:val="nil"/>
              <w:left w:val="nil"/>
              <w:bottom w:val="single" w:sz="4" w:space="0" w:color="auto"/>
              <w:right w:val="single" w:sz="4" w:space="0" w:color="auto"/>
            </w:tcBorders>
            <w:shd w:val="clear" w:color="000000" w:fill="DAEEF3"/>
            <w:vAlign w:val="center"/>
            <w:hideMark/>
          </w:tcPr>
          <w:p w14:paraId="4D9CF466"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401.767.306</w:t>
            </w:r>
          </w:p>
        </w:tc>
        <w:tc>
          <w:tcPr>
            <w:tcW w:w="1058" w:type="dxa"/>
            <w:tcBorders>
              <w:top w:val="nil"/>
              <w:left w:val="nil"/>
              <w:bottom w:val="single" w:sz="4" w:space="0" w:color="auto"/>
              <w:right w:val="single" w:sz="4" w:space="0" w:color="auto"/>
            </w:tcBorders>
            <w:shd w:val="clear" w:color="auto" w:fill="auto"/>
            <w:vAlign w:val="center"/>
            <w:hideMark/>
          </w:tcPr>
          <w:p w14:paraId="1958C8B2"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125,1</w:t>
            </w:r>
          </w:p>
        </w:tc>
        <w:tc>
          <w:tcPr>
            <w:tcW w:w="1019" w:type="dxa"/>
            <w:tcBorders>
              <w:top w:val="nil"/>
              <w:left w:val="nil"/>
              <w:bottom w:val="single" w:sz="4" w:space="0" w:color="auto"/>
              <w:right w:val="single" w:sz="4" w:space="0" w:color="auto"/>
            </w:tcBorders>
            <w:shd w:val="clear" w:color="auto" w:fill="auto"/>
            <w:vAlign w:val="center"/>
            <w:hideMark/>
          </w:tcPr>
          <w:p w14:paraId="7E180DC2"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134,1</w:t>
            </w:r>
          </w:p>
        </w:tc>
      </w:tr>
      <w:tr w:rsidR="00D847F2" w:rsidRPr="00E01402" w14:paraId="700BE374" w14:textId="77777777" w:rsidTr="00556699">
        <w:trPr>
          <w:trHeight w:val="243"/>
        </w:trPr>
        <w:tc>
          <w:tcPr>
            <w:tcW w:w="9150"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2A328B04" w14:textId="77777777" w:rsidR="00D847F2" w:rsidRPr="00E01402" w:rsidRDefault="00D847F2" w:rsidP="00556699">
            <w:pPr>
              <w:spacing w:after="0" w:line="240" w:lineRule="auto"/>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Pozivi za plačilo in predložitev seznama premoženja</w:t>
            </w:r>
          </w:p>
        </w:tc>
      </w:tr>
      <w:tr w:rsidR="00D847F2" w:rsidRPr="00E01402" w14:paraId="7336B19F" w14:textId="77777777" w:rsidTr="00556699">
        <w:trPr>
          <w:trHeight w:val="441"/>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1321D287"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Izdani pozivi za plačilo in predložitev seznama premoženja</w:t>
            </w:r>
          </w:p>
        </w:tc>
        <w:tc>
          <w:tcPr>
            <w:tcW w:w="1161" w:type="dxa"/>
            <w:tcBorders>
              <w:top w:val="nil"/>
              <w:left w:val="nil"/>
              <w:bottom w:val="single" w:sz="4" w:space="0" w:color="auto"/>
              <w:right w:val="single" w:sz="4" w:space="0" w:color="auto"/>
            </w:tcBorders>
            <w:shd w:val="clear" w:color="auto" w:fill="auto"/>
            <w:vAlign w:val="center"/>
            <w:hideMark/>
          </w:tcPr>
          <w:p w14:paraId="1396426A"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9.719</w:t>
            </w:r>
          </w:p>
        </w:tc>
        <w:tc>
          <w:tcPr>
            <w:tcW w:w="1343" w:type="dxa"/>
            <w:tcBorders>
              <w:top w:val="nil"/>
              <w:left w:val="nil"/>
              <w:bottom w:val="single" w:sz="4" w:space="0" w:color="auto"/>
              <w:right w:val="single" w:sz="4" w:space="0" w:color="auto"/>
            </w:tcBorders>
            <w:shd w:val="clear" w:color="000000" w:fill="DAEEF3"/>
            <w:vAlign w:val="center"/>
            <w:hideMark/>
          </w:tcPr>
          <w:p w14:paraId="067E86EC"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35.697.014</w:t>
            </w:r>
          </w:p>
        </w:tc>
        <w:tc>
          <w:tcPr>
            <w:tcW w:w="1142" w:type="dxa"/>
            <w:tcBorders>
              <w:top w:val="nil"/>
              <w:left w:val="nil"/>
              <w:bottom w:val="single" w:sz="4" w:space="0" w:color="auto"/>
              <w:right w:val="single" w:sz="4" w:space="0" w:color="auto"/>
            </w:tcBorders>
            <w:shd w:val="clear" w:color="auto" w:fill="auto"/>
            <w:vAlign w:val="center"/>
            <w:hideMark/>
          </w:tcPr>
          <w:p w14:paraId="3F0AB7DE"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8.462,00</w:t>
            </w:r>
          </w:p>
        </w:tc>
        <w:tc>
          <w:tcPr>
            <w:tcW w:w="1352" w:type="dxa"/>
            <w:tcBorders>
              <w:top w:val="nil"/>
              <w:left w:val="nil"/>
              <w:bottom w:val="single" w:sz="4" w:space="0" w:color="auto"/>
              <w:right w:val="single" w:sz="4" w:space="0" w:color="auto"/>
            </w:tcBorders>
            <w:shd w:val="clear" w:color="000000" w:fill="DAEEF3"/>
            <w:vAlign w:val="center"/>
            <w:hideMark/>
          </w:tcPr>
          <w:p w14:paraId="193C98F7"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57.666.907,00</w:t>
            </w:r>
          </w:p>
        </w:tc>
        <w:tc>
          <w:tcPr>
            <w:tcW w:w="1058" w:type="dxa"/>
            <w:tcBorders>
              <w:top w:val="nil"/>
              <w:left w:val="nil"/>
              <w:bottom w:val="single" w:sz="4" w:space="0" w:color="auto"/>
              <w:right w:val="single" w:sz="4" w:space="0" w:color="auto"/>
            </w:tcBorders>
            <w:shd w:val="clear" w:color="auto" w:fill="auto"/>
            <w:vAlign w:val="center"/>
            <w:hideMark/>
          </w:tcPr>
          <w:p w14:paraId="44C502FD"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87,1</w:t>
            </w:r>
          </w:p>
        </w:tc>
        <w:tc>
          <w:tcPr>
            <w:tcW w:w="1019" w:type="dxa"/>
            <w:tcBorders>
              <w:top w:val="nil"/>
              <w:left w:val="nil"/>
              <w:bottom w:val="single" w:sz="4" w:space="0" w:color="auto"/>
              <w:right w:val="single" w:sz="4" w:space="0" w:color="auto"/>
            </w:tcBorders>
            <w:shd w:val="clear" w:color="auto" w:fill="auto"/>
            <w:vAlign w:val="center"/>
            <w:hideMark/>
          </w:tcPr>
          <w:p w14:paraId="551073C8"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161,5</w:t>
            </w:r>
          </w:p>
        </w:tc>
      </w:tr>
      <w:tr w:rsidR="00D847F2" w:rsidRPr="00E01402" w14:paraId="57E48032" w14:textId="77777777" w:rsidTr="00556699">
        <w:trPr>
          <w:trHeight w:val="235"/>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1449052B"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Plačila na podlagi pozivov</w:t>
            </w:r>
          </w:p>
        </w:tc>
        <w:tc>
          <w:tcPr>
            <w:tcW w:w="1161" w:type="dxa"/>
            <w:tcBorders>
              <w:top w:val="nil"/>
              <w:left w:val="nil"/>
              <w:bottom w:val="single" w:sz="4" w:space="0" w:color="auto"/>
              <w:right w:val="single" w:sz="4" w:space="0" w:color="auto"/>
            </w:tcBorders>
            <w:shd w:val="clear" w:color="auto" w:fill="auto"/>
            <w:vAlign w:val="center"/>
            <w:hideMark/>
          </w:tcPr>
          <w:p w14:paraId="50580562"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94.179</w:t>
            </w:r>
          </w:p>
        </w:tc>
        <w:tc>
          <w:tcPr>
            <w:tcW w:w="1343" w:type="dxa"/>
            <w:tcBorders>
              <w:top w:val="nil"/>
              <w:left w:val="nil"/>
              <w:bottom w:val="single" w:sz="4" w:space="0" w:color="auto"/>
              <w:right w:val="single" w:sz="4" w:space="0" w:color="auto"/>
            </w:tcBorders>
            <w:shd w:val="clear" w:color="000000" w:fill="DAEEF3"/>
            <w:vAlign w:val="center"/>
            <w:hideMark/>
          </w:tcPr>
          <w:p w14:paraId="5BD3545F"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2.394.204</w:t>
            </w:r>
          </w:p>
        </w:tc>
        <w:tc>
          <w:tcPr>
            <w:tcW w:w="1142" w:type="dxa"/>
            <w:tcBorders>
              <w:top w:val="nil"/>
              <w:left w:val="nil"/>
              <w:bottom w:val="single" w:sz="4" w:space="0" w:color="auto"/>
              <w:right w:val="single" w:sz="4" w:space="0" w:color="auto"/>
            </w:tcBorders>
            <w:shd w:val="clear" w:color="auto" w:fill="auto"/>
            <w:vAlign w:val="center"/>
            <w:hideMark/>
          </w:tcPr>
          <w:p w14:paraId="55589D32"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102.701,00</w:t>
            </w:r>
          </w:p>
        </w:tc>
        <w:tc>
          <w:tcPr>
            <w:tcW w:w="1352" w:type="dxa"/>
            <w:tcBorders>
              <w:top w:val="nil"/>
              <w:left w:val="nil"/>
              <w:bottom w:val="single" w:sz="4" w:space="0" w:color="auto"/>
              <w:right w:val="single" w:sz="4" w:space="0" w:color="auto"/>
            </w:tcBorders>
            <w:shd w:val="clear" w:color="000000" w:fill="DAEEF3"/>
            <w:vAlign w:val="center"/>
            <w:hideMark/>
          </w:tcPr>
          <w:p w14:paraId="43937B74"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1.743.084,00</w:t>
            </w:r>
          </w:p>
        </w:tc>
        <w:tc>
          <w:tcPr>
            <w:tcW w:w="1058" w:type="dxa"/>
            <w:tcBorders>
              <w:top w:val="nil"/>
              <w:left w:val="nil"/>
              <w:bottom w:val="single" w:sz="4" w:space="0" w:color="auto"/>
              <w:right w:val="single" w:sz="4" w:space="0" w:color="auto"/>
            </w:tcBorders>
            <w:shd w:val="clear" w:color="auto" w:fill="auto"/>
            <w:vAlign w:val="center"/>
            <w:hideMark/>
          </w:tcPr>
          <w:p w14:paraId="0BF3E763"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109,0</w:t>
            </w:r>
          </w:p>
        </w:tc>
        <w:tc>
          <w:tcPr>
            <w:tcW w:w="1019" w:type="dxa"/>
            <w:tcBorders>
              <w:top w:val="nil"/>
              <w:left w:val="nil"/>
              <w:bottom w:val="single" w:sz="4" w:space="0" w:color="auto"/>
              <w:right w:val="single" w:sz="4" w:space="0" w:color="auto"/>
            </w:tcBorders>
            <w:shd w:val="clear" w:color="auto" w:fill="auto"/>
            <w:vAlign w:val="center"/>
            <w:hideMark/>
          </w:tcPr>
          <w:p w14:paraId="27007711"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72,8</w:t>
            </w:r>
          </w:p>
        </w:tc>
      </w:tr>
      <w:tr w:rsidR="00D847F2" w:rsidRPr="00E01402" w14:paraId="2CB9C0E8" w14:textId="77777777" w:rsidTr="00556699">
        <w:trPr>
          <w:trHeight w:val="250"/>
        </w:trPr>
        <w:tc>
          <w:tcPr>
            <w:tcW w:w="9150" w:type="dxa"/>
            <w:gridSpan w:val="7"/>
            <w:tcBorders>
              <w:top w:val="single" w:sz="4" w:space="0" w:color="auto"/>
              <w:left w:val="single" w:sz="4" w:space="0" w:color="auto"/>
              <w:bottom w:val="single" w:sz="4" w:space="0" w:color="auto"/>
              <w:right w:val="single" w:sz="4" w:space="0" w:color="auto"/>
            </w:tcBorders>
            <w:shd w:val="clear" w:color="000000" w:fill="E36C0A"/>
            <w:vAlign w:val="center"/>
            <w:hideMark/>
          </w:tcPr>
          <w:p w14:paraId="7416E0C4" w14:textId="77777777" w:rsidR="00D847F2" w:rsidRPr="00E01402" w:rsidRDefault="00D847F2" w:rsidP="00556699">
            <w:pPr>
              <w:spacing w:after="0" w:line="240" w:lineRule="auto"/>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Sklep o davčni izvršbi</w:t>
            </w:r>
          </w:p>
        </w:tc>
      </w:tr>
      <w:tr w:rsidR="00D847F2" w:rsidRPr="00E01402" w14:paraId="2EA20B86" w14:textId="77777777" w:rsidTr="00556699">
        <w:trPr>
          <w:trHeight w:val="235"/>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6D2A47F0"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Izdani sklepi</w:t>
            </w:r>
          </w:p>
        </w:tc>
        <w:tc>
          <w:tcPr>
            <w:tcW w:w="1161" w:type="dxa"/>
            <w:tcBorders>
              <w:top w:val="nil"/>
              <w:left w:val="nil"/>
              <w:bottom w:val="single" w:sz="4" w:space="0" w:color="auto"/>
              <w:right w:val="single" w:sz="4" w:space="0" w:color="auto"/>
            </w:tcBorders>
            <w:shd w:val="clear" w:color="auto" w:fill="auto"/>
            <w:vAlign w:val="center"/>
            <w:hideMark/>
          </w:tcPr>
          <w:p w14:paraId="0A16C338"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117.244</w:t>
            </w:r>
          </w:p>
        </w:tc>
        <w:tc>
          <w:tcPr>
            <w:tcW w:w="1343" w:type="dxa"/>
            <w:tcBorders>
              <w:top w:val="nil"/>
              <w:left w:val="nil"/>
              <w:bottom w:val="single" w:sz="4" w:space="0" w:color="auto"/>
              <w:right w:val="single" w:sz="4" w:space="0" w:color="auto"/>
            </w:tcBorders>
            <w:shd w:val="clear" w:color="000000" w:fill="DAEEF3"/>
            <w:vAlign w:val="center"/>
            <w:hideMark/>
          </w:tcPr>
          <w:p w14:paraId="264BE6BB"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473.987.062</w:t>
            </w:r>
          </w:p>
        </w:tc>
        <w:tc>
          <w:tcPr>
            <w:tcW w:w="1142" w:type="dxa"/>
            <w:tcBorders>
              <w:top w:val="nil"/>
              <w:left w:val="nil"/>
              <w:bottom w:val="single" w:sz="4" w:space="0" w:color="auto"/>
              <w:right w:val="single" w:sz="4" w:space="0" w:color="auto"/>
            </w:tcBorders>
            <w:shd w:val="clear" w:color="auto" w:fill="auto"/>
            <w:vAlign w:val="center"/>
            <w:hideMark/>
          </w:tcPr>
          <w:p w14:paraId="48DF4DEE"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166.197</w:t>
            </w:r>
          </w:p>
        </w:tc>
        <w:tc>
          <w:tcPr>
            <w:tcW w:w="1352" w:type="dxa"/>
            <w:tcBorders>
              <w:top w:val="nil"/>
              <w:left w:val="nil"/>
              <w:bottom w:val="single" w:sz="4" w:space="0" w:color="auto"/>
              <w:right w:val="single" w:sz="4" w:space="0" w:color="auto"/>
            </w:tcBorders>
            <w:shd w:val="clear" w:color="000000" w:fill="DAEEF3"/>
            <w:vAlign w:val="center"/>
            <w:hideMark/>
          </w:tcPr>
          <w:p w14:paraId="39BD6D91"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524.927.276</w:t>
            </w:r>
          </w:p>
        </w:tc>
        <w:tc>
          <w:tcPr>
            <w:tcW w:w="1058" w:type="dxa"/>
            <w:tcBorders>
              <w:top w:val="nil"/>
              <w:left w:val="nil"/>
              <w:bottom w:val="single" w:sz="4" w:space="0" w:color="auto"/>
              <w:right w:val="single" w:sz="4" w:space="0" w:color="auto"/>
            </w:tcBorders>
            <w:shd w:val="clear" w:color="auto" w:fill="auto"/>
            <w:vAlign w:val="center"/>
            <w:hideMark/>
          </w:tcPr>
          <w:p w14:paraId="33211FCE"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141,8</w:t>
            </w:r>
          </w:p>
        </w:tc>
        <w:tc>
          <w:tcPr>
            <w:tcW w:w="1019" w:type="dxa"/>
            <w:tcBorders>
              <w:top w:val="nil"/>
              <w:left w:val="nil"/>
              <w:bottom w:val="single" w:sz="4" w:space="0" w:color="auto"/>
              <w:right w:val="single" w:sz="4" w:space="0" w:color="auto"/>
            </w:tcBorders>
            <w:shd w:val="clear" w:color="auto" w:fill="auto"/>
            <w:vAlign w:val="center"/>
            <w:hideMark/>
          </w:tcPr>
          <w:p w14:paraId="18CDEA4B"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110,7</w:t>
            </w:r>
          </w:p>
        </w:tc>
      </w:tr>
      <w:tr w:rsidR="00D847F2" w:rsidRPr="00E01402" w14:paraId="1E650BBF" w14:textId="77777777" w:rsidTr="00556699">
        <w:trPr>
          <w:trHeight w:val="281"/>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19A0EA13" w14:textId="77777777" w:rsidR="00D847F2" w:rsidRPr="00E01402" w:rsidRDefault="00D847F2" w:rsidP="00556699">
            <w:pPr>
              <w:spacing w:after="0" w:line="240" w:lineRule="auto"/>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Plačila na podlagi sklepov</w:t>
            </w:r>
          </w:p>
        </w:tc>
        <w:tc>
          <w:tcPr>
            <w:tcW w:w="1161" w:type="dxa"/>
            <w:tcBorders>
              <w:top w:val="nil"/>
              <w:left w:val="nil"/>
              <w:bottom w:val="single" w:sz="4" w:space="0" w:color="auto"/>
              <w:right w:val="single" w:sz="4" w:space="0" w:color="auto"/>
            </w:tcBorders>
            <w:shd w:val="clear" w:color="auto" w:fill="auto"/>
            <w:vAlign w:val="center"/>
            <w:hideMark/>
          </w:tcPr>
          <w:p w14:paraId="4D409EF0"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173.679</w:t>
            </w:r>
          </w:p>
        </w:tc>
        <w:tc>
          <w:tcPr>
            <w:tcW w:w="1343" w:type="dxa"/>
            <w:tcBorders>
              <w:top w:val="nil"/>
              <w:left w:val="nil"/>
              <w:bottom w:val="single" w:sz="4" w:space="0" w:color="auto"/>
              <w:right w:val="single" w:sz="4" w:space="0" w:color="auto"/>
            </w:tcBorders>
            <w:shd w:val="clear" w:color="000000" w:fill="DAEEF3"/>
            <w:vAlign w:val="center"/>
            <w:hideMark/>
          </w:tcPr>
          <w:p w14:paraId="431E3454"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112.344.687</w:t>
            </w:r>
          </w:p>
        </w:tc>
        <w:tc>
          <w:tcPr>
            <w:tcW w:w="1142" w:type="dxa"/>
            <w:tcBorders>
              <w:top w:val="nil"/>
              <w:left w:val="nil"/>
              <w:bottom w:val="single" w:sz="4" w:space="0" w:color="auto"/>
              <w:right w:val="single" w:sz="4" w:space="0" w:color="auto"/>
            </w:tcBorders>
            <w:shd w:val="clear" w:color="auto" w:fill="auto"/>
            <w:vAlign w:val="center"/>
            <w:hideMark/>
          </w:tcPr>
          <w:p w14:paraId="78CA5DDE" w14:textId="77777777" w:rsidR="00D847F2" w:rsidRPr="00E01402" w:rsidRDefault="00D847F2" w:rsidP="00556699">
            <w:pPr>
              <w:spacing w:after="0" w:line="240" w:lineRule="auto"/>
              <w:jc w:val="right"/>
              <w:rPr>
                <w:rFonts w:ascii="Arial" w:eastAsia="Times New Roman" w:hAnsi="Arial" w:cs="Arial"/>
                <w:b/>
                <w:bCs/>
                <w:color w:val="000000"/>
                <w:sz w:val="18"/>
                <w:szCs w:val="18"/>
                <w:lang w:eastAsia="sl-SI"/>
              </w:rPr>
            </w:pPr>
            <w:r w:rsidRPr="00E01402">
              <w:rPr>
                <w:rFonts w:ascii="Arial" w:eastAsia="Times New Roman" w:hAnsi="Arial" w:cs="Arial"/>
                <w:b/>
                <w:bCs/>
                <w:color w:val="000000"/>
                <w:sz w:val="18"/>
                <w:szCs w:val="18"/>
                <w:lang w:eastAsia="sl-SI"/>
              </w:rPr>
              <w:t>226.071</w:t>
            </w:r>
          </w:p>
        </w:tc>
        <w:tc>
          <w:tcPr>
            <w:tcW w:w="1352" w:type="dxa"/>
            <w:tcBorders>
              <w:top w:val="nil"/>
              <w:left w:val="nil"/>
              <w:bottom w:val="single" w:sz="4" w:space="0" w:color="auto"/>
              <w:right w:val="single" w:sz="4" w:space="0" w:color="auto"/>
            </w:tcBorders>
            <w:shd w:val="clear" w:color="000000" w:fill="DAEEF3"/>
            <w:vAlign w:val="center"/>
            <w:hideMark/>
          </w:tcPr>
          <w:p w14:paraId="0680084F"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166.611.402</w:t>
            </w:r>
          </w:p>
        </w:tc>
        <w:tc>
          <w:tcPr>
            <w:tcW w:w="1058" w:type="dxa"/>
            <w:tcBorders>
              <w:top w:val="nil"/>
              <w:left w:val="nil"/>
              <w:bottom w:val="single" w:sz="4" w:space="0" w:color="auto"/>
              <w:right w:val="single" w:sz="4" w:space="0" w:color="auto"/>
            </w:tcBorders>
            <w:shd w:val="clear" w:color="auto" w:fill="auto"/>
            <w:vAlign w:val="center"/>
            <w:hideMark/>
          </w:tcPr>
          <w:p w14:paraId="78CB7F82"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130,2</w:t>
            </w:r>
          </w:p>
        </w:tc>
        <w:tc>
          <w:tcPr>
            <w:tcW w:w="1019" w:type="dxa"/>
            <w:tcBorders>
              <w:top w:val="nil"/>
              <w:left w:val="nil"/>
              <w:bottom w:val="single" w:sz="4" w:space="0" w:color="auto"/>
              <w:right w:val="single" w:sz="4" w:space="0" w:color="auto"/>
            </w:tcBorders>
            <w:shd w:val="clear" w:color="auto" w:fill="auto"/>
            <w:vAlign w:val="center"/>
            <w:hideMark/>
          </w:tcPr>
          <w:p w14:paraId="31E7A300" w14:textId="77777777" w:rsidR="00D847F2" w:rsidRPr="00E01402" w:rsidRDefault="00D847F2" w:rsidP="00556699">
            <w:pPr>
              <w:spacing w:after="0" w:line="240" w:lineRule="auto"/>
              <w:jc w:val="right"/>
              <w:rPr>
                <w:rFonts w:ascii="Arial" w:eastAsia="Times New Roman" w:hAnsi="Arial" w:cs="Arial"/>
                <w:color w:val="000000"/>
                <w:sz w:val="18"/>
                <w:szCs w:val="18"/>
                <w:lang w:eastAsia="sl-SI"/>
              </w:rPr>
            </w:pPr>
            <w:r w:rsidRPr="00E01402">
              <w:rPr>
                <w:rFonts w:ascii="Arial" w:eastAsia="Times New Roman" w:hAnsi="Arial" w:cs="Arial"/>
                <w:color w:val="000000"/>
                <w:sz w:val="18"/>
                <w:szCs w:val="18"/>
                <w:lang w:eastAsia="sl-SI"/>
              </w:rPr>
              <w:t>148,3</w:t>
            </w:r>
          </w:p>
        </w:tc>
      </w:tr>
      <w:tr w:rsidR="00D847F2" w:rsidRPr="00E01402" w14:paraId="402E0997" w14:textId="77777777" w:rsidTr="00556699">
        <w:trPr>
          <w:trHeight w:val="395"/>
        </w:trPr>
        <w:tc>
          <w:tcPr>
            <w:tcW w:w="2072" w:type="dxa"/>
            <w:tcBorders>
              <w:top w:val="nil"/>
              <w:left w:val="single" w:sz="4" w:space="0" w:color="auto"/>
              <w:bottom w:val="single" w:sz="4" w:space="0" w:color="auto"/>
              <w:right w:val="single" w:sz="4" w:space="0" w:color="auto"/>
            </w:tcBorders>
            <w:shd w:val="clear" w:color="000000" w:fill="31849B"/>
            <w:vAlign w:val="center"/>
            <w:hideMark/>
          </w:tcPr>
          <w:p w14:paraId="25806293" w14:textId="123BF98A" w:rsidR="00D847F2" w:rsidRPr="00E01402" w:rsidRDefault="00D847F2" w:rsidP="00556699">
            <w:pPr>
              <w:spacing w:after="0" w:line="240" w:lineRule="auto"/>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Terjani dolg po opominih in sklepih SKUPAJ</w:t>
            </w:r>
            <w:r w:rsidR="00992912">
              <w:rPr>
                <w:rFonts w:ascii="Arial" w:eastAsia="Times New Roman" w:hAnsi="Arial" w:cs="Arial"/>
                <w:b/>
                <w:bCs/>
                <w:color w:val="FFFFFF"/>
                <w:sz w:val="18"/>
                <w:szCs w:val="18"/>
                <w:lang w:eastAsia="sl-SI"/>
              </w:rPr>
              <w:t xml:space="preserve"> </w:t>
            </w:r>
          </w:p>
        </w:tc>
        <w:tc>
          <w:tcPr>
            <w:tcW w:w="1161" w:type="dxa"/>
            <w:tcBorders>
              <w:top w:val="nil"/>
              <w:left w:val="nil"/>
              <w:bottom w:val="single" w:sz="4" w:space="0" w:color="auto"/>
              <w:right w:val="single" w:sz="4" w:space="0" w:color="auto"/>
            </w:tcBorders>
            <w:shd w:val="clear" w:color="000000" w:fill="31849B"/>
            <w:vAlign w:val="center"/>
            <w:hideMark/>
          </w:tcPr>
          <w:p w14:paraId="4952601E"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815.691</w:t>
            </w:r>
          </w:p>
        </w:tc>
        <w:tc>
          <w:tcPr>
            <w:tcW w:w="1343" w:type="dxa"/>
            <w:tcBorders>
              <w:top w:val="nil"/>
              <w:left w:val="nil"/>
              <w:bottom w:val="single" w:sz="4" w:space="0" w:color="auto"/>
              <w:right w:val="single" w:sz="4" w:space="0" w:color="auto"/>
            </w:tcBorders>
            <w:shd w:val="clear" w:color="000000" w:fill="31849B"/>
            <w:vAlign w:val="center"/>
            <w:hideMark/>
          </w:tcPr>
          <w:p w14:paraId="783E3A02"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1.049.980.005</w:t>
            </w:r>
          </w:p>
        </w:tc>
        <w:tc>
          <w:tcPr>
            <w:tcW w:w="1142" w:type="dxa"/>
            <w:tcBorders>
              <w:top w:val="nil"/>
              <w:left w:val="nil"/>
              <w:bottom w:val="single" w:sz="4" w:space="0" w:color="auto"/>
              <w:right w:val="single" w:sz="4" w:space="0" w:color="auto"/>
            </w:tcBorders>
            <w:shd w:val="clear" w:color="000000" w:fill="31849B"/>
            <w:vAlign w:val="center"/>
            <w:hideMark/>
          </w:tcPr>
          <w:p w14:paraId="06445A23"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991.947</w:t>
            </w:r>
          </w:p>
        </w:tc>
        <w:tc>
          <w:tcPr>
            <w:tcW w:w="1352" w:type="dxa"/>
            <w:tcBorders>
              <w:top w:val="nil"/>
              <w:left w:val="nil"/>
              <w:bottom w:val="single" w:sz="4" w:space="0" w:color="auto"/>
              <w:right w:val="single" w:sz="4" w:space="0" w:color="auto"/>
            </w:tcBorders>
            <w:shd w:val="clear" w:color="000000" w:fill="31849B"/>
            <w:vAlign w:val="center"/>
            <w:hideMark/>
          </w:tcPr>
          <w:p w14:paraId="0742AA7D"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1.205.508.030</w:t>
            </w:r>
          </w:p>
        </w:tc>
        <w:tc>
          <w:tcPr>
            <w:tcW w:w="1058" w:type="dxa"/>
            <w:tcBorders>
              <w:top w:val="nil"/>
              <w:left w:val="nil"/>
              <w:bottom w:val="single" w:sz="4" w:space="0" w:color="auto"/>
              <w:right w:val="single" w:sz="4" w:space="0" w:color="auto"/>
            </w:tcBorders>
            <w:shd w:val="clear" w:color="000000" w:fill="31849B"/>
            <w:vAlign w:val="center"/>
            <w:hideMark/>
          </w:tcPr>
          <w:p w14:paraId="2393329C"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121,6</w:t>
            </w:r>
          </w:p>
        </w:tc>
        <w:tc>
          <w:tcPr>
            <w:tcW w:w="1019" w:type="dxa"/>
            <w:tcBorders>
              <w:top w:val="nil"/>
              <w:left w:val="nil"/>
              <w:bottom w:val="single" w:sz="4" w:space="0" w:color="auto"/>
              <w:right w:val="single" w:sz="4" w:space="0" w:color="auto"/>
            </w:tcBorders>
            <w:shd w:val="clear" w:color="000000" w:fill="31849B"/>
            <w:vAlign w:val="center"/>
            <w:hideMark/>
          </w:tcPr>
          <w:p w14:paraId="61096329"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114,8</w:t>
            </w:r>
          </w:p>
        </w:tc>
      </w:tr>
      <w:tr w:rsidR="00D847F2" w:rsidRPr="00E01402" w14:paraId="7CCED014" w14:textId="77777777" w:rsidTr="00556699">
        <w:trPr>
          <w:trHeight w:val="388"/>
        </w:trPr>
        <w:tc>
          <w:tcPr>
            <w:tcW w:w="2072" w:type="dxa"/>
            <w:tcBorders>
              <w:top w:val="nil"/>
              <w:left w:val="single" w:sz="4" w:space="0" w:color="auto"/>
              <w:bottom w:val="single" w:sz="4" w:space="0" w:color="auto"/>
              <w:right w:val="single" w:sz="4" w:space="0" w:color="auto"/>
            </w:tcBorders>
            <w:shd w:val="clear" w:color="000000" w:fill="31849B"/>
            <w:vAlign w:val="center"/>
            <w:hideMark/>
          </w:tcPr>
          <w:p w14:paraId="4132BCB3" w14:textId="77777777" w:rsidR="00D847F2" w:rsidRPr="00E01402" w:rsidRDefault="00D847F2" w:rsidP="00556699">
            <w:pPr>
              <w:spacing w:after="0" w:line="240" w:lineRule="auto"/>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Realizacija po opominih in sklepih SKUPAJ</w:t>
            </w:r>
          </w:p>
        </w:tc>
        <w:tc>
          <w:tcPr>
            <w:tcW w:w="1161" w:type="dxa"/>
            <w:tcBorders>
              <w:top w:val="nil"/>
              <w:left w:val="nil"/>
              <w:bottom w:val="single" w:sz="4" w:space="0" w:color="auto"/>
              <w:right w:val="single" w:sz="4" w:space="0" w:color="auto"/>
            </w:tcBorders>
            <w:shd w:val="clear" w:color="000000" w:fill="31849B"/>
            <w:vAlign w:val="center"/>
            <w:hideMark/>
          </w:tcPr>
          <w:p w14:paraId="527DE682"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718.467</w:t>
            </w:r>
          </w:p>
        </w:tc>
        <w:tc>
          <w:tcPr>
            <w:tcW w:w="1343" w:type="dxa"/>
            <w:tcBorders>
              <w:top w:val="nil"/>
              <w:left w:val="nil"/>
              <w:bottom w:val="single" w:sz="4" w:space="0" w:color="auto"/>
              <w:right w:val="single" w:sz="4" w:space="0" w:color="auto"/>
            </w:tcBorders>
            <w:shd w:val="clear" w:color="000000" w:fill="31849B"/>
            <w:vAlign w:val="center"/>
            <w:hideMark/>
          </w:tcPr>
          <w:p w14:paraId="4300EE01"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414.346.594</w:t>
            </w:r>
          </w:p>
        </w:tc>
        <w:tc>
          <w:tcPr>
            <w:tcW w:w="1142" w:type="dxa"/>
            <w:tcBorders>
              <w:top w:val="nil"/>
              <w:left w:val="nil"/>
              <w:bottom w:val="single" w:sz="4" w:space="0" w:color="auto"/>
              <w:right w:val="single" w:sz="4" w:space="0" w:color="auto"/>
            </w:tcBorders>
            <w:shd w:val="clear" w:color="000000" w:fill="31849B"/>
            <w:vAlign w:val="center"/>
            <w:hideMark/>
          </w:tcPr>
          <w:p w14:paraId="15B781F8"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892.552</w:t>
            </w:r>
          </w:p>
        </w:tc>
        <w:tc>
          <w:tcPr>
            <w:tcW w:w="1352" w:type="dxa"/>
            <w:tcBorders>
              <w:top w:val="nil"/>
              <w:left w:val="nil"/>
              <w:bottom w:val="single" w:sz="4" w:space="0" w:color="auto"/>
              <w:right w:val="single" w:sz="4" w:space="0" w:color="auto"/>
            </w:tcBorders>
            <w:shd w:val="clear" w:color="000000" w:fill="31849B"/>
            <w:vAlign w:val="center"/>
            <w:hideMark/>
          </w:tcPr>
          <w:p w14:paraId="3C01C642"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570.121.792</w:t>
            </w:r>
          </w:p>
        </w:tc>
        <w:tc>
          <w:tcPr>
            <w:tcW w:w="1058" w:type="dxa"/>
            <w:tcBorders>
              <w:top w:val="nil"/>
              <w:left w:val="nil"/>
              <w:bottom w:val="single" w:sz="4" w:space="0" w:color="auto"/>
              <w:right w:val="single" w:sz="4" w:space="0" w:color="auto"/>
            </w:tcBorders>
            <w:shd w:val="clear" w:color="000000" w:fill="31849B"/>
            <w:vAlign w:val="center"/>
            <w:hideMark/>
          </w:tcPr>
          <w:p w14:paraId="2B1FB08A"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124,2</w:t>
            </w:r>
          </w:p>
        </w:tc>
        <w:tc>
          <w:tcPr>
            <w:tcW w:w="1019" w:type="dxa"/>
            <w:tcBorders>
              <w:top w:val="nil"/>
              <w:left w:val="nil"/>
              <w:bottom w:val="single" w:sz="4" w:space="0" w:color="auto"/>
              <w:right w:val="single" w:sz="4" w:space="0" w:color="auto"/>
            </w:tcBorders>
            <w:shd w:val="clear" w:color="000000" w:fill="31849B"/>
            <w:vAlign w:val="center"/>
            <w:hideMark/>
          </w:tcPr>
          <w:p w14:paraId="79C45A72" w14:textId="77777777" w:rsidR="00D847F2" w:rsidRPr="00E01402" w:rsidRDefault="00D847F2" w:rsidP="00556699">
            <w:pPr>
              <w:spacing w:after="0" w:line="240" w:lineRule="auto"/>
              <w:jc w:val="right"/>
              <w:rPr>
                <w:rFonts w:ascii="Arial" w:eastAsia="Times New Roman" w:hAnsi="Arial" w:cs="Arial"/>
                <w:b/>
                <w:bCs/>
                <w:color w:val="FFFFFF"/>
                <w:sz w:val="18"/>
                <w:szCs w:val="18"/>
                <w:lang w:eastAsia="sl-SI"/>
              </w:rPr>
            </w:pPr>
            <w:r w:rsidRPr="00E01402">
              <w:rPr>
                <w:rFonts w:ascii="Arial" w:eastAsia="Times New Roman" w:hAnsi="Arial" w:cs="Arial"/>
                <w:b/>
                <w:bCs/>
                <w:color w:val="FFFFFF"/>
                <w:sz w:val="18"/>
                <w:szCs w:val="18"/>
                <w:lang w:eastAsia="sl-SI"/>
              </w:rPr>
              <w:t>137,6</w:t>
            </w:r>
          </w:p>
        </w:tc>
      </w:tr>
    </w:tbl>
    <w:p w14:paraId="25119B75" w14:textId="06599069" w:rsidR="00D847F2" w:rsidRPr="007F7410" w:rsidRDefault="00D847F2" w:rsidP="00D847F2">
      <w:pPr>
        <w:ind w:hanging="110"/>
        <w:rPr>
          <w:rFonts w:ascii="Arial" w:hAnsi="Arial" w:cs="Arial"/>
          <w:i/>
          <w:sz w:val="20"/>
          <w:szCs w:val="20"/>
        </w:rPr>
      </w:pPr>
      <w:r w:rsidRPr="007F7410">
        <w:rPr>
          <w:rFonts w:ascii="Arial" w:hAnsi="Arial" w:cs="Arial"/>
          <w:i/>
          <w:sz w:val="20"/>
          <w:szCs w:val="20"/>
        </w:rPr>
        <w:t>Vir: FURS</w:t>
      </w:r>
      <w:r w:rsidR="00314AC1">
        <w:rPr>
          <w:rFonts w:ascii="Arial" w:hAnsi="Arial" w:cs="Arial"/>
          <w:i/>
          <w:sz w:val="20"/>
          <w:szCs w:val="20"/>
        </w:rPr>
        <w:t xml:space="preserve">. </w:t>
      </w:r>
    </w:p>
    <w:p w14:paraId="2F85ABA6" w14:textId="715A7D4F" w:rsidR="00D847F2" w:rsidRPr="00607A96" w:rsidRDefault="00D847F2" w:rsidP="00D847F2">
      <w:pPr>
        <w:pStyle w:val="FURSNavaden"/>
        <w:spacing w:line="260" w:lineRule="exact"/>
        <w:rPr>
          <w:rFonts w:eastAsia="Times New Roman" w:cs="Arial"/>
          <w:szCs w:val="20"/>
        </w:rPr>
      </w:pPr>
      <w:r w:rsidRPr="00607A96">
        <w:rPr>
          <w:rFonts w:eastAsia="Times New Roman" w:cs="Arial"/>
          <w:szCs w:val="20"/>
        </w:rPr>
        <w:t>V letu 2022 je bilo izdanih 166.197 sklepov o davčni izvršbi, s katerimi je bil terjan dolg v znesku 524.927.276</w:t>
      </w:r>
      <w:r w:rsidR="00527930" w:rsidRPr="00607A96">
        <w:rPr>
          <w:rFonts w:eastAsia="Times New Roman" w:cs="Arial"/>
          <w:szCs w:val="20"/>
        </w:rPr>
        <w:t> EUR</w:t>
      </w:r>
      <w:r w:rsidRPr="00607A96">
        <w:rPr>
          <w:rFonts w:eastAsia="Times New Roman" w:cs="Arial"/>
          <w:szCs w:val="20"/>
        </w:rPr>
        <w:t>. Na podlagi izdanih sklepov je bilo izterjan</w:t>
      </w:r>
      <w:r>
        <w:rPr>
          <w:rFonts w:eastAsia="Times New Roman" w:cs="Arial"/>
          <w:szCs w:val="20"/>
        </w:rPr>
        <w:t>ih</w:t>
      </w:r>
      <w:r w:rsidRPr="00607A96">
        <w:rPr>
          <w:rFonts w:eastAsia="Times New Roman" w:cs="Arial"/>
          <w:szCs w:val="20"/>
        </w:rPr>
        <w:t xml:space="preserve"> 166.611.402</w:t>
      </w:r>
      <w:r w:rsidR="00527930" w:rsidRPr="00607A96">
        <w:rPr>
          <w:rFonts w:eastAsia="Times New Roman" w:cs="Arial"/>
          <w:szCs w:val="20"/>
        </w:rPr>
        <w:t> EUR</w:t>
      </w:r>
      <w:r w:rsidRPr="00607A96">
        <w:rPr>
          <w:rFonts w:eastAsia="Times New Roman" w:cs="Arial"/>
          <w:szCs w:val="20"/>
        </w:rPr>
        <w:t>.</w:t>
      </w:r>
    </w:p>
    <w:p w14:paraId="3616D878" w14:textId="77777777" w:rsidR="00D847F2" w:rsidRPr="00607A96" w:rsidRDefault="00D847F2" w:rsidP="00D847F2">
      <w:pPr>
        <w:pStyle w:val="FURSNavaden"/>
        <w:spacing w:line="260" w:lineRule="exact"/>
        <w:rPr>
          <w:rFonts w:eastAsia="Times New Roman" w:cs="Arial"/>
          <w:szCs w:val="20"/>
        </w:rPr>
      </w:pPr>
    </w:p>
    <w:p w14:paraId="257B5347" w14:textId="3786309E" w:rsidR="00D847F2" w:rsidRPr="00607A96" w:rsidRDefault="00D847F2" w:rsidP="00D847F2">
      <w:pPr>
        <w:pStyle w:val="FURSNavaden"/>
        <w:spacing w:line="260" w:lineRule="exact"/>
        <w:rPr>
          <w:rFonts w:eastAsia="Times New Roman" w:cs="Arial"/>
          <w:szCs w:val="20"/>
        </w:rPr>
      </w:pPr>
      <w:r w:rsidRPr="00607A96">
        <w:rPr>
          <w:rFonts w:eastAsia="Times New Roman" w:cs="Arial"/>
          <w:szCs w:val="20"/>
        </w:rPr>
        <w:t xml:space="preserve">Največ sklepov o izvršbi je bilo </w:t>
      </w:r>
      <w:r w:rsidRPr="00AD2B7D">
        <w:rPr>
          <w:rFonts w:eastAsia="Times New Roman" w:cs="Arial"/>
          <w:szCs w:val="20"/>
        </w:rPr>
        <w:t>izdan</w:t>
      </w:r>
      <w:r>
        <w:rPr>
          <w:rFonts w:eastAsia="Times New Roman" w:cs="Arial"/>
          <w:szCs w:val="20"/>
        </w:rPr>
        <w:t>ih</w:t>
      </w:r>
      <w:r w:rsidRPr="00607A96">
        <w:rPr>
          <w:rFonts w:eastAsia="Times New Roman" w:cs="Arial"/>
          <w:szCs w:val="20"/>
        </w:rPr>
        <w:t xml:space="preserve"> na denarna sredstva pri bankah in hranilnicah, in sicer 95.517 (57,5 </w:t>
      </w:r>
      <w:r>
        <w:rPr>
          <w:rFonts w:eastAsia="Times New Roman" w:cs="Arial"/>
          <w:szCs w:val="20"/>
        </w:rPr>
        <w:t>odstotka</w:t>
      </w:r>
      <w:r w:rsidRPr="00607A96">
        <w:rPr>
          <w:rFonts w:eastAsia="Times New Roman" w:cs="Arial"/>
          <w:szCs w:val="20"/>
        </w:rPr>
        <w:t xml:space="preserve"> vseh). Sledijo sklepi o izvršbi na denarne prejemke, ki jih je bilo izdanih 59.235 (35,6 </w:t>
      </w:r>
      <w:r>
        <w:rPr>
          <w:rFonts w:eastAsia="Times New Roman" w:cs="Arial"/>
          <w:szCs w:val="20"/>
        </w:rPr>
        <w:t>odstotka</w:t>
      </w:r>
      <w:r w:rsidRPr="00607A96">
        <w:rPr>
          <w:rFonts w:eastAsia="Times New Roman" w:cs="Arial"/>
          <w:szCs w:val="20"/>
        </w:rPr>
        <w:t xml:space="preserve">). Izvršba na dolžnikove premičnine je bila začeta v 9.965 primerih (6 </w:t>
      </w:r>
      <w:r>
        <w:rPr>
          <w:rFonts w:eastAsia="Times New Roman" w:cs="Arial"/>
          <w:szCs w:val="20"/>
        </w:rPr>
        <w:t>odstotkov</w:t>
      </w:r>
      <w:r w:rsidRPr="00607A96">
        <w:rPr>
          <w:rFonts w:eastAsia="Times New Roman" w:cs="Arial"/>
          <w:szCs w:val="20"/>
        </w:rPr>
        <w:t xml:space="preserve">). Manj sklepov pa je bilo izdanih na denarno terjatev dolžnika (1.473 </w:t>
      </w:r>
      <w:r w:rsidR="00314AC1">
        <w:rPr>
          <w:rFonts w:eastAsia="Times New Roman" w:cs="Arial"/>
          <w:szCs w:val="20"/>
        </w:rPr>
        <w:t>ali</w:t>
      </w:r>
      <w:r w:rsidRPr="00607A96">
        <w:rPr>
          <w:rFonts w:eastAsia="Times New Roman" w:cs="Arial"/>
          <w:szCs w:val="20"/>
        </w:rPr>
        <w:t xml:space="preserve"> 0,9 </w:t>
      </w:r>
      <w:r>
        <w:rPr>
          <w:rFonts w:eastAsia="Times New Roman" w:cs="Arial"/>
          <w:szCs w:val="20"/>
        </w:rPr>
        <w:t>odstotka</w:t>
      </w:r>
      <w:r w:rsidRPr="00607A96">
        <w:rPr>
          <w:rFonts w:eastAsia="Times New Roman" w:cs="Arial"/>
          <w:szCs w:val="20"/>
        </w:rPr>
        <w:t xml:space="preserve"> vseh) oziroma na vrednostne papirje (7</w:t>
      </w:r>
      <w:r>
        <w:rPr>
          <w:rFonts w:eastAsia="Times New Roman" w:cs="Arial"/>
          <w:szCs w:val="20"/>
        </w:rPr>
        <w:t xml:space="preserve"> sklepov</w:t>
      </w:r>
      <w:r w:rsidRPr="00607A96">
        <w:rPr>
          <w:rFonts w:eastAsia="Times New Roman" w:cs="Arial"/>
          <w:szCs w:val="20"/>
        </w:rPr>
        <w:t>).</w:t>
      </w:r>
    </w:p>
    <w:p w14:paraId="0736A2EA" w14:textId="77777777" w:rsidR="00D847F2" w:rsidRPr="00607A96" w:rsidRDefault="00D847F2" w:rsidP="00D847F2">
      <w:pPr>
        <w:pStyle w:val="FURSNavaden"/>
        <w:spacing w:line="260" w:lineRule="exact"/>
        <w:rPr>
          <w:rFonts w:eastAsia="Times New Roman" w:cs="Arial"/>
          <w:szCs w:val="20"/>
        </w:rPr>
      </w:pPr>
    </w:p>
    <w:p w14:paraId="56148F7F" w14:textId="7FD7A751" w:rsidR="00D847F2" w:rsidRDefault="00D847F2" w:rsidP="00D847F2">
      <w:pPr>
        <w:pStyle w:val="FURSNavaden"/>
        <w:spacing w:line="260" w:lineRule="exact"/>
        <w:rPr>
          <w:rFonts w:eastAsia="Times New Roman" w:cs="Arial"/>
          <w:szCs w:val="20"/>
          <w:highlight w:val="yellow"/>
        </w:rPr>
      </w:pPr>
      <w:bookmarkStart w:id="21" w:name="_Hlk129332561"/>
      <w:r w:rsidRPr="00607A96">
        <w:rPr>
          <w:rFonts w:eastAsia="Times New Roman" w:cs="Arial"/>
          <w:szCs w:val="20"/>
        </w:rPr>
        <w:t>Najučinkovitejše sredstvo izvršbe z vidika plačil je bila izvršba na denarna sredstva dolžnika pri bankah ali hranilnicah z 71,1</w:t>
      </w:r>
      <w:r>
        <w:rPr>
          <w:rFonts w:eastAsia="Times New Roman" w:cs="Arial"/>
          <w:szCs w:val="20"/>
        </w:rPr>
        <w:t xml:space="preserve">-odstotnim </w:t>
      </w:r>
      <w:r w:rsidRPr="00607A96">
        <w:rPr>
          <w:rFonts w:eastAsia="Times New Roman" w:cs="Arial"/>
          <w:szCs w:val="20"/>
        </w:rPr>
        <w:t xml:space="preserve">deležem plačil, sledi izvršba na premično premoženje s 17,3 </w:t>
      </w:r>
      <w:r>
        <w:rPr>
          <w:rFonts w:eastAsia="Times New Roman" w:cs="Arial"/>
          <w:szCs w:val="20"/>
        </w:rPr>
        <w:t>odstotka</w:t>
      </w:r>
      <w:r w:rsidRPr="00607A96">
        <w:rPr>
          <w:rFonts w:eastAsia="Times New Roman" w:cs="Arial"/>
          <w:szCs w:val="20"/>
        </w:rPr>
        <w:t xml:space="preserve">, 7,7 </w:t>
      </w:r>
      <w:r>
        <w:rPr>
          <w:rFonts w:eastAsia="Times New Roman" w:cs="Arial"/>
          <w:szCs w:val="20"/>
        </w:rPr>
        <w:t>odstotka</w:t>
      </w:r>
      <w:r w:rsidRPr="00607A96">
        <w:rPr>
          <w:rFonts w:eastAsia="Times New Roman" w:cs="Arial"/>
          <w:szCs w:val="20"/>
        </w:rPr>
        <w:t xml:space="preserve"> </w:t>
      </w:r>
      <w:r w:rsidR="00EE7169">
        <w:rPr>
          <w:rFonts w:eastAsia="Times New Roman" w:cs="Arial"/>
          <w:szCs w:val="20"/>
        </w:rPr>
        <w:t>zavzema</w:t>
      </w:r>
      <w:r w:rsidR="00314AC1" w:rsidRPr="00607A96">
        <w:rPr>
          <w:rFonts w:eastAsia="Times New Roman" w:cs="Arial"/>
          <w:szCs w:val="20"/>
        </w:rPr>
        <w:t xml:space="preserve"> </w:t>
      </w:r>
      <w:r w:rsidRPr="00607A96">
        <w:rPr>
          <w:rFonts w:eastAsia="Times New Roman" w:cs="Arial"/>
          <w:szCs w:val="20"/>
        </w:rPr>
        <w:t xml:space="preserve">izvršba na dolžnikove denarne prejemke in 3,9 </w:t>
      </w:r>
      <w:r>
        <w:rPr>
          <w:rFonts w:eastAsia="Times New Roman" w:cs="Arial"/>
          <w:szCs w:val="20"/>
        </w:rPr>
        <w:t>odstotka</w:t>
      </w:r>
      <w:r w:rsidRPr="00607A96">
        <w:rPr>
          <w:rFonts w:eastAsia="Times New Roman" w:cs="Arial"/>
          <w:szCs w:val="20"/>
        </w:rPr>
        <w:t xml:space="preserve"> izvršba na dolžnikove denarne terjatve</w:t>
      </w:r>
      <w:bookmarkEnd w:id="21"/>
      <w:r w:rsidRPr="00607A96">
        <w:rPr>
          <w:rFonts w:eastAsia="Times New Roman" w:cs="Arial"/>
          <w:szCs w:val="20"/>
        </w:rPr>
        <w:t>.</w:t>
      </w:r>
      <w:r w:rsidR="00992912">
        <w:rPr>
          <w:rFonts w:eastAsia="Times New Roman" w:cs="Arial"/>
          <w:szCs w:val="20"/>
        </w:rPr>
        <w:t xml:space="preserve"> </w:t>
      </w:r>
    </w:p>
    <w:p w14:paraId="6DD1E695" w14:textId="77777777" w:rsidR="00D847F2" w:rsidRDefault="00D847F2" w:rsidP="00D847F2">
      <w:pPr>
        <w:pStyle w:val="FURSNavaden"/>
        <w:spacing w:line="260" w:lineRule="exact"/>
        <w:rPr>
          <w:rFonts w:eastAsia="Times New Roman" w:cs="Arial"/>
          <w:szCs w:val="20"/>
          <w:highlight w:val="yellow"/>
        </w:rPr>
      </w:pPr>
    </w:p>
    <w:p w14:paraId="31D2196D" w14:textId="77777777" w:rsidR="00247C3E" w:rsidRDefault="00247C3E" w:rsidP="00D847F2">
      <w:pPr>
        <w:jc w:val="both"/>
        <w:rPr>
          <w:rFonts w:ascii="Arial" w:eastAsia="Times New Roman" w:hAnsi="Arial" w:cs="Arial"/>
          <w:i/>
          <w:sz w:val="20"/>
          <w:szCs w:val="20"/>
          <w:lang w:eastAsia="sl-SI"/>
        </w:rPr>
      </w:pPr>
    </w:p>
    <w:p w14:paraId="2BB1C7A3" w14:textId="77777777" w:rsidR="00247C3E" w:rsidRDefault="00247C3E" w:rsidP="00D847F2">
      <w:pPr>
        <w:jc w:val="both"/>
        <w:rPr>
          <w:rFonts w:ascii="Arial" w:eastAsia="Times New Roman" w:hAnsi="Arial" w:cs="Arial"/>
          <w:i/>
          <w:sz w:val="20"/>
          <w:szCs w:val="20"/>
          <w:lang w:eastAsia="sl-SI"/>
        </w:rPr>
      </w:pPr>
    </w:p>
    <w:p w14:paraId="04345C56" w14:textId="77777777" w:rsidR="00247C3E" w:rsidRDefault="00247C3E" w:rsidP="00D847F2">
      <w:pPr>
        <w:jc w:val="both"/>
        <w:rPr>
          <w:rFonts w:ascii="Arial" w:eastAsia="Times New Roman" w:hAnsi="Arial" w:cs="Arial"/>
          <w:i/>
          <w:sz w:val="20"/>
          <w:szCs w:val="20"/>
          <w:lang w:eastAsia="sl-SI"/>
        </w:rPr>
      </w:pPr>
    </w:p>
    <w:p w14:paraId="57F127D3" w14:textId="77777777" w:rsidR="00247C3E" w:rsidRDefault="00247C3E" w:rsidP="00D847F2">
      <w:pPr>
        <w:jc w:val="both"/>
        <w:rPr>
          <w:rFonts w:ascii="Arial" w:eastAsia="Times New Roman" w:hAnsi="Arial" w:cs="Arial"/>
          <w:i/>
          <w:sz w:val="20"/>
          <w:szCs w:val="20"/>
          <w:lang w:eastAsia="sl-SI"/>
        </w:rPr>
      </w:pPr>
    </w:p>
    <w:p w14:paraId="47617A98" w14:textId="77777777" w:rsidR="00247C3E" w:rsidRDefault="00247C3E" w:rsidP="00D847F2">
      <w:pPr>
        <w:jc w:val="both"/>
        <w:rPr>
          <w:rFonts w:ascii="Arial" w:eastAsia="Times New Roman" w:hAnsi="Arial" w:cs="Arial"/>
          <w:i/>
          <w:sz w:val="20"/>
          <w:szCs w:val="20"/>
          <w:lang w:eastAsia="sl-SI"/>
        </w:rPr>
      </w:pPr>
    </w:p>
    <w:p w14:paraId="4AE5C816" w14:textId="77777777" w:rsidR="00247C3E" w:rsidRDefault="00247C3E" w:rsidP="00D847F2">
      <w:pPr>
        <w:jc w:val="both"/>
        <w:rPr>
          <w:rFonts w:ascii="Arial" w:eastAsia="Times New Roman" w:hAnsi="Arial" w:cs="Arial"/>
          <w:i/>
          <w:sz w:val="20"/>
          <w:szCs w:val="20"/>
          <w:lang w:eastAsia="sl-SI"/>
        </w:rPr>
      </w:pPr>
    </w:p>
    <w:p w14:paraId="7EB1977F" w14:textId="77777777" w:rsidR="00247C3E" w:rsidRDefault="00247C3E" w:rsidP="00D847F2">
      <w:pPr>
        <w:jc w:val="both"/>
        <w:rPr>
          <w:rFonts w:ascii="Arial" w:eastAsia="Times New Roman" w:hAnsi="Arial" w:cs="Arial"/>
          <w:i/>
          <w:sz w:val="20"/>
          <w:szCs w:val="20"/>
          <w:lang w:eastAsia="sl-SI"/>
        </w:rPr>
      </w:pPr>
    </w:p>
    <w:p w14:paraId="76168F81" w14:textId="77777777" w:rsidR="00247C3E" w:rsidRDefault="00247C3E" w:rsidP="00D847F2">
      <w:pPr>
        <w:jc w:val="both"/>
        <w:rPr>
          <w:rFonts w:ascii="Arial" w:eastAsia="Times New Roman" w:hAnsi="Arial" w:cs="Arial"/>
          <w:i/>
          <w:sz w:val="20"/>
          <w:szCs w:val="20"/>
          <w:lang w:eastAsia="sl-SI"/>
        </w:rPr>
      </w:pPr>
    </w:p>
    <w:p w14:paraId="519BD299" w14:textId="77777777" w:rsidR="00247C3E" w:rsidRDefault="00247C3E" w:rsidP="00D847F2">
      <w:pPr>
        <w:jc w:val="both"/>
        <w:rPr>
          <w:rFonts w:ascii="Arial" w:eastAsia="Times New Roman" w:hAnsi="Arial" w:cs="Arial"/>
          <w:i/>
          <w:sz w:val="20"/>
          <w:szCs w:val="20"/>
          <w:lang w:eastAsia="sl-SI"/>
        </w:rPr>
      </w:pPr>
    </w:p>
    <w:p w14:paraId="2887CE1A" w14:textId="625D2AF3" w:rsidR="00D847F2" w:rsidRDefault="00D847F2" w:rsidP="00247C3E">
      <w:pPr>
        <w:spacing w:after="0"/>
        <w:jc w:val="both"/>
        <w:rPr>
          <w:rFonts w:ascii="Arial" w:eastAsia="Times New Roman" w:hAnsi="Arial" w:cs="Arial"/>
          <w:i/>
          <w:sz w:val="20"/>
          <w:szCs w:val="20"/>
          <w:lang w:eastAsia="sl-SI"/>
        </w:rPr>
      </w:pPr>
      <w:r w:rsidRPr="0094063C">
        <w:rPr>
          <w:rFonts w:ascii="Arial" w:eastAsia="Times New Roman" w:hAnsi="Arial" w:cs="Arial"/>
          <w:i/>
          <w:sz w:val="20"/>
          <w:szCs w:val="20"/>
          <w:lang w:eastAsia="sl-SI"/>
        </w:rPr>
        <w:lastRenderedPageBreak/>
        <w:t>Preglednica 1</w:t>
      </w:r>
      <w:r>
        <w:rPr>
          <w:rFonts w:ascii="Arial" w:eastAsia="Times New Roman" w:hAnsi="Arial" w:cs="Arial"/>
          <w:i/>
          <w:sz w:val="20"/>
          <w:szCs w:val="20"/>
          <w:lang w:eastAsia="sl-SI"/>
        </w:rPr>
        <w:t>7</w:t>
      </w:r>
      <w:r w:rsidRPr="0094063C">
        <w:rPr>
          <w:rFonts w:ascii="Arial" w:eastAsia="Times New Roman" w:hAnsi="Arial" w:cs="Arial"/>
          <w:i/>
          <w:sz w:val="20"/>
          <w:szCs w:val="20"/>
          <w:lang w:eastAsia="sl-SI"/>
        </w:rPr>
        <w:t xml:space="preserve">: Sklepi o izvršbi po načinu </w:t>
      </w:r>
    </w:p>
    <w:p w14:paraId="2B4594F4" w14:textId="77777777" w:rsidR="00247C3E" w:rsidRDefault="00247C3E" w:rsidP="00247C3E">
      <w:pPr>
        <w:spacing w:after="0"/>
        <w:jc w:val="both"/>
        <w:rPr>
          <w:rFonts w:ascii="Arial" w:eastAsia="Times New Roman" w:hAnsi="Arial" w:cs="Arial"/>
          <w:i/>
          <w:sz w:val="20"/>
          <w:szCs w:val="20"/>
          <w:lang w:eastAsia="sl-SI"/>
        </w:rPr>
      </w:pPr>
    </w:p>
    <w:tbl>
      <w:tblPr>
        <w:tblW w:w="8662" w:type="dxa"/>
        <w:tblCellMar>
          <w:left w:w="70" w:type="dxa"/>
          <w:right w:w="70" w:type="dxa"/>
        </w:tblCellMar>
        <w:tblLook w:val="04A0" w:firstRow="1" w:lastRow="0" w:firstColumn="1" w:lastColumn="0" w:noHBand="0" w:noVBand="1"/>
      </w:tblPr>
      <w:tblGrid>
        <w:gridCol w:w="1655"/>
        <w:gridCol w:w="845"/>
        <w:gridCol w:w="1442"/>
        <w:gridCol w:w="1197"/>
        <w:gridCol w:w="845"/>
        <w:gridCol w:w="1385"/>
        <w:gridCol w:w="1293"/>
      </w:tblGrid>
      <w:tr w:rsidR="00D847F2" w:rsidRPr="00607A96" w14:paraId="561D73AA" w14:textId="77777777" w:rsidTr="00556699">
        <w:trPr>
          <w:trHeight w:val="281"/>
        </w:trPr>
        <w:tc>
          <w:tcPr>
            <w:tcW w:w="1655" w:type="dxa"/>
            <w:vMerge w:val="restart"/>
            <w:tcBorders>
              <w:top w:val="single" w:sz="4" w:space="0" w:color="auto"/>
              <w:left w:val="single" w:sz="4" w:space="0" w:color="auto"/>
              <w:bottom w:val="single" w:sz="4" w:space="0" w:color="000000"/>
              <w:right w:val="single" w:sz="4" w:space="0" w:color="auto"/>
            </w:tcBorders>
            <w:shd w:val="clear" w:color="000000" w:fill="31869B"/>
            <w:vAlign w:val="center"/>
            <w:hideMark/>
          </w:tcPr>
          <w:p w14:paraId="7CFA8B8A"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Način izvršbe glede na predmet</w:t>
            </w:r>
          </w:p>
        </w:tc>
        <w:tc>
          <w:tcPr>
            <w:tcW w:w="3484" w:type="dxa"/>
            <w:gridSpan w:val="3"/>
            <w:tcBorders>
              <w:top w:val="single" w:sz="4" w:space="0" w:color="auto"/>
              <w:left w:val="nil"/>
              <w:bottom w:val="single" w:sz="4" w:space="0" w:color="auto"/>
              <w:right w:val="single" w:sz="4" w:space="0" w:color="auto"/>
            </w:tcBorders>
            <w:shd w:val="clear" w:color="000000" w:fill="31869B"/>
            <w:vAlign w:val="center"/>
            <w:hideMark/>
          </w:tcPr>
          <w:p w14:paraId="32C83401"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2021</w:t>
            </w:r>
          </w:p>
        </w:tc>
        <w:tc>
          <w:tcPr>
            <w:tcW w:w="3523" w:type="dxa"/>
            <w:gridSpan w:val="3"/>
            <w:tcBorders>
              <w:top w:val="single" w:sz="4" w:space="0" w:color="auto"/>
              <w:left w:val="nil"/>
              <w:bottom w:val="single" w:sz="4" w:space="0" w:color="auto"/>
              <w:right w:val="single" w:sz="4" w:space="0" w:color="auto"/>
            </w:tcBorders>
            <w:shd w:val="clear" w:color="000000" w:fill="31869B"/>
            <w:vAlign w:val="center"/>
            <w:hideMark/>
          </w:tcPr>
          <w:p w14:paraId="457FE267"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2022</w:t>
            </w:r>
          </w:p>
        </w:tc>
      </w:tr>
      <w:tr w:rsidR="00D847F2" w:rsidRPr="00607A96" w14:paraId="39B076A8" w14:textId="77777777" w:rsidTr="00556699">
        <w:trPr>
          <w:trHeight w:val="954"/>
        </w:trPr>
        <w:tc>
          <w:tcPr>
            <w:tcW w:w="1655" w:type="dxa"/>
            <w:vMerge/>
            <w:tcBorders>
              <w:top w:val="single" w:sz="4" w:space="0" w:color="auto"/>
              <w:left w:val="single" w:sz="4" w:space="0" w:color="auto"/>
              <w:bottom w:val="single" w:sz="4" w:space="0" w:color="000000"/>
              <w:right w:val="single" w:sz="4" w:space="0" w:color="auto"/>
            </w:tcBorders>
            <w:vAlign w:val="center"/>
            <w:hideMark/>
          </w:tcPr>
          <w:p w14:paraId="42EB3054" w14:textId="77777777" w:rsidR="00D847F2" w:rsidRPr="00607A96" w:rsidRDefault="00D847F2" w:rsidP="00556699">
            <w:pPr>
              <w:spacing w:line="240" w:lineRule="auto"/>
              <w:rPr>
                <w:rFonts w:ascii="Arial" w:eastAsia="Times New Roman" w:hAnsi="Arial" w:cs="Arial"/>
                <w:b/>
                <w:bCs/>
                <w:color w:val="FFFFFF"/>
                <w:sz w:val="18"/>
                <w:szCs w:val="18"/>
                <w:lang w:eastAsia="sl-SI"/>
              </w:rPr>
            </w:pPr>
          </w:p>
        </w:tc>
        <w:tc>
          <w:tcPr>
            <w:tcW w:w="845" w:type="dxa"/>
            <w:tcBorders>
              <w:top w:val="nil"/>
              <w:left w:val="nil"/>
              <w:bottom w:val="single" w:sz="4" w:space="0" w:color="auto"/>
              <w:right w:val="single" w:sz="4" w:space="0" w:color="auto"/>
            </w:tcBorders>
            <w:shd w:val="clear" w:color="000000" w:fill="31869B"/>
            <w:vAlign w:val="center"/>
            <w:hideMark/>
          </w:tcPr>
          <w:p w14:paraId="53A9CBC0" w14:textId="77777777" w:rsidR="00D847F2" w:rsidRPr="00607A96" w:rsidRDefault="00D847F2" w:rsidP="00556699">
            <w:pPr>
              <w:spacing w:line="240" w:lineRule="auto"/>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Število</w:t>
            </w:r>
          </w:p>
        </w:tc>
        <w:tc>
          <w:tcPr>
            <w:tcW w:w="1442" w:type="dxa"/>
            <w:tcBorders>
              <w:top w:val="nil"/>
              <w:left w:val="nil"/>
              <w:bottom w:val="single" w:sz="4" w:space="0" w:color="auto"/>
              <w:right w:val="single" w:sz="4" w:space="0" w:color="auto"/>
            </w:tcBorders>
            <w:shd w:val="clear" w:color="000000" w:fill="31869B"/>
            <w:vAlign w:val="center"/>
            <w:hideMark/>
          </w:tcPr>
          <w:p w14:paraId="33FA584C"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Znesek terjanega dolga po izdanih sklepih v evrih</w:t>
            </w:r>
          </w:p>
        </w:tc>
        <w:tc>
          <w:tcPr>
            <w:tcW w:w="1196" w:type="dxa"/>
            <w:tcBorders>
              <w:top w:val="nil"/>
              <w:left w:val="nil"/>
              <w:bottom w:val="single" w:sz="4" w:space="0" w:color="auto"/>
              <w:right w:val="single" w:sz="4" w:space="0" w:color="auto"/>
            </w:tcBorders>
            <w:shd w:val="clear" w:color="000000" w:fill="31869B"/>
            <w:vAlign w:val="center"/>
            <w:hideMark/>
          </w:tcPr>
          <w:p w14:paraId="261A2365"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Plačila po izdanih sklepih v evrih</w:t>
            </w:r>
          </w:p>
        </w:tc>
        <w:tc>
          <w:tcPr>
            <w:tcW w:w="845" w:type="dxa"/>
            <w:tcBorders>
              <w:top w:val="nil"/>
              <w:left w:val="nil"/>
              <w:bottom w:val="single" w:sz="4" w:space="0" w:color="auto"/>
              <w:right w:val="single" w:sz="4" w:space="0" w:color="auto"/>
            </w:tcBorders>
            <w:shd w:val="clear" w:color="000000" w:fill="31869B"/>
            <w:vAlign w:val="center"/>
            <w:hideMark/>
          </w:tcPr>
          <w:p w14:paraId="53CC8D9E" w14:textId="77777777" w:rsidR="00D847F2" w:rsidRPr="00607A96" w:rsidRDefault="00D847F2" w:rsidP="00556699">
            <w:pPr>
              <w:spacing w:line="240" w:lineRule="auto"/>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Število</w:t>
            </w:r>
          </w:p>
        </w:tc>
        <w:tc>
          <w:tcPr>
            <w:tcW w:w="1385" w:type="dxa"/>
            <w:tcBorders>
              <w:top w:val="nil"/>
              <w:left w:val="nil"/>
              <w:bottom w:val="single" w:sz="4" w:space="0" w:color="auto"/>
              <w:right w:val="single" w:sz="4" w:space="0" w:color="auto"/>
            </w:tcBorders>
            <w:shd w:val="clear" w:color="000000" w:fill="31869B"/>
            <w:vAlign w:val="center"/>
            <w:hideMark/>
          </w:tcPr>
          <w:p w14:paraId="6961BB84"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Znesek terjanega dolga po izdanih sklepih v evrih</w:t>
            </w:r>
          </w:p>
        </w:tc>
        <w:tc>
          <w:tcPr>
            <w:tcW w:w="1291" w:type="dxa"/>
            <w:tcBorders>
              <w:top w:val="nil"/>
              <w:left w:val="nil"/>
              <w:bottom w:val="single" w:sz="4" w:space="0" w:color="auto"/>
              <w:right w:val="single" w:sz="4" w:space="0" w:color="auto"/>
            </w:tcBorders>
            <w:shd w:val="clear" w:color="000000" w:fill="31869B"/>
            <w:vAlign w:val="center"/>
            <w:hideMark/>
          </w:tcPr>
          <w:p w14:paraId="65639DFA" w14:textId="77777777" w:rsidR="00D847F2" w:rsidRPr="00607A96" w:rsidRDefault="00D847F2" w:rsidP="00556699">
            <w:pPr>
              <w:spacing w:line="240" w:lineRule="auto"/>
              <w:jc w:val="center"/>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 xml:space="preserve">Plačila po izdanih sklepih v evrih </w:t>
            </w:r>
          </w:p>
        </w:tc>
      </w:tr>
      <w:tr w:rsidR="00D847F2" w:rsidRPr="00607A96" w14:paraId="78CA2377" w14:textId="77777777" w:rsidTr="00556699">
        <w:trPr>
          <w:trHeight w:val="71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41C4E804" w14:textId="0F3AB89A" w:rsidR="00D847F2" w:rsidRPr="00607A96" w:rsidRDefault="00D847F2" w:rsidP="00B1396B">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Izvršba na denarna sredstva pri bankah oz</w:t>
            </w:r>
            <w:r w:rsidR="00B1396B">
              <w:rPr>
                <w:rFonts w:ascii="Arial" w:eastAsia="Times New Roman" w:hAnsi="Arial" w:cs="Arial"/>
                <w:sz w:val="18"/>
                <w:szCs w:val="18"/>
                <w:lang w:eastAsia="sl-SI"/>
              </w:rPr>
              <w:t>iroma</w:t>
            </w:r>
            <w:r w:rsidRPr="00607A96">
              <w:rPr>
                <w:rFonts w:ascii="Arial" w:eastAsia="Times New Roman" w:hAnsi="Arial" w:cs="Arial"/>
                <w:sz w:val="18"/>
                <w:szCs w:val="18"/>
                <w:lang w:eastAsia="sl-SI"/>
              </w:rPr>
              <w:t xml:space="preserve"> hranilnicah</w:t>
            </w:r>
          </w:p>
        </w:tc>
        <w:tc>
          <w:tcPr>
            <w:tcW w:w="845" w:type="dxa"/>
            <w:tcBorders>
              <w:top w:val="nil"/>
              <w:left w:val="nil"/>
              <w:bottom w:val="single" w:sz="4" w:space="0" w:color="auto"/>
              <w:right w:val="single" w:sz="4" w:space="0" w:color="auto"/>
            </w:tcBorders>
            <w:shd w:val="clear" w:color="auto" w:fill="auto"/>
            <w:vAlign w:val="bottom"/>
            <w:hideMark/>
          </w:tcPr>
          <w:p w14:paraId="3A05CB41"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63.689</w:t>
            </w:r>
          </w:p>
        </w:tc>
        <w:tc>
          <w:tcPr>
            <w:tcW w:w="1442" w:type="dxa"/>
            <w:tcBorders>
              <w:top w:val="nil"/>
              <w:left w:val="nil"/>
              <w:bottom w:val="single" w:sz="4" w:space="0" w:color="auto"/>
              <w:right w:val="single" w:sz="4" w:space="0" w:color="auto"/>
            </w:tcBorders>
            <w:shd w:val="clear" w:color="000000" w:fill="DAEEF3"/>
            <w:vAlign w:val="bottom"/>
            <w:hideMark/>
          </w:tcPr>
          <w:p w14:paraId="0B534260"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181.305.189</w:t>
            </w:r>
          </w:p>
        </w:tc>
        <w:tc>
          <w:tcPr>
            <w:tcW w:w="1196" w:type="dxa"/>
            <w:tcBorders>
              <w:top w:val="nil"/>
              <w:left w:val="nil"/>
              <w:bottom w:val="single" w:sz="4" w:space="0" w:color="auto"/>
              <w:right w:val="single" w:sz="4" w:space="0" w:color="auto"/>
            </w:tcBorders>
            <w:shd w:val="clear" w:color="000000" w:fill="DAEEF3"/>
            <w:vAlign w:val="bottom"/>
            <w:hideMark/>
          </w:tcPr>
          <w:p w14:paraId="1426147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75.644.932</w:t>
            </w:r>
          </w:p>
        </w:tc>
        <w:tc>
          <w:tcPr>
            <w:tcW w:w="845" w:type="dxa"/>
            <w:tcBorders>
              <w:top w:val="nil"/>
              <w:left w:val="nil"/>
              <w:bottom w:val="single" w:sz="4" w:space="0" w:color="auto"/>
              <w:right w:val="single" w:sz="4" w:space="0" w:color="auto"/>
            </w:tcBorders>
            <w:shd w:val="clear" w:color="auto" w:fill="auto"/>
            <w:vAlign w:val="bottom"/>
            <w:hideMark/>
          </w:tcPr>
          <w:p w14:paraId="13EC3742"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95.517</w:t>
            </w:r>
          </w:p>
        </w:tc>
        <w:tc>
          <w:tcPr>
            <w:tcW w:w="1385" w:type="dxa"/>
            <w:tcBorders>
              <w:top w:val="nil"/>
              <w:left w:val="nil"/>
              <w:bottom w:val="single" w:sz="4" w:space="0" w:color="auto"/>
              <w:right w:val="single" w:sz="4" w:space="0" w:color="auto"/>
            </w:tcBorders>
            <w:shd w:val="clear" w:color="000000" w:fill="DAEEF3"/>
            <w:noWrap/>
            <w:vAlign w:val="bottom"/>
            <w:hideMark/>
          </w:tcPr>
          <w:p w14:paraId="68109586"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203.390.132</w:t>
            </w:r>
          </w:p>
        </w:tc>
        <w:tc>
          <w:tcPr>
            <w:tcW w:w="1291" w:type="dxa"/>
            <w:tcBorders>
              <w:top w:val="nil"/>
              <w:left w:val="nil"/>
              <w:bottom w:val="single" w:sz="4" w:space="0" w:color="auto"/>
              <w:right w:val="single" w:sz="4" w:space="0" w:color="auto"/>
            </w:tcBorders>
            <w:shd w:val="clear" w:color="000000" w:fill="DAEEF3"/>
            <w:noWrap/>
            <w:vAlign w:val="bottom"/>
            <w:hideMark/>
          </w:tcPr>
          <w:p w14:paraId="5F451882"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118.420.293</w:t>
            </w:r>
          </w:p>
        </w:tc>
      </w:tr>
      <w:tr w:rsidR="00D847F2" w:rsidRPr="00607A96" w14:paraId="204E269F" w14:textId="77777777" w:rsidTr="00556699">
        <w:trPr>
          <w:trHeight w:val="547"/>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7DBF902D"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Izvršba na denarne prejemke</w:t>
            </w:r>
          </w:p>
        </w:tc>
        <w:tc>
          <w:tcPr>
            <w:tcW w:w="845" w:type="dxa"/>
            <w:tcBorders>
              <w:top w:val="nil"/>
              <w:left w:val="nil"/>
              <w:bottom w:val="single" w:sz="4" w:space="0" w:color="auto"/>
              <w:right w:val="single" w:sz="4" w:space="0" w:color="auto"/>
            </w:tcBorders>
            <w:shd w:val="clear" w:color="auto" w:fill="auto"/>
            <w:vAlign w:val="bottom"/>
            <w:hideMark/>
          </w:tcPr>
          <w:p w14:paraId="390B099B"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45.014</w:t>
            </w:r>
          </w:p>
        </w:tc>
        <w:tc>
          <w:tcPr>
            <w:tcW w:w="1442" w:type="dxa"/>
            <w:tcBorders>
              <w:top w:val="nil"/>
              <w:left w:val="nil"/>
              <w:bottom w:val="single" w:sz="4" w:space="0" w:color="auto"/>
              <w:right w:val="single" w:sz="4" w:space="0" w:color="auto"/>
            </w:tcBorders>
            <w:shd w:val="clear" w:color="000000" w:fill="DAEEF3"/>
            <w:vAlign w:val="bottom"/>
            <w:hideMark/>
          </w:tcPr>
          <w:p w14:paraId="777C5180"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83.098.827</w:t>
            </w:r>
          </w:p>
        </w:tc>
        <w:tc>
          <w:tcPr>
            <w:tcW w:w="1196" w:type="dxa"/>
            <w:tcBorders>
              <w:top w:val="nil"/>
              <w:left w:val="nil"/>
              <w:bottom w:val="single" w:sz="4" w:space="0" w:color="auto"/>
              <w:right w:val="single" w:sz="4" w:space="0" w:color="auto"/>
            </w:tcBorders>
            <w:shd w:val="clear" w:color="000000" w:fill="DAEEF3"/>
            <w:vAlign w:val="bottom"/>
            <w:hideMark/>
          </w:tcPr>
          <w:p w14:paraId="774FA5A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11.012.602</w:t>
            </w:r>
          </w:p>
        </w:tc>
        <w:tc>
          <w:tcPr>
            <w:tcW w:w="845" w:type="dxa"/>
            <w:tcBorders>
              <w:top w:val="nil"/>
              <w:left w:val="nil"/>
              <w:bottom w:val="single" w:sz="4" w:space="0" w:color="auto"/>
              <w:right w:val="single" w:sz="4" w:space="0" w:color="auto"/>
            </w:tcBorders>
            <w:shd w:val="clear" w:color="auto" w:fill="auto"/>
            <w:vAlign w:val="bottom"/>
            <w:hideMark/>
          </w:tcPr>
          <w:p w14:paraId="459368DD"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59.235</w:t>
            </w:r>
          </w:p>
        </w:tc>
        <w:tc>
          <w:tcPr>
            <w:tcW w:w="1385" w:type="dxa"/>
            <w:tcBorders>
              <w:top w:val="nil"/>
              <w:left w:val="nil"/>
              <w:bottom w:val="single" w:sz="4" w:space="0" w:color="auto"/>
              <w:right w:val="single" w:sz="4" w:space="0" w:color="auto"/>
            </w:tcBorders>
            <w:shd w:val="clear" w:color="000000" w:fill="DAEEF3"/>
            <w:noWrap/>
            <w:vAlign w:val="bottom"/>
            <w:hideMark/>
          </w:tcPr>
          <w:p w14:paraId="432AB4BC"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69.632.796</w:t>
            </w:r>
          </w:p>
        </w:tc>
        <w:tc>
          <w:tcPr>
            <w:tcW w:w="1291" w:type="dxa"/>
            <w:tcBorders>
              <w:top w:val="nil"/>
              <w:left w:val="nil"/>
              <w:bottom w:val="single" w:sz="4" w:space="0" w:color="auto"/>
              <w:right w:val="single" w:sz="4" w:space="0" w:color="auto"/>
            </w:tcBorders>
            <w:shd w:val="clear" w:color="000000" w:fill="DAEEF3"/>
            <w:noWrap/>
            <w:vAlign w:val="bottom"/>
            <w:hideMark/>
          </w:tcPr>
          <w:p w14:paraId="586470F4"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12.842.775</w:t>
            </w:r>
          </w:p>
        </w:tc>
      </w:tr>
      <w:tr w:rsidR="00D847F2" w:rsidRPr="00607A96" w14:paraId="7273E202" w14:textId="77777777" w:rsidTr="00556699">
        <w:trPr>
          <w:trHeight w:val="45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712C5D67"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Izvršba na premičnine</w:t>
            </w:r>
          </w:p>
        </w:tc>
        <w:tc>
          <w:tcPr>
            <w:tcW w:w="845" w:type="dxa"/>
            <w:tcBorders>
              <w:top w:val="nil"/>
              <w:left w:val="nil"/>
              <w:bottom w:val="single" w:sz="4" w:space="0" w:color="auto"/>
              <w:right w:val="single" w:sz="4" w:space="0" w:color="auto"/>
            </w:tcBorders>
            <w:shd w:val="clear" w:color="auto" w:fill="auto"/>
            <w:vAlign w:val="bottom"/>
            <w:hideMark/>
          </w:tcPr>
          <w:p w14:paraId="4E0828BC"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7.677</w:t>
            </w:r>
          </w:p>
        </w:tc>
        <w:tc>
          <w:tcPr>
            <w:tcW w:w="1442" w:type="dxa"/>
            <w:tcBorders>
              <w:top w:val="nil"/>
              <w:left w:val="nil"/>
              <w:bottom w:val="single" w:sz="4" w:space="0" w:color="auto"/>
              <w:right w:val="single" w:sz="4" w:space="0" w:color="auto"/>
            </w:tcBorders>
            <w:shd w:val="clear" w:color="000000" w:fill="DAEEF3"/>
            <w:vAlign w:val="bottom"/>
            <w:hideMark/>
          </w:tcPr>
          <w:p w14:paraId="2A0F98ED"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194.284.732</w:t>
            </w:r>
          </w:p>
        </w:tc>
        <w:tc>
          <w:tcPr>
            <w:tcW w:w="1196" w:type="dxa"/>
            <w:tcBorders>
              <w:top w:val="nil"/>
              <w:left w:val="nil"/>
              <w:bottom w:val="single" w:sz="4" w:space="0" w:color="auto"/>
              <w:right w:val="single" w:sz="4" w:space="0" w:color="auto"/>
            </w:tcBorders>
            <w:shd w:val="clear" w:color="000000" w:fill="DAEEF3"/>
            <w:vAlign w:val="bottom"/>
            <w:hideMark/>
          </w:tcPr>
          <w:p w14:paraId="336A93C4"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21.670.082</w:t>
            </w:r>
          </w:p>
        </w:tc>
        <w:tc>
          <w:tcPr>
            <w:tcW w:w="845" w:type="dxa"/>
            <w:tcBorders>
              <w:top w:val="nil"/>
              <w:left w:val="nil"/>
              <w:bottom w:val="single" w:sz="4" w:space="0" w:color="auto"/>
              <w:right w:val="single" w:sz="4" w:space="0" w:color="auto"/>
            </w:tcBorders>
            <w:shd w:val="clear" w:color="auto" w:fill="auto"/>
            <w:vAlign w:val="bottom"/>
            <w:hideMark/>
          </w:tcPr>
          <w:p w14:paraId="1AB38D9D"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9.965</w:t>
            </w:r>
          </w:p>
        </w:tc>
        <w:tc>
          <w:tcPr>
            <w:tcW w:w="1385" w:type="dxa"/>
            <w:tcBorders>
              <w:top w:val="nil"/>
              <w:left w:val="nil"/>
              <w:bottom w:val="single" w:sz="4" w:space="0" w:color="auto"/>
              <w:right w:val="single" w:sz="4" w:space="0" w:color="auto"/>
            </w:tcBorders>
            <w:shd w:val="clear" w:color="000000" w:fill="DAEEF3"/>
            <w:noWrap/>
            <w:vAlign w:val="bottom"/>
            <w:hideMark/>
          </w:tcPr>
          <w:p w14:paraId="754C777B"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227.287.138</w:t>
            </w:r>
          </w:p>
        </w:tc>
        <w:tc>
          <w:tcPr>
            <w:tcW w:w="1291" w:type="dxa"/>
            <w:tcBorders>
              <w:top w:val="nil"/>
              <w:left w:val="nil"/>
              <w:bottom w:val="single" w:sz="4" w:space="0" w:color="auto"/>
              <w:right w:val="single" w:sz="4" w:space="0" w:color="auto"/>
            </w:tcBorders>
            <w:shd w:val="clear" w:color="000000" w:fill="DAEEF3"/>
            <w:noWrap/>
            <w:vAlign w:val="bottom"/>
            <w:hideMark/>
          </w:tcPr>
          <w:p w14:paraId="11909369"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28.846.109</w:t>
            </w:r>
          </w:p>
        </w:tc>
      </w:tr>
      <w:tr w:rsidR="00D847F2" w:rsidRPr="00607A96" w14:paraId="7ED586BC" w14:textId="77777777" w:rsidTr="00556699">
        <w:trPr>
          <w:trHeight w:val="487"/>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62B24FC6" w14:textId="5AC8AE41"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Izvršba na</w:t>
            </w:r>
            <w:r w:rsidR="00992912">
              <w:rPr>
                <w:rFonts w:ascii="Arial" w:eastAsia="Times New Roman" w:hAnsi="Arial" w:cs="Arial"/>
                <w:sz w:val="18"/>
                <w:szCs w:val="18"/>
                <w:lang w:eastAsia="sl-SI"/>
              </w:rPr>
              <w:t xml:space="preserve"> </w:t>
            </w:r>
            <w:r w:rsidRPr="00607A96">
              <w:rPr>
                <w:rFonts w:ascii="Arial" w:eastAsia="Times New Roman" w:hAnsi="Arial" w:cs="Arial"/>
                <w:sz w:val="18"/>
                <w:szCs w:val="18"/>
                <w:lang w:eastAsia="sl-SI"/>
              </w:rPr>
              <w:t>denarne terjatve</w:t>
            </w:r>
          </w:p>
        </w:tc>
        <w:tc>
          <w:tcPr>
            <w:tcW w:w="845" w:type="dxa"/>
            <w:tcBorders>
              <w:top w:val="nil"/>
              <w:left w:val="nil"/>
              <w:bottom w:val="single" w:sz="4" w:space="0" w:color="auto"/>
              <w:right w:val="single" w:sz="4" w:space="0" w:color="auto"/>
            </w:tcBorders>
            <w:shd w:val="clear" w:color="auto" w:fill="auto"/>
            <w:vAlign w:val="bottom"/>
            <w:hideMark/>
          </w:tcPr>
          <w:p w14:paraId="6DAB523E"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853</w:t>
            </w:r>
          </w:p>
        </w:tc>
        <w:tc>
          <w:tcPr>
            <w:tcW w:w="1442" w:type="dxa"/>
            <w:tcBorders>
              <w:top w:val="nil"/>
              <w:left w:val="nil"/>
              <w:bottom w:val="single" w:sz="4" w:space="0" w:color="auto"/>
              <w:right w:val="single" w:sz="4" w:space="0" w:color="auto"/>
            </w:tcBorders>
            <w:shd w:val="clear" w:color="000000" w:fill="DAEEF3"/>
            <w:vAlign w:val="bottom"/>
            <w:hideMark/>
          </w:tcPr>
          <w:p w14:paraId="607F0344"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15.263.864</w:t>
            </w:r>
          </w:p>
        </w:tc>
        <w:tc>
          <w:tcPr>
            <w:tcW w:w="1196" w:type="dxa"/>
            <w:tcBorders>
              <w:top w:val="nil"/>
              <w:left w:val="nil"/>
              <w:bottom w:val="single" w:sz="4" w:space="0" w:color="auto"/>
              <w:right w:val="single" w:sz="4" w:space="0" w:color="auto"/>
            </w:tcBorders>
            <w:shd w:val="clear" w:color="000000" w:fill="DAEEF3"/>
            <w:vAlign w:val="bottom"/>
            <w:hideMark/>
          </w:tcPr>
          <w:p w14:paraId="03AD3387"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3.974.726</w:t>
            </w:r>
          </w:p>
        </w:tc>
        <w:tc>
          <w:tcPr>
            <w:tcW w:w="845" w:type="dxa"/>
            <w:tcBorders>
              <w:top w:val="nil"/>
              <w:left w:val="nil"/>
              <w:bottom w:val="single" w:sz="4" w:space="0" w:color="auto"/>
              <w:right w:val="single" w:sz="4" w:space="0" w:color="auto"/>
            </w:tcBorders>
            <w:shd w:val="clear" w:color="auto" w:fill="auto"/>
            <w:vAlign w:val="bottom"/>
            <w:hideMark/>
          </w:tcPr>
          <w:p w14:paraId="269E8422"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1.473</w:t>
            </w:r>
          </w:p>
        </w:tc>
        <w:tc>
          <w:tcPr>
            <w:tcW w:w="1385" w:type="dxa"/>
            <w:tcBorders>
              <w:top w:val="nil"/>
              <w:left w:val="nil"/>
              <w:bottom w:val="single" w:sz="4" w:space="0" w:color="auto"/>
              <w:right w:val="single" w:sz="4" w:space="0" w:color="auto"/>
            </w:tcBorders>
            <w:shd w:val="clear" w:color="000000" w:fill="DAEEF3"/>
            <w:noWrap/>
            <w:vAlign w:val="bottom"/>
            <w:hideMark/>
          </w:tcPr>
          <w:p w14:paraId="2A3FC7C5"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24.534.960</w:t>
            </w:r>
          </w:p>
        </w:tc>
        <w:tc>
          <w:tcPr>
            <w:tcW w:w="1291" w:type="dxa"/>
            <w:tcBorders>
              <w:top w:val="nil"/>
              <w:left w:val="nil"/>
              <w:bottom w:val="single" w:sz="4" w:space="0" w:color="auto"/>
              <w:right w:val="single" w:sz="4" w:space="0" w:color="auto"/>
            </w:tcBorders>
            <w:shd w:val="clear" w:color="000000" w:fill="DAEEF3"/>
            <w:noWrap/>
            <w:vAlign w:val="bottom"/>
            <w:hideMark/>
          </w:tcPr>
          <w:p w14:paraId="6BDFABF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6.487.881</w:t>
            </w:r>
          </w:p>
        </w:tc>
      </w:tr>
      <w:tr w:rsidR="00D847F2" w:rsidRPr="00607A96" w14:paraId="27295C64" w14:textId="77777777" w:rsidTr="00556699">
        <w:trPr>
          <w:trHeight w:val="487"/>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609ED04F"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Izvršba na vrednostne papirje</w:t>
            </w:r>
          </w:p>
        </w:tc>
        <w:tc>
          <w:tcPr>
            <w:tcW w:w="845" w:type="dxa"/>
            <w:tcBorders>
              <w:top w:val="nil"/>
              <w:left w:val="nil"/>
              <w:bottom w:val="single" w:sz="4" w:space="0" w:color="auto"/>
              <w:right w:val="single" w:sz="4" w:space="0" w:color="auto"/>
            </w:tcBorders>
            <w:shd w:val="clear" w:color="auto" w:fill="auto"/>
            <w:vAlign w:val="bottom"/>
            <w:hideMark/>
          </w:tcPr>
          <w:p w14:paraId="47AA43D6"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11</w:t>
            </w:r>
          </w:p>
        </w:tc>
        <w:tc>
          <w:tcPr>
            <w:tcW w:w="1442" w:type="dxa"/>
            <w:tcBorders>
              <w:top w:val="nil"/>
              <w:left w:val="nil"/>
              <w:bottom w:val="single" w:sz="4" w:space="0" w:color="auto"/>
              <w:right w:val="single" w:sz="4" w:space="0" w:color="auto"/>
            </w:tcBorders>
            <w:shd w:val="clear" w:color="000000" w:fill="DAEEF3"/>
            <w:vAlign w:val="bottom"/>
            <w:hideMark/>
          </w:tcPr>
          <w:p w14:paraId="69F93A1D"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34.450</w:t>
            </w:r>
          </w:p>
        </w:tc>
        <w:tc>
          <w:tcPr>
            <w:tcW w:w="1196" w:type="dxa"/>
            <w:tcBorders>
              <w:top w:val="nil"/>
              <w:left w:val="nil"/>
              <w:bottom w:val="single" w:sz="4" w:space="0" w:color="auto"/>
              <w:right w:val="single" w:sz="4" w:space="0" w:color="auto"/>
            </w:tcBorders>
            <w:shd w:val="clear" w:color="000000" w:fill="DAEEF3"/>
            <w:vAlign w:val="bottom"/>
            <w:hideMark/>
          </w:tcPr>
          <w:p w14:paraId="19374E6B"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42.345</w:t>
            </w:r>
          </w:p>
        </w:tc>
        <w:tc>
          <w:tcPr>
            <w:tcW w:w="845" w:type="dxa"/>
            <w:tcBorders>
              <w:top w:val="nil"/>
              <w:left w:val="nil"/>
              <w:bottom w:val="single" w:sz="4" w:space="0" w:color="auto"/>
              <w:right w:val="single" w:sz="4" w:space="0" w:color="auto"/>
            </w:tcBorders>
            <w:shd w:val="clear" w:color="auto" w:fill="auto"/>
            <w:vAlign w:val="bottom"/>
            <w:hideMark/>
          </w:tcPr>
          <w:p w14:paraId="79C81737" w14:textId="77777777" w:rsidR="00D847F2" w:rsidRPr="00607A96" w:rsidRDefault="00D847F2" w:rsidP="00556699">
            <w:pPr>
              <w:spacing w:line="240" w:lineRule="auto"/>
              <w:jc w:val="right"/>
              <w:rPr>
                <w:rFonts w:ascii="Arial" w:eastAsia="Times New Roman" w:hAnsi="Arial" w:cs="Arial"/>
                <w:b/>
                <w:bCs/>
                <w:sz w:val="18"/>
                <w:szCs w:val="18"/>
                <w:lang w:eastAsia="sl-SI"/>
              </w:rPr>
            </w:pPr>
            <w:r w:rsidRPr="00607A96">
              <w:rPr>
                <w:rFonts w:ascii="Arial" w:eastAsia="Times New Roman" w:hAnsi="Arial" w:cs="Arial"/>
                <w:b/>
                <w:bCs/>
                <w:sz w:val="18"/>
                <w:szCs w:val="18"/>
                <w:lang w:eastAsia="sl-SI"/>
              </w:rPr>
              <w:t>7</w:t>
            </w:r>
          </w:p>
        </w:tc>
        <w:tc>
          <w:tcPr>
            <w:tcW w:w="1385" w:type="dxa"/>
            <w:tcBorders>
              <w:top w:val="nil"/>
              <w:left w:val="nil"/>
              <w:bottom w:val="single" w:sz="4" w:space="0" w:color="auto"/>
              <w:right w:val="single" w:sz="4" w:space="0" w:color="auto"/>
            </w:tcBorders>
            <w:shd w:val="clear" w:color="000000" w:fill="DAEEF3"/>
            <w:noWrap/>
            <w:vAlign w:val="bottom"/>
            <w:hideMark/>
          </w:tcPr>
          <w:p w14:paraId="0C2F899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82.250</w:t>
            </w:r>
          </w:p>
        </w:tc>
        <w:tc>
          <w:tcPr>
            <w:tcW w:w="1291" w:type="dxa"/>
            <w:tcBorders>
              <w:top w:val="nil"/>
              <w:left w:val="nil"/>
              <w:bottom w:val="single" w:sz="4" w:space="0" w:color="auto"/>
              <w:right w:val="single" w:sz="4" w:space="0" w:color="auto"/>
            </w:tcBorders>
            <w:shd w:val="clear" w:color="000000" w:fill="DAEEF3"/>
            <w:noWrap/>
            <w:vAlign w:val="bottom"/>
            <w:hideMark/>
          </w:tcPr>
          <w:p w14:paraId="16BE8CB9"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14.344</w:t>
            </w:r>
          </w:p>
        </w:tc>
      </w:tr>
      <w:tr w:rsidR="00D847F2" w:rsidRPr="00607A96" w14:paraId="683D0EAE" w14:textId="77777777" w:rsidTr="00556699">
        <w:trPr>
          <w:trHeight w:val="389"/>
        </w:trPr>
        <w:tc>
          <w:tcPr>
            <w:tcW w:w="1655" w:type="dxa"/>
            <w:tcBorders>
              <w:top w:val="nil"/>
              <w:left w:val="single" w:sz="4" w:space="0" w:color="auto"/>
              <w:bottom w:val="single" w:sz="4" w:space="0" w:color="auto"/>
              <w:right w:val="single" w:sz="4" w:space="0" w:color="auto"/>
            </w:tcBorders>
            <w:shd w:val="clear" w:color="000000" w:fill="31869B"/>
            <w:vAlign w:val="bottom"/>
            <w:hideMark/>
          </w:tcPr>
          <w:p w14:paraId="78CA313B" w14:textId="77777777" w:rsidR="00D847F2" w:rsidRPr="00607A96" w:rsidRDefault="00D847F2" w:rsidP="00556699">
            <w:pPr>
              <w:spacing w:line="240" w:lineRule="auto"/>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 xml:space="preserve">Skupaj </w:t>
            </w:r>
          </w:p>
        </w:tc>
        <w:tc>
          <w:tcPr>
            <w:tcW w:w="845" w:type="dxa"/>
            <w:tcBorders>
              <w:top w:val="nil"/>
              <w:left w:val="nil"/>
              <w:bottom w:val="single" w:sz="4" w:space="0" w:color="auto"/>
              <w:right w:val="single" w:sz="4" w:space="0" w:color="auto"/>
            </w:tcBorders>
            <w:shd w:val="clear" w:color="000000" w:fill="31869B"/>
            <w:noWrap/>
            <w:vAlign w:val="bottom"/>
            <w:hideMark/>
          </w:tcPr>
          <w:p w14:paraId="7FCF9A84"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117.244</w:t>
            </w:r>
          </w:p>
        </w:tc>
        <w:tc>
          <w:tcPr>
            <w:tcW w:w="1442" w:type="dxa"/>
            <w:tcBorders>
              <w:top w:val="nil"/>
              <w:left w:val="nil"/>
              <w:bottom w:val="single" w:sz="4" w:space="0" w:color="auto"/>
              <w:right w:val="single" w:sz="4" w:space="0" w:color="auto"/>
            </w:tcBorders>
            <w:shd w:val="clear" w:color="000000" w:fill="31869B"/>
            <w:noWrap/>
            <w:vAlign w:val="bottom"/>
            <w:hideMark/>
          </w:tcPr>
          <w:p w14:paraId="5A67C458"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473.987.062</w:t>
            </w:r>
          </w:p>
        </w:tc>
        <w:tc>
          <w:tcPr>
            <w:tcW w:w="1196" w:type="dxa"/>
            <w:tcBorders>
              <w:top w:val="nil"/>
              <w:left w:val="nil"/>
              <w:bottom w:val="single" w:sz="4" w:space="0" w:color="auto"/>
              <w:right w:val="single" w:sz="4" w:space="0" w:color="auto"/>
            </w:tcBorders>
            <w:shd w:val="clear" w:color="000000" w:fill="31869B"/>
            <w:noWrap/>
            <w:vAlign w:val="bottom"/>
            <w:hideMark/>
          </w:tcPr>
          <w:p w14:paraId="59E450B0"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112.344.687</w:t>
            </w:r>
          </w:p>
        </w:tc>
        <w:tc>
          <w:tcPr>
            <w:tcW w:w="845" w:type="dxa"/>
            <w:tcBorders>
              <w:top w:val="nil"/>
              <w:left w:val="nil"/>
              <w:bottom w:val="single" w:sz="4" w:space="0" w:color="auto"/>
              <w:right w:val="single" w:sz="4" w:space="0" w:color="auto"/>
            </w:tcBorders>
            <w:shd w:val="clear" w:color="000000" w:fill="31869B"/>
            <w:noWrap/>
            <w:vAlign w:val="bottom"/>
            <w:hideMark/>
          </w:tcPr>
          <w:p w14:paraId="26F85F48"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166.197</w:t>
            </w:r>
          </w:p>
        </w:tc>
        <w:tc>
          <w:tcPr>
            <w:tcW w:w="1385" w:type="dxa"/>
            <w:tcBorders>
              <w:top w:val="nil"/>
              <w:left w:val="nil"/>
              <w:bottom w:val="single" w:sz="4" w:space="0" w:color="auto"/>
              <w:right w:val="single" w:sz="4" w:space="0" w:color="auto"/>
            </w:tcBorders>
            <w:shd w:val="clear" w:color="000000" w:fill="31869B"/>
            <w:noWrap/>
            <w:vAlign w:val="bottom"/>
            <w:hideMark/>
          </w:tcPr>
          <w:p w14:paraId="216C23DA"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524.927.276</w:t>
            </w:r>
          </w:p>
        </w:tc>
        <w:tc>
          <w:tcPr>
            <w:tcW w:w="1291" w:type="dxa"/>
            <w:tcBorders>
              <w:top w:val="nil"/>
              <w:left w:val="nil"/>
              <w:bottom w:val="single" w:sz="4" w:space="0" w:color="auto"/>
              <w:right w:val="single" w:sz="4" w:space="0" w:color="auto"/>
            </w:tcBorders>
            <w:shd w:val="clear" w:color="000000" w:fill="31869B"/>
            <w:noWrap/>
            <w:vAlign w:val="bottom"/>
            <w:hideMark/>
          </w:tcPr>
          <w:p w14:paraId="4CA81BBD"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166.611.402</w:t>
            </w:r>
          </w:p>
        </w:tc>
      </w:tr>
    </w:tbl>
    <w:p w14:paraId="09690E11" w14:textId="70AD37E7" w:rsidR="00D847F2" w:rsidRPr="00087025" w:rsidRDefault="00D847F2" w:rsidP="00D847F2">
      <w:pPr>
        <w:ind w:hanging="110"/>
        <w:rPr>
          <w:rFonts w:ascii="Arial" w:hAnsi="Arial" w:cs="Arial"/>
          <w:i/>
          <w:sz w:val="20"/>
          <w:szCs w:val="20"/>
        </w:rPr>
      </w:pPr>
      <w:r w:rsidRPr="00087025">
        <w:rPr>
          <w:rFonts w:ascii="Arial" w:hAnsi="Arial" w:cs="Arial"/>
          <w:i/>
          <w:sz w:val="20"/>
          <w:szCs w:val="20"/>
        </w:rPr>
        <w:t>Vir: FURS</w:t>
      </w:r>
      <w:r w:rsidR="00B1396B">
        <w:rPr>
          <w:rFonts w:ascii="Arial" w:hAnsi="Arial" w:cs="Arial"/>
          <w:i/>
          <w:sz w:val="20"/>
          <w:szCs w:val="20"/>
        </w:rPr>
        <w:t>.</w:t>
      </w:r>
    </w:p>
    <w:p w14:paraId="1E4D6863" w14:textId="13165B06" w:rsidR="00D847F2" w:rsidRDefault="00D847F2" w:rsidP="00D847F2">
      <w:pPr>
        <w:pStyle w:val="FURSNavaden"/>
        <w:spacing w:line="260" w:lineRule="exact"/>
      </w:pPr>
      <w:r w:rsidRPr="00607A96">
        <w:t>Glavnin</w:t>
      </w:r>
      <w:r w:rsidR="00B1396B">
        <w:t>a</w:t>
      </w:r>
      <w:r w:rsidRPr="00607A96">
        <w:t xml:space="preserve"> davčnega dolga, ki je bil v letu 2022 terjan s sklepi o izvršbi, </w:t>
      </w:r>
      <w:r>
        <w:t xml:space="preserve">so </w:t>
      </w:r>
      <w:r w:rsidRPr="00607A96">
        <w:t xml:space="preserve">obveznosti iz naslova prispevkov za socialno varnost (33,6 </w:t>
      </w:r>
      <w:r>
        <w:t>odstotka</w:t>
      </w:r>
      <w:r w:rsidRPr="00607A96">
        <w:t xml:space="preserve">) </w:t>
      </w:r>
      <w:r w:rsidR="00B1396B">
        <w:t>ter</w:t>
      </w:r>
      <w:r w:rsidR="00B1396B" w:rsidRPr="00607A96">
        <w:t xml:space="preserve"> </w:t>
      </w:r>
      <w:r w:rsidRPr="00607A96">
        <w:t xml:space="preserve">davkov na dohodek in dobiček (30,7 </w:t>
      </w:r>
      <w:r>
        <w:t>odstotka</w:t>
      </w:r>
      <w:r w:rsidRPr="00607A96">
        <w:t xml:space="preserve">). Sledijo domači davki na blago in storitve (28,1 </w:t>
      </w:r>
      <w:r>
        <w:t>odstotek</w:t>
      </w:r>
      <w:r w:rsidRPr="00607A96">
        <w:t xml:space="preserve">), davki na premoženje (1,8 </w:t>
      </w:r>
      <w:r>
        <w:t>odstotka</w:t>
      </w:r>
      <w:r w:rsidRPr="00607A96">
        <w:t xml:space="preserve">) ter obveznosti iz naslova </w:t>
      </w:r>
      <w:r w:rsidR="00B1396B">
        <w:t>pre</w:t>
      </w:r>
      <w:r w:rsidRPr="00607A96">
        <w:t xml:space="preserve">ostalih davkov (5,8 </w:t>
      </w:r>
      <w:r>
        <w:t>odstotka</w:t>
      </w:r>
      <w:r w:rsidRPr="00607A96">
        <w:t>).</w:t>
      </w:r>
    </w:p>
    <w:p w14:paraId="1AAA5903" w14:textId="77777777" w:rsidR="00D847F2" w:rsidRDefault="00D847F2" w:rsidP="00D847F2">
      <w:pPr>
        <w:pStyle w:val="FURSNavaden"/>
        <w:spacing w:line="260" w:lineRule="exact"/>
      </w:pPr>
    </w:p>
    <w:p w14:paraId="142580AA" w14:textId="5A297CEE" w:rsidR="00D847F2" w:rsidRDefault="00D847F2" w:rsidP="00D847F2">
      <w:pPr>
        <w:jc w:val="both"/>
        <w:rPr>
          <w:rFonts w:ascii="Arial" w:hAnsi="Arial"/>
          <w:sz w:val="20"/>
          <w:szCs w:val="24"/>
          <w:lang w:eastAsia="sl-SI"/>
        </w:rPr>
      </w:pPr>
      <w:r w:rsidRPr="00607A96">
        <w:rPr>
          <w:rFonts w:ascii="Arial" w:hAnsi="Arial"/>
          <w:sz w:val="20"/>
          <w:szCs w:val="24"/>
          <w:lang w:eastAsia="sl-SI"/>
        </w:rPr>
        <w:t xml:space="preserve">Največji delež izterjanih sredstev po sklepih o izvršbi </w:t>
      </w:r>
      <w:r>
        <w:rPr>
          <w:rFonts w:ascii="Arial" w:hAnsi="Arial"/>
          <w:sz w:val="20"/>
          <w:szCs w:val="24"/>
          <w:lang w:eastAsia="sl-SI"/>
        </w:rPr>
        <w:t>obsegajo</w:t>
      </w:r>
      <w:r w:rsidRPr="00607A96">
        <w:rPr>
          <w:rFonts w:ascii="Arial" w:hAnsi="Arial"/>
          <w:sz w:val="20"/>
          <w:szCs w:val="24"/>
          <w:lang w:eastAsia="sl-SI"/>
        </w:rPr>
        <w:t xml:space="preserve"> plačila iz naslova prispevkov za socialno varnost (41,1 </w:t>
      </w:r>
      <w:r>
        <w:rPr>
          <w:rFonts w:ascii="Arial" w:hAnsi="Arial"/>
          <w:sz w:val="20"/>
          <w:szCs w:val="24"/>
          <w:lang w:eastAsia="sl-SI"/>
        </w:rPr>
        <w:t>odstotk</w:t>
      </w:r>
      <w:r w:rsidR="00B1396B">
        <w:rPr>
          <w:rFonts w:ascii="Arial" w:hAnsi="Arial"/>
          <w:sz w:val="20"/>
          <w:szCs w:val="24"/>
          <w:lang w:eastAsia="sl-SI"/>
        </w:rPr>
        <w:t>a</w:t>
      </w:r>
      <w:r w:rsidRPr="00607A96">
        <w:rPr>
          <w:rFonts w:ascii="Arial" w:hAnsi="Arial"/>
          <w:sz w:val="20"/>
          <w:szCs w:val="24"/>
          <w:lang w:eastAsia="sl-SI"/>
        </w:rPr>
        <w:t xml:space="preserve">), sledijo domači davki na blago in storitve (30,3 </w:t>
      </w:r>
      <w:r>
        <w:rPr>
          <w:rFonts w:ascii="Arial" w:hAnsi="Arial"/>
          <w:sz w:val="20"/>
          <w:szCs w:val="24"/>
          <w:lang w:eastAsia="sl-SI"/>
        </w:rPr>
        <w:t>odstotka</w:t>
      </w:r>
      <w:r w:rsidRPr="00607A96">
        <w:rPr>
          <w:rFonts w:ascii="Arial" w:hAnsi="Arial"/>
          <w:sz w:val="20"/>
          <w:szCs w:val="24"/>
          <w:lang w:eastAsia="sl-SI"/>
        </w:rPr>
        <w:t xml:space="preserve">), davki na dohodek in dobiček (21,7 </w:t>
      </w:r>
      <w:r>
        <w:rPr>
          <w:rFonts w:ascii="Arial" w:hAnsi="Arial"/>
          <w:sz w:val="20"/>
          <w:szCs w:val="24"/>
          <w:lang w:eastAsia="sl-SI"/>
        </w:rPr>
        <w:t>odstotka</w:t>
      </w:r>
      <w:r w:rsidRPr="00607A96">
        <w:rPr>
          <w:rFonts w:ascii="Arial" w:hAnsi="Arial"/>
          <w:sz w:val="20"/>
          <w:szCs w:val="24"/>
          <w:lang w:eastAsia="sl-SI"/>
        </w:rPr>
        <w:t xml:space="preserve">), davki na premoženje (2,9 </w:t>
      </w:r>
      <w:r>
        <w:rPr>
          <w:rFonts w:ascii="Arial" w:hAnsi="Arial"/>
          <w:sz w:val="20"/>
          <w:szCs w:val="24"/>
          <w:lang w:eastAsia="sl-SI"/>
        </w:rPr>
        <w:t>odstotka</w:t>
      </w:r>
      <w:r w:rsidRPr="00607A96">
        <w:rPr>
          <w:rFonts w:ascii="Arial" w:hAnsi="Arial"/>
          <w:sz w:val="20"/>
          <w:szCs w:val="24"/>
          <w:lang w:eastAsia="sl-SI"/>
        </w:rPr>
        <w:t xml:space="preserve">) in plačila iz naslova </w:t>
      </w:r>
      <w:r w:rsidR="00B1396B">
        <w:rPr>
          <w:rFonts w:ascii="Arial" w:hAnsi="Arial"/>
          <w:sz w:val="20"/>
          <w:szCs w:val="24"/>
          <w:lang w:eastAsia="sl-SI"/>
        </w:rPr>
        <w:t>pre</w:t>
      </w:r>
      <w:r w:rsidRPr="00607A96">
        <w:rPr>
          <w:rFonts w:ascii="Arial" w:hAnsi="Arial"/>
          <w:sz w:val="20"/>
          <w:szCs w:val="24"/>
          <w:lang w:eastAsia="sl-SI"/>
        </w:rPr>
        <w:t xml:space="preserve">ostalih davkov (4 </w:t>
      </w:r>
      <w:r>
        <w:rPr>
          <w:rFonts w:ascii="Arial" w:hAnsi="Arial"/>
          <w:sz w:val="20"/>
          <w:szCs w:val="24"/>
          <w:lang w:eastAsia="sl-SI"/>
        </w:rPr>
        <w:t>odstotk</w:t>
      </w:r>
      <w:r w:rsidR="00B1396B">
        <w:rPr>
          <w:rFonts w:ascii="Arial" w:hAnsi="Arial"/>
          <w:sz w:val="20"/>
          <w:szCs w:val="24"/>
          <w:lang w:eastAsia="sl-SI"/>
        </w:rPr>
        <w:t>i</w:t>
      </w:r>
      <w:r w:rsidRPr="00607A96">
        <w:rPr>
          <w:rFonts w:ascii="Arial" w:hAnsi="Arial"/>
          <w:sz w:val="20"/>
          <w:szCs w:val="24"/>
          <w:lang w:eastAsia="sl-SI"/>
        </w:rPr>
        <w:t xml:space="preserve">). </w:t>
      </w:r>
    </w:p>
    <w:p w14:paraId="0A6FD572" w14:textId="77777777" w:rsidR="00D847F2" w:rsidRDefault="00D847F2" w:rsidP="00D847F2">
      <w:pPr>
        <w:jc w:val="both"/>
        <w:rPr>
          <w:rFonts w:ascii="Arial" w:eastAsia="Times New Roman" w:hAnsi="Arial" w:cs="Arial"/>
          <w:i/>
          <w:sz w:val="20"/>
          <w:szCs w:val="20"/>
          <w:lang w:eastAsia="sl-SI"/>
        </w:rPr>
      </w:pPr>
      <w:r w:rsidRPr="00001AC8">
        <w:rPr>
          <w:rFonts w:ascii="Arial" w:eastAsia="Times New Roman" w:hAnsi="Arial" w:cs="Arial"/>
          <w:i/>
          <w:sz w:val="20"/>
          <w:szCs w:val="20"/>
          <w:lang w:eastAsia="sl-SI"/>
        </w:rPr>
        <w:t xml:space="preserve">Preglednica </w:t>
      </w:r>
      <w:r w:rsidRPr="00001AC8">
        <w:rPr>
          <w:rFonts w:ascii="Arial" w:eastAsia="Times New Roman" w:hAnsi="Arial" w:cs="Arial"/>
          <w:i/>
          <w:sz w:val="20"/>
          <w:szCs w:val="20"/>
        </w:rPr>
        <w:t>1</w:t>
      </w:r>
      <w:r>
        <w:rPr>
          <w:rFonts w:ascii="Arial" w:eastAsia="Times New Roman" w:hAnsi="Arial" w:cs="Arial"/>
          <w:i/>
          <w:sz w:val="20"/>
          <w:szCs w:val="20"/>
        </w:rPr>
        <w:t>8</w:t>
      </w:r>
      <w:r w:rsidRPr="00001AC8">
        <w:rPr>
          <w:rFonts w:ascii="Arial" w:eastAsia="Times New Roman" w:hAnsi="Arial" w:cs="Arial"/>
          <w:i/>
          <w:sz w:val="20"/>
          <w:szCs w:val="20"/>
          <w:lang w:eastAsia="sl-SI"/>
        </w:rPr>
        <w:t>: Učinkovitost izvršbe po vrstah dajatev v letu 20</w:t>
      </w:r>
      <w:r>
        <w:rPr>
          <w:rFonts w:ascii="Arial" w:eastAsia="Times New Roman" w:hAnsi="Arial" w:cs="Arial"/>
          <w:i/>
          <w:sz w:val="20"/>
          <w:szCs w:val="20"/>
          <w:lang w:eastAsia="sl-SI"/>
        </w:rPr>
        <w:t>22</w:t>
      </w:r>
      <w:r w:rsidRPr="00001AC8">
        <w:rPr>
          <w:rFonts w:ascii="Arial" w:eastAsia="Times New Roman" w:hAnsi="Arial" w:cs="Arial"/>
          <w:i/>
          <w:sz w:val="20"/>
          <w:szCs w:val="20"/>
          <w:lang w:eastAsia="sl-SI"/>
        </w:rPr>
        <w:t xml:space="preserve"> (zneski v EUR)</w:t>
      </w:r>
    </w:p>
    <w:tbl>
      <w:tblPr>
        <w:tblW w:w="9050" w:type="dxa"/>
        <w:tblCellMar>
          <w:left w:w="70" w:type="dxa"/>
          <w:right w:w="70" w:type="dxa"/>
        </w:tblCellMar>
        <w:tblLook w:val="04A0" w:firstRow="1" w:lastRow="0" w:firstColumn="1" w:lastColumn="0" w:noHBand="0" w:noVBand="1"/>
      </w:tblPr>
      <w:tblGrid>
        <w:gridCol w:w="2822"/>
        <w:gridCol w:w="1942"/>
        <w:gridCol w:w="1447"/>
        <w:gridCol w:w="1557"/>
        <w:gridCol w:w="1282"/>
      </w:tblGrid>
      <w:tr w:rsidR="00D847F2" w:rsidRPr="0099314A" w14:paraId="20C832EF" w14:textId="77777777" w:rsidTr="00556699">
        <w:trPr>
          <w:trHeight w:val="1189"/>
        </w:trPr>
        <w:tc>
          <w:tcPr>
            <w:tcW w:w="2822" w:type="dxa"/>
            <w:tcBorders>
              <w:top w:val="single" w:sz="4" w:space="0" w:color="auto"/>
              <w:left w:val="single" w:sz="4" w:space="0" w:color="auto"/>
              <w:bottom w:val="single" w:sz="4" w:space="0" w:color="auto"/>
              <w:right w:val="single" w:sz="4" w:space="0" w:color="auto"/>
            </w:tcBorders>
            <w:shd w:val="clear" w:color="000000" w:fill="31849B"/>
            <w:vAlign w:val="center"/>
            <w:hideMark/>
          </w:tcPr>
          <w:p w14:paraId="7F5C36C4" w14:textId="77777777" w:rsidR="00D847F2" w:rsidRPr="00607A96" w:rsidRDefault="00D847F2" w:rsidP="00556699">
            <w:pPr>
              <w:spacing w:line="240" w:lineRule="auto"/>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Vrsta obveznosti</w:t>
            </w:r>
          </w:p>
        </w:tc>
        <w:tc>
          <w:tcPr>
            <w:tcW w:w="1942" w:type="dxa"/>
            <w:tcBorders>
              <w:top w:val="single" w:sz="4" w:space="0" w:color="auto"/>
              <w:left w:val="nil"/>
              <w:bottom w:val="single" w:sz="4" w:space="0" w:color="auto"/>
              <w:right w:val="single" w:sz="4" w:space="0" w:color="auto"/>
            </w:tcBorders>
            <w:shd w:val="clear" w:color="000000" w:fill="31849B"/>
            <w:vAlign w:val="center"/>
            <w:hideMark/>
          </w:tcPr>
          <w:p w14:paraId="0FADEF46" w14:textId="77777777" w:rsidR="00D847F2" w:rsidRPr="00DC5414" w:rsidRDefault="00D847F2" w:rsidP="00556699">
            <w:pPr>
              <w:spacing w:line="240" w:lineRule="auto"/>
              <w:jc w:val="center"/>
              <w:rPr>
                <w:rFonts w:ascii="Arial" w:eastAsia="Times New Roman" w:hAnsi="Arial" w:cs="Arial"/>
                <w:b/>
                <w:bCs/>
                <w:color w:val="FFFFFF" w:themeColor="background1"/>
                <w:sz w:val="18"/>
                <w:szCs w:val="18"/>
                <w:lang w:eastAsia="sl-SI"/>
              </w:rPr>
            </w:pPr>
            <w:r w:rsidRPr="00DC5414">
              <w:rPr>
                <w:rFonts w:ascii="Arial" w:eastAsia="Times New Roman" w:hAnsi="Arial" w:cs="Arial"/>
                <w:b/>
                <w:bCs/>
                <w:color w:val="FFFFFF" w:themeColor="background1"/>
                <w:sz w:val="18"/>
                <w:szCs w:val="18"/>
                <w:lang w:eastAsia="sl-SI"/>
              </w:rPr>
              <w:t>Znesek terjanega dolga po izdanih sklepih</w:t>
            </w:r>
          </w:p>
        </w:tc>
        <w:tc>
          <w:tcPr>
            <w:tcW w:w="1447" w:type="dxa"/>
            <w:tcBorders>
              <w:top w:val="single" w:sz="4" w:space="0" w:color="auto"/>
              <w:left w:val="nil"/>
              <w:bottom w:val="single" w:sz="4" w:space="0" w:color="auto"/>
              <w:right w:val="single" w:sz="4" w:space="0" w:color="auto"/>
            </w:tcBorders>
            <w:shd w:val="clear" w:color="000000" w:fill="31849B"/>
            <w:vAlign w:val="center"/>
            <w:hideMark/>
          </w:tcPr>
          <w:p w14:paraId="1EC11CEF" w14:textId="201AF861" w:rsidR="00D847F2" w:rsidRPr="00DC5414" w:rsidRDefault="00B1396B" w:rsidP="00B1396B">
            <w:pPr>
              <w:spacing w:line="240" w:lineRule="auto"/>
              <w:jc w:val="center"/>
              <w:rPr>
                <w:rFonts w:ascii="Arial" w:eastAsia="Times New Roman" w:hAnsi="Arial" w:cs="Arial"/>
                <w:b/>
                <w:bCs/>
                <w:color w:val="FFFFFF" w:themeColor="background1"/>
                <w:sz w:val="18"/>
                <w:szCs w:val="18"/>
                <w:lang w:eastAsia="sl-SI"/>
              </w:rPr>
            </w:pPr>
            <w:r>
              <w:rPr>
                <w:rFonts w:ascii="Arial" w:eastAsia="Times New Roman" w:hAnsi="Arial" w:cs="Arial"/>
                <w:b/>
                <w:bCs/>
                <w:color w:val="FFFFFF" w:themeColor="background1"/>
                <w:sz w:val="18"/>
                <w:szCs w:val="18"/>
                <w:lang w:eastAsia="sl-SI"/>
              </w:rPr>
              <w:t>O</w:t>
            </w:r>
            <w:r w:rsidR="00D847F2" w:rsidRPr="00DC5414">
              <w:rPr>
                <w:rFonts w:ascii="Arial" w:eastAsia="Times New Roman" w:hAnsi="Arial" w:cs="Arial"/>
                <w:b/>
                <w:bCs/>
                <w:color w:val="FFFFFF" w:themeColor="background1"/>
                <w:sz w:val="18"/>
                <w:szCs w:val="18"/>
                <w:lang w:eastAsia="sl-SI"/>
              </w:rPr>
              <w:t>dstot</w:t>
            </w:r>
            <w:r>
              <w:rPr>
                <w:rFonts w:ascii="Arial" w:eastAsia="Times New Roman" w:hAnsi="Arial" w:cs="Arial"/>
                <w:b/>
                <w:bCs/>
                <w:color w:val="FFFFFF" w:themeColor="background1"/>
                <w:sz w:val="18"/>
                <w:szCs w:val="18"/>
                <w:lang w:eastAsia="sl-SI"/>
              </w:rPr>
              <w:t>e</w:t>
            </w:r>
            <w:r w:rsidR="00D847F2" w:rsidRPr="00DC5414">
              <w:rPr>
                <w:rFonts w:ascii="Arial" w:eastAsia="Times New Roman" w:hAnsi="Arial" w:cs="Arial"/>
                <w:b/>
                <w:bCs/>
                <w:color w:val="FFFFFF" w:themeColor="background1"/>
                <w:sz w:val="18"/>
                <w:szCs w:val="18"/>
                <w:lang w:eastAsia="sl-SI"/>
              </w:rPr>
              <w:t>k v znesku dolga po izdanih sklepih</w:t>
            </w:r>
          </w:p>
        </w:tc>
        <w:tc>
          <w:tcPr>
            <w:tcW w:w="1557" w:type="dxa"/>
            <w:tcBorders>
              <w:top w:val="single" w:sz="4" w:space="0" w:color="auto"/>
              <w:left w:val="nil"/>
              <w:bottom w:val="single" w:sz="4" w:space="0" w:color="auto"/>
              <w:right w:val="single" w:sz="4" w:space="0" w:color="auto"/>
            </w:tcBorders>
            <w:shd w:val="clear" w:color="000000" w:fill="31849B"/>
            <w:vAlign w:val="center"/>
            <w:hideMark/>
          </w:tcPr>
          <w:p w14:paraId="717FC1C1" w14:textId="77777777" w:rsidR="00D847F2" w:rsidRPr="00DC5414" w:rsidRDefault="00D847F2" w:rsidP="00556699">
            <w:pPr>
              <w:spacing w:line="240" w:lineRule="auto"/>
              <w:jc w:val="center"/>
              <w:rPr>
                <w:rFonts w:ascii="Arial" w:eastAsia="Times New Roman" w:hAnsi="Arial" w:cs="Arial"/>
                <w:b/>
                <w:bCs/>
                <w:color w:val="FFFFFF" w:themeColor="background1"/>
                <w:sz w:val="18"/>
                <w:szCs w:val="18"/>
                <w:lang w:eastAsia="sl-SI"/>
              </w:rPr>
            </w:pPr>
            <w:r w:rsidRPr="00DC5414">
              <w:rPr>
                <w:rFonts w:ascii="Arial" w:eastAsia="Times New Roman" w:hAnsi="Arial" w:cs="Arial"/>
                <w:b/>
                <w:bCs/>
                <w:color w:val="FFFFFF" w:themeColor="background1"/>
                <w:sz w:val="18"/>
                <w:szCs w:val="18"/>
                <w:lang w:eastAsia="sl-SI"/>
              </w:rPr>
              <w:t>Plačila po izdanih sklepih</w:t>
            </w:r>
          </w:p>
        </w:tc>
        <w:tc>
          <w:tcPr>
            <w:tcW w:w="1282" w:type="dxa"/>
            <w:tcBorders>
              <w:top w:val="single" w:sz="4" w:space="0" w:color="auto"/>
              <w:left w:val="nil"/>
              <w:bottom w:val="single" w:sz="4" w:space="0" w:color="auto"/>
              <w:right w:val="single" w:sz="4" w:space="0" w:color="auto"/>
            </w:tcBorders>
            <w:shd w:val="clear" w:color="000000" w:fill="31849B"/>
            <w:vAlign w:val="center"/>
            <w:hideMark/>
          </w:tcPr>
          <w:p w14:paraId="4D390D83" w14:textId="251FE351" w:rsidR="00D847F2" w:rsidRPr="00DC5414" w:rsidRDefault="00B1396B" w:rsidP="00B1396B">
            <w:pPr>
              <w:spacing w:line="240" w:lineRule="auto"/>
              <w:jc w:val="center"/>
              <w:rPr>
                <w:rFonts w:ascii="Arial" w:eastAsia="Times New Roman" w:hAnsi="Arial" w:cs="Arial"/>
                <w:b/>
                <w:bCs/>
                <w:color w:val="FFFFFF" w:themeColor="background1"/>
                <w:sz w:val="18"/>
                <w:szCs w:val="18"/>
                <w:lang w:eastAsia="sl-SI"/>
              </w:rPr>
            </w:pPr>
            <w:r>
              <w:rPr>
                <w:rFonts w:ascii="Arial" w:eastAsia="Times New Roman" w:hAnsi="Arial" w:cs="Arial"/>
                <w:b/>
                <w:bCs/>
                <w:color w:val="FFFFFF" w:themeColor="background1"/>
                <w:sz w:val="18"/>
                <w:szCs w:val="18"/>
                <w:lang w:eastAsia="sl-SI"/>
              </w:rPr>
              <w:t>O</w:t>
            </w:r>
            <w:r w:rsidR="00D847F2" w:rsidRPr="00DC5414">
              <w:rPr>
                <w:rFonts w:ascii="Arial" w:eastAsia="Times New Roman" w:hAnsi="Arial" w:cs="Arial"/>
                <w:b/>
                <w:bCs/>
                <w:color w:val="FFFFFF" w:themeColor="background1"/>
                <w:sz w:val="18"/>
                <w:szCs w:val="18"/>
                <w:lang w:eastAsia="sl-SI"/>
              </w:rPr>
              <w:t>dstot</w:t>
            </w:r>
            <w:r>
              <w:rPr>
                <w:rFonts w:ascii="Arial" w:eastAsia="Times New Roman" w:hAnsi="Arial" w:cs="Arial"/>
                <w:b/>
                <w:bCs/>
                <w:color w:val="FFFFFF" w:themeColor="background1"/>
                <w:sz w:val="18"/>
                <w:szCs w:val="18"/>
                <w:lang w:eastAsia="sl-SI"/>
              </w:rPr>
              <w:t>e</w:t>
            </w:r>
            <w:r w:rsidR="00D847F2" w:rsidRPr="00DC5414">
              <w:rPr>
                <w:rFonts w:ascii="Arial" w:eastAsia="Times New Roman" w:hAnsi="Arial" w:cs="Arial"/>
                <w:b/>
                <w:bCs/>
                <w:color w:val="FFFFFF" w:themeColor="background1"/>
                <w:sz w:val="18"/>
                <w:szCs w:val="18"/>
                <w:lang w:eastAsia="sl-SI"/>
              </w:rPr>
              <w:t>k plačil po sklepih</w:t>
            </w:r>
          </w:p>
        </w:tc>
      </w:tr>
      <w:tr w:rsidR="00D847F2" w:rsidRPr="0099314A" w14:paraId="518363C5" w14:textId="77777777" w:rsidTr="00556699">
        <w:trPr>
          <w:trHeight w:val="446"/>
        </w:trPr>
        <w:tc>
          <w:tcPr>
            <w:tcW w:w="2822" w:type="dxa"/>
            <w:tcBorders>
              <w:top w:val="nil"/>
              <w:left w:val="single" w:sz="4" w:space="0" w:color="auto"/>
              <w:bottom w:val="single" w:sz="4" w:space="0" w:color="auto"/>
              <w:right w:val="single" w:sz="4" w:space="0" w:color="auto"/>
            </w:tcBorders>
            <w:shd w:val="clear" w:color="auto" w:fill="auto"/>
            <w:vAlign w:val="center"/>
            <w:hideMark/>
          </w:tcPr>
          <w:p w14:paraId="3B56B438"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Prispevki za socialno varnost</w:t>
            </w:r>
          </w:p>
        </w:tc>
        <w:tc>
          <w:tcPr>
            <w:tcW w:w="1942" w:type="dxa"/>
            <w:tcBorders>
              <w:top w:val="nil"/>
              <w:left w:val="nil"/>
              <w:bottom w:val="single" w:sz="4" w:space="0" w:color="auto"/>
              <w:right w:val="single" w:sz="4" w:space="0" w:color="auto"/>
            </w:tcBorders>
            <w:shd w:val="clear" w:color="000000" w:fill="DAEEF3"/>
            <w:vAlign w:val="center"/>
            <w:hideMark/>
          </w:tcPr>
          <w:p w14:paraId="084CA76E"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176.528.147</w:t>
            </w:r>
          </w:p>
        </w:tc>
        <w:tc>
          <w:tcPr>
            <w:tcW w:w="1447" w:type="dxa"/>
            <w:tcBorders>
              <w:top w:val="nil"/>
              <w:left w:val="nil"/>
              <w:bottom w:val="single" w:sz="4" w:space="0" w:color="auto"/>
              <w:right w:val="single" w:sz="4" w:space="0" w:color="auto"/>
            </w:tcBorders>
            <w:shd w:val="clear" w:color="auto" w:fill="auto"/>
            <w:vAlign w:val="center"/>
            <w:hideMark/>
          </w:tcPr>
          <w:p w14:paraId="7FBFEDB1"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33,6</w:t>
            </w:r>
          </w:p>
        </w:tc>
        <w:tc>
          <w:tcPr>
            <w:tcW w:w="1557" w:type="dxa"/>
            <w:tcBorders>
              <w:top w:val="nil"/>
              <w:left w:val="nil"/>
              <w:bottom w:val="single" w:sz="4" w:space="0" w:color="auto"/>
              <w:right w:val="single" w:sz="4" w:space="0" w:color="auto"/>
            </w:tcBorders>
            <w:shd w:val="clear" w:color="000000" w:fill="DAEEF3"/>
            <w:vAlign w:val="center"/>
            <w:hideMark/>
          </w:tcPr>
          <w:p w14:paraId="010E8B20"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68.459.452</w:t>
            </w:r>
          </w:p>
        </w:tc>
        <w:tc>
          <w:tcPr>
            <w:tcW w:w="1282" w:type="dxa"/>
            <w:tcBorders>
              <w:top w:val="nil"/>
              <w:left w:val="nil"/>
              <w:bottom w:val="single" w:sz="4" w:space="0" w:color="auto"/>
              <w:right w:val="single" w:sz="4" w:space="0" w:color="auto"/>
            </w:tcBorders>
            <w:shd w:val="clear" w:color="auto" w:fill="auto"/>
            <w:vAlign w:val="center"/>
            <w:hideMark/>
          </w:tcPr>
          <w:p w14:paraId="25FC0CC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41,1</w:t>
            </w:r>
          </w:p>
        </w:tc>
      </w:tr>
      <w:tr w:rsidR="00D847F2" w:rsidRPr="0099314A" w14:paraId="56ADBA08" w14:textId="77777777" w:rsidTr="00556699">
        <w:trPr>
          <w:trHeight w:val="446"/>
        </w:trPr>
        <w:tc>
          <w:tcPr>
            <w:tcW w:w="2822" w:type="dxa"/>
            <w:tcBorders>
              <w:top w:val="nil"/>
              <w:left w:val="single" w:sz="4" w:space="0" w:color="auto"/>
              <w:bottom w:val="single" w:sz="4" w:space="0" w:color="auto"/>
              <w:right w:val="single" w:sz="4" w:space="0" w:color="auto"/>
            </w:tcBorders>
            <w:shd w:val="clear" w:color="auto" w:fill="auto"/>
            <w:vAlign w:val="center"/>
            <w:hideMark/>
          </w:tcPr>
          <w:p w14:paraId="38975F5C"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Domači davki na blago in storitve</w:t>
            </w:r>
          </w:p>
        </w:tc>
        <w:tc>
          <w:tcPr>
            <w:tcW w:w="1942" w:type="dxa"/>
            <w:tcBorders>
              <w:top w:val="nil"/>
              <w:left w:val="nil"/>
              <w:bottom w:val="single" w:sz="4" w:space="0" w:color="auto"/>
              <w:right w:val="single" w:sz="4" w:space="0" w:color="auto"/>
            </w:tcBorders>
            <w:shd w:val="clear" w:color="000000" w:fill="DAEEF3"/>
            <w:vAlign w:val="center"/>
            <w:hideMark/>
          </w:tcPr>
          <w:p w14:paraId="2232260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147.327.530</w:t>
            </w:r>
          </w:p>
        </w:tc>
        <w:tc>
          <w:tcPr>
            <w:tcW w:w="1447" w:type="dxa"/>
            <w:tcBorders>
              <w:top w:val="nil"/>
              <w:left w:val="nil"/>
              <w:bottom w:val="single" w:sz="4" w:space="0" w:color="auto"/>
              <w:right w:val="single" w:sz="4" w:space="0" w:color="auto"/>
            </w:tcBorders>
            <w:shd w:val="clear" w:color="auto" w:fill="auto"/>
            <w:vAlign w:val="center"/>
            <w:hideMark/>
          </w:tcPr>
          <w:p w14:paraId="78EA0A66"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28,1</w:t>
            </w:r>
          </w:p>
        </w:tc>
        <w:tc>
          <w:tcPr>
            <w:tcW w:w="1557" w:type="dxa"/>
            <w:tcBorders>
              <w:top w:val="nil"/>
              <w:left w:val="nil"/>
              <w:bottom w:val="single" w:sz="4" w:space="0" w:color="auto"/>
              <w:right w:val="single" w:sz="4" w:space="0" w:color="auto"/>
            </w:tcBorders>
            <w:shd w:val="clear" w:color="000000" w:fill="DAEEF3"/>
            <w:vAlign w:val="center"/>
            <w:hideMark/>
          </w:tcPr>
          <w:p w14:paraId="459DD0CF"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50.496.487</w:t>
            </w:r>
          </w:p>
        </w:tc>
        <w:tc>
          <w:tcPr>
            <w:tcW w:w="1282" w:type="dxa"/>
            <w:tcBorders>
              <w:top w:val="nil"/>
              <w:left w:val="nil"/>
              <w:bottom w:val="single" w:sz="4" w:space="0" w:color="auto"/>
              <w:right w:val="single" w:sz="4" w:space="0" w:color="auto"/>
            </w:tcBorders>
            <w:shd w:val="clear" w:color="auto" w:fill="auto"/>
            <w:vAlign w:val="center"/>
            <w:hideMark/>
          </w:tcPr>
          <w:p w14:paraId="52606273"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30,3</w:t>
            </w:r>
          </w:p>
        </w:tc>
      </w:tr>
      <w:tr w:rsidR="00D847F2" w:rsidRPr="0099314A" w14:paraId="3AD3E438" w14:textId="77777777" w:rsidTr="00556699">
        <w:trPr>
          <w:trHeight w:val="430"/>
        </w:trPr>
        <w:tc>
          <w:tcPr>
            <w:tcW w:w="2822" w:type="dxa"/>
            <w:tcBorders>
              <w:top w:val="nil"/>
              <w:left w:val="single" w:sz="4" w:space="0" w:color="auto"/>
              <w:bottom w:val="single" w:sz="4" w:space="0" w:color="auto"/>
              <w:right w:val="single" w:sz="4" w:space="0" w:color="auto"/>
            </w:tcBorders>
            <w:shd w:val="clear" w:color="auto" w:fill="auto"/>
            <w:vAlign w:val="center"/>
            <w:hideMark/>
          </w:tcPr>
          <w:p w14:paraId="61C6A018"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Davki na dohodek in dobiček</w:t>
            </w:r>
          </w:p>
        </w:tc>
        <w:tc>
          <w:tcPr>
            <w:tcW w:w="1942" w:type="dxa"/>
            <w:tcBorders>
              <w:top w:val="nil"/>
              <w:left w:val="nil"/>
              <w:bottom w:val="single" w:sz="4" w:space="0" w:color="auto"/>
              <w:right w:val="single" w:sz="4" w:space="0" w:color="auto"/>
            </w:tcBorders>
            <w:shd w:val="clear" w:color="000000" w:fill="DAEEF3"/>
            <w:vAlign w:val="center"/>
            <w:hideMark/>
          </w:tcPr>
          <w:p w14:paraId="1BF894BC"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161.339.191</w:t>
            </w:r>
          </w:p>
        </w:tc>
        <w:tc>
          <w:tcPr>
            <w:tcW w:w="1447" w:type="dxa"/>
            <w:tcBorders>
              <w:top w:val="nil"/>
              <w:left w:val="nil"/>
              <w:bottom w:val="single" w:sz="4" w:space="0" w:color="auto"/>
              <w:right w:val="single" w:sz="4" w:space="0" w:color="auto"/>
            </w:tcBorders>
            <w:shd w:val="clear" w:color="auto" w:fill="auto"/>
            <w:vAlign w:val="center"/>
            <w:hideMark/>
          </w:tcPr>
          <w:p w14:paraId="2A6EA5DF"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30,7</w:t>
            </w:r>
          </w:p>
        </w:tc>
        <w:tc>
          <w:tcPr>
            <w:tcW w:w="1557" w:type="dxa"/>
            <w:tcBorders>
              <w:top w:val="nil"/>
              <w:left w:val="nil"/>
              <w:bottom w:val="single" w:sz="4" w:space="0" w:color="auto"/>
              <w:right w:val="single" w:sz="4" w:space="0" w:color="auto"/>
            </w:tcBorders>
            <w:shd w:val="clear" w:color="000000" w:fill="DAEEF3"/>
            <w:vAlign w:val="center"/>
            <w:hideMark/>
          </w:tcPr>
          <w:p w14:paraId="71DE30F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36.106.462</w:t>
            </w:r>
          </w:p>
        </w:tc>
        <w:tc>
          <w:tcPr>
            <w:tcW w:w="1282" w:type="dxa"/>
            <w:tcBorders>
              <w:top w:val="nil"/>
              <w:left w:val="nil"/>
              <w:bottom w:val="single" w:sz="4" w:space="0" w:color="auto"/>
              <w:right w:val="single" w:sz="4" w:space="0" w:color="auto"/>
            </w:tcBorders>
            <w:shd w:val="clear" w:color="auto" w:fill="auto"/>
            <w:vAlign w:val="center"/>
            <w:hideMark/>
          </w:tcPr>
          <w:p w14:paraId="7409E645"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21,7</w:t>
            </w:r>
          </w:p>
        </w:tc>
      </w:tr>
      <w:tr w:rsidR="00D847F2" w:rsidRPr="0099314A" w14:paraId="3AEEFC78" w14:textId="77777777" w:rsidTr="00556699">
        <w:trPr>
          <w:trHeight w:val="397"/>
        </w:trPr>
        <w:tc>
          <w:tcPr>
            <w:tcW w:w="2822" w:type="dxa"/>
            <w:tcBorders>
              <w:top w:val="nil"/>
              <w:left w:val="single" w:sz="4" w:space="0" w:color="auto"/>
              <w:bottom w:val="single" w:sz="4" w:space="0" w:color="auto"/>
              <w:right w:val="single" w:sz="4" w:space="0" w:color="auto"/>
            </w:tcBorders>
            <w:shd w:val="clear" w:color="auto" w:fill="auto"/>
            <w:vAlign w:val="center"/>
            <w:hideMark/>
          </w:tcPr>
          <w:p w14:paraId="6DE71B9F" w14:textId="77777777" w:rsidR="00D847F2" w:rsidRPr="00607A96" w:rsidRDefault="00D847F2" w:rsidP="00556699">
            <w:pPr>
              <w:spacing w:line="240" w:lineRule="auto"/>
              <w:rPr>
                <w:rFonts w:ascii="Arial" w:eastAsia="Times New Roman" w:hAnsi="Arial" w:cs="Arial"/>
                <w:sz w:val="18"/>
                <w:szCs w:val="18"/>
                <w:lang w:eastAsia="sl-SI"/>
              </w:rPr>
            </w:pPr>
            <w:r w:rsidRPr="00607A96">
              <w:rPr>
                <w:rFonts w:ascii="Arial" w:eastAsia="Times New Roman" w:hAnsi="Arial" w:cs="Arial"/>
                <w:sz w:val="18"/>
                <w:szCs w:val="18"/>
                <w:lang w:eastAsia="sl-SI"/>
              </w:rPr>
              <w:t>Davki na premoženje</w:t>
            </w:r>
          </w:p>
        </w:tc>
        <w:tc>
          <w:tcPr>
            <w:tcW w:w="1942" w:type="dxa"/>
            <w:tcBorders>
              <w:top w:val="nil"/>
              <w:left w:val="nil"/>
              <w:bottom w:val="single" w:sz="4" w:space="0" w:color="auto"/>
              <w:right w:val="single" w:sz="4" w:space="0" w:color="auto"/>
            </w:tcBorders>
            <w:shd w:val="clear" w:color="000000" w:fill="DAEEF3"/>
            <w:vAlign w:val="center"/>
            <w:hideMark/>
          </w:tcPr>
          <w:p w14:paraId="561B9673"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9.511.148</w:t>
            </w:r>
          </w:p>
        </w:tc>
        <w:tc>
          <w:tcPr>
            <w:tcW w:w="1447" w:type="dxa"/>
            <w:tcBorders>
              <w:top w:val="nil"/>
              <w:left w:val="nil"/>
              <w:bottom w:val="single" w:sz="4" w:space="0" w:color="auto"/>
              <w:right w:val="single" w:sz="4" w:space="0" w:color="auto"/>
            </w:tcBorders>
            <w:shd w:val="clear" w:color="auto" w:fill="auto"/>
            <w:vAlign w:val="center"/>
            <w:hideMark/>
          </w:tcPr>
          <w:p w14:paraId="7B67A4FF"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1,8</w:t>
            </w:r>
          </w:p>
        </w:tc>
        <w:tc>
          <w:tcPr>
            <w:tcW w:w="1557" w:type="dxa"/>
            <w:tcBorders>
              <w:top w:val="nil"/>
              <w:left w:val="nil"/>
              <w:bottom w:val="single" w:sz="4" w:space="0" w:color="auto"/>
              <w:right w:val="single" w:sz="4" w:space="0" w:color="auto"/>
            </w:tcBorders>
            <w:shd w:val="clear" w:color="000000" w:fill="DAEEF3"/>
            <w:vAlign w:val="center"/>
            <w:hideMark/>
          </w:tcPr>
          <w:p w14:paraId="5231C811"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4.852.128</w:t>
            </w:r>
          </w:p>
        </w:tc>
        <w:tc>
          <w:tcPr>
            <w:tcW w:w="1282" w:type="dxa"/>
            <w:tcBorders>
              <w:top w:val="nil"/>
              <w:left w:val="nil"/>
              <w:bottom w:val="single" w:sz="4" w:space="0" w:color="auto"/>
              <w:right w:val="single" w:sz="4" w:space="0" w:color="auto"/>
            </w:tcBorders>
            <w:shd w:val="clear" w:color="auto" w:fill="auto"/>
            <w:vAlign w:val="center"/>
            <w:hideMark/>
          </w:tcPr>
          <w:p w14:paraId="5AD510B6"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2,9</w:t>
            </w:r>
          </w:p>
        </w:tc>
      </w:tr>
      <w:tr w:rsidR="00D847F2" w:rsidRPr="0099314A" w14:paraId="40F1E0F7" w14:textId="77777777" w:rsidTr="00556699">
        <w:trPr>
          <w:trHeight w:val="397"/>
        </w:trPr>
        <w:tc>
          <w:tcPr>
            <w:tcW w:w="2822" w:type="dxa"/>
            <w:tcBorders>
              <w:top w:val="nil"/>
              <w:left w:val="single" w:sz="4" w:space="0" w:color="auto"/>
              <w:bottom w:val="single" w:sz="4" w:space="0" w:color="auto"/>
              <w:right w:val="single" w:sz="4" w:space="0" w:color="auto"/>
            </w:tcBorders>
            <w:shd w:val="clear" w:color="auto" w:fill="auto"/>
            <w:vAlign w:val="center"/>
            <w:hideMark/>
          </w:tcPr>
          <w:p w14:paraId="7D586613" w14:textId="5360728A" w:rsidR="00D847F2" w:rsidRPr="00607A96" w:rsidRDefault="00B1396B" w:rsidP="00556699">
            <w:pPr>
              <w:spacing w:line="240" w:lineRule="auto"/>
              <w:rPr>
                <w:rFonts w:ascii="Arial" w:eastAsia="Times New Roman" w:hAnsi="Arial" w:cs="Arial"/>
                <w:sz w:val="18"/>
                <w:szCs w:val="18"/>
                <w:lang w:eastAsia="sl-SI"/>
              </w:rPr>
            </w:pPr>
            <w:r>
              <w:rPr>
                <w:rFonts w:ascii="Arial" w:eastAsia="Times New Roman" w:hAnsi="Arial" w:cs="Arial"/>
                <w:sz w:val="18"/>
                <w:szCs w:val="18"/>
                <w:lang w:eastAsia="sl-SI"/>
              </w:rPr>
              <w:t>Preo</w:t>
            </w:r>
            <w:r w:rsidR="00D847F2" w:rsidRPr="00607A96">
              <w:rPr>
                <w:rFonts w:ascii="Arial" w:eastAsia="Times New Roman" w:hAnsi="Arial" w:cs="Arial"/>
                <w:sz w:val="18"/>
                <w:szCs w:val="18"/>
                <w:lang w:eastAsia="sl-SI"/>
              </w:rPr>
              <w:t>stali davki</w:t>
            </w:r>
          </w:p>
        </w:tc>
        <w:tc>
          <w:tcPr>
            <w:tcW w:w="1942" w:type="dxa"/>
            <w:tcBorders>
              <w:top w:val="nil"/>
              <w:left w:val="nil"/>
              <w:bottom w:val="single" w:sz="4" w:space="0" w:color="auto"/>
              <w:right w:val="single" w:sz="4" w:space="0" w:color="auto"/>
            </w:tcBorders>
            <w:shd w:val="clear" w:color="000000" w:fill="DAEEF3"/>
            <w:vAlign w:val="center"/>
            <w:hideMark/>
          </w:tcPr>
          <w:p w14:paraId="4350E8FA"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30.221.260</w:t>
            </w:r>
          </w:p>
        </w:tc>
        <w:tc>
          <w:tcPr>
            <w:tcW w:w="1447" w:type="dxa"/>
            <w:tcBorders>
              <w:top w:val="nil"/>
              <w:left w:val="nil"/>
              <w:bottom w:val="single" w:sz="4" w:space="0" w:color="auto"/>
              <w:right w:val="single" w:sz="4" w:space="0" w:color="auto"/>
            </w:tcBorders>
            <w:shd w:val="clear" w:color="auto" w:fill="auto"/>
            <w:vAlign w:val="center"/>
            <w:hideMark/>
          </w:tcPr>
          <w:p w14:paraId="1206A540"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5,8</w:t>
            </w:r>
          </w:p>
        </w:tc>
        <w:tc>
          <w:tcPr>
            <w:tcW w:w="1557" w:type="dxa"/>
            <w:tcBorders>
              <w:top w:val="nil"/>
              <w:left w:val="nil"/>
              <w:bottom w:val="single" w:sz="4" w:space="0" w:color="auto"/>
              <w:right w:val="single" w:sz="4" w:space="0" w:color="auto"/>
            </w:tcBorders>
            <w:shd w:val="clear" w:color="000000" w:fill="DAEEF3"/>
            <w:vAlign w:val="center"/>
            <w:hideMark/>
          </w:tcPr>
          <w:p w14:paraId="23FE4757"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6.696.873</w:t>
            </w:r>
          </w:p>
        </w:tc>
        <w:tc>
          <w:tcPr>
            <w:tcW w:w="1282" w:type="dxa"/>
            <w:tcBorders>
              <w:top w:val="nil"/>
              <w:left w:val="nil"/>
              <w:bottom w:val="single" w:sz="4" w:space="0" w:color="auto"/>
              <w:right w:val="single" w:sz="4" w:space="0" w:color="auto"/>
            </w:tcBorders>
            <w:shd w:val="clear" w:color="auto" w:fill="auto"/>
            <w:vAlign w:val="center"/>
            <w:hideMark/>
          </w:tcPr>
          <w:p w14:paraId="6D03AC32" w14:textId="77777777" w:rsidR="00D847F2" w:rsidRPr="00607A96" w:rsidRDefault="00D847F2" w:rsidP="00556699">
            <w:pPr>
              <w:spacing w:line="240" w:lineRule="auto"/>
              <w:jc w:val="right"/>
              <w:rPr>
                <w:rFonts w:ascii="Arial" w:eastAsia="Times New Roman" w:hAnsi="Arial" w:cs="Arial"/>
                <w:sz w:val="18"/>
                <w:szCs w:val="18"/>
                <w:lang w:eastAsia="sl-SI"/>
              </w:rPr>
            </w:pPr>
            <w:r w:rsidRPr="00607A96">
              <w:rPr>
                <w:rFonts w:ascii="Arial" w:eastAsia="Times New Roman" w:hAnsi="Arial" w:cs="Arial"/>
                <w:sz w:val="18"/>
                <w:szCs w:val="18"/>
                <w:lang w:eastAsia="sl-SI"/>
              </w:rPr>
              <w:t>4,0</w:t>
            </w:r>
          </w:p>
        </w:tc>
      </w:tr>
      <w:tr w:rsidR="00D847F2" w:rsidRPr="0099314A" w14:paraId="1D3C6711" w14:textId="77777777" w:rsidTr="00556699">
        <w:trPr>
          <w:trHeight w:val="512"/>
        </w:trPr>
        <w:tc>
          <w:tcPr>
            <w:tcW w:w="2822" w:type="dxa"/>
            <w:tcBorders>
              <w:top w:val="nil"/>
              <w:left w:val="single" w:sz="4" w:space="0" w:color="auto"/>
              <w:bottom w:val="single" w:sz="4" w:space="0" w:color="auto"/>
              <w:right w:val="single" w:sz="4" w:space="0" w:color="auto"/>
            </w:tcBorders>
            <w:shd w:val="clear" w:color="000000" w:fill="31849B"/>
            <w:vAlign w:val="center"/>
            <w:hideMark/>
          </w:tcPr>
          <w:p w14:paraId="1A5045AA" w14:textId="77777777" w:rsidR="00D847F2" w:rsidRPr="00607A96" w:rsidRDefault="00D847F2" w:rsidP="00556699">
            <w:pPr>
              <w:spacing w:line="240" w:lineRule="auto"/>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Skupaj</w:t>
            </w:r>
          </w:p>
        </w:tc>
        <w:tc>
          <w:tcPr>
            <w:tcW w:w="1942" w:type="dxa"/>
            <w:tcBorders>
              <w:top w:val="nil"/>
              <w:left w:val="nil"/>
              <w:bottom w:val="single" w:sz="4" w:space="0" w:color="auto"/>
              <w:right w:val="single" w:sz="4" w:space="0" w:color="auto"/>
            </w:tcBorders>
            <w:shd w:val="clear" w:color="000000" w:fill="31849B"/>
            <w:vAlign w:val="center"/>
            <w:hideMark/>
          </w:tcPr>
          <w:p w14:paraId="148D4DBF"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524.927.276</w:t>
            </w:r>
          </w:p>
        </w:tc>
        <w:tc>
          <w:tcPr>
            <w:tcW w:w="1447" w:type="dxa"/>
            <w:tcBorders>
              <w:top w:val="nil"/>
              <w:left w:val="nil"/>
              <w:bottom w:val="single" w:sz="4" w:space="0" w:color="auto"/>
              <w:right w:val="single" w:sz="4" w:space="0" w:color="auto"/>
            </w:tcBorders>
            <w:shd w:val="clear" w:color="000000" w:fill="31849B"/>
            <w:vAlign w:val="center"/>
            <w:hideMark/>
          </w:tcPr>
          <w:p w14:paraId="0BEC5AB4" w14:textId="77777777" w:rsidR="00D847F2" w:rsidRPr="00607A96" w:rsidRDefault="00D847F2" w:rsidP="00556699">
            <w:pPr>
              <w:spacing w:line="240" w:lineRule="auto"/>
              <w:jc w:val="right"/>
              <w:rPr>
                <w:rFonts w:ascii="Arial" w:eastAsia="Times New Roman" w:hAnsi="Arial" w:cs="Arial"/>
                <w:color w:val="FFFFFF"/>
                <w:sz w:val="18"/>
                <w:szCs w:val="18"/>
                <w:lang w:eastAsia="sl-SI"/>
              </w:rPr>
            </w:pPr>
            <w:r w:rsidRPr="00607A96">
              <w:rPr>
                <w:rFonts w:ascii="Arial" w:eastAsia="Times New Roman" w:hAnsi="Arial" w:cs="Arial"/>
                <w:color w:val="FFFFFF"/>
                <w:sz w:val="18"/>
                <w:szCs w:val="18"/>
                <w:lang w:eastAsia="sl-SI"/>
              </w:rPr>
              <w:t> </w:t>
            </w:r>
          </w:p>
        </w:tc>
        <w:tc>
          <w:tcPr>
            <w:tcW w:w="1557" w:type="dxa"/>
            <w:tcBorders>
              <w:top w:val="nil"/>
              <w:left w:val="nil"/>
              <w:bottom w:val="single" w:sz="4" w:space="0" w:color="auto"/>
              <w:right w:val="single" w:sz="4" w:space="0" w:color="auto"/>
            </w:tcBorders>
            <w:shd w:val="clear" w:color="000000" w:fill="31849B"/>
            <w:vAlign w:val="center"/>
            <w:hideMark/>
          </w:tcPr>
          <w:p w14:paraId="0560555B" w14:textId="77777777" w:rsidR="00D847F2" w:rsidRPr="00607A96" w:rsidRDefault="00D847F2" w:rsidP="00556699">
            <w:pPr>
              <w:spacing w:line="240" w:lineRule="auto"/>
              <w:jc w:val="right"/>
              <w:rPr>
                <w:rFonts w:ascii="Arial" w:eastAsia="Times New Roman" w:hAnsi="Arial" w:cs="Arial"/>
                <w:b/>
                <w:bCs/>
                <w:color w:val="FFFFFF"/>
                <w:sz w:val="18"/>
                <w:szCs w:val="18"/>
                <w:lang w:eastAsia="sl-SI"/>
              </w:rPr>
            </w:pPr>
            <w:r w:rsidRPr="00607A96">
              <w:rPr>
                <w:rFonts w:ascii="Arial" w:eastAsia="Times New Roman" w:hAnsi="Arial" w:cs="Arial"/>
                <w:b/>
                <w:bCs/>
                <w:color w:val="FFFFFF"/>
                <w:sz w:val="18"/>
                <w:szCs w:val="18"/>
                <w:lang w:eastAsia="sl-SI"/>
              </w:rPr>
              <w:t>166.611.402</w:t>
            </w:r>
          </w:p>
        </w:tc>
        <w:tc>
          <w:tcPr>
            <w:tcW w:w="1282" w:type="dxa"/>
            <w:tcBorders>
              <w:top w:val="nil"/>
              <w:left w:val="nil"/>
              <w:bottom w:val="single" w:sz="4" w:space="0" w:color="auto"/>
              <w:right w:val="single" w:sz="4" w:space="0" w:color="auto"/>
            </w:tcBorders>
            <w:shd w:val="clear" w:color="000000" w:fill="31849B"/>
            <w:vAlign w:val="center"/>
            <w:hideMark/>
          </w:tcPr>
          <w:p w14:paraId="5BB72CBE" w14:textId="77777777" w:rsidR="00D847F2" w:rsidRPr="00607A96" w:rsidRDefault="00D847F2" w:rsidP="00556699">
            <w:pPr>
              <w:spacing w:line="240" w:lineRule="auto"/>
              <w:jc w:val="right"/>
              <w:rPr>
                <w:rFonts w:ascii="Arial" w:eastAsia="Times New Roman" w:hAnsi="Arial" w:cs="Arial"/>
                <w:color w:val="FFFFFF"/>
                <w:sz w:val="18"/>
                <w:szCs w:val="18"/>
                <w:lang w:eastAsia="sl-SI"/>
              </w:rPr>
            </w:pPr>
            <w:r w:rsidRPr="00607A96">
              <w:rPr>
                <w:rFonts w:ascii="Arial" w:eastAsia="Times New Roman" w:hAnsi="Arial" w:cs="Arial"/>
                <w:color w:val="FFFFFF"/>
                <w:sz w:val="18"/>
                <w:szCs w:val="18"/>
                <w:lang w:eastAsia="sl-SI"/>
              </w:rPr>
              <w:t> </w:t>
            </w:r>
          </w:p>
        </w:tc>
      </w:tr>
    </w:tbl>
    <w:p w14:paraId="314ABC30" w14:textId="343FDED2" w:rsidR="00D847F2" w:rsidRPr="00534703" w:rsidRDefault="00D847F2" w:rsidP="00D847F2">
      <w:pPr>
        <w:rPr>
          <w:rFonts w:ascii="Arial" w:hAnsi="Arial" w:cs="Arial"/>
          <w:i/>
          <w:sz w:val="20"/>
          <w:szCs w:val="20"/>
        </w:rPr>
      </w:pPr>
      <w:r w:rsidRPr="00534703">
        <w:rPr>
          <w:rFonts w:ascii="Arial" w:hAnsi="Arial" w:cs="Arial"/>
          <w:i/>
          <w:sz w:val="20"/>
          <w:szCs w:val="20"/>
        </w:rPr>
        <w:lastRenderedPageBreak/>
        <w:t>Vir: FURS</w:t>
      </w:r>
      <w:r w:rsidR="00B1396B">
        <w:rPr>
          <w:rFonts w:ascii="Arial" w:hAnsi="Arial" w:cs="Arial"/>
          <w:i/>
          <w:sz w:val="20"/>
          <w:szCs w:val="20"/>
        </w:rPr>
        <w:t xml:space="preserve">. </w:t>
      </w:r>
    </w:p>
    <w:p w14:paraId="1B223C15" w14:textId="77777777" w:rsidR="00D847F2" w:rsidRDefault="00D847F2" w:rsidP="00D847F2">
      <w:pPr>
        <w:jc w:val="both"/>
        <w:rPr>
          <w:rFonts w:ascii="Arial" w:eastAsia="Times New Roman" w:hAnsi="Arial" w:cs="Arial"/>
          <w:b/>
          <w:sz w:val="20"/>
          <w:szCs w:val="20"/>
          <w:lang w:eastAsia="sl-SI"/>
        </w:rPr>
      </w:pPr>
      <w:r w:rsidRPr="0094063C">
        <w:rPr>
          <w:rFonts w:ascii="Arial" w:eastAsia="Times New Roman" w:hAnsi="Arial" w:cs="Arial"/>
          <w:b/>
          <w:sz w:val="20"/>
          <w:szCs w:val="20"/>
          <w:lang w:eastAsia="sl-SI"/>
        </w:rPr>
        <w:t>Izvršba na dolžnikove premičnine</w:t>
      </w:r>
    </w:p>
    <w:p w14:paraId="0B679F6A" w14:textId="2CCE86C8" w:rsidR="00D847F2" w:rsidRPr="004A5FDC" w:rsidRDefault="00D847F2" w:rsidP="00D847F2">
      <w:pPr>
        <w:jc w:val="both"/>
        <w:rPr>
          <w:rFonts w:ascii="Arial" w:eastAsia="Times New Roman" w:hAnsi="Arial" w:cs="Arial"/>
          <w:sz w:val="20"/>
          <w:szCs w:val="20"/>
          <w:lang w:eastAsia="sl-SI"/>
        </w:rPr>
      </w:pPr>
      <w:r w:rsidRPr="004A5FDC">
        <w:rPr>
          <w:rFonts w:ascii="Arial" w:eastAsia="Times New Roman" w:hAnsi="Arial" w:cs="Arial"/>
          <w:sz w:val="20"/>
          <w:szCs w:val="20"/>
          <w:lang w:eastAsia="sl-SI"/>
        </w:rPr>
        <w:t>V letu 2022 je bilo v postopkih davčne izvršbe zarubljenih 2.852 premičnin, ocenjenih na 11.566.581</w:t>
      </w:r>
      <w:r w:rsidR="00527930" w:rsidRPr="004A5FDC">
        <w:rPr>
          <w:rFonts w:ascii="Arial" w:eastAsia="Times New Roman" w:hAnsi="Arial" w:cs="Arial"/>
          <w:sz w:val="20"/>
          <w:szCs w:val="20"/>
          <w:lang w:eastAsia="sl-SI"/>
        </w:rPr>
        <w:t> EUR</w:t>
      </w:r>
      <w:r w:rsidRPr="004A5FDC">
        <w:rPr>
          <w:rFonts w:ascii="Arial" w:eastAsia="Times New Roman" w:hAnsi="Arial" w:cs="Arial"/>
          <w:sz w:val="20"/>
          <w:szCs w:val="20"/>
          <w:lang w:eastAsia="sl-SI"/>
        </w:rPr>
        <w:t xml:space="preserve">. Največ je bilo rubežev gotovine, in sicer 1.156 (40,5 </w:t>
      </w:r>
      <w:r>
        <w:rPr>
          <w:rFonts w:ascii="Arial" w:eastAsia="Times New Roman" w:hAnsi="Arial" w:cs="Arial"/>
          <w:sz w:val="20"/>
          <w:szCs w:val="20"/>
          <w:lang w:eastAsia="sl-SI"/>
        </w:rPr>
        <w:t>odstotka</w:t>
      </w:r>
      <w:r w:rsidRPr="004A5FDC">
        <w:rPr>
          <w:rFonts w:ascii="Arial" w:eastAsia="Times New Roman" w:hAnsi="Arial" w:cs="Arial"/>
          <w:sz w:val="20"/>
          <w:szCs w:val="20"/>
          <w:lang w:eastAsia="sl-SI"/>
        </w:rPr>
        <w:t xml:space="preserve">) in motornih vozil 1.138 (39,9 </w:t>
      </w:r>
      <w:r>
        <w:rPr>
          <w:rFonts w:ascii="Arial" w:eastAsia="Times New Roman" w:hAnsi="Arial" w:cs="Arial"/>
          <w:sz w:val="20"/>
          <w:szCs w:val="20"/>
          <w:lang w:eastAsia="sl-SI"/>
        </w:rPr>
        <w:t>odstotka</w:t>
      </w:r>
      <w:r w:rsidRPr="004A5FDC">
        <w:rPr>
          <w:rFonts w:ascii="Arial" w:eastAsia="Times New Roman" w:hAnsi="Arial" w:cs="Arial"/>
          <w:sz w:val="20"/>
          <w:szCs w:val="20"/>
          <w:lang w:eastAsia="sl-SI"/>
        </w:rPr>
        <w:t xml:space="preserve">). Osnovna sredstva so bila zarubljena v 432 primerih (15,1 </w:t>
      </w:r>
      <w:r>
        <w:rPr>
          <w:rFonts w:ascii="Arial" w:eastAsia="Times New Roman" w:hAnsi="Arial" w:cs="Arial"/>
          <w:sz w:val="20"/>
          <w:szCs w:val="20"/>
          <w:lang w:eastAsia="sl-SI"/>
        </w:rPr>
        <w:t>odstotek</w:t>
      </w:r>
      <w:r w:rsidRPr="004A5FDC">
        <w:rPr>
          <w:rFonts w:ascii="Arial" w:eastAsia="Times New Roman" w:hAnsi="Arial" w:cs="Arial"/>
          <w:sz w:val="20"/>
          <w:szCs w:val="20"/>
          <w:lang w:eastAsia="sl-SI"/>
        </w:rPr>
        <w:t xml:space="preserve">), 99 (3,5 </w:t>
      </w:r>
      <w:r>
        <w:rPr>
          <w:rFonts w:ascii="Arial" w:eastAsia="Times New Roman" w:hAnsi="Arial" w:cs="Arial"/>
          <w:sz w:val="20"/>
          <w:szCs w:val="20"/>
          <w:lang w:eastAsia="sl-SI"/>
        </w:rPr>
        <w:t>odstotka</w:t>
      </w:r>
      <w:r w:rsidRPr="004A5FDC">
        <w:rPr>
          <w:rFonts w:ascii="Arial" w:eastAsia="Times New Roman" w:hAnsi="Arial" w:cs="Arial"/>
          <w:sz w:val="20"/>
          <w:szCs w:val="20"/>
          <w:lang w:eastAsia="sl-SI"/>
        </w:rPr>
        <w:t xml:space="preserve">) je bilo rubežev trgovskega blaga, 27 (1 </w:t>
      </w:r>
      <w:r>
        <w:rPr>
          <w:rFonts w:ascii="Arial" w:eastAsia="Times New Roman" w:hAnsi="Arial" w:cs="Arial"/>
          <w:sz w:val="20"/>
          <w:szCs w:val="20"/>
          <w:lang w:eastAsia="sl-SI"/>
        </w:rPr>
        <w:t>odstotek</w:t>
      </w:r>
      <w:r w:rsidRPr="004A5FDC">
        <w:rPr>
          <w:rFonts w:ascii="Arial" w:eastAsia="Times New Roman" w:hAnsi="Arial" w:cs="Arial"/>
          <w:sz w:val="20"/>
          <w:szCs w:val="20"/>
          <w:lang w:eastAsia="sl-SI"/>
        </w:rPr>
        <w:t xml:space="preserve">) pa rubežev drugih premičnin. Vrednostni papirji v letu 2022 niso bili zarubljeni. </w:t>
      </w:r>
    </w:p>
    <w:p w14:paraId="215B5850" w14:textId="3C5509A0" w:rsidR="00D847F2" w:rsidRDefault="00D847F2" w:rsidP="00D847F2">
      <w:pPr>
        <w:jc w:val="both"/>
        <w:rPr>
          <w:rFonts w:ascii="Arial" w:eastAsia="Times New Roman" w:hAnsi="Arial" w:cs="Arial"/>
          <w:sz w:val="20"/>
          <w:szCs w:val="20"/>
          <w:lang w:eastAsia="sl-SI"/>
        </w:rPr>
      </w:pPr>
      <w:r w:rsidRPr="004A5FDC">
        <w:rPr>
          <w:rFonts w:ascii="Arial" w:eastAsia="Times New Roman" w:hAnsi="Arial" w:cs="Arial"/>
          <w:sz w:val="20"/>
          <w:szCs w:val="20"/>
          <w:lang w:eastAsia="sl-SI"/>
        </w:rPr>
        <w:t xml:space="preserve">Pri izvedbi rubežev gotovine davčni organ </w:t>
      </w:r>
      <w:r w:rsidR="006977F6">
        <w:rPr>
          <w:rFonts w:ascii="Arial" w:eastAsia="Times New Roman" w:hAnsi="Arial" w:cs="Arial"/>
          <w:sz w:val="20"/>
          <w:szCs w:val="20"/>
          <w:lang w:eastAsia="sl-SI"/>
        </w:rPr>
        <w:t xml:space="preserve">uporablja </w:t>
      </w:r>
      <w:r w:rsidRPr="004A5FDC">
        <w:rPr>
          <w:rFonts w:ascii="Arial" w:eastAsia="Times New Roman" w:hAnsi="Arial" w:cs="Arial"/>
          <w:sz w:val="20"/>
          <w:szCs w:val="20"/>
          <w:lang w:eastAsia="sl-SI"/>
        </w:rPr>
        <w:t>tudi podatk</w:t>
      </w:r>
      <w:r w:rsidR="00B1396B">
        <w:rPr>
          <w:rFonts w:ascii="Arial" w:eastAsia="Times New Roman" w:hAnsi="Arial" w:cs="Arial"/>
          <w:sz w:val="20"/>
          <w:szCs w:val="20"/>
          <w:lang w:eastAsia="sl-SI"/>
        </w:rPr>
        <w:t>e</w:t>
      </w:r>
      <w:r w:rsidRPr="004A5FDC">
        <w:rPr>
          <w:rFonts w:ascii="Arial" w:eastAsia="Times New Roman" w:hAnsi="Arial" w:cs="Arial"/>
          <w:sz w:val="20"/>
          <w:szCs w:val="20"/>
          <w:lang w:eastAsia="sl-SI"/>
        </w:rPr>
        <w:t xml:space="preserve"> o izdanih računih iz davčnih blagajn.</w:t>
      </w:r>
    </w:p>
    <w:p w14:paraId="4857AE62" w14:textId="77777777" w:rsidR="00D847F2" w:rsidRDefault="00D847F2" w:rsidP="00D847F2">
      <w:pPr>
        <w:jc w:val="both"/>
        <w:rPr>
          <w:rFonts w:ascii="Arial" w:eastAsia="Times New Roman" w:hAnsi="Arial" w:cs="Arial"/>
          <w:i/>
          <w:sz w:val="20"/>
          <w:szCs w:val="20"/>
          <w:lang w:eastAsia="sl-SI"/>
        </w:rPr>
      </w:pPr>
      <w:r w:rsidRPr="00087025">
        <w:rPr>
          <w:rFonts w:ascii="Arial" w:eastAsia="Times New Roman" w:hAnsi="Arial" w:cs="Arial"/>
          <w:i/>
          <w:sz w:val="20"/>
          <w:szCs w:val="20"/>
          <w:lang w:eastAsia="sl-SI"/>
        </w:rPr>
        <w:t>Slika</w:t>
      </w:r>
      <w:r>
        <w:rPr>
          <w:rFonts w:ascii="Arial" w:eastAsia="Times New Roman" w:hAnsi="Arial" w:cs="Arial"/>
          <w:i/>
          <w:sz w:val="20"/>
          <w:szCs w:val="20"/>
          <w:lang w:eastAsia="sl-SI"/>
        </w:rPr>
        <w:t xml:space="preserve"> 9:</w:t>
      </w:r>
      <w:r w:rsidRPr="00087025">
        <w:rPr>
          <w:rFonts w:ascii="Arial" w:eastAsia="Times New Roman" w:hAnsi="Arial" w:cs="Arial"/>
          <w:i/>
          <w:sz w:val="20"/>
          <w:szCs w:val="20"/>
          <w:lang w:eastAsia="sl-SI"/>
        </w:rPr>
        <w:t xml:space="preserve"> Število zarubljenih premičnin po vrstah zarubljenih predmetov v letu 20</w:t>
      </w:r>
      <w:r>
        <w:rPr>
          <w:rFonts w:ascii="Arial" w:eastAsia="Times New Roman" w:hAnsi="Arial" w:cs="Arial"/>
          <w:i/>
          <w:sz w:val="20"/>
          <w:szCs w:val="20"/>
          <w:lang w:eastAsia="sl-SI"/>
        </w:rPr>
        <w:t>22</w:t>
      </w:r>
    </w:p>
    <w:p w14:paraId="66C9BDB7" w14:textId="77777777" w:rsidR="00D847F2" w:rsidRDefault="00D847F2" w:rsidP="00D847F2">
      <w:pPr>
        <w:jc w:val="both"/>
        <w:rPr>
          <w:rFonts w:ascii="Arial" w:eastAsia="Times New Roman" w:hAnsi="Arial" w:cs="Arial"/>
          <w:i/>
          <w:sz w:val="20"/>
          <w:szCs w:val="20"/>
          <w:lang w:eastAsia="sl-SI"/>
        </w:rPr>
      </w:pPr>
      <w:r w:rsidRPr="0099314A">
        <w:rPr>
          <w:noProof/>
          <w:lang w:eastAsia="sl-SI"/>
        </w:rPr>
        <w:drawing>
          <wp:inline distT="0" distB="0" distL="0" distR="0" wp14:anchorId="67C05C6E" wp14:editId="3CEFF0A5">
            <wp:extent cx="4610100" cy="3055620"/>
            <wp:effectExtent l="0" t="0" r="0" b="0"/>
            <wp:docPr id="29" name="Grafikon 29">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8006B2" w14:textId="008B5DC7" w:rsidR="00D847F2" w:rsidRPr="00087025" w:rsidRDefault="00D847F2" w:rsidP="00D847F2">
      <w:pPr>
        <w:jc w:val="both"/>
        <w:rPr>
          <w:rFonts w:ascii="Arial" w:hAnsi="Arial" w:cs="Arial"/>
          <w:i/>
          <w:sz w:val="20"/>
          <w:szCs w:val="20"/>
        </w:rPr>
      </w:pPr>
      <w:r w:rsidRPr="00087025">
        <w:rPr>
          <w:rFonts w:ascii="Arial" w:hAnsi="Arial" w:cs="Arial"/>
          <w:i/>
          <w:sz w:val="20"/>
          <w:szCs w:val="20"/>
        </w:rPr>
        <w:t>Vir: FURS</w:t>
      </w:r>
      <w:r w:rsidR="00B1396B">
        <w:rPr>
          <w:rFonts w:ascii="Arial" w:hAnsi="Arial" w:cs="Arial"/>
          <w:i/>
          <w:sz w:val="20"/>
          <w:szCs w:val="20"/>
        </w:rPr>
        <w:t xml:space="preserve">. </w:t>
      </w:r>
    </w:p>
    <w:p w14:paraId="1E8DC61D" w14:textId="0D8EA1CB" w:rsidR="00D847F2" w:rsidRDefault="00D847F2" w:rsidP="00D847F2">
      <w:pPr>
        <w:pStyle w:val="FURSNavaden"/>
        <w:spacing w:line="260" w:lineRule="exact"/>
        <w:rPr>
          <w:lang w:eastAsia="en-US"/>
        </w:rPr>
      </w:pPr>
      <w:r>
        <w:rPr>
          <w:lang w:eastAsia="en-US"/>
        </w:rPr>
        <w:t>Po začetku postopka davčne izvršbe na premičnine je v izogib prisilne prodaje zarubljenih premičnin 18.105 dolžnikov poravnalo svoj dolg v znesku 28.538.817</w:t>
      </w:r>
      <w:r w:rsidR="00527930">
        <w:rPr>
          <w:lang w:eastAsia="en-US"/>
        </w:rPr>
        <w:t> EUR</w:t>
      </w:r>
      <w:r>
        <w:rPr>
          <w:lang w:eastAsia="en-US"/>
        </w:rPr>
        <w:t>. Zarubljene predmete, ocenjene na 3.324.007</w:t>
      </w:r>
      <w:r w:rsidR="00527930">
        <w:rPr>
          <w:lang w:eastAsia="en-US"/>
        </w:rPr>
        <w:t> EUR</w:t>
      </w:r>
      <w:r>
        <w:rPr>
          <w:lang w:eastAsia="en-US"/>
        </w:rPr>
        <w:t>, je FURS prodajal na javnih dražbah, z zbiranjem ponudb, z neposrednimi pogodbami, komisijskimi pogodbami ali tako, da je bilo dolžnikom dano pooblastilo, da zarubljene premičnine prodajo sami. S prodajami zarubljenih premičnin je bil poravnan dolg v višini 509.639</w:t>
      </w:r>
      <w:r w:rsidR="00527930">
        <w:rPr>
          <w:lang w:eastAsia="en-US"/>
        </w:rPr>
        <w:t> EUR</w:t>
      </w:r>
      <w:r>
        <w:rPr>
          <w:lang w:eastAsia="en-US"/>
        </w:rPr>
        <w:t>.</w:t>
      </w:r>
    </w:p>
    <w:p w14:paraId="3FF60C25" w14:textId="77777777" w:rsidR="00D847F2" w:rsidRDefault="00D847F2" w:rsidP="00D847F2">
      <w:pPr>
        <w:pStyle w:val="FURSNavaden"/>
        <w:spacing w:line="260" w:lineRule="exact"/>
        <w:rPr>
          <w:lang w:eastAsia="en-US"/>
        </w:rPr>
      </w:pPr>
    </w:p>
    <w:p w14:paraId="5D3CB777" w14:textId="4E1384D7" w:rsidR="00D847F2" w:rsidRDefault="00D847F2" w:rsidP="00D847F2">
      <w:pPr>
        <w:pStyle w:val="FURSNavaden"/>
        <w:spacing w:line="260" w:lineRule="exact"/>
        <w:rPr>
          <w:lang w:eastAsia="en-US"/>
        </w:rPr>
      </w:pPr>
      <w:r>
        <w:rPr>
          <w:lang w:eastAsia="en-US"/>
        </w:rPr>
        <w:t>V največ primerih (303) je dolžnik po pooblastilu sam prodajal zarubljene premičnine. To premoženje je bilo ocenjeno na 2.745.244</w:t>
      </w:r>
      <w:r w:rsidR="00527930">
        <w:rPr>
          <w:lang w:eastAsia="en-US"/>
        </w:rPr>
        <w:t> EUR</w:t>
      </w:r>
      <w:r>
        <w:rPr>
          <w:lang w:eastAsia="en-US"/>
        </w:rPr>
        <w:t>. V 113 primerih je bila prodaja uspešna in iz tega naslova dosežena kupnina v višini 365.194</w:t>
      </w:r>
      <w:r w:rsidR="00527930">
        <w:rPr>
          <w:lang w:eastAsia="en-US"/>
        </w:rPr>
        <w:t> EUR</w:t>
      </w:r>
      <w:r>
        <w:rPr>
          <w:lang w:eastAsia="en-US"/>
        </w:rPr>
        <w:t xml:space="preserve">. </w:t>
      </w:r>
    </w:p>
    <w:p w14:paraId="7D5729C4" w14:textId="77777777" w:rsidR="00D847F2" w:rsidRDefault="00D847F2" w:rsidP="00D847F2">
      <w:pPr>
        <w:pStyle w:val="FURSNavaden"/>
        <w:spacing w:line="260" w:lineRule="exact"/>
        <w:rPr>
          <w:lang w:eastAsia="en-US"/>
        </w:rPr>
      </w:pPr>
    </w:p>
    <w:p w14:paraId="13EA46BB" w14:textId="2345CF30" w:rsidR="00D847F2" w:rsidRDefault="00D847F2" w:rsidP="00D847F2">
      <w:pPr>
        <w:pStyle w:val="FURSNavaden"/>
        <w:spacing w:line="260" w:lineRule="exact"/>
        <w:rPr>
          <w:lang w:eastAsia="en-US"/>
        </w:rPr>
      </w:pPr>
      <w:r>
        <w:rPr>
          <w:lang w:eastAsia="en-US"/>
        </w:rPr>
        <w:t>Preostale prodaje zarubljenega blaga izvaja FURS.</w:t>
      </w:r>
      <w:r w:rsidR="002D1E9E">
        <w:rPr>
          <w:lang w:eastAsia="en-US"/>
        </w:rPr>
        <w:t xml:space="preserve"> </w:t>
      </w:r>
    </w:p>
    <w:p w14:paraId="1DA83799" w14:textId="77777777" w:rsidR="00D847F2" w:rsidRDefault="00D847F2" w:rsidP="00D847F2">
      <w:pPr>
        <w:pStyle w:val="FURSNavaden"/>
        <w:spacing w:line="260" w:lineRule="exact"/>
        <w:rPr>
          <w:lang w:eastAsia="en-US"/>
        </w:rPr>
      </w:pPr>
    </w:p>
    <w:p w14:paraId="59699CE1" w14:textId="3E2C89E0" w:rsidR="00D847F2" w:rsidRDefault="00D847F2" w:rsidP="00D847F2">
      <w:pPr>
        <w:pStyle w:val="FURSNavaden"/>
        <w:spacing w:line="260" w:lineRule="exact"/>
        <w:rPr>
          <w:lang w:eastAsia="en-US"/>
        </w:rPr>
      </w:pPr>
      <w:r>
        <w:rPr>
          <w:lang w:eastAsia="en-US"/>
        </w:rPr>
        <w:t xml:space="preserve">V maju 2022 je FURS začel izvajati tudi prodaje premičnin prek spletnih javnih dražb na portalu </w:t>
      </w:r>
      <w:proofErr w:type="spellStart"/>
      <w:r>
        <w:rPr>
          <w:lang w:eastAsia="en-US"/>
        </w:rPr>
        <w:t>eDRAZBE</w:t>
      </w:r>
      <w:proofErr w:type="spellEnd"/>
      <w:r>
        <w:rPr>
          <w:lang w:eastAsia="en-US"/>
        </w:rPr>
        <w:t xml:space="preserve"> FURS. Na tem portalu se objavljajo prodaje zarubljenega in </w:t>
      </w:r>
      <w:r w:rsidR="00B1396B">
        <w:rPr>
          <w:lang w:eastAsia="en-US"/>
        </w:rPr>
        <w:t>pre</w:t>
      </w:r>
      <w:r>
        <w:rPr>
          <w:lang w:eastAsia="en-US"/>
        </w:rPr>
        <w:t>ostalega blaga v upravljanju FURS, hkrati pa se prek tega portala izvajajo elektronske oziroma spletne javne dražbe. Spletna javna dražba je nov način prodaje, ki doslej v davčnem postopku ni obstajal. Z omenjenim načinom se zagotavlja sodobnejš</w:t>
      </w:r>
      <w:r w:rsidR="002D1E9E">
        <w:rPr>
          <w:lang w:eastAsia="en-US"/>
        </w:rPr>
        <w:t>e</w:t>
      </w:r>
      <w:r>
        <w:rPr>
          <w:lang w:eastAsia="en-US"/>
        </w:rPr>
        <w:t xml:space="preserve"> izvajanj</w:t>
      </w:r>
      <w:r w:rsidR="002D1E9E">
        <w:rPr>
          <w:lang w:eastAsia="en-US"/>
        </w:rPr>
        <w:t>e</w:t>
      </w:r>
      <w:r>
        <w:rPr>
          <w:lang w:eastAsia="en-US"/>
        </w:rPr>
        <w:t xml:space="preserve"> prodaj, ki zmanjšuje možnost dogovarjanja potencialnih</w:t>
      </w:r>
      <w:r w:rsidR="002D1E9E">
        <w:rPr>
          <w:lang w:eastAsia="en-US"/>
        </w:rPr>
        <w:t xml:space="preserve"> </w:t>
      </w:r>
      <w:r>
        <w:rPr>
          <w:lang w:eastAsia="en-US"/>
        </w:rPr>
        <w:t>kupcev, ki je sicer mogoče pri »klasičnih« javnih dražbah, hkrati pa ta način prodaje omogoča širši krog potencialnih kupcev z območja Slovenije in tujine (</w:t>
      </w:r>
      <w:r w:rsidR="00150EBA">
        <w:rPr>
          <w:lang w:eastAsia="en-US"/>
        </w:rPr>
        <w:t>če</w:t>
      </w:r>
      <w:r>
        <w:rPr>
          <w:lang w:eastAsia="en-US"/>
        </w:rPr>
        <w:t xml:space="preserve"> gre za prodajo premičnin manjših vrednosti, se namreč </w:t>
      </w:r>
      <w:r>
        <w:rPr>
          <w:lang w:eastAsia="en-US"/>
        </w:rPr>
        <w:lastRenderedPageBreak/>
        <w:t xml:space="preserve">potencialnim kupcem doslej pogosto ni izplačalo udeležiti javne dražbe v bolj oddaljenem kraju, saj so stroški udeležbe na javni dražbi dosegli ali celo presegali kupnino). Vse navedeno povečuje učinkovitost prodaj. Od vzpostavitve portala </w:t>
      </w:r>
      <w:proofErr w:type="spellStart"/>
      <w:r>
        <w:rPr>
          <w:lang w:eastAsia="en-US"/>
        </w:rPr>
        <w:t>eDražbe</w:t>
      </w:r>
      <w:proofErr w:type="spellEnd"/>
      <w:r>
        <w:rPr>
          <w:lang w:eastAsia="en-US"/>
        </w:rPr>
        <w:t xml:space="preserve"> </w:t>
      </w:r>
      <w:r w:rsidR="002D1E9E">
        <w:rPr>
          <w:lang w:eastAsia="en-US"/>
        </w:rPr>
        <w:t xml:space="preserve">naprej </w:t>
      </w:r>
      <w:r>
        <w:rPr>
          <w:lang w:eastAsia="en-US"/>
        </w:rPr>
        <w:t>je bilo tako na portalu objavljenih skupaj 469 prodaj, od tega največ, 455</w:t>
      </w:r>
      <w:r w:rsidR="002D1E9E">
        <w:rPr>
          <w:lang w:eastAsia="en-US"/>
        </w:rPr>
        <w:t>,</w:t>
      </w:r>
      <w:r>
        <w:rPr>
          <w:lang w:eastAsia="en-US"/>
        </w:rPr>
        <w:t xml:space="preserve"> za spletne javne dražbe. Večina objavljenih in izvedenih prodaj je bila za </w:t>
      </w:r>
      <w:r w:rsidR="002D1E9E">
        <w:rPr>
          <w:lang w:eastAsia="en-US"/>
        </w:rPr>
        <w:t>pre</w:t>
      </w:r>
      <w:r>
        <w:rPr>
          <w:lang w:eastAsia="en-US"/>
        </w:rPr>
        <w:t xml:space="preserve">ostalo blago v upravljanju FURS (gre za blago, ki je zaseženo, začasno ali dokončno odvzeto v carinskih, trošarinskih, </w:t>
      </w:r>
      <w:proofErr w:type="spellStart"/>
      <w:r>
        <w:rPr>
          <w:lang w:eastAsia="en-US"/>
        </w:rPr>
        <w:t>prekrškovnih</w:t>
      </w:r>
      <w:proofErr w:type="spellEnd"/>
      <w:r>
        <w:rPr>
          <w:lang w:eastAsia="en-US"/>
        </w:rPr>
        <w:t xml:space="preserve"> postopkih (lastnih postopkih FURS) ali </w:t>
      </w:r>
      <w:r w:rsidR="002D1E9E">
        <w:rPr>
          <w:lang w:eastAsia="en-US"/>
        </w:rPr>
        <w:t xml:space="preserve">ga </w:t>
      </w:r>
      <w:r>
        <w:rPr>
          <w:lang w:eastAsia="en-US"/>
        </w:rPr>
        <w:t>preda</w:t>
      </w:r>
      <w:r w:rsidR="002D1E9E">
        <w:rPr>
          <w:lang w:eastAsia="en-US"/>
        </w:rPr>
        <w:t>j</w:t>
      </w:r>
      <w:r>
        <w:rPr>
          <w:lang w:eastAsia="en-US"/>
        </w:rPr>
        <w:t>o v prodajo drugi državni organ</w:t>
      </w:r>
      <w:r w:rsidR="002D1E9E">
        <w:rPr>
          <w:lang w:eastAsia="en-US"/>
        </w:rPr>
        <w:t>i</w:t>
      </w:r>
      <w:r>
        <w:rPr>
          <w:lang w:eastAsia="en-US"/>
        </w:rPr>
        <w:t xml:space="preserve">, ki premičnine zasežejo ali odvzamejo v </w:t>
      </w:r>
      <w:proofErr w:type="spellStart"/>
      <w:r>
        <w:rPr>
          <w:lang w:eastAsia="en-US"/>
        </w:rPr>
        <w:t>prekrškovnih</w:t>
      </w:r>
      <w:proofErr w:type="spellEnd"/>
      <w:r>
        <w:rPr>
          <w:lang w:eastAsia="en-US"/>
        </w:rPr>
        <w:t xml:space="preserve"> postopkih </w:t>
      </w:r>
      <w:r w:rsidR="002D1E9E">
        <w:rPr>
          <w:lang w:eastAsia="en-US"/>
        </w:rPr>
        <w:t>(</w:t>
      </w:r>
      <w:r>
        <w:rPr>
          <w:lang w:eastAsia="en-US"/>
        </w:rPr>
        <w:t xml:space="preserve">v postopkih odvzema premoženja nezakonitega izvora so izročene kot najdeni predmeti). </w:t>
      </w:r>
    </w:p>
    <w:p w14:paraId="43B45BB3" w14:textId="77777777" w:rsidR="00D847F2" w:rsidRDefault="00D847F2" w:rsidP="00D847F2">
      <w:pPr>
        <w:pStyle w:val="FURSNavaden"/>
        <w:spacing w:line="260" w:lineRule="exact"/>
        <w:rPr>
          <w:lang w:eastAsia="en-US"/>
        </w:rPr>
      </w:pPr>
    </w:p>
    <w:p w14:paraId="792EB472" w14:textId="51EEBD43" w:rsidR="00D847F2" w:rsidRDefault="00D847F2" w:rsidP="00D847F2">
      <w:pPr>
        <w:pStyle w:val="FURSNavaden"/>
        <w:spacing w:line="260" w:lineRule="exact"/>
        <w:rPr>
          <w:lang w:eastAsia="en-US"/>
        </w:rPr>
      </w:pPr>
      <w:r>
        <w:rPr>
          <w:lang w:eastAsia="en-US"/>
        </w:rPr>
        <w:t>Za prodajo zarubljenega premoženja je bilo v letu 2022 izvedenih 87 javnih dražb. Od tega je bilo 33 klasičnih ter 54 spletnih javnih dražb. Premičnine, ki so bile predmet prodaje na »klasičnih« javnih dražbah</w:t>
      </w:r>
      <w:r w:rsidR="00573B24">
        <w:rPr>
          <w:lang w:eastAsia="en-US"/>
        </w:rPr>
        <w:t>,</w:t>
      </w:r>
      <w:r>
        <w:rPr>
          <w:lang w:eastAsia="en-US"/>
        </w:rPr>
        <w:t xml:space="preserve"> so bile ocenjene na 111.568</w:t>
      </w:r>
      <w:r w:rsidR="00527930">
        <w:rPr>
          <w:lang w:eastAsia="en-US"/>
        </w:rPr>
        <w:t> EUR</w:t>
      </w:r>
      <w:r>
        <w:rPr>
          <w:lang w:eastAsia="en-US"/>
        </w:rPr>
        <w:t xml:space="preserve">. Uspešne so bile </w:t>
      </w:r>
      <w:r w:rsidR="00573B24">
        <w:rPr>
          <w:lang w:eastAsia="en-US"/>
        </w:rPr>
        <w:t>tri</w:t>
      </w:r>
      <w:r>
        <w:rPr>
          <w:lang w:eastAsia="en-US"/>
        </w:rPr>
        <w:t xml:space="preserve"> dražbe, katerih izkupiček je znašal 3.542</w:t>
      </w:r>
      <w:r w:rsidR="00527930">
        <w:rPr>
          <w:lang w:eastAsia="en-US"/>
        </w:rPr>
        <w:t> EUR</w:t>
      </w:r>
      <w:r>
        <w:rPr>
          <w:lang w:eastAsia="en-US"/>
        </w:rPr>
        <w:t xml:space="preserve">. Prek portala </w:t>
      </w:r>
      <w:proofErr w:type="spellStart"/>
      <w:r>
        <w:rPr>
          <w:lang w:eastAsia="en-US"/>
        </w:rPr>
        <w:t>eDražbe</w:t>
      </w:r>
      <w:proofErr w:type="spellEnd"/>
      <w:r>
        <w:rPr>
          <w:lang w:eastAsia="en-US"/>
        </w:rPr>
        <w:t xml:space="preserve"> FURS je bilo izvedenih 54 spletnih javnih dražb, na katerih so se prodajale premičnine</w:t>
      </w:r>
      <w:r w:rsidR="00573B24">
        <w:rPr>
          <w:lang w:eastAsia="en-US"/>
        </w:rPr>
        <w:t>,</w:t>
      </w:r>
      <w:r>
        <w:rPr>
          <w:lang w:eastAsia="en-US"/>
        </w:rPr>
        <w:t xml:space="preserve"> ocenjene na 457.128</w:t>
      </w:r>
      <w:r w:rsidR="00527930">
        <w:rPr>
          <w:lang w:eastAsia="en-US"/>
        </w:rPr>
        <w:t> EUR</w:t>
      </w:r>
      <w:r>
        <w:rPr>
          <w:lang w:eastAsia="en-US"/>
        </w:rPr>
        <w:t>. Uspešnih je bilo 23 spletnih javnih dražb, s čimer je bilo poplačanega 133.670</w:t>
      </w:r>
      <w:r w:rsidR="00527930">
        <w:rPr>
          <w:lang w:eastAsia="en-US"/>
        </w:rPr>
        <w:t> EUR</w:t>
      </w:r>
      <w:r>
        <w:rPr>
          <w:lang w:eastAsia="en-US"/>
        </w:rPr>
        <w:t xml:space="preserve"> davčnega dolga.</w:t>
      </w:r>
      <w:r w:rsidR="00992912">
        <w:rPr>
          <w:lang w:eastAsia="en-US"/>
        </w:rPr>
        <w:t xml:space="preserve"> </w:t>
      </w:r>
    </w:p>
    <w:p w14:paraId="0FCD7220" w14:textId="77777777" w:rsidR="00D847F2" w:rsidRDefault="00D847F2" w:rsidP="00D847F2">
      <w:pPr>
        <w:pStyle w:val="FURSNavaden"/>
        <w:spacing w:line="260" w:lineRule="exact"/>
        <w:rPr>
          <w:lang w:eastAsia="en-US"/>
        </w:rPr>
      </w:pPr>
    </w:p>
    <w:p w14:paraId="57A00114" w14:textId="79F5962F" w:rsidR="00D847F2" w:rsidRDefault="00D847F2" w:rsidP="00D847F2">
      <w:pPr>
        <w:pStyle w:val="FURSNavaden"/>
        <w:spacing w:line="260" w:lineRule="exact"/>
        <w:rPr>
          <w:lang w:eastAsia="en-US"/>
        </w:rPr>
      </w:pPr>
      <w:r>
        <w:rPr>
          <w:lang w:eastAsia="en-US"/>
        </w:rPr>
        <w:t xml:space="preserve">V letu 2022 sta bili za zarubljene predmete objavljeni </w:t>
      </w:r>
      <w:r w:rsidR="002F28CA">
        <w:rPr>
          <w:lang w:eastAsia="en-US"/>
        </w:rPr>
        <w:t>dve</w:t>
      </w:r>
      <w:r>
        <w:rPr>
          <w:lang w:eastAsia="en-US"/>
        </w:rPr>
        <w:t xml:space="preserve"> prodaji z zbiranjem ponudb za predmete, ocenjene na 9.900</w:t>
      </w:r>
      <w:r w:rsidR="00527930">
        <w:rPr>
          <w:lang w:eastAsia="en-US"/>
        </w:rPr>
        <w:t> EUR</w:t>
      </w:r>
      <w:r>
        <w:rPr>
          <w:lang w:eastAsia="en-US"/>
        </w:rPr>
        <w:t xml:space="preserve">. Uspešno so bile izvedene </w:t>
      </w:r>
      <w:r w:rsidR="002F28CA">
        <w:rPr>
          <w:lang w:eastAsia="en-US"/>
        </w:rPr>
        <w:t>tri</w:t>
      </w:r>
      <w:r>
        <w:rPr>
          <w:lang w:eastAsia="en-US"/>
        </w:rPr>
        <w:t xml:space="preserve"> prodaje (ena prodaja </w:t>
      </w:r>
      <w:r w:rsidR="002F28CA">
        <w:rPr>
          <w:lang w:eastAsia="en-US"/>
        </w:rPr>
        <w:t xml:space="preserve">je bila </w:t>
      </w:r>
      <w:r>
        <w:rPr>
          <w:lang w:eastAsia="en-US"/>
        </w:rPr>
        <w:t xml:space="preserve">objavljena v letu 2021, izvedena pa v letu 2022), katerih izkupiček je </w:t>
      </w:r>
      <w:r w:rsidR="00180BB6">
        <w:rPr>
          <w:lang w:eastAsia="en-US"/>
        </w:rPr>
        <w:t xml:space="preserve">bil </w:t>
      </w:r>
      <w:r>
        <w:rPr>
          <w:lang w:eastAsia="en-US"/>
        </w:rPr>
        <w:t>7.066</w:t>
      </w:r>
      <w:r w:rsidR="00527930">
        <w:rPr>
          <w:lang w:eastAsia="en-US"/>
        </w:rPr>
        <w:t> EUR</w:t>
      </w:r>
      <w:r>
        <w:rPr>
          <w:lang w:eastAsia="en-US"/>
        </w:rPr>
        <w:t>.</w:t>
      </w:r>
    </w:p>
    <w:p w14:paraId="305632BC" w14:textId="77777777" w:rsidR="00D847F2" w:rsidRDefault="00D847F2" w:rsidP="00D847F2">
      <w:pPr>
        <w:pStyle w:val="FURSNavaden"/>
        <w:spacing w:line="260" w:lineRule="exact"/>
        <w:rPr>
          <w:lang w:eastAsia="en-US"/>
        </w:rPr>
      </w:pPr>
    </w:p>
    <w:p w14:paraId="75E5214C" w14:textId="25158AE6" w:rsidR="00D847F2" w:rsidRDefault="00D847F2" w:rsidP="00D847F2">
      <w:pPr>
        <w:pStyle w:val="FURSNavaden"/>
        <w:spacing w:line="260" w:lineRule="exact"/>
        <w:rPr>
          <w:lang w:eastAsia="en-US"/>
        </w:rPr>
      </w:pPr>
      <w:r>
        <w:rPr>
          <w:lang w:eastAsia="en-US"/>
        </w:rPr>
        <w:t>Zarubljene premičnine se lahko prodajo tudi z neposredno pogodbo. Sklenitev takšne pogodbe je dovoljena v primerih prodaje živali, hitro pokvarljivega blaga, premičnin, katerih hramba je povezana z velikimi stroški</w:t>
      </w:r>
      <w:r w:rsidR="002F28CA">
        <w:rPr>
          <w:lang w:eastAsia="en-US"/>
        </w:rPr>
        <w:t>,</w:t>
      </w:r>
      <w:r>
        <w:rPr>
          <w:lang w:eastAsia="en-US"/>
        </w:rPr>
        <w:t xml:space="preserve"> ter premičnin, za katere ni večjega povpraševanja. V letu 2022 sta bili sklenjeni </w:t>
      </w:r>
      <w:r w:rsidR="002F28CA">
        <w:rPr>
          <w:lang w:eastAsia="en-US"/>
        </w:rPr>
        <w:t>dve</w:t>
      </w:r>
      <w:r>
        <w:rPr>
          <w:lang w:eastAsia="en-US"/>
        </w:rPr>
        <w:t xml:space="preserve"> neposredni pogodbi za prodajo dveh premičnin, ocenjenih na 167</w:t>
      </w:r>
      <w:r w:rsidR="00527930">
        <w:rPr>
          <w:lang w:eastAsia="en-US"/>
        </w:rPr>
        <w:t> EUR</w:t>
      </w:r>
      <w:r>
        <w:rPr>
          <w:lang w:eastAsia="en-US"/>
        </w:rPr>
        <w:t>. Obe sta bili uspešni z izkupičkom 167</w:t>
      </w:r>
      <w:r w:rsidR="00527930">
        <w:rPr>
          <w:lang w:eastAsia="en-US"/>
        </w:rPr>
        <w:t> EUR</w:t>
      </w:r>
      <w:r>
        <w:rPr>
          <w:lang w:eastAsia="en-US"/>
        </w:rPr>
        <w:t>.</w:t>
      </w:r>
    </w:p>
    <w:p w14:paraId="723B59FE" w14:textId="77777777" w:rsidR="00D847F2" w:rsidRDefault="00D847F2" w:rsidP="00D847F2">
      <w:pPr>
        <w:pStyle w:val="FURSNavaden"/>
        <w:spacing w:line="260" w:lineRule="exact"/>
        <w:rPr>
          <w:lang w:eastAsia="en-US"/>
        </w:rPr>
      </w:pPr>
    </w:p>
    <w:p w14:paraId="69F84900" w14:textId="77777777" w:rsidR="00D847F2" w:rsidRPr="00087025" w:rsidRDefault="00D847F2" w:rsidP="00D847F2">
      <w:pPr>
        <w:jc w:val="both"/>
        <w:rPr>
          <w:rFonts w:ascii="Arial" w:eastAsia="Times New Roman" w:hAnsi="Arial" w:cs="Arial"/>
          <w:b/>
          <w:bCs/>
          <w:iCs/>
          <w:sz w:val="20"/>
          <w:szCs w:val="20"/>
          <w:lang w:eastAsia="sl-SI"/>
        </w:rPr>
      </w:pPr>
      <w:r w:rsidRPr="0094063C">
        <w:rPr>
          <w:rFonts w:ascii="Arial" w:eastAsia="Times New Roman" w:hAnsi="Arial" w:cs="Arial"/>
          <w:b/>
          <w:bCs/>
          <w:iCs/>
          <w:sz w:val="20"/>
          <w:szCs w:val="20"/>
          <w:lang w:eastAsia="sl-SI"/>
        </w:rPr>
        <w:t>Predlogi sodišču za izvršbo na dolžnikove nepremičnine na podlagi vknjižbe zastavne pravice</w:t>
      </w:r>
      <w:r w:rsidRPr="00087025">
        <w:rPr>
          <w:rFonts w:ascii="Arial" w:eastAsia="Times New Roman" w:hAnsi="Arial" w:cs="Arial"/>
          <w:b/>
          <w:bCs/>
          <w:iCs/>
          <w:sz w:val="20"/>
          <w:szCs w:val="20"/>
          <w:lang w:eastAsia="sl-SI"/>
        </w:rPr>
        <w:t xml:space="preserve"> </w:t>
      </w:r>
    </w:p>
    <w:p w14:paraId="75157C35" w14:textId="467E70D9" w:rsidR="00D847F2" w:rsidRPr="004A5FDC" w:rsidRDefault="00D847F2" w:rsidP="00D847F2">
      <w:pPr>
        <w:spacing w:after="0" w:line="260" w:lineRule="atLeast"/>
        <w:jc w:val="both"/>
        <w:rPr>
          <w:rFonts w:ascii="Arial" w:hAnsi="Arial" w:cs="Arial"/>
          <w:noProof/>
          <w:sz w:val="20"/>
          <w:szCs w:val="20"/>
        </w:rPr>
      </w:pPr>
      <w:r w:rsidRPr="004A5FDC">
        <w:rPr>
          <w:rFonts w:ascii="Arial" w:hAnsi="Arial" w:cs="Arial"/>
          <w:noProof/>
          <w:sz w:val="20"/>
          <w:szCs w:val="20"/>
        </w:rPr>
        <w:t>Če dolga ni mogoče izterjati z ukrepi davčne izvršbe po upravni poti (iz dolžnikovih denarnih prejemkov, denarnih sredstev, vrednostnih papirjev ali premičnin)</w:t>
      </w:r>
      <w:r w:rsidR="002F28CA">
        <w:rPr>
          <w:rFonts w:ascii="Arial" w:hAnsi="Arial" w:cs="Arial"/>
          <w:noProof/>
          <w:sz w:val="20"/>
          <w:szCs w:val="20"/>
        </w:rPr>
        <w:t>,</w:t>
      </w:r>
      <w:r w:rsidRPr="004A5FDC">
        <w:rPr>
          <w:rFonts w:ascii="Arial" w:hAnsi="Arial" w:cs="Arial"/>
          <w:noProof/>
          <w:sz w:val="20"/>
          <w:szCs w:val="20"/>
        </w:rPr>
        <w:t xml:space="preserve"> se z izvršbo lahko poseže na dolžnikove nepremičnine ali na poslovni delež dolžnika v družbi. Ta postopek na predlog F</w:t>
      </w:r>
      <w:r>
        <w:rPr>
          <w:rFonts w:ascii="Arial" w:hAnsi="Arial" w:cs="Arial"/>
          <w:noProof/>
          <w:sz w:val="20"/>
          <w:szCs w:val="20"/>
        </w:rPr>
        <w:t xml:space="preserve">URS </w:t>
      </w:r>
      <w:r w:rsidRPr="004A5FDC">
        <w:rPr>
          <w:rFonts w:ascii="Arial" w:hAnsi="Arial" w:cs="Arial"/>
          <w:noProof/>
          <w:sz w:val="20"/>
          <w:szCs w:val="20"/>
        </w:rPr>
        <w:t>oziroma Državnega odvetništva R</w:t>
      </w:r>
      <w:r w:rsidR="002F28CA">
        <w:rPr>
          <w:rFonts w:ascii="Arial" w:hAnsi="Arial" w:cs="Arial"/>
          <w:noProof/>
          <w:sz w:val="20"/>
          <w:szCs w:val="20"/>
        </w:rPr>
        <w:t xml:space="preserve">epublike </w:t>
      </w:r>
      <w:r w:rsidRPr="004A5FDC">
        <w:rPr>
          <w:rFonts w:ascii="Arial" w:hAnsi="Arial" w:cs="Arial"/>
          <w:noProof/>
          <w:sz w:val="20"/>
          <w:szCs w:val="20"/>
        </w:rPr>
        <w:t>S</w:t>
      </w:r>
      <w:r w:rsidR="002F28CA">
        <w:rPr>
          <w:rFonts w:ascii="Arial" w:hAnsi="Arial" w:cs="Arial"/>
          <w:noProof/>
          <w:sz w:val="20"/>
          <w:szCs w:val="20"/>
        </w:rPr>
        <w:t>lovenije</w:t>
      </w:r>
      <w:r w:rsidRPr="004A5FDC">
        <w:rPr>
          <w:rFonts w:ascii="Arial" w:hAnsi="Arial" w:cs="Arial"/>
          <w:noProof/>
          <w:sz w:val="20"/>
          <w:szCs w:val="20"/>
        </w:rPr>
        <w:t xml:space="preserve"> vodi sodišče. F</w:t>
      </w:r>
      <w:r>
        <w:rPr>
          <w:rFonts w:ascii="Arial" w:hAnsi="Arial" w:cs="Arial"/>
          <w:noProof/>
          <w:sz w:val="20"/>
          <w:szCs w:val="20"/>
        </w:rPr>
        <w:t xml:space="preserve">URS </w:t>
      </w:r>
      <w:r w:rsidRPr="004A5FDC">
        <w:rPr>
          <w:rFonts w:ascii="Arial" w:hAnsi="Arial" w:cs="Arial"/>
          <w:noProof/>
          <w:sz w:val="20"/>
          <w:szCs w:val="20"/>
        </w:rPr>
        <w:t xml:space="preserve">je prek državnega odvetništva predlagal sodiščem vknjižbo zastavne pravice na dolžnikove nepremičnine, prav tako je podal tudi več predlogov za izvršbo na dolžnikove nepremičnine. </w:t>
      </w:r>
    </w:p>
    <w:p w14:paraId="544AFD15" w14:textId="77777777" w:rsidR="00D847F2" w:rsidRPr="004A5FDC" w:rsidRDefault="00D847F2" w:rsidP="00D847F2">
      <w:pPr>
        <w:spacing w:after="0" w:line="260" w:lineRule="atLeast"/>
        <w:jc w:val="both"/>
        <w:rPr>
          <w:rFonts w:ascii="Arial" w:hAnsi="Arial" w:cs="Arial"/>
          <w:noProof/>
          <w:sz w:val="20"/>
          <w:szCs w:val="20"/>
        </w:rPr>
      </w:pPr>
    </w:p>
    <w:p w14:paraId="5BDBE3F9" w14:textId="77777777" w:rsidR="00D847F2" w:rsidRDefault="00D847F2" w:rsidP="00D847F2">
      <w:pPr>
        <w:spacing w:after="0" w:line="260" w:lineRule="atLeast"/>
        <w:jc w:val="both"/>
        <w:rPr>
          <w:rFonts w:ascii="Arial" w:hAnsi="Arial" w:cs="Arial"/>
          <w:noProof/>
          <w:sz w:val="20"/>
          <w:szCs w:val="20"/>
        </w:rPr>
      </w:pPr>
      <w:r w:rsidRPr="004A5FDC">
        <w:rPr>
          <w:rFonts w:ascii="Arial" w:hAnsi="Arial" w:cs="Arial"/>
          <w:noProof/>
          <w:sz w:val="20"/>
          <w:szCs w:val="20"/>
        </w:rPr>
        <w:t xml:space="preserve">V 457 primerih je bil </w:t>
      </w:r>
      <w:r>
        <w:rPr>
          <w:rFonts w:ascii="Arial" w:hAnsi="Arial" w:cs="Arial"/>
          <w:noProof/>
          <w:sz w:val="20"/>
          <w:szCs w:val="20"/>
        </w:rPr>
        <w:t>vložen</w:t>
      </w:r>
      <w:r w:rsidRPr="004A5FDC">
        <w:rPr>
          <w:rFonts w:ascii="Arial" w:hAnsi="Arial" w:cs="Arial"/>
          <w:noProof/>
          <w:sz w:val="20"/>
          <w:szCs w:val="20"/>
        </w:rPr>
        <w:t xml:space="preserve"> predlog za izvršbo na dolžnikovo nepremičnino premoženje za dolg v znesku 11.668.223 </w:t>
      </w:r>
      <w:r>
        <w:rPr>
          <w:rFonts w:ascii="Arial" w:hAnsi="Arial" w:cs="Arial"/>
          <w:noProof/>
          <w:sz w:val="20"/>
          <w:szCs w:val="20"/>
        </w:rPr>
        <w:t>EUR</w:t>
      </w:r>
      <w:r w:rsidRPr="004A5FDC">
        <w:rPr>
          <w:rFonts w:ascii="Arial" w:hAnsi="Arial" w:cs="Arial"/>
          <w:noProof/>
          <w:sz w:val="20"/>
          <w:szCs w:val="20"/>
        </w:rPr>
        <w:t xml:space="preserve">. S prodajo nepremičnin v okviru postopka sodne izvršbe je bilo poplačanega za 3.406.414 </w:t>
      </w:r>
      <w:r>
        <w:rPr>
          <w:rFonts w:ascii="Arial" w:hAnsi="Arial" w:cs="Arial"/>
          <w:noProof/>
          <w:sz w:val="20"/>
          <w:szCs w:val="20"/>
        </w:rPr>
        <w:t>EUR</w:t>
      </w:r>
      <w:r w:rsidRPr="004A5FDC">
        <w:rPr>
          <w:rFonts w:ascii="Arial" w:hAnsi="Arial" w:cs="Arial"/>
          <w:noProof/>
          <w:sz w:val="20"/>
          <w:szCs w:val="20"/>
        </w:rPr>
        <w:t xml:space="preserve"> dolga. Ob koncu leta 2022 je bil v izvršbi pri sodiščih dolg v višini 36.823.217 </w:t>
      </w:r>
      <w:r>
        <w:rPr>
          <w:rFonts w:ascii="Arial" w:hAnsi="Arial" w:cs="Arial"/>
          <w:noProof/>
          <w:sz w:val="20"/>
          <w:szCs w:val="20"/>
        </w:rPr>
        <w:t>EUR</w:t>
      </w:r>
      <w:r w:rsidRPr="004A5FDC">
        <w:rPr>
          <w:rFonts w:ascii="Arial" w:hAnsi="Arial" w:cs="Arial"/>
          <w:noProof/>
          <w:sz w:val="20"/>
          <w:szCs w:val="20"/>
        </w:rPr>
        <w:t>.</w:t>
      </w:r>
    </w:p>
    <w:p w14:paraId="1DC59D07" w14:textId="77777777" w:rsidR="00D847F2" w:rsidRDefault="00D847F2" w:rsidP="00D847F2">
      <w:pPr>
        <w:spacing w:after="0" w:line="260" w:lineRule="atLeast"/>
        <w:jc w:val="both"/>
        <w:rPr>
          <w:rFonts w:ascii="Arial" w:hAnsi="Arial" w:cs="Arial"/>
          <w:noProof/>
          <w:sz w:val="20"/>
          <w:szCs w:val="20"/>
        </w:rPr>
      </w:pPr>
    </w:p>
    <w:p w14:paraId="4125D9A7" w14:textId="77777777" w:rsidR="00D847F2" w:rsidRDefault="00D847F2" w:rsidP="00D847F2">
      <w:pPr>
        <w:spacing w:after="0" w:line="260" w:lineRule="atLeast"/>
        <w:jc w:val="both"/>
        <w:rPr>
          <w:rFonts w:ascii="Arial" w:hAnsi="Arial" w:cs="Arial"/>
          <w:noProof/>
          <w:sz w:val="20"/>
          <w:szCs w:val="20"/>
        </w:rPr>
      </w:pPr>
    </w:p>
    <w:p w14:paraId="641BB9C7" w14:textId="77777777" w:rsidR="00D847F2" w:rsidRDefault="00D847F2" w:rsidP="00D847F2">
      <w:pPr>
        <w:jc w:val="both"/>
        <w:rPr>
          <w:rFonts w:ascii="Arial" w:eastAsia="Times New Roman" w:hAnsi="Arial" w:cs="Arial"/>
          <w:i/>
          <w:sz w:val="20"/>
          <w:szCs w:val="20"/>
          <w:lang w:eastAsia="sl-SI"/>
        </w:rPr>
      </w:pPr>
      <w:r w:rsidRPr="00087025">
        <w:rPr>
          <w:rFonts w:ascii="Arial" w:eastAsia="Times New Roman" w:hAnsi="Arial" w:cs="Arial"/>
          <w:i/>
          <w:sz w:val="20"/>
          <w:szCs w:val="20"/>
          <w:lang w:eastAsia="sl-SI"/>
        </w:rPr>
        <w:t>Preglednica 1</w:t>
      </w:r>
      <w:r>
        <w:rPr>
          <w:rFonts w:ascii="Arial" w:eastAsia="Times New Roman" w:hAnsi="Arial" w:cs="Arial"/>
          <w:i/>
          <w:sz w:val="20"/>
          <w:szCs w:val="20"/>
          <w:lang w:eastAsia="sl-SI"/>
        </w:rPr>
        <w:t>9</w:t>
      </w:r>
      <w:r w:rsidRPr="00087025">
        <w:rPr>
          <w:rFonts w:ascii="Arial" w:eastAsia="Times New Roman" w:hAnsi="Arial" w:cs="Arial"/>
          <w:i/>
          <w:sz w:val="20"/>
          <w:szCs w:val="20"/>
          <w:lang w:eastAsia="sl-SI"/>
        </w:rPr>
        <w:t>: Izvršba na dolžnikovo nepremično premoženje (zneski v EUR)</w:t>
      </w:r>
    </w:p>
    <w:tbl>
      <w:tblPr>
        <w:tblW w:w="9100" w:type="dxa"/>
        <w:tblCellMar>
          <w:left w:w="70" w:type="dxa"/>
          <w:right w:w="70" w:type="dxa"/>
        </w:tblCellMar>
        <w:tblLook w:val="04A0" w:firstRow="1" w:lastRow="0" w:firstColumn="1" w:lastColumn="0" w:noHBand="0" w:noVBand="1"/>
      </w:tblPr>
      <w:tblGrid>
        <w:gridCol w:w="3265"/>
        <w:gridCol w:w="857"/>
        <w:gridCol w:w="1131"/>
        <w:gridCol w:w="747"/>
        <w:gridCol w:w="1295"/>
        <w:gridCol w:w="838"/>
        <w:gridCol w:w="967"/>
      </w:tblGrid>
      <w:tr w:rsidR="00D847F2" w:rsidRPr="00100BC2" w14:paraId="636F5C05" w14:textId="77777777" w:rsidTr="00556699">
        <w:trPr>
          <w:trHeight w:val="362"/>
        </w:trPr>
        <w:tc>
          <w:tcPr>
            <w:tcW w:w="3265"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14:paraId="16B2E688"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Vsebina postopka</w:t>
            </w:r>
          </w:p>
        </w:tc>
        <w:tc>
          <w:tcPr>
            <w:tcW w:w="1988" w:type="dxa"/>
            <w:gridSpan w:val="2"/>
            <w:tcBorders>
              <w:top w:val="single" w:sz="4" w:space="0" w:color="auto"/>
              <w:left w:val="nil"/>
              <w:bottom w:val="single" w:sz="4" w:space="0" w:color="auto"/>
              <w:right w:val="single" w:sz="4" w:space="0" w:color="000000"/>
            </w:tcBorders>
            <w:shd w:val="clear" w:color="000000" w:fill="31869B"/>
            <w:vAlign w:val="center"/>
            <w:hideMark/>
          </w:tcPr>
          <w:p w14:paraId="68429DB6"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2021</w:t>
            </w:r>
          </w:p>
        </w:tc>
        <w:tc>
          <w:tcPr>
            <w:tcW w:w="2042" w:type="dxa"/>
            <w:gridSpan w:val="2"/>
            <w:tcBorders>
              <w:top w:val="single" w:sz="4" w:space="0" w:color="auto"/>
              <w:left w:val="nil"/>
              <w:bottom w:val="single" w:sz="4" w:space="0" w:color="auto"/>
              <w:right w:val="single" w:sz="4" w:space="0" w:color="000000"/>
            </w:tcBorders>
            <w:shd w:val="clear" w:color="000000" w:fill="31869B"/>
            <w:vAlign w:val="center"/>
            <w:hideMark/>
          </w:tcPr>
          <w:p w14:paraId="5EA932B2"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2022</w:t>
            </w:r>
          </w:p>
        </w:tc>
        <w:tc>
          <w:tcPr>
            <w:tcW w:w="1805" w:type="dxa"/>
            <w:gridSpan w:val="2"/>
            <w:tcBorders>
              <w:top w:val="single" w:sz="4" w:space="0" w:color="auto"/>
              <w:left w:val="nil"/>
              <w:bottom w:val="single" w:sz="4" w:space="0" w:color="auto"/>
              <w:right w:val="single" w:sz="4" w:space="0" w:color="auto"/>
            </w:tcBorders>
            <w:shd w:val="clear" w:color="000000" w:fill="31849B"/>
            <w:vAlign w:val="center"/>
            <w:hideMark/>
          </w:tcPr>
          <w:p w14:paraId="1C0ABFDE"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Indeks 2022/2021</w:t>
            </w:r>
          </w:p>
        </w:tc>
      </w:tr>
      <w:tr w:rsidR="00D847F2" w:rsidRPr="00100BC2" w14:paraId="1E70D920" w14:textId="77777777" w:rsidTr="00556699">
        <w:trPr>
          <w:trHeight w:val="491"/>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422A2ABF" w14:textId="77777777" w:rsidR="00D847F2" w:rsidRPr="00100BC2" w:rsidRDefault="00D847F2" w:rsidP="00556699">
            <w:pPr>
              <w:spacing w:line="240" w:lineRule="auto"/>
              <w:rPr>
                <w:rFonts w:ascii="Arial" w:eastAsia="Times New Roman" w:hAnsi="Arial" w:cs="Arial"/>
                <w:b/>
                <w:bCs/>
                <w:color w:val="FFFFFF"/>
                <w:sz w:val="18"/>
                <w:szCs w:val="18"/>
                <w:lang w:eastAsia="sl-SI"/>
              </w:rPr>
            </w:pPr>
          </w:p>
        </w:tc>
        <w:tc>
          <w:tcPr>
            <w:tcW w:w="857" w:type="dxa"/>
            <w:tcBorders>
              <w:top w:val="nil"/>
              <w:left w:val="nil"/>
              <w:bottom w:val="single" w:sz="4" w:space="0" w:color="auto"/>
              <w:right w:val="single" w:sz="4" w:space="0" w:color="auto"/>
            </w:tcBorders>
            <w:shd w:val="clear" w:color="000000" w:fill="31869B"/>
            <w:vAlign w:val="center"/>
            <w:hideMark/>
          </w:tcPr>
          <w:p w14:paraId="66B6AFAF"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1130" w:type="dxa"/>
            <w:tcBorders>
              <w:top w:val="nil"/>
              <w:left w:val="nil"/>
              <w:bottom w:val="single" w:sz="4" w:space="0" w:color="auto"/>
              <w:right w:val="single" w:sz="4" w:space="0" w:color="auto"/>
            </w:tcBorders>
            <w:shd w:val="clear" w:color="000000" w:fill="31869B"/>
            <w:vAlign w:val="center"/>
            <w:hideMark/>
          </w:tcPr>
          <w:p w14:paraId="097EC5A9"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 xml:space="preserve">Znesek v evrih </w:t>
            </w:r>
          </w:p>
        </w:tc>
        <w:tc>
          <w:tcPr>
            <w:tcW w:w="747" w:type="dxa"/>
            <w:tcBorders>
              <w:top w:val="nil"/>
              <w:left w:val="nil"/>
              <w:bottom w:val="single" w:sz="4" w:space="0" w:color="auto"/>
              <w:right w:val="single" w:sz="4" w:space="0" w:color="auto"/>
            </w:tcBorders>
            <w:shd w:val="clear" w:color="000000" w:fill="31869B"/>
            <w:vAlign w:val="center"/>
            <w:hideMark/>
          </w:tcPr>
          <w:p w14:paraId="5F71AC40"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1294" w:type="dxa"/>
            <w:tcBorders>
              <w:top w:val="nil"/>
              <w:left w:val="nil"/>
              <w:bottom w:val="single" w:sz="4" w:space="0" w:color="auto"/>
              <w:right w:val="single" w:sz="4" w:space="0" w:color="auto"/>
            </w:tcBorders>
            <w:shd w:val="clear" w:color="000000" w:fill="31869B"/>
            <w:vAlign w:val="center"/>
            <w:hideMark/>
          </w:tcPr>
          <w:p w14:paraId="26E9F482"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Znesek v evrih</w:t>
            </w:r>
          </w:p>
        </w:tc>
        <w:tc>
          <w:tcPr>
            <w:tcW w:w="838" w:type="dxa"/>
            <w:tcBorders>
              <w:top w:val="nil"/>
              <w:left w:val="nil"/>
              <w:bottom w:val="single" w:sz="4" w:space="0" w:color="auto"/>
              <w:right w:val="single" w:sz="4" w:space="0" w:color="auto"/>
            </w:tcBorders>
            <w:shd w:val="clear" w:color="000000" w:fill="31869B"/>
            <w:vAlign w:val="center"/>
            <w:hideMark/>
          </w:tcPr>
          <w:p w14:paraId="7855F039"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967" w:type="dxa"/>
            <w:tcBorders>
              <w:top w:val="nil"/>
              <w:left w:val="nil"/>
              <w:bottom w:val="single" w:sz="4" w:space="0" w:color="auto"/>
              <w:right w:val="single" w:sz="4" w:space="0" w:color="auto"/>
            </w:tcBorders>
            <w:shd w:val="clear" w:color="000000" w:fill="31869B"/>
            <w:vAlign w:val="center"/>
            <w:hideMark/>
          </w:tcPr>
          <w:p w14:paraId="13EDA21C"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Znesek</w:t>
            </w:r>
          </w:p>
        </w:tc>
      </w:tr>
      <w:tr w:rsidR="00D847F2" w:rsidRPr="00100BC2" w14:paraId="274B62DE" w14:textId="77777777" w:rsidTr="00556699">
        <w:trPr>
          <w:trHeight w:val="538"/>
        </w:trPr>
        <w:tc>
          <w:tcPr>
            <w:tcW w:w="3265" w:type="dxa"/>
            <w:tcBorders>
              <w:top w:val="nil"/>
              <w:left w:val="single" w:sz="4" w:space="0" w:color="auto"/>
              <w:bottom w:val="single" w:sz="4" w:space="0" w:color="auto"/>
              <w:right w:val="single" w:sz="4" w:space="0" w:color="auto"/>
            </w:tcBorders>
            <w:shd w:val="clear" w:color="auto" w:fill="auto"/>
            <w:vAlign w:val="center"/>
            <w:hideMark/>
          </w:tcPr>
          <w:p w14:paraId="6A466901" w14:textId="7BBBFFC2"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Vknjižbe zastavne pravice na nepremičnine</w:t>
            </w:r>
            <w:r w:rsidR="00992912">
              <w:rPr>
                <w:rFonts w:ascii="Arial" w:eastAsia="Times New Roman" w:hAnsi="Arial" w:cs="Arial"/>
                <w:sz w:val="18"/>
                <w:szCs w:val="18"/>
                <w:lang w:eastAsia="sl-SI"/>
              </w:rPr>
              <w:t xml:space="preserve"> </w:t>
            </w:r>
            <w:r w:rsidRPr="00100BC2">
              <w:rPr>
                <w:rFonts w:ascii="Arial" w:eastAsia="Times New Roman" w:hAnsi="Arial" w:cs="Arial"/>
                <w:sz w:val="18"/>
                <w:szCs w:val="18"/>
                <w:lang w:eastAsia="sl-SI"/>
              </w:rPr>
              <w:t xml:space="preserve"> </w:t>
            </w:r>
          </w:p>
        </w:tc>
        <w:tc>
          <w:tcPr>
            <w:tcW w:w="857" w:type="dxa"/>
            <w:tcBorders>
              <w:top w:val="nil"/>
              <w:left w:val="nil"/>
              <w:bottom w:val="single" w:sz="4" w:space="0" w:color="auto"/>
              <w:right w:val="single" w:sz="4" w:space="0" w:color="auto"/>
            </w:tcBorders>
            <w:shd w:val="clear" w:color="auto" w:fill="auto"/>
            <w:vAlign w:val="center"/>
            <w:hideMark/>
          </w:tcPr>
          <w:p w14:paraId="2A373709"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1.690</w:t>
            </w:r>
          </w:p>
        </w:tc>
        <w:tc>
          <w:tcPr>
            <w:tcW w:w="1130" w:type="dxa"/>
            <w:tcBorders>
              <w:top w:val="nil"/>
              <w:left w:val="nil"/>
              <w:bottom w:val="single" w:sz="4" w:space="0" w:color="auto"/>
              <w:right w:val="single" w:sz="4" w:space="0" w:color="auto"/>
            </w:tcBorders>
            <w:shd w:val="clear" w:color="000000" w:fill="DAEEF3"/>
            <w:vAlign w:val="center"/>
            <w:hideMark/>
          </w:tcPr>
          <w:p w14:paraId="23472EC9"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33.642.286</w:t>
            </w:r>
          </w:p>
        </w:tc>
        <w:tc>
          <w:tcPr>
            <w:tcW w:w="747" w:type="dxa"/>
            <w:tcBorders>
              <w:top w:val="nil"/>
              <w:left w:val="nil"/>
              <w:bottom w:val="single" w:sz="4" w:space="0" w:color="auto"/>
              <w:right w:val="single" w:sz="4" w:space="0" w:color="auto"/>
            </w:tcBorders>
            <w:shd w:val="clear" w:color="auto" w:fill="auto"/>
            <w:vAlign w:val="center"/>
            <w:hideMark/>
          </w:tcPr>
          <w:p w14:paraId="7CDA98AD"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1.656</w:t>
            </w:r>
          </w:p>
        </w:tc>
        <w:tc>
          <w:tcPr>
            <w:tcW w:w="1294" w:type="dxa"/>
            <w:tcBorders>
              <w:top w:val="nil"/>
              <w:left w:val="nil"/>
              <w:bottom w:val="single" w:sz="4" w:space="0" w:color="auto"/>
              <w:right w:val="single" w:sz="4" w:space="0" w:color="auto"/>
            </w:tcBorders>
            <w:shd w:val="clear" w:color="000000" w:fill="DAEEF3"/>
            <w:vAlign w:val="center"/>
            <w:hideMark/>
          </w:tcPr>
          <w:p w14:paraId="692025DF"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26.920.565</w:t>
            </w:r>
          </w:p>
        </w:tc>
        <w:tc>
          <w:tcPr>
            <w:tcW w:w="838" w:type="dxa"/>
            <w:tcBorders>
              <w:top w:val="nil"/>
              <w:left w:val="nil"/>
              <w:bottom w:val="single" w:sz="4" w:space="0" w:color="auto"/>
              <w:right w:val="single" w:sz="4" w:space="0" w:color="auto"/>
            </w:tcBorders>
            <w:shd w:val="clear" w:color="auto" w:fill="auto"/>
            <w:vAlign w:val="center"/>
            <w:hideMark/>
          </w:tcPr>
          <w:p w14:paraId="1159D420"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98,0</w:t>
            </w:r>
          </w:p>
        </w:tc>
        <w:tc>
          <w:tcPr>
            <w:tcW w:w="967" w:type="dxa"/>
            <w:tcBorders>
              <w:top w:val="nil"/>
              <w:left w:val="nil"/>
              <w:bottom w:val="single" w:sz="4" w:space="0" w:color="auto"/>
              <w:right w:val="single" w:sz="4" w:space="0" w:color="auto"/>
            </w:tcBorders>
            <w:shd w:val="clear" w:color="auto" w:fill="auto"/>
            <w:vAlign w:val="center"/>
            <w:hideMark/>
          </w:tcPr>
          <w:p w14:paraId="3E2B899F"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80,0</w:t>
            </w:r>
          </w:p>
        </w:tc>
      </w:tr>
      <w:tr w:rsidR="00D847F2" w:rsidRPr="00100BC2" w14:paraId="5BC6F478" w14:textId="77777777" w:rsidTr="00556699">
        <w:trPr>
          <w:trHeight w:val="500"/>
        </w:trPr>
        <w:tc>
          <w:tcPr>
            <w:tcW w:w="3265" w:type="dxa"/>
            <w:tcBorders>
              <w:top w:val="nil"/>
              <w:left w:val="single" w:sz="4" w:space="0" w:color="auto"/>
              <w:bottom w:val="single" w:sz="4" w:space="0" w:color="auto"/>
              <w:right w:val="single" w:sz="4" w:space="0" w:color="auto"/>
            </w:tcBorders>
            <w:shd w:val="clear" w:color="auto" w:fill="auto"/>
            <w:vAlign w:val="center"/>
            <w:hideMark/>
          </w:tcPr>
          <w:p w14:paraId="121CAAC7" w14:textId="764FA7E4"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Predlogi sodišču za izvršbo na nepremičnine</w:t>
            </w:r>
            <w:r w:rsidR="00992912">
              <w:rPr>
                <w:rFonts w:ascii="Arial" w:eastAsia="Times New Roman" w:hAnsi="Arial" w:cs="Arial"/>
                <w:sz w:val="18"/>
                <w:szCs w:val="18"/>
                <w:lang w:eastAsia="sl-SI"/>
              </w:rPr>
              <w:t xml:space="preserve"> </w:t>
            </w:r>
          </w:p>
        </w:tc>
        <w:tc>
          <w:tcPr>
            <w:tcW w:w="857" w:type="dxa"/>
            <w:tcBorders>
              <w:top w:val="nil"/>
              <w:left w:val="nil"/>
              <w:bottom w:val="single" w:sz="4" w:space="0" w:color="auto"/>
              <w:right w:val="single" w:sz="4" w:space="0" w:color="auto"/>
            </w:tcBorders>
            <w:shd w:val="clear" w:color="auto" w:fill="auto"/>
            <w:vAlign w:val="center"/>
            <w:hideMark/>
          </w:tcPr>
          <w:p w14:paraId="70D05CBF"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285</w:t>
            </w:r>
          </w:p>
        </w:tc>
        <w:tc>
          <w:tcPr>
            <w:tcW w:w="1130" w:type="dxa"/>
            <w:tcBorders>
              <w:top w:val="nil"/>
              <w:left w:val="nil"/>
              <w:bottom w:val="single" w:sz="4" w:space="0" w:color="auto"/>
              <w:right w:val="single" w:sz="4" w:space="0" w:color="auto"/>
            </w:tcBorders>
            <w:shd w:val="clear" w:color="000000" w:fill="DAEEF3"/>
            <w:vAlign w:val="center"/>
            <w:hideMark/>
          </w:tcPr>
          <w:p w14:paraId="0482FE0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8.439.298</w:t>
            </w:r>
          </w:p>
        </w:tc>
        <w:tc>
          <w:tcPr>
            <w:tcW w:w="747" w:type="dxa"/>
            <w:tcBorders>
              <w:top w:val="nil"/>
              <w:left w:val="nil"/>
              <w:bottom w:val="single" w:sz="4" w:space="0" w:color="auto"/>
              <w:right w:val="single" w:sz="4" w:space="0" w:color="auto"/>
            </w:tcBorders>
            <w:shd w:val="clear" w:color="auto" w:fill="auto"/>
            <w:vAlign w:val="center"/>
            <w:hideMark/>
          </w:tcPr>
          <w:p w14:paraId="30582916"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457</w:t>
            </w:r>
          </w:p>
        </w:tc>
        <w:tc>
          <w:tcPr>
            <w:tcW w:w="1294" w:type="dxa"/>
            <w:tcBorders>
              <w:top w:val="nil"/>
              <w:left w:val="nil"/>
              <w:bottom w:val="single" w:sz="4" w:space="0" w:color="auto"/>
              <w:right w:val="single" w:sz="4" w:space="0" w:color="auto"/>
            </w:tcBorders>
            <w:shd w:val="clear" w:color="000000" w:fill="DAEEF3"/>
            <w:vAlign w:val="center"/>
            <w:hideMark/>
          </w:tcPr>
          <w:p w14:paraId="412D02F7"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11.668.223</w:t>
            </w:r>
          </w:p>
        </w:tc>
        <w:tc>
          <w:tcPr>
            <w:tcW w:w="838" w:type="dxa"/>
            <w:tcBorders>
              <w:top w:val="nil"/>
              <w:left w:val="nil"/>
              <w:bottom w:val="single" w:sz="4" w:space="0" w:color="auto"/>
              <w:right w:val="single" w:sz="4" w:space="0" w:color="auto"/>
            </w:tcBorders>
            <w:shd w:val="clear" w:color="auto" w:fill="auto"/>
            <w:vAlign w:val="center"/>
            <w:hideMark/>
          </w:tcPr>
          <w:p w14:paraId="76D78CA0"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160,4</w:t>
            </w:r>
          </w:p>
        </w:tc>
        <w:tc>
          <w:tcPr>
            <w:tcW w:w="967" w:type="dxa"/>
            <w:tcBorders>
              <w:top w:val="nil"/>
              <w:left w:val="nil"/>
              <w:bottom w:val="single" w:sz="4" w:space="0" w:color="auto"/>
              <w:right w:val="single" w:sz="4" w:space="0" w:color="auto"/>
            </w:tcBorders>
            <w:shd w:val="clear" w:color="auto" w:fill="auto"/>
            <w:vAlign w:val="center"/>
            <w:hideMark/>
          </w:tcPr>
          <w:p w14:paraId="463AE09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138,3</w:t>
            </w:r>
          </w:p>
        </w:tc>
      </w:tr>
      <w:tr w:rsidR="00D847F2" w:rsidRPr="00100BC2" w14:paraId="48316808" w14:textId="77777777" w:rsidTr="00556699">
        <w:trPr>
          <w:trHeight w:val="435"/>
        </w:trPr>
        <w:tc>
          <w:tcPr>
            <w:tcW w:w="3265" w:type="dxa"/>
            <w:tcBorders>
              <w:top w:val="nil"/>
              <w:left w:val="single" w:sz="4" w:space="0" w:color="auto"/>
              <w:bottom w:val="single" w:sz="4" w:space="0" w:color="auto"/>
              <w:right w:val="single" w:sz="4" w:space="0" w:color="auto"/>
            </w:tcBorders>
            <w:shd w:val="clear" w:color="auto" w:fill="auto"/>
            <w:vAlign w:val="center"/>
            <w:hideMark/>
          </w:tcPr>
          <w:p w14:paraId="7A9D83D8" w14:textId="77777777"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Plačila na podlagi prodaje nepremičnine</w:t>
            </w:r>
          </w:p>
        </w:tc>
        <w:tc>
          <w:tcPr>
            <w:tcW w:w="857" w:type="dxa"/>
            <w:tcBorders>
              <w:top w:val="nil"/>
              <w:left w:val="nil"/>
              <w:bottom w:val="single" w:sz="4" w:space="0" w:color="auto"/>
              <w:right w:val="single" w:sz="4" w:space="0" w:color="auto"/>
            </w:tcBorders>
            <w:shd w:val="clear" w:color="auto" w:fill="auto"/>
            <w:vAlign w:val="center"/>
            <w:hideMark/>
          </w:tcPr>
          <w:p w14:paraId="07D7F706"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802</w:t>
            </w:r>
          </w:p>
        </w:tc>
        <w:tc>
          <w:tcPr>
            <w:tcW w:w="1130" w:type="dxa"/>
            <w:tcBorders>
              <w:top w:val="nil"/>
              <w:left w:val="nil"/>
              <w:bottom w:val="single" w:sz="4" w:space="0" w:color="auto"/>
              <w:right w:val="single" w:sz="4" w:space="0" w:color="auto"/>
            </w:tcBorders>
            <w:shd w:val="clear" w:color="000000" w:fill="DAEEF3"/>
            <w:vAlign w:val="center"/>
            <w:hideMark/>
          </w:tcPr>
          <w:p w14:paraId="032C56E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2.690.055</w:t>
            </w:r>
          </w:p>
        </w:tc>
        <w:tc>
          <w:tcPr>
            <w:tcW w:w="747" w:type="dxa"/>
            <w:tcBorders>
              <w:top w:val="nil"/>
              <w:left w:val="nil"/>
              <w:bottom w:val="single" w:sz="4" w:space="0" w:color="auto"/>
              <w:right w:val="single" w:sz="4" w:space="0" w:color="auto"/>
            </w:tcBorders>
            <w:shd w:val="clear" w:color="auto" w:fill="auto"/>
            <w:vAlign w:val="center"/>
            <w:hideMark/>
          </w:tcPr>
          <w:p w14:paraId="570EBED2"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942</w:t>
            </w:r>
          </w:p>
        </w:tc>
        <w:tc>
          <w:tcPr>
            <w:tcW w:w="1294" w:type="dxa"/>
            <w:tcBorders>
              <w:top w:val="nil"/>
              <w:left w:val="nil"/>
              <w:bottom w:val="single" w:sz="4" w:space="0" w:color="auto"/>
              <w:right w:val="single" w:sz="4" w:space="0" w:color="auto"/>
            </w:tcBorders>
            <w:shd w:val="clear" w:color="000000" w:fill="DAEEF3"/>
            <w:vAlign w:val="center"/>
            <w:hideMark/>
          </w:tcPr>
          <w:p w14:paraId="6BBB7580"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3.406.414</w:t>
            </w:r>
          </w:p>
        </w:tc>
        <w:tc>
          <w:tcPr>
            <w:tcW w:w="838" w:type="dxa"/>
            <w:tcBorders>
              <w:top w:val="nil"/>
              <w:left w:val="nil"/>
              <w:bottom w:val="single" w:sz="4" w:space="0" w:color="auto"/>
              <w:right w:val="single" w:sz="4" w:space="0" w:color="auto"/>
            </w:tcBorders>
            <w:shd w:val="clear" w:color="auto" w:fill="auto"/>
            <w:vAlign w:val="center"/>
            <w:hideMark/>
          </w:tcPr>
          <w:p w14:paraId="11979FF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117,5</w:t>
            </w:r>
          </w:p>
        </w:tc>
        <w:tc>
          <w:tcPr>
            <w:tcW w:w="967" w:type="dxa"/>
            <w:tcBorders>
              <w:top w:val="nil"/>
              <w:left w:val="nil"/>
              <w:bottom w:val="single" w:sz="4" w:space="0" w:color="auto"/>
              <w:right w:val="single" w:sz="4" w:space="0" w:color="auto"/>
            </w:tcBorders>
            <w:shd w:val="clear" w:color="auto" w:fill="auto"/>
            <w:vAlign w:val="center"/>
            <w:hideMark/>
          </w:tcPr>
          <w:p w14:paraId="00E0B94D"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126,6</w:t>
            </w:r>
          </w:p>
        </w:tc>
      </w:tr>
    </w:tbl>
    <w:p w14:paraId="2A70E96E" w14:textId="12F8737D" w:rsidR="00D847F2" w:rsidRPr="0094063C" w:rsidRDefault="00D847F2" w:rsidP="00D847F2">
      <w:pPr>
        <w:ind w:hanging="110"/>
        <w:rPr>
          <w:rFonts w:ascii="Arial" w:hAnsi="Arial" w:cs="Arial"/>
          <w:i/>
          <w:sz w:val="20"/>
          <w:szCs w:val="20"/>
        </w:rPr>
      </w:pPr>
      <w:r w:rsidRPr="0094063C">
        <w:rPr>
          <w:rFonts w:ascii="Arial" w:hAnsi="Arial" w:cs="Arial"/>
          <w:i/>
          <w:sz w:val="20"/>
          <w:szCs w:val="20"/>
        </w:rPr>
        <w:t>Vir: FURS</w:t>
      </w:r>
      <w:r w:rsidR="002F28CA">
        <w:rPr>
          <w:rFonts w:ascii="Arial" w:hAnsi="Arial" w:cs="Arial"/>
          <w:i/>
          <w:sz w:val="20"/>
          <w:szCs w:val="20"/>
        </w:rPr>
        <w:t>.</w:t>
      </w:r>
    </w:p>
    <w:p w14:paraId="48B7DCD4" w14:textId="77777777" w:rsidR="00D847F2" w:rsidRPr="00087025" w:rsidRDefault="00D847F2" w:rsidP="00D847F2">
      <w:pPr>
        <w:jc w:val="both"/>
        <w:rPr>
          <w:rFonts w:ascii="Arial" w:eastAsia="Times New Roman" w:hAnsi="Arial" w:cs="Arial"/>
          <w:b/>
          <w:bCs/>
          <w:iCs/>
          <w:sz w:val="20"/>
          <w:szCs w:val="20"/>
          <w:lang w:eastAsia="sl-SI"/>
        </w:rPr>
      </w:pPr>
      <w:r w:rsidRPr="0083741D">
        <w:rPr>
          <w:rFonts w:ascii="Arial" w:eastAsia="Times New Roman" w:hAnsi="Arial" w:cs="Arial"/>
          <w:b/>
          <w:bCs/>
          <w:iCs/>
          <w:sz w:val="20"/>
          <w:szCs w:val="20"/>
          <w:lang w:eastAsia="sl-SI"/>
        </w:rPr>
        <w:lastRenderedPageBreak/>
        <w:t>Predlaganje izbrisov poslovnih subjektov</w:t>
      </w:r>
    </w:p>
    <w:p w14:paraId="509F8FE0" w14:textId="43C46C8E" w:rsidR="00D847F2" w:rsidRPr="00794A92" w:rsidRDefault="00D847F2" w:rsidP="00D847F2">
      <w:pPr>
        <w:spacing w:line="260" w:lineRule="exact"/>
        <w:jc w:val="both"/>
        <w:rPr>
          <w:rFonts w:ascii="Arial" w:eastAsia="Times New Roman" w:hAnsi="Arial" w:cs="Arial"/>
          <w:sz w:val="20"/>
          <w:szCs w:val="20"/>
          <w:lang w:eastAsia="sl-SI"/>
        </w:rPr>
      </w:pPr>
      <w:r w:rsidRPr="004D56C9">
        <w:rPr>
          <w:rFonts w:ascii="Arial" w:eastAsia="Times New Roman" w:hAnsi="Arial" w:cs="Arial"/>
          <w:sz w:val="20"/>
          <w:szCs w:val="20"/>
          <w:lang w:eastAsia="sl-SI"/>
        </w:rPr>
        <w:t xml:space="preserve">FURS </w:t>
      </w:r>
      <w:r w:rsidR="002F28CA">
        <w:rPr>
          <w:rFonts w:ascii="Arial" w:eastAsia="Times New Roman" w:hAnsi="Arial" w:cs="Arial"/>
          <w:sz w:val="20"/>
          <w:szCs w:val="20"/>
          <w:lang w:eastAsia="sl-SI"/>
        </w:rPr>
        <w:t>izvaja</w:t>
      </w:r>
      <w:r w:rsidRPr="004D56C9">
        <w:rPr>
          <w:rFonts w:ascii="Arial" w:eastAsia="Times New Roman" w:hAnsi="Arial" w:cs="Arial"/>
          <w:sz w:val="20"/>
          <w:szCs w:val="20"/>
          <w:lang w:eastAsia="sl-SI"/>
        </w:rPr>
        <w:t xml:space="preserve"> tudi zakonsk</w:t>
      </w:r>
      <w:r w:rsidR="002F28CA">
        <w:rPr>
          <w:rFonts w:ascii="Arial" w:eastAsia="Times New Roman" w:hAnsi="Arial" w:cs="Arial"/>
          <w:sz w:val="20"/>
          <w:szCs w:val="20"/>
          <w:lang w:eastAsia="sl-SI"/>
        </w:rPr>
        <w:t>e</w:t>
      </w:r>
      <w:r w:rsidRPr="004D56C9">
        <w:rPr>
          <w:rFonts w:ascii="Arial" w:eastAsia="Times New Roman" w:hAnsi="Arial" w:cs="Arial"/>
          <w:sz w:val="20"/>
          <w:szCs w:val="20"/>
          <w:lang w:eastAsia="sl-SI"/>
        </w:rPr>
        <w:t xml:space="preserve"> možnosti za izbris neaktivnih poslovnih subjektov, </w:t>
      </w:r>
      <w:r w:rsidR="002F28CA">
        <w:rPr>
          <w:rFonts w:ascii="Arial" w:eastAsia="Times New Roman" w:hAnsi="Arial" w:cs="Arial"/>
          <w:sz w:val="20"/>
          <w:szCs w:val="20"/>
          <w:lang w:eastAsia="sl-SI"/>
        </w:rPr>
        <w:t xml:space="preserve">in sicer </w:t>
      </w:r>
      <w:r w:rsidRPr="004D56C9">
        <w:rPr>
          <w:rFonts w:ascii="Arial" w:eastAsia="Times New Roman" w:hAnsi="Arial" w:cs="Arial"/>
          <w:sz w:val="20"/>
          <w:szCs w:val="20"/>
          <w:lang w:eastAsia="sl-SI"/>
        </w:rPr>
        <w:t>v skladu z Zakonom o gospodarskih družbah (</w:t>
      </w:r>
      <w:r>
        <w:rPr>
          <w:rFonts w:ascii="Arial" w:eastAsia="Times New Roman" w:hAnsi="Arial" w:cs="Arial"/>
          <w:sz w:val="20"/>
          <w:szCs w:val="20"/>
          <w:lang w:eastAsia="sl-SI"/>
        </w:rPr>
        <w:t xml:space="preserve">v nadaljnjem besedilu: </w:t>
      </w:r>
      <w:r w:rsidRPr="004D56C9">
        <w:rPr>
          <w:rFonts w:ascii="Arial" w:eastAsia="Times New Roman" w:hAnsi="Arial" w:cs="Arial"/>
          <w:sz w:val="20"/>
          <w:szCs w:val="20"/>
          <w:lang w:eastAsia="sl-SI"/>
        </w:rPr>
        <w:t>ZGD-1)</w:t>
      </w:r>
      <w:r>
        <w:rPr>
          <w:rStyle w:val="Sprotnaopomba-sklic"/>
          <w:rFonts w:ascii="Arial" w:eastAsia="Times New Roman" w:hAnsi="Arial" w:cs="Arial"/>
          <w:sz w:val="20"/>
          <w:szCs w:val="20"/>
          <w:lang w:eastAsia="sl-SI"/>
        </w:rPr>
        <w:footnoteReference w:id="13"/>
      </w:r>
      <w:r w:rsidRPr="004D56C9">
        <w:rPr>
          <w:rFonts w:ascii="Arial" w:eastAsia="Times New Roman" w:hAnsi="Arial" w:cs="Arial"/>
          <w:sz w:val="20"/>
          <w:szCs w:val="20"/>
          <w:lang w:eastAsia="sl-SI"/>
        </w:rPr>
        <w:t xml:space="preserve"> za samostojne podjetnike posameznike in ZFPPIPP</w:t>
      </w:r>
      <w:r>
        <w:rPr>
          <w:rFonts w:ascii="Arial" w:eastAsia="Times New Roman" w:hAnsi="Arial" w:cs="Arial"/>
          <w:sz w:val="20"/>
          <w:szCs w:val="20"/>
          <w:lang w:eastAsia="sl-SI"/>
        </w:rPr>
        <w:t xml:space="preserve"> </w:t>
      </w:r>
      <w:r w:rsidRPr="004D56C9">
        <w:rPr>
          <w:rFonts w:ascii="Arial" w:eastAsia="Times New Roman" w:hAnsi="Arial" w:cs="Arial"/>
          <w:sz w:val="20"/>
          <w:szCs w:val="20"/>
          <w:lang w:eastAsia="sl-SI"/>
        </w:rPr>
        <w:t>za subjekte vpisa v sodni register</w:t>
      </w:r>
      <w:r>
        <w:rPr>
          <w:rFonts w:ascii="Arial" w:eastAsia="Times New Roman" w:hAnsi="Arial" w:cs="Arial"/>
          <w:sz w:val="20"/>
          <w:szCs w:val="20"/>
          <w:lang w:eastAsia="sl-SI"/>
        </w:rPr>
        <w:t>.</w:t>
      </w:r>
      <w:r w:rsidRPr="004D56C9">
        <w:rPr>
          <w:rFonts w:ascii="Arial" w:eastAsia="Times New Roman" w:hAnsi="Arial" w:cs="Arial"/>
          <w:sz w:val="20"/>
          <w:szCs w:val="20"/>
          <w:lang w:eastAsia="sl-SI"/>
        </w:rPr>
        <w:t xml:space="preserve"> </w:t>
      </w:r>
    </w:p>
    <w:p w14:paraId="145F5C92" w14:textId="77777777" w:rsidR="00D847F2" w:rsidRPr="00C70762" w:rsidRDefault="00D847F2" w:rsidP="00D847F2">
      <w:pPr>
        <w:spacing w:line="260" w:lineRule="exact"/>
        <w:jc w:val="both"/>
        <w:rPr>
          <w:rFonts w:ascii="Arial" w:eastAsia="Times New Roman" w:hAnsi="Arial" w:cs="Arial"/>
          <w:color w:val="FF0000"/>
          <w:sz w:val="20"/>
          <w:szCs w:val="20"/>
          <w:lang w:eastAsia="sl-SI"/>
        </w:rPr>
      </w:pPr>
      <w:r w:rsidRPr="00100BC2">
        <w:rPr>
          <w:rFonts w:ascii="Arial" w:eastAsia="Times New Roman" w:hAnsi="Arial" w:cs="Arial"/>
          <w:sz w:val="20"/>
          <w:szCs w:val="20"/>
          <w:lang w:eastAsia="sl-SI"/>
        </w:rPr>
        <w:t>V letu 2022 je bilo podanih 320 obvestil o obstoju razlogov za izbris. Od tega 34 za samostojne podjetnike in 286 za pravne osebe. Prav tako je F</w:t>
      </w:r>
      <w:r>
        <w:rPr>
          <w:rFonts w:ascii="Arial" w:eastAsia="Times New Roman" w:hAnsi="Arial" w:cs="Arial"/>
          <w:sz w:val="20"/>
          <w:szCs w:val="20"/>
          <w:lang w:eastAsia="sl-SI"/>
        </w:rPr>
        <w:t xml:space="preserve">URS </w:t>
      </w:r>
      <w:r w:rsidRPr="00100BC2">
        <w:rPr>
          <w:rFonts w:ascii="Arial" w:eastAsia="Times New Roman" w:hAnsi="Arial" w:cs="Arial"/>
          <w:sz w:val="20"/>
          <w:szCs w:val="20"/>
          <w:lang w:eastAsia="sl-SI"/>
        </w:rPr>
        <w:t xml:space="preserve">podal zoper pravne osebe 20 predlogov za prisilno likvidacijo v skladu z </w:t>
      </w:r>
      <w:r w:rsidRPr="004D56C9">
        <w:rPr>
          <w:rFonts w:ascii="Arial" w:eastAsia="Times New Roman" w:hAnsi="Arial" w:cs="Arial"/>
          <w:sz w:val="20"/>
          <w:szCs w:val="20"/>
          <w:lang w:eastAsia="sl-SI"/>
        </w:rPr>
        <w:t>ZFPPIPP</w:t>
      </w:r>
      <w:r w:rsidRPr="00C70762">
        <w:rPr>
          <w:rFonts w:ascii="Arial" w:eastAsia="Times New Roman" w:hAnsi="Arial" w:cs="Arial"/>
          <w:color w:val="FF0000"/>
          <w:sz w:val="20"/>
          <w:szCs w:val="20"/>
          <w:lang w:eastAsia="sl-SI"/>
        </w:rPr>
        <w:t xml:space="preserve">. </w:t>
      </w:r>
    </w:p>
    <w:p w14:paraId="296EF880" w14:textId="77777777" w:rsidR="00D847F2" w:rsidRDefault="00D847F2" w:rsidP="00D847F2">
      <w:pPr>
        <w:rPr>
          <w:rFonts w:ascii="Arial" w:eastAsia="Times New Roman" w:hAnsi="Arial" w:cs="Arial"/>
          <w:i/>
          <w:sz w:val="20"/>
          <w:szCs w:val="20"/>
          <w:lang w:eastAsia="sl-SI"/>
        </w:rPr>
      </w:pPr>
      <w:r w:rsidRPr="00BF32CF">
        <w:rPr>
          <w:rFonts w:ascii="Arial" w:eastAsia="Times New Roman" w:hAnsi="Arial" w:cs="Arial"/>
          <w:i/>
          <w:sz w:val="20"/>
          <w:szCs w:val="20"/>
          <w:lang w:eastAsia="sl-SI"/>
        </w:rPr>
        <w:t xml:space="preserve">Preglednica </w:t>
      </w:r>
      <w:r>
        <w:rPr>
          <w:rFonts w:ascii="Arial" w:eastAsia="Times New Roman" w:hAnsi="Arial" w:cs="Arial"/>
          <w:i/>
          <w:sz w:val="20"/>
          <w:szCs w:val="20"/>
          <w:lang w:eastAsia="sl-SI"/>
        </w:rPr>
        <w:t>20</w:t>
      </w:r>
      <w:r w:rsidRPr="00BF32CF">
        <w:rPr>
          <w:rFonts w:ascii="Arial" w:eastAsia="Times New Roman" w:hAnsi="Arial" w:cs="Arial"/>
          <w:i/>
          <w:sz w:val="20"/>
          <w:szCs w:val="20"/>
          <w:lang w:eastAsia="sl-SI"/>
        </w:rPr>
        <w:t xml:space="preserve">: Predlogi za izbris in prisilno likvidacijo </w:t>
      </w:r>
    </w:p>
    <w:tbl>
      <w:tblPr>
        <w:tblW w:w="8711" w:type="dxa"/>
        <w:tblCellMar>
          <w:left w:w="70" w:type="dxa"/>
          <w:right w:w="70" w:type="dxa"/>
        </w:tblCellMar>
        <w:tblLook w:val="04A0" w:firstRow="1" w:lastRow="0" w:firstColumn="1" w:lastColumn="0" w:noHBand="0" w:noVBand="1"/>
      </w:tblPr>
      <w:tblGrid>
        <w:gridCol w:w="4699"/>
        <w:gridCol w:w="1212"/>
        <w:gridCol w:w="1479"/>
        <w:gridCol w:w="1321"/>
      </w:tblGrid>
      <w:tr w:rsidR="00D847F2" w:rsidRPr="00100BC2" w14:paraId="587A6838" w14:textId="77777777" w:rsidTr="00556699">
        <w:trPr>
          <w:trHeight w:val="522"/>
        </w:trPr>
        <w:tc>
          <w:tcPr>
            <w:tcW w:w="4699" w:type="dxa"/>
            <w:tcBorders>
              <w:top w:val="single" w:sz="4" w:space="0" w:color="auto"/>
              <w:left w:val="single" w:sz="4" w:space="0" w:color="auto"/>
              <w:bottom w:val="single" w:sz="4" w:space="0" w:color="auto"/>
              <w:right w:val="single" w:sz="4" w:space="0" w:color="auto"/>
            </w:tcBorders>
            <w:shd w:val="clear" w:color="000000" w:fill="31849B"/>
            <w:vAlign w:val="center"/>
            <w:hideMark/>
          </w:tcPr>
          <w:p w14:paraId="21400777" w14:textId="77777777" w:rsidR="00D847F2" w:rsidRPr="00100BC2" w:rsidRDefault="00D847F2" w:rsidP="00556699">
            <w:pPr>
              <w:spacing w:line="240" w:lineRule="auto"/>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Vsebina postopka</w:t>
            </w:r>
          </w:p>
        </w:tc>
        <w:tc>
          <w:tcPr>
            <w:tcW w:w="1212" w:type="dxa"/>
            <w:tcBorders>
              <w:top w:val="single" w:sz="4" w:space="0" w:color="auto"/>
              <w:left w:val="nil"/>
              <w:bottom w:val="single" w:sz="4" w:space="0" w:color="auto"/>
              <w:right w:val="single" w:sz="4" w:space="0" w:color="auto"/>
            </w:tcBorders>
            <w:shd w:val="clear" w:color="000000" w:fill="31869B"/>
            <w:vAlign w:val="center"/>
            <w:hideMark/>
          </w:tcPr>
          <w:p w14:paraId="306B2637"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2021</w:t>
            </w:r>
          </w:p>
        </w:tc>
        <w:tc>
          <w:tcPr>
            <w:tcW w:w="1479" w:type="dxa"/>
            <w:tcBorders>
              <w:top w:val="single" w:sz="4" w:space="0" w:color="auto"/>
              <w:left w:val="nil"/>
              <w:bottom w:val="single" w:sz="4" w:space="0" w:color="auto"/>
              <w:right w:val="single" w:sz="4" w:space="0" w:color="auto"/>
            </w:tcBorders>
            <w:shd w:val="clear" w:color="000000" w:fill="31869B"/>
            <w:vAlign w:val="center"/>
            <w:hideMark/>
          </w:tcPr>
          <w:p w14:paraId="19A5D87C"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2022</w:t>
            </w:r>
          </w:p>
        </w:tc>
        <w:tc>
          <w:tcPr>
            <w:tcW w:w="1321" w:type="dxa"/>
            <w:tcBorders>
              <w:top w:val="single" w:sz="4" w:space="0" w:color="auto"/>
              <w:left w:val="nil"/>
              <w:bottom w:val="single" w:sz="4" w:space="0" w:color="auto"/>
              <w:right w:val="single" w:sz="4" w:space="0" w:color="auto"/>
            </w:tcBorders>
            <w:shd w:val="clear" w:color="000000" w:fill="31849B"/>
            <w:vAlign w:val="center"/>
            <w:hideMark/>
          </w:tcPr>
          <w:p w14:paraId="0A6ED1FC"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Indeks 2022/2021</w:t>
            </w:r>
          </w:p>
        </w:tc>
      </w:tr>
      <w:tr w:rsidR="00D847F2" w:rsidRPr="00100BC2" w14:paraId="6ED80335" w14:textId="77777777" w:rsidTr="00556699">
        <w:trPr>
          <w:trHeight w:val="385"/>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6AFD049B" w14:textId="77777777"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Število podanih obvestil o obstoju razlogov za izbris</w:t>
            </w:r>
          </w:p>
        </w:tc>
        <w:tc>
          <w:tcPr>
            <w:tcW w:w="1212" w:type="dxa"/>
            <w:tcBorders>
              <w:top w:val="nil"/>
              <w:left w:val="nil"/>
              <w:bottom w:val="single" w:sz="4" w:space="0" w:color="auto"/>
              <w:right w:val="single" w:sz="4" w:space="0" w:color="auto"/>
            </w:tcBorders>
            <w:shd w:val="clear" w:color="auto" w:fill="auto"/>
            <w:vAlign w:val="center"/>
            <w:hideMark/>
          </w:tcPr>
          <w:p w14:paraId="07A6AD77" w14:textId="77777777" w:rsidR="00D847F2" w:rsidRPr="00100BC2" w:rsidRDefault="00D847F2" w:rsidP="00556699">
            <w:pPr>
              <w:spacing w:line="240" w:lineRule="auto"/>
              <w:jc w:val="center"/>
              <w:rPr>
                <w:rFonts w:ascii="Arial" w:eastAsia="Times New Roman" w:hAnsi="Arial" w:cs="Arial"/>
                <w:sz w:val="18"/>
                <w:szCs w:val="18"/>
                <w:lang w:eastAsia="sl-SI"/>
              </w:rPr>
            </w:pPr>
            <w:r w:rsidRPr="00100BC2">
              <w:rPr>
                <w:rFonts w:ascii="Arial" w:eastAsia="Times New Roman" w:hAnsi="Arial" w:cs="Arial"/>
                <w:sz w:val="18"/>
                <w:szCs w:val="18"/>
                <w:lang w:eastAsia="sl-SI"/>
              </w:rPr>
              <w:t>405</w:t>
            </w:r>
          </w:p>
        </w:tc>
        <w:tc>
          <w:tcPr>
            <w:tcW w:w="1479" w:type="dxa"/>
            <w:tcBorders>
              <w:top w:val="nil"/>
              <w:left w:val="nil"/>
              <w:bottom w:val="single" w:sz="4" w:space="0" w:color="auto"/>
              <w:right w:val="single" w:sz="4" w:space="0" w:color="auto"/>
            </w:tcBorders>
            <w:shd w:val="clear" w:color="auto" w:fill="auto"/>
            <w:vAlign w:val="center"/>
            <w:hideMark/>
          </w:tcPr>
          <w:p w14:paraId="20596B26" w14:textId="77777777" w:rsidR="00D847F2" w:rsidRPr="00100BC2" w:rsidRDefault="00D847F2" w:rsidP="00556699">
            <w:pPr>
              <w:spacing w:line="240" w:lineRule="auto"/>
              <w:jc w:val="center"/>
              <w:rPr>
                <w:rFonts w:ascii="Arial" w:eastAsia="Times New Roman" w:hAnsi="Arial" w:cs="Arial"/>
                <w:sz w:val="18"/>
                <w:szCs w:val="18"/>
                <w:lang w:eastAsia="sl-SI"/>
              </w:rPr>
            </w:pPr>
            <w:r w:rsidRPr="00100BC2">
              <w:rPr>
                <w:rFonts w:ascii="Arial" w:eastAsia="Times New Roman" w:hAnsi="Arial" w:cs="Arial"/>
                <w:sz w:val="18"/>
                <w:szCs w:val="18"/>
                <w:lang w:eastAsia="sl-SI"/>
              </w:rPr>
              <w:t>320</w:t>
            </w:r>
          </w:p>
        </w:tc>
        <w:tc>
          <w:tcPr>
            <w:tcW w:w="1321" w:type="dxa"/>
            <w:tcBorders>
              <w:top w:val="nil"/>
              <w:left w:val="nil"/>
              <w:bottom w:val="single" w:sz="4" w:space="0" w:color="auto"/>
              <w:right w:val="single" w:sz="4" w:space="0" w:color="auto"/>
            </w:tcBorders>
            <w:shd w:val="clear" w:color="auto" w:fill="auto"/>
            <w:vAlign w:val="center"/>
            <w:hideMark/>
          </w:tcPr>
          <w:p w14:paraId="21705E22"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79,0</w:t>
            </w:r>
          </w:p>
        </w:tc>
      </w:tr>
      <w:tr w:rsidR="00D847F2" w:rsidRPr="00100BC2" w14:paraId="54823302" w14:textId="77777777" w:rsidTr="00556699">
        <w:trPr>
          <w:trHeight w:val="385"/>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700005AE" w14:textId="61855C73"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Število podanih predlogov</w:t>
            </w:r>
            <w:r w:rsidR="00992912">
              <w:rPr>
                <w:rFonts w:ascii="Arial" w:eastAsia="Times New Roman" w:hAnsi="Arial" w:cs="Arial"/>
                <w:sz w:val="18"/>
                <w:szCs w:val="18"/>
                <w:lang w:eastAsia="sl-SI"/>
              </w:rPr>
              <w:t xml:space="preserve"> </w:t>
            </w:r>
            <w:r w:rsidRPr="00100BC2">
              <w:rPr>
                <w:rFonts w:ascii="Arial" w:eastAsia="Times New Roman" w:hAnsi="Arial" w:cs="Arial"/>
                <w:sz w:val="18"/>
                <w:szCs w:val="18"/>
                <w:lang w:eastAsia="sl-SI"/>
              </w:rPr>
              <w:t>za prisilno likvidacijo</w:t>
            </w:r>
          </w:p>
        </w:tc>
        <w:tc>
          <w:tcPr>
            <w:tcW w:w="1212" w:type="dxa"/>
            <w:tcBorders>
              <w:top w:val="nil"/>
              <w:left w:val="nil"/>
              <w:bottom w:val="single" w:sz="4" w:space="0" w:color="auto"/>
              <w:right w:val="single" w:sz="4" w:space="0" w:color="auto"/>
            </w:tcBorders>
            <w:shd w:val="clear" w:color="auto" w:fill="auto"/>
            <w:vAlign w:val="center"/>
            <w:hideMark/>
          </w:tcPr>
          <w:p w14:paraId="4BE6E71C" w14:textId="77777777" w:rsidR="00D847F2" w:rsidRPr="00100BC2" w:rsidRDefault="00D847F2" w:rsidP="00556699">
            <w:pPr>
              <w:spacing w:line="240" w:lineRule="auto"/>
              <w:jc w:val="center"/>
              <w:rPr>
                <w:rFonts w:ascii="Arial" w:eastAsia="Times New Roman" w:hAnsi="Arial" w:cs="Arial"/>
                <w:sz w:val="18"/>
                <w:szCs w:val="18"/>
                <w:lang w:eastAsia="sl-SI"/>
              </w:rPr>
            </w:pPr>
            <w:r w:rsidRPr="00100BC2">
              <w:rPr>
                <w:rFonts w:ascii="Arial" w:eastAsia="Times New Roman" w:hAnsi="Arial" w:cs="Arial"/>
                <w:sz w:val="18"/>
                <w:szCs w:val="18"/>
                <w:lang w:eastAsia="sl-SI"/>
              </w:rPr>
              <w:t>31</w:t>
            </w:r>
          </w:p>
        </w:tc>
        <w:tc>
          <w:tcPr>
            <w:tcW w:w="1479" w:type="dxa"/>
            <w:tcBorders>
              <w:top w:val="nil"/>
              <w:left w:val="nil"/>
              <w:bottom w:val="single" w:sz="4" w:space="0" w:color="auto"/>
              <w:right w:val="single" w:sz="4" w:space="0" w:color="auto"/>
            </w:tcBorders>
            <w:shd w:val="clear" w:color="auto" w:fill="auto"/>
            <w:vAlign w:val="center"/>
            <w:hideMark/>
          </w:tcPr>
          <w:p w14:paraId="743D0399" w14:textId="77777777" w:rsidR="00D847F2" w:rsidRPr="00100BC2" w:rsidRDefault="00D847F2" w:rsidP="00556699">
            <w:pPr>
              <w:spacing w:line="240" w:lineRule="auto"/>
              <w:jc w:val="center"/>
              <w:rPr>
                <w:rFonts w:ascii="Arial" w:eastAsia="Times New Roman" w:hAnsi="Arial" w:cs="Arial"/>
                <w:sz w:val="18"/>
                <w:szCs w:val="18"/>
                <w:lang w:eastAsia="sl-SI"/>
              </w:rPr>
            </w:pPr>
            <w:r w:rsidRPr="00100BC2">
              <w:rPr>
                <w:rFonts w:ascii="Arial" w:eastAsia="Times New Roman" w:hAnsi="Arial" w:cs="Arial"/>
                <w:sz w:val="18"/>
                <w:szCs w:val="18"/>
                <w:lang w:eastAsia="sl-SI"/>
              </w:rPr>
              <w:t>20</w:t>
            </w:r>
          </w:p>
        </w:tc>
        <w:tc>
          <w:tcPr>
            <w:tcW w:w="1321" w:type="dxa"/>
            <w:tcBorders>
              <w:top w:val="nil"/>
              <w:left w:val="nil"/>
              <w:bottom w:val="single" w:sz="4" w:space="0" w:color="auto"/>
              <w:right w:val="single" w:sz="4" w:space="0" w:color="auto"/>
            </w:tcBorders>
            <w:shd w:val="clear" w:color="auto" w:fill="auto"/>
            <w:vAlign w:val="center"/>
            <w:hideMark/>
          </w:tcPr>
          <w:p w14:paraId="63BFEA0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64,5</w:t>
            </w:r>
          </w:p>
        </w:tc>
      </w:tr>
    </w:tbl>
    <w:p w14:paraId="21EBC878" w14:textId="6E9321BE"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856C74">
        <w:rPr>
          <w:rFonts w:ascii="Arial" w:hAnsi="Arial" w:cs="Arial"/>
          <w:i/>
          <w:sz w:val="20"/>
          <w:szCs w:val="20"/>
        </w:rPr>
        <w:t xml:space="preserve">. </w:t>
      </w:r>
    </w:p>
    <w:p w14:paraId="6D7656EB" w14:textId="77777777" w:rsidR="00D847F2" w:rsidRPr="0057297B" w:rsidRDefault="00D847F2" w:rsidP="00D847F2">
      <w:pPr>
        <w:jc w:val="both"/>
        <w:rPr>
          <w:rFonts w:ascii="Arial" w:eastAsia="Times New Roman" w:hAnsi="Arial" w:cs="Arial"/>
          <w:b/>
          <w:bCs/>
          <w:iCs/>
          <w:sz w:val="20"/>
          <w:szCs w:val="20"/>
          <w:lang w:eastAsia="sl-SI"/>
        </w:rPr>
      </w:pPr>
      <w:r w:rsidRPr="00EB2807">
        <w:rPr>
          <w:rFonts w:ascii="Arial" w:eastAsia="Times New Roman" w:hAnsi="Arial" w:cs="Arial"/>
          <w:b/>
          <w:bCs/>
          <w:iCs/>
          <w:sz w:val="20"/>
          <w:szCs w:val="20"/>
          <w:lang w:eastAsia="sl-SI"/>
        </w:rPr>
        <w:t>Predlogi za začetek stečajnih postopkov</w:t>
      </w:r>
    </w:p>
    <w:p w14:paraId="6FF15F78" w14:textId="2CC17FE4" w:rsidR="00D847F2" w:rsidRDefault="00D847F2" w:rsidP="00D847F2">
      <w:pPr>
        <w:pStyle w:val="FURSNavaden"/>
        <w:spacing w:line="260" w:lineRule="exact"/>
      </w:pPr>
      <w:bookmarkStart w:id="22" w:name="_Hlk38115724"/>
      <w:r w:rsidRPr="00D43106">
        <w:t>V letu 202</w:t>
      </w:r>
      <w:r>
        <w:t>2</w:t>
      </w:r>
      <w:r w:rsidRPr="00D43106">
        <w:t xml:space="preserve"> je F</w:t>
      </w:r>
      <w:r>
        <w:t xml:space="preserve">URS </w:t>
      </w:r>
      <w:r w:rsidRPr="00D43106">
        <w:t xml:space="preserve">predlagal začetek stečajnih postopkov </w:t>
      </w:r>
      <w:r w:rsidRPr="00100BC2">
        <w:t>zoper 505 dolžnikov, ki so skupaj dolgovali 51.973.862</w:t>
      </w:r>
      <w:r w:rsidR="00527930" w:rsidRPr="00100BC2">
        <w:t> EUR</w:t>
      </w:r>
      <w:r w:rsidRPr="00100BC2">
        <w:t>.</w:t>
      </w:r>
      <w:r w:rsidR="00992912">
        <w:t xml:space="preserve"> </w:t>
      </w:r>
    </w:p>
    <w:p w14:paraId="19E8603A" w14:textId="77777777" w:rsidR="00D847F2" w:rsidRDefault="00D847F2" w:rsidP="00D847F2">
      <w:pPr>
        <w:pStyle w:val="FURSNavaden"/>
        <w:spacing w:line="260" w:lineRule="exact"/>
      </w:pPr>
    </w:p>
    <w:bookmarkEnd w:id="22"/>
    <w:p w14:paraId="1C629E65" w14:textId="4F6D5CC7" w:rsidR="00D847F2" w:rsidRDefault="00D847F2" w:rsidP="00D847F2">
      <w:pPr>
        <w:jc w:val="both"/>
        <w:rPr>
          <w:rFonts w:ascii="Arial" w:eastAsia="Times New Roman" w:hAnsi="Arial" w:cs="Arial"/>
          <w:i/>
          <w:sz w:val="20"/>
          <w:szCs w:val="20"/>
          <w:lang w:eastAsia="sl-SI"/>
        </w:rPr>
      </w:pPr>
      <w:r w:rsidRPr="00237554">
        <w:rPr>
          <w:rFonts w:ascii="Arial" w:eastAsia="Times New Roman" w:hAnsi="Arial" w:cs="Arial"/>
          <w:i/>
          <w:sz w:val="20"/>
          <w:szCs w:val="20"/>
          <w:lang w:eastAsia="sl-SI"/>
        </w:rPr>
        <w:t>Preglednica</w:t>
      </w:r>
      <w:r>
        <w:rPr>
          <w:rFonts w:ascii="Arial" w:eastAsia="Times New Roman" w:hAnsi="Arial" w:cs="Arial"/>
          <w:i/>
          <w:sz w:val="20"/>
          <w:szCs w:val="20"/>
          <w:lang w:eastAsia="sl-SI"/>
        </w:rPr>
        <w:t xml:space="preserve"> 21</w:t>
      </w:r>
      <w:r w:rsidRPr="00237554">
        <w:rPr>
          <w:rFonts w:ascii="Arial" w:eastAsia="Times New Roman" w:hAnsi="Arial" w:cs="Arial"/>
          <w:sz w:val="20"/>
          <w:szCs w:val="20"/>
          <w:lang w:eastAsia="sl-SI"/>
        </w:rPr>
        <w:t xml:space="preserve">: </w:t>
      </w:r>
      <w:r w:rsidRPr="00237554">
        <w:rPr>
          <w:rFonts w:ascii="Arial" w:eastAsia="Times New Roman" w:hAnsi="Arial" w:cs="Arial"/>
          <w:i/>
          <w:sz w:val="20"/>
          <w:szCs w:val="20"/>
          <w:lang w:eastAsia="sl-SI"/>
        </w:rPr>
        <w:t xml:space="preserve">Predlogi FURS za začetek stečajnega postopka </w:t>
      </w:r>
      <w:r w:rsidR="00856C74">
        <w:rPr>
          <w:rFonts w:ascii="Arial" w:eastAsia="Times New Roman" w:hAnsi="Arial" w:cs="Arial"/>
          <w:i/>
          <w:sz w:val="20"/>
          <w:szCs w:val="20"/>
          <w:lang w:eastAsia="sl-SI"/>
        </w:rPr>
        <w:t>(</w:t>
      </w:r>
      <w:r w:rsidRPr="00237554">
        <w:rPr>
          <w:rFonts w:ascii="Arial" w:eastAsia="Times New Roman" w:hAnsi="Arial" w:cs="Arial"/>
          <w:i/>
          <w:sz w:val="20"/>
          <w:szCs w:val="20"/>
          <w:lang w:eastAsia="sl-SI"/>
        </w:rPr>
        <w:t>zneski v EUR)</w:t>
      </w:r>
    </w:p>
    <w:tbl>
      <w:tblPr>
        <w:tblW w:w="8648" w:type="dxa"/>
        <w:tblCellMar>
          <w:left w:w="70" w:type="dxa"/>
          <w:right w:w="70" w:type="dxa"/>
        </w:tblCellMar>
        <w:tblLook w:val="04A0" w:firstRow="1" w:lastRow="0" w:firstColumn="1" w:lastColumn="0" w:noHBand="0" w:noVBand="1"/>
      </w:tblPr>
      <w:tblGrid>
        <w:gridCol w:w="3202"/>
        <w:gridCol w:w="846"/>
        <w:gridCol w:w="1041"/>
        <w:gridCol w:w="895"/>
        <w:gridCol w:w="1041"/>
        <w:gridCol w:w="862"/>
        <w:gridCol w:w="761"/>
      </w:tblGrid>
      <w:tr w:rsidR="00D847F2" w:rsidRPr="00100BC2" w14:paraId="71A1B3CF" w14:textId="77777777" w:rsidTr="00556699">
        <w:trPr>
          <w:trHeight w:val="408"/>
        </w:trPr>
        <w:tc>
          <w:tcPr>
            <w:tcW w:w="3286"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14:paraId="0E6351E6"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Vsebina postopka</w:t>
            </w:r>
          </w:p>
        </w:tc>
        <w:tc>
          <w:tcPr>
            <w:tcW w:w="1891" w:type="dxa"/>
            <w:gridSpan w:val="2"/>
            <w:tcBorders>
              <w:top w:val="single" w:sz="4" w:space="0" w:color="auto"/>
              <w:left w:val="nil"/>
              <w:bottom w:val="single" w:sz="4" w:space="0" w:color="auto"/>
              <w:right w:val="single" w:sz="4" w:space="0" w:color="auto"/>
            </w:tcBorders>
            <w:shd w:val="clear" w:color="000000" w:fill="31869B"/>
            <w:vAlign w:val="center"/>
            <w:hideMark/>
          </w:tcPr>
          <w:p w14:paraId="1349A9CB"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2021</w:t>
            </w:r>
          </w:p>
        </w:tc>
        <w:tc>
          <w:tcPr>
            <w:tcW w:w="1870" w:type="dxa"/>
            <w:gridSpan w:val="2"/>
            <w:tcBorders>
              <w:top w:val="single" w:sz="4" w:space="0" w:color="auto"/>
              <w:left w:val="nil"/>
              <w:bottom w:val="single" w:sz="4" w:space="0" w:color="auto"/>
              <w:right w:val="single" w:sz="4" w:space="0" w:color="auto"/>
            </w:tcBorders>
            <w:shd w:val="clear" w:color="000000" w:fill="31869B"/>
            <w:vAlign w:val="center"/>
            <w:hideMark/>
          </w:tcPr>
          <w:p w14:paraId="0C037DEE"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2022</w:t>
            </w:r>
          </w:p>
        </w:tc>
        <w:tc>
          <w:tcPr>
            <w:tcW w:w="1601" w:type="dxa"/>
            <w:gridSpan w:val="2"/>
            <w:tcBorders>
              <w:top w:val="single" w:sz="4" w:space="0" w:color="auto"/>
              <w:left w:val="nil"/>
              <w:bottom w:val="single" w:sz="4" w:space="0" w:color="auto"/>
              <w:right w:val="single" w:sz="4" w:space="0" w:color="auto"/>
            </w:tcBorders>
            <w:shd w:val="clear" w:color="000000" w:fill="31849B"/>
            <w:vAlign w:val="center"/>
            <w:hideMark/>
          </w:tcPr>
          <w:p w14:paraId="7D02DB3D"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Indeks 2022/2021</w:t>
            </w:r>
          </w:p>
        </w:tc>
      </w:tr>
      <w:tr w:rsidR="00D847F2" w:rsidRPr="00100BC2" w14:paraId="4AB9D9C7" w14:textId="77777777" w:rsidTr="00556699">
        <w:trPr>
          <w:trHeight w:val="317"/>
        </w:trPr>
        <w:tc>
          <w:tcPr>
            <w:tcW w:w="3286" w:type="dxa"/>
            <w:vMerge/>
            <w:tcBorders>
              <w:top w:val="single" w:sz="4" w:space="0" w:color="auto"/>
              <w:left w:val="single" w:sz="4" w:space="0" w:color="auto"/>
              <w:bottom w:val="single" w:sz="4" w:space="0" w:color="auto"/>
              <w:right w:val="single" w:sz="4" w:space="0" w:color="auto"/>
            </w:tcBorders>
            <w:vAlign w:val="center"/>
            <w:hideMark/>
          </w:tcPr>
          <w:p w14:paraId="637C07C1" w14:textId="77777777" w:rsidR="00D847F2" w:rsidRPr="00100BC2" w:rsidRDefault="00D847F2" w:rsidP="00556699">
            <w:pPr>
              <w:spacing w:line="240" w:lineRule="auto"/>
              <w:rPr>
                <w:rFonts w:ascii="Arial" w:eastAsia="Times New Roman" w:hAnsi="Arial" w:cs="Arial"/>
                <w:b/>
                <w:bCs/>
                <w:color w:val="FFFFFF"/>
                <w:sz w:val="18"/>
                <w:szCs w:val="18"/>
                <w:lang w:eastAsia="sl-SI"/>
              </w:rPr>
            </w:pPr>
          </w:p>
        </w:tc>
        <w:tc>
          <w:tcPr>
            <w:tcW w:w="850" w:type="dxa"/>
            <w:tcBorders>
              <w:top w:val="nil"/>
              <w:left w:val="nil"/>
              <w:bottom w:val="single" w:sz="4" w:space="0" w:color="auto"/>
              <w:right w:val="single" w:sz="4" w:space="0" w:color="auto"/>
            </w:tcBorders>
            <w:shd w:val="clear" w:color="000000" w:fill="31869B"/>
            <w:vAlign w:val="center"/>
            <w:hideMark/>
          </w:tcPr>
          <w:p w14:paraId="2842652F"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1040" w:type="dxa"/>
            <w:tcBorders>
              <w:top w:val="nil"/>
              <w:left w:val="nil"/>
              <w:bottom w:val="single" w:sz="4" w:space="0" w:color="auto"/>
              <w:right w:val="single" w:sz="4" w:space="0" w:color="auto"/>
            </w:tcBorders>
            <w:shd w:val="clear" w:color="000000" w:fill="31869B"/>
            <w:vAlign w:val="center"/>
            <w:hideMark/>
          </w:tcPr>
          <w:p w14:paraId="16308F66"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Znesek v evrih</w:t>
            </w:r>
          </w:p>
        </w:tc>
        <w:tc>
          <w:tcPr>
            <w:tcW w:w="901" w:type="dxa"/>
            <w:tcBorders>
              <w:top w:val="nil"/>
              <w:left w:val="nil"/>
              <w:bottom w:val="single" w:sz="4" w:space="0" w:color="auto"/>
              <w:right w:val="single" w:sz="4" w:space="0" w:color="auto"/>
            </w:tcBorders>
            <w:shd w:val="clear" w:color="000000" w:fill="31869B"/>
            <w:vAlign w:val="center"/>
            <w:hideMark/>
          </w:tcPr>
          <w:p w14:paraId="5FF9EEEE"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968" w:type="dxa"/>
            <w:tcBorders>
              <w:top w:val="nil"/>
              <w:left w:val="nil"/>
              <w:bottom w:val="single" w:sz="4" w:space="0" w:color="auto"/>
              <w:right w:val="single" w:sz="4" w:space="0" w:color="auto"/>
            </w:tcBorders>
            <w:shd w:val="clear" w:color="000000" w:fill="31869B"/>
            <w:vAlign w:val="center"/>
            <w:hideMark/>
          </w:tcPr>
          <w:p w14:paraId="1250071E"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Znesek v evrih</w:t>
            </w:r>
          </w:p>
        </w:tc>
        <w:tc>
          <w:tcPr>
            <w:tcW w:w="867" w:type="dxa"/>
            <w:tcBorders>
              <w:top w:val="nil"/>
              <w:left w:val="nil"/>
              <w:bottom w:val="single" w:sz="4" w:space="0" w:color="auto"/>
              <w:right w:val="single" w:sz="4" w:space="0" w:color="auto"/>
            </w:tcBorders>
            <w:shd w:val="clear" w:color="000000" w:fill="31869B"/>
            <w:vAlign w:val="center"/>
            <w:hideMark/>
          </w:tcPr>
          <w:p w14:paraId="232DB788"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Število</w:t>
            </w:r>
          </w:p>
        </w:tc>
        <w:tc>
          <w:tcPr>
            <w:tcW w:w="734" w:type="dxa"/>
            <w:tcBorders>
              <w:top w:val="nil"/>
              <w:left w:val="nil"/>
              <w:bottom w:val="single" w:sz="4" w:space="0" w:color="auto"/>
              <w:right w:val="single" w:sz="4" w:space="0" w:color="auto"/>
            </w:tcBorders>
            <w:shd w:val="clear" w:color="000000" w:fill="31869B"/>
            <w:vAlign w:val="center"/>
            <w:hideMark/>
          </w:tcPr>
          <w:p w14:paraId="2BE6A7A3" w14:textId="77777777" w:rsidR="00D847F2" w:rsidRPr="00100BC2" w:rsidRDefault="00D847F2" w:rsidP="00556699">
            <w:pPr>
              <w:spacing w:line="240" w:lineRule="auto"/>
              <w:jc w:val="center"/>
              <w:rPr>
                <w:rFonts w:ascii="Arial" w:eastAsia="Times New Roman" w:hAnsi="Arial" w:cs="Arial"/>
                <w:b/>
                <w:bCs/>
                <w:color w:val="FFFFFF"/>
                <w:sz w:val="18"/>
                <w:szCs w:val="18"/>
                <w:lang w:eastAsia="sl-SI"/>
              </w:rPr>
            </w:pPr>
            <w:r w:rsidRPr="00100BC2">
              <w:rPr>
                <w:rFonts w:ascii="Arial" w:eastAsia="Times New Roman" w:hAnsi="Arial" w:cs="Arial"/>
                <w:b/>
                <w:bCs/>
                <w:color w:val="FFFFFF"/>
                <w:sz w:val="18"/>
                <w:szCs w:val="18"/>
                <w:lang w:eastAsia="sl-SI"/>
              </w:rPr>
              <w:t xml:space="preserve">Znesek </w:t>
            </w:r>
          </w:p>
        </w:tc>
      </w:tr>
      <w:tr w:rsidR="00D847F2" w:rsidRPr="00100BC2" w14:paraId="5482F8BB" w14:textId="77777777" w:rsidTr="00556699">
        <w:trPr>
          <w:trHeight w:val="555"/>
        </w:trPr>
        <w:tc>
          <w:tcPr>
            <w:tcW w:w="3286" w:type="dxa"/>
            <w:tcBorders>
              <w:top w:val="nil"/>
              <w:left w:val="single" w:sz="4" w:space="0" w:color="auto"/>
              <w:bottom w:val="single" w:sz="4" w:space="0" w:color="auto"/>
              <w:right w:val="single" w:sz="4" w:space="0" w:color="auto"/>
            </w:tcBorders>
            <w:shd w:val="clear" w:color="auto" w:fill="auto"/>
            <w:vAlign w:val="center"/>
            <w:hideMark/>
          </w:tcPr>
          <w:p w14:paraId="56E47EA9" w14:textId="77777777" w:rsidR="00D847F2" w:rsidRPr="00100BC2" w:rsidRDefault="00D847F2" w:rsidP="00556699">
            <w:pPr>
              <w:spacing w:line="240" w:lineRule="auto"/>
              <w:rPr>
                <w:rFonts w:ascii="Arial" w:eastAsia="Times New Roman" w:hAnsi="Arial" w:cs="Arial"/>
                <w:sz w:val="18"/>
                <w:szCs w:val="18"/>
                <w:lang w:eastAsia="sl-SI"/>
              </w:rPr>
            </w:pPr>
            <w:r w:rsidRPr="00100BC2">
              <w:rPr>
                <w:rFonts w:ascii="Arial" w:eastAsia="Times New Roman" w:hAnsi="Arial" w:cs="Arial"/>
                <w:sz w:val="18"/>
                <w:szCs w:val="18"/>
                <w:lang w:eastAsia="sl-SI"/>
              </w:rPr>
              <w:t>Predlogi za začetek stečajnega postopka</w:t>
            </w:r>
          </w:p>
        </w:tc>
        <w:tc>
          <w:tcPr>
            <w:tcW w:w="850" w:type="dxa"/>
            <w:tcBorders>
              <w:top w:val="nil"/>
              <w:left w:val="nil"/>
              <w:bottom w:val="single" w:sz="4" w:space="0" w:color="auto"/>
              <w:right w:val="single" w:sz="4" w:space="0" w:color="auto"/>
            </w:tcBorders>
            <w:shd w:val="clear" w:color="auto" w:fill="auto"/>
            <w:vAlign w:val="center"/>
            <w:hideMark/>
          </w:tcPr>
          <w:p w14:paraId="16DBEB4B"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501</w:t>
            </w:r>
          </w:p>
        </w:tc>
        <w:tc>
          <w:tcPr>
            <w:tcW w:w="1040" w:type="dxa"/>
            <w:tcBorders>
              <w:top w:val="nil"/>
              <w:left w:val="nil"/>
              <w:bottom w:val="single" w:sz="4" w:space="0" w:color="auto"/>
              <w:right w:val="single" w:sz="4" w:space="0" w:color="auto"/>
            </w:tcBorders>
            <w:shd w:val="clear" w:color="000000" w:fill="DAEEF3"/>
            <w:vAlign w:val="center"/>
            <w:hideMark/>
          </w:tcPr>
          <w:p w14:paraId="0DDE642E"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63.951.792</w:t>
            </w:r>
          </w:p>
        </w:tc>
        <w:tc>
          <w:tcPr>
            <w:tcW w:w="901" w:type="dxa"/>
            <w:tcBorders>
              <w:top w:val="nil"/>
              <w:left w:val="nil"/>
              <w:bottom w:val="single" w:sz="4" w:space="0" w:color="auto"/>
              <w:right w:val="single" w:sz="4" w:space="0" w:color="auto"/>
            </w:tcBorders>
            <w:shd w:val="clear" w:color="auto" w:fill="auto"/>
            <w:vAlign w:val="center"/>
            <w:hideMark/>
          </w:tcPr>
          <w:p w14:paraId="27B5FA93"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505</w:t>
            </w:r>
          </w:p>
        </w:tc>
        <w:tc>
          <w:tcPr>
            <w:tcW w:w="968" w:type="dxa"/>
            <w:tcBorders>
              <w:top w:val="nil"/>
              <w:left w:val="nil"/>
              <w:bottom w:val="single" w:sz="4" w:space="0" w:color="auto"/>
              <w:right w:val="single" w:sz="4" w:space="0" w:color="auto"/>
            </w:tcBorders>
            <w:shd w:val="clear" w:color="000000" w:fill="DAEEF3"/>
            <w:vAlign w:val="center"/>
            <w:hideMark/>
          </w:tcPr>
          <w:p w14:paraId="0B5AA648"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51.973.862</w:t>
            </w:r>
          </w:p>
        </w:tc>
        <w:tc>
          <w:tcPr>
            <w:tcW w:w="867" w:type="dxa"/>
            <w:tcBorders>
              <w:top w:val="nil"/>
              <w:left w:val="nil"/>
              <w:bottom w:val="single" w:sz="4" w:space="0" w:color="auto"/>
              <w:right w:val="single" w:sz="4" w:space="0" w:color="auto"/>
            </w:tcBorders>
            <w:shd w:val="clear" w:color="auto" w:fill="auto"/>
            <w:vAlign w:val="center"/>
            <w:hideMark/>
          </w:tcPr>
          <w:p w14:paraId="2FA9D992"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100,8</w:t>
            </w:r>
          </w:p>
        </w:tc>
        <w:tc>
          <w:tcPr>
            <w:tcW w:w="734" w:type="dxa"/>
            <w:tcBorders>
              <w:top w:val="nil"/>
              <w:left w:val="nil"/>
              <w:bottom w:val="single" w:sz="4" w:space="0" w:color="auto"/>
              <w:right w:val="single" w:sz="4" w:space="0" w:color="auto"/>
            </w:tcBorders>
            <w:shd w:val="clear" w:color="auto" w:fill="auto"/>
            <w:vAlign w:val="center"/>
            <w:hideMark/>
          </w:tcPr>
          <w:p w14:paraId="220C7F79" w14:textId="77777777" w:rsidR="00D847F2" w:rsidRPr="00100BC2" w:rsidRDefault="00D847F2" w:rsidP="00556699">
            <w:pPr>
              <w:spacing w:line="240" w:lineRule="auto"/>
              <w:jc w:val="right"/>
              <w:rPr>
                <w:rFonts w:ascii="Arial" w:eastAsia="Times New Roman" w:hAnsi="Arial" w:cs="Arial"/>
                <w:sz w:val="18"/>
                <w:szCs w:val="18"/>
                <w:lang w:eastAsia="sl-SI"/>
              </w:rPr>
            </w:pPr>
            <w:r w:rsidRPr="00100BC2">
              <w:rPr>
                <w:rFonts w:ascii="Arial" w:eastAsia="Times New Roman" w:hAnsi="Arial" w:cs="Arial"/>
                <w:sz w:val="18"/>
                <w:szCs w:val="18"/>
                <w:lang w:eastAsia="sl-SI"/>
              </w:rPr>
              <w:t>81,3</w:t>
            </w:r>
          </w:p>
        </w:tc>
      </w:tr>
    </w:tbl>
    <w:p w14:paraId="3F8D0B7B" w14:textId="318D3129" w:rsidR="00D847F2" w:rsidRPr="00C70762" w:rsidRDefault="00D847F2" w:rsidP="00D847F2">
      <w:pPr>
        <w:rPr>
          <w:rFonts w:ascii="Arial" w:hAnsi="Arial" w:cs="Arial"/>
          <w:i/>
          <w:sz w:val="20"/>
          <w:szCs w:val="20"/>
        </w:rPr>
      </w:pPr>
      <w:r w:rsidRPr="00C70762">
        <w:rPr>
          <w:rFonts w:ascii="Arial" w:hAnsi="Arial" w:cs="Arial"/>
          <w:i/>
          <w:sz w:val="20"/>
          <w:szCs w:val="20"/>
        </w:rPr>
        <w:t>Vir: FURS</w:t>
      </w:r>
      <w:r w:rsidR="00856C74">
        <w:rPr>
          <w:rFonts w:ascii="Arial" w:hAnsi="Arial" w:cs="Arial"/>
          <w:i/>
          <w:sz w:val="20"/>
          <w:szCs w:val="20"/>
        </w:rPr>
        <w:t xml:space="preserve">. </w:t>
      </w:r>
    </w:p>
    <w:p w14:paraId="20FE3697" w14:textId="55176C0F" w:rsidR="00D847F2" w:rsidRPr="00CA37CE" w:rsidRDefault="00D847F2" w:rsidP="00D847F2">
      <w:pPr>
        <w:spacing w:line="260" w:lineRule="exact"/>
        <w:jc w:val="both"/>
        <w:rPr>
          <w:rFonts w:ascii="Arial" w:eastAsiaTheme="majorEastAsia" w:hAnsi="Arial" w:cs="Arial"/>
          <w:b/>
          <w:bCs/>
          <w:iCs/>
          <w:sz w:val="20"/>
          <w:szCs w:val="20"/>
          <w:lang w:eastAsia="sl-SI"/>
        </w:rPr>
      </w:pPr>
      <w:r w:rsidRPr="00C70762">
        <w:rPr>
          <w:rFonts w:ascii="Arial" w:eastAsiaTheme="majorEastAsia" w:hAnsi="Arial" w:cs="Arial"/>
          <w:b/>
          <w:bCs/>
          <w:iCs/>
          <w:sz w:val="20"/>
          <w:szCs w:val="20"/>
          <w:lang w:eastAsia="sl-SI"/>
        </w:rPr>
        <w:t>Medsebojna upravna pravna pomoč med državami članicami EU na področju davščin in mednarodna izterjava prispevkov</w:t>
      </w:r>
      <w:r w:rsidR="00992912">
        <w:rPr>
          <w:rFonts w:ascii="Arial" w:eastAsiaTheme="majorEastAsia" w:hAnsi="Arial" w:cs="Arial"/>
          <w:b/>
          <w:bCs/>
          <w:iCs/>
          <w:sz w:val="20"/>
          <w:szCs w:val="20"/>
          <w:lang w:eastAsia="sl-SI"/>
        </w:rPr>
        <w:t xml:space="preserve"> </w:t>
      </w:r>
    </w:p>
    <w:p w14:paraId="53810E94" w14:textId="0F02E3D7" w:rsidR="00D847F2" w:rsidRPr="00381A1B" w:rsidRDefault="00D847F2" w:rsidP="00D847F2">
      <w:pPr>
        <w:spacing w:line="260" w:lineRule="exact"/>
        <w:jc w:val="both"/>
        <w:rPr>
          <w:rFonts w:ascii="Arial" w:hAnsi="Arial" w:cs="Arial"/>
          <w:sz w:val="20"/>
          <w:szCs w:val="20"/>
        </w:rPr>
      </w:pPr>
      <w:r w:rsidRPr="00381A1B">
        <w:rPr>
          <w:rFonts w:ascii="Arial" w:hAnsi="Arial" w:cs="Arial"/>
          <w:sz w:val="20"/>
          <w:szCs w:val="20"/>
        </w:rPr>
        <w:t>Ob upoštevanju pravil o medsebojni upravni pomoči med državami članicami EU je F</w:t>
      </w:r>
      <w:r>
        <w:rPr>
          <w:rFonts w:ascii="Arial" w:hAnsi="Arial" w:cs="Arial"/>
          <w:sz w:val="20"/>
          <w:szCs w:val="20"/>
        </w:rPr>
        <w:t xml:space="preserve">URS </w:t>
      </w:r>
      <w:r w:rsidRPr="00381A1B">
        <w:rPr>
          <w:rFonts w:ascii="Arial" w:hAnsi="Arial" w:cs="Arial"/>
          <w:sz w:val="20"/>
          <w:szCs w:val="20"/>
        </w:rPr>
        <w:t xml:space="preserve">v letu 2022 v tujino </w:t>
      </w:r>
      <w:r>
        <w:rPr>
          <w:rFonts w:ascii="Arial" w:hAnsi="Arial" w:cs="Arial"/>
          <w:sz w:val="20"/>
          <w:szCs w:val="20"/>
        </w:rPr>
        <w:t>poslal</w:t>
      </w:r>
      <w:r w:rsidRPr="00381A1B">
        <w:rPr>
          <w:rFonts w:ascii="Arial" w:hAnsi="Arial" w:cs="Arial"/>
          <w:sz w:val="20"/>
          <w:szCs w:val="20"/>
        </w:rPr>
        <w:t xml:space="preserve"> 1.050 zaprosil za izterjavo davčnih obveznosti v skupnem znesku 36.736.483</w:t>
      </w:r>
      <w:r w:rsidR="00527930" w:rsidRPr="00381A1B">
        <w:rPr>
          <w:rFonts w:ascii="Arial" w:hAnsi="Arial" w:cs="Arial"/>
          <w:sz w:val="20"/>
          <w:szCs w:val="20"/>
        </w:rPr>
        <w:t> EUR</w:t>
      </w:r>
      <w:r w:rsidRPr="00381A1B">
        <w:rPr>
          <w:rFonts w:ascii="Arial" w:hAnsi="Arial" w:cs="Arial"/>
          <w:sz w:val="20"/>
          <w:szCs w:val="20"/>
        </w:rPr>
        <w:t xml:space="preserve"> in iz tega naslova prejel 2.870.605</w:t>
      </w:r>
      <w:r w:rsidR="00527930" w:rsidRPr="00381A1B">
        <w:rPr>
          <w:rFonts w:ascii="Arial" w:hAnsi="Arial" w:cs="Arial"/>
          <w:sz w:val="20"/>
          <w:szCs w:val="20"/>
        </w:rPr>
        <w:t> EUR</w:t>
      </w:r>
      <w:r w:rsidRPr="00381A1B">
        <w:rPr>
          <w:rFonts w:ascii="Arial" w:hAnsi="Arial" w:cs="Arial"/>
          <w:sz w:val="20"/>
          <w:szCs w:val="20"/>
        </w:rPr>
        <w:t xml:space="preserve"> plačil. K povečanju števila posredovanih zaprosil v druge države članice EU v primerjavi z letom 2021 je pripomogla tudi vzpostavitev avtomatizacije priprave </w:t>
      </w:r>
      <w:bookmarkStart w:id="23" w:name="_Hlk129334471"/>
      <w:r w:rsidRPr="00381A1B">
        <w:rPr>
          <w:rFonts w:ascii="Arial" w:hAnsi="Arial" w:cs="Arial"/>
          <w:sz w:val="20"/>
          <w:szCs w:val="20"/>
        </w:rPr>
        <w:t xml:space="preserve">zaprosil v informacijskem sistemu </w:t>
      </w:r>
      <w:proofErr w:type="spellStart"/>
      <w:r w:rsidRPr="00381A1B">
        <w:rPr>
          <w:rFonts w:ascii="Arial" w:hAnsi="Arial" w:cs="Arial"/>
          <w:sz w:val="20"/>
          <w:szCs w:val="20"/>
        </w:rPr>
        <w:t>eDIS</w:t>
      </w:r>
      <w:proofErr w:type="spellEnd"/>
      <w:r w:rsidRPr="00381A1B">
        <w:rPr>
          <w:rFonts w:ascii="Arial" w:hAnsi="Arial" w:cs="Arial"/>
          <w:sz w:val="20"/>
          <w:szCs w:val="20"/>
        </w:rPr>
        <w:t xml:space="preserve"> IZV, s čimer je dosežena sistemska</w:t>
      </w:r>
      <w:r w:rsidR="00856C74">
        <w:rPr>
          <w:rFonts w:ascii="Arial" w:hAnsi="Arial" w:cs="Arial"/>
          <w:sz w:val="20"/>
          <w:szCs w:val="20"/>
        </w:rPr>
        <w:t>, kar pomeni tudi</w:t>
      </w:r>
      <w:r w:rsidRPr="00381A1B">
        <w:rPr>
          <w:rFonts w:ascii="Arial" w:hAnsi="Arial" w:cs="Arial"/>
          <w:sz w:val="20"/>
          <w:szCs w:val="20"/>
        </w:rPr>
        <w:t xml:space="preserve"> </w:t>
      </w:r>
      <w:r w:rsidR="00856C74">
        <w:rPr>
          <w:rFonts w:ascii="Arial" w:hAnsi="Arial" w:cs="Arial"/>
          <w:sz w:val="20"/>
          <w:szCs w:val="20"/>
        </w:rPr>
        <w:t xml:space="preserve">njihova </w:t>
      </w:r>
      <w:r w:rsidRPr="00381A1B">
        <w:rPr>
          <w:rFonts w:ascii="Arial" w:hAnsi="Arial" w:cs="Arial"/>
          <w:sz w:val="20"/>
          <w:szCs w:val="20"/>
        </w:rPr>
        <w:t xml:space="preserve">hitrejša priprava. Poleg navedenega so v letu 2021 zaradi epidemije </w:t>
      </w:r>
      <w:r>
        <w:rPr>
          <w:rFonts w:ascii="Arial" w:hAnsi="Arial" w:cs="Arial"/>
          <w:sz w:val="20"/>
          <w:szCs w:val="20"/>
        </w:rPr>
        <w:t>covida</w:t>
      </w:r>
      <w:r w:rsidRPr="00381A1B">
        <w:rPr>
          <w:rFonts w:ascii="Arial" w:hAnsi="Arial" w:cs="Arial"/>
          <w:sz w:val="20"/>
          <w:szCs w:val="20"/>
        </w:rPr>
        <w:t>-19 številne evropske države sprejele ukrepe, ki so vplivali na izvajanje postopkov izterjave (neizvajanje oz</w:t>
      </w:r>
      <w:r w:rsidR="00856C74">
        <w:rPr>
          <w:rFonts w:ascii="Arial" w:hAnsi="Arial" w:cs="Arial"/>
          <w:sz w:val="20"/>
          <w:szCs w:val="20"/>
        </w:rPr>
        <w:t>iroma</w:t>
      </w:r>
      <w:r w:rsidRPr="00381A1B">
        <w:rPr>
          <w:rFonts w:ascii="Arial" w:hAnsi="Arial" w:cs="Arial"/>
          <w:sz w:val="20"/>
          <w:szCs w:val="20"/>
        </w:rPr>
        <w:t xml:space="preserve"> zadržanje postopkov davčne izvršbe, odobritev plačilnih ugodnosti i</w:t>
      </w:r>
      <w:r w:rsidR="00856C74">
        <w:rPr>
          <w:rFonts w:ascii="Arial" w:hAnsi="Arial" w:cs="Arial"/>
          <w:sz w:val="20"/>
          <w:szCs w:val="20"/>
        </w:rPr>
        <w:t xml:space="preserve">n </w:t>
      </w:r>
      <w:r w:rsidRPr="00381A1B">
        <w:rPr>
          <w:rFonts w:ascii="Arial" w:hAnsi="Arial" w:cs="Arial"/>
          <w:sz w:val="20"/>
          <w:szCs w:val="20"/>
        </w:rPr>
        <w:t>p</w:t>
      </w:r>
      <w:r w:rsidR="00856C74">
        <w:rPr>
          <w:rFonts w:ascii="Arial" w:hAnsi="Arial" w:cs="Arial"/>
          <w:sz w:val="20"/>
          <w:szCs w:val="20"/>
        </w:rPr>
        <w:t>o</w:t>
      </w:r>
      <w:r w:rsidRPr="00381A1B">
        <w:rPr>
          <w:rFonts w:ascii="Arial" w:hAnsi="Arial" w:cs="Arial"/>
          <w:sz w:val="20"/>
          <w:szCs w:val="20"/>
        </w:rPr>
        <w:t>d</w:t>
      </w:r>
      <w:r w:rsidR="00856C74">
        <w:rPr>
          <w:rFonts w:ascii="Arial" w:hAnsi="Arial" w:cs="Arial"/>
          <w:sz w:val="20"/>
          <w:szCs w:val="20"/>
        </w:rPr>
        <w:t>obno</w:t>
      </w:r>
      <w:r w:rsidRPr="00381A1B">
        <w:rPr>
          <w:rFonts w:ascii="Arial" w:hAnsi="Arial" w:cs="Arial"/>
          <w:sz w:val="20"/>
          <w:szCs w:val="20"/>
        </w:rPr>
        <w:t xml:space="preserve">), </w:t>
      </w:r>
      <w:r w:rsidR="00856C74">
        <w:rPr>
          <w:rFonts w:ascii="Arial" w:hAnsi="Arial" w:cs="Arial"/>
          <w:sz w:val="20"/>
          <w:szCs w:val="20"/>
        </w:rPr>
        <w:t xml:space="preserve">zaradi česar </w:t>
      </w:r>
      <w:r w:rsidRPr="00381A1B">
        <w:rPr>
          <w:rFonts w:ascii="Arial" w:hAnsi="Arial" w:cs="Arial"/>
          <w:sz w:val="20"/>
          <w:szCs w:val="20"/>
        </w:rPr>
        <w:t>je bilo v letu 2021 v druge države članice EU poslanih manj zaprosil.</w:t>
      </w:r>
    </w:p>
    <w:p w14:paraId="191927CC" w14:textId="6B3216D2" w:rsidR="00D847F2" w:rsidRDefault="00D847F2" w:rsidP="00D847F2">
      <w:pPr>
        <w:spacing w:line="260" w:lineRule="exact"/>
        <w:jc w:val="both"/>
        <w:rPr>
          <w:rFonts w:ascii="Arial" w:hAnsi="Arial" w:cs="Arial"/>
          <w:sz w:val="20"/>
          <w:szCs w:val="20"/>
        </w:rPr>
      </w:pPr>
      <w:bookmarkStart w:id="24" w:name="_Hlk129334491"/>
      <w:bookmarkEnd w:id="23"/>
      <w:r w:rsidRPr="00381A1B">
        <w:rPr>
          <w:rFonts w:ascii="Arial" w:hAnsi="Arial" w:cs="Arial"/>
          <w:sz w:val="20"/>
          <w:szCs w:val="20"/>
        </w:rPr>
        <w:t xml:space="preserve">Za zavarovanje plačila davčnih obveznosti so bila posredovana </w:t>
      </w:r>
      <w:r>
        <w:rPr>
          <w:rFonts w:ascii="Arial" w:hAnsi="Arial" w:cs="Arial"/>
          <w:sz w:val="20"/>
          <w:szCs w:val="20"/>
        </w:rPr>
        <w:t>tri</w:t>
      </w:r>
      <w:r w:rsidRPr="00381A1B">
        <w:rPr>
          <w:rFonts w:ascii="Arial" w:hAnsi="Arial" w:cs="Arial"/>
          <w:sz w:val="20"/>
          <w:szCs w:val="20"/>
        </w:rPr>
        <w:t xml:space="preserve"> zaprosila v skupni višini 747.163</w:t>
      </w:r>
      <w:r w:rsidR="00527930" w:rsidRPr="00381A1B">
        <w:rPr>
          <w:rFonts w:ascii="Arial" w:hAnsi="Arial" w:cs="Arial"/>
          <w:sz w:val="20"/>
          <w:szCs w:val="20"/>
        </w:rPr>
        <w:t> EUR</w:t>
      </w:r>
      <w:r w:rsidRPr="00381A1B">
        <w:rPr>
          <w:rFonts w:ascii="Arial" w:hAnsi="Arial" w:cs="Arial"/>
          <w:sz w:val="20"/>
          <w:szCs w:val="20"/>
        </w:rPr>
        <w:t xml:space="preserve">, iz tega naslova še ni bilo prejetih plačil. Posredovanih je bilo tudi 261 zaprosil za podatke in </w:t>
      </w:r>
      <w:r>
        <w:rPr>
          <w:rFonts w:ascii="Arial" w:hAnsi="Arial" w:cs="Arial"/>
          <w:sz w:val="20"/>
          <w:szCs w:val="20"/>
        </w:rPr>
        <w:t>eno</w:t>
      </w:r>
      <w:r w:rsidRPr="00381A1B">
        <w:rPr>
          <w:rFonts w:ascii="Arial" w:hAnsi="Arial" w:cs="Arial"/>
          <w:sz w:val="20"/>
          <w:szCs w:val="20"/>
        </w:rPr>
        <w:t xml:space="preserve"> zaprosilo za vročitev akta, ki se nanaša na davščino oziroma njeno izterjavo.</w:t>
      </w:r>
    </w:p>
    <w:bookmarkEnd w:id="24"/>
    <w:p w14:paraId="75188364" w14:textId="30280B27" w:rsidR="00D847F2" w:rsidRDefault="00D847F2" w:rsidP="00D847F2">
      <w:pPr>
        <w:pStyle w:val="FURSNavaden"/>
        <w:rPr>
          <w:rFonts w:eastAsia="Times New Roman" w:cs="Arial"/>
          <w:i/>
          <w:szCs w:val="20"/>
        </w:rPr>
      </w:pPr>
      <w:r w:rsidRPr="009F62ED">
        <w:rPr>
          <w:rFonts w:eastAsia="Times New Roman" w:cs="Arial"/>
          <w:i/>
          <w:szCs w:val="20"/>
        </w:rPr>
        <w:lastRenderedPageBreak/>
        <w:t xml:space="preserve">Preglednica </w:t>
      </w:r>
      <w:r>
        <w:rPr>
          <w:rFonts w:eastAsia="Times New Roman" w:cs="Arial"/>
          <w:i/>
          <w:szCs w:val="20"/>
        </w:rPr>
        <w:t>22</w:t>
      </w:r>
      <w:r w:rsidRPr="009F62ED">
        <w:rPr>
          <w:rFonts w:eastAsia="Times New Roman" w:cs="Arial"/>
          <w:i/>
          <w:szCs w:val="20"/>
        </w:rPr>
        <w:t xml:space="preserve">: Podana zaprosila za izterjavo davčnih obveznosti na podlagi medsebojne upravne pomoči med članicami EU </w:t>
      </w:r>
    </w:p>
    <w:p w14:paraId="48757BB4" w14:textId="77777777" w:rsidR="00D847F2" w:rsidRDefault="00D847F2" w:rsidP="00D847F2">
      <w:pPr>
        <w:pStyle w:val="FURSNavaden"/>
        <w:rPr>
          <w:rFonts w:eastAsia="Times New Roman" w:cs="Arial"/>
          <w:i/>
          <w:szCs w:val="20"/>
        </w:rPr>
      </w:pPr>
    </w:p>
    <w:tbl>
      <w:tblPr>
        <w:tblW w:w="9211" w:type="dxa"/>
        <w:tblCellMar>
          <w:left w:w="70" w:type="dxa"/>
          <w:right w:w="70" w:type="dxa"/>
        </w:tblCellMar>
        <w:tblLook w:val="04A0" w:firstRow="1" w:lastRow="0" w:firstColumn="1" w:lastColumn="0" w:noHBand="0" w:noVBand="1"/>
      </w:tblPr>
      <w:tblGrid>
        <w:gridCol w:w="3484"/>
        <w:gridCol w:w="908"/>
        <w:gridCol w:w="1109"/>
        <w:gridCol w:w="962"/>
        <w:gridCol w:w="1041"/>
        <w:gridCol w:w="925"/>
        <w:gridCol w:w="782"/>
      </w:tblGrid>
      <w:tr w:rsidR="00D847F2" w:rsidRPr="0099314A" w14:paraId="30972508" w14:textId="77777777" w:rsidTr="00556699">
        <w:trPr>
          <w:trHeight w:val="338"/>
        </w:trPr>
        <w:tc>
          <w:tcPr>
            <w:tcW w:w="3484"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14:paraId="5E178347"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Vsebina postopka*</w:t>
            </w:r>
          </w:p>
        </w:tc>
        <w:tc>
          <w:tcPr>
            <w:tcW w:w="2017" w:type="dxa"/>
            <w:gridSpan w:val="2"/>
            <w:tcBorders>
              <w:top w:val="single" w:sz="4" w:space="0" w:color="auto"/>
              <w:left w:val="nil"/>
              <w:bottom w:val="single" w:sz="4" w:space="0" w:color="auto"/>
              <w:right w:val="single" w:sz="4" w:space="0" w:color="auto"/>
            </w:tcBorders>
            <w:shd w:val="clear" w:color="000000" w:fill="31869B"/>
            <w:vAlign w:val="bottom"/>
            <w:hideMark/>
          </w:tcPr>
          <w:p w14:paraId="4714214B"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2021</w:t>
            </w:r>
          </w:p>
        </w:tc>
        <w:tc>
          <w:tcPr>
            <w:tcW w:w="2003" w:type="dxa"/>
            <w:gridSpan w:val="2"/>
            <w:tcBorders>
              <w:top w:val="single" w:sz="4" w:space="0" w:color="auto"/>
              <w:left w:val="nil"/>
              <w:bottom w:val="single" w:sz="4" w:space="0" w:color="auto"/>
              <w:right w:val="single" w:sz="4" w:space="0" w:color="auto"/>
            </w:tcBorders>
            <w:shd w:val="clear" w:color="000000" w:fill="31869B"/>
            <w:noWrap/>
            <w:vAlign w:val="bottom"/>
            <w:hideMark/>
          </w:tcPr>
          <w:p w14:paraId="6A4E26AA"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2022</w:t>
            </w:r>
          </w:p>
        </w:tc>
        <w:tc>
          <w:tcPr>
            <w:tcW w:w="1707" w:type="dxa"/>
            <w:gridSpan w:val="2"/>
            <w:tcBorders>
              <w:top w:val="single" w:sz="4" w:space="0" w:color="auto"/>
              <w:left w:val="nil"/>
              <w:bottom w:val="single" w:sz="4" w:space="0" w:color="auto"/>
              <w:right w:val="single" w:sz="4" w:space="0" w:color="auto"/>
            </w:tcBorders>
            <w:shd w:val="clear" w:color="000000" w:fill="31849B"/>
            <w:vAlign w:val="center"/>
            <w:hideMark/>
          </w:tcPr>
          <w:p w14:paraId="532E4197"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Indeks 2022/2021</w:t>
            </w:r>
          </w:p>
        </w:tc>
      </w:tr>
      <w:tr w:rsidR="00D847F2" w:rsidRPr="0099314A" w14:paraId="37D4F396" w14:textId="77777777" w:rsidTr="00556699">
        <w:trPr>
          <w:trHeight w:val="416"/>
        </w:trPr>
        <w:tc>
          <w:tcPr>
            <w:tcW w:w="3484" w:type="dxa"/>
            <w:vMerge/>
            <w:tcBorders>
              <w:top w:val="single" w:sz="4" w:space="0" w:color="auto"/>
              <w:left w:val="single" w:sz="4" w:space="0" w:color="auto"/>
              <w:bottom w:val="single" w:sz="4" w:space="0" w:color="auto"/>
              <w:right w:val="single" w:sz="4" w:space="0" w:color="auto"/>
            </w:tcBorders>
            <w:vAlign w:val="center"/>
            <w:hideMark/>
          </w:tcPr>
          <w:p w14:paraId="31748251" w14:textId="77777777" w:rsidR="00D847F2" w:rsidRPr="00381A1B" w:rsidRDefault="00D847F2" w:rsidP="00556699">
            <w:pPr>
              <w:spacing w:line="240" w:lineRule="auto"/>
              <w:rPr>
                <w:rFonts w:ascii="Arial" w:eastAsia="Times New Roman" w:hAnsi="Arial" w:cs="Arial"/>
                <w:b/>
                <w:bCs/>
                <w:color w:val="FFFFFF"/>
                <w:sz w:val="18"/>
                <w:szCs w:val="18"/>
                <w:lang w:eastAsia="sl-SI"/>
              </w:rPr>
            </w:pPr>
          </w:p>
        </w:tc>
        <w:tc>
          <w:tcPr>
            <w:tcW w:w="908" w:type="dxa"/>
            <w:tcBorders>
              <w:top w:val="nil"/>
              <w:left w:val="nil"/>
              <w:bottom w:val="single" w:sz="4" w:space="0" w:color="auto"/>
              <w:right w:val="single" w:sz="4" w:space="0" w:color="auto"/>
            </w:tcBorders>
            <w:shd w:val="clear" w:color="000000" w:fill="31869B"/>
            <w:vAlign w:val="center"/>
            <w:hideMark/>
          </w:tcPr>
          <w:p w14:paraId="5DB8322B"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1109" w:type="dxa"/>
            <w:tcBorders>
              <w:top w:val="nil"/>
              <w:left w:val="nil"/>
              <w:bottom w:val="single" w:sz="4" w:space="0" w:color="auto"/>
              <w:right w:val="single" w:sz="4" w:space="0" w:color="auto"/>
            </w:tcBorders>
            <w:shd w:val="clear" w:color="000000" w:fill="31869B"/>
            <w:vAlign w:val="center"/>
            <w:hideMark/>
          </w:tcPr>
          <w:p w14:paraId="7E69862A"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Znesek v evrih</w:t>
            </w:r>
          </w:p>
        </w:tc>
        <w:tc>
          <w:tcPr>
            <w:tcW w:w="962" w:type="dxa"/>
            <w:tcBorders>
              <w:top w:val="nil"/>
              <w:left w:val="nil"/>
              <w:bottom w:val="single" w:sz="4" w:space="0" w:color="auto"/>
              <w:right w:val="single" w:sz="4" w:space="0" w:color="auto"/>
            </w:tcBorders>
            <w:shd w:val="clear" w:color="000000" w:fill="31869B"/>
            <w:vAlign w:val="center"/>
            <w:hideMark/>
          </w:tcPr>
          <w:p w14:paraId="314D04B3"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1041" w:type="dxa"/>
            <w:tcBorders>
              <w:top w:val="nil"/>
              <w:left w:val="nil"/>
              <w:bottom w:val="single" w:sz="4" w:space="0" w:color="auto"/>
              <w:right w:val="single" w:sz="4" w:space="0" w:color="auto"/>
            </w:tcBorders>
            <w:shd w:val="clear" w:color="000000" w:fill="31869B"/>
            <w:vAlign w:val="center"/>
            <w:hideMark/>
          </w:tcPr>
          <w:p w14:paraId="72BA2236"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Znesek v evrih</w:t>
            </w:r>
          </w:p>
        </w:tc>
        <w:tc>
          <w:tcPr>
            <w:tcW w:w="925" w:type="dxa"/>
            <w:tcBorders>
              <w:top w:val="nil"/>
              <w:left w:val="nil"/>
              <w:bottom w:val="single" w:sz="4" w:space="0" w:color="auto"/>
              <w:right w:val="single" w:sz="4" w:space="0" w:color="auto"/>
            </w:tcBorders>
            <w:shd w:val="clear" w:color="000000" w:fill="31869B"/>
            <w:vAlign w:val="center"/>
            <w:hideMark/>
          </w:tcPr>
          <w:p w14:paraId="69BF73FD"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782" w:type="dxa"/>
            <w:tcBorders>
              <w:top w:val="nil"/>
              <w:left w:val="nil"/>
              <w:bottom w:val="single" w:sz="4" w:space="0" w:color="auto"/>
              <w:right w:val="single" w:sz="4" w:space="0" w:color="auto"/>
            </w:tcBorders>
            <w:shd w:val="clear" w:color="000000" w:fill="31869B"/>
            <w:vAlign w:val="center"/>
            <w:hideMark/>
          </w:tcPr>
          <w:p w14:paraId="70D1B335"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 xml:space="preserve">Znesek </w:t>
            </w:r>
          </w:p>
        </w:tc>
      </w:tr>
      <w:tr w:rsidR="00D847F2" w:rsidRPr="0099314A" w14:paraId="2DE6AEB3" w14:textId="77777777" w:rsidTr="00556699">
        <w:trPr>
          <w:trHeight w:val="564"/>
        </w:trPr>
        <w:tc>
          <w:tcPr>
            <w:tcW w:w="3484" w:type="dxa"/>
            <w:tcBorders>
              <w:top w:val="nil"/>
              <w:left w:val="single" w:sz="4" w:space="0" w:color="auto"/>
              <w:bottom w:val="single" w:sz="4" w:space="0" w:color="auto"/>
              <w:right w:val="single" w:sz="4" w:space="0" w:color="auto"/>
            </w:tcBorders>
            <w:shd w:val="clear" w:color="auto" w:fill="auto"/>
            <w:vAlign w:val="center"/>
            <w:hideMark/>
          </w:tcPr>
          <w:p w14:paraId="7F919ABA" w14:textId="7D7F8ACE" w:rsidR="00D847F2" w:rsidRPr="00381A1B" w:rsidRDefault="00D847F2" w:rsidP="00856C74">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Posredovana zaprosila za izterjavo davčnih obveznosti v EU</w:t>
            </w:r>
          </w:p>
        </w:tc>
        <w:tc>
          <w:tcPr>
            <w:tcW w:w="908" w:type="dxa"/>
            <w:tcBorders>
              <w:top w:val="nil"/>
              <w:left w:val="nil"/>
              <w:bottom w:val="single" w:sz="4" w:space="0" w:color="auto"/>
              <w:right w:val="single" w:sz="4" w:space="0" w:color="auto"/>
            </w:tcBorders>
            <w:shd w:val="clear" w:color="auto" w:fill="auto"/>
            <w:noWrap/>
            <w:vAlign w:val="bottom"/>
            <w:hideMark/>
          </w:tcPr>
          <w:p w14:paraId="0FE9DE97"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574</w:t>
            </w:r>
          </w:p>
        </w:tc>
        <w:tc>
          <w:tcPr>
            <w:tcW w:w="1109" w:type="dxa"/>
            <w:tcBorders>
              <w:top w:val="nil"/>
              <w:left w:val="nil"/>
              <w:bottom w:val="single" w:sz="4" w:space="0" w:color="auto"/>
              <w:right w:val="single" w:sz="4" w:space="0" w:color="auto"/>
            </w:tcBorders>
            <w:shd w:val="clear" w:color="000000" w:fill="DAEEF3"/>
            <w:noWrap/>
            <w:vAlign w:val="bottom"/>
            <w:hideMark/>
          </w:tcPr>
          <w:p w14:paraId="1A0CF4A4"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19.075.373</w:t>
            </w:r>
          </w:p>
        </w:tc>
        <w:tc>
          <w:tcPr>
            <w:tcW w:w="962" w:type="dxa"/>
            <w:tcBorders>
              <w:top w:val="nil"/>
              <w:left w:val="nil"/>
              <w:bottom w:val="single" w:sz="4" w:space="0" w:color="auto"/>
              <w:right w:val="single" w:sz="4" w:space="0" w:color="auto"/>
            </w:tcBorders>
            <w:shd w:val="clear" w:color="auto" w:fill="auto"/>
            <w:noWrap/>
            <w:vAlign w:val="bottom"/>
            <w:hideMark/>
          </w:tcPr>
          <w:p w14:paraId="7E11EA60"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1.050</w:t>
            </w:r>
          </w:p>
        </w:tc>
        <w:tc>
          <w:tcPr>
            <w:tcW w:w="1041" w:type="dxa"/>
            <w:tcBorders>
              <w:top w:val="nil"/>
              <w:left w:val="nil"/>
              <w:bottom w:val="single" w:sz="4" w:space="0" w:color="auto"/>
              <w:right w:val="single" w:sz="4" w:space="0" w:color="auto"/>
            </w:tcBorders>
            <w:shd w:val="clear" w:color="000000" w:fill="DAEEF3"/>
            <w:noWrap/>
            <w:vAlign w:val="bottom"/>
            <w:hideMark/>
          </w:tcPr>
          <w:p w14:paraId="10596AED"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36.736.483</w:t>
            </w:r>
          </w:p>
        </w:tc>
        <w:tc>
          <w:tcPr>
            <w:tcW w:w="925" w:type="dxa"/>
            <w:tcBorders>
              <w:top w:val="nil"/>
              <w:left w:val="nil"/>
              <w:bottom w:val="single" w:sz="4" w:space="0" w:color="auto"/>
              <w:right w:val="single" w:sz="4" w:space="0" w:color="auto"/>
            </w:tcBorders>
            <w:shd w:val="clear" w:color="auto" w:fill="auto"/>
            <w:noWrap/>
            <w:vAlign w:val="bottom"/>
            <w:hideMark/>
          </w:tcPr>
          <w:p w14:paraId="5167B7ED"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182,9</w:t>
            </w:r>
          </w:p>
        </w:tc>
        <w:tc>
          <w:tcPr>
            <w:tcW w:w="782" w:type="dxa"/>
            <w:tcBorders>
              <w:top w:val="nil"/>
              <w:left w:val="nil"/>
              <w:bottom w:val="single" w:sz="4" w:space="0" w:color="auto"/>
              <w:right w:val="single" w:sz="4" w:space="0" w:color="auto"/>
            </w:tcBorders>
            <w:shd w:val="clear" w:color="auto" w:fill="auto"/>
            <w:noWrap/>
            <w:vAlign w:val="bottom"/>
            <w:hideMark/>
          </w:tcPr>
          <w:p w14:paraId="1307D0EC"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192,6</w:t>
            </w:r>
          </w:p>
        </w:tc>
      </w:tr>
      <w:tr w:rsidR="00D847F2" w:rsidRPr="0099314A" w14:paraId="1B362ADE" w14:textId="77777777" w:rsidTr="00556699">
        <w:trPr>
          <w:trHeight w:val="546"/>
        </w:trPr>
        <w:tc>
          <w:tcPr>
            <w:tcW w:w="3484" w:type="dxa"/>
            <w:tcBorders>
              <w:top w:val="nil"/>
              <w:left w:val="single" w:sz="4" w:space="0" w:color="auto"/>
              <w:bottom w:val="single" w:sz="4" w:space="0" w:color="auto"/>
              <w:right w:val="single" w:sz="4" w:space="0" w:color="auto"/>
            </w:tcBorders>
            <w:shd w:val="clear" w:color="auto" w:fill="auto"/>
            <w:vAlign w:val="center"/>
            <w:hideMark/>
          </w:tcPr>
          <w:p w14:paraId="05C8CF04"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xml:space="preserve">Prejeta plačila </w:t>
            </w:r>
          </w:p>
        </w:tc>
        <w:tc>
          <w:tcPr>
            <w:tcW w:w="908" w:type="dxa"/>
            <w:tcBorders>
              <w:top w:val="nil"/>
              <w:left w:val="nil"/>
              <w:bottom w:val="single" w:sz="4" w:space="0" w:color="auto"/>
              <w:right w:val="single" w:sz="4" w:space="0" w:color="auto"/>
            </w:tcBorders>
            <w:shd w:val="clear" w:color="auto" w:fill="auto"/>
            <w:noWrap/>
            <w:vAlign w:val="bottom"/>
            <w:hideMark/>
          </w:tcPr>
          <w:p w14:paraId="03BA7298"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1109" w:type="dxa"/>
            <w:tcBorders>
              <w:top w:val="nil"/>
              <w:left w:val="nil"/>
              <w:bottom w:val="single" w:sz="4" w:space="0" w:color="auto"/>
              <w:right w:val="single" w:sz="4" w:space="0" w:color="auto"/>
            </w:tcBorders>
            <w:shd w:val="clear" w:color="000000" w:fill="DAEEF3"/>
            <w:noWrap/>
            <w:vAlign w:val="bottom"/>
            <w:hideMark/>
          </w:tcPr>
          <w:p w14:paraId="22CAF628"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1.105.345</w:t>
            </w:r>
          </w:p>
        </w:tc>
        <w:tc>
          <w:tcPr>
            <w:tcW w:w="962" w:type="dxa"/>
            <w:tcBorders>
              <w:top w:val="nil"/>
              <w:left w:val="nil"/>
              <w:bottom w:val="single" w:sz="4" w:space="0" w:color="auto"/>
              <w:right w:val="single" w:sz="4" w:space="0" w:color="auto"/>
            </w:tcBorders>
            <w:shd w:val="clear" w:color="auto" w:fill="auto"/>
            <w:noWrap/>
            <w:vAlign w:val="bottom"/>
            <w:hideMark/>
          </w:tcPr>
          <w:p w14:paraId="5F521434"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1041" w:type="dxa"/>
            <w:tcBorders>
              <w:top w:val="nil"/>
              <w:left w:val="nil"/>
              <w:bottom w:val="single" w:sz="4" w:space="0" w:color="auto"/>
              <w:right w:val="single" w:sz="4" w:space="0" w:color="auto"/>
            </w:tcBorders>
            <w:shd w:val="clear" w:color="000000" w:fill="DAEEF3"/>
            <w:noWrap/>
            <w:vAlign w:val="bottom"/>
            <w:hideMark/>
          </w:tcPr>
          <w:p w14:paraId="6ADDE727"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2.870.605</w:t>
            </w:r>
          </w:p>
        </w:tc>
        <w:tc>
          <w:tcPr>
            <w:tcW w:w="925" w:type="dxa"/>
            <w:tcBorders>
              <w:top w:val="nil"/>
              <w:left w:val="nil"/>
              <w:bottom w:val="single" w:sz="4" w:space="0" w:color="auto"/>
              <w:right w:val="single" w:sz="4" w:space="0" w:color="auto"/>
            </w:tcBorders>
            <w:shd w:val="clear" w:color="auto" w:fill="auto"/>
            <w:noWrap/>
            <w:vAlign w:val="bottom"/>
            <w:hideMark/>
          </w:tcPr>
          <w:p w14:paraId="5DF9C252"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782" w:type="dxa"/>
            <w:tcBorders>
              <w:top w:val="nil"/>
              <w:left w:val="nil"/>
              <w:bottom w:val="single" w:sz="4" w:space="0" w:color="auto"/>
              <w:right w:val="single" w:sz="4" w:space="0" w:color="auto"/>
            </w:tcBorders>
            <w:shd w:val="clear" w:color="auto" w:fill="auto"/>
            <w:noWrap/>
            <w:vAlign w:val="bottom"/>
            <w:hideMark/>
          </w:tcPr>
          <w:p w14:paraId="51A0A711"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259,7</w:t>
            </w:r>
          </w:p>
        </w:tc>
      </w:tr>
      <w:tr w:rsidR="00D847F2" w:rsidRPr="0099314A" w14:paraId="5D987736" w14:textId="77777777" w:rsidTr="00556699">
        <w:trPr>
          <w:trHeight w:val="566"/>
        </w:trPr>
        <w:tc>
          <w:tcPr>
            <w:tcW w:w="3484" w:type="dxa"/>
            <w:tcBorders>
              <w:top w:val="nil"/>
              <w:left w:val="single" w:sz="4" w:space="0" w:color="auto"/>
              <w:bottom w:val="single" w:sz="4" w:space="0" w:color="auto"/>
              <w:right w:val="single" w:sz="4" w:space="0" w:color="auto"/>
            </w:tcBorders>
            <w:shd w:val="clear" w:color="auto" w:fill="auto"/>
            <w:vAlign w:val="center"/>
            <w:hideMark/>
          </w:tcPr>
          <w:p w14:paraId="08174B83"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Prejeta zaprosila za izterjavo davčnih obveznosti v EU</w:t>
            </w:r>
          </w:p>
        </w:tc>
        <w:tc>
          <w:tcPr>
            <w:tcW w:w="908" w:type="dxa"/>
            <w:tcBorders>
              <w:top w:val="nil"/>
              <w:left w:val="nil"/>
              <w:bottom w:val="single" w:sz="4" w:space="0" w:color="auto"/>
              <w:right w:val="single" w:sz="4" w:space="0" w:color="auto"/>
            </w:tcBorders>
            <w:shd w:val="clear" w:color="auto" w:fill="auto"/>
            <w:noWrap/>
            <w:vAlign w:val="bottom"/>
            <w:hideMark/>
          </w:tcPr>
          <w:p w14:paraId="00B8914C"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251</w:t>
            </w:r>
          </w:p>
        </w:tc>
        <w:tc>
          <w:tcPr>
            <w:tcW w:w="1109" w:type="dxa"/>
            <w:tcBorders>
              <w:top w:val="nil"/>
              <w:left w:val="nil"/>
              <w:bottom w:val="single" w:sz="4" w:space="0" w:color="auto"/>
              <w:right w:val="single" w:sz="4" w:space="0" w:color="auto"/>
            </w:tcBorders>
            <w:shd w:val="clear" w:color="000000" w:fill="DAEEF3"/>
            <w:noWrap/>
            <w:vAlign w:val="bottom"/>
            <w:hideMark/>
          </w:tcPr>
          <w:p w14:paraId="43AAC6A2"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23.300.088</w:t>
            </w:r>
          </w:p>
        </w:tc>
        <w:tc>
          <w:tcPr>
            <w:tcW w:w="962" w:type="dxa"/>
            <w:tcBorders>
              <w:top w:val="nil"/>
              <w:left w:val="nil"/>
              <w:bottom w:val="single" w:sz="4" w:space="0" w:color="auto"/>
              <w:right w:val="single" w:sz="4" w:space="0" w:color="auto"/>
            </w:tcBorders>
            <w:shd w:val="clear" w:color="auto" w:fill="auto"/>
            <w:noWrap/>
            <w:vAlign w:val="bottom"/>
            <w:hideMark/>
          </w:tcPr>
          <w:p w14:paraId="09930D46"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238</w:t>
            </w:r>
          </w:p>
        </w:tc>
        <w:tc>
          <w:tcPr>
            <w:tcW w:w="1041" w:type="dxa"/>
            <w:tcBorders>
              <w:top w:val="nil"/>
              <w:left w:val="nil"/>
              <w:bottom w:val="single" w:sz="4" w:space="0" w:color="auto"/>
              <w:right w:val="single" w:sz="4" w:space="0" w:color="auto"/>
            </w:tcBorders>
            <w:shd w:val="clear" w:color="000000" w:fill="DAEEF3"/>
            <w:noWrap/>
            <w:vAlign w:val="bottom"/>
            <w:hideMark/>
          </w:tcPr>
          <w:p w14:paraId="6970DBE4"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43.358.693</w:t>
            </w:r>
          </w:p>
        </w:tc>
        <w:tc>
          <w:tcPr>
            <w:tcW w:w="925" w:type="dxa"/>
            <w:tcBorders>
              <w:top w:val="nil"/>
              <w:left w:val="nil"/>
              <w:bottom w:val="single" w:sz="4" w:space="0" w:color="auto"/>
              <w:right w:val="single" w:sz="4" w:space="0" w:color="auto"/>
            </w:tcBorders>
            <w:shd w:val="clear" w:color="auto" w:fill="auto"/>
            <w:noWrap/>
            <w:vAlign w:val="bottom"/>
            <w:hideMark/>
          </w:tcPr>
          <w:p w14:paraId="29B0B324"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94,8</w:t>
            </w:r>
          </w:p>
        </w:tc>
        <w:tc>
          <w:tcPr>
            <w:tcW w:w="782" w:type="dxa"/>
            <w:tcBorders>
              <w:top w:val="nil"/>
              <w:left w:val="nil"/>
              <w:bottom w:val="single" w:sz="4" w:space="0" w:color="auto"/>
              <w:right w:val="single" w:sz="4" w:space="0" w:color="auto"/>
            </w:tcBorders>
            <w:shd w:val="clear" w:color="auto" w:fill="auto"/>
            <w:noWrap/>
            <w:vAlign w:val="bottom"/>
            <w:hideMark/>
          </w:tcPr>
          <w:p w14:paraId="7AD52279"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186,1</w:t>
            </w:r>
          </w:p>
        </w:tc>
      </w:tr>
      <w:tr w:rsidR="00D847F2" w:rsidRPr="0099314A" w14:paraId="1810E08E" w14:textId="77777777" w:rsidTr="00556699">
        <w:trPr>
          <w:trHeight w:val="405"/>
        </w:trPr>
        <w:tc>
          <w:tcPr>
            <w:tcW w:w="3484" w:type="dxa"/>
            <w:tcBorders>
              <w:top w:val="nil"/>
              <w:left w:val="single" w:sz="4" w:space="0" w:color="auto"/>
              <w:bottom w:val="single" w:sz="4" w:space="0" w:color="auto"/>
              <w:right w:val="single" w:sz="4" w:space="0" w:color="auto"/>
            </w:tcBorders>
            <w:shd w:val="clear" w:color="auto" w:fill="auto"/>
            <w:vAlign w:val="center"/>
            <w:hideMark/>
          </w:tcPr>
          <w:p w14:paraId="3D224B2D"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xml:space="preserve">Prejeta plačila </w:t>
            </w:r>
          </w:p>
        </w:tc>
        <w:tc>
          <w:tcPr>
            <w:tcW w:w="908" w:type="dxa"/>
            <w:tcBorders>
              <w:top w:val="nil"/>
              <w:left w:val="nil"/>
              <w:bottom w:val="single" w:sz="4" w:space="0" w:color="auto"/>
              <w:right w:val="single" w:sz="4" w:space="0" w:color="auto"/>
            </w:tcBorders>
            <w:shd w:val="clear" w:color="auto" w:fill="auto"/>
            <w:noWrap/>
            <w:vAlign w:val="bottom"/>
            <w:hideMark/>
          </w:tcPr>
          <w:p w14:paraId="67AAE126"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1109" w:type="dxa"/>
            <w:tcBorders>
              <w:top w:val="nil"/>
              <w:left w:val="nil"/>
              <w:bottom w:val="single" w:sz="4" w:space="0" w:color="auto"/>
              <w:right w:val="single" w:sz="4" w:space="0" w:color="auto"/>
            </w:tcBorders>
            <w:shd w:val="clear" w:color="000000" w:fill="DAEEF3"/>
            <w:noWrap/>
            <w:vAlign w:val="bottom"/>
            <w:hideMark/>
          </w:tcPr>
          <w:p w14:paraId="218C6CE9"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694.142</w:t>
            </w:r>
          </w:p>
        </w:tc>
        <w:tc>
          <w:tcPr>
            <w:tcW w:w="962" w:type="dxa"/>
            <w:tcBorders>
              <w:top w:val="nil"/>
              <w:left w:val="nil"/>
              <w:bottom w:val="single" w:sz="4" w:space="0" w:color="auto"/>
              <w:right w:val="single" w:sz="4" w:space="0" w:color="auto"/>
            </w:tcBorders>
            <w:shd w:val="clear" w:color="auto" w:fill="auto"/>
            <w:noWrap/>
            <w:vAlign w:val="bottom"/>
            <w:hideMark/>
          </w:tcPr>
          <w:p w14:paraId="233AF506"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1041" w:type="dxa"/>
            <w:tcBorders>
              <w:top w:val="nil"/>
              <w:left w:val="nil"/>
              <w:bottom w:val="single" w:sz="4" w:space="0" w:color="auto"/>
              <w:right w:val="single" w:sz="4" w:space="0" w:color="auto"/>
            </w:tcBorders>
            <w:shd w:val="clear" w:color="000000" w:fill="DAEEF3"/>
            <w:noWrap/>
            <w:vAlign w:val="bottom"/>
            <w:hideMark/>
          </w:tcPr>
          <w:p w14:paraId="27D69A82"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774.062</w:t>
            </w:r>
          </w:p>
        </w:tc>
        <w:tc>
          <w:tcPr>
            <w:tcW w:w="925" w:type="dxa"/>
            <w:tcBorders>
              <w:top w:val="nil"/>
              <w:left w:val="nil"/>
              <w:bottom w:val="single" w:sz="4" w:space="0" w:color="auto"/>
              <w:right w:val="single" w:sz="4" w:space="0" w:color="auto"/>
            </w:tcBorders>
            <w:shd w:val="clear" w:color="auto" w:fill="auto"/>
            <w:noWrap/>
            <w:vAlign w:val="bottom"/>
            <w:hideMark/>
          </w:tcPr>
          <w:p w14:paraId="6EF230F6" w14:textId="77777777" w:rsidR="00D847F2" w:rsidRPr="00381A1B" w:rsidRDefault="00D847F2" w:rsidP="00556699">
            <w:pPr>
              <w:spacing w:line="240" w:lineRule="auto"/>
              <w:rPr>
                <w:rFonts w:ascii="Arial" w:eastAsia="Times New Roman" w:hAnsi="Arial" w:cs="Arial"/>
                <w:sz w:val="18"/>
                <w:szCs w:val="18"/>
                <w:lang w:eastAsia="sl-SI"/>
              </w:rPr>
            </w:pPr>
            <w:r w:rsidRPr="00381A1B">
              <w:rPr>
                <w:rFonts w:ascii="Arial" w:eastAsia="Times New Roman" w:hAnsi="Arial" w:cs="Arial"/>
                <w:sz w:val="18"/>
                <w:szCs w:val="18"/>
                <w:lang w:eastAsia="sl-SI"/>
              </w:rPr>
              <w:t> </w:t>
            </w:r>
          </w:p>
        </w:tc>
        <w:tc>
          <w:tcPr>
            <w:tcW w:w="782" w:type="dxa"/>
            <w:tcBorders>
              <w:top w:val="nil"/>
              <w:left w:val="nil"/>
              <w:bottom w:val="single" w:sz="4" w:space="0" w:color="auto"/>
              <w:right w:val="single" w:sz="4" w:space="0" w:color="auto"/>
            </w:tcBorders>
            <w:shd w:val="clear" w:color="auto" w:fill="auto"/>
            <w:noWrap/>
            <w:vAlign w:val="bottom"/>
            <w:hideMark/>
          </w:tcPr>
          <w:p w14:paraId="5C4D2EFF" w14:textId="77777777" w:rsidR="00D847F2" w:rsidRPr="00381A1B" w:rsidRDefault="00D847F2" w:rsidP="00556699">
            <w:pPr>
              <w:spacing w:line="240" w:lineRule="auto"/>
              <w:jc w:val="right"/>
              <w:rPr>
                <w:rFonts w:ascii="Arial" w:eastAsia="Times New Roman" w:hAnsi="Arial" w:cs="Arial"/>
                <w:sz w:val="18"/>
                <w:szCs w:val="18"/>
                <w:lang w:eastAsia="sl-SI"/>
              </w:rPr>
            </w:pPr>
            <w:r w:rsidRPr="00381A1B">
              <w:rPr>
                <w:rFonts w:ascii="Arial" w:eastAsia="Times New Roman" w:hAnsi="Arial" w:cs="Arial"/>
                <w:sz w:val="18"/>
                <w:szCs w:val="18"/>
                <w:lang w:eastAsia="sl-SI"/>
              </w:rPr>
              <w:t>111,5</w:t>
            </w:r>
          </w:p>
        </w:tc>
      </w:tr>
    </w:tbl>
    <w:p w14:paraId="5A835AFC" w14:textId="262D2A27" w:rsidR="00D847F2" w:rsidRPr="00A33E86" w:rsidRDefault="00D847F2" w:rsidP="00D847F2">
      <w:pPr>
        <w:pStyle w:val="FURSNavaden"/>
        <w:rPr>
          <w:i/>
          <w:sz w:val="18"/>
          <w:szCs w:val="18"/>
        </w:rPr>
      </w:pPr>
      <w:r w:rsidRPr="00A33E86">
        <w:rPr>
          <w:i/>
          <w:sz w:val="16"/>
          <w:szCs w:val="16"/>
        </w:rPr>
        <w:t>*</w:t>
      </w:r>
      <w:r w:rsidRPr="00A33E86">
        <w:rPr>
          <w:i/>
          <w:sz w:val="18"/>
          <w:szCs w:val="18"/>
        </w:rPr>
        <w:t xml:space="preserve">Med podatki so zajeta tudi zaprosila, ki se izterjujejo na podlagi sporazuma </w:t>
      </w:r>
      <w:r w:rsidR="005E66F8">
        <w:rPr>
          <w:i/>
          <w:sz w:val="18"/>
          <w:szCs w:val="18"/>
        </w:rPr>
        <w:t xml:space="preserve">med </w:t>
      </w:r>
      <w:r w:rsidRPr="00A33E86">
        <w:rPr>
          <w:i/>
          <w:sz w:val="18"/>
          <w:szCs w:val="18"/>
        </w:rPr>
        <w:t>Slovenij</w:t>
      </w:r>
      <w:r w:rsidR="005E66F8">
        <w:rPr>
          <w:i/>
          <w:sz w:val="18"/>
          <w:szCs w:val="18"/>
        </w:rPr>
        <w:t>o</w:t>
      </w:r>
      <w:r w:rsidRPr="00A33E86">
        <w:rPr>
          <w:i/>
          <w:sz w:val="18"/>
          <w:szCs w:val="18"/>
        </w:rPr>
        <w:t xml:space="preserve"> </w:t>
      </w:r>
      <w:r w:rsidR="005E66F8">
        <w:rPr>
          <w:i/>
          <w:sz w:val="18"/>
          <w:szCs w:val="18"/>
        </w:rPr>
        <w:t>in</w:t>
      </w:r>
      <w:r w:rsidRPr="00A33E86">
        <w:rPr>
          <w:i/>
          <w:sz w:val="18"/>
          <w:szCs w:val="18"/>
        </w:rPr>
        <w:t xml:space="preserve"> Norvešk</w:t>
      </w:r>
      <w:r w:rsidR="005E66F8">
        <w:rPr>
          <w:i/>
          <w:sz w:val="18"/>
          <w:szCs w:val="18"/>
        </w:rPr>
        <w:t>o</w:t>
      </w:r>
      <w:r w:rsidRPr="00A33E86">
        <w:rPr>
          <w:i/>
          <w:sz w:val="18"/>
          <w:szCs w:val="18"/>
        </w:rPr>
        <w:t xml:space="preserve"> iz naslova davka od dohodka.</w:t>
      </w:r>
    </w:p>
    <w:p w14:paraId="7C46669C" w14:textId="20FCEEFC"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856C74">
        <w:rPr>
          <w:rFonts w:ascii="Arial" w:hAnsi="Arial" w:cs="Arial"/>
          <w:i/>
          <w:sz w:val="20"/>
          <w:szCs w:val="20"/>
        </w:rPr>
        <w:t>.</w:t>
      </w:r>
    </w:p>
    <w:p w14:paraId="33DB728C" w14:textId="0A43321E" w:rsidR="00D847F2" w:rsidRPr="00381A1B" w:rsidRDefault="00D847F2" w:rsidP="00D847F2">
      <w:pPr>
        <w:spacing w:line="260" w:lineRule="exact"/>
        <w:jc w:val="both"/>
        <w:rPr>
          <w:rFonts w:ascii="Arial" w:hAnsi="Arial" w:cs="Arial"/>
          <w:sz w:val="20"/>
          <w:szCs w:val="20"/>
        </w:rPr>
      </w:pPr>
      <w:r w:rsidRPr="00381A1B">
        <w:rPr>
          <w:rFonts w:ascii="Arial" w:hAnsi="Arial" w:cs="Arial"/>
          <w:sz w:val="20"/>
          <w:szCs w:val="20"/>
        </w:rPr>
        <w:t>V letu 2022 je F</w:t>
      </w:r>
      <w:r>
        <w:rPr>
          <w:rFonts w:ascii="Arial" w:hAnsi="Arial" w:cs="Arial"/>
          <w:sz w:val="20"/>
          <w:szCs w:val="20"/>
        </w:rPr>
        <w:t xml:space="preserve">URS </w:t>
      </w:r>
      <w:r w:rsidRPr="00381A1B">
        <w:rPr>
          <w:rFonts w:ascii="Arial" w:hAnsi="Arial" w:cs="Arial"/>
          <w:sz w:val="20"/>
          <w:szCs w:val="20"/>
        </w:rPr>
        <w:t>prejel 238 zaprosil za izterjavo neporavnanih davčnih obveznosti, ki so nastale v drugih državah članicah EU, v višini 43.358.693</w:t>
      </w:r>
      <w:r w:rsidR="00527930" w:rsidRPr="00381A1B">
        <w:rPr>
          <w:rFonts w:ascii="Arial" w:hAnsi="Arial" w:cs="Arial"/>
          <w:sz w:val="20"/>
          <w:szCs w:val="20"/>
        </w:rPr>
        <w:t> EUR</w:t>
      </w:r>
      <w:r w:rsidRPr="00381A1B">
        <w:rPr>
          <w:rFonts w:ascii="Arial" w:hAnsi="Arial" w:cs="Arial"/>
          <w:sz w:val="20"/>
          <w:szCs w:val="20"/>
        </w:rPr>
        <w:t>. Z namenom izterjave je bilo izdan</w:t>
      </w:r>
      <w:r>
        <w:rPr>
          <w:rFonts w:ascii="Arial" w:hAnsi="Arial" w:cs="Arial"/>
          <w:sz w:val="20"/>
          <w:szCs w:val="20"/>
        </w:rPr>
        <w:t>ih</w:t>
      </w:r>
      <w:r w:rsidRPr="00381A1B">
        <w:rPr>
          <w:rFonts w:ascii="Arial" w:hAnsi="Arial" w:cs="Arial"/>
          <w:sz w:val="20"/>
          <w:szCs w:val="20"/>
        </w:rPr>
        <w:t xml:space="preserve"> 141 opominov za dolg v višini 9.687.629</w:t>
      </w:r>
      <w:r w:rsidR="00527930" w:rsidRPr="00381A1B">
        <w:rPr>
          <w:rFonts w:ascii="Arial" w:hAnsi="Arial" w:cs="Arial"/>
          <w:sz w:val="20"/>
          <w:szCs w:val="20"/>
        </w:rPr>
        <w:t> EUR</w:t>
      </w:r>
      <w:r w:rsidRPr="00381A1B">
        <w:rPr>
          <w:rFonts w:ascii="Arial" w:hAnsi="Arial" w:cs="Arial"/>
          <w:sz w:val="20"/>
          <w:szCs w:val="20"/>
        </w:rPr>
        <w:t xml:space="preserve"> ter 70 sklepov o izvršbi za dolg v višini 10.872.426</w:t>
      </w:r>
      <w:r w:rsidR="00527930" w:rsidRPr="00381A1B">
        <w:rPr>
          <w:rFonts w:ascii="Arial" w:hAnsi="Arial" w:cs="Arial"/>
          <w:sz w:val="20"/>
          <w:szCs w:val="20"/>
        </w:rPr>
        <w:t> EUR</w:t>
      </w:r>
      <w:r w:rsidRPr="00381A1B">
        <w:rPr>
          <w:rFonts w:ascii="Arial" w:hAnsi="Arial" w:cs="Arial"/>
          <w:sz w:val="20"/>
          <w:szCs w:val="20"/>
        </w:rPr>
        <w:t>. Na podlagi izvedenih ukrepov je bilo izterjan</w:t>
      </w:r>
      <w:r>
        <w:rPr>
          <w:rFonts w:ascii="Arial" w:hAnsi="Arial" w:cs="Arial"/>
          <w:sz w:val="20"/>
          <w:szCs w:val="20"/>
        </w:rPr>
        <w:t>ih</w:t>
      </w:r>
      <w:r w:rsidRPr="00381A1B">
        <w:rPr>
          <w:rFonts w:ascii="Arial" w:hAnsi="Arial" w:cs="Arial"/>
          <w:sz w:val="20"/>
          <w:szCs w:val="20"/>
        </w:rPr>
        <w:t xml:space="preserve"> 774.062</w:t>
      </w:r>
      <w:r w:rsidR="00527930" w:rsidRPr="00381A1B">
        <w:rPr>
          <w:rFonts w:ascii="Arial" w:hAnsi="Arial" w:cs="Arial"/>
          <w:sz w:val="20"/>
          <w:szCs w:val="20"/>
        </w:rPr>
        <w:t> EUR</w:t>
      </w:r>
      <w:r w:rsidRPr="00381A1B">
        <w:rPr>
          <w:rFonts w:ascii="Arial" w:hAnsi="Arial" w:cs="Arial"/>
          <w:sz w:val="20"/>
          <w:szCs w:val="20"/>
        </w:rPr>
        <w:t xml:space="preserve"> dolga. Za zavarovanje plačila davčnih obveznosti je bilo prejeto </w:t>
      </w:r>
      <w:r>
        <w:rPr>
          <w:rFonts w:ascii="Arial" w:hAnsi="Arial" w:cs="Arial"/>
          <w:sz w:val="20"/>
          <w:szCs w:val="20"/>
        </w:rPr>
        <w:t>eno</w:t>
      </w:r>
      <w:r w:rsidRPr="00381A1B">
        <w:rPr>
          <w:rFonts w:ascii="Arial" w:hAnsi="Arial" w:cs="Arial"/>
          <w:sz w:val="20"/>
          <w:szCs w:val="20"/>
        </w:rPr>
        <w:t xml:space="preserve"> zaprosilo v višini 160.800</w:t>
      </w:r>
      <w:r w:rsidR="00527930" w:rsidRPr="00381A1B">
        <w:rPr>
          <w:rFonts w:ascii="Arial" w:hAnsi="Arial" w:cs="Arial"/>
          <w:sz w:val="20"/>
          <w:szCs w:val="20"/>
        </w:rPr>
        <w:t> EUR</w:t>
      </w:r>
      <w:r w:rsidRPr="00381A1B">
        <w:rPr>
          <w:rFonts w:ascii="Arial" w:hAnsi="Arial" w:cs="Arial"/>
          <w:sz w:val="20"/>
          <w:szCs w:val="20"/>
        </w:rPr>
        <w:t xml:space="preserve">. Prejetih je bilo tudi 107 zaprosil za podatke in </w:t>
      </w:r>
      <w:r w:rsidR="005E66F8">
        <w:rPr>
          <w:rFonts w:ascii="Arial" w:hAnsi="Arial" w:cs="Arial"/>
          <w:sz w:val="20"/>
          <w:szCs w:val="20"/>
        </w:rPr>
        <w:t>deset</w:t>
      </w:r>
      <w:r w:rsidR="005E66F8" w:rsidRPr="00381A1B">
        <w:rPr>
          <w:rFonts w:ascii="Arial" w:hAnsi="Arial" w:cs="Arial"/>
          <w:sz w:val="20"/>
          <w:szCs w:val="20"/>
        </w:rPr>
        <w:t xml:space="preserve"> </w:t>
      </w:r>
      <w:r w:rsidRPr="00381A1B">
        <w:rPr>
          <w:rFonts w:ascii="Arial" w:hAnsi="Arial" w:cs="Arial"/>
          <w:sz w:val="20"/>
          <w:szCs w:val="20"/>
        </w:rPr>
        <w:t>zaprosil za vročitev.</w:t>
      </w:r>
    </w:p>
    <w:p w14:paraId="04C632B7" w14:textId="77777777" w:rsidR="00D847F2" w:rsidRPr="00381A1B" w:rsidRDefault="00D847F2" w:rsidP="00D847F2">
      <w:pPr>
        <w:spacing w:line="260" w:lineRule="exact"/>
        <w:jc w:val="both"/>
        <w:rPr>
          <w:rFonts w:ascii="Arial" w:hAnsi="Arial" w:cs="Arial"/>
          <w:sz w:val="20"/>
          <w:szCs w:val="20"/>
        </w:rPr>
      </w:pPr>
      <w:r w:rsidRPr="00381A1B">
        <w:rPr>
          <w:rFonts w:ascii="Arial" w:hAnsi="Arial" w:cs="Arial"/>
          <w:sz w:val="20"/>
          <w:szCs w:val="20"/>
        </w:rPr>
        <w:t>Višina izterjanih sredstev je v letu 2022 bistveno višja zaradi odprave ukrepov omejitve postopkov izterjave, vezanih na epidemijo covid</w:t>
      </w:r>
      <w:r>
        <w:rPr>
          <w:rFonts w:ascii="Arial" w:hAnsi="Arial" w:cs="Arial"/>
          <w:sz w:val="20"/>
          <w:szCs w:val="20"/>
        </w:rPr>
        <w:t>a</w:t>
      </w:r>
      <w:r w:rsidRPr="00381A1B">
        <w:rPr>
          <w:rFonts w:ascii="Arial" w:hAnsi="Arial" w:cs="Arial"/>
          <w:sz w:val="20"/>
          <w:szCs w:val="20"/>
        </w:rPr>
        <w:t>-19.</w:t>
      </w:r>
    </w:p>
    <w:p w14:paraId="42943F64" w14:textId="24AFF4BF" w:rsidR="00D847F2" w:rsidRPr="00381A1B" w:rsidRDefault="00D847F2" w:rsidP="00D847F2">
      <w:pPr>
        <w:spacing w:line="260" w:lineRule="exact"/>
        <w:jc w:val="both"/>
        <w:rPr>
          <w:rFonts w:ascii="Arial" w:hAnsi="Arial" w:cs="Arial"/>
          <w:sz w:val="20"/>
          <w:szCs w:val="20"/>
        </w:rPr>
      </w:pPr>
      <w:r w:rsidRPr="00381A1B">
        <w:rPr>
          <w:rFonts w:ascii="Arial" w:hAnsi="Arial" w:cs="Arial"/>
          <w:sz w:val="20"/>
          <w:szCs w:val="20"/>
        </w:rPr>
        <w:t xml:space="preserve">V povezavi z učinkovitostjo mednarodne izterjave velja pojasniti, da je po pravilih mednarodne upravne pomoči pred </w:t>
      </w:r>
      <w:r w:rsidR="005E66F8">
        <w:rPr>
          <w:rFonts w:ascii="Arial" w:hAnsi="Arial" w:cs="Arial"/>
          <w:sz w:val="20"/>
          <w:szCs w:val="20"/>
        </w:rPr>
        <w:t>predložitvijo</w:t>
      </w:r>
      <w:r w:rsidR="005E66F8" w:rsidRPr="00381A1B">
        <w:rPr>
          <w:rFonts w:ascii="Arial" w:hAnsi="Arial" w:cs="Arial"/>
          <w:sz w:val="20"/>
          <w:szCs w:val="20"/>
        </w:rPr>
        <w:t xml:space="preserve"> </w:t>
      </w:r>
      <w:r w:rsidRPr="00381A1B">
        <w:rPr>
          <w:rFonts w:ascii="Arial" w:hAnsi="Arial" w:cs="Arial"/>
          <w:sz w:val="20"/>
          <w:szCs w:val="20"/>
        </w:rPr>
        <w:t>zaprosila za izterjavo v drugo državo članico EU treb</w:t>
      </w:r>
      <w:r w:rsidR="005E66F8">
        <w:rPr>
          <w:rFonts w:ascii="Arial" w:hAnsi="Arial" w:cs="Arial"/>
          <w:sz w:val="20"/>
          <w:szCs w:val="20"/>
        </w:rPr>
        <w:t>a</w:t>
      </w:r>
      <w:r w:rsidRPr="00381A1B">
        <w:rPr>
          <w:rFonts w:ascii="Arial" w:hAnsi="Arial" w:cs="Arial"/>
          <w:sz w:val="20"/>
          <w:szCs w:val="20"/>
        </w:rPr>
        <w:t xml:space="preserve"> izvesti vse postopke izterjave v državi prosilki. Zaprosila za izterjavo se tako lahko v zaprošeno državo </w:t>
      </w:r>
      <w:r>
        <w:rPr>
          <w:rFonts w:ascii="Arial" w:hAnsi="Arial" w:cs="Arial"/>
          <w:sz w:val="20"/>
          <w:szCs w:val="20"/>
        </w:rPr>
        <w:t>pošljejo</w:t>
      </w:r>
      <w:r w:rsidRPr="00381A1B">
        <w:rPr>
          <w:rFonts w:ascii="Arial" w:hAnsi="Arial" w:cs="Arial"/>
          <w:sz w:val="20"/>
          <w:szCs w:val="20"/>
        </w:rPr>
        <w:t xml:space="preserve"> s časovnim zamikom, kar zmanjšuje učinkovitost izterjave v tej državi. Učinkovitost izterjave je odvisna tudi in predvsem od premoženjskega stanja dolžnika (ki pogosto nima premoženja, na katerega bi bilo mogoče poseči), nenazadnje pa k slabši učinkovitosti pripomorejo tudi različni pravni predpisi in organiz</w:t>
      </w:r>
      <w:r w:rsidR="005E66F8">
        <w:rPr>
          <w:rFonts w:ascii="Arial" w:hAnsi="Arial" w:cs="Arial"/>
          <w:sz w:val="20"/>
          <w:szCs w:val="20"/>
        </w:rPr>
        <w:t>iranost</w:t>
      </w:r>
      <w:r w:rsidRPr="00381A1B">
        <w:rPr>
          <w:rFonts w:ascii="Arial" w:hAnsi="Arial" w:cs="Arial"/>
          <w:sz w:val="20"/>
          <w:szCs w:val="20"/>
        </w:rPr>
        <w:t xml:space="preserve"> izterjave v državah članicah EU. Poleg tega se zaradi zahtevnosti in dolgotrajnosti postopkov zaprosila pogosto </w:t>
      </w:r>
      <w:r w:rsidR="00527930">
        <w:rPr>
          <w:rFonts w:ascii="Arial" w:hAnsi="Arial" w:cs="Arial"/>
          <w:sz w:val="20"/>
          <w:szCs w:val="20"/>
        </w:rPr>
        <w:t>izvajajo</w:t>
      </w:r>
      <w:r w:rsidR="00527930" w:rsidRPr="00381A1B">
        <w:rPr>
          <w:rFonts w:ascii="Arial" w:hAnsi="Arial" w:cs="Arial"/>
          <w:sz w:val="20"/>
          <w:szCs w:val="20"/>
        </w:rPr>
        <w:t xml:space="preserve"> </w:t>
      </w:r>
      <w:r w:rsidRPr="00381A1B">
        <w:rPr>
          <w:rFonts w:ascii="Arial" w:hAnsi="Arial" w:cs="Arial"/>
          <w:sz w:val="20"/>
          <w:szCs w:val="20"/>
        </w:rPr>
        <w:t xml:space="preserve">več let, s čimer so učinki izterjave razporejeni na večletno obdobje. </w:t>
      </w:r>
    </w:p>
    <w:p w14:paraId="4C50BFE9" w14:textId="5D1D28A7" w:rsidR="00D847F2" w:rsidRPr="00381A1B" w:rsidRDefault="00D847F2" w:rsidP="00D847F2">
      <w:pPr>
        <w:spacing w:line="260" w:lineRule="exact"/>
        <w:jc w:val="both"/>
        <w:rPr>
          <w:rFonts w:ascii="Arial" w:hAnsi="Arial" w:cs="Arial"/>
          <w:sz w:val="20"/>
          <w:szCs w:val="20"/>
        </w:rPr>
      </w:pPr>
      <w:r w:rsidRPr="00381A1B">
        <w:rPr>
          <w:rFonts w:ascii="Arial" w:hAnsi="Arial" w:cs="Arial"/>
          <w:sz w:val="20"/>
          <w:szCs w:val="20"/>
        </w:rPr>
        <w:t>Glede na daljše obdobje izvrševanj</w:t>
      </w:r>
      <w:r w:rsidR="005E66F8">
        <w:rPr>
          <w:rFonts w:ascii="Arial" w:hAnsi="Arial" w:cs="Arial"/>
          <w:sz w:val="20"/>
          <w:szCs w:val="20"/>
        </w:rPr>
        <w:t>a</w:t>
      </w:r>
      <w:r w:rsidRPr="00381A1B">
        <w:rPr>
          <w:rFonts w:ascii="Arial" w:hAnsi="Arial" w:cs="Arial"/>
          <w:sz w:val="20"/>
          <w:szCs w:val="20"/>
        </w:rPr>
        <w:t xml:space="preserve"> posameznih zaprosil smo na F</w:t>
      </w:r>
      <w:r>
        <w:rPr>
          <w:rFonts w:ascii="Arial" w:hAnsi="Arial" w:cs="Arial"/>
          <w:sz w:val="20"/>
          <w:szCs w:val="20"/>
        </w:rPr>
        <w:t xml:space="preserve">URS </w:t>
      </w:r>
      <w:r w:rsidRPr="00381A1B">
        <w:rPr>
          <w:rFonts w:ascii="Arial" w:hAnsi="Arial" w:cs="Arial"/>
          <w:sz w:val="20"/>
          <w:szCs w:val="20"/>
        </w:rPr>
        <w:t>v letu 2022 poleg novo prejetih zaprosil obravnavali tudi 4.975 poizvedb oz</w:t>
      </w:r>
      <w:r w:rsidR="005E66F8">
        <w:rPr>
          <w:rFonts w:ascii="Arial" w:hAnsi="Arial" w:cs="Arial"/>
          <w:sz w:val="20"/>
          <w:szCs w:val="20"/>
        </w:rPr>
        <w:t>iroma</w:t>
      </w:r>
      <w:r w:rsidRPr="00381A1B">
        <w:rPr>
          <w:rFonts w:ascii="Arial" w:hAnsi="Arial" w:cs="Arial"/>
          <w:sz w:val="20"/>
          <w:szCs w:val="20"/>
        </w:rPr>
        <w:t xml:space="preserve"> poročil, vezanih na izvrševanje prejetih in poslanih zaprosil iz preteklih let.</w:t>
      </w:r>
    </w:p>
    <w:p w14:paraId="50DF2CA7" w14:textId="38724B20" w:rsidR="00D847F2" w:rsidRPr="00D953E8" w:rsidRDefault="00D847F2" w:rsidP="00D847F2">
      <w:pPr>
        <w:spacing w:line="260" w:lineRule="exact"/>
        <w:jc w:val="both"/>
        <w:rPr>
          <w:rFonts w:ascii="Arial" w:hAnsi="Arial" w:cs="Arial"/>
          <w:sz w:val="20"/>
          <w:szCs w:val="20"/>
        </w:rPr>
      </w:pPr>
      <w:bookmarkStart w:id="25" w:name="_Hlk129334558"/>
      <w:r w:rsidRPr="00381A1B">
        <w:rPr>
          <w:rFonts w:ascii="Arial" w:hAnsi="Arial" w:cs="Arial"/>
          <w:sz w:val="20"/>
          <w:szCs w:val="20"/>
        </w:rPr>
        <w:t>F</w:t>
      </w:r>
      <w:r>
        <w:rPr>
          <w:rFonts w:ascii="Arial" w:hAnsi="Arial" w:cs="Arial"/>
          <w:sz w:val="20"/>
          <w:szCs w:val="20"/>
        </w:rPr>
        <w:t>URS j</w:t>
      </w:r>
      <w:r w:rsidRPr="00381A1B">
        <w:rPr>
          <w:rFonts w:ascii="Arial" w:hAnsi="Arial" w:cs="Arial"/>
          <w:sz w:val="20"/>
          <w:szCs w:val="20"/>
        </w:rPr>
        <w:t xml:space="preserve">e na podlagi Uredbe (ES) št. 883/2004 o koordinaciji sistemov socialne varnosti in Izvedbene </w:t>
      </w:r>
      <w:r w:rsidR="005E66F8">
        <w:rPr>
          <w:rFonts w:ascii="Arial" w:hAnsi="Arial" w:cs="Arial"/>
          <w:sz w:val="20"/>
          <w:szCs w:val="20"/>
        </w:rPr>
        <w:t>u</w:t>
      </w:r>
      <w:r w:rsidRPr="00381A1B">
        <w:rPr>
          <w:rFonts w:ascii="Arial" w:hAnsi="Arial" w:cs="Arial"/>
          <w:sz w:val="20"/>
          <w:szCs w:val="20"/>
        </w:rPr>
        <w:t>redbe (ES) št. 987/2009 nosilcem socialne varnosti v Sloveniji v letu 2022 po</w:t>
      </w:r>
      <w:r>
        <w:rPr>
          <w:rFonts w:ascii="Arial" w:hAnsi="Arial" w:cs="Arial"/>
          <w:sz w:val="20"/>
          <w:szCs w:val="20"/>
        </w:rPr>
        <w:t xml:space="preserve">slal </w:t>
      </w:r>
      <w:r w:rsidRPr="00381A1B">
        <w:rPr>
          <w:rFonts w:ascii="Arial" w:hAnsi="Arial" w:cs="Arial"/>
          <w:sz w:val="20"/>
          <w:szCs w:val="20"/>
        </w:rPr>
        <w:t>1.206 predlogov za izterjavo prispevkov za socialno varnost v skupni višini</w:t>
      </w:r>
      <w:r w:rsidR="00992912">
        <w:rPr>
          <w:rFonts w:ascii="Arial" w:hAnsi="Arial" w:cs="Arial"/>
          <w:sz w:val="20"/>
          <w:szCs w:val="20"/>
        </w:rPr>
        <w:t xml:space="preserve"> </w:t>
      </w:r>
      <w:r w:rsidRPr="00381A1B">
        <w:rPr>
          <w:rFonts w:ascii="Arial" w:hAnsi="Arial" w:cs="Arial"/>
          <w:sz w:val="20"/>
          <w:szCs w:val="20"/>
        </w:rPr>
        <w:t>9.242.267</w:t>
      </w:r>
      <w:r w:rsidR="00527930" w:rsidRPr="00381A1B">
        <w:rPr>
          <w:rFonts w:ascii="Arial" w:hAnsi="Arial" w:cs="Arial"/>
          <w:sz w:val="20"/>
          <w:szCs w:val="20"/>
        </w:rPr>
        <w:t> EUR</w:t>
      </w:r>
      <w:r w:rsidRPr="00381A1B">
        <w:rPr>
          <w:rFonts w:ascii="Arial" w:hAnsi="Arial" w:cs="Arial"/>
          <w:sz w:val="20"/>
          <w:szCs w:val="20"/>
        </w:rPr>
        <w:t xml:space="preserve"> ter prejel 165.444</w:t>
      </w:r>
      <w:r w:rsidR="00527930" w:rsidRPr="00381A1B">
        <w:rPr>
          <w:rFonts w:ascii="Arial" w:hAnsi="Arial" w:cs="Arial"/>
          <w:sz w:val="20"/>
          <w:szCs w:val="20"/>
        </w:rPr>
        <w:t> EUR</w:t>
      </w:r>
      <w:r w:rsidRPr="00381A1B">
        <w:rPr>
          <w:rFonts w:ascii="Arial" w:hAnsi="Arial" w:cs="Arial"/>
          <w:sz w:val="20"/>
          <w:szCs w:val="20"/>
        </w:rPr>
        <w:t xml:space="preserve"> plačil.</w:t>
      </w:r>
    </w:p>
    <w:bookmarkEnd w:id="25"/>
    <w:p w14:paraId="1446E6C8" w14:textId="77777777" w:rsidR="00247C3E" w:rsidRDefault="00247C3E" w:rsidP="00D847F2">
      <w:pPr>
        <w:pStyle w:val="FURSNavaden"/>
        <w:rPr>
          <w:rFonts w:eastAsia="Times New Roman" w:cs="Arial"/>
          <w:i/>
          <w:szCs w:val="20"/>
        </w:rPr>
      </w:pPr>
    </w:p>
    <w:p w14:paraId="30337241" w14:textId="77777777" w:rsidR="00247C3E" w:rsidRDefault="00247C3E" w:rsidP="00D847F2">
      <w:pPr>
        <w:pStyle w:val="FURSNavaden"/>
        <w:rPr>
          <w:rFonts w:eastAsia="Times New Roman" w:cs="Arial"/>
          <w:i/>
          <w:szCs w:val="20"/>
        </w:rPr>
      </w:pPr>
    </w:p>
    <w:p w14:paraId="2A3AFFA1" w14:textId="77777777" w:rsidR="00247C3E" w:rsidRDefault="00247C3E" w:rsidP="00D847F2">
      <w:pPr>
        <w:pStyle w:val="FURSNavaden"/>
        <w:rPr>
          <w:rFonts w:eastAsia="Times New Roman" w:cs="Arial"/>
          <w:i/>
          <w:szCs w:val="20"/>
        </w:rPr>
      </w:pPr>
    </w:p>
    <w:p w14:paraId="6B817976" w14:textId="77777777" w:rsidR="00247C3E" w:rsidRDefault="00247C3E" w:rsidP="00D847F2">
      <w:pPr>
        <w:pStyle w:val="FURSNavaden"/>
        <w:rPr>
          <w:rFonts w:eastAsia="Times New Roman" w:cs="Arial"/>
          <w:i/>
          <w:szCs w:val="20"/>
        </w:rPr>
      </w:pPr>
    </w:p>
    <w:p w14:paraId="4862E157" w14:textId="77777777" w:rsidR="00247C3E" w:rsidRDefault="00247C3E" w:rsidP="00D847F2">
      <w:pPr>
        <w:pStyle w:val="FURSNavaden"/>
        <w:rPr>
          <w:rFonts w:eastAsia="Times New Roman" w:cs="Arial"/>
          <w:i/>
          <w:szCs w:val="20"/>
        </w:rPr>
      </w:pPr>
    </w:p>
    <w:p w14:paraId="7E2DFBA5" w14:textId="77777777" w:rsidR="00247C3E" w:rsidRDefault="00247C3E" w:rsidP="00D847F2">
      <w:pPr>
        <w:pStyle w:val="FURSNavaden"/>
        <w:rPr>
          <w:rFonts w:eastAsia="Times New Roman" w:cs="Arial"/>
          <w:i/>
          <w:szCs w:val="20"/>
        </w:rPr>
      </w:pPr>
    </w:p>
    <w:p w14:paraId="5B309DBC" w14:textId="77777777" w:rsidR="00247C3E" w:rsidRDefault="00247C3E" w:rsidP="00D847F2">
      <w:pPr>
        <w:pStyle w:val="FURSNavaden"/>
        <w:rPr>
          <w:rFonts w:eastAsia="Times New Roman" w:cs="Arial"/>
          <w:i/>
          <w:szCs w:val="20"/>
        </w:rPr>
      </w:pPr>
    </w:p>
    <w:p w14:paraId="33587C34" w14:textId="77777777" w:rsidR="00247C3E" w:rsidRDefault="00247C3E" w:rsidP="00D847F2">
      <w:pPr>
        <w:pStyle w:val="FURSNavaden"/>
        <w:rPr>
          <w:rFonts w:eastAsia="Times New Roman" w:cs="Arial"/>
          <w:i/>
          <w:szCs w:val="20"/>
        </w:rPr>
      </w:pPr>
    </w:p>
    <w:p w14:paraId="1CC0E8CC" w14:textId="732025D6" w:rsidR="00D847F2" w:rsidRDefault="00D847F2" w:rsidP="00D847F2">
      <w:pPr>
        <w:pStyle w:val="FURSNavaden"/>
        <w:rPr>
          <w:rFonts w:eastAsia="Times New Roman" w:cs="Arial"/>
          <w:i/>
          <w:szCs w:val="20"/>
        </w:rPr>
      </w:pPr>
      <w:r w:rsidRPr="009F62ED">
        <w:rPr>
          <w:rFonts w:eastAsia="Times New Roman" w:cs="Arial"/>
          <w:i/>
          <w:szCs w:val="20"/>
        </w:rPr>
        <w:lastRenderedPageBreak/>
        <w:t>Preglednica 2</w:t>
      </w:r>
      <w:r>
        <w:rPr>
          <w:rFonts w:eastAsia="Times New Roman" w:cs="Arial"/>
          <w:i/>
          <w:szCs w:val="20"/>
        </w:rPr>
        <w:t>3</w:t>
      </w:r>
      <w:r w:rsidRPr="009F62ED">
        <w:rPr>
          <w:rFonts w:eastAsia="Times New Roman" w:cs="Arial"/>
          <w:i/>
          <w:szCs w:val="20"/>
        </w:rPr>
        <w:t xml:space="preserve">: Predlogi za izterjavo prispevkov, ki jih je FURS </w:t>
      </w:r>
      <w:r w:rsidR="00BB2857">
        <w:rPr>
          <w:rFonts w:eastAsia="Times New Roman" w:cs="Arial"/>
          <w:i/>
          <w:szCs w:val="20"/>
        </w:rPr>
        <w:t>predložil</w:t>
      </w:r>
      <w:r w:rsidR="005E66F8" w:rsidRPr="009F62ED">
        <w:rPr>
          <w:rFonts w:eastAsia="Times New Roman" w:cs="Arial"/>
          <w:i/>
          <w:szCs w:val="20"/>
        </w:rPr>
        <w:t xml:space="preserve"> </w:t>
      </w:r>
      <w:r w:rsidRPr="009F62ED">
        <w:rPr>
          <w:rFonts w:eastAsia="Times New Roman" w:cs="Arial"/>
          <w:i/>
          <w:szCs w:val="20"/>
        </w:rPr>
        <w:t xml:space="preserve">nosilcem socialne varnosti </w:t>
      </w:r>
    </w:p>
    <w:p w14:paraId="2FAFA3B1" w14:textId="77777777" w:rsidR="00D847F2" w:rsidRDefault="00D847F2" w:rsidP="00D847F2">
      <w:pPr>
        <w:pStyle w:val="FURSNavaden"/>
        <w:rPr>
          <w:rFonts w:eastAsia="Times New Roman" w:cs="Arial"/>
          <w:i/>
          <w:szCs w:val="20"/>
        </w:rPr>
      </w:pPr>
    </w:p>
    <w:tbl>
      <w:tblPr>
        <w:tblW w:w="9370" w:type="dxa"/>
        <w:tblCellMar>
          <w:left w:w="70" w:type="dxa"/>
          <w:right w:w="70" w:type="dxa"/>
        </w:tblCellMar>
        <w:tblLook w:val="04A0" w:firstRow="1" w:lastRow="0" w:firstColumn="1" w:lastColumn="0" w:noHBand="0" w:noVBand="1"/>
      </w:tblPr>
      <w:tblGrid>
        <w:gridCol w:w="1089"/>
        <w:gridCol w:w="1828"/>
        <w:gridCol w:w="1006"/>
        <w:gridCol w:w="1008"/>
        <w:gridCol w:w="1067"/>
        <w:gridCol w:w="1009"/>
        <w:gridCol w:w="1150"/>
        <w:gridCol w:w="1213"/>
      </w:tblGrid>
      <w:tr w:rsidR="00D847F2" w:rsidRPr="00381A1B" w14:paraId="02FF826E" w14:textId="77777777" w:rsidTr="00556699">
        <w:trPr>
          <w:trHeight w:val="237"/>
        </w:trPr>
        <w:tc>
          <w:tcPr>
            <w:tcW w:w="1089" w:type="dxa"/>
            <w:vMerge w:val="restart"/>
            <w:tcBorders>
              <w:top w:val="single" w:sz="4" w:space="0" w:color="auto"/>
              <w:left w:val="single" w:sz="4" w:space="0" w:color="auto"/>
              <w:bottom w:val="single" w:sz="4" w:space="0" w:color="auto"/>
              <w:right w:val="single" w:sz="4" w:space="0" w:color="auto"/>
            </w:tcBorders>
            <w:shd w:val="clear" w:color="000000" w:fill="31869B"/>
            <w:vAlign w:val="center"/>
            <w:hideMark/>
          </w:tcPr>
          <w:p w14:paraId="00277F04"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Nosilec socialne varnosti</w:t>
            </w:r>
          </w:p>
        </w:tc>
        <w:tc>
          <w:tcPr>
            <w:tcW w:w="1828" w:type="dxa"/>
            <w:tcBorders>
              <w:top w:val="single" w:sz="4" w:space="0" w:color="auto"/>
              <w:left w:val="nil"/>
              <w:bottom w:val="single" w:sz="4" w:space="0" w:color="auto"/>
              <w:right w:val="single" w:sz="4" w:space="0" w:color="auto"/>
            </w:tcBorders>
            <w:shd w:val="clear" w:color="000000" w:fill="31869B"/>
            <w:vAlign w:val="center"/>
            <w:hideMark/>
          </w:tcPr>
          <w:p w14:paraId="06407B66"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 </w:t>
            </w:r>
          </w:p>
        </w:tc>
        <w:tc>
          <w:tcPr>
            <w:tcW w:w="2014" w:type="dxa"/>
            <w:gridSpan w:val="2"/>
            <w:tcBorders>
              <w:top w:val="single" w:sz="4" w:space="0" w:color="auto"/>
              <w:left w:val="nil"/>
              <w:bottom w:val="single" w:sz="4" w:space="0" w:color="auto"/>
              <w:right w:val="single" w:sz="4" w:space="0" w:color="auto"/>
            </w:tcBorders>
            <w:shd w:val="clear" w:color="000000" w:fill="31869B"/>
            <w:vAlign w:val="center"/>
            <w:hideMark/>
          </w:tcPr>
          <w:p w14:paraId="72CA9B58"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2021</w:t>
            </w:r>
          </w:p>
        </w:tc>
        <w:tc>
          <w:tcPr>
            <w:tcW w:w="2076" w:type="dxa"/>
            <w:gridSpan w:val="2"/>
            <w:tcBorders>
              <w:top w:val="single" w:sz="4" w:space="0" w:color="auto"/>
              <w:left w:val="nil"/>
              <w:bottom w:val="single" w:sz="4" w:space="0" w:color="auto"/>
              <w:right w:val="single" w:sz="4" w:space="0" w:color="auto"/>
            </w:tcBorders>
            <w:shd w:val="clear" w:color="000000" w:fill="31869B"/>
            <w:noWrap/>
            <w:vAlign w:val="center"/>
            <w:hideMark/>
          </w:tcPr>
          <w:p w14:paraId="61B67C62"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2022</w:t>
            </w:r>
          </w:p>
        </w:tc>
        <w:tc>
          <w:tcPr>
            <w:tcW w:w="2363" w:type="dxa"/>
            <w:gridSpan w:val="2"/>
            <w:tcBorders>
              <w:top w:val="single" w:sz="4" w:space="0" w:color="auto"/>
              <w:left w:val="nil"/>
              <w:bottom w:val="single" w:sz="4" w:space="0" w:color="auto"/>
              <w:right w:val="single" w:sz="4" w:space="0" w:color="auto"/>
            </w:tcBorders>
            <w:shd w:val="clear" w:color="000000" w:fill="31869B"/>
            <w:vAlign w:val="center"/>
            <w:hideMark/>
          </w:tcPr>
          <w:p w14:paraId="30CEA793"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Indeks 2022/2021</w:t>
            </w:r>
          </w:p>
        </w:tc>
      </w:tr>
      <w:tr w:rsidR="00D847F2" w:rsidRPr="00381A1B" w14:paraId="2A560C7F" w14:textId="77777777" w:rsidTr="00556699">
        <w:trPr>
          <w:trHeight w:val="473"/>
        </w:trPr>
        <w:tc>
          <w:tcPr>
            <w:tcW w:w="1089" w:type="dxa"/>
            <w:vMerge/>
            <w:tcBorders>
              <w:top w:val="single" w:sz="4" w:space="0" w:color="auto"/>
              <w:left w:val="single" w:sz="4" w:space="0" w:color="auto"/>
              <w:bottom w:val="single" w:sz="4" w:space="0" w:color="auto"/>
              <w:right w:val="single" w:sz="4" w:space="0" w:color="auto"/>
            </w:tcBorders>
            <w:vAlign w:val="center"/>
            <w:hideMark/>
          </w:tcPr>
          <w:p w14:paraId="1F3B6924" w14:textId="77777777" w:rsidR="00D847F2" w:rsidRPr="00381A1B" w:rsidRDefault="00D847F2" w:rsidP="00556699">
            <w:pPr>
              <w:spacing w:line="240" w:lineRule="auto"/>
              <w:rPr>
                <w:rFonts w:ascii="Arial" w:eastAsia="Times New Roman" w:hAnsi="Arial" w:cs="Arial"/>
                <w:b/>
                <w:bCs/>
                <w:color w:val="FFFFFF"/>
                <w:sz w:val="18"/>
                <w:szCs w:val="18"/>
                <w:lang w:eastAsia="sl-SI"/>
              </w:rPr>
            </w:pPr>
          </w:p>
        </w:tc>
        <w:tc>
          <w:tcPr>
            <w:tcW w:w="1828" w:type="dxa"/>
            <w:tcBorders>
              <w:top w:val="nil"/>
              <w:left w:val="nil"/>
              <w:bottom w:val="single" w:sz="4" w:space="0" w:color="auto"/>
              <w:right w:val="single" w:sz="4" w:space="0" w:color="auto"/>
            </w:tcBorders>
            <w:shd w:val="clear" w:color="000000" w:fill="31869B"/>
            <w:vAlign w:val="center"/>
            <w:hideMark/>
          </w:tcPr>
          <w:p w14:paraId="453D3FE1"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 predlogov / prejeta plačila</w:t>
            </w:r>
          </w:p>
        </w:tc>
        <w:tc>
          <w:tcPr>
            <w:tcW w:w="1006" w:type="dxa"/>
            <w:tcBorders>
              <w:top w:val="nil"/>
              <w:left w:val="nil"/>
              <w:bottom w:val="single" w:sz="4" w:space="0" w:color="auto"/>
              <w:right w:val="single" w:sz="4" w:space="0" w:color="auto"/>
            </w:tcBorders>
            <w:shd w:val="clear" w:color="000000" w:fill="31869B"/>
            <w:vAlign w:val="center"/>
            <w:hideMark/>
          </w:tcPr>
          <w:p w14:paraId="59C87540"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1007" w:type="dxa"/>
            <w:tcBorders>
              <w:top w:val="nil"/>
              <w:left w:val="nil"/>
              <w:bottom w:val="single" w:sz="4" w:space="0" w:color="auto"/>
              <w:right w:val="single" w:sz="4" w:space="0" w:color="auto"/>
            </w:tcBorders>
            <w:shd w:val="clear" w:color="000000" w:fill="31869B"/>
            <w:vAlign w:val="center"/>
            <w:hideMark/>
          </w:tcPr>
          <w:p w14:paraId="7A470245"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Znesek v evrih</w:t>
            </w:r>
          </w:p>
        </w:tc>
        <w:tc>
          <w:tcPr>
            <w:tcW w:w="1067" w:type="dxa"/>
            <w:tcBorders>
              <w:top w:val="nil"/>
              <w:left w:val="nil"/>
              <w:bottom w:val="single" w:sz="4" w:space="0" w:color="auto"/>
              <w:right w:val="single" w:sz="4" w:space="0" w:color="auto"/>
            </w:tcBorders>
            <w:shd w:val="clear" w:color="000000" w:fill="31869B"/>
            <w:vAlign w:val="center"/>
            <w:hideMark/>
          </w:tcPr>
          <w:p w14:paraId="112F1219"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1008" w:type="dxa"/>
            <w:tcBorders>
              <w:top w:val="nil"/>
              <w:left w:val="nil"/>
              <w:bottom w:val="single" w:sz="4" w:space="0" w:color="auto"/>
              <w:right w:val="single" w:sz="4" w:space="0" w:color="auto"/>
            </w:tcBorders>
            <w:shd w:val="clear" w:color="000000" w:fill="31869B"/>
            <w:vAlign w:val="center"/>
            <w:hideMark/>
          </w:tcPr>
          <w:p w14:paraId="55D5F477"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Znesek v evrih</w:t>
            </w:r>
          </w:p>
        </w:tc>
        <w:tc>
          <w:tcPr>
            <w:tcW w:w="1150" w:type="dxa"/>
            <w:tcBorders>
              <w:top w:val="nil"/>
              <w:left w:val="nil"/>
              <w:bottom w:val="single" w:sz="4" w:space="0" w:color="auto"/>
              <w:right w:val="single" w:sz="4" w:space="0" w:color="auto"/>
            </w:tcBorders>
            <w:shd w:val="clear" w:color="000000" w:fill="31869B"/>
            <w:vAlign w:val="center"/>
            <w:hideMark/>
          </w:tcPr>
          <w:p w14:paraId="0C105997"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Število</w:t>
            </w:r>
          </w:p>
        </w:tc>
        <w:tc>
          <w:tcPr>
            <w:tcW w:w="1213" w:type="dxa"/>
            <w:tcBorders>
              <w:top w:val="nil"/>
              <w:left w:val="nil"/>
              <w:bottom w:val="single" w:sz="4" w:space="0" w:color="auto"/>
              <w:right w:val="single" w:sz="4" w:space="0" w:color="auto"/>
            </w:tcBorders>
            <w:shd w:val="clear" w:color="000000" w:fill="31869B"/>
            <w:vAlign w:val="center"/>
            <w:hideMark/>
          </w:tcPr>
          <w:p w14:paraId="6A49BFF5" w14:textId="77777777" w:rsidR="00D847F2" w:rsidRPr="00381A1B" w:rsidRDefault="00D847F2" w:rsidP="00556699">
            <w:pPr>
              <w:spacing w:line="240" w:lineRule="auto"/>
              <w:jc w:val="center"/>
              <w:rPr>
                <w:rFonts w:ascii="Arial" w:eastAsia="Times New Roman" w:hAnsi="Arial" w:cs="Arial"/>
                <w:b/>
                <w:bCs/>
                <w:color w:val="FFFFFF"/>
                <w:sz w:val="18"/>
                <w:szCs w:val="18"/>
                <w:lang w:eastAsia="sl-SI"/>
              </w:rPr>
            </w:pPr>
            <w:r w:rsidRPr="00381A1B">
              <w:rPr>
                <w:rFonts w:ascii="Arial" w:eastAsia="Times New Roman" w:hAnsi="Arial" w:cs="Arial"/>
                <w:b/>
                <w:bCs/>
                <w:color w:val="FFFFFF"/>
                <w:sz w:val="18"/>
                <w:szCs w:val="18"/>
                <w:lang w:eastAsia="sl-SI"/>
              </w:rPr>
              <w:t xml:space="preserve">Znesek </w:t>
            </w:r>
          </w:p>
        </w:tc>
      </w:tr>
      <w:tr w:rsidR="00D847F2" w:rsidRPr="00381A1B" w14:paraId="6FECBDC1" w14:textId="77777777" w:rsidTr="00556699">
        <w:trPr>
          <w:trHeight w:val="315"/>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422A2C98" w14:textId="27AAE8A6"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ZPIZ</w:t>
            </w:r>
            <w:r w:rsidR="00992912">
              <w:rPr>
                <w:rFonts w:ascii="Arial" w:eastAsia="Times New Roman" w:hAnsi="Arial" w:cs="Arial"/>
                <w:color w:val="000000"/>
                <w:sz w:val="18"/>
                <w:szCs w:val="18"/>
                <w:lang w:eastAsia="sl-SI"/>
              </w:rPr>
              <w:t xml:space="preserve">           </w:t>
            </w:r>
            <w:r w:rsidRPr="00381A1B">
              <w:rPr>
                <w:rFonts w:ascii="Arial" w:eastAsia="Times New Roman"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vAlign w:val="center"/>
            <w:hideMark/>
          </w:tcPr>
          <w:p w14:paraId="66FD8F7E" w14:textId="6337B96C" w:rsidR="00D847F2" w:rsidRPr="00381A1B" w:rsidRDefault="00F3582A" w:rsidP="005E66F8">
            <w:pPr>
              <w:spacing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Poslani</w:t>
            </w:r>
            <w:r w:rsidR="00D847F2" w:rsidRPr="00381A1B">
              <w:rPr>
                <w:rFonts w:ascii="Arial" w:eastAsia="Times New Roman" w:hAnsi="Arial" w:cs="Arial"/>
                <w:color w:val="000000"/>
                <w:sz w:val="18"/>
                <w:szCs w:val="18"/>
                <w:lang w:eastAsia="sl-SI"/>
              </w:rPr>
              <w:t xml:space="preserve"> predlogi</w:t>
            </w:r>
          </w:p>
        </w:tc>
        <w:tc>
          <w:tcPr>
            <w:tcW w:w="1006" w:type="dxa"/>
            <w:tcBorders>
              <w:top w:val="nil"/>
              <w:left w:val="nil"/>
              <w:bottom w:val="single" w:sz="4" w:space="0" w:color="auto"/>
              <w:right w:val="single" w:sz="4" w:space="0" w:color="auto"/>
            </w:tcBorders>
            <w:shd w:val="clear" w:color="auto" w:fill="auto"/>
            <w:noWrap/>
            <w:vAlign w:val="center"/>
            <w:hideMark/>
          </w:tcPr>
          <w:p w14:paraId="2876D18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295</w:t>
            </w:r>
          </w:p>
        </w:tc>
        <w:tc>
          <w:tcPr>
            <w:tcW w:w="1007" w:type="dxa"/>
            <w:tcBorders>
              <w:top w:val="nil"/>
              <w:left w:val="nil"/>
              <w:bottom w:val="single" w:sz="4" w:space="0" w:color="auto"/>
              <w:right w:val="single" w:sz="4" w:space="0" w:color="auto"/>
            </w:tcBorders>
            <w:shd w:val="clear" w:color="000000" w:fill="DAEEF3"/>
            <w:noWrap/>
            <w:vAlign w:val="center"/>
            <w:hideMark/>
          </w:tcPr>
          <w:p w14:paraId="71511270"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2.566.646</w:t>
            </w:r>
          </w:p>
        </w:tc>
        <w:tc>
          <w:tcPr>
            <w:tcW w:w="1067" w:type="dxa"/>
            <w:tcBorders>
              <w:top w:val="nil"/>
              <w:left w:val="nil"/>
              <w:bottom w:val="single" w:sz="4" w:space="0" w:color="auto"/>
              <w:right w:val="single" w:sz="4" w:space="0" w:color="auto"/>
            </w:tcBorders>
            <w:shd w:val="clear" w:color="auto" w:fill="auto"/>
            <w:noWrap/>
            <w:vAlign w:val="center"/>
            <w:hideMark/>
          </w:tcPr>
          <w:p w14:paraId="4E3D5031"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650</w:t>
            </w:r>
          </w:p>
        </w:tc>
        <w:tc>
          <w:tcPr>
            <w:tcW w:w="1008" w:type="dxa"/>
            <w:tcBorders>
              <w:top w:val="nil"/>
              <w:left w:val="nil"/>
              <w:bottom w:val="single" w:sz="4" w:space="0" w:color="auto"/>
              <w:right w:val="single" w:sz="4" w:space="0" w:color="auto"/>
            </w:tcBorders>
            <w:shd w:val="clear" w:color="000000" w:fill="DAEEF3"/>
            <w:noWrap/>
            <w:vAlign w:val="center"/>
            <w:hideMark/>
          </w:tcPr>
          <w:p w14:paraId="213A4B3C"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6.062.120</w:t>
            </w:r>
          </w:p>
        </w:tc>
        <w:tc>
          <w:tcPr>
            <w:tcW w:w="1150" w:type="dxa"/>
            <w:tcBorders>
              <w:top w:val="nil"/>
              <w:left w:val="nil"/>
              <w:bottom w:val="single" w:sz="4" w:space="0" w:color="auto"/>
              <w:right w:val="single" w:sz="4" w:space="0" w:color="auto"/>
            </w:tcBorders>
            <w:shd w:val="clear" w:color="auto" w:fill="auto"/>
            <w:noWrap/>
            <w:vAlign w:val="center"/>
            <w:hideMark/>
          </w:tcPr>
          <w:p w14:paraId="5464F1B2"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220,34</w:t>
            </w:r>
          </w:p>
        </w:tc>
        <w:tc>
          <w:tcPr>
            <w:tcW w:w="1213" w:type="dxa"/>
            <w:tcBorders>
              <w:top w:val="nil"/>
              <w:left w:val="nil"/>
              <w:bottom w:val="single" w:sz="4" w:space="0" w:color="auto"/>
              <w:right w:val="single" w:sz="4" w:space="0" w:color="auto"/>
            </w:tcBorders>
            <w:shd w:val="clear" w:color="auto" w:fill="auto"/>
            <w:noWrap/>
            <w:vAlign w:val="center"/>
            <w:hideMark/>
          </w:tcPr>
          <w:p w14:paraId="3F991CA5"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236,19</w:t>
            </w:r>
          </w:p>
        </w:tc>
      </w:tr>
      <w:tr w:rsidR="00D847F2" w:rsidRPr="00381A1B" w14:paraId="050FD56C" w14:textId="77777777" w:rsidTr="00556699">
        <w:trPr>
          <w:trHeight w:val="184"/>
        </w:trPr>
        <w:tc>
          <w:tcPr>
            <w:tcW w:w="1089" w:type="dxa"/>
            <w:vMerge/>
            <w:tcBorders>
              <w:top w:val="nil"/>
              <w:left w:val="single" w:sz="4" w:space="0" w:color="auto"/>
              <w:bottom w:val="single" w:sz="4" w:space="0" w:color="auto"/>
              <w:right w:val="single" w:sz="4" w:space="0" w:color="auto"/>
            </w:tcBorders>
            <w:vAlign w:val="center"/>
            <w:hideMark/>
          </w:tcPr>
          <w:p w14:paraId="683890D1" w14:textId="77777777" w:rsidR="00D847F2" w:rsidRPr="00381A1B" w:rsidRDefault="00D847F2" w:rsidP="00556699">
            <w:pPr>
              <w:spacing w:line="240" w:lineRule="auto"/>
              <w:rPr>
                <w:rFonts w:ascii="Arial" w:eastAsia="Times New Roman" w:hAnsi="Arial" w:cs="Arial"/>
                <w:color w:val="000000"/>
                <w:sz w:val="18"/>
                <w:szCs w:val="18"/>
                <w:lang w:eastAsia="sl-SI"/>
              </w:rPr>
            </w:pPr>
          </w:p>
        </w:tc>
        <w:tc>
          <w:tcPr>
            <w:tcW w:w="1828" w:type="dxa"/>
            <w:tcBorders>
              <w:top w:val="nil"/>
              <w:left w:val="nil"/>
              <w:bottom w:val="single" w:sz="4" w:space="0" w:color="auto"/>
              <w:right w:val="single" w:sz="4" w:space="0" w:color="auto"/>
            </w:tcBorders>
            <w:shd w:val="clear" w:color="auto" w:fill="auto"/>
            <w:vAlign w:val="center"/>
            <w:hideMark/>
          </w:tcPr>
          <w:p w14:paraId="5D189DEE" w14:textId="77777777"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Prejeta plačila</w:t>
            </w:r>
          </w:p>
        </w:tc>
        <w:tc>
          <w:tcPr>
            <w:tcW w:w="1006" w:type="dxa"/>
            <w:tcBorders>
              <w:top w:val="nil"/>
              <w:left w:val="nil"/>
              <w:bottom w:val="single" w:sz="4" w:space="0" w:color="auto"/>
              <w:right w:val="single" w:sz="4" w:space="0" w:color="auto"/>
            </w:tcBorders>
            <w:shd w:val="clear" w:color="auto" w:fill="auto"/>
            <w:noWrap/>
            <w:vAlign w:val="center"/>
            <w:hideMark/>
          </w:tcPr>
          <w:p w14:paraId="146FA4E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007" w:type="dxa"/>
            <w:tcBorders>
              <w:top w:val="nil"/>
              <w:left w:val="nil"/>
              <w:bottom w:val="single" w:sz="4" w:space="0" w:color="auto"/>
              <w:right w:val="single" w:sz="4" w:space="0" w:color="auto"/>
            </w:tcBorders>
            <w:shd w:val="clear" w:color="000000" w:fill="DAEEF3"/>
            <w:noWrap/>
            <w:vAlign w:val="center"/>
            <w:hideMark/>
          </w:tcPr>
          <w:p w14:paraId="1A160BE9"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87.550</w:t>
            </w:r>
          </w:p>
        </w:tc>
        <w:tc>
          <w:tcPr>
            <w:tcW w:w="1067" w:type="dxa"/>
            <w:tcBorders>
              <w:top w:val="nil"/>
              <w:left w:val="nil"/>
              <w:bottom w:val="single" w:sz="4" w:space="0" w:color="auto"/>
              <w:right w:val="single" w:sz="4" w:space="0" w:color="auto"/>
            </w:tcBorders>
            <w:shd w:val="clear" w:color="auto" w:fill="auto"/>
            <w:noWrap/>
            <w:vAlign w:val="center"/>
            <w:hideMark/>
          </w:tcPr>
          <w:p w14:paraId="5AD3A2E3"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008" w:type="dxa"/>
            <w:tcBorders>
              <w:top w:val="nil"/>
              <w:left w:val="nil"/>
              <w:bottom w:val="single" w:sz="4" w:space="0" w:color="auto"/>
              <w:right w:val="single" w:sz="4" w:space="0" w:color="auto"/>
            </w:tcBorders>
            <w:shd w:val="clear" w:color="000000" w:fill="DAEEF3"/>
            <w:noWrap/>
            <w:vAlign w:val="center"/>
            <w:hideMark/>
          </w:tcPr>
          <w:p w14:paraId="041CD5FB"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92.933</w:t>
            </w:r>
          </w:p>
        </w:tc>
        <w:tc>
          <w:tcPr>
            <w:tcW w:w="1150" w:type="dxa"/>
            <w:tcBorders>
              <w:top w:val="nil"/>
              <w:left w:val="nil"/>
              <w:bottom w:val="single" w:sz="4" w:space="0" w:color="auto"/>
              <w:right w:val="single" w:sz="4" w:space="0" w:color="auto"/>
            </w:tcBorders>
            <w:shd w:val="clear" w:color="auto" w:fill="auto"/>
            <w:noWrap/>
            <w:vAlign w:val="center"/>
            <w:hideMark/>
          </w:tcPr>
          <w:p w14:paraId="6149A6CB"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213" w:type="dxa"/>
            <w:tcBorders>
              <w:top w:val="nil"/>
              <w:left w:val="nil"/>
              <w:bottom w:val="single" w:sz="4" w:space="0" w:color="auto"/>
              <w:right w:val="single" w:sz="4" w:space="0" w:color="auto"/>
            </w:tcBorders>
            <w:shd w:val="clear" w:color="auto" w:fill="auto"/>
            <w:noWrap/>
            <w:vAlign w:val="center"/>
            <w:hideMark/>
          </w:tcPr>
          <w:p w14:paraId="6190A4D1"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r>
      <w:tr w:rsidR="00D847F2" w:rsidRPr="00381A1B" w14:paraId="0CC6008F" w14:textId="77777777" w:rsidTr="00556699">
        <w:trPr>
          <w:trHeight w:val="315"/>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4B7B4E80" w14:textId="2845CC72"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ZZZS</w:t>
            </w:r>
            <w:r w:rsidR="00992912">
              <w:rPr>
                <w:rFonts w:ascii="Arial" w:eastAsia="Times New Roman"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vAlign w:val="center"/>
            <w:hideMark/>
          </w:tcPr>
          <w:p w14:paraId="547F5C2A" w14:textId="18C0EAF6" w:rsidR="00D847F2" w:rsidRPr="00381A1B" w:rsidRDefault="00F3582A" w:rsidP="00556699">
            <w:pPr>
              <w:spacing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Poslani</w:t>
            </w:r>
            <w:r w:rsidRPr="00381A1B" w:rsidDel="005E66F8">
              <w:rPr>
                <w:rFonts w:ascii="Arial" w:eastAsia="Times New Roman" w:hAnsi="Arial" w:cs="Arial"/>
                <w:color w:val="000000"/>
                <w:sz w:val="18"/>
                <w:szCs w:val="18"/>
                <w:lang w:eastAsia="sl-SI"/>
              </w:rPr>
              <w:t xml:space="preserve"> </w:t>
            </w:r>
            <w:r w:rsidR="00D847F2" w:rsidRPr="00381A1B">
              <w:rPr>
                <w:rFonts w:ascii="Arial" w:eastAsia="Times New Roman" w:hAnsi="Arial" w:cs="Arial"/>
                <w:color w:val="000000"/>
                <w:sz w:val="18"/>
                <w:szCs w:val="18"/>
                <w:lang w:eastAsia="sl-SI"/>
              </w:rPr>
              <w:t>predlogi</w:t>
            </w:r>
          </w:p>
        </w:tc>
        <w:tc>
          <w:tcPr>
            <w:tcW w:w="1006" w:type="dxa"/>
            <w:tcBorders>
              <w:top w:val="nil"/>
              <w:left w:val="nil"/>
              <w:bottom w:val="single" w:sz="4" w:space="0" w:color="auto"/>
              <w:right w:val="single" w:sz="4" w:space="0" w:color="auto"/>
            </w:tcBorders>
            <w:shd w:val="clear" w:color="auto" w:fill="auto"/>
            <w:noWrap/>
            <w:vAlign w:val="center"/>
            <w:hideMark/>
          </w:tcPr>
          <w:p w14:paraId="34FFA507"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287</w:t>
            </w:r>
          </w:p>
        </w:tc>
        <w:tc>
          <w:tcPr>
            <w:tcW w:w="1007" w:type="dxa"/>
            <w:tcBorders>
              <w:top w:val="nil"/>
              <w:left w:val="nil"/>
              <w:bottom w:val="single" w:sz="4" w:space="0" w:color="auto"/>
              <w:right w:val="single" w:sz="4" w:space="0" w:color="auto"/>
            </w:tcBorders>
            <w:shd w:val="clear" w:color="000000" w:fill="DAEEF3"/>
            <w:noWrap/>
            <w:vAlign w:val="center"/>
            <w:hideMark/>
          </w:tcPr>
          <w:p w14:paraId="4E6ADB5A"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1.489.018</w:t>
            </w:r>
          </w:p>
        </w:tc>
        <w:tc>
          <w:tcPr>
            <w:tcW w:w="1067" w:type="dxa"/>
            <w:tcBorders>
              <w:top w:val="nil"/>
              <w:left w:val="nil"/>
              <w:bottom w:val="single" w:sz="4" w:space="0" w:color="auto"/>
              <w:right w:val="single" w:sz="4" w:space="0" w:color="auto"/>
            </w:tcBorders>
            <w:shd w:val="clear" w:color="auto" w:fill="auto"/>
            <w:noWrap/>
            <w:vAlign w:val="center"/>
            <w:hideMark/>
          </w:tcPr>
          <w:p w14:paraId="746DF56B"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556</w:t>
            </w:r>
          </w:p>
        </w:tc>
        <w:tc>
          <w:tcPr>
            <w:tcW w:w="1008" w:type="dxa"/>
            <w:tcBorders>
              <w:top w:val="nil"/>
              <w:left w:val="nil"/>
              <w:bottom w:val="single" w:sz="4" w:space="0" w:color="auto"/>
              <w:right w:val="single" w:sz="4" w:space="0" w:color="auto"/>
            </w:tcBorders>
            <w:shd w:val="clear" w:color="000000" w:fill="DAEEF3"/>
            <w:noWrap/>
            <w:vAlign w:val="center"/>
            <w:hideMark/>
          </w:tcPr>
          <w:p w14:paraId="396CEF06"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3.180.147</w:t>
            </w:r>
          </w:p>
        </w:tc>
        <w:tc>
          <w:tcPr>
            <w:tcW w:w="1150" w:type="dxa"/>
            <w:tcBorders>
              <w:top w:val="nil"/>
              <w:left w:val="nil"/>
              <w:bottom w:val="single" w:sz="4" w:space="0" w:color="auto"/>
              <w:right w:val="single" w:sz="4" w:space="0" w:color="auto"/>
            </w:tcBorders>
            <w:shd w:val="clear" w:color="auto" w:fill="auto"/>
            <w:noWrap/>
            <w:vAlign w:val="center"/>
            <w:hideMark/>
          </w:tcPr>
          <w:p w14:paraId="231A9B6A"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193,73</w:t>
            </w:r>
          </w:p>
        </w:tc>
        <w:tc>
          <w:tcPr>
            <w:tcW w:w="1213" w:type="dxa"/>
            <w:tcBorders>
              <w:top w:val="nil"/>
              <w:left w:val="nil"/>
              <w:bottom w:val="single" w:sz="4" w:space="0" w:color="auto"/>
              <w:right w:val="single" w:sz="4" w:space="0" w:color="auto"/>
            </w:tcBorders>
            <w:shd w:val="clear" w:color="auto" w:fill="auto"/>
            <w:noWrap/>
            <w:vAlign w:val="center"/>
            <w:hideMark/>
          </w:tcPr>
          <w:p w14:paraId="4EC8EA01"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213,57</w:t>
            </w:r>
          </w:p>
        </w:tc>
      </w:tr>
      <w:tr w:rsidR="00D847F2" w:rsidRPr="00381A1B" w14:paraId="3A74B5AF" w14:textId="77777777" w:rsidTr="00556699">
        <w:trPr>
          <w:trHeight w:val="184"/>
        </w:trPr>
        <w:tc>
          <w:tcPr>
            <w:tcW w:w="1089" w:type="dxa"/>
            <w:vMerge/>
            <w:tcBorders>
              <w:top w:val="nil"/>
              <w:left w:val="single" w:sz="4" w:space="0" w:color="auto"/>
              <w:bottom w:val="single" w:sz="4" w:space="0" w:color="auto"/>
              <w:right w:val="single" w:sz="4" w:space="0" w:color="auto"/>
            </w:tcBorders>
            <w:vAlign w:val="center"/>
            <w:hideMark/>
          </w:tcPr>
          <w:p w14:paraId="23101969" w14:textId="77777777" w:rsidR="00D847F2" w:rsidRPr="00381A1B" w:rsidRDefault="00D847F2" w:rsidP="00556699">
            <w:pPr>
              <w:spacing w:line="240" w:lineRule="auto"/>
              <w:rPr>
                <w:rFonts w:ascii="Arial" w:eastAsia="Times New Roman" w:hAnsi="Arial" w:cs="Arial"/>
                <w:color w:val="000000"/>
                <w:sz w:val="18"/>
                <w:szCs w:val="18"/>
                <w:lang w:eastAsia="sl-SI"/>
              </w:rPr>
            </w:pPr>
          </w:p>
        </w:tc>
        <w:tc>
          <w:tcPr>
            <w:tcW w:w="1828" w:type="dxa"/>
            <w:tcBorders>
              <w:top w:val="nil"/>
              <w:left w:val="nil"/>
              <w:bottom w:val="single" w:sz="4" w:space="0" w:color="auto"/>
              <w:right w:val="single" w:sz="4" w:space="0" w:color="auto"/>
            </w:tcBorders>
            <w:shd w:val="clear" w:color="auto" w:fill="auto"/>
            <w:vAlign w:val="center"/>
            <w:hideMark/>
          </w:tcPr>
          <w:p w14:paraId="3BAB921C" w14:textId="77777777"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Prejeta plačila</w:t>
            </w:r>
          </w:p>
        </w:tc>
        <w:tc>
          <w:tcPr>
            <w:tcW w:w="1006" w:type="dxa"/>
            <w:tcBorders>
              <w:top w:val="nil"/>
              <w:left w:val="nil"/>
              <w:bottom w:val="single" w:sz="4" w:space="0" w:color="auto"/>
              <w:right w:val="single" w:sz="4" w:space="0" w:color="auto"/>
            </w:tcBorders>
            <w:shd w:val="clear" w:color="auto" w:fill="auto"/>
            <w:noWrap/>
            <w:vAlign w:val="center"/>
            <w:hideMark/>
          </w:tcPr>
          <w:p w14:paraId="4011022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007" w:type="dxa"/>
            <w:tcBorders>
              <w:top w:val="nil"/>
              <w:left w:val="nil"/>
              <w:bottom w:val="single" w:sz="4" w:space="0" w:color="auto"/>
              <w:right w:val="single" w:sz="4" w:space="0" w:color="auto"/>
            </w:tcBorders>
            <w:shd w:val="clear" w:color="000000" w:fill="DAEEF3"/>
            <w:noWrap/>
            <w:vAlign w:val="center"/>
            <w:hideMark/>
          </w:tcPr>
          <w:p w14:paraId="678C850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69.074</w:t>
            </w:r>
          </w:p>
        </w:tc>
        <w:tc>
          <w:tcPr>
            <w:tcW w:w="1067" w:type="dxa"/>
            <w:tcBorders>
              <w:top w:val="nil"/>
              <w:left w:val="nil"/>
              <w:bottom w:val="single" w:sz="4" w:space="0" w:color="auto"/>
              <w:right w:val="single" w:sz="4" w:space="0" w:color="auto"/>
            </w:tcBorders>
            <w:shd w:val="clear" w:color="auto" w:fill="auto"/>
            <w:noWrap/>
            <w:vAlign w:val="center"/>
            <w:hideMark/>
          </w:tcPr>
          <w:p w14:paraId="14D86F35"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008" w:type="dxa"/>
            <w:tcBorders>
              <w:top w:val="nil"/>
              <w:left w:val="nil"/>
              <w:bottom w:val="single" w:sz="4" w:space="0" w:color="auto"/>
              <w:right w:val="single" w:sz="4" w:space="0" w:color="auto"/>
            </w:tcBorders>
            <w:shd w:val="clear" w:color="000000" w:fill="DAEEF3"/>
            <w:noWrap/>
            <w:vAlign w:val="center"/>
            <w:hideMark/>
          </w:tcPr>
          <w:p w14:paraId="4E2EFBED"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bookmarkStart w:id="26" w:name="RANGE!F8"/>
            <w:r w:rsidRPr="00381A1B">
              <w:rPr>
                <w:rFonts w:ascii="Arial" w:eastAsia="Times New Roman" w:hAnsi="Arial" w:cs="Arial"/>
                <w:color w:val="000000"/>
                <w:sz w:val="18"/>
                <w:szCs w:val="18"/>
                <w:lang w:eastAsia="sl-SI"/>
              </w:rPr>
              <w:t>72.511</w:t>
            </w:r>
            <w:bookmarkEnd w:id="26"/>
          </w:p>
        </w:tc>
        <w:tc>
          <w:tcPr>
            <w:tcW w:w="1150" w:type="dxa"/>
            <w:tcBorders>
              <w:top w:val="nil"/>
              <w:left w:val="nil"/>
              <w:bottom w:val="single" w:sz="4" w:space="0" w:color="auto"/>
              <w:right w:val="single" w:sz="4" w:space="0" w:color="auto"/>
            </w:tcBorders>
            <w:shd w:val="clear" w:color="auto" w:fill="auto"/>
            <w:noWrap/>
            <w:vAlign w:val="center"/>
            <w:hideMark/>
          </w:tcPr>
          <w:p w14:paraId="7B838B5C"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213" w:type="dxa"/>
            <w:tcBorders>
              <w:top w:val="nil"/>
              <w:left w:val="nil"/>
              <w:bottom w:val="single" w:sz="4" w:space="0" w:color="auto"/>
              <w:right w:val="single" w:sz="4" w:space="0" w:color="auto"/>
            </w:tcBorders>
            <w:shd w:val="clear" w:color="auto" w:fill="auto"/>
            <w:noWrap/>
            <w:vAlign w:val="center"/>
            <w:hideMark/>
          </w:tcPr>
          <w:p w14:paraId="0086479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104,98</w:t>
            </w:r>
          </w:p>
        </w:tc>
      </w:tr>
      <w:tr w:rsidR="00D847F2" w:rsidRPr="00381A1B" w14:paraId="685E8C49" w14:textId="77777777" w:rsidTr="00556699">
        <w:trPr>
          <w:trHeight w:val="315"/>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2A6AC7E7" w14:textId="6CD97AB6"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MDDSZ</w:t>
            </w:r>
            <w:r w:rsidR="00992912">
              <w:rPr>
                <w:rFonts w:ascii="Arial" w:eastAsia="Times New Roman"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vAlign w:val="center"/>
            <w:hideMark/>
          </w:tcPr>
          <w:p w14:paraId="5D83B93D" w14:textId="6E459937" w:rsidR="00D847F2" w:rsidRPr="00381A1B" w:rsidRDefault="00F3582A" w:rsidP="00556699">
            <w:pPr>
              <w:spacing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Poslani</w:t>
            </w:r>
            <w:r w:rsidRPr="00381A1B" w:rsidDel="005E66F8">
              <w:rPr>
                <w:rFonts w:ascii="Arial" w:eastAsia="Times New Roman" w:hAnsi="Arial" w:cs="Arial"/>
                <w:color w:val="000000"/>
                <w:sz w:val="18"/>
                <w:szCs w:val="18"/>
                <w:lang w:eastAsia="sl-SI"/>
              </w:rPr>
              <w:t xml:space="preserve"> </w:t>
            </w:r>
            <w:r w:rsidR="00D847F2" w:rsidRPr="00381A1B">
              <w:rPr>
                <w:rFonts w:ascii="Arial" w:eastAsia="Times New Roman" w:hAnsi="Arial" w:cs="Arial"/>
                <w:color w:val="000000"/>
                <w:sz w:val="18"/>
                <w:szCs w:val="18"/>
                <w:lang w:eastAsia="sl-SI"/>
              </w:rPr>
              <w:t>predlogi</w:t>
            </w:r>
          </w:p>
        </w:tc>
        <w:tc>
          <w:tcPr>
            <w:tcW w:w="1006" w:type="dxa"/>
            <w:tcBorders>
              <w:top w:val="nil"/>
              <w:left w:val="nil"/>
              <w:bottom w:val="single" w:sz="4" w:space="0" w:color="auto"/>
              <w:right w:val="single" w:sz="4" w:space="0" w:color="auto"/>
            </w:tcBorders>
            <w:shd w:val="clear" w:color="auto" w:fill="auto"/>
            <w:noWrap/>
            <w:vAlign w:val="center"/>
            <w:hideMark/>
          </w:tcPr>
          <w:p w14:paraId="21664E93"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07" w:type="dxa"/>
            <w:tcBorders>
              <w:top w:val="nil"/>
              <w:left w:val="nil"/>
              <w:bottom w:val="single" w:sz="4" w:space="0" w:color="auto"/>
              <w:right w:val="single" w:sz="4" w:space="0" w:color="auto"/>
            </w:tcBorders>
            <w:shd w:val="clear" w:color="000000" w:fill="DAEEF3"/>
            <w:noWrap/>
            <w:vAlign w:val="center"/>
            <w:hideMark/>
          </w:tcPr>
          <w:p w14:paraId="6CE1291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67" w:type="dxa"/>
            <w:tcBorders>
              <w:top w:val="nil"/>
              <w:left w:val="nil"/>
              <w:bottom w:val="single" w:sz="4" w:space="0" w:color="auto"/>
              <w:right w:val="single" w:sz="4" w:space="0" w:color="auto"/>
            </w:tcBorders>
            <w:shd w:val="clear" w:color="auto" w:fill="auto"/>
            <w:noWrap/>
            <w:vAlign w:val="center"/>
            <w:hideMark/>
          </w:tcPr>
          <w:p w14:paraId="14F1CFA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08" w:type="dxa"/>
            <w:tcBorders>
              <w:top w:val="nil"/>
              <w:left w:val="nil"/>
              <w:bottom w:val="single" w:sz="4" w:space="0" w:color="auto"/>
              <w:right w:val="single" w:sz="4" w:space="0" w:color="auto"/>
            </w:tcBorders>
            <w:shd w:val="clear" w:color="000000" w:fill="DAEEF3"/>
            <w:noWrap/>
            <w:vAlign w:val="center"/>
            <w:hideMark/>
          </w:tcPr>
          <w:p w14:paraId="1BB7854C"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150" w:type="dxa"/>
            <w:tcBorders>
              <w:top w:val="nil"/>
              <w:left w:val="nil"/>
              <w:bottom w:val="single" w:sz="4" w:space="0" w:color="auto"/>
              <w:right w:val="single" w:sz="4" w:space="0" w:color="auto"/>
            </w:tcBorders>
            <w:shd w:val="clear" w:color="auto" w:fill="auto"/>
            <w:noWrap/>
            <w:vAlign w:val="center"/>
            <w:hideMark/>
          </w:tcPr>
          <w:p w14:paraId="6A81695B"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213" w:type="dxa"/>
            <w:tcBorders>
              <w:top w:val="nil"/>
              <w:left w:val="nil"/>
              <w:bottom w:val="single" w:sz="4" w:space="0" w:color="auto"/>
              <w:right w:val="single" w:sz="4" w:space="0" w:color="auto"/>
            </w:tcBorders>
            <w:shd w:val="clear" w:color="auto" w:fill="auto"/>
            <w:noWrap/>
            <w:vAlign w:val="center"/>
            <w:hideMark/>
          </w:tcPr>
          <w:p w14:paraId="01B3C37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r>
      <w:tr w:rsidR="00D847F2" w:rsidRPr="00381A1B" w14:paraId="3A362651" w14:textId="77777777" w:rsidTr="00556699">
        <w:trPr>
          <w:trHeight w:val="184"/>
        </w:trPr>
        <w:tc>
          <w:tcPr>
            <w:tcW w:w="1089" w:type="dxa"/>
            <w:vMerge/>
            <w:tcBorders>
              <w:top w:val="nil"/>
              <w:left w:val="single" w:sz="4" w:space="0" w:color="auto"/>
              <w:bottom w:val="single" w:sz="4" w:space="0" w:color="auto"/>
              <w:right w:val="single" w:sz="4" w:space="0" w:color="auto"/>
            </w:tcBorders>
            <w:vAlign w:val="center"/>
            <w:hideMark/>
          </w:tcPr>
          <w:p w14:paraId="0E38C77C" w14:textId="77777777" w:rsidR="00D847F2" w:rsidRPr="00381A1B" w:rsidRDefault="00D847F2" w:rsidP="00556699">
            <w:pPr>
              <w:spacing w:line="240" w:lineRule="auto"/>
              <w:rPr>
                <w:rFonts w:ascii="Arial" w:eastAsia="Times New Roman" w:hAnsi="Arial" w:cs="Arial"/>
                <w:color w:val="000000"/>
                <w:sz w:val="18"/>
                <w:szCs w:val="18"/>
                <w:lang w:eastAsia="sl-SI"/>
              </w:rPr>
            </w:pPr>
          </w:p>
        </w:tc>
        <w:tc>
          <w:tcPr>
            <w:tcW w:w="1828" w:type="dxa"/>
            <w:tcBorders>
              <w:top w:val="nil"/>
              <w:left w:val="nil"/>
              <w:bottom w:val="single" w:sz="4" w:space="0" w:color="auto"/>
              <w:right w:val="single" w:sz="4" w:space="0" w:color="auto"/>
            </w:tcBorders>
            <w:shd w:val="clear" w:color="auto" w:fill="auto"/>
            <w:vAlign w:val="center"/>
            <w:hideMark/>
          </w:tcPr>
          <w:p w14:paraId="334986F0" w14:textId="77777777" w:rsidR="00D847F2" w:rsidRPr="00381A1B" w:rsidRDefault="00D847F2" w:rsidP="00556699">
            <w:pPr>
              <w:spacing w:line="240" w:lineRule="auto"/>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Prejeta plačila</w:t>
            </w:r>
          </w:p>
        </w:tc>
        <w:tc>
          <w:tcPr>
            <w:tcW w:w="1006" w:type="dxa"/>
            <w:tcBorders>
              <w:top w:val="nil"/>
              <w:left w:val="nil"/>
              <w:bottom w:val="single" w:sz="4" w:space="0" w:color="auto"/>
              <w:right w:val="single" w:sz="4" w:space="0" w:color="auto"/>
            </w:tcBorders>
            <w:shd w:val="clear" w:color="auto" w:fill="auto"/>
            <w:noWrap/>
            <w:vAlign w:val="center"/>
            <w:hideMark/>
          </w:tcPr>
          <w:p w14:paraId="26CA6315"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07" w:type="dxa"/>
            <w:tcBorders>
              <w:top w:val="nil"/>
              <w:left w:val="nil"/>
              <w:bottom w:val="single" w:sz="4" w:space="0" w:color="auto"/>
              <w:right w:val="single" w:sz="4" w:space="0" w:color="auto"/>
            </w:tcBorders>
            <w:shd w:val="clear" w:color="000000" w:fill="DAEEF3"/>
            <w:noWrap/>
            <w:vAlign w:val="center"/>
            <w:hideMark/>
          </w:tcPr>
          <w:p w14:paraId="3D47D17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67" w:type="dxa"/>
            <w:tcBorders>
              <w:top w:val="nil"/>
              <w:left w:val="nil"/>
              <w:bottom w:val="single" w:sz="4" w:space="0" w:color="auto"/>
              <w:right w:val="single" w:sz="4" w:space="0" w:color="auto"/>
            </w:tcBorders>
            <w:shd w:val="clear" w:color="auto" w:fill="auto"/>
            <w:noWrap/>
            <w:vAlign w:val="center"/>
            <w:hideMark/>
          </w:tcPr>
          <w:p w14:paraId="073B2B28"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008" w:type="dxa"/>
            <w:tcBorders>
              <w:top w:val="nil"/>
              <w:left w:val="nil"/>
              <w:bottom w:val="single" w:sz="4" w:space="0" w:color="auto"/>
              <w:right w:val="single" w:sz="4" w:space="0" w:color="auto"/>
            </w:tcBorders>
            <w:shd w:val="clear" w:color="000000" w:fill="DAEEF3"/>
            <w:noWrap/>
            <w:vAlign w:val="center"/>
            <w:hideMark/>
          </w:tcPr>
          <w:p w14:paraId="03F3531C"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0</w:t>
            </w:r>
          </w:p>
        </w:tc>
        <w:tc>
          <w:tcPr>
            <w:tcW w:w="1150" w:type="dxa"/>
            <w:tcBorders>
              <w:top w:val="nil"/>
              <w:left w:val="nil"/>
              <w:bottom w:val="single" w:sz="4" w:space="0" w:color="auto"/>
              <w:right w:val="single" w:sz="4" w:space="0" w:color="auto"/>
            </w:tcBorders>
            <w:shd w:val="clear" w:color="auto" w:fill="auto"/>
            <w:noWrap/>
            <w:vAlign w:val="center"/>
            <w:hideMark/>
          </w:tcPr>
          <w:p w14:paraId="28C807C7"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213" w:type="dxa"/>
            <w:tcBorders>
              <w:top w:val="nil"/>
              <w:left w:val="nil"/>
              <w:bottom w:val="single" w:sz="4" w:space="0" w:color="auto"/>
              <w:right w:val="single" w:sz="4" w:space="0" w:color="auto"/>
            </w:tcBorders>
            <w:shd w:val="clear" w:color="auto" w:fill="auto"/>
            <w:noWrap/>
            <w:vAlign w:val="center"/>
            <w:hideMark/>
          </w:tcPr>
          <w:p w14:paraId="1CDF3663"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r>
      <w:tr w:rsidR="00D847F2" w:rsidRPr="00381A1B" w14:paraId="17B4B3B9" w14:textId="77777777" w:rsidTr="00556699">
        <w:trPr>
          <w:trHeight w:val="315"/>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4A68CDAA" w14:textId="77777777" w:rsidR="00D847F2" w:rsidRPr="00381A1B" w:rsidRDefault="00D847F2" w:rsidP="00556699">
            <w:pPr>
              <w:spacing w:line="240" w:lineRule="auto"/>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Skupaj</w:t>
            </w:r>
          </w:p>
        </w:tc>
        <w:tc>
          <w:tcPr>
            <w:tcW w:w="1828" w:type="dxa"/>
            <w:tcBorders>
              <w:top w:val="nil"/>
              <w:left w:val="nil"/>
              <w:bottom w:val="single" w:sz="4" w:space="0" w:color="auto"/>
              <w:right w:val="single" w:sz="4" w:space="0" w:color="auto"/>
            </w:tcBorders>
            <w:shd w:val="clear" w:color="auto" w:fill="auto"/>
            <w:vAlign w:val="center"/>
            <w:hideMark/>
          </w:tcPr>
          <w:p w14:paraId="31A6BD3D" w14:textId="77777777" w:rsidR="00D847F2" w:rsidRPr="00381A1B" w:rsidRDefault="00D847F2" w:rsidP="00556699">
            <w:pPr>
              <w:spacing w:line="240" w:lineRule="auto"/>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Skupaj poslanih predlogov</w:t>
            </w:r>
          </w:p>
        </w:tc>
        <w:tc>
          <w:tcPr>
            <w:tcW w:w="1006" w:type="dxa"/>
            <w:tcBorders>
              <w:top w:val="nil"/>
              <w:left w:val="nil"/>
              <w:bottom w:val="single" w:sz="4" w:space="0" w:color="auto"/>
              <w:right w:val="single" w:sz="4" w:space="0" w:color="auto"/>
            </w:tcBorders>
            <w:shd w:val="clear" w:color="auto" w:fill="auto"/>
            <w:noWrap/>
            <w:vAlign w:val="center"/>
            <w:hideMark/>
          </w:tcPr>
          <w:p w14:paraId="64B695C4"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582</w:t>
            </w:r>
          </w:p>
        </w:tc>
        <w:tc>
          <w:tcPr>
            <w:tcW w:w="1007" w:type="dxa"/>
            <w:tcBorders>
              <w:top w:val="nil"/>
              <w:left w:val="nil"/>
              <w:bottom w:val="single" w:sz="4" w:space="0" w:color="auto"/>
              <w:right w:val="single" w:sz="4" w:space="0" w:color="auto"/>
            </w:tcBorders>
            <w:shd w:val="clear" w:color="000000" w:fill="DAEEF3"/>
            <w:noWrap/>
            <w:vAlign w:val="center"/>
            <w:hideMark/>
          </w:tcPr>
          <w:p w14:paraId="4B9C5A6B"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4.055.664</w:t>
            </w:r>
          </w:p>
        </w:tc>
        <w:tc>
          <w:tcPr>
            <w:tcW w:w="1067" w:type="dxa"/>
            <w:tcBorders>
              <w:top w:val="nil"/>
              <w:left w:val="nil"/>
              <w:bottom w:val="single" w:sz="4" w:space="0" w:color="auto"/>
              <w:right w:val="single" w:sz="4" w:space="0" w:color="auto"/>
            </w:tcBorders>
            <w:shd w:val="clear" w:color="auto" w:fill="auto"/>
            <w:noWrap/>
            <w:vAlign w:val="center"/>
            <w:hideMark/>
          </w:tcPr>
          <w:p w14:paraId="48458905"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1.206</w:t>
            </w:r>
          </w:p>
        </w:tc>
        <w:tc>
          <w:tcPr>
            <w:tcW w:w="1008" w:type="dxa"/>
            <w:tcBorders>
              <w:top w:val="nil"/>
              <w:left w:val="nil"/>
              <w:bottom w:val="single" w:sz="4" w:space="0" w:color="auto"/>
              <w:right w:val="single" w:sz="4" w:space="0" w:color="auto"/>
            </w:tcBorders>
            <w:shd w:val="clear" w:color="auto" w:fill="auto"/>
            <w:noWrap/>
            <w:vAlign w:val="center"/>
            <w:hideMark/>
          </w:tcPr>
          <w:p w14:paraId="2EA66FF7"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9.242.267</w:t>
            </w:r>
          </w:p>
        </w:tc>
        <w:tc>
          <w:tcPr>
            <w:tcW w:w="1150" w:type="dxa"/>
            <w:tcBorders>
              <w:top w:val="nil"/>
              <w:left w:val="nil"/>
              <w:bottom w:val="single" w:sz="4" w:space="0" w:color="auto"/>
              <w:right w:val="single" w:sz="4" w:space="0" w:color="auto"/>
            </w:tcBorders>
            <w:shd w:val="clear" w:color="auto" w:fill="auto"/>
            <w:noWrap/>
            <w:vAlign w:val="center"/>
            <w:hideMark/>
          </w:tcPr>
          <w:p w14:paraId="422226D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207,22</w:t>
            </w:r>
          </w:p>
        </w:tc>
        <w:tc>
          <w:tcPr>
            <w:tcW w:w="1213" w:type="dxa"/>
            <w:tcBorders>
              <w:top w:val="nil"/>
              <w:left w:val="nil"/>
              <w:bottom w:val="single" w:sz="4" w:space="0" w:color="auto"/>
              <w:right w:val="single" w:sz="4" w:space="0" w:color="auto"/>
            </w:tcBorders>
            <w:shd w:val="clear" w:color="auto" w:fill="auto"/>
            <w:noWrap/>
            <w:vAlign w:val="center"/>
            <w:hideMark/>
          </w:tcPr>
          <w:p w14:paraId="33387386"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227,89</w:t>
            </w:r>
          </w:p>
        </w:tc>
      </w:tr>
      <w:tr w:rsidR="00D847F2" w:rsidRPr="00381A1B" w14:paraId="4496639D" w14:textId="77777777" w:rsidTr="00556699">
        <w:trPr>
          <w:trHeight w:val="315"/>
        </w:trPr>
        <w:tc>
          <w:tcPr>
            <w:tcW w:w="1089" w:type="dxa"/>
            <w:vMerge/>
            <w:tcBorders>
              <w:top w:val="nil"/>
              <w:left w:val="single" w:sz="4" w:space="0" w:color="auto"/>
              <w:bottom w:val="single" w:sz="4" w:space="0" w:color="auto"/>
              <w:right w:val="single" w:sz="4" w:space="0" w:color="auto"/>
            </w:tcBorders>
            <w:vAlign w:val="center"/>
            <w:hideMark/>
          </w:tcPr>
          <w:p w14:paraId="0A5F8418" w14:textId="77777777" w:rsidR="00D847F2" w:rsidRPr="00381A1B" w:rsidRDefault="00D847F2" w:rsidP="00556699">
            <w:pPr>
              <w:spacing w:line="240" w:lineRule="auto"/>
              <w:rPr>
                <w:rFonts w:ascii="Arial" w:eastAsia="Times New Roman" w:hAnsi="Arial" w:cs="Arial"/>
                <w:b/>
                <w:bCs/>
                <w:color w:val="000000"/>
                <w:sz w:val="18"/>
                <w:szCs w:val="18"/>
                <w:lang w:eastAsia="sl-SI"/>
              </w:rPr>
            </w:pPr>
          </w:p>
        </w:tc>
        <w:tc>
          <w:tcPr>
            <w:tcW w:w="1828" w:type="dxa"/>
            <w:tcBorders>
              <w:top w:val="nil"/>
              <w:left w:val="nil"/>
              <w:bottom w:val="single" w:sz="4" w:space="0" w:color="auto"/>
              <w:right w:val="single" w:sz="4" w:space="0" w:color="auto"/>
            </w:tcBorders>
            <w:shd w:val="clear" w:color="auto" w:fill="auto"/>
            <w:vAlign w:val="center"/>
            <w:hideMark/>
          </w:tcPr>
          <w:p w14:paraId="0D5B55ED" w14:textId="77777777" w:rsidR="00D847F2" w:rsidRPr="00381A1B" w:rsidRDefault="00D847F2" w:rsidP="00556699">
            <w:pPr>
              <w:spacing w:line="240" w:lineRule="auto"/>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Skupaj prejetih plačil</w:t>
            </w:r>
          </w:p>
        </w:tc>
        <w:tc>
          <w:tcPr>
            <w:tcW w:w="1006" w:type="dxa"/>
            <w:tcBorders>
              <w:top w:val="nil"/>
              <w:left w:val="nil"/>
              <w:bottom w:val="single" w:sz="4" w:space="0" w:color="auto"/>
              <w:right w:val="single" w:sz="4" w:space="0" w:color="auto"/>
            </w:tcBorders>
            <w:shd w:val="clear" w:color="auto" w:fill="auto"/>
            <w:noWrap/>
            <w:vAlign w:val="center"/>
            <w:hideMark/>
          </w:tcPr>
          <w:p w14:paraId="03FC2A56"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w:t>
            </w:r>
          </w:p>
        </w:tc>
        <w:tc>
          <w:tcPr>
            <w:tcW w:w="1007" w:type="dxa"/>
            <w:tcBorders>
              <w:top w:val="nil"/>
              <w:left w:val="nil"/>
              <w:bottom w:val="single" w:sz="4" w:space="0" w:color="auto"/>
              <w:right w:val="single" w:sz="4" w:space="0" w:color="auto"/>
            </w:tcBorders>
            <w:shd w:val="clear" w:color="000000" w:fill="DAEEF3"/>
            <w:noWrap/>
            <w:vAlign w:val="center"/>
            <w:hideMark/>
          </w:tcPr>
          <w:p w14:paraId="7BF0D26C"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156.624</w:t>
            </w:r>
          </w:p>
        </w:tc>
        <w:tc>
          <w:tcPr>
            <w:tcW w:w="1067" w:type="dxa"/>
            <w:tcBorders>
              <w:top w:val="nil"/>
              <w:left w:val="nil"/>
              <w:bottom w:val="single" w:sz="4" w:space="0" w:color="auto"/>
              <w:right w:val="single" w:sz="4" w:space="0" w:color="auto"/>
            </w:tcBorders>
            <w:shd w:val="clear" w:color="auto" w:fill="auto"/>
            <w:noWrap/>
            <w:vAlign w:val="center"/>
            <w:hideMark/>
          </w:tcPr>
          <w:p w14:paraId="60C56761"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w:t>
            </w:r>
          </w:p>
        </w:tc>
        <w:tc>
          <w:tcPr>
            <w:tcW w:w="1008" w:type="dxa"/>
            <w:tcBorders>
              <w:top w:val="nil"/>
              <w:left w:val="nil"/>
              <w:bottom w:val="single" w:sz="4" w:space="0" w:color="auto"/>
              <w:right w:val="single" w:sz="4" w:space="0" w:color="auto"/>
            </w:tcBorders>
            <w:shd w:val="clear" w:color="auto" w:fill="auto"/>
            <w:noWrap/>
            <w:vAlign w:val="center"/>
            <w:hideMark/>
          </w:tcPr>
          <w:p w14:paraId="101BCEAE"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165.444</w:t>
            </w:r>
          </w:p>
        </w:tc>
        <w:tc>
          <w:tcPr>
            <w:tcW w:w="1150" w:type="dxa"/>
            <w:tcBorders>
              <w:top w:val="nil"/>
              <w:left w:val="nil"/>
              <w:bottom w:val="single" w:sz="4" w:space="0" w:color="auto"/>
              <w:right w:val="single" w:sz="4" w:space="0" w:color="auto"/>
            </w:tcBorders>
            <w:shd w:val="clear" w:color="auto" w:fill="auto"/>
            <w:noWrap/>
            <w:vAlign w:val="center"/>
            <w:hideMark/>
          </w:tcPr>
          <w:p w14:paraId="15D4A5E8" w14:textId="77777777" w:rsidR="00D847F2" w:rsidRPr="00381A1B" w:rsidRDefault="00D847F2" w:rsidP="00556699">
            <w:pPr>
              <w:spacing w:line="240" w:lineRule="auto"/>
              <w:jc w:val="right"/>
              <w:rPr>
                <w:rFonts w:ascii="Arial" w:eastAsia="Times New Roman" w:hAnsi="Arial" w:cs="Arial"/>
                <w:b/>
                <w:bCs/>
                <w:color w:val="000000"/>
                <w:sz w:val="18"/>
                <w:szCs w:val="18"/>
                <w:lang w:eastAsia="sl-SI"/>
              </w:rPr>
            </w:pPr>
            <w:r w:rsidRPr="00381A1B">
              <w:rPr>
                <w:rFonts w:ascii="Arial" w:eastAsia="Times New Roman" w:hAnsi="Arial" w:cs="Arial"/>
                <w:b/>
                <w:bCs/>
                <w:color w:val="000000"/>
                <w:sz w:val="18"/>
                <w:szCs w:val="18"/>
                <w:lang w:eastAsia="sl-SI"/>
              </w:rPr>
              <w:t>/</w:t>
            </w:r>
          </w:p>
        </w:tc>
        <w:tc>
          <w:tcPr>
            <w:tcW w:w="1213" w:type="dxa"/>
            <w:tcBorders>
              <w:top w:val="nil"/>
              <w:left w:val="nil"/>
              <w:bottom w:val="single" w:sz="4" w:space="0" w:color="auto"/>
              <w:right w:val="single" w:sz="4" w:space="0" w:color="auto"/>
            </w:tcBorders>
            <w:shd w:val="clear" w:color="auto" w:fill="auto"/>
            <w:noWrap/>
            <w:vAlign w:val="center"/>
            <w:hideMark/>
          </w:tcPr>
          <w:p w14:paraId="19ED6DB4" w14:textId="77777777" w:rsidR="00D847F2" w:rsidRPr="00381A1B" w:rsidRDefault="00D847F2" w:rsidP="00556699">
            <w:pPr>
              <w:spacing w:line="240" w:lineRule="auto"/>
              <w:jc w:val="right"/>
              <w:rPr>
                <w:rFonts w:ascii="Arial" w:eastAsia="Times New Roman" w:hAnsi="Arial" w:cs="Arial"/>
                <w:color w:val="000000"/>
                <w:sz w:val="18"/>
                <w:szCs w:val="18"/>
                <w:lang w:eastAsia="sl-SI"/>
              </w:rPr>
            </w:pPr>
            <w:r w:rsidRPr="00381A1B">
              <w:rPr>
                <w:rFonts w:ascii="Arial" w:eastAsia="Times New Roman" w:hAnsi="Arial" w:cs="Arial"/>
                <w:color w:val="000000"/>
                <w:sz w:val="18"/>
                <w:szCs w:val="18"/>
                <w:lang w:eastAsia="sl-SI"/>
              </w:rPr>
              <w:t>105,63</w:t>
            </w:r>
          </w:p>
        </w:tc>
      </w:tr>
    </w:tbl>
    <w:p w14:paraId="587853FA" w14:textId="08959502" w:rsidR="00D847F2" w:rsidRPr="00534703" w:rsidRDefault="00D847F2" w:rsidP="00D847F2">
      <w:pPr>
        <w:pStyle w:val="FURSNavaden"/>
        <w:rPr>
          <w:rFonts w:cs="Arial"/>
          <w:i/>
          <w:szCs w:val="20"/>
        </w:rPr>
      </w:pPr>
      <w:r w:rsidRPr="00534703">
        <w:rPr>
          <w:rFonts w:cs="Arial"/>
          <w:i/>
          <w:szCs w:val="20"/>
        </w:rPr>
        <w:t>Vir: FURS</w:t>
      </w:r>
      <w:r w:rsidR="00F3582A">
        <w:rPr>
          <w:rFonts w:cs="Arial"/>
          <w:i/>
          <w:szCs w:val="20"/>
        </w:rPr>
        <w:t>.</w:t>
      </w:r>
    </w:p>
    <w:p w14:paraId="078B263E" w14:textId="77777777" w:rsidR="004E60F1" w:rsidRDefault="004E60F1" w:rsidP="00D847F2">
      <w:pPr>
        <w:jc w:val="both"/>
        <w:rPr>
          <w:rFonts w:ascii="Arial" w:hAnsi="Arial" w:cs="Arial"/>
          <w:sz w:val="20"/>
          <w:szCs w:val="20"/>
        </w:rPr>
      </w:pPr>
    </w:p>
    <w:p w14:paraId="2F046970" w14:textId="565EA274" w:rsidR="00D847F2" w:rsidRDefault="00D847F2" w:rsidP="00D847F2">
      <w:pPr>
        <w:jc w:val="both"/>
        <w:rPr>
          <w:rFonts w:ascii="Arial" w:hAnsi="Arial" w:cs="Arial"/>
          <w:sz w:val="20"/>
          <w:szCs w:val="20"/>
        </w:rPr>
      </w:pPr>
      <w:r w:rsidRPr="00BE5A38">
        <w:rPr>
          <w:rFonts w:ascii="Arial" w:hAnsi="Arial" w:cs="Arial"/>
          <w:sz w:val="20"/>
          <w:szCs w:val="20"/>
        </w:rPr>
        <w:t>Na podlagi predlogov davčnega organa (</w:t>
      </w:r>
      <w:r>
        <w:rPr>
          <w:rFonts w:ascii="Arial" w:hAnsi="Arial" w:cs="Arial"/>
          <w:sz w:val="20"/>
          <w:szCs w:val="20"/>
        </w:rPr>
        <w:t>poslanih</w:t>
      </w:r>
      <w:r w:rsidRPr="00BE5A38">
        <w:rPr>
          <w:rFonts w:ascii="Arial" w:hAnsi="Arial" w:cs="Arial"/>
          <w:sz w:val="20"/>
          <w:szCs w:val="20"/>
        </w:rPr>
        <w:t xml:space="preserve"> v letu 2022 in preteklih letih) so nosilci socialne varnosti v Sloveniji v letu 2022 v druge države članice EU </w:t>
      </w:r>
      <w:bookmarkStart w:id="27" w:name="_Hlk129334650"/>
      <w:r>
        <w:rPr>
          <w:rFonts w:ascii="Arial" w:hAnsi="Arial" w:cs="Arial"/>
          <w:sz w:val="20"/>
          <w:szCs w:val="20"/>
        </w:rPr>
        <w:t>podali</w:t>
      </w:r>
      <w:r w:rsidRPr="00BE5A38">
        <w:rPr>
          <w:rFonts w:ascii="Arial" w:hAnsi="Arial" w:cs="Arial"/>
          <w:sz w:val="20"/>
          <w:szCs w:val="20"/>
        </w:rPr>
        <w:t xml:space="preserve"> 938 predlogov za izterjavo prispevkov v skupni višini 6.309.829</w:t>
      </w:r>
      <w:r w:rsidR="00527930" w:rsidRPr="00BE5A38">
        <w:rPr>
          <w:rFonts w:ascii="Arial" w:hAnsi="Arial" w:cs="Arial"/>
          <w:sz w:val="20"/>
          <w:szCs w:val="20"/>
        </w:rPr>
        <w:t> EUR</w:t>
      </w:r>
      <w:r w:rsidRPr="00BE5A38">
        <w:rPr>
          <w:rFonts w:ascii="Arial" w:hAnsi="Arial" w:cs="Arial"/>
          <w:sz w:val="20"/>
          <w:szCs w:val="20"/>
        </w:rPr>
        <w:t>.</w:t>
      </w:r>
    </w:p>
    <w:bookmarkEnd w:id="27"/>
    <w:p w14:paraId="59436D62" w14:textId="79801F5A" w:rsidR="00D847F2" w:rsidRDefault="00D847F2" w:rsidP="00D847F2">
      <w:pPr>
        <w:pStyle w:val="FURSNavaden"/>
        <w:rPr>
          <w:rFonts w:eastAsia="Times New Roman" w:cs="Arial"/>
          <w:i/>
          <w:szCs w:val="20"/>
        </w:rPr>
      </w:pPr>
      <w:r w:rsidRPr="00825100">
        <w:rPr>
          <w:rFonts w:eastAsia="Times New Roman" w:cs="Arial"/>
          <w:i/>
          <w:szCs w:val="20"/>
        </w:rPr>
        <w:t>Preglednica 2</w:t>
      </w:r>
      <w:r>
        <w:rPr>
          <w:rFonts w:eastAsia="Times New Roman" w:cs="Arial"/>
          <w:i/>
          <w:szCs w:val="20"/>
        </w:rPr>
        <w:t>4</w:t>
      </w:r>
      <w:r w:rsidRPr="00825100">
        <w:rPr>
          <w:rFonts w:eastAsia="Times New Roman" w:cs="Arial"/>
          <w:i/>
          <w:szCs w:val="20"/>
        </w:rPr>
        <w:t xml:space="preserve">: Zaprosila za izterjavo prispevkov, ki so jih nosilci socialne varnosti </w:t>
      </w:r>
      <w:r w:rsidR="00F3582A">
        <w:rPr>
          <w:rFonts w:eastAsia="Times New Roman" w:cs="Arial"/>
          <w:i/>
          <w:szCs w:val="20"/>
        </w:rPr>
        <w:t>poslali</w:t>
      </w:r>
      <w:r w:rsidR="00F3582A" w:rsidRPr="00825100">
        <w:rPr>
          <w:rFonts w:eastAsia="Times New Roman" w:cs="Arial"/>
          <w:i/>
          <w:szCs w:val="20"/>
        </w:rPr>
        <w:t xml:space="preserve"> </w:t>
      </w:r>
      <w:r w:rsidRPr="00825100">
        <w:rPr>
          <w:rFonts w:eastAsia="Times New Roman" w:cs="Arial"/>
          <w:i/>
          <w:szCs w:val="20"/>
        </w:rPr>
        <w:t>v druge države članice</w:t>
      </w:r>
      <w:r>
        <w:rPr>
          <w:rFonts w:eastAsia="Times New Roman" w:cs="Arial"/>
          <w:i/>
          <w:szCs w:val="20"/>
        </w:rPr>
        <w:t xml:space="preserve"> </w:t>
      </w:r>
    </w:p>
    <w:p w14:paraId="0AC83840" w14:textId="77777777" w:rsidR="00D847F2" w:rsidRDefault="00D847F2" w:rsidP="00D847F2">
      <w:pPr>
        <w:pStyle w:val="FURSNavaden"/>
        <w:rPr>
          <w:rFonts w:eastAsia="Times New Roman" w:cs="Arial"/>
          <w:i/>
          <w:szCs w:val="20"/>
        </w:rPr>
      </w:pPr>
    </w:p>
    <w:tbl>
      <w:tblPr>
        <w:tblW w:w="8635" w:type="dxa"/>
        <w:tblCellMar>
          <w:left w:w="70" w:type="dxa"/>
          <w:right w:w="70" w:type="dxa"/>
        </w:tblCellMar>
        <w:tblLook w:val="04A0" w:firstRow="1" w:lastRow="0" w:firstColumn="1" w:lastColumn="0" w:noHBand="0" w:noVBand="1"/>
      </w:tblPr>
      <w:tblGrid>
        <w:gridCol w:w="1306"/>
        <w:gridCol w:w="990"/>
        <w:gridCol w:w="1217"/>
        <w:gridCol w:w="1155"/>
        <w:gridCol w:w="1488"/>
        <w:gridCol w:w="1155"/>
        <w:gridCol w:w="1324"/>
      </w:tblGrid>
      <w:tr w:rsidR="00D847F2" w:rsidRPr="00BE5A38" w14:paraId="37FAE165" w14:textId="77777777" w:rsidTr="00556699">
        <w:trPr>
          <w:trHeight w:val="335"/>
        </w:trPr>
        <w:tc>
          <w:tcPr>
            <w:tcW w:w="1306" w:type="dxa"/>
            <w:vMerge w:val="restart"/>
            <w:tcBorders>
              <w:top w:val="single" w:sz="4" w:space="0" w:color="auto"/>
              <w:left w:val="single" w:sz="4" w:space="0" w:color="auto"/>
              <w:bottom w:val="single" w:sz="4" w:space="0" w:color="auto"/>
              <w:right w:val="single" w:sz="4" w:space="0" w:color="auto"/>
            </w:tcBorders>
            <w:shd w:val="clear" w:color="000000" w:fill="31869B"/>
            <w:vAlign w:val="center"/>
            <w:hideMark/>
          </w:tcPr>
          <w:p w14:paraId="3E229517"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Nosilec socialne varnosti</w:t>
            </w:r>
          </w:p>
        </w:tc>
        <w:tc>
          <w:tcPr>
            <w:tcW w:w="2207" w:type="dxa"/>
            <w:gridSpan w:val="2"/>
            <w:tcBorders>
              <w:top w:val="single" w:sz="4" w:space="0" w:color="auto"/>
              <w:left w:val="nil"/>
              <w:bottom w:val="single" w:sz="4" w:space="0" w:color="auto"/>
              <w:right w:val="single" w:sz="4" w:space="0" w:color="auto"/>
            </w:tcBorders>
            <w:shd w:val="clear" w:color="000000" w:fill="31869B"/>
            <w:noWrap/>
            <w:vAlign w:val="center"/>
            <w:hideMark/>
          </w:tcPr>
          <w:p w14:paraId="4FBE62C7"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2021</w:t>
            </w:r>
          </w:p>
        </w:tc>
        <w:tc>
          <w:tcPr>
            <w:tcW w:w="2643" w:type="dxa"/>
            <w:gridSpan w:val="2"/>
            <w:tcBorders>
              <w:top w:val="single" w:sz="4" w:space="0" w:color="auto"/>
              <w:left w:val="nil"/>
              <w:bottom w:val="single" w:sz="4" w:space="0" w:color="auto"/>
              <w:right w:val="single" w:sz="4" w:space="0" w:color="auto"/>
            </w:tcBorders>
            <w:shd w:val="clear" w:color="000000" w:fill="31869B"/>
            <w:noWrap/>
            <w:vAlign w:val="center"/>
            <w:hideMark/>
          </w:tcPr>
          <w:p w14:paraId="55E05AD0"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2022</w:t>
            </w:r>
          </w:p>
        </w:tc>
        <w:tc>
          <w:tcPr>
            <w:tcW w:w="2479" w:type="dxa"/>
            <w:gridSpan w:val="2"/>
            <w:tcBorders>
              <w:top w:val="single" w:sz="4" w:space="0" w:color="auto"/>
              <w:left w:val="nil"/>
              <w:bottom w:val="single" w:sz="4" w:space="0" w:color="auto"/>
              <w:right w:val="single" w:sz="4" w:space="0" w:color="auto"/>
            </w:tcBorders>
            <w:shd w:val="clear" w:color="000000" w:fill="31869B"/>
            <w:vAlign w:val="center"/>
            <w:hideMark/>
          </w:tcPr>
          <w:p w14:paraId="1B08B455"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Indeks 2022/2021</w:t>
            </w:r>
          </w:p>
        </w:tc>
      </w:tr>
      <w:tr w:rsidR="00D847F2" w:rsidRPr="00BE5A38" w14:paraId="347CB71E" w14:textId="77777777" w:rsidTr="00556699">
        <w:trPr>
          <w:trHeight w:val="438"/>
        </w:trPr>
        <w:tc>
          <w:tcPr>
            <w:tcW w:w="1306" w:type="dxa"/>
            <w:vMerge/>
            <w:tcBorders>
              <w:top w:val="single" w:sz="4" w:space="0" w:color="auto"/>
              <w:left w:val="single" w:sz="4" w:space="0" w:color="auto"/>
              <w:bottom w:val="single" w:sz="4" w:space="0" w:color="auto"/>
              <w:right w:val="single" w:sz="4" w:space="0" w:color="auto"/>
            </w:tcBorders>
            <w:vAlign w:val="center"/>
            <w:hideMark/>
          </w:tcPr>
          <w:p w14:paraId="2EA5A23B" w14:textId="77777777" w:rsidR="00D847F2" w:rsidRPr="00BE5A38" w:rsidRDefault="00D847F2" w:rsidP="00556699">
            <w:pPr>
              <w:spacing w:line="240" w:lineRule="auto"/>
              <w:rPr>
                <w:rFonts w:ascii="Arial" w:eastAsia="Times New Roman" w:hAnsi="Arial" w:cs="Arial"/>
                <w:color w:val="FFFFFF"/>
                <w:sz w:val="18"/>
                <w:szCs w:val="18"/>
                <w:lang w:eastAsia="sl-SI"/>
              </w:rPr>
            </w:pPr>
          </w:p>
        </w:tc>
        <w:tc>
          <w:tcPr>
            <w:tcW w:w="990" w:type="dxa"/>
            <w:tcBorders>
              <w:top w:val="nil"/>
              <w:left w:val="nil"/>
              <w:bottom w:val="single" w:sz="4" w:space="0" w:color="auto"/>
              <w:right w:val="single" w:sz="4" w:space="0" w:color="auto"/>
            </w:tcBorders>
            <w:shd w:val="clear" w:color="000000" w:fill="31869B"/>
            <w:vAlign w:val="center"/>
            <w:hideMark/>
          </w:tcPr>
          <w:p w14:paraId="234D704D"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Število</w:t>
            </w:r>
          </w:p>
        </w:tc>
        <w:tc>
          <w:tcPr>
            <w:tcW w:w="1216" w:type="dxa"/>
            <w:tcBorders>
              <w:top w:val="nil"/>
              <w:left w:val="nil"/>
              <w:bottom w:val="single" w:sz="4" w:space="0" w:color="auto"/>
              <w:right w:val="single" w:sz="4" w:space="0" w:color="auto"/>
            </w:tcBorders>
            <w:shd w:val="clear" w:color="000000" w:fill="31869B"/>
            <w:vAlign w:val="center"/>
            <w:hideMark/>
          </w:tcPr>
          <w:p w14:paraId="6CD9FCA8"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Znesek v evrih</w:t>
            </w:r>
          </w:p>
        </w:tc>
        <w:tc>
          <w:tcPr>
            <w:tcW w:w="1155" w:type="dxa"/>
            <w:tcBorders>
              <w:top w:val="nil"/>
              <w:left w:val="nil"/>
              <w:bottom w:val="single" w:sz="4" w:space="0" w:color="auto"/>
              <w:right w:val="single" w:sz="4" w:space="0" w:color="auto"/>
            </w:tcBorders>
            <w:shd w:val="clear" w:color="000000" w:fill="31869B"/>
            <w:vAlign w:val="center"/>
            <w:hideMark/>
          </w:tcPr>
          <w:p w14:paraId="01BEAC33"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Število</w:t>
            </w:r>
          </w:p>
        </w:tc>
        <w:tc>
          <w:tcPr>
            <w:tcW w:w="1488" w:type="dxa"/>
            <w:tcBorders>
              <w:top w:val="nil"/>
              <w:left w:val="nil"/>
              <w:bottom w:val="single" w:sz="4" w:space="0" w:color="auto"/>
              <w:right w:val="single" w:sz="4" w:space="0" w:color="auto"/>
            </w:tcBorders>
            <w:shd w:val="clear" w:color="000000" w:fill="31869B"/>
            <w:vAlign w:val="center"/>
            <w:hideMark/>
          </w:tcPr>
          <w:p w14:paraId="0AE0DB0D"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Znesek v evrih</w:t>
            </w:r>
          </w:p>
        </w:tc>
        <w:tc>
          <w:tcPr>
            <w:tcW w:w="1155" w:type="dxa"/>
            <w:tcBorders>
              <w:top w:val="nil"/>
              <w:left w:val="nil"/>
              <w:bottom w:val="single" w:sz="4" w:space="0" w:color="auto"/>
              <w:right w:val="single" w:sz="4" w:space="0" w:color="auto"/>
            </w:tcBorders>
            <w:shd w:val="clear" w:color="000000" w:fill="31869B"/>
            <w:vAlign w:val="center"/>
            <w:hideMark/>
          </w:tcPr>
          <w:p w14:paraId="6F402FE1"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Število</w:t>
            </w:r>
          </w:p>
        </w:tc>
        <w:tc>
          <w:tcPr>
            <w:tcW w:w="1323" w:type="dxa"/>
            <w:tcBorders>
              <w:top w:val="nil"/>
              <w:left w:val="nil"/>
              <w:bottom w:val="single" w:sz="4" w:space="0" w:color="auto"/>
              <w:right w:val="single" w:sz="4" w:space="0" w:color="auto"/>
            </w:tcBorders>
            <w:shd w:val="clear" w:color="000000" w:fill="31869B"/>
            <w:vAlign w:val="center"/>
            <w:hideMark/>
          </w:tcPr>
          <w:p w14:paraId="0C79B761" w14:textId="77777777" w:rsidR="00D847F2" w:rsidRPr="00BE5A38" w:rsidRDefault="00D847F2" w:rsidP="00556699">
            <w:pPr>
              <w:spacing w:line="240" w:lineRule="auto"/>
              <w:jc w:val="center"/>
              <w:rPr>
                <w:rFonts w:ascii="Arial" w:eastAsia="Times New Roman" w:hAnsi="Arial" w:cs="Arial"/>
                <w:color w:val="FFFFFF"/>
                <w:sz w:val="18"/>
                <w:szCs w:val="18"/>
                <w:lang w:eastAsia="sl-SI"/>
              </w:rPr>
            </w:pPr>
            <w:r w:rsidRPr="00BE5A38">
              <w:rPr>
                <w:rFonts w:ascii="Arial" w:eastAsia="Times New Roman" w:hAnsi="Arial" w:cs="Arial"/>
                <w:color w:val="FFFFFF"/>
                <w:sz w:val="18"/>
                <w:szCs w:val="18"/>
                <w:lang w:eastAsia="sl-SI"/>
              </w:rPr>
              <w:t xml:space="preserve">Znesek </w:t>
            </w:r>
          </w:p>
        </w:tc>
      </w:tr>
      <w:tr w:rsidR="00D847F2" w:rsidRPr="00BE5A38" w14:paraId="4CC15BEA" w14:textId="77777777" w:rsidTr="00556699">
        <w:trPr>
          <w:trHeight w:val="258"/>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F89BA30"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ZPIZ</w:t>
            </w:r>
          </w:p>
        </w:tc>
        <w:tc>
          <w:tcPr>
            <w:tcW w:w="990" w:type="dxa"/>
            <w:tcBorders>
              <w:top w:val="nil"/>
              <w:left w:val="nil"/>
              <w:bottom w:val="single" w:sz="4" w:space="0" w:color="auto"/>
              <w:right w:val="single" w:sz="4" w:space="0" w:color="auto"/>
            </w:tcBorders>
            <w:shd w:val="clear" w:color="auto" w:fill="auto"/>
            <w:noWrap/>
            <w:vAlign w:val="center"/>
            <w:hideMark/>
          </w:tcPr>
          <w:p w14:paraId="51B8976E"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360</w:t>
            </w:r>
          </w:p>
        </w:tc>
        <w:tc>
          <w:tcPr>
            <w:tcW w:w="1216" w:type="dxa"/>
            <w:tcBorders>
              <w:top w:val="nil"/>
              <w:left w:val="nil"/>
              <w:bottom w:val="single" w:sz="4" w:space="0" w:color="auto"/>
              <w:right w:val="single" w:sz="4" w:space="0" w:color="auto"/>
            </w:tcBorders>
            <w:shd w:val="clear" w:color="000000" w:fill="DAEEF3"/>
            <w:noWrap/>
            <w:vAlign w:val="center"/>
            <w:hideMark/>
          </w:tcPr>
          <w:p w14:paraId="3196488E"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2.913.818</w:t>
            </w:r>
          </w:p>
        </w:tc>
        <w:tc>
          <w:tcPr>
            <w:tcW w:w="1155" w:type="dxa"/>
            <w:tcBorders>
              <w:top w:val="nil"/>
              <w:left w:val="nil"/>
              <w:bottom w:val="single" w:sz="4" w:space="0" w:color="auto"/>
              <w:right w:val="single" w:sz="4" w:space="0" w:color="auto"/>
            </w:tcBorders>
            <w:shd w:val="clear" w:color="auto" w:fill="auto"/>
            <w:noWrap/>
            <w:vAlign w:val="center"/>
            <w:hideMark/>
          </w:tcPr>
          <w:p w14:paraId="6D6A3125"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524</w:t>
            </w:r>
          </w:p>
        </w:tc>
        <w:tc>
          <w:tcPr>
            <w:tcW w:w="1488" w:type="dxa"/>
            <w:tcBorders>
              <w:top w:val="nil"/>
              <w:left w:val="nil"/>
              <w:bottom w:val="nil"/>
              <w:right w:val="nil"/>
            </w:tcBorders>
            <w:shd w:val="clear" w:color="000000" w:fill="DAEEF3"/>
            <w:noWrap/>
            <w:vAlign w:val="bottom"/>
            <w:hideMark/>
          </w:tcPr>
          <w:p w14:paraId="1DEC562C"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3.874.367</w:t>
            </w:r>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0EB2A809"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145,6</w:t>
            </w:r>
          </w:p>
        </w:tc>
        <w:tc>
          <w:tcPr>
            <w:tcW w:w="1323" w:type="dxa"/>
            <w:tcBorders>
              <w:top w:val="nil"/>
              <w:left w:val="nil"/>
              <w:bottom w:val="single" w:sz="4" w:space="0" w:color="auto"/>
              <w:right w:val="single" w:sz="4" w:space="0" w:color="auto"/>
            </w:tcBorders>
            <w:shd w:val="clear" w:color="auto" w:fill="auto"/>
            <w:noWrap/>
            <w:vAlign w:val="center"/>
            <w:hideMark/>
          </w:tcPr>
          <w:p w14:paraId="76E510C5"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133,0</w:t>
            </w:r>
          </w:p>
        </w:tc>
      </w:tr>
      <w:tr w:rsidR="00D847F2" w:rsidRPr="00BE5A38" w14:paraId="1FF1ECFB" w14:textId="77777777" w:rsidTr="00556699">
        <w:trPr>
          <w:trHeight w:val="258"/>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30EFEDB6"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ZZZS</w:t>
            </w:r>
          </w:p>
        </w:tc>
        <w:tc>
          <w:tcPr>
            <w:tcW w:w="990" w:type="dxa"/>
            <w:tcBorders>
              <w:top w:val="nil"/>
              <w:left w:val="nil"/>
              <w:bottom w:val="single" w:sz="4" w:space="0" w:color="auto"/>
              <w:right w:val="single" w:sz="4" w:space="0" w:color="auto"/>
            </w:tcBorders>
            <w:shd w:val="clear" w:color="auto" w:fill="auto"/>
            <w:noWrap/>
            <w:vAlign w:val="center"/>
            <w:hideMark/>
          </w:tcPr>
          <w:p w14:paraId="7F7F2073"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33</w:t>
            </w:r>
          </w:p>
        </w:tc>
        <w:tc>
          <w:tcPr>
            <w:tcW w:w="1216" w:type="dxa"/>
            <w:tcBorders>
              <w:top w:val="nil"/>
              <w:left w:val="nil"/>
              <w:bottom w:val="single" w:sz="4" w:space="0" w:color="auto"/>
              <w:right w:val="single" w:sz="4" w:space="0" w:color="auto"/>
            </w:tcBorders>
            <w:shd w:val="clear" w:color="000000" w:fill="DAEEF3"/>
            <w:noWrap/>
            <w:vAlign w:val="center"/>
            <w:hideMark/>
          </w:tcPr>
          <w:p w14:paraId="4B0CEAF7"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141.540</w:t>
            </w:r>
          </w:p>
        </w:tc>
        <w:tc>
          <w:tcPr>
            <w:tcW w:w="1155" w:type="dxa"/>
            <w:tcBorders>
              <w:top w:val="nil"/>
              <w:left w:val="nil"/>
              <w:bottom w:val="single" w:sz="4" w:space="0" w:color="auto"/>
              <w:right w:val="single" w:sz="4" w:space="0" w:color="auto"/>
            </w:tcBorders>
            <w:shd w:val="clear" w:color="auto" w:fill="auto"/>
            <w:noWrap/>
            <w:vAlign w:val="bottom"/>
            <w:hideMark/>
          </w:tcPr>
          <w:p w14:paraId="499EE411"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414</w:t>
            </w:r>
          </w:p>
        </w:tc>
        <w:tc>
          <w:tcPr>
            <w:tcW w:w="1488" w:type="dxa"/>
            <w:tcBorders>
              <w:top w:val="single" w:sz="4" w:space="0" w:color="auto"/>
              <w:left w:val="nil"/>
              <w:bottom w:val="single" w:sz="4" w:space="0" w:color="auto"/>
              <w:right w:val="single" w:sz="4" w:space="0" w:color="auto"/>
            </w:tcBorders>
            <w:shd w:val="clear" w:color="000000" w:fill="DAEEF3"/>
            <w:noWrap/>
            <w:vAlign w:val="bottom"/>
            <w:hideMark/>
          </w:tcPr>
          <w:p w14:paraId="6FA02DF3" w14:textId="46242AEB" w:rsidR="00D847F2" w:rsidRPr="00BE5A38" w:rsidRDefault="00992912" w:rsidP="00556699">
            <w:pPr>
              <w:spacing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  </w:t>
            </w:r>
            <w:r w:rsidR="00D847F2" w:rsidRPr="00BE5A38">
              <w:rPr>
                <w:rFonts w:ascii="Arial" w:eastAsia="Times New Roman" w:hAnsi="Arial" w:cs="Arial"/>
                <w:sz w:val="18"/>
                <w:szCs w:val="18"/>
                <w:lang w:eastAsia="sl-SI"/>
              </w:rPr>
              <w:t xml:space="preserve">2.435.462 </w:t>
            </w:r>
          </w:p>
        </w:tc>
        <w:tc>
          <w:tcPr>
            <w:tcW w:w="1155" w:type="dxa"/>
            <w:tcBorders>
              <w:top w:val="nil"/>
              <w:left w:val="nil"/>
              <w:bottom w:val="single" w:sz="4" w:space="0" w:color="auto"/>
              <w:right w:val="single" w:sz="4" w:space="0" w:color="auto"/>
            </w:tcBorders>
            <w:shd w:val="clear" w:color="auto" w:fill="auto"/>
            <w:noWrap/>
            <w:vAlign w:val="center"/>
            <w:hideMark/>
          </w:tcPr>
          <w:p w14:paraId="6F0FB1F2"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1.254,5</w:t>
            </w:r>
          </w:p>
        </w:tc>
        <w:tc>
          <w:tcPr>
            <w:tcW w:w="1323" w:type="dxa"/>
            <w:tcBorders>
              <w:top w:val="nil"/>
              <w:left w:val="nil"/>
              <w:bottom w:val="single" w:sz="4" w:space="0" w:color="auto"/>
              <w:right w:val="single" w:sz="4" w:space="0" w:color="auto"/>
            </w:tcBorders>
            <w:shd w:val="clear" w:color="auto" w:fill="auto"/>
            <w:noWrap/>
            <w:vAlign w:val="center"/>
            <w:hideMark/>
          </w:tcPr>
          <w:p w14:paraId="482A75B1"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1.720,7</w:t>
            </w:r>
          </w:p>
        </w:tc>
      </w:tr>
      <w:tr w:rsidR="00D847F2" w:rsidRPr="00BE5A38" w14:paraId="45FC7011" w14:textId="77777777" w:rsidTr="00556699">
        <w:trPr>
          <w:trHeight w:val="258"/>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1F1D1F52"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MDDSZ</w:t>
            </w:r>
          </w:p>
        </w:tc>
        <w:tc>
          <w:tcPr>
            <w:tcW w:w="990" w:type="dxa"/>
            <w:tcBorders>
              <w:top w:val="nil"/>
              <w:left w:val="nil"/>
              <w:bottom w:val="single" w:sz="4" w:space="0" w:color="auto"/>
              <w:right w:val="single" w:sz="4" w:space="0" w:color="auto"/>
            </w:tcBorders>
            <w:shd w:val="clear" w:color="auto" w:fill="auto"/>
            <w:noWrap/>
            <w:vAlign w:val="center"/>
            <w:hideMark/>
          </w:tcPr>
          <w:p w14:paraId="3B4740DD"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0</w:t>
            </w:r>
          </w:p>
        </w:tc>
        <w:tc>
          <w:tcPr>
            <w:tcW w:w="1216" w:type="dxa"/>
            <w:tcBorders>
              <w:top w:val="nil"/>
              <w:left w:val="nil"/>
              <w:bottom w:val="single" w:sz="4" w:space="0" w:color="auto"/>
              <w:right w:val="single" w:sz="4" w:space="0" w:color="auto"/>
            </w:tcBorders>
            <w:shd w:val="clear" w:color="000000" w:fill="DAEEF3"/>
            <w:noWrap/>
            <w:vAlign w:val="center"/>
            <w:hideMark/>
          </w:tcPr>
          <w:p w14:paraId="37904157"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0</w:t>
            </w:r>
          </w:p>
        </w:tc>
        <w:tc>
          <w:tcPr>
            <w:tcW w:w="1155" w:type="dxa"/>
            <w:tcBorders>
              <w:top w:val="nil"/>
              <w:left w:val="nil"/>
              <w:bottom w:val="single" w:sz="4" w:space="0" w:color="auto"/>
              <w:right w:val="single" w:sz="4" w:space="0" w:color="auto"/>
            </w:tcBorders>
            <w:shd w:val="clear" w:color="auto" w:fill="auto"/>
            <w:noWrap/>
            <w:vAlign w:val="center"/>
            <w:hideMark/>
          </w:tcPr>
          <w:p w14:paraId="34278564"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0</w:t>
            </w:r>
          </w:p>
        </w:tc>
        <w:tc>
          <w:tcPr>
            <w:tcW w:w="1488" w:type="dxa"/>
            <w:tcBorders>
              <w:top w:val="nil"/>
              <w:left w:val="nil"/>
              <w:bottom w:val="single" w:sz="4" w:space="0" w:color="auto"/>
              <w:right w:val="single" w:sz="4" w:space="0" w:color="auto"/>
            </w:tcBorders>
            <w:shd w:val="clear" w:color="000000" w:fill="DAEEF3"/>
            <w:noWrap/>
            <w:vAlign w:val="center"/>
            <w:hideMark/>
          </w:tcPr>
          <w:p w14:paraId="6B351E8C"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0</w:t>
            </w:r>
          </w:p>
        </w:tc>
        <w:tc>
          <w:tcPr>
            <w:tcW w:w="1155" w:type="dxa"/>
            <w:tcBorders>
              <w:top w:val="nil"/>
              <w:left w:val="nil"/>
              <w:bottom w:val="single" w:sz="4" w:space="0" w:color="auto"/>
              <w:right w:val="single" w:sz="4" w:space="0" w:color="auto"/>
            </w:tcBorders>
            <w:shd w:val="clear" w:color="auto" w:fill="auto"/>
            <w:noWrap/>
            <w:vAlign w:val="center"/>
            <w:hideMark/>
          </w:tcPr>
          <w:p w14:paraId="6FE1DD2A"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w:t>
            </w:r>
          </w:p>
        </w:tc>
        <w:tc>
          <w:tcPr>
            <w:tcW w:w="1323" w:type="dxa"/>
            <w:tcBorders>
              <w:top w:val="nil"/>
              <w:left w:val="nil"/>
              <w:bottom w:val="single" w:sz="4" w:space="0" w:color="auto"/>
              <w:right w:val="single" w:sz="4" w:space="0" w:color="auto"/>
            </w:tcBorders>
            <w:shd w:val="clear" w:color="auto" w:fill="auto"/>
            <w:noWrap/>
            <w:vAlign w:val="center"/>
            <w:hideMark/>
          </w:tcPr>
          <w:p w14:paraId="46EE7B49"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w:t>
            </w:r>
          </w:p>
        </w:tc>
      </w:tr>
      <w:tr w:rsidR="00D847F2" w:rsidRPr="00BE5A38" w14:paraId="78D6EF32" w14:textId="77777777" w:rsidTr="00556699">
        <w:trPr>
          <w:trHeight w:val="659"/>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00642022" w14:textId="77777777" w:rsidR="00D847F2" w:rsidRPr="00BE5A38" w:rsidRDefault="00D847F2" w:rsidP="00556699">
            <w:pPr>
              <w:spacing w:line="240" w:lineRule="auto"/>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Skupaj poslanih predlogov</w:t>
            </w:r>
          </w:p>
        </w:tc>
        <w:tc>
          <w:tcPr>
            <w:tcW w:w="990" w:type="dxa"/>
            <w:tcBorders>
              <w:top w:val="nil"/>
              <w:left w:val="nil"/>
              <w:bottom w:val="single" w:sz="4" w:space="0" w:color="auto"/>
              <w:right w:val="single" w:sz="4" w:space="0" w:color="auto"/>
            </w:tcBorders>
            <w:shd w:val="clear" w:color="auto" w:fill="auto"/>
            <w:noWrap/>
            <w:vAlign w:val="center"/>
            <w:hideMark/>
          </w:tcPr>
          <w:p w14:paraId="1C3177AB" w14:textId="77777777" w:rsidR="00D847F2" w:rsidRPr="00BE5A38" w:rsidRDefault="00D847F2" w:rsidP="00556699">
            <w:pPr>
              <w:spacing w:line="240" w:lineRule="auto"/>
              <w:jc w:val="right"/>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393</w:t>
            </w:r>
          </w:p>
        </w:tc>
        <w:tc>
          <w:tcPr>
            <w:tcW w:w="1216" w:type="dxa"/>
            <w:tcBorders>
              <w:top w:val="nil"/>
              <w:left w:val="nil"/>
              <w:bottom w:val="single" w:sz="4" w:space="0" w:color="auto"/>
              <w:right w:val="single" w:sz="4" w:space="0" w:color="auto"/>
            </w:tcBorders>
            <w:shd w:val="clear" w:color="000000" w:fill="DAEEF3"/>
            <w:noWrap/>
            <w:vAlign w:val="center"/>
            <w:hideMark/>
          </w:tcPr>
          <w:p w14:paraId="30C8A142"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3.055.358</w:t>
            </w:r>
          </w:p>
        </w:tc>
        <w:tc>
          <w:tcPr>
            <w:tcW w:w="1155" w:type="dxa"/>
            <w:tcBorders>
              <w:top w:val="nil"/>
              <w:left w:val="nil"/>
              <w:bottom w:val="single" w:sz="4" w:space="0" w:color="auto"/>
              <w:right w:val="single" w:sz="4" w:space="0" w:color="auto"/>
            </w:tcBorders>
            <w:shd w:val="clear" w:color="auto" w:fill="auto"/>
            <w:noWrap/>
            <w:vAlign w:val="center"/>
            <w:hideMark/>
          </w:tcPr>
          <w:p w14:paraId="1BDF2371" w14:textId="77777777" w:rsidR="00D847F2" w:rsidRPr="00BE5A38" w:rsidRDefault="00D847F2" w:rsidP="00556699">
            <w:pPr>
              <w:spacing w:line="240" w:lineRule="auto"/>
              <w:jc w:val="right"/>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938</w:t>
            </w:r>
          </w:p>
        </w:tc>
        <w:tc>
          <w:tcPr>
            <w:tcW w:w="1488" w:type="dxa"/>
            <w:tcBorders>
              <w:top w:val="nil"/>
              <w:left w:val="nil"/>
              <w:bottom w:val="single" w:sz="4" w:space="0" w:color="auto"/>
              <w:right w:val="single" w:sz="4" w:space="0" w:color="auto"/>
            </w:tcBorders>
            <w:shd w:val="clear" w:color="auto" w:fill="auto"/>
            <w:noWrap/>
            <w:vAlign w:val="center"/>
            <w:hideMark/>
          </w:tcPr>
          <w:p w14:paraId="5A5F5DF2" w14:textId="77777777" w:rsidR="00D847F2" w:rsidRPr="00BE5A38" w:rsidRDefault="00D847F2" w:rsidP="00556699">
            <w:pPr>
              <w:spacing w:line="240" w:lineRule="auto"/>
              <w:jc w:val="right"/>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6.309.829</w:t>
            </w:r>
          </w:p>
        </w:tc>
        <w:tc>
          <w:tcPr>
            <w:tcW w:w="1155" w:type="dxa"/>
            <w:tcBorders>
              <w:top w:val="nil"/>
              <w:left w:val="nil"/>
              <w:bottom w:val="single" w:sz="4" w:space="0" w:color="auto"/>
              <w:right w:val="single" w:sz="4" w:space="0" w:color="auto"/>
            </w:tcBorders>
            <w:shd w:val="clear" w:color="auto" w:fill="auto"/>
            <w:noWrap/>
            <w:vAlign w:val="center"/>
            <w:hideMark/>
          </w:tcPr>
          <w:p w14:paraId="17A3FA16"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238,7</w:t>
            </w:r>
          </w:p>
        </w:tc>
        <w:tc>
          <w:tcPr>
            <w:tcW w:w="1323" w:type="dxa"/>
            <w:tcBorders>
              <w:top w:val="nil"/>
              <w:left w:val="nil"/>
              <w:bottom w:val="single" w:sz="4" w:space="0" w:color="auto"/>
              <w:right w:val="single" w:sz="4" w:space="0" w:color="auto"/>
            </w:tcBorders>
            <w:shd w:val="clear" w:color="auto" w:fill="auto"/>
            <w:noWrap/>
            <w:vAlign w:val="center"/>
            <w:hideMark/>
          </w:tcPr>
          <w:p w14:paraId="08BDEA6C"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206,5</w:t>
            </w:r>
          </w:p>
        </w:tc>
      </w:tr>
    </w:tbl>
    <w:p w14:paraId="68A359AE" w14:textId="0A1FEC0A"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F3582A">
        <w:rPr>
          <w:rFonts w:ascii="Arial" w:hAnsi="Arial" w:cs="Arial"/>
          <w:i/>
          <w:sz w:val="20"/>
          <w:szCs w:val="20"/>
        </w:rPr>
        <w:t>.</w:t>
      </w:r>
    </w:p>
    <w:p w14:paraId="5DB4669D" w14:textId="64A19B4C" w:rsidR="00D847F2" w:rsidRDefault="00D847F2" w:rsidP="00D847F2">
      <w:pPr>
        <w:jc w:val="both"/>
        <w:rPr>
          <w:rFonts w:ascii="Arial" w:eastAsia="Times New Roman" w:hAnsi="Arial" w:cs="Arial"/>
          <w:iCs/>
          <w:sz w:val="20"/>
          <w:szCs w:val="20"/>
          <w:lang w:eastAsia="sl-SI"/>
        </w:rPr>
      </w:pPr>
      <w:r>
        <w:rPr>
          <w:rFonts w:ascii="Arial" w:eastAsia="Times New Roman" w:hAnsi="Arial" w:cs="Arial"/>
          <w:iCs/>
          <w:sz w:val="20"/>
          <w:szCs w:val="20"/>
          <w:lang w:eastAsia="sl-SI"/>
        </w:rPr>
        <w:t>Od</w:t>
      </w:r>
      <w:r w:rsidRPr="00BE5A38">
        <w:rPr>
          <w:rFonts w:ascii="Arial" w:eastAsia="Times New Roman" w:hAnsi="Arial" w:cs="Arial"/>
          <w:iCs/>
          <w:sz w:val="20"/>
          <w:szCs w:val="20"/>
          <w:lang w:eastAsia="sl-SI"/>
        </w:rPr>
        <w:t xml:space="preserve"> nosilcev socialne varnosti v Sloveniji je F</w:t>
      </w:r>
      <w:r>
        <w:rPr>
          <w:rFonts w:ascii="Arial" w:eastAsia="Times New Roman" w:hAnsi="Arial" w:cs="Arial"/>
          <w:iCs/>
          <w:sz w:val="20"/>
          <w:szCs w:val="20"/>
          <w:lang w:eastAsia="sl-SI"/>
        </w:rPr>
        <w:t xml:space="preserve">URS </w:t>
      </w:r>
      <w:r w:rsidRPr="00BE5A38">
        <w:rPr>
          <w:rFonts w:ascii="Arial" w:eastAsia="Times New Roman" w:hAnsi="Arial" w:cs="Arial"/>
          <w:iCs/>
          <w:sz w:val="20"/>
          <w:szCs w:val="20"/>
          <w:lang w:eastAsia="sl-SI"/>
        </w:rPr>
        <w:t>prejel 109 zahtevkov za izterjavo prispevkov za druge države članice EU v skupni višini 425.750</w:t>
      </w:r>
      <w:r w:rsidR="00527930" w:rsidRPr="00BE5A38">
        <w:rPr>
          <w:rFonts w:ascii="Arial" w:eastAsia="Times New Roman" w:hAnsi="Arial" w:cs="Arial"/>
          <w:iCs/>
          <w:sz w:val="20"/>
          <w:szCs w:val="20"/>
          <w:lang w:eastAsia="sl-SI"/>
        </w:rPr>
        <w:t> EUR</w:t>
      </w:r>
      <w:r w:rsidRPr="00BE5A38">
        <w:rPr>
          <w:rFonts w:ascii="Arial" w:eastAsia="Times New Roman" w:hAnsi="Arial" w:cs="Arial"/>
          <w:iCs/>
          <w:sz w:val="20"/>
          <w:szCs w:val="20"/>
          <w:lang w:eastAsia="sl-SI"/>
        </w:rPr>
        <w:t>. Na podlagi izvedenih ukrepov je bilo izterjanega za 100.460</w:t>
      </w:r>
      <w:r w:rsidR="00527930" w:rsidRPr="00BE5A38">
        <w:rPr>
          <w:rFonts w:ascii="Arial" w:eastAsia="Times New Roman" w:hAnsi="Arial" w:cs="Arial"/>
          <w:iCs/>
          <w:sz w:val="20"/>
          <w:szCs w:val="20"/>
          <w:lang w:eastAsia="sl-SI"/>
        </w:rPr>
        <w:t> EUR</w:t>
      </w:r>
      <w:r w:rsidRPr="00BE5A38">
        <w:rPr>
          <w:rFonts w:ascii="Arial" w:eastAsia="Times New Roman" w:hAnsi="Arial" w:cs="Arial"/>
          <w:iCs/>
          <w:sz w:val="20"/>
          <w:szCs w:val="20"/>
          <w:lang w:eastAsia="sl-SI"/>
        </w:rPr>
        <w:t xml:space="preserve"> dolga.</w:t>
      </w:r>
    </w:p>
    <w:p w14:paraId="26CFAC98" w14:textId="081D11F9" w:rsidR="00247C3E" w:rsidRDefault="00247C3E" w:rsidP="00D847F2">
      <w:pPr>
        <w:jc w:val="both"/>
        <w:rPr>
          <w:rFonts w:ascii="Arial" w:eastAsia="Times New Roman" w:hAnsi="Arial" w:cs="Arial"/>
          <w:iCs/>
          <w:sz w:val="20"/>
          <w:szCs w:val="20"/>
          <w:lang w:eastAsia="sl-SI"/>
        </w:rPr>
      </w:pPr>
    </w:p>
    <w:p w14:paraId="5E472D42" w14:textId="6BA038D5" w:rsidR="00247C3E" w:rsidRDefault="00247C3E" w:rsidP="00D847F2">
      <w:pPr>
        <w:jc w:val="both"/>
        <w:rPr>
          <w:rFonts w:ascii="Arial" w:eastAsia="Times New Roman" w:hAnsi="Arial" w:cs="Arial"/>
          <w:iCs/>
          <w:sz w:val="20"/>
          <w:szCs w:val="20"/>
          <w:lang w:eastAsia="sl-SI"/>
        </w:rPr>
      </w:pPr>
    </w:p>
    <w:p w14:paraId="7CB126E1" w14:textId="77777777" w:rsidR="00247C3E" w:rsidRPr="00BE5A38" w:rsidRDefault="00247C3E" w:rsidP="00D847F2">
      <w:pPr>
        <w:jc w:val="both"/>
        <w:rPr>
          <w:rFonts w:ascii="Arial" w:eastAsia="Times New Roman" w:hAnsi="Arial" w:cs="Arial"/>
          <w:iCs/>
          <w:sz w:val="20"/>
          <w:szCs w:val="20"/>
          <w:lang w:eastAsia="sl-SI"/>
        </w:rPr>
      </w:pPr>
    </w:p>
    <w:p w14:paraId="6CD17F48" w14:textId="69BC381A" w:rsidR="00D847F2" w:rsidRDefault="00D847F2" w:rsidP="00D847F2">
      <w:pPr>
        <w:pStyle w:val="FURSNavaden"/>
        <w:rPr>
          <w:rFonts w:eastAsia="Times New Roman" w:cs="Arial"/>
          <w:i/>
          <w:szCs w:val="20"/>
        </w:rPr>
      </w:pPr>
      <w:r w:rsidRPr="009F62ED">
        <w:rPr>
          <w:rFonts w:eastAsia="Times New Roman" w:cs="Arial"/>
          <w:i/>
          <w:szCs w:val="20"/>
        </w:rPr>
        <w:lastRenderedPageBreak/>
        <w:t>Preglednica 2</w:t>
      </w:r>
      <w:r>
        <w:rPr>
          <w:rFonts w:eastAsia="Times New Roman" w:cs="Arial"/>
          <w:i/>
          <w:szCs w:val="20"/>
        </w:rPr>
        <w:t>5</w:t>
      </w:r>
      <w:r w:rsidRPr="009F62ED">
        <w:rPr>
          <w:rFonts w:eastAsia="Times New Roman" w:cs="Arial"/>
          <w:i/>
          <w:szCs w:val="20"/>
        </w:rPr>
        <w:t xml:space="preserve">: Prejeta zaprosila za izterjavo prispevkov, ki so jih nosilci socialne varnosti </w:t>
      </w:r>
      <w:r w:rsidR="00F3582A">
        <w:rPr>
          <w:rFonts w:eastAsia="Times New Roman" w:cs="Arial"/>
          <w:i/>
          <w:szCs w:val="20"/>
        </w:rPr>
        <w:t>predložili</w:t>
      </w:r>
      <w:r w:rsidR="00F3582A" w:rsidRPr="009F62ED">
        <w:rPr>
          <w:rFonts w:eastAsia="Times New Roman" w:cs="Arial"/>
          <w:i/>
          <w:szCs w:val="20"/>
        </w:rPr>
        <w:t xml:space="preserve"> </w:t>
      </w:r>
      <w:r w:rsidRPr="009F62ED">
        <w:rPr>
          <w:rFonts w:eastAsia="Times New Roman" w:cs="Arial"/>
          <w:i/>
          <w:szCs w:val="20"/>
        </w:rPr>
        <w:t>FURS</w:t>
      </w:r>
    </w:p>
    <w:p w14:paraId="3C0CDCBA" w14:textId="77777777" w:rsidR="00D847F2" w:rsidRDefault="00D847F2" w:rsidP="00D847F2">
      <w:pPr>
        <w:pStyle w:val="FURSNavaden"/>
        <w:rPr>
          <w:rFonts w:eastAsia="Times New Roman" w:cs="Arial"/>
          <w:i/>
          <w:szCs w:val="20"/>
        </w:rPr>
      </w:pPr>
    </w:p>
    <w:tbl>
      <w:tblPr>
        <w:tblW w:w="8941" w:type="dxa"/>
        <w:tblCellMar>
          <w:left w:w="70" w:type="dxa"/>
          <w:right w:w="70" w:type="dxa"/>
        </w:tblCellMar>
        <w:tblLook w:val="04A0" w:firstRow="1" w:lastRow="0" w:firstColumn="1" w:lastColumn="0" w:noHBand="0" w:noVBand="1"/>
      </w:tblPr>
      <w:tblGrid>
        <w:gridCol w:w="931"/>
        <w:gridCol w:w="1881"/>
        <w:gridCol w:w="931"/>
        <w:gridCol w:w="931"/>
        <w:gridCol w:w="931"/>
        <w:gridCol w:w="931"/>
        <w:gridCol w:w="1261"/>
        <w:gridCol w:w="1144"/>
      </w:tblGrid>
      <w:tr w:rsidR="00D847F2" w:rsidRPr="0099314A" w14:paraId="372496D9" w14:textId="77777777" w:rsidTr="00556699">
        <w:trPr>
          <w:trHeight w:val="373"/>
        </w:trPr>
        <w:tc>
          <w:tcPr>
            <w:tcW w:w="931" w:type="dxa"/>
            <w:vMerge w:val="restart"/>
            <w:tcBorders>
              <w:top w:val="single" w:sz="4" w:space="0" w:color="auto"/>
              <w:left w:val="single" w:sz="4" w:space="0" w:color="auto"/>
              <w:bottom w:val="single" w:sz="4" w:space="0" w:color="auto"/>
              <w:right w:val="single" w:sz="4" w:space="0" w:color="auto"/>
            </w:tcBorders>
            <w:shd w:val="clear" w:color="000000" w:fill="31869B"/>
            <w:vAlign w:val="center"/>
            <w:hideMark/>
          </w:tcPr>
          <w:p w14:paraId="547C90E1"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Nosilec socialne varnosti</w:t>
            </w:r>
          </w:p>
        </w:tc>
        <w:tc>
          <w:tcPr>
            <w:tcW w:w="1881" w:type="dxa"/>
            <w:tcBorders>
              <w:top w:val="single" w:sz="4" w:space="0" w:color="auto"/>
              <w:left w:val="nil"/>
              <w:bottom w:val="single" w:sz="4" w:space="0" w:color="auto"/>
              <w:right w:val="single" w:sz="4" w:space="0" w:color="auto"/>
            </w:tcBorders>
            <w:shd w:val="clear" w:color="000000" w:fill="31869B"/>
            <w:vAlign w:val="center"/>
            <w:hideMark/>
          </w:tcPr>
          <w:p w14:paraId="49CEE240"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 </w:t>
            </w:r>
          </w:p>
        </w:tc>
        <w:tc>
          <w:tcPr>
            <w:tcW w:w="1862" w:type="dxa"/>
            <w:gridSpan w:val="2"/>
            <w:tcBorders>
              <w:top w:val="single" w:sz="4" w:space="0" w:color="auto"/>
              <w:left w:val="nil"/>
              <w:bottom w:val="single" w:sz="4" w:space="0" w:color="auto"/>
              <w:right w:val="single" w:sz="4" w:space="0" w:color="auto"/>
            </w:tcBorders>
            <w:shd w:val="clear" w:color="000000" w:fill="31869B"/>
            <w:vAlign w:val="center"/>
            <w:hideMark/>
          </w:tcPr>
          <w:p w14:paraId="20CA9B47"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2021</w:t>
            </w:r>
          </w:p>
        </w:tc>
        <w:tc>
          <w:tcPr>
            <w:tcW w:w="1862" w:type="dxa"/>
            <w:gridSpan w:val="2"/>
            <w:tcBorders>
              <w:top w:val="single" w:sz="4" w:space="0" w:color="auto"/>
              <w:left w:val="nil"/>
              <w:bottom w:val="single" w:sz="4" w:space="0" w:color="auto"/>
              <w:right w:val="single" w:sz="4" w:space="0" w:color="auto"/>
            </w:tcBorders>
            <w:shd w:val="clear" w:color="000000" w:fill="31869B"/>
            <w:noWrap/>
            <w:vAlign w:val="center"/>
            <w:hideMark/>
          </w:tcPr>
          <w:p w14:paraId="17B3A719"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2022</w:t>
            </w:r>
          </w:p>
        </w:tc>
        <w:tc>
          <w:tcPr>
            <w:tcW w:w="2405" w:type="dxa"/>
            <w:gridSpan w:val="2"/>
            <w:tcBorders>
              <w:top w:val="single" w:sz="4" w:space="0" w:color="auto"/>
              <w:left w:val="nil"/>
              <w:bottom w:val="single" w:sz="4" w:space="0" w:color="auto"/>
              <w:right w:val="single" w:sz="4" w:space="0" w:color="auto"/>
            </w:tcBorders>
            <w:shd w:val="clear" w:color="000000" w:fill="31869B"/>
            <w:vAlign w:val="center"/>
            <w:hideMark/>
          </w:tcPr>
          <w:p w14:paraId="621E1550"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Indeks 2022/2021</w:t>
            </w:r>
          </w:p>
        </w:tc>
      </w:tr>
      <w:tr w:rsidR="00D847F2" w:rsidRPr="0099314A" w14:paraId="674A2BB8" w14:textId="77777777" w:rsidTr="00556699">
        <w:trPr>
          <w:trHeight w:val="746"/>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1BBD52E" w14:textId="77777777" w:rsidR="00D847F2" w:rsidRPr="00BE5A38" w:rsidRDefault="00D847F2" w:rsidP="00556699">
            <w:pPr>
              <w:spacing w:line="240" w:lineRule="auto"/>
              <w:rPr>
                <w:rFonts w:ascii="Arial" w:eastAsia="Times New Roman" w:hAnsi="Arial" w:cs="Arial"/>
                <w:b/>
                <w:bCs/>
                <w:color w:val="FFFFFF"/>
                <w:sz w:val="18"/>
                <w:szCs w:val="18"/>
                <w:lang w:eastAsia="sl-SI"/>
              </w:rPr>
            </w:pPr>
          </w:p>
        </w:tc>
        <w:tc>
          <w:tcPr>
            <w:tcW w:w="1881" w:type="dxa"/>
            <w:tcBorders>
              <w:top w:val="nil"/>
              <w:left w:val="nil"/>
              <w:bottom w:val="single" w:sz="4" w:space="0" w:color="auto"/>
              <w:right w:val="single" w:sz="4" w:space="0" w:color="auto"/>
            </w:tcBorders>
            <w:shd w:val="clear" w:color="000000" w:fill="31869B"/>
            <w:vAlign w:val="center"/>
            <w:hideMark/>
          </w:tcPr>
          <w:p w14:paraId="6DEE1116" w14:textId="74C120A6" w:rsidR="00D847F2" w:rsidRPr="00BE5A38" w:rsidRDefault="00D847F2" w:rsidP="00F3582A">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 xml:space="preserve">Število predlogov </w:t>
            </w:r>
            <w:r w:rsidR="00F3582A">
              <w:rPr>
                <w:rFonts w:ascii="Arial" w:eastAsia="Times New Roman" w:hAnsi="Arial" w:cs="Arial"/>
                <w:b/>
                <w:bCs/>
                <w:color w:val="FFFFFF"/>
                <w:sz w:val="18"/>
                <w:szCs w:val="18"/>
                <w:lang w:eastAsia="sl-SI"/>
              </w:rPr>
              <w:t>–</w:t>
            </w:r>
            <w:r w:rsidRPr="00BE5A38">
              <w:rPr>
                <w:rFonts w:ascii="Arial" w:eastAsia="Times New Roman" w:hAnsi="Arial" w:cs="Arial"/>
                <w:b/>
                <w:bCs/>
                <w:color w:val="FFFFFF"/>
                <w:sz w:val="18"/>
                <w:szCs w:val="18"/>
                <w:lang w:eastAsia="sl-SI"/>
              </w:rPr>
              <w:t xml:space="preserve"> prejeta plačila</w:t>
            </w:r>
          </w:p>
        </w:tc>
        <w:tc>
          <w:tcPr>
            <w:tcW w:w="931" w:type="dxa"/>
            <w:tcBorders>
              <w:top w:val="nil"/>
              <w:left w:val="nil"/>
              <w:bottom w:val="single" w:sz="4" w:space="0" w:color="auto"/>
              <w:right w:val="single" w:sz="4" w:space="0" w:color="auto"/>
            </w:tcBorders>
            <w:shd w:val="clear" w:color="000000" w:fill="31869B"/>
            <w:vAlign w:val="center"/>
            <w:hideMark/>
          </w:tcPr>
          <w:p w14:paraId="61126EDA"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Število</w:t>
            </w:r>
          </w:p>
        </w:tc>
        <w:tc>
          <w:tcPr>
            <w:tcW w:w="931" w:type="dxa"/>
            <w:tcBorders>
              <w:top w:val="nil"/>
              <w:left w:val="nil"/>
              <w:bottom w:val="single" w:sz="4" w:space="0" w:color="auto"/>
              <w:right w:val="single" w:sz="4" w:space="0" w:color="auto"/>
            </w:tcBorders>
            <w:shd w:val="clear" w:color="000000" w:fill="31869B"/>
            <w:vAlign w:val="center"/>
            <w:hideMark/>
          </w:tcPr>
          <w:p w14:paraId="1B3396C3"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Znesek v evrih</w:t>
            </w:r>
          </w:p>
        </w:tc>
        <w:tc>
          <w:tcPr>
            <w:tcW w:w="931" w:type="dxa"/>
            <w:tcBorders>
              <w:top w:val="nil"/>
              <w:left w:val="nil"/>
              <w:bottom w:val="single" w:sz="4" w:space="0" w:color="auto"/>
              <w:right w:val="single" w:sz="4" w:space="0" w:color="auto"/>
            </w:tcBorders>
            <w:shd w:val="clear" w:color="000000" w:fill="31869B"/>
            <w:vAlign w:val="center"/>
            <w:hideMark/>
          </w:tcPr>
          <w:p w14:paraId="252B6A18"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Število</w:t>
            </w:r>
          </w:p>
        </w:tc>
        <w:tc>
          <w:tcPr>
            <w:tcW w:w="931" w:type="dxa"/>
            <w:tcBorders>
              <w:top w:val="nil"/>
              <w:left w:val="nil"/>
              <w:bottom w:val="single" w:sz="4" w:space="0" w:color="auto"/>
              <w:right w:val="single" w:sz="4" w:space="0" w:color="auto"/>
            </w:tcBorders>
            <w:shd w:val="clear" w:color="000000" w:fill="31869B"/>
            <w:vAlign w:val="center"/>
            <w:hideMark/>
          </w:tcPr>
          <w:p w14:paraId="0D91D77D"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Znesek v evrih</w:t>
            </w:r>
          </w:p>
        </w:tc>
        <w:tc>
          <w:tcPr>
            <w:tcW w:w="1261" w:type="dxa"/>
            <w:tcBorders>
              <w:top w:val="nil"/>
              <w:left w:val="nil"/>
              <w:bottom w:val="single" w:sz="4" w:space="0" w:color="auto"/>
              <w:right w:val="single" w:sz="4" w:space="0" w:color="auto"/>
            </w:tcBorders>
            <w:shd w:val="clear" w:color="000000" w:fill="31869B"/>
            <w:vAlign w:val="center"/>
            <w:hideMark/>
          </w:tcPr>
          <w:p w14:paraId="2F0495CD"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Število</w:t>
            </w:r>
          </w:p>
        </w:tc>
        <w:tc>
          <w:tcPr>
            <w:tcW w:w="1144" w:type="dxa"/>
            <w:tcBorders>
              <w:top w:val="nil"/>
              <w:left w:val="nil"/>
              <w:bottom w:val="single" w:sz="4" w:space="0" w:color="auto"/>
              <w:right w:val="single" w:sz="4" w:space="0" w:color="auto"/>
            </w:tcBorders>
            <w:shd w:val="clear" w:color="000000" w:fill="31869B"/>
            <w:vAlign w:val="center"/>
            <w:hideMark/>
          </w:tcPr>
          <w:p w14:paraId="5DF3A693" w14:textId="77777777" w:rsidR="00D847F2" w:rsidRPr="00BE5A38" w:rsidRDefault="00D847F2" w:rsidP="00556699">
            <w:pPr>
              <w:spacing w:line="240" w:lineRule="auto"/>
              <w:jc w:val="center"/>
              <w:rPr>
                <w:rFonts w:ascii="Arial" w:eastAsia="Times New Roman" w:hAnsi="Arial" w:cs="Arial"/>
                <w:b/>
                <w:bCs/>
                <w:color w:val="FFFFFF"/>
                <w:sz w:val="18"/>
                <w:szCs w:val="18"/>
                <w:lang w:eastAsia="sl-SI"/>
              </w:rPr>
            </w:pPr>
            <w:r w:rsidRPr="00BE5A38">
              <w:rPr>
                <w:rFonts w:ascii="Arial" w:eastAsia="Times New Roman" w:hAnsi="Arial" w:cs="Arial"/>
                <w:b/>
                <w:bCs/>
                <w:color w:val="FFFFFF"/>
                <w:sz w:val="18"/>
                <w:szCs w:val="18"/>
                <w:lang w:eastAsia="sl-SI"/>
              </w:rPr>
              <w:t xml:space="preserve">Znesek </w:t>
            </w:r>
          </w:p>
        </w:tc>
      </w:tr>
      <w:tr w:rsidR="00D847F2" w:rsidRPr="0099314A" w14:paraId="5B7FFBE2" w14:textId="77777777" w:rsidTr="00556699">
        <w:trPr>
          <w:trHeight w:val="497"/>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237C1547" w14:textId="6C17A46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ZPIZ</w:t>
            </w:r>
            <w:r w:rsidR="00992912">
              <w:rPr>
                <w:rFonts w:ascii="Arial" w:eastAsia="Times New Roman" w:hAnsi="Arial" w:cs="Arial"/>
                <w:color w:val="000000"/>
                <w:sz w:val="18"/>
                <w:szCs w:val="18"/>
                <w:lang w:eastAsia="sl-SI"/>
              </w:rPr>
              <w:t xml:space="preserve">           </w:t>
            </w:r>
            <w:r w:rsidRPr="00BE5A38">
              <w:rPr>
                <w:rFonts w:ascii="Arial" w:eastAsia="Times New Roman" w:hAnsi="Arial" w:cs="Arial"/>
                <w:color w:val="000000"/>
                <w:sz w:val="18"/>
                <w:szCs w:val="18"/>
                <w:lang w:eastAsia="sl-SI"/>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6A48F9B1"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zaprosila</w:t>
            </w:r>
          </w:p>
        </w:tc>
        <w:tc>
          <w:tcPr>
            <w:tcW w:w="931" w:type="dxa"/>
            <w:tcBorders>
              <w:top w:val="nil"/>
              <w:left w:val="nil"/>
              <w:bottom w:val="single" w:sz="4" w:space="0" w:color="auto"/>
              <w:right w:val="single" w:sz="4" w:space="0" w:color="auto"/>
            </w:tcBorders>
            <w:shd w:val="clear" w:color="auto" w:fill="auto"/>
            <w:noWrap/>
            <w:vAlign w:val="center"/>
            <w:hideMark/>
          </w:tcPr>
          <w:p w14:paraId="0C9FDE49"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3</w:t>
            </w:r>
          </w:p>
        </w:tc>
        <w:tc>
          <w:tcPr>
            <w:tcW w:w="931" w:type="dxa"/>
            <w:tcBorders>
              <w:top w:val="nil"/>
              <w:left w:val="nil"/>
              <w:bottom w:val="single" w:sz="4" w:space="0" w:color="auto"/>
              <w:right w:val="single" w:sz="4" w:space="0" w:color="auto"/>
            </w:tcBorders>
            <w:shd w:val="clear" w:color="000000" w:fill="DAEEF3"/>
            <w:noWrap/>
            <w:vAlign w:val="center"/>
            <w:hideMark/>
          </w:tcPr>
          <w:p w14:paraId="6C1F47F8"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3.438</w:t>
            </w:r>
          </w:p>
        </w:tc>
        <w:tc>
          <w:tcPr>
            <w:tcW w:w="931" w:type="dxa"/>
            <w:tcBorders>
              <w:top w:val="nil"/>
              <w:left w:val="nil"/>
              <w:bottom w:val="single" w:sz="4" w:space="0" w:color="auto"/>
              <w:right w:val="single" w:sz="4" w:space="0" w:color="auto"/>
            </w:tcBorders>
            <w:shd w:val="clear" w:color="auto" w:fill="auto"/>
            <w:noWrap/>
            <w:vAlign w:val="center"/>
            <w:hideMark/>
          </w:tcPr>
          <w:p w14:paraId="0718F0CE"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3</w:t>
            </w:r>
          </w:p>
        </w:tc>
        <w:tc>
          <w:tcPr>
            <w:tcW w:w="931" w:type="dxa"/>
            <w:tcBorders>
              <w:top w:val="nil"/>
              <w:left w:val="nil"/>
              <w:bottom w:val="single" w:sz="4" w:space="0" w:color="auto"/>
              <w:right w:val="single" w:sz="4" w:space="0" w:color="auto"/>
            </w:tcBorders>
            <w:shd w:val="clear" w:color="000000" w:fill="DAEEF3"/>
            <w:noWrap/>
            <w:vAlign w:val="center"/>
            <w:hideMark/>
          </w:tcPr>
          <w:p w14:paraId="62DABE1D"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53.927</w:t>
            </w:r>
          </w:p>
        </w:tc>
        <w:tc>
          <w:tcPr>
            <w:tcW w:w="1261" w:type="dxa"/>
            <w:tcBorders>
              <w:top w:val="nil"/>
              <w:left w:val="nil"/>
              <w:bottom w:val="single" w:sz="4" w:space="0" w:color="auto"/>
              <w:right w:val="single" w:sz="4" w:space="0" w:color="auto"/>
            </w:tcBorders>
            <w:shd w:val="clear" w:color="auto" w:fill="auto"/>
            <w:noWrap/>
            <w:vAlign w:val="center"/>
            <w:hideMark/>
          </w:tcPr>
          <w:p w14:paraId="7CBC4FF9" w14:textId="0E551D10"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100,0 </w:t>
            </w:r>
          </w:p>
        </w:tc>
        <w:tc>
          <w:tcPr>
            <w:tcW w:w="1144" w:type="dxa"/>
            <w:tcBorders>
              <w:top w:val="nil"/>
              <w:left w:val="nil"/>
              <w:bottom w:val="single" w:sz="4" w:space="0" w:color="auto"/>
              <w:right w:val="single" w:sz="4" w:space="0" w:color="auto"/>
            </w:tcBorders>
            <w:shd w:val="clear" w:color="auto" w:fill="auto"/>
            <w:noWrap/>
            <w:vAlign w:val="center"/>
            <w:hideMark/>
          </w:tcPr>
          <w:p w14:paraId="5F5503CF" w14:textId="61299091"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1.568,6 </w:t>
            </w:r>
          </w:p>
        </w:tc>
      </w:tr>
      <w:tr w:rsidR="00D847F2" w:rsidRPr="0099314A" w14:paraId="0977FAED" w14:textId="77777777" w:rsidTr="00556699">
        <w:trPr>
          <w:trHeight w:val="292"/>
        </w:trPr>
        <w:tc>
          <w:tcPr>
            <w:tcW w:w="931" w:type="dxa"/>
            <w:vMerge/>
            <w:tcBorders>
              <w:top w:val="nil"/>
              <w:left w:val="single" w:sz="4" w:space="0" w:color="auto"/>
              <w:bottom w:val="single" w:sz="4" w:space="0" w:color="auto"/>
              <w:right w:val="single" w:sz="4" w:space="0" w:color="auto"/>
            </w:tcBorders>
            <w:vAlign w:val="center"/>
            <w:hideMark/>
          </w:tcPr>
          <w:p w14:paraId="57EEE537" w14:textId="77777777" w:rsidR="00D847F2" w:rsidRPr="00BE5A38" w:rsidRDefault="00D847F2" w:rsidP="00556699">
            <w:pPr>
              <w:spacing w:line="240" w:lineRule="auto"/>
              <w:rPr>
                <w:rFonts w:ascii="Arial" w:eastAsia="Times New Roman" w:hAnsi="Arial" w:cs="Arial"/>
                <w:color w:val="000000"/>
                <w:sz w:val="18"/>
                <w:szCs w:val="18"/>
                <w:lang w:eastAsia="sl-SI"/>
              </w:rPr>
            </w:pPr>
          </w:p>
        </w:tc>
        <w:tc>
          <w:tcPr>
            <w:tcW w:w="1881" w:type="dxa"/>
            <w:tcBorders>
              <w:top w:val="nil"/>
              <w:left w:val="nil"/>
              <w:bottom w:val="single" w:sz="4" w:space="0" w:color="auto"/>
              <w:right w:val="single" w:sz="4" w:space="0" w:color="auto"/>
            </w:tcBorders>
            <w:shd w:val="clear" w:color="auto" w:fill="auto"/>
            <w:vAlign w:val="center"/>
            <w:hideMark/>
          </w:tcPr>
          <w:p w14:paraId="02DC6034"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plačila</w:t>
            </w:r>
          </w:p>
        </w:tc>
        <w:tc>
          <w:tcPr>
            <w:tcW w:w="931" w:type="dxa"/>
            <w:tcBorders>
              <w:top w:val="nil"/>
              <w:left w:val="nil"/>
              <w:bottom w:val="single" w:sz="4" w:space="0" w:color="auto"/>
              <w:right w:val="single" w:sz="4" w:space="0" w:color="auto"/>
            </w:tcBorders>
            <w:shd w:val="clear" w:color="auto" w:fill="auto"/>
            <w:noWrap/>
            <w:vAlign w:val="center"/>
            <w:hideMark/>
          </w:tcPr>
          <w:p w14:paraId="5B63499C"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0B0BD1A6"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0</w:t>
            </w:r>
          </w:p>
        </w:tc>
        <w:tc>
          <w:tcPr>
            <w:tcW w:w="931" w:type="dxa"/>
            <w:tcBorders>
              <w:top w:val="nil"/>
              <w:left w:val="nil"/>
              <w:bottom w:val="single" w:sz="4" w:space="0" w:color="auto"/>
              <w:right w:val="single" w:sz="4" w:space="0" w:color="auto"/>
            </w:tcBorders>
            <w:shd w:val="clear" w:color="auto" w:fill="auto"/>
            <w:noWrap/>
            <w:vAlign w:val="center"/>
            <w:hideMark/>
          </w:tcPr>
          <w:p w14:paraId="5F768DF7"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62313391"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1.708</w:t>
            </w:r>
          </w:p>
        </w:tc>
        <w:tc>
          <w:tcPr>
            <w:tcW w:w="1261" w:type="dxa"/>
            <w:tcBorders>
              <w:top w:val="nil"/>
              <w:left w:val="nil"/>
              <w:bottom w:val="single" w:sz="4" w:space="0" w:color="auto"/>
              <w:right w:val="single" w:sz="4" w:space="0" w:color="auto"/>
            </w:tcBorders>
            <w:shd w:val="clear" w:color="auto" w:fill="auto"/>
            <w:noWrap/>
            <w:vAlign w:val="center"/>
            <w:hideMark/>
          </w:tcPr>
          <w:p w14:paraId="14941EAA"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1144" w:type="dxa"/>
            <w:tcBorders>
              <w:top w:val="nil"/>
              <w:left w:val="nil"/>
              <w:bottom w:val="single" w:sz="4" w:space="0" w:color="auto"/>
              <w:right w:val="single" w:sz="4" w:space="0" w:color="auto"/>
            </w:tcBorders>
            <w:shd w:val="clear" w:color="auto" w:fill="auto"/>
            <w:noWrap/>
            <w:vAlign w:val="center"/>
            <w:hideMark/>
          </w:tcPr>
          <w:p w14:paraId="11692332"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r>
      <w:tr w:rsidR="00D847F2" w:rsidRPr="0099314A" w14:paraId="199D9AA6" w14:textId="77777777" w:rsidTr="00556699">
        <w:trPr>
          <w:trHeight w:val="497"/>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5AE20DB1" w14:textId="026E784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ZZZS</w:t>
            </w:r>
            <w:r w:rsidR="00992912">
              <w:rPr>
                <w:rFonts w:ascii="Arial" w:eastAsia="Times New Roman" w:hAnsi="Arial" w:cs="Arial"/>
                <w:color w:val="000000"/>
                <w:sz w:val="18"/>
                <w:szCs w:val="18"/>
                <w:lang w:eastAsia="sl-SI"/>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2D3436F6"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zaprosila</w:t>
            </w:r>
          </w:p>
        </w:tc>
        <w:tc>
          <w:tcPr>
            <w:tcW w:w="931" w:type="dxa"/>
            <w:tcBorders>
              <w:top w:val="nil"/>
              <w:left w:val="nil"/>
              <w:bottom w:val="single" w:sz="4" w:space="0" w:color="auto"/>
              <w:right w:val="single" w:sz="4" w:space="0" w:color="auto"/>
            </w:tcBorders>
            <w:shd w:val="clear" w:color="auto" w:fill="auto"/>
            <w:noWrap/>
            <w:vAlign w:val="center"/>
            <w:hideMark/>
          </w:tcPr>
          <w:p w14:paraId="472D5847"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95</w:t>
            </w:r>
          </w:p>
        </w:tc>
        <w:tc>
          <w:tcPr>
            <w:tcW w:w="931" w:type="dxa"/>
            <w:tcBorders>
              <w:top w:val="nil"/>
              <w:left w:val="nil"/>
              <w:bottom w:val="single" w:sz="4" w:space="0" w:color="auto"/>
              <w:right w:val="single" w:sz="4" w:space="0" w:color="auto"/>
            </w:tcBorders>
            <w:shd w:val="clear" w:color="000000" w:fill="DAEEF3"/>
            <w:noWrap/>
            <w:vAlign w:val="center"/>
            <w:hideMark/>
          </w:tcPr>
          <w:p w14:paraId="31A07EA0"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269.772</w:t>
            </w:r>
          </w:p>
        </w:tc>
        <w:tc>
          <w:tcPr>
            <w:tcW w:w="931" w:type="dxa"/>
            <w:tcBorders>
              <w:top w:val="nil"/>
              <w:left w:val="nil"/>
              <w:bottom w:val="single" w:sz="4" w:space="0" w:color="auto"/>
              <w:right w:val="single" w:sz="4" w:space="0" w:color="auto"/>
            </w:tcBorders>
            <w:shd w:val="clear" w:color="auto" w:fill="auto"/>
            <w:noWrap/>
            <w:vAlign w:val="center"/>
            <w:hideMark/>
          </w:tcPr>
          <w:p w14:paraId="75268A00"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105</w:t>
            </w:r>
          </w:p>
        </w:tc>
        <w:tc>
          <w:tcPr>
            <w:tcW w:w="931" w:type="dxa"/>
            <w:tcBorders>
              <w:top w:val="nil"/>
              <w:left w:val="nil"/>
              <w:bottom w:val="single" w:sz="4" w:space="0" w:color="auto"/>
              <w:right w:val="single" w:sz="4" w:space="0" w:color="auto"/>
            </w:tcBorders>
            <w:shd w:val="clear" w:color="000000" w:fill="DAEEF3"/>
            <w:noWrap/>
            <w:vAlign w:val="center"/>
            <w:hideMark/>
          </w:tcPr>
          <w:p w14:paraId="628925F2"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371.404</w:t>
            </w:r>
          </w:p>
        </w:tc>
        <w:tc>
          <w:tcPr>
            <w:tcW w:w="1261" w:type="dxa"/>
            <w:tcBorders>
              <w:top w:val="nil"/>
              <w:left w:val="nil"/>
              <w:bottom w:val="single" w:sz="4" w:space="0" w:color="auto"/>
              <w:right w:val="single" w:sz="4" w:space="0" w:color="auto"/>
            </w:tcBorders>
            <w:shd w:val="clear" w:color="auto" w:fill="auto"/>
            <w:noWrap/>
            <w:vAlign w:val="center"/>
            <w:hideMark/>
          </w:tcPr>
          <w:p w14:paraId="4281B02C" w14:textId="56F634DA"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110,5 </w:t>
            </w:r>
          </w:p>
        </w:tc>
        <w:tc>
          <w:tcPr>
            <w:tcW w:w="1144" w:type="dxa"/>
            <w:tcBorders>
              <w:top w:val="nil"/>
              <w:left w:val="nil"/>
              <w:bottom w:val="single" w:sz="4" w:space="0" w:color="auto"/>
              <w:right w:val="single" w:sz="4" w:space="0" w:color="auto"/>
            </w:tcBorders>
            <w:shd w:val="clear" w:color="auto" w:fill="auto"/>
            <w:noWrap/>
            <w:vAlign w:val="center"/>
            <w:hideMark/>
          </w:tcPr>
          <w:p w14:paraId="04505A1C" w14:textId="1A91E85B"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137,7 </w:t>
            </w:r>
          </w:p>
        </w:tc>
      </w:tr>
      <w:tr w:rsidR="00D847F2" w:rsidRPr="0099314A" w14:paraId="1315E3C0" w14:textId="77777777" w:rsidTr="00556699">
        <w:trPr>
          <w:trHeight w:val="292"/>
        </w:trPr>
        <w:tc>
          <w:tcPr>
            <w:tcW w:w="931" w:type="dxa"/>
            <w:vMerge/>
            <w:tcBorders>
              <w:top w:val="nil"/>
              <w:left w:val="single" w:sz="4" w:space="0" w:color="auto"/>
              <w:bottom w:val="single" w:sz="4" w:space="0" w:color="auto"/>
              <w:right w:val="single" w:sz="4" w:space="0" w:color="auto"/>
            </w:tcBorders>
            <w:vAlign w:val="center"/>
            <w:hideMark/>
          </w:tcPr>
          <w:p w14:paraId="4E4287CE" w14:textId="77777777" w:rsidR="00D847F2" w:rsidRPr="00BE5A38" w:rsidRDefault="00D847F2" w:rsidP="00556699">
            <w:pPr>
              <w:spacing w:line="240" w:lineRule="auto"/>
              <w:rPr>
                <w:rFonts w:ascii="Arial" w:eastAsia="Times New Roman" w:hAnsi="Arial" w:cs="Arial"/>
                <w:color w:val="000000"/>
                <w:sz w:val="18"/>
                <w:szCs w:val="18"/>
                <w:lang w:eastAsia="sl-SI"/>
              </w:rPr>
            </w:pPr>
          </w:p>
        </w:tc>
        <w:tc>
          <w:tcPr>
            <w:tcW w:w="1881" w:type="dxa"/>
            <w:tcBorders>
              <w:top w:val="nil"/>
              <w:left w:val="nil"/>
              <w:bottom w:val="single" w:sz="4" w:space="0" w:color="auto"/>
              <w:right w:val="single" w:sz="4" w:space="0" w:color="auto"/>
            </w:tcBorders>
            <w:shd w:val="clear" w:color="auto" w:fill="auto"/>
            <w:vAlign w:val="center"/>
            <w:hideMark/>
          </w:tcPr>
          <w:p w14:paraId="6960B7D6"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plačila</w:t>
            </w:r>
          </w:p>
        </w:tc>
        <w:tc>
          <w:tcPr>
            <w:tcW w:w="931" w:type="dxa"/>
            <w:tcBorders>
              <w:top w:val="nil"/>
              <w:left w:val="nil"/>
              <w:bottom w:val="single" w:sz="4" w:space="0" w:color="auto"/>
              <w:right w:val="single" w:sz="4" w:space="0" w:color="auto"/>
            </w:tcBorders>
            <w:shd w:val="clear" w:color="auto" w:fill="auto"/>
            <w:noWrap/>
            <w:vAlign w:val="center"/>
            <w:hideMark/>
          </w:tcPr>
          <w:p w14:paraId="3E7969F4"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52E28DFB"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63.550</w:t>
            </w:r>
          </w:p>
        </w:tc>
        <w:tc>
          <w:tcPr>
            <w:tcW w:w="931" w:type="dxa"/>
            <w:tcBorders>
              <w:top w:val="nil"/>
              <w:left w:val="nil"/>
              <w:bottom w:val="single" w:sz="4" w:space="0" w:color="auto"/>
              <w:right w:val="single" w:sz="4" w:space="0" w:color="auto"/>
            </w:tcBorders>
            <w:shd w:val="clear" w:color="auto" w:fill="auto"/>
            <w:noWrap/>
            <w:vAlign w:val="center"/>
            <w:hideMark/>
          </w:tcPr>
          <w:p w14:paraId="586DB5F1"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03E9BDA4"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98.461</w:t>
            </w:r>
          </w:p>
        </w:tc>
        <w:tc>
          <w:tcPr>
            <w:tcW w:w="1261" w:type="dxa"/>
            <w:tcBorders>
              <w:top w:val="nil"/>
              <w:left w:val="nil"/>
              <w:bottom w:val="single" w:sz="4" w:space="0" w:color="auto"/>
              <w:right w:val="single" w:sz="4" w:space="0" w:color="auto"/>
            </w:tcBorders>
            <w:shd w:val="clear" w:color="auto" w:fill="auto"/>
            <w:noWrap/>
            <w:vAlign w:val="center"/>
            <w:hideMark/>
          </w:tcPr>
          <w:p w14:paraId="391CDCF3"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1144" w:type="dxa"/>
            <w:tcBorders>
              <w:top w:val="nil"/>
              <w:left w:val="nil"/>
              <w:bottom w:val="single" w:sz="4" w:space="0" w:color="auto"/>
              <w:right w:val="single" w:sz="4" w:space="0" w:color="auto"/>
            </w:tcBorders>
            <w:shd w:val="clear" w:color="auto" w:fill="auto"/>
            <w:noWrap/>
            <w:vAlign w:val="center"/>
            <w:hideMark/>
          </w:tcPr>
          <w:p w14:paraId="23551BBD" w14:textId="178E0401"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154,9 </w:t>
            </w:r>
          </w:p>
        </w:tc>
      </w:tr>
      <w:tr w:rsidR="00D847F2" w:rsidRPr="0099314A" w14:paraId="1481EF7A" w14:textId="77777777" w:rsidTr="00556699">
        <w:trPr>
          <w:trHeight w:val="497"/>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49CEF82B" w14:textId="68CE876D"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MDDSZ</w:t>
            </w:r>
            <w:r w:rsidR="00992912">
              <w:rPr>
                <w:rFonts w:ascii="Arial" w:eastAsia="Times New Roman" w:hAnsi="Arial" w:cs="Arial"/>
                <w:color w:val="000000"/>
                <w:sz w:val="18"/>
                <w:szCs w:val="18"/>
                <w:lang w:eastAsia="sl-SI"/>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24136509"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zaprosila</w:t>
            </w:r>
          </w:p>
        </w:tc>
        <w:tc>
          <w:tcPr>
            <w:tcW w:w="931" w:type="dxa"/>
            <w:tcBorders>
              <w:top w:val="nil"/>
              <w:left w:val="nil"/>
              <w:bottom w:val="single" w:sz="4" w:space="0" w:color="auto"/>
              <w:right w:val="single" w:sz="4" w:space="0" w:color="auto"/>
            </w:tcBorders>
            <w:shd w:val="clear" w:color="auto" w:fill="auto"/>
            <w:noWrap/>
            <w:vAlign w:val="center"/>
            <w:hideMark/>
          </w:tcPr>
          <w:p w14:paraId="1717D4D3"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5</w:t>
            </w:r>
          </w:p>
        </w:tc>
        <w:tc>
          <w:tcPr>
            <w:tcW w:w="931" w:type="dxa"/>
            <w:tcBorders>
              <w:top w:val="nil"/>
              <w:left w:val="nil"/>
              <w:bottom w:val="single" w:sz="4" w:space="0" w:color="auto"/>
              <w:right w:val="single" w:sz="4" w:space="0" w:color="auto"/>
            </w:tcBorders>
            <w:shd w:val="clear" w:color="000000" w:fill="DAEEF3"/>
            <w:noWrap/>
            <w:vAlign w:val="center"/>
            <w:hideMark/>
          </w:tcPr>
          <w:p w14:paraId="084C723B"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6.980</w:t>
            </w:r>
          </w:p>
        </w:tc>
        <w:tc>
          <w:tcPr>
            <w:tcW w:w="931" w:type="dxa"/>
            <w:tcBorders>
              <w:top w:val="nil"/>
              <w:left w:val="nil"/>
              <w:bottom w:val="single" w:sz="4" w:space="0" w:color="auto"/>
              <w:right w:val="single" w:sz="4" w:space="0" w:color="auto"/>
            </w:tcBorders>
            <w:shd w:val="clear" w:color="auto" w:fill="auto"/>
            <w:noWrap/>
            <w:vAlign w:val="center"/>
            <w:hideMark/>
          </w:tcPr>
          <w:p w14:paraId="77C6F129"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1</w:t>
            </w:r>
          </w:p>
        </w:tc>
        <w:tc>
          <w:tcPr>
            <w:tcW w:w="931" w:type="dxa"/>
            <w:tcBorders>
              <w:top w:val="nil"/>
              <w:left w:val="nil"/>
              <w:bottom w:val="single" w:sz="4" w:space="0" w:color="auto"/>
              <w:right w:val="single" w:sz="4" w:space="0" w:color="auto"/>
            </w:tcBorders>
            <w:shd w:val="clear" w:color="000000" w:fill="DAEEF3"/>
            <w:noWrap/>
            <w:vAlign w:val="center"/>
            <w:hideMark/>
          </w:tcPr>
          <w:p w14:paraId="261EA6C9"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419</w:t>
            </w:r>
          </w:p>
        </w:tc>
        <w:tc>
          <w:tcPr>
            <w:tcW w:w="1261" w:type="dxa"/>
            <w:tcBorders>
              <w:top w:val="nil"/>
              <w:left w:val="nil"/>
              <w:bottom w:val="single" w:sz="4" w:space="0" w:color="auto"/>
              <w:right w:val="single" w:sz="4" w:space="0" w:color="auto"/>
            </w:tcBorders>
            <w:shd w:val="clear" w:color="auto" w:fill="auto"/>
            <w:noWrap/>
            <w:vAlign w:val="center"/>
            <w:hideMark/>
          </w:tcPr>
          <w:p w14:paraId="00F12E49" w14:textId="338770E7"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20,0 </w:t>
            </w:r>
          </w:p>
        </w:tc>
        <w:tc>
          <w:tcPr>
            <w:tcW w:w="1144" w:type="dxa"/>
            <w:tcBorders>
              <w:top w:val="nil"/>
              <w:left w:val="nil"/>
              <w:bottom w:val="single" w:sz="4" w:space="0" w:color="auto"/>
              <w:right w:val="single" w:sz="4" w:space="0" w:color="auto"/>
            </w:tcBorders>
            <w:shd w:val="clear" w:color="auto" w:fill="auto"/>
            <w:noWrap/>
            <w:vAlign w:val="center"/>
            <w:hideMark/>
          </w:tcPr>
          <w:p w14:paraId="3F896203" w14:textId="0E842A0E"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6,0 </w:t>
            </w:r>
          </w:p>
        </w:tc>
      </w:tr>
      <w:tr w:rsidR="00D847F2" w:rsidRPr="0099314A" w14:paraId="76CCAC05" w14:textId="77777777" w:rsidTr="00556699">
        <w:trPr>
          <w:trHeight w:val="292"/>
        </w:trPr>
        <w:tc>
          <w:tcPr>
            <w:tcW w:w="931" w:type="dxa"/>
            <w:vMerge/>
            <w:tcBorders>
              <w:top w:val="nil"/>
              <w:left w:val="single" w:sz="4" w:space="0" w:color="auto"/>
              <w:bottom w:val="single" w:sz="4" w:space="0" w:color="auto"/>
              <w:right w:val="single" w:sz="4" w:space="0" w:color="auto"/>
            </w:tcBorders>
            <w:vAlign w:val="center"/>
            <w:hideMark/>
          </w:tcPr>
          <w:p w14:paraId="57CCC6DA" w14:textId="77777777" w:rsidR="00D847F2" w:rsidRPr="00BE5A38" w:rsidRDefault="00D847F2" w:rsidP="00556699">
            <w:pPr>
              <w:spacing w:line="240" w:lineRule="auto"/>
              <w:rPr>
                <w:rFonts w:ascii="Arial" w:eastAsia="Times New Roman" w:hAnsi="Arial" w:cs="Arial"/>
                <w:color w:val="000000"/>
                <w:sz w:val="18"/>
                <w:szCs w:val="18"/>
                <w:lang w:eastAsia="sl-SI"/>
              </w:rPr>
            </w:pPr>
          </w:p>
        </w:tc>
        <w:tc>
          <w:tcPr>
            <w:tcW w:w="1881" w:type="dxa"/>
            <w:tcBorders>
              <w:top w:val="nil"/>
              <w:left w:val="nil"/>
              <w:bottom w:val="single" w:sz="4" w:space="0" w:color="auto"/>
              <w:right w:val="single" w:sz="4" w:space="0" w:color="auto"/>
            </w:tcBorders>
            <w:shd w:val="clear" w:color="auto" w:fill="auto"/>
            <w:vAlign w:val="center"/>
            <w:hideMark/>
          </w:tcPr>
          <w:p w14:paraId="65F5877D" w14:textId="77777777" w:rsidR="00D847F2" w:rsidRPr="00BE5A38" w:rsidRDefault="00D847F2" w:rsidP="00556699">
            <w:pPr>
              <w:spacing w:line="240" w:lineRule="auto"/>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Prejeta plačila</w:t>
            </w:r>
          </w:p>
        </w:tc>
        <w:tc>
          <w:tcPr>
            <w:tcW w:w="931" w:type="dxa"/>
            <w:tcBorders>
              <w:top w:val="nil"/>
              <w:left w:val="nil"/>
              <w:bottom w:val="single" w:sz="4" w:space="0" w:color="auto"/>
              <w:right w:val="single" w:sz="4" w:space="0" w:color="auto"/>
            </w:tcBorders>
            <w:shd w:val="clear" w:color="auto" w:fill="auto"/>
            <w:noWrap/>
            <w:vAlign w:val="center"/>
            <w:hideMark/>
          </w:tcPr>
          <w:p w14:paraId="175BAEA3"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33477018"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1.400</w:t>
            </w:r>
          </w:p>
        </w:tc>
        <w:tc>
          <w:tcPr>
            <w:tcW w:w="931" w:type="dxa"/>
            <w:tcBorders>
              <w:top w:val="nil"/>
              <w:left w:val="nil"/>
              <w:bottom w:val="single" w:sz="4" w:space="0" w:color="auto"/>
              <w:right w:val="single" w:sz="4" w:space="0" w:color="auto"/>
            </w:tcBorders>
            <w:shd w:val="clear" w:color="auto" w:fill="auto"/>
            <w:noWrap/>
            <w:vAlign w:val="center"/>
            <w:hideMark/>
          </w:tcPr>
          <w:p w14:paraId="56A40A21"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6E2583C7" w14:textId="77777777" w:rsidR="00D847F2" w:rsidRPr="00BE5A38" w:rsidRDefault="00D847F2" w:rsidP="00556699">
            <w:pPr>
              <w:spacing w:line="240" w:lineRule="auto"/>
              <w:jc w:val="right"/>
              <w:rPr>
                <w:rFonts w:ascii="Arial" w:eastAsia="Times New Roman" w:hAnsi="Arial" w:cs="Arial"/>
                <w:color w:val="000000"/>
                <w:sz w:val="18"/>
                <w:szCs w:val="18"/>
                <w:lang w:eastAsia="sl-SI"/>
              </w:rPr>
            </w:pPr>
            <w:r w:rsidRPr="00BE5A38">
              <w:rPr>
                <w:rFonts w:ascii="Arial" w:eastAsia="Times New Roman" w:hAnsi="Arial" w:cs="Arial"/>
                <w:color w:val="000000"/>
                <w:sz w:val="18"/>
                <w:szCs w:val="18"/>
                <w:lang w:eastAsia="sl-SI"/>
              </w:rPr>
              <w:t>291</w:t>
            </w:r>
          </w:p>
        </w:tc>
        <w:tc>
          <w:tcPr>
            <w:tcW w:w="1261" w:type="dxa"/>
            <w:tcBorders>
              <w:top w:val="nil"/>
              <w:left w:val="nil"/>
              <w:bottom w:val="single" w:sz="4" w:space="0" w:color="auto"/>
              <w:right w:val="single" w:sz="4" w:space="0" w:color="auto"/>
            </w:tcBorders>
            <w:shd w:val="clear" w:color="auto" w:fill="auto"/>
            <w:noWrap/>
            <w:vAlign w:val="center"/>
            <w:hideMark/>
          </w:tcPr>
          <w:p w14:paraId="303D69CC"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1144" w:type="dxa"/>
            <w:tcBorders>
              <w:top w:val="nil"/>
              <w:left w:val="nil"/>
              <w:bottom w:val="single" w:sz="4" w:space="0" w:color="auto"/>
              <w:right w:val="single" w:sz="4" w:space="0" w:color="auto"/>
            </w:tcBorders>
            <w:shd w:val="clear" w:color="auto" w:fill="auto"/>
            <w:noWrap/>
            <w:vAlign w:val="center"/>
            <w:hideMark/>
          </w:tcPr>
          <w:p w14:paraId="3F107E5E" w14:textId="720AA94A"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20,8 </w:t>
            </w:r>
          </w:p>
        </w:tc>
      </w:tr>
      <w:tr w:rsidR="00D847F2" w:rsidRPr="0099314A" w14:paraId="11377B50" w14:textId="77777777" w:rsidTr="00556699">
        <w:trPr>
          <w:trHeight w:val="497"/>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24F02DC9" w14:textId="77777777" w:rsidR="00D847F2" w:rsidRPr="00BE5A38" w:rsidRDefault="00D847F2" w:rsidP="00556699">
            <w:pPr>
              <w:spacing w:line="240" w:lineRule="auto"/>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Skupaj</w:t>
            </w:r>
          </w:p>
        </w:tc>
        <w:tc>
          <w:tcPr>
            <w:tcW w:w="1881" w:type="dxa"/>
            <w:tcBorders>
              <w:top w:val="nil"/>
              <w:left w:val="nil"/>
              <w:bottom w:val="single" w:sz="4" w:space="0" w:color="auto"/>
              <w:right w:val="single" w:sz="4" w:space="0" w:color="auto"/>
            </w:tcBorders>
            <w:shd w:val="clear" w:color="auto" w:fill="auto"/>
            <w:vAlign w:val="center"/>
            <w:hideMark/>
          </w:tcPr>
          <w:p w14:paraId="2D193623" w14:textId="77777777" w:rsidR="00D847F2" w:rsidRPr="00BE5A38" w:rsidRDefault="00D847F2" w:rsidP="00556699">
            <w:pPr>
              <w:spacing w:line="240" w:lineRule="auto"/>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Skupaj prejetih zaprosil</w:t>
            </w:r>
          </w:p>
        </w:tc>
        <w:tc>
          <w:tcPr>
            <w:tcW w:w="931" w:type="dxa"/>
            <w:tcBorders>
              <w:top w:val="nil"/>
              <w:left w:val="nil"/>
              <w:bottom w:val="single" w:sz="4" w:space="0" w:color="auto"/>
              <w:right w:val="single" w:sz="4" w:space="0" w:color="auto"/>
            </w:tcBorders>
            <w:shd w:val="clear" w:color="auto" w:fill="auto"/>
            <w:noWrap/>
            <w:vAlign w:val="center"/>
            <w:hideMark/>
          </w:tcPr>
          <w:p w14:paraId="3B3EA672"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103</w:t>
            </w:r>
          </w:p>
        </w:tc>
        <w:tc>
          <w:tcPr>
            <w:tcW w:w="931" w:type="dxa"/>
            <w:tcBorders>
              <w:top w:val="nil"/>
              <w:left w:val="nil"/>
              <w:bottom w:val="single" w:sz="4" w:space="0" w:color="auto"/>
              <w:right w:val="single" w:sz="4" w:space="0" w:color="auto"/>
            </w:tcBorders>
            <w:shd w:val="clear" w:color="000000" w:fill="DAEEF3"/>
            <w:noWrap/>
            <w:vAlign w:val="center"/>
            <w:hideMark/>
          </w:tcPr>
          <w:p w14:paraId="6D84330F"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280.190</w:t>
            </w:r>
          </w:p>
        </w:tc>
        <w:tc>
          <w:tcPr>
            <w:tcW w:w="931" w:type="dxa"/>
            <w:tcBorders>
              <w:top w:val="nil"/>
              <w:left w:val="nil"/>
              <w:bottom w:val="single" w:sz="4" w:space="0" w:color="auto"/>
              <w:right w:val="single" w:sz="4" w:space="0" w:color="auto"/>
            </w:tcBorders>
            <w:shd w:val="clear" w:color="auto" w:fill="auto"/>
            <w:noWrap/>
            <w:vAlign w:val="center"/>
            <w:hideMark/>
          </w:tcPr>
          <w:p w14:paraId="03A7C9E1"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109</w:t>
            </w:r>
          </w:p>
        </w:tc>
        <w:tc>
          <w:tcPr>
            <w:tcW w:w="931" w:type="dxa"/>
            <w:tcBorders>
              <w:top w:val="nil"/>
              <w:left w:val="nil"/>
              <w:bottom w:val="single" w:sz="4" w:space="0" w:color="auto"/>
              <w:right w:val="single" w:sz="4" w:space="0" w:color="auto"/>
            </w:tcBorders>
            <w:shd w:val="clear" w:color="auto" w:fill="auto"/>
            <w:noWrap/>
            <w:vAlign w:val="center"/>
            <w:hideMark/>
          </w:tcPr>
          <w:p w14:paraId="56F860ED"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425.750</w:t>
            </w:r>
          </w:p>
        </w:tc>
        <w:tc>
          <w:tcPr>
            <w:tcW w:w="1261" w:type="dxa"/>
            <w:tcBorders>
              <w:top w:val="nil"/>
              <w:left w:val="nil"/>
              <w:bottom w:val="single" w:sz="4" w:space="0" w:color="auto"/>
              <w:right w:val="single" w:sz="4" w:space="0" w:color="auto"/>
            </w:tcBorders>
            <w:shd w:val="clear" w:color="auto" w:fill="auto"/>
            <w:noWrap/>
            <w:vAlign w:val="center"/>
            <w:hideMark/>
          </w:tcPr>
          <w:p w14:paraId="11AB5A0A" w14:textId="2DBD54B4"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105,8 </w:t>
            </w:r>
          </w:p>
        </w:tc>
        <w:tc>
          <w:tcPr>
            <w:tcW w:w="1144" w:type="dxa"/>
            <w:tcBorders>
              <w:top w:val="nil"/>
              <w:left w:val="nil"/>
              <w:bottom w:val="single" w:sz="4" w:space="0" w:color="auto"/>
              <w:right w:val="single" w:sz="4" w:space="0" w:color="auto"/>
            </w:tcBorders>
            <w:shd w:val="clear" w:color="auto" w:fill="auto"/>
            <w:noWrap/>
            <w:vAlign w:val="center"/>
            <w:hideMark/>
          </w:tcPr>
          <w:p w14:paraId="75A9E15C" w14:textId="00F6B368"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152,0 </w:t>
            </w:r>
          </w:p>
        </w:tc>
      </w:tr>
      <w:tr w:rsidR="00D847F2" w:rsidRPr="0099314A" w14:paraId="4A1C413A" w14:textId="77777777" w:rsidTr="00556699">
        <w:trPr>
          <w:trHeight w:val="497"/>
        </w:trPr>
        <w:tc>
          <w:tcPr>
            <w:tcW w:w="931" w:type="dxa"/>
            <w:vMerge/>
            <w:tcBorders>
              <w:top w:val="nil"/>
              <w:left w:val="single" w:sz="4" w:space="0" w:color="auto"/>
              <w:bottom w:val="single" w:sz="4" w:space="0" w:color="auto"/>
              <w:right w:val="single" w:sz="4" w:space="0" w:color="auto"/>
            </w:tcBorders>
            <w:vAlign w:val="center"/>
            <w:hideMark/>
          </w:tcPr>
          <w:p w14:paraId="18826D54" w14:textId="77777777" w:rsidR="00D847F2" w:rsidRPr="00BE5A38" w:rsidRDefault="00D847F2" w:rsidP="00556699">
            <w:pPr>
              <w:spacing w:line="240" w:lineRule="auto"/>
              <w:rPr>
                <w:rFonts w:ascii="Arial" w:eastAsia="Times New Roman" w:hAnsi="Arial" w:cs="Arial"/>
                <w:b/>
                <w:bCs/>
                <w:color w:val="000000"/>
                <w:sz w:val="18"/>
                <w:szCs w:val="18"/>
                <w:lang w:eastAsia="sl-SI"/>
              </w:rPr>
            </w:pPr>
          </w:p>
        </w:tc>
        <w:tc>
          <w:tcPr>
            <w:tcW w:w="1881" w:type="dxa"/>
            <w:tcBorders>
              <w:top w:val="nil"/>
              <w:left w:val="nil"/>
              <w:bottom w:val="single" w:sz="4" w:space="0" w:color="auto"/>
              <w:right w:val="single" w:sz="4" w:space="0" w:color="auto"/>
            </w:tcBorders>
            <w:shd w:val="clear" w:color="auto" w:fill="auto"/>
            <w:vAlign w:val="center"/>
            <w:hideMark/>
          </w:tcPr>
          <w:p w14:paraId="5EA8EB02" w14:textId="77777777" w:rsidR="00D847F2" w:rsidRPr="00BE5A38" w:rsidRDefault="00D847F2" w:rsidP="00556699">
            <w:pPr>
              <w:spacing w:line="240" w:lineRule="auto"/>
              <w:rPr>
                <w:rFonts w:ascii="Arial" w:eastAsia="Times New Roman" w:hAnsi="Arial" w:cs="Arial"/>
                <w:b/>
                <w:bCs/>
                <w:color w:val="000000"/>
                <w:sz w:val="18"/>
                <w:szCs w:val="18"/>
                <w:lang w:eastAsia="sl-SI"/>
              </w:rPr>
            </w:pPr>
            <w:r w:rsidRPr="00BE5A38">
              <w:rPr>
                <w:rFonts w:ascii="Arial" w:eastAsia="Times New Roman" w:hAnsi="Arial" w:cs="Arial"/>
                <w:b/>
                <w:bCs/>
                <w:color w:val="000000"/>
                <w:sz w:val="18"/>
                <w:szCs w:val="18"/>
                <w:lang w:eastAsia="sl-SI"/>
              </w:rPr>
              <w:t>Skupaj prejetih plačil</w:t>
            </w:r>
          </w:p>
        </w:tc>
        <w:tc>
          <w:tcPr>
            <w:tcW w:w="931" w:type="dxa"/>
            <w:tcBorders>
              <w:top w:val="nil"/>
              <w:left w:val="nil"/>
              <w:bottom w:val="single" w:sz="4" w:space="0" w:color="auto"/>
              <w:right w:val="single" w:sz="4" w:space="0" w:color="auto"/>
            </w:tcBorders>
            <w:shd w:val="clear" w:color="auto" w:fill="auto"/>
            <w:noWrap/>
            <w:vAlign w:val="center"/>
            <w:hideMark/>
          </w:tcPr>
          <w:p w14:paraId="114C8E1C"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w:t>
            </w:r>
          </w:p>
        </w:tc>
        <w:tc>
          <w:tcPr>
            <w:tcW w:w="931" w:type="dxa"/>
            <w:tcBorders>
              <w:top w:val="nil"/>
              <w:left w:val="nil"/>
              <w:bottom w:val="single" w:sz="4" w:space="0" w:color="auto"/>
              <w:right w:val="single" w:sz="4" w:space="0" w:color="auto"/>
            </w:tcBorders>
            <w:shd w:val="clear" w:color="000000" w:fill="DAEEF3"/>
            <w:noWrap/>
            <w:vAlign w:val="center"/>
            <w:hideMark/>
          </w:tcPr>
          <w:p w14:paraId="40F48E9B"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64.950</w:t>
            </w:r>
          </w:p>
        </w:tc>
        <w:tc>
          <w:tcPr>
            <w:tcW w:w="931" w:type="dxa"/>
            <w:tcBorders>
              <w:top w:val="nil"/>
              <w:left w:val="nil"/>
              <w:bottom w:val="single" w:sz="4" w:space="0" w:color="auto"/>
              <w:right w:val="single" w:sz="4" w:space="0" w:color="auto"/>
            </w:tcBorders>
            <w:shd w:val="clear" w:color="auto" w:fill="auto"/>
            <w:noWrap/>
            <w:vAlign w:val="center"/>
            <w:hideMark/>
          </w:tcPr>
          <w:p w14:paraId="010FA043"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931" w:type="dxa"/>
            <w:tcBorders>
              <w:top w:val="nil"/>
              <w:left w:val="nil"/>
              <w:bottom w:val="single" w:sz="4" w:space="0" w:color="auto"/>
              <w:right w:val="single" w:sz="4" w:space="0" w:color="auto"/>
            </w:tcBorders>
            <w:shd w:val="clear" w:color="auto" w:fill="auto"/>
            <w:noWrap/>
            <w:vAlign w:val="center"/>
            <w:hideMark/>
          </w:tcPr>
          <w:p w14:paraId="4F83D68C" w14:textId="77777777" w:rsidR="00D847F2" w:rsidRPr="00BE5A38" w:rsidRDefault="00D847F2" w:rsidP="00556699">
            <w:pPr>
              <w:spacing w:line="240" w:lineRule="auto"/>
              <w:jc w:val="right"/>
              <w:rPr>
                <w:rFonts w:ascii="Arial" w:eastAsia="Times New Roman" w:hAnsi="Arial" w:cs="Arial"/>
                <w:b/>
                <w:bCs/>
                <w:sz w:val="18"/>
                <w:szCs w:val="18"/>
                <w:lang w:eastAsia="sl-SI"/>
              </w:rPr>
            </w:pPr>
            <w:r w:rsidRPr="00BE5A38">
              <w:rPr>
                <w:rFonts w:ascii="Arial" w:eastAsia="Times New Roman" w:hAnsi="Arial" w:cs="Arial"/>
                <w:b/>
                <w:bCs/>
                <w:sz w:val="18"/>
                <w:szCs w:val="18"/>
                <w:lang w:eastAsia="sl-SI"/>
              </w:rPr>
              <w:t>100.460</w:t>
            </w:r>
          </w:p>
        </w:tc>
        <w:tc>
          <w:tcPr>
            <w:tcW w:w="1261" w:type="dxa"/>
            <w:tcBorders>
              <w:top w:val="nil"/>
              <w:left w:val="nil"/>
              <w:bottom w:val="single" w:sz="4" w:space="0" w:color="auto"/>
              <w:right w:val="single" w:sz="4" w:space="0" w:color="auto"/>
            </w:tcBorders>
            <w:shd w:val="clear" w:color="auto" w:fill="auto"/>
            <w:noWrap/>
            <w:vAlign w:val="center"/>
            <w:hideMark/>
          </w:tcPr>
          <w:p w14:paraId="0FCA9926" w14:textId="77777777" w:rsidR="00D847F2" w:rsidRPr="00BE5A38" w:rsidRDefault="00D847F2" w:rsidP="00556699">
            <w:pPr>
              <w:spacing w:line="240" w:lineRule="auto"/>
              <w:jc w:val="right"/>
              <w:rPr>
                <w:rFonts w:ascii="Arial" w:eastAsia="Times New Roman" w:hAnsi="Arial" w:cs="Arial"/>
                <w:sz w:val="18"/>
                <w:szCs w:val="18"/>
                <w:lang w:eastAsia="sl-SI"/>
              </w:rPr>
            </w:pPr>
            <w:r w:rsidRPr="00BE5A38">
              <w:rPr>
                <w:rFonts w:ascii="Arial" w:eastAsia="Times New Roman" w:hAnsi="Arial" w:cs="Arial"/>
                <w:sz w:val="18"/>
                <w:szCs w:val="18"/>
                <w:lang w:eastAsia="sl-SI"/>
              </w:rPr>
              <w:t>/</w:t>
            </w:r>
          </w:p>
        </w:tc>
        <w:tc>
          <w:tcPr>
            <w:tcW w:w="1144" w:type="dxa"/>
            <w:tcBorders>
              <w:top w:val="nil"/>
              <w:left w:val="nil"/>
              <w:bottom w:val="single" w:sz="4" w:space="0" w:color="auto"/>
              <w:right w:val="single" w:sz="4" w:space="0" w:color="auto"/>
            </w:tcBorders>
            <w:shd w:val="clear" w:color="auto" w:fill="auto"/>
            <w:noWrap/>
            <w:vAlign w:val="center"/>
            <w:hideMark/>
          </w:tcPr>
          <w:p w14:paraId="6A61EF0A" w14:textId="2E15C662" w:rsidR="00D847F2" w:rsidRPr="00BE5A38" w:rsidRDefault="00992912" w:rsidP="00556699">
            <w:pPr>
              <w:spacing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r w:rsidR="00D847F2" w:rsidRPr="00BE5A38">
              <w:rPr>
                <w:rFonts w:ascii="Arial" w:eastAsia="Times New Roman" w:hAnsi="Arial" w:cs="Arial"/>
                <w:color w:val="000000"/>
                <w:sz w:val="18"/>
                <w:szCs w:val="18"/>
                <w:lang w:eastAsia="sl-SI"/>
              </w:rPr>
              <w:t xml:space="preserve"> 154,7 </w:t>
            </w:r>
          </w:p>
        </w:tc>
      </w:tr>
    </w:tbl>
    <w:p w14:paraId="38FF2BCE" w14:textId="57790C41" w:rsidR="00D847F2" w:rsidRPr="00534703" w:rsidRDefault="00D847F2" w:rsidP="00D847F2">
      <w:pPr>
        <w:rPr>
          <w:rFonts w:ascii="Arial" w:hAnsi="Arial" w:cs="Arial"/>
          <w:i/>
          <w:sz w:val="20"/>
          <w:szCs w:val="20"/>
        </w:rPr>
      </w:pPr>
      <w:r w:rsidRPr="00534703">
        <w:rPr>
          <w:rFonts w:ascii="Arial" w:hAnsi="Arial" w:cs="Arial"/>
          <w:i/>
          <w:sz w:val="20"/>
          <w:szCs w:val="20"/>
        </w:rPr>
        <w:t>Vir: FURS</w:t>
      </w:r>
      <w:r w:rsidR="00F3582A">
        <w:rPr>
          <w:rFonts w:ascii="Arial" w:hAnsi="Arial" w:cs="Arial"/>
          <w:i/>
          <w:sz w:val="20"/>
          <w:szCs w:val="20"/>
        </w:rPr>
        <w:t>.</w:t>
      </w:r>
    </w:p>
    <w:p w14:paraId="30406098" w14:textId="77777777" w:rsidR="00D847F2" w:rsidRDefault="00D847F2" w:rsidP="00D847F2">
      <w:pPr>
        <w:rPr>
          <w:rFonts w:ascii="Arial" w:hAnsi="Arial" w:cs="Arial"/>
          <w:b/>
          <w:sz w:val="20"/>
          <w:szCs w:val="20"/>
          <w:lang w:eastAsia="sl-SI"/>
        </w:rPr>
      </w:pPr>
      <w:r w:rsidRPr="00F43999">
        <w:rPr>
          <w:rFonts w:ascii="Arial" w:hAnsi="Arial" w:cs="Arial"/>
          <w:b/>
          <w:sz w:val="20"/>
          <w:szCs w:val="20"/>
          <w:lang w:eastAsia="sl-SI"/>
        </w:rPr>
        <w:t>Zahtevnejši ukrepi uveljavljanja davčnega dolga</w:t>
      </w:r>
    </w:p>
    <w:p w14:paraId="46E255B2" w14:textId="4ED2C8D7" w:rsidR="00D847F2" w:rsidRDefault="00D847F2" w:rsidP="00D847F2">
      <w:pPr>
        <w:jc w:val="both"/>
        <w:rPr>
          <w:rFonts w:ascii="Arial" w:eastAsia="Times New Roman" w:hAnsi="Arial" w:cs="Arial"/>
          <w:sz w:val="20"/>
          <w:szCs w:val="20"/>
        </w:rPr>
      </w:pPr>
      <w:r w:rsidRPr="00F43999">
        <w:rPr>
          <w:rFonts w:ascii="Arial" w:eastAsia="Times New Roman" w:hAnsi="Arial" w:cs="Arial"/>
          <w:sz w:val="20"/>
          <w:szCs w:val="20"/>
        </w:rPr>
        <w:t>F</w:t>
      </w:r>
      <w:r>
        <w:rPr>
          <w:rFonts w:ascii="Arial" w:eastAsia="Times New Roman" w:hAnsi="Arial" w:cs="Arial"/>
          <w:sz w:val="20"/>
          <w:szCs w:val="20"/>
        </w:rPr>
        <w:t xml:space="preserve">URS </w:t>
      </w:r>
      <w:r w:rsidRPr="00F43999">
        <w:rPr>
          <w:rFonts w:ascii="Arial" w:eastAsia="Times New Roman" w:hAnsi="Arial" w:cs="Arial"/>
          <w:sz w:val="20"/>
          <w:szCs w:val="20"/>
        </w:rPr>
        <w:t xml:space="preserve">dolžnike, od katerih dolga ni bilo mogoče izterjati v postopku davčne izvršbe, obstaja pa </w:t>
      </w:r>
      <w:r w:rsidR="00F3582A">
        <w:rPr>
          <w:rFonts w:ascii="Arial" w:eastAsia="Times New Roman" w:hAnsi="Arial" w:cs="Arial"/>
          <w:sz w:val="20"/>
          <w:szCs w:val="20"/>
        </w:rPr>
        <w:t>sum</w:t>
      </w:r>
      <w:r w:rsidR="00F3582A" w:rsidRPr="00F43999">
        <w:rPr>
          <w:rFonts w:ascii="Arial" w:eastAsia="Times New Roman" w:hAnsi="Arial" w:cs="Arial"/>
          <w:sz w:val="20"/>
          <w:szCs w:val="20"/>
        </w:rPr>
        <w:t xml:space="preserve"> </w:t>
      </w:r>
      <w:r w:rsidRPr="00F43999">
        <w:rPr>
          <w:rFonts w:ascii="Arial" w:eastAsia="Times New Roman" w:hAnsi="Arial" w:cs="Arial"/>
          <w:sz w:val="20"/>
          <w:szCs w:val="20"/>
        </w:rPr>
        <w:t>razpolaganja s premoženjem zaradi izogibanja plačila davčnega dolga, obravnava v posebnih postopkih. Poleg ukrepov, ki so predvideni v davčni zakonodaji (</w:t>
      </w:r>
      <w:r w:rsidR="0024486B">
        <w:rPr>
          <w:rFonts w:ascii="Arial" w:eastAsia="Times New Roman" w:hAnsi="Arial" w:cs="Arial"/>
          <w:sz w:val="20"/>
          <w:szCs w:val="20"/>
        </w:rPr>
        <w:t>na primer</w:t>
      </w:r>
      <w:r w:rsidRPr="00F43999">
        <w:rPr>
          <w:rFonts w:ascii="Arial" w:eastAsia="Times New Roman" w:hAnsi="Arial" w:cs="Arial"/>
          <w:sz w:val="20"/>
          <w:szCs w:val="20"/>
        </w:rPr>
        <w:t xml:space="preserve"> institut poroštva po 148. členu ZDavP-2), v ta okvir sodijo tudi drugi zahtevnejši ukrepi oziroma instituti, predvideni v ZFPPIPP, </w:t>
      </w:r>
      <w:r>
        <w:rPr>
          <w:rFonts w:ascii="Arial" w:eastAsia="Times New Roman" w:hAnsi="Arial" w:cs="Arial"/>
          <w:sz w:val="20"/>
          <w:szCs w:val="20"/>
        </w:rPr>
        <w:t>Obligacijskem zakoniku (</w:t>
      </w:r>
      <w:r w:rsidRPr="00825100">
        <w:rPr>
          <w:rFonts w:ascii="Arial" w:eastAsia="Times New Roman" w:hAnsi="Arial" w:cs="Arial"/>
          <w:sz w:val="20"/>
          <w:szCs w:val="20"/>
        </w:rPr>
        <w:t>OZ</w:t>
      </w:r>
      <w:r>
        <w:rPr>
          <w:rFonts w:ascii="Arial" w:eastAsia="Times New Roman" w:hAnsi="Arial" w:cs="Arial"/>
          <w:sz w:val="20"/>
          <w:szCs w:val="20"/>
        </w:rPr>
        <w:t>)</w:t>
      </w:r>
      <w:r w:rsidR="00F3582A">
        <w:rPr>
          <w:rFonts w:ascii="Arial" w:eastAsia="Times New Roman" w:hAnsi="Arial" w:cs="Arial"/>
          <w:sz w:val="20"/>
          <w:szCs w:val="20"/>
        </w:rPr>
        <w:t>,</w:t>
      </w:r>
      <w:r>
        <w:rPr>
          <w:rStyle w:val="Sprotnaopomba-sklic"/>
          <w:rFonts w:ascii="Arial" w:eastAsia="Times New Roman" w:hAnsi="Arial" w:cs="Arial"/>
          <w:sz w:val="20"/>
          <w:szCs w:val="20"/>
        </w:rPr>
        <w:footnoteReference w:id="14"/>
      </w:r>
      <w:r w:rsidRPr="00F43999">
        <w:rPr>
          <w:rFonts w:ascii="Arial" w:eastAsia="Times New Roman" w:hAnsi="Arial" w:cs="Arial"/>
          <w:sz w:val="20"/>
          <w:szCs w:val="20"/>
        </w:rPr>
        <w:t xml:space="preserve"> ZGD-1 in </w:t>
      </w:r>
      <w:r>
        <w:rPr>
          <w:rFonts w:ascii="Arial" w:eastAsia="Times New Roman" w:hAnsi="Arial" w:cs="Arial"/>
          <w:sz w:val="20"/>
          <w:szCs w:val="20"/>
        </w:rPr>
        <w:t>Družinskem zakoniku (</w:t>
      </w:r>
      <w:r w:rsidRPr="00825100">
        <w:rPr>
          <w:rFonts w:ascii="Arial" w:eastAsia="Times New Roman" w:hAnsi="Arial" w:cs="Arial"/>
          <w:sz w:val="20"/>
          <w:szCs w:val="20"/>
        </w:rPr>
        <w:t>DZ</w:t>
      </w:r>
      <w:r>
        <w:rPr>
          <w:rFonts w:ascii="Arial" w:eastAsia="Times New Roman" w:hAnsi="Arial" w:cs="Arial"/>
          <w:sz w:val="20"/>
          <w:szCs w:val="20"/>
        </w:rPr>
        <w:t>)</w:t>
      </w:r>
      <w:r>
        <w:rPr>
          <w:rStyle w:val="Sprotnaopomba-sklic"/>
          <w:rFonts w:ascii="Arial" w:eastAsia="Times New Roman" w:hAnsi="Arial" w:cs="Arial"/>
          <w:sz w:val="20"/>
          <w:szCs w:val="20"/>
        </w:rPr>
        <w:footnoteReference w:id="15"/>
      </w:r>
      <w:r w:rsidR="00992912">
        <w:rPr>
          <w:rFonts w:ascii="Arial" w:eastAsia="Times New Roman" w:hAnsi="Arial" w:cs="Arial"/>
          <w:sz w:val="20"/>
          <w:szCs w:val="20"/>
        </w:rPr>
        <w:t xml:space="preserve"> </w:t>
      </w:r>
      <w:r w:rsidRPr="00F43999">
        <w:rPr>
          <w:rFonts w:ascii="Arial" w:eastAsia="Times New Roman" w:hAnsi="Arial" w:cs="Arial"/>
          <w:sz w:val="20"/>
          <w:szCs w:val="20"/>
        </w:rPr>
        <w:t>(</w:t>
      </w:r>
      <w:r w:rsidR="0024486B">
        <w:rPr>
          <w:rFonts w:ascii="Arial" w:eastAsia="Times New Roman" w:hAnsi="Arial" w:cs="Arial"/>
          <w:sz w:val="20"/>
          <w:szCs w:val="20"/>
        </w:rPr>
        <w:t>na primer</w:t>
      </w:r>
      <w:r w:rsidRPr="00F43999">
        <w:rPr>
          <w:rFonts w:ascii="Arial" w:eastAsia="Times New Roman" w:hAnsi="Arial" w:cs="Arial"/>
          <w:sz w:val="20"/>
          <w:szCs w:val="20"/>
        </w:rPr>
        <w:t xml:space="preserve"> uveljavljanje odškodninske odgovornosti poslovodstva v okviru stečaja nad dolžnikom ali po izbrisu, izpodbijanje dolžnikovih pravnih dejanj, spregled pravne osebnosti, določitev deleža na skupnem premoženju zakoncev). Gre za institute, namenjen</w:t>
      </w:r>
      <w:r w:rsidR="00F3582A">
        <w:rPr>
          <w:rFonts w:ascii="Arial" w:eastAsia="Times New Roman" w:hAnsi="Arial" w:cs="Arial"/>
          <w:sz w:val="20"/>
          <w:szCs w:val="20"/>
        </w:rPr>
        <w:t>e</w:t>
      </w:r>
      <w:r w:rsidRPr="00F43999">
        <w:rPr>
          <w:rFonts w:ascii="Arial" w:eastAsia="Times New Roman" w:hAnsi="Arial" w:cs="Arial"/>
          <w:sz w:val="20"/>
          <w:szCs w:val="20"/>
        </w:rPr>
        <w:t xml:space="preserve"> uveljavljanju davčnega dolga v primerih, ko z rednimi ukrepi izterjave ni mogoče pričakovati uspeha in torej </w:t>
      </w:r>
      <w:r w:rsidR="00F3582A">
        <w:rPr>
          <w:rFonts w:ascii="Arial" w:eastAsia="Times New Roman" w:hAnsi="Arial" w:cs="Arial"/>
          <w:sz w:val="20"/>
          <w:szCs w:val="20"/>
        </w:rPr>
        <w:t>pomenijo</w:t>
      </w:r>
      <w:r w:rsidR="00F3582A" w:rsidRPr="00F43999">
        <w:rPr>
          <w:rFonts w:ascii="Arial" w:eastAsia="Times New Roman" w:hAnsi="Arial" w:cs="Arial"/>
          <w:sz w:val="20"/>
          <w:szCs w:val="20"/>
        </w:rPr>
        <w:t xml:space="preserve"> </w:t>
      </w:r>
      <w:r w:rsidRPr="00F43999">
        <w:rPr>
          <w:rFonts w:ascii="Arial" w:eastAsia="Times New Roman" w:hAnsi="Arial" w:cs="Arial"/>
          <w:sz w:val="20"/>
          <w:szCs w:val="20"/>
        </w:rPr>
        <w:t>nadgradnjo postopka izterjave.</w:t>
      </w:r>
      <w:r w:rsidR="004E60F1">
        <w:rPr>
          <w:rFonts w:ascii="Arial" w:eastAsia="Times New Roman" w:hAnsi="Arial" w:cs="Arial"/>
          <w:sz w:val="20"/>
          <w:szCs w:val="20"/>
        </w:rPr>
        <w:t xml:space="preserve"> </w:t>
      </w:r>
      <w:r w:rsidRPr="00F43999">
        <w:rPr>
          <w:rFonts w:ascii="Arial" w:eastAsia="Times New Roman" w:hAnsi="Arial" w:cs="Arial"/>
          <w:sz w:val="20"/>
          <w:szCs w:val="20"/>
        </w:rPr>
        <w:t xml:space="preserve">V spodnji </w:t>
      </w:r>
      <w:r>
        <w:rPr>
          <w:rFonts w:ascii="Arial" w:eastAsia="Times New Roman" w:hAnsi="Arial" w:cs="Arial"/>
          <w:sz w:val="20"/>
          <w:szCs w:val="20"/>
        </w:rPr>
        <w:t>preglednici</w:t>
      </w:r>
      <w:r w:rsidRPr="00F43999">
        <w:rPr>
          <w:rFonts w:ascii="Arial" w:eastAsia="Times New Roman" w:hAnsi="Arial" w:cs="Arial"/>
          <w:sz w:val="20"/>
          <w:szCs w:val="20"/>
        </w:rPr>
        <w:t xml:space="preserve"> so prikazani bistveni instituti, ki jih F</w:t>
      </w:r>
      <w:r>
        <w:rPr>
          <w:rFonts w:ascii="Arial" w:eastAsia="Times New Roman" w:hAnsi="Arial" w:cs="Arial"/>
          <w:sz w:val="20"/>
          <w:szCs w:val="20"/>
        </w:rPr>
        <w:t xml:space="preserve">URS </w:t>
      </w:r>
      <w:r w:rsidRPr="00F43999">
        <w:rPr>
          <w:rFonts w:ascii="Arial" w:eastAsia="Times New Roman" w:hAnsi="Arial" w:cs="Arial"/>
          <w:sz w:val="20"/>
          <w:szCs w:val="20"/>
        </w:rPr>
        <w:t xml:space="preserve">uporabi ob zaznavi zlorabe s strani davčnih dolžnikov. </w:t>
      </w:r>
      <w:bookmarkStart w:id="28" w:name="_Hlk129344013"/>
      <w:r w:rsidRPr="00F43999">
        <w:rPr>
          <w:rFonts w:ascii="Arial" w:eastAsia="Times New Roman" w:hAnsi="Arial" w:cs="Arial"/>
          <w:sz w:val="20"/>
          <w:szCs w:val="20"/>
        </w:rPr>
        <w:t xml:space="preserve">Prikazani podatki kažejo, da se je v letu 2022 število vseh začetih postopkov z uporabo posebnih institutov v primerjavi z letom 2021 povečalo za 20 (69 </w:t>
      </w:r>
      <w:r>
        <w:rPr>
          <w:rFonts w:ascii="Arial" w:eastAsia="Times New Roman" w:hAnsi="Arial" w:cs="Arial"/>
          <w:sz w:val="20"/>
          <w:szCs w:val="20"/>
        </w:rPr>
        <w:t>odstotkov</w:t>
      </w:r>
      <w:r w:rsidRPr="00F43999">
        <w:rPr>
          <w:rFonts w:ascii="Arial" w:eastAsia="Times New Roman" w:hAnsi="Arial" w:cs="Arial"/>
          <w:sz w:val="20"/>
          <w:szCs w:val="20"/>
        </w:rPr>
        <w:t>). Tudi znesek izterjanega dolga po teh postopkih je v letu 2022 višji za 950.115</w:t>
      </w:r>
      <w:r w:rsidR="00527930" w:rsidRPr="00F43999">
        <w:rPr>
          <w:rFonts w:ascii="Arial" w:eastAsia="Times New Roman" w:hAnsi="Arial" w:cs="Arial"/>
          <w:sz w:val="20"/>
          <w:szCs w:val="20"/>
        </w:rPr>
        <w:t> EUR</w:t>
      </w:r>
      <w:r w:rsidRPr="00F43999">
        <w:rPr>
          <w:rFonts w:ascii="Arial" w:eastAsia="Times New Roman" w:hAnsi="Arial" w:cs="Arial"/>
          <w:sz w:val="20"/>
          <w:szCs w:val="20"/>
        </w:rPr>
        <w:t xml:space="preserve"> (443,1</w:t>
      </w:r>
      <w:r>
        <w:rPr>
          <w:rFonts w:ascii="Arial" w:eastAsia="Times New Roman" w:hAnsi="Arial" w:cs="Arial"/>
          <w:sz w:val="20"/>
          <w:szCs w:val="20"/>
        </w:rPr>
        <w:t xml:space="preserve"> odstotka</w:t>
      </w:r>
      <w:r w:rsidRPr="00F43999">
        <w:rPr>
          <w:rFonts w:ascii="Arial" w:eastAsia="Times New Roman" w:hAnsi="Arial" w:cs="Arial"/>
          <w:sz w:val="20"/>
          <w:szCs w:val="20"/>
        </w:rPr>
        <w:t>).</w:t>
      </w:r>
    </w:p>
    <w:bookmarkEnd w:id="28"/>
    <w:p w14:paraId="75BA31CF" w14:textId="77777777" w:rsidR="00247C3E" w:rsidRDefault="00247C3E" w:rsidP="00D847F2">
      <w:pPr>
        <w:pStyle w:val="Odstavekseznama"/>
        <w:ind w:left="0"/>
        <w:jc w:val="both"/>
        <w:rPr>
          <w:rFonts w:ascii="Arial" w:eastAsiaTheme="minorHAnsi" w:hAnsi="Arial" w:cs="Arial"/>
          <w:i/>
          <w:sz w:val="20"/>
          <w:szCs w:val="20"/>
        </w:rPr>
      </w:pPr>
    </w:p>
    <w:p w14:paraId="7801A20E" w14:textId="77777777" w:rsidR="00247C3E" w:rsidRDefault="00247C3E" w:rsidP="00D847F2">
      <w:pPr>
        <w:pStyle w:val="Odstavekseznama"/>
        <w:ind w:left="0"/>
        <w:jc w:val="both"/>
        <w:rPr>
          <w:rFonts w:ascii="Arial" w:eastAsiaTheme="minorHAnsi" w:hAnsi="Arial" w:cs="Arial"/>
          <w:i/>
          <w:sz w:val="20"/>
          <w:szCs w:val="20"/>
        </w:rPr>
      </w:pPr>
    </w:p>
    <w:p w14:paraId="7796F8DD" w14:textId="77777777" w:rsidR="00247C3E" w:rsidRDefault="00247C3E" w:rsidP="00D847F2">
      <w:pPr>
        <w:pStyle w:val="Odstavekseznama"/>
        <w:ind w:left="0"/>
        <w:jc w:val="both"/>
        <w:rPr>
          <w:rFonts w:ascii="Arial" w:eastAsiaTheme="minorHAnsi" w:hAnsi="Arial" w:cs="Arial"/>
          <w:i/>
          <w:sz w:val="20"/>
          <w:szCs w:val="20"/>
        </w:rPr>
      </w:pPr>
    </w:p>
    <w:p w14:paraId="366DE5BA" w14:textId="77777777" w:rsidR="00247C3E" w:rsidRDefault="00247C3E" w:rsidP="00D847F2">
      <w:pPr>
        <w:pStyle w:val="Odstavekseznama"/>
        <w:ind w:left="0"/>
        <w:jc w:val="both"/>
        <w:rPr>
          <w:rFonts w:ascii="Arial" w:eastAsiaTheme="minorHAnsi" w:hAnsi="Arial" w:cs="Arial"/>
          <w:i/>
          <w:sz w:val="20"/>
          <w:szCs w:val="20"/>
        </w:rPr>
      </w:pPr>
    </w:p>
    <w:p w14:paraId="3BC36652" w14:textId="77777777" w:rsidR="00247C3E" w:rsidRDefault="00247C3E" w:rsidP="00D847F2">
      <w:pPr>
        <w:pStyle w:val="Odstavekseznama"/>
        <w:ind w:left="0"/>
        <w:jc w:val="both"/>
        <w:rPr>
          <w:rFonts w:ascii="Arial" w:eastAsiaTheme="minorHAnsi" w:hAnsi="Arial" w:cs="Arial"/>
          <w:i/>
          <w:sz w:val="20"/>
          <w:szCs w:val="20"/>
        </w:rPr>
      </w:pPr>
    </w:p>
    <w:p w14:paraId="755A545E" w14:textId="77777777" w:rsidR="00247C3E" w:rsidRDefault="00247C3E" w:rsidP="00D847F2">
      <w:pPr>
        <w:pStyle w:val="Odstavekseznama"/>
        <w:ind w:left="0"/>
        <w:jc w:val="both"/>
        <w:rPr>
          <w:rFonts w:ascii="Arial" w:eastAsiaTheme="minorHAnsi" w:hAnsi="Arial" w:cs="Arial"/>
          <w:i/>
          <w:sz w:val="20"/>
          <w:szCs w:val="20"/>
        </w:rPr>
      </w:pPr>
    </w:p>
    <w:p w14:paraId="76E09A90" w14:textId="77777777" w:rsidR="00247C3E" w:rsidRDefault="00247C3E" w:rsidP="00D847F2">
      <w:pPr>
        <w:pStyle w:val="Odstavekseznama"/>
        <w:ind w:left="0"/>
        <w:jc w:val="both"/>
        <w:rPr>
          <w:rFonts w:ascii="Arial" w:eastAsiaTheme="minorHAnsi" w:hAnsi="Arial" w:cs="Arial"/>
          <w:i/>
          <w:sz w:val="20"/>
          <w:szCs w:val="20"/>
        </w:rPr>
      </w:pPr>
    </w:p>
    <w:p w14:paraId="25F2B04B" w14:textId="77777777" w:rsidR="00247C3E" w:rsidRDefault="00247C3E" w:rsidP="00D847F2">
      <w:pPr>
        <w:pStyle w:val="Odstavekseznama"/>
        <w:ind w:left="0"/>
        <w:jc w:val="both"/>
        <w:rPr>
          <w:rFonts w:ascii="Arial" w:eastAsiaTheme="minorHAnsi" w:hAnsi="Arial" w:cs="Arial"/>
          <w:i/>
          <w:sz w:val="20"/>
          <w:szCs w:val="20"/>
        </w:rPr>
      </w:pPr>
    </w:p>
    <w:p w14:paraId="4907FE98" w14:textId="77777777" w:rsidR="00247C3E" w:rsidRDefault="00247C3E" w:rsidP="00D847F2">
      <w:pPr>
        <w:pStyle w:val="Odstavekseznama"/>
        <w:ind w:left="0"/>
        <w:jc w:val="both"/>
        <w:rPr>
          <w:rFonts w:ascii="Arial" w:eastAsiaTheme="minorHAnsi" w:hAnsi="Arial" w:cs="Arial"/>
          <w:i/>
          <w:sz w:val="20"/>
          <w:szCs w:val="20"/>
        </w:rPr>
      </w:pPr>
    </w:p>
    <w:p w14:paraId="7F73EA79" w14:textId="77777777" w:rsidR="00247C3E" w:rsidRDefault="00247C3E" w:rsidP="00D847F2">
      <w:pPr>
        <w:pStyle w:val="Odstavekseznama"/>
        <w:ind w:left="0"/>
        <w:jc w:val="both"/>
        <w:rPr>
          <w:rFonts w:ascii="Arial" w:eastAsiaTheme="minorHAnsi" w:hAnsi="Arial" w:cs="Arial"/>
          <w:i/>
          <w:sz w:val="20"/>
          <w:szCs w:val="20"/>
        </w:rPr>
      </w:pPr>
    </w:p>
    <w:p w14:paraId="73FE621B" w14:textId="52BEDEBD" w:rsidR="00D847F2" w:rsidRDefault="00D847F2" w:rsidP="00D847F2">
      <w:pPr>
        <w:pStyle w:val="Odstavekseznama"/>
        <w:ind w:left="0"/>
        <w:jc w:val="both"/>
        <w:rPr>
          <w:rFonts w:ascii="Arial" w:eastAsiaTheme="minorHAnsi" w:hAnsi="Arial" w:cs="Arial"/>
          <w:i/>
          <w:sz w:val="20"/>
          <w:szCs w:val="20"/>
        </w:rPr>
      </w:pPr>
      <w:r>
        <w:rPr>
          <w:rFonts w:ascii="Arial" w:eastAsiaTheme="minorHAnsi" w:hAnsi="Arial" w:cs="Arial"/>
          <w:i/>
          <w:sz w:val="20"/>
          <w:szCs w:val="20"/>
        </w:rPr>
        <w:lastRenderedPageBreak/>
        <w:t>P</w:t>
      </w:r>
      <w:r w:rsidRPr="0031261F">
        <w:rPr>
          <w:rFonts w:ascii="Arial" w:eastAsiaTheme="minorHAnsi" w:hAnsi="Arial" w:cs="Arial"/>
          <w:i/>
          <w:sz w:val="20"/>
          <w:szCs w:val="20"/>
        </w:rPr>
        <w:t>reglednica 2</w:t>
      </w:r>
      <w:r>
        <w:rPr>
          <w:rFonts w:ascii="Arial" w:eastAsiaTheme="minorHAnsi" w:hAnsi="Arial" w:cs="Arial"/>
          <w:i/>
          <w:sz w:val="20"/>
          <w:szCs w:val="20"/>
        </w:rPr>
        <w:t>6</w:t>
      </w:r>
      <w:r w:rsidRPr="0031261F">
        <w:rPr>
          <w:rFonts w:ascii="Arial" w:eastAsiaTheme="minorHAnsi" w:hAnsi="Arial" w:cs="Arial"/>
          <w:i/>
          <w:sz w:val="20"/>
          <w:szCs w:val="20"/>
        </w:rPr>
        <w:t xml:space="preserve">: Uporaba posebnih institutov zoper davčne dolžnike </w:t>
      </w:r>
    </w:p>
    <w:p w14:paraId="01069ADA" w14:textId="77777777" w:rsidR="00D847F2" w:rsidRDefault="00D847F2" w:rsidP="00D847F2">
      <w:pPr>
        <w:pStyle w:val="Odstavekseznama"/>
        <w:ind w:left="0"/>
        <w:jc w:val="both"/>
        <w:rPr>
          <w:rFonts w:ascii="Arial" w:eastAsiaTheme="minorHAnsi" w:hAnsi="Arial" w:cs="Arial"/>
          <w:i/>
          <w:sz w:val="20"/>
          <w:szCs w:val="20"/>
        </w:rPr>
      </w:pPr>
    </w:p>
    <w:tbl>
      <w:tblPr>
        <w:tblW w:w="9556" w:type="dxa"/>
        <w:tblCellMar>
          <w:left w:w="70" w:type="dxa"/>
          <w:right w:w="70" w:type="dxa"/>
        </w:tblCellMar>
        <w:tblLook w:val="04A0" w:firstRow="1" w:lastRow="0" w:firstColumn="1" w:lastColumn="0" w:noHBand="0" w:noVBand="1"/>
      </w:tblPr>
      <w:tblGrid>
        <w:gridCol w:w="337"/>
        <w:gridCol w:w="2408"/>
        <w:gridCol w:w="1415"/>
        <w:gridCol w:w="601"/>
        <w:gridCol w:w="601"/>
        <w:gridCol w:w="601"/>
        <w:gridCol w:w="980"/>
        <w:gridCol w:w="619"/>
        <w:gridCol w:w="563"/>
        <w:gridCol w:w="430"/>
        <w:gridCol w:w="1001"/>
      </w:tblGrid>
      <w:tr w:rsidR="00D847F2" w:rsidRPr="00F43999" w14:paraId="39915C4E" w14:textId="77777777" w:rsidTr="00556699">
        <w:trPr>
          <w:trHeight w:val="151"/>
        </w:trPr>
        <w:tc>
          <w:tcPr>
            <w:tcW w:w="337" w:type="dxa"/>
            <w:tcBorders>
              <w:top w:val="single" w:sz="4" w:space="0" w:color="auto"/>
              <w:left w:val="single" w:sz="4" w:space="0" w:color="auto"/>
              <w:bottom w:val="single" w:sz="4" w:space="0" w:color="auto"/>
              <w:right w:val="single" w:sz="4" w:space="0" w:color="auto"/>
            </w:tcBorders>
            <w:shd w:val="clear" w:color="000000" w:fill="31869B"/>
            <w:vAlign w:val="center"/>
            <w:hideMark/>
          </w:tcPr>
          <w:p w14:paraId="756F462E" w14:textId="77777777" w:rsidR="00D847F2" w:rsidRPr="00F43999" w:rsidRDefault="00D847F2" w:rsidP="00556699">
            <w:pPr>
              <w:spacing w:line="240" w:lineRule="auto"/>
              <w:rPr>
                <w:rFonts w:ascii="Arial" w:eastAsia="Times New Roman" w:hAnsi="Arial" w:cs="Arial"/>
                <w:sz w:val="18"/>
                <w:szCs w:val="18"/>
                <w:lang w:eastAsia="sl-SI"/>
              </w:rPr>
            </w:pPr>
            <w:r w:rsidRPr="00F43999">
              <w:rPr>
                <w:rFonts w:ascii="Arial" w:eastAsia="Times New Roman" w:hAnsi="Arial" w:cs="Arial"/>
                <w:sz w:val="18"/>
                <w:szCs w:val="18"/>
                <w:lang w:eastAsia="sl-SI"/>
              </w:rPr>
              <w:t> </w:t>
            </w:r>
          </w:p>
        </w:tc>
        <w:tc>
          <w:tcPr>
            <w:tcW w:w="2408" w:type="dxa"/>
            <w:tcBorders>
              <w:top w:val="single" w:sz="4" w:space="0" w:color="auto"/>
              <w:left w:val="nil"/>
              <w:bottom w:val="single" w:sz="4" w:space="0" w:color="auto"/>
              <w:right w:val="single" w:sz="4" w:space="0" w:color="auto"/>
            </w:tcBorders>
            <w:shd w:val="clear" w:color="000000" w:fill="31869B"/>
            <w:vAlign w:val="center"/>
            <w:hideMark/>
          </w:tcPr>
          <w:p w14:paraId="48E43A43"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Institut</w:t>
            </w:r>
          </w:p>
        </w:tc>
        <w:tc>
          <w:tcPr>
            <w:tcW w:w="1414" w:type="dxa"/>
            <w:tcBorders>
              <w:top w:val="single" w:sz="4" w:space="0" w:color="auto"/>
              <w:left w:val="nil"/>
              <w:bottom w:val="single" w:sz="4" w:space="0" w:color="auto"/>
              <w:right w:val="single" w:sz="4" w:space="0" w:color="auto"/>
            </w:tcBorders>
            <w:shd w:val="clear" w:color="000000" w:fill="31869B"/>
            <w:vAlign w:val="center"/>
            <w:hideMark/>
          </w:tcPr>
          <w:p w14:paraId="769C02C4"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Podlaga</w:t>
            </w:r>
          </w:p>
        </w:tc>
        <w:tc>
          <w:tcPr>
            <w:tcW w:w="2784" w:type="dxa"/>
            <w:gridSpan w:val="4"/>
            <w:tcBorders>
              <w:top w:val="single" w:sz="8" w:space="0" w:color="auto"/>
              <w:left w:val="single" w:sz="8" w:space="0" w:color="auto"/>
              <w:bottom w:val="single" w:sz="4" w:space="0" w:color="auto"/>
              <w:right w:val="single" w:sz="8" w:space="0" w:color="000000"/>
            </w:tcBorders>
            <w:shd w:val="clear" w:color="000000" w:fill="31869B"/>
            <w:vAlign w:val="center"/>
            <w:hideMark/>
          </w:tcPr>
          <w:p w14:paraId="5A22FEA8"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2021</w:t>
            </w:r>
          </w:p>
        </w:tc>
        <w:tc>
          <w:tcPr>
            <w:tcW w:w="2613" w:type="dxa"/>
            <w:gridSpan w:val="4"/>
            <w:tcBorders>
              <w:top w:val="single" w:sz="8" w:space="0" w:color="auto"/>
              <w:left w:val="nil"/>
              <w:bottom w:val="single" w:sz="4" w:space="0" w:color="auto"/>
              <w:right w:val="single" w:sz="8" w:space="0" w:color="000000"/>
            </w:tcBorders>
            <w:shd w:val="clear" w:color="000000" w:fill="31869B"/>
            <w:vAlign w:val="center"/>
            <w:hideMark/>
          </w:tcPr>
          <w:p w14:paraId="0B904AC7"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2022</w:t>
            </w:r>
          </w:p>
        </w:tc>
      </w:tr>
      <w:tr w:rsidR="00D847F2" w:rsidRPr="00F43999" w14:paraId="13AA8C61" w14:textId="77777777" w:rsidTr="00556699">
        <w:trPr>
          <w:trHeight w:val="128"/>
        </w:trPr>
        <w:tc>
          <w:tcPr>
            <w:tcW w:w="337" w:type="dxa"/>
            <w:tcBorders>
              <w:top w:val="nil"/>
              <w:left w:val="single" w:sz="4" w:space="0" w:color="auto"/>
              <w:bottom w:val="single" w:sz="4" w:space="0" w:color="auto"/>
              <w:right w:val="single" w:sz="4" w:space="0" w:color="auto"/>
            </w:tcBorders>
            <w:shd w:val="clear" w:color="000000" w:fill="31869B"/>
            <w:vAlign w:val="center"/>
            <w:hideMark/>
          </w:tcPr>
          <w:p w14:paraId="188EF607"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 </w:t>
            </w:r>
          </w:p>
        </w:tc>
        <w:tc>
          <w:tcPr>
            <w:tcW w:w="2408" w:type="dxa"/>
            <w:tcBorders>
              <w:top w:val="nil"/>
              <w:left w:val="nil"/>
              <w:bottom w:val="single" w:sz="4" w:space="0" w:color="auto"/>
              <w:right w:val="single" w:sz="4" w:space="0" w:color="auto"/>
            </w:tcBorders>
            <w:shd w:val="clear" w:color="000000" w:fill="31869B"/>
            <w:vAlign w:val="center"/>
            <w:hideMark/>
          </w:tcPr>
          <w:p w14:paraId="3F812E47"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 </w:t>
            </w:r>
          </w:p>
        </w:tc>
        <w:tc>
          <w:tcPr>
            <w:tcW w:w="1414" w:type="dxa"/>
            <w:tcBorders>
              <w:top w:val="nil"/>
              <w:left w:val="nil"/>
              <w:bottom w:val="single" w:sz="4" w:space="0" w:color="auto"/>
              <w:right w:val="single" w:sz="4" w:space="0" w:color="auto"/>
            </w:tcBorders>
            <w:shd w:val="clear" w:color="000000" w:fill="31869B"/>
            <w:vAlign w:val="center"/>
            <w:hideMark/>
          </w:tcPr>
          <w:p w14:paraId="59D93B6C"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 </w:t>
            </w:r>
          </w:p>
        </w:tc>
        <w:tc>
          <w:tcPr>
            <w:tcW w:w="601" w:type="dxa"/>
            <w:tcBorders>
              <w:top w:val="nil"/>
              <w:left w:val="single" w:sz="8" w:space="0" w:color="auto"/>
              <w:bottom w:val="single" w:sz="4" w:space="0" w:color="auto"/>
              <w:right w:val="single" w:sz="4" w:space="0" w:color="auto"/>
            </w:tcBorders>
            <w:shd w:val="clear" w:color="000000" w:fill="31869B"/>
            <w:vAlign w:val="center"/>
            <w:hideMark/>
          </w:tcPr>
          <w:p w14:paraId="7DC99212"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w:t>
            </w:r>
          </w:p>
        </w:tc>
        <w:tc>
          <w:tcPr>
            <w:tcW w:w="601" w:type="dxa"/>
            <w:tcBorders>
              <w:top w:val="nil"/>
              <w:left w:val="nil"/>
              <w:bottom w:val="single" w:sz="4" w:space="0" w:color="auto"/>
              <w:right w:val="single" w:sz="4" w:space="0" w:color="auto"/>
            </w:tcBorders>
            <w:shd w:val="clear" w:color="000000" w:fill="31869B"/>
            <w:vAlign w:val="center"/>
            <w:hideMark/>
          </w:tcPr>
          <w:p w14:paraId="38F5B5B3"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w:t>
            </w:r>
          </w:p>
        </w:tc>
        <w:tc>
          <w:tcPr>
            <w:tcW w:w="601" w:type="dxa"/>
            <w:tcBorders>
              <w:top w:val="nil"/>
              <w:left w:val="nil"/>
              <w:bottom w:val="single" w:sz="4" w:space="0" w:color="auto"/>
              <w:right w:val="single" w:sz="4" w:space="0" w:color="auto"/>
            </w:tcBorders>
            <w:shd w:val="clear" w:color="000000" w:fill="31869B"/>
            <w:vAlign w:val="center"/>
            <w:hideMark/>
          </w:tcPr>
          <w:p w14:paraId="454862ED"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3</w:t>
            </w:r>
          </w:p>
        </w:tc>
        <w:tc>
          <w:tcPr>
            <w:tcW w:w="978" w:type="dxa"/>
            <w:tcBorders>
              <w:top w:val="nil"/>
              <w:left w:val="nil"/>
              <w:bottom w:val="single" w:sz="4" w:space="0" w:color="auto"/>
              <w:right w:val="single" w:sz="8" w:space="0" w:color="auto"/>
            </w:tcBorders>
            <w:shd w:val="clear" w:color="000000" w:fill="31869B"/>
            <w:vAlign w:val="center"/>
            <w:hideMark/>
          </w:tcPr>
          <w:p w14:paraId="05080235"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4</w:t>
            </w:r>
          </w:p>
        </w:tc>
        <w:tc>
          <w:tcPr>
            <w:tcW w:w="619" w:type="dxa"/>
            <w:tcBorders>
              <w:top w:val="nil"/>
              <w:left w:val="nil"/>
              <w:bottom w:val="single" w:sz="4" w:space="0" w:color="auto"/>
              <w:right w:val="single" w:sz="4" w:space="0" w:color="auto"/>
            </w:tcBorders>
            <w:shd w:val="clear" w:color="000000" w:fill="31869B"/>
            <w:vAlign w:val="center"/>
            <w:hideMark/>
          </w:tcPr>
          <w:p w14:paraId="1F495225"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w:t>
            </w:r>
          </w:p>
        </w:tc>
        <w:tc>
          <w:tcPr>
            <w:tcW w:w="563" w:type="dxa"/>
            <w:tcBorders>
              <w:top w:val="nil"/>
              <w:left w:val="nil"/>
              <w:bottom w:val="single" w:sz="4" w:space="0" w:color="auto"/>
              <w:right w:val="single" w:sz="4" w:space="0" w:color="auto"/>
            </w:tcBorders>
            <w:shd w:val="clear" w:color="000000" w:fill="31869B"/>
            <w:vAlign w:val="center"/>
            <w:hideMark/>
          </w:tcPr>
          <w:p w14:paraId="5AE11355"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w:t>
            </w:r>
          </w:p>
        </w:tc>
        <w:tc>
          <w:tcPr>
            <w:tcW w:w="430" w:type="dxa"/>
            <w:tcBorders>
              <w:top w:val="nil"/>
              <w:left w:val="nil"/>
              <w:bottom w:val="single" w:sz="4" w:space="0" w:color="auto"/>
              <w:right w:val="single" w:sz="4" w:space="0" w:color="auto"/>
            </w:tcBorders>
            <w:shd w:val="clear" w:color="000000" w:fill="31869B"/>
            <w:vAlign w:val="center"/>
            <w:hideMark/>
          </w:tcPr>
          <w:p w14:paraId="07AF7F12"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3</w:t>
            </w:r>
          </w:p>
        </w:tc>
        <w:tc>
          <w:tcPr>
            <w:tcW w:w="999" w:type="dxa"/>
            <w:tcBorders>
              <w:top w:val="nil"/>
              <w:left w:val="nil"/>
              <w:bottom w:val="single" w:sz="4" w:space="0" w:color="auto"/>
              <w:right w:val="single" w:sz="8" w:space="0" w:color="auto"/>
            </w:tcBorders>
            <w:shd w:val="clear" w:color="000000" w:fill="31869B"/>
            <w:vAlign w:val="center"/>
            <w:hideMark/>
          </w:tcPr>
          <w:p w14:paraId="72AA8B2F"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4</w:t>
            </w:r>
          </w:p>
        </w:tc>
      </w:tr>
      <w:tr w:rsidR="00D847F2" w:rsidRPr="00F43999" w14:paraId="58DA367E" w14:textId="77777777" w:rsidTr="00556699">
        <w:trPr>
          <w:trHeight w:val="262"/>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10D813EC"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1</w:t>
            </w:r>
          </w:p>
        </w:tc>
        <w:tc>
          <w:tcPr>
            <w:tcW w:w="2408" w:type="dxa"/>
            <w:tcBorders>
              <w:top w:val="nil"/>
              <w:left w:val="nil"/>
              <w:bottom w:val="single" w:sz="4" w:space="0" w:color="auto"/>
              <w:right w:val="single" w:sz="4" w:space="0" w:color="auto"/>
            </w:tcBorders>
            <w:shd w:val="clear" w:color="auto" w:fill="auto"/>
            <w:vAlign w:val="center"/>
            <w:hideMark/>
          </w:tcPr>
          <w:p w14:paraId="4C80FE6E" w14:textId="77777777" w:rsidR="00D847F2" w:rsidRPr="00F43999" w:rsidRDefault="00D847F2" w:rsidP="00556699">
            <w:pPr>
              <w:spacing w:line="240" w:lineRule="auto"/>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Izvršba na podlagi poroštva</w:t>
            </w:r>
          </w:p>
        </w:tc>
        <w:tc>
          <w:tcPr>
            <w:tcW w:w="1414" w:type="dxa"/>
            <w:tcBorders>
              <w:top w:val="nil"/>
              <w:left w:val="nil"/>
              <w:bottom w:val="single" w:sz="4" w:space="0" w:color="auto"/>
              <w:right w:val="single" w:sz="4" w:space="0" w:color="auto"/>
            </w:tcBorders>
            <w:shd w:val="clear" w:color="auto" w:fill="auto"/>
            <w:vAlign w:val="center"/>
            <w:hideMark/>
          </w:tcPr>
          <w:p w14:paraId="0BAD968F"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148/1 čl. ZDavP-2</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1D75A233"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21</w:t>
            </w:r>
          </w:p>
        </w:tc>
        <w:tc>
          <w:tcPr>
            <w:tcW w:w="601" w:type="dxa"/>
            <w:tcBorders>
              <w:top w:val="nil"/>
              <w:left w:val="nil"/>
              <w:bottom w:val="single" w:sz="4" w:space="0" w:color="auto"/>
              <w:right w:val="single" w:sz="4" w:space="0" w:color="auto"/>
            </w:tcBorders>
            <w:shd w:val="clear" w:color="000000" w:fill="DAEEF3"/>
            <w:vAlign w:val="center"/>
            <w:hideMark/>
          </w:tcPr>
          <w:p w14:paraId="44DC457C"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5</w:t>
            </w:r>
          </w:p>
        </w:tc>
        <w:tc>
          <w:tcPr>
            <w:tcW w:w="601" w:type="dxa"/>
            <w:tcBorders>
              <w:top w:val="nil"/>
              <w:left w:val="nil"/>
              <w:bottom w:val="single" w:sz="4" w:space="0" w:color="auto"/>
              <w:right w:val="single" w:sz="4" w:space="0" w:color="auto"/>
            </w:tcBorders>
            <w:shd w:val="clear" w:color="auto" w:fill="auto"/>
            <w:vAlign w:val="center"/>
            <w:hideMark/>
          </w:tcPr>
          <w:p w14:paraId="51628069"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78" w:type="dxa"/>
            <w:tcBorders>
              <w:top w:val="nil"/>
              <w:left w:val="nil"/>
              <w:bottom w:val="single" w:sz="4" w:space="0" w:color="auto"/>
              <w:right w:val="single" w:sz="8" w:space="0" w:color="auto"/>
            </w:tcBorders>
            <w:shd w:val="clear" w:color="auto" w:fill="auto"/>
            <w:vAlign w:val="center"/>
            <w:hideMark/>
          </w:tcPr>
          <w:p w14:paraId="4AE5183B"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99.621</w:t>
            </w:r>
          </w:p>
        </w:tc>
        <w:tc>
          <w:tcPr>
            <w:tcW w:w="619" w:type="dxa"/>
            <w:tcBorders>
              <w:top w:val="nil"/>
              <w:left w:val="nil"/>
              <w:bottom w:val="single" w:sz="4" w:space="0" w:color="auto"/>
              <w:right w:val="single" w:sz="4" w:space="0" w:color="auto"/>
            </w:tcBorders>
            <w:shd w:val="clear" w:color="auto" w:fill="auto"/>
            <w:vAlign w:val="center"/>
            <w:hideMark/>
          </w:tcPr>
          <w:p w14:paraId="51DF7257"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24</w:t>
            </w:r>
          </w:p>
        </w:tc>
        <w:tc>
          <w:tcPr>
            <w:tcW w:w="563" w:type="dxa"/>
            <w:tcBorders>
              <w:top w:val="nil"/>
              <w:left w:val="nil"/>
              <w:bottom w:val="single" w:sz="4" w:space="0" w:color="auto"/>
              <w:right w:val="single" w:sz="4" w:space="0" w:color="auto"/>
            </w:tcBorders>
            <w:shd w:val="clear" w:color="000000" w:fill="DAEEF3"/>
            <w:vAlign w:val="center"/>
            <w:hideMark/>
          </w:tcPr>
          <w:p w14:paraId="04324475"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11</w:t>
            </w:r>
          </w:p>
        </w:tc>
        <w:tc>
          <w:tcPr>
            <w:tcW w:w="430" w:type="dxa"/>
            <w:tcBorders>
              <w:top w:val="nil"/>
              <w:left w:val="nil"/>
              <w:bottom w:val="single" w:sz="4" w:space="0" w:color="auto"/>
              <w:right w:val="single" w:sz="4" w:space="0" w:color="auto"/>
            </w:tcBorders>
            <w:shd w:val="clear" w:color="auto" w:fill="auto"/>
            <w:vAlign w:val="center"/>
            <w:hideMark/>
          </w:tcPr>
          <w:p w14:paraId="1778EF9C"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11</w:t>
            </w:r>
          </w:p>
        </w:tc>
        <w:tc>
          <w:tcPr>
            <w:tcW w:w="999" w:type="dxa"/>
            <w:tcBorders>
              <w:top w:val="nil"/>
              <w:left w:val="nil"/>
              <w:bottom w:val="single" w:sz="4" w:space="0" w:color="auto"/>
              <w:right w:val="single" w:sz="8" w:space="0" w:color="auto"/>
            </w:tcBorders>
            <w:shd w:val="clear" w:color="auto" w:fill="auto"/>
            <w:vAlign w:val="center"/>
            <w:hideMark/>
          </w:tcPr>
          <w:p w14:paraId="158CE281"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1.063.328</w:t>
            </w:r>
          </w:p>
        </w:tc>
      </w:tr>
      <w:tr w:rsidR="00D847F2" w:rsidRPr="00F43999" w14:paraId="238A7D45" w14:textId="77777777" w:rsidTr="00556699">
        <w:trPr>
          <w:trHeight w:val="453"/>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4669727D"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2</w:t>
            </w:r>
          </w:p>
        </w:tc>
        <w:tc>
          <w:tcPr>
            <w:tcW w:w="2408" w:type="dxa"/>
            <w:tcBorders>
              <w:top w:val="nil"/>
              <w:left w:val="nil"/>
              <w:bottom w:val="single" w:sz="4" w:space="0" w:color="auto"/>
              <w:right w:val="single" w:sz="4" w:space="0" w:color="auto"/>
            </w:tcBorders>
            <w:shd w:val="clear" w:color="auto" w:fill="auto"/>
            <w:vAlign w:val="center"/>
            <w:hideMark/>
          </w:tcPr>
          <w:p w14:paraId="565A02C5" w14:textId="77777777" w:rsidR="00D847F2" w:rsidRPr="00F43999" w:rsidRDefault="00D847F2" w:rsidP="00556699">
            <w:pPr>
              <w:spacing w:line="240" w:lineRule="auto"/>
              <w:rPr>
                <w:rFonts w:ascii="Arial" w:eastAsia="Times New Roman" w:hAnsi="Arial" w:cs="Arial"/>
                <w:color w:val="000000"/>
                <w:sz w:val="18"/>
                <w:szCs w:val="18"/>
                <w:lang w:eastAsia="sl-SI"/>
              </w:rPr>
            </w:pPr>
            <w:bookmarkStart w:id="29" w:name="_Hlk129344147"/>
            <w:r w:rsidRPr="00F43999">
              <w:rPr>
                <w:rFonts w:ascii="Arial" w:eastAsia="Times New Roman" w:hAnsi="Arial" w:cs="Arial"/>
                <w:color w:val="000000"/>
                <w:sz w:val="18"/>
                <w:szCs w:val="18"/>
                <w:lang w:eastAsia="sl-SI"/>
              </w:rPr>
              <w:t>Uveljavljanje odškodninske odgovornosti članov poslovodstva in nadzornega sveta družbe v stečajnem postopku</w:t>
            </w:r>
            <w:bookmarkEnd w:id="29"/>
          </w:p>
        </w:tc>
        <w:tc>
          <w:tcPr>
            <w:tcW w:w="1414" w:type="dxa"/>
            <w:tcBorders>
              <w:top w:val="nil"/>
              <w:left w:val="nil"/>
              <w:bottom w:val="single" w:sz="4" w:space="0" w:color="auto"/>
              <w:right w:val="single" w:sz="4" w:space="0" w:color="auto"/>
            </w:tcBorders>
            <w:shd w:val="clear" w:color="auto" w:fill="auto"/>
            <w:vAlign w:val="center"/>
            <w:hideMark/>
          </w:tcPr>
          <w:p w14:paraId="562925D8"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42. čl. ZFPPIPP</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039DA6FD"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601" w:type="dxa"/>
            <w:tcBorders>
              <w:top w:val="nil"/>
              <w:left w:val="nil"/>
              <w:bottom w:val="single" w:sz="4" w:space="0" w:color="auto"/>
              <w:right w:val="single" w:sz="4" w:space="0" w:color="auto"/>
            </w:tcBorders>
            <w:shd w:val="clear" w:color="000000" w:fill="DAEEF3"/>
            <w:vAlign w:val="center"/>
            <w:hideMark/>
          </w:tcPr>
          <w:p w14:paraId="521BF161"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w:t>
            </w:r>
          </w:p>
        </w:tc>
        <w:tc>
          <w:tcPr>
            <w:tcW w:w="601" w:type="dxa"/>
            <w:tcBorders>
              <w:top w:val="nil"/>
              <w:left w:val="nil"/>
              <w:bottom w:val="single" w:sz="4" w:space="0" w:color="auto"/>
              <w:right w:val="single" w:sz="4" w:space="0" w:color="auto"/>
            </w:tcBorders>
            <w:shd w:val="clear" w:color="auto" w:fill="auto"/>
            <w:vAlign w:val="center"/>
            <w:hideMark/>
          </w:tcPr>
          <w:p w14:paraId="1507FC4B"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78" w:type="dxa"/>
            <w:tcBorders>
              <w:top w:val="nil"/>
              <w:left w:val="nil"/>
              <w:bottom w:val="single" w:sz="4" w:space="0" w:color="auto"/>
              <w:right w:val="single" w:sz="8" w:space="0" w:color="auto"/>
            </w:tcBorders>
            <w:shd w:val="clear" w:color="auto" w:fill="auto"/>
            <w:vAlign w:val="center"/>
            <w:hideMark/>
          </w:tcPr>
          <w:p w14:paraId="6E668BDB"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35.000</w:t>
            </w:r>
          </w:p>
        </w:tc>
        <w:tc>
          <w:tcPr>
            <w:tcW w:w="619" w:type="dxa"/>
            <w:tcBorders>
              <w:top w:val="nil"/>
              <w:left w:val="nil"/>
              <w:bottom w:val="single" w:sz="4" w:space="0" w:color="auto"/>
              <w:right w:val="single" w:sz="4" w:space="0" w:color="auto"/>
            </w:tcBorders>
            <w:shd w:val="clear" w:color="auto" w:fill="auto"/>
            <w:vAlign w:val="center"/>
            <w:hideMark/>
          </w:tcPr>
          <w:p w14:paraId="6F103CC1"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3</w:t>
            </w:r>
          </w:p>
        </w:tc>
        <w:tc>
          <w:tcPr>
            <w:tcW w:w="563" w:type="dxa"/>
            <w:tcBorders>
              <w:top w:val="nil"/>
              <w:left w:val="nil"/>
              <w:bottom w:val="single" w:sz="4" w:space="0" w:color="auto"/>
              <w:right w:val="single" w:sz="4" w:space="0" w:color="auto"/>
            </w:tcBorders>
            <w:shd w:val="clear" w:color="000000" w:fill="DAEEF3"/>
            <w:vAlign w:val="center"/>
            <w:hideMark/>
          </w:tcPr>
          <w:p w14:paraId="5CF79D0A"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w:t>
            </w:r>
          </w:p>
        </w:tc>
        <w:tc>
          <w:tcPr>
            <w:tcW w:w="430" w:type="dxa"/>
            <w:tcBorders>
              <w:top w:val="nil"/>
              <w:left w:val="nil"/>
              <w:bottom w:val="single" w:sz="4" w:space="0" w:color="auto"/>
              <w:right w:val="single" w:sz="4" w:space="0" w:color="auto"/>
            </w:tcBorders>
            <w:shd w:val="clear" w:color="auto" w:fill="auto"/>
            <w:vAlign w:val="center"/>
            <w:hideMark/>
          </w:tcPr>
          <w:p w14:paraId="22507C40"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99" w:type="dxa"/>
            <w:tcBorders>
              <w:top w:val="nil"/>
              <w:left w:val="nil"/>
              <w:bottom w:val="single" w:sz="4" w:space="0" w:color="auto"/>
              <w:right w:val="single" w:sz="8" w:space="0" w:color="auto"/>
            </w:tcBorders>
            <w:shd w:val="clear" w:color="auto" w:fill="auto"/>
            <w:vAlign w:val="center"/>
            <w:hideMark/>
          </w:tcPr>
          <w:p w14:paraId="04BB6125"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7.035</w:t>
            </w:r>
          </w:p>
        </w:tc>
      </w:tr>
      <w:tr w:rsidR="00D847F2" w:rsidRPr="00F43999" w14:paraId="26F0B7EB" w14:textId="77777777" w:rsidTr="00556699">
        <w:trPr>
          <w:trHeight w:val="377"/>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12F475B8"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3</w:t>
            </w:r>
          </w:p>
        </w:tc>
        <w:tc>
          <w:tcPr>
            <w:tcW w:w="2408" w:type="dxa"/>
            <w:tcBorders>
              <w:top w:val="nil"/>
              <w:left w:val="nil"/>
              <w:bottom w:val="single" w:sz="4" w:space="0" w:color="auto"/>
              <w:right w:val="single" w:sz="4" w:space="0" w:color="auto"/>
            </w:tcBorders>
            <w:shd w:val="clear" w:color="auto" w:fill="auto"/>
            <w:vAlign w:val="center"/>
            <w:hideMark/>
          </w:tcPr>
          <w:p w14:paraId="4754C96B" w14:textId="77777777" w:rsidR="00D847F2" w:rsidRPr="00F43999" w:rsidRDefault="00D847F2" w:rsidP="00556699">
            <w:pPr>
              <w:spacing w:line="240" w:lineRule="auto"/>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Uveljavljanje odškodninske odgovornosti članov poslovodstva ali organa izbrisane pravne osebe</w:t>
            </w:r>
          </w:p>
        </w:tc>
        <w:tc>
          <w:tcPr>
            <w:tcW w:w="1414" w:type="dxa"/>
            <w:tcBorders>
              <w:top w:val="nil"/>
              <w:left w:val="nil"/>
              <w:bottom w:val="single" w:sz="4" w:space="0" w:color="auto"/>
              <w:right w:val="single" w:sz="4" w:space="0" w:color="auto"/>
            </w:tcBorders>
            <w:shd w:val="clear" w:color="auto" w:fill="auto"/>
            <w:vAlign w:val="center"/>
            <w:hideMark/>
          </w:tcPr>
          <w:p w14:paraId="1ABFE2D8" w14:textId="0F10FF78"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442. čl.</w:t>
            </w:r>
            <w:r w:rsidR="00992912">
              <w:rPr>
                <w:rFonts w:ascii="Arial" w:eastAsia="Times New Roman" w:hAnsi="Arial" w:cs="Arial"/>
                <w:color w:val="000000"/>
                <w:sz w:val="18"/>
                <w:szCs w:val="18"/>
                <w:lang w:eastAsia="sl-SI"/>
              </w:rPr>
              <w:t xml:space="preserve"> </w:t>
            </w:r>
            <w:r w:rsidRPr="00F43999">
              <w:rPr>
                <w:rFonts w:ascii="Arial" w:eastAsia="Times New Roman" w:hAnsi="Arial" w:cs="Arial"/>
                <w:color w:val="000000"/>
                <w:sz w:val="18"/>
                <w:szCs w:val="18"/>
                <w:lang w:eastAsia="sl-SI"/>
              </w:rPr>
              <w:t>v povezavi z 42. čl. ZFPPIPP</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4E6E2B32"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601" w:type="dxa"/>
            <w:tcBorders>
              <w:top w:val="nil"/>
              <w:left w:val="nil"/>
              <w:bottom w:val="single" w:sz="4" w:space="0" w:color="auto"/>
              <w:right w:val="single" w:sz="4" w:space="0" w:color="auto"/>
            </w:tcBorders>
            <w:shd w:val="clear" w:color="000000" w:fill="DAEEF3"/>
            <w:vAlign w:val="center"/>
            <w:hideMark/>
          </w:tcPr>
          <w:p w14:paraId="737BF5E0"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601" w:type="dxa"/>
            <w:tcBorders>
              <w:top w:val="nil"/>
              <w:left w:val="nil"/>
              <w:bottom w:val="single" w:sz="4" w:space="0" w:color="auto"/>
              <w:right w:val="single" w:sz="4" w:space="0" w:color="auto"/>
            </w:tcBorders>
            <w:shd w:val="clear" w:color="auto" w:fill="auto"/>
            <w:vAlign w:val="center"/>
            <w:hideMark/>
          </w:tcPr>
          <w:p w14:paraId="759494F9"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78" w:type="dxa"/>
            <w:tcBorders>
              <w:top w:val="nil"/>
              <w:left w:val="nil"/>
              <w:bottom w:val="single" w:sz="4" w:space="0" w:color="auto"/>
              <w:right w:val="single" w:sz="8" w:space="0" w:color="auto"/>
            </w:tcBorders>
            <w:shd w:val="clear" w:color="auto" w:fill="auto"/>
            <w:vAlign w:val="center"/>
            <w:hideMark/>
          </w:tcPr>
          <w:p w14:paraId="6024055F"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619" w:type="dxa"/>
            <w:tcBorders>
              <w:top w:val="nil"/>
              <w:left w:val="nil"/>
              <w:bottom w:val="single" w:sz="4" w:space="0" w:color="auto"/>
              <w:right w:val="single" w:sz="4" w:space="0" w:color="auto"/>
            </w:tcBorders>
            <w:shd w:val="clear" w:color="auto" w:fill="auto"/>
            <w:vAlign w:val="center"/>
            <w:hideMark/>
          </w:tcPr>
          <w:p w14:paraId="60EF0386"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563" w:type="dxa"/>
            <w:tcBorders>
              <w:top w:val="nil"/>
              <w:left w:val="nil"/>
              <w:bottom w:val="single" w:sz="4" w:space="0" w:color="auto"/>
              <w:right w:val="single" w:sz="4" w:space="0" w:color="auto"/>
            </w:tcBorders>
            <w:shd w:val="clear" w:color="000000" w:fill="DAEEF3"/>
            <w:vAlign w:val="center"/>
            <w:hideMark/>
          </w:tcPr>
          <w:p w14:paraId="4C6708BD"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430" w:type="dxa"/>
            <w:tcBorders>
              <w:top w:val="nil"/>
              <w:left w:val="nil"/>
              <w:bottom w:val="single" w:sz="4" w:space="0" w:color="auto"/>
              <w:right w:val="single" w:sz="4" w:space="0" w:color="auto"/>
            </w:tcBorders>
            <w:shd w:val="clear" w:color="auto" w:fill="auto"/>
            <w:vAlign w:val="center"/>
            <w:hideMark/>
          </w:tcPr>
          <w:p w14:paraId="27C72B6E"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99" w:type="dxa"/>
            <w:tcBorders>
              <w:top w:val="nil"/>
              <w:left w:val="nil"/>
              <w:bottom w:val="single" w:sz="4" w:space="0" w:color="auto"/>
              <w:right w:val="single" w:sz="8" w:space="0" w:color="auto"/>
            </w:tcBorders>
            <w:shd w:val="clear" w:color="auto" w:fill="auto"/>
            <w:vAlign w:val="center"/>
            <w:hideMark/>
          </w:tcPr>
          <w:p w14:paraId="1ED9DC9A"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r>
      <w:tr w:rsidR="00D847F2" w:rsidRPr="00F43999" w14:paraId="5D61548D" w14:textId="77777777" w:rsidTr="00556699">
        <w:trPr>
          <w:trHeight w:val="406"/>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7BCC8025"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4</w:t>
            </w:r>
          </w:p>
        </w:tc>
        <w:tc>
          <w:tcPr>
            <w:tcW w:w="2408" w:type="dxa"/>
            <w:tcBorders>
              <w:top w:val="nil"/>
              <w:left w:val="nil"/>
              <w:bottom w:val="single" w:sz="4" w:space="0" w:color="auto"/>
              <w:right w:val="single" w:sz="4" w:space="0" w:color="auto"/>
            </w:tcBorders>
            <w:shd w:val="clear" w:color="auto" w:fill="auto"/>
            <w:vAlign w:val="center"/>
            <w:hideMark/>
          </w:tcPr>
          <w:p w14:paraId="6F5CFA1C" w14:textId="77777777" w:rsidR="00D847F2" w:rsidRPr="00F43999" w:rsidRDefault="00D847F2" w:rsidP="00556699">
            <w:pPr>
              <w:spacing w:line="240" w:lineRule="auto"/>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 xml:space="preserve">Vložitev izpodbojne tožbe </w:t>
            </w:r>
          </w:p>
        </w:tc>
        <w:tc>
          <w:tcPr>
            <w:tcW w:w="1414" w:type="dxa"/>
            <w:tcBorders>
              <w:top w:val="nil"/>
              <w:left w:val="nil"/>
              <w:bottom w:val="single" w:sz="4" w:space="0" w:color="auto"/>
              <w:right w:val="single" w:sz="4" w:space="0" w:color="auto"/>
            </w:tcBorders>
            <w:shd w:val="clear" w:color="auto" w:fill="auto"/>
            <w:vAlign w:val="center"/>
            <w:hideMark/>
          </w:tcPr>
          <w:p w14:paraId="5CF3E8F3" w14:textId="1A2551EC" w:rsidR="00D847F2" w:rsidRPr="00F43999" w:rsidRDefault="00D847F2" w:rsidP="00F3582A">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 xml:space="preserve">255. čl. OZ v povezavi </w:t>
            </w:r>
            <w:r w:rsidR="00F3582A">
              <w:rPr>
                <w:rFonts w:ascii="Arial" w:eastAsia="Times New Roman" w:hAnsi="Arial" w:cs="Arial"/>
                <w:color w:val="000000"/>
                <w:sz w:val="18"/>
                <w:szCs w:val="18"/>
                <w:lang w:eastAsia="sl-SI"/>
              </w:rPr>
              <w:t>s</w:t>
            </w:r>
            <w:r w:rsidRPr="00F43999">
              <w:rPr>
                <w:rFonts w:ascii="Arial" w:eastAsia="Times New Roman" w:hAnsi="Arial" w:cs="Arial"/>
                <w:color w:val="000000"/>
                <w:sz w:val="18"/>
                <w:szCs w:val="18"/>
                <w:lang w:eastAsia="sl-SI"/>
              </w:rPr>
              <w:t xml:space="preserve"> 148/5 ZDavP-2 in 269. čl. ZFPPIPP</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143C97F5"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5</w:t>
            </w:r>
          </w:p>
        </w:tc>
        <w:tc>
          <w:tcPr>
            <w:tcW w:w="601" w:type="dxa"/>
            <w:tcBorders>
              <w:top w:val="nil"/>
              <w:left w:val="nil"/>
              <w:bottom w:val="single" w:sz="4" w:space="0" w:color="auto"/>
              <w:right w:val="single" w:sz="4" w:space="0" w:color="auto"/>
            </w:tcBorders>
            <w:shd w:val="clear" w:color="000000" w:fill="DAEEF3"/>
            <w:vAlign w:val="center"/>
            <w:hideMark/>
          </w:tcPr>
          <w:p w14:paraId="739E5822"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6</w:t>
            </w:r>
          </w:p>
        </w:tc>
        <w:tc>
          <w:tcPr>
            <w:tcW w:w="601" w:type="dxa"/>
            <w:tcBorders>
              <w:top w:val="nil"/>
              <w:left w:val="nil"/>
              <w:bottom w:val="single" w:sz="4" w:space="0" w:color="auto"/>
              <w:right w:val="single" w:sz="4" w:space="0" w:color="auto"/>
            </w:tcBorders>
            <w:shd w:val="clear" w:color="auto" w:fill="auto"/>
            <w:vAlign w:val="center"/>
            <w:hideMark/>
          </w:tcPr>
          <w:p w14:paraId="1CA81128"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978" w:type="dxa"/>
            <w:tcBorders>
              <w:top w:val="nil"/>
              <w:left w:val="nil"/>
              <w:bottom w:val="single" w:sz="4" w:space="0" w:color="auto"/>
              <w:right w:val="single" w:sz="8" w:space="0" w:color="auto"/>
            </w:tcBorders>
            <w:shd w:val="clear" w:color="auto" w:fill="auto"/>
            <w:vAlign w:val="center"/>
            <w:hideMark/>
          </w:tcPr>
          <w:p w14:paraId="76A6E84C"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28.549</w:t>
            </w:r>
          </w:p>
        </w:tc>
        <w:tc>
          <w:tcPr>
            <w:tcW w:w="619" w:type="dxa"/>
            <w:tcBorders>
              <w:top w:val="nil"/>
              <w:left w:val="nil"/>
              <w:bottom w:val="single" w:sz="4" w:space="0" w:color="auto"/>
              <w:right w:val="single" w:sz="4" w:space="0" w:color="auto"/>
            </w:tcBorders>
            <w:shd w:val="clear" w:color="auto" w:fill="auto"/>
            <w:vAlign w:val="center"/>
            <w:hideMark/>
          </w:tcPr>
          <w:p w14:paraId="7C2A915C"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6</w:t>
            </w:r>
          </w:p>
        </w:tc>
        <w:tc>
          <w:tcPr>
            <w:tcW w:w="563" w:type="dxa"/>
            <w:tcBorders>
              <w:top w:val="nil"/>
              <w:left w:val="nil"/>
              <w:bottom w:val="single" w:sz="4" w:space="0" w:color="auto"/>
              <w:right w:val="single" w:sz="4" w:space="0" w:color="auto"/>
            </w:tcBorders>
            <w:shd w:val="clear" w:color="000000" w:fill="DAEEF3"/>
            <w:vAlign w:val="center"/>
            <w:hideMark/>
          </w:tcPr>
          <w:p w14:paraId="08176A0A"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w:t>
            </w:r>
          </w:p>
        </w:tc>
        <w:tc>
          <w:tcPr>
            <w:tcW w:w="430" w:type="dxa"/>
            <w:tcBorders>
              <w:top w:val="nil"/>
              <w:left w:val="nil"/>
              <w:bottom w:val="single" w:sz="4" w:space="0" w:color="auto"/>
              <w:right w:val="single" w:sz="4" w:space="0" w:color="auto"/>
            </w:tcBorders>
            <w:shd w:val="clear" w:color="auto" w:fill="auto"/>
            <w:vAlign w:val="center"/>
            <w:hideMark/>
          </w:tcPr>
          <w:p w14:paraId="054BBF9A"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999" w:type="dxa"/>
            <w:tcBorders>
              <w:top w:val="nil"/>
              <w:left w:val="nil"/>
              <w:bottom w:val="single" w:sz="4" w:space="0" w:color="auto"/>
              <w:right w:val="single" w:sz="8" w:space="0" w:color="auto"/>
            </w:tcBorders>
            <w:shd w:val="clear" w:color="auto" w:fill="auto"/>
            <w:vAlign w:val="center"/>
            <w:hideMark/>
          </w:tcPr>
          <w:p w14:paraId="460232BD"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44.422</w:t>
            </w:r>
          </w:p>
        </w:tc>
      </w:tr>
      <w:tr w:rsidR="00D847F2" w:rsidRPr="00F43999" w14:paraId="55FEF6FE" w14:textId="77777777" w:rsidTr="00556699">
        <w:trPr>
          <w:trHeight w:val="151"/>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79F58188"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5</w:t>
            </w:r>
          </w:p>
        </w:tc>
        <w:tc>
          <w:tcPr>
            <w:tcW w:w="2408" w:type="dxa"/>
            <w:tcBorders>
              <w:top w:val="nil"/>
              <w:left w:val="nil"/>
              <w:bottom w:val="single" w:sz="4" w:space="0" w:color="auto"/>
              <w:right w:val="single" w:sz="4" w:space="0" w:color="auto"/>
            </w:tcBorders>
            <w:shd w:val="clear" w:color="auto" w:fill="auto"/>
            <w:vAlign w:val="center"/>
            <w:hideMark/>
          </w:tcPr>
          <w:p w14:paraId="5A773637" w14:textId="77777777" w:rsidR="00D847F2" w:rsidRPr="00F43999" w:rsidRDefault="00D847F2" w:rsidP="00556699">
            <w:pPr>
              <w:spacing w:line="240" w:lineRule="auto"/>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Spregled pravne osebnosti</w:t>
            </w:r>
          </w:p>
        </w:tc>
        <w:tc>
          <w:tcPr>
            <w:tcW w:w="1414" w:type="dxa"/>
            <w:tcBorders>
              <w:top w:val="nil"/>
              <w:left w:val="nil"/>
              <w:bottom w:val="single" w:sz="4" w:space="0" w:color="auto"/>
              <w:right w:val="single" w:sz="4" w:space="0" w:color="auto"/>
            </w:tcBorders>
            <w:shd w:val="clear" w:color="auto" w:fill="auto"/>
            <w:vAlign w:val="center"/>
            <w:hideMark/>
          </w:tcPr>
          <w:p w14:paraId="2A67C6E8"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8. čl. ZGD-1</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6A466D79"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601" w:type="dxa"/>
            <w:tcBorders>
              <w:top w:val="nil"/>
              <w:left w:val="nil"/>
              <w:bottom w:val="single" w:sz="4" w:space="0" w:color="auto"/>
              <w:right w:val="single" w:sz="4" w:space="0" w:color="auto"/>
            </w:tcBorders>
            <w:shd w:val="clear" w:color="000000" w:fill="DAEEF3"/>
            <w:vAlign w:val="center"/>
            <w:hideMark/>
          </w:tcPr>
          <w:p w14:paraId="2AE2A7D4"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601" w:type="dxa"/>
            <w:tcBorders>
              <w:top w:val="nil"/>
              <w:left w:val="nil"/>
              <w:bottom w:val="single" w:sz="4" w:space="0" w:color="auto"/>
              <w:right w:val="single" w:sz="4" w:space="0" w:color="auto"/>
            </w:tcBorders>
            <w:shd w:val="clear" w:color="auto" w:fill="auto"/>
            <w:vAlign w:val="center"/>
            <w:hideMark/>
          </w:tcPr>
          <w:p w14:paraId="544D46EE"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78" w:type="dxa"/>
            <w:tcBorders>
              <w:top w:val="nil"/>
              <w:left w:val="nil"/>
              <w:bottom w:val="single" w:sz="4" w:space="0" w:color="auto"/>
              <w:right w:val="single" w:sz="8" w:space="0" w:color="auto"/>
            </w:tcBorders>
            <w:shd w:val="clear" w:color="auto" w:fill="auto"/>
            <w:vAlign w:val="center"/>
            <w:hideMark/>
          </w:tcPr>
          <w:p w14:paraId="33A70D46"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33</w:t>
            </w:r>
          </w:p>
        </w:tc>
        <w:tc>
          <w:tcPr>
            <w:tcW w:w="619" w:type="dxa"/>
            <w:tcBorders>
              <w:top w:val="nil"/>
              <w:left w:val="nil"/>
              <w:bottom w:val="single" w:sz="4" w:space="0" w:color="auto"/>
              <w:right w:val="single" w:sz="4" w:space="0" w:color="auto"/>
            </w:tcBorders>
            <w:shd w:val="clear" w:color="auto" w:fill="auto"/>
            <w:vAlign w:val="center"/>
            <w:hideMark/>
          </w:tcPr>
          <w:p w14:paraId="2AB51717"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563" w:type="dxa"/>
            <w:tcBorders>
              <w:top w:val="nil"/>
              <w:left w:val="nil"/>
              <w:bottom w:val="single" w:sz="4" w:space="0" w:color="auto"/>
              <w:right w:val="single" w:sz="4" w:space="0" w:color="auto"/>
            </w:tcBorders>
            <w:shd w:val="clear" w:color="000000" w:fill="DAEEF3"/>
            <w:vAlign w:val="center"/>
            <w:hideMark/>
          </w:tcPr>
          <w:p w14:paraId="00438CF9"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430" w:type="dxa"/>
            <w:tcBorders>
              <w:top w:val="nil"/>
              <w:left w:val="nil"/>
              <w:bottom w:val="single" w:sz="4" w:space="0" w:color="auto"/>
              <w:right w:val="single" w:sz="4" w:space="0" w:color="auto"/>
            </w:tcBorders>
            <w:shd w:val="clear" w:color="auto" w:fill="auto"/>
            <w:vAlign w:val="center"/>
            <w:hideMark/>
          </w:tcPr>
          <w:p w14:paraId="3A83E81A"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99" w:type="dxa"/>
            <w:tcBorders>
              <w:top w:val="nil"/>
              <w:left w:val="nil"/>
              <w:bottom w:val="single" w:sz="4" w:space="0" w:color="auto"/>
              <w:right w:val="single" w:sz="8" w:space="0" w:color="auto"/>
            </w:tcBorders>
            <w:shd w:val="clear" w:color="auto" w:fill="auto"/>
            <w:vAlign w:val="center"/>
            <w:hideMark/>
          </w:tcPr>
          <w:p w14:paraId="716BF766"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r>
      <w:tr w:rsidR="00D847F2" w:rsidRPr="00F43999" w14:paraId="51D7C69B" w14:textId="77777777" w:rsidTr="00556699">
        <w:trPr>
          <w:trHeight w:val="449"/>
        </w:trPr>
        <w:tc>
          <w:tcPr>
            <w:tcW w:w="337" w:type="dxa"/>
            <w:tcBorders>
              <w:top w:val="nil"/>
              <w:left w:val="single" w:sz="4" w:space="0" w:color="auto"/>
              <w:bottom w:val="single" w:sz="4" w:space="0" w:color="auto"/>
              <w:right w:val="single" w:sz="4" w:space="0" w:color="auto"/>
            </w:tcBorders>
            <w:shd w:val="clear" w:color="auto" w:fill="auto"/>
            <w:vAlign w:val="center"/>
            <w:hideMark/>
          </w:tcPr>
          <w:p w14:paraId="315660B1" w14:textId="77777777" w:rsidR="00D847F2" w:rsidRPr="00F43999" w:rsidRDefault="00D847F2" w:rsidP="00556699">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6</w:t>
            </w:r>
          </w:p>
        </w:tc>
        <w:tc>
          <w:tcPr>
            <w:tcW w:w="2408" w:type="dxa"/>
            <w:tcBorders>
              <w:top w:val="nil"/>
              <w:left w:val="nil"/>
              <w:bottom w:val="single" w:sz="4" w:space="0" w:color="auto"/>
              <w:right w:val="single" w:sz="4" w:space="0" w:color="auto"/>
            </w:tcBorders>
            <w:shd w:val="clear" w:color="auto" w:fill="auto"/>
            <w:vAlign w:val="center"/>
            <w:hideMark/>
          </w:tcPr>
          <w:p w14:paraId="59C827C9" w14:textId="24C48E79" w:rsidR="00D847F2" w:rsidRPr="00F43999" w:rsidRDefault="00D847F2" w:rsidP="00F3582A">
            <w:pPr>
              <w:spacing w:line="240" w:lineRule="auto"/>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Ugotovitev in določitev deleža na skupnem premoženju zakoncev oz</w:t>
            </w:r>
            <w:r w:rsidR="00F3582A">
              <w:rPr>
                <w:rFonts w:ascii="Arial" w:eastAsia="Times New Roman" w:hAnsi="Arial" w:cs="Arial"/>
                <w:color w:val="000000"/>
                <w:sz w:val="18"/>
                <w:szCs w:val="18"/>
                <w:lang w:eastAsia="sl-SI"/>
              </w:rPr>
              <w:t>iroma</w:t>
            </w:r>
            <w:r w:rsidRPr="00F43999">
              <w:rPr>
                <w:rFonts w:ascii="Arial" w:eastAsia="Times New Roman" w:hAnsi="Arial" w:cs="Arial"/>
                <w:color w:val="000000"/>
                <w:sz w:val="18"/>
                <w:szCs w:val="18"/>
                <w:lang w:eastAsia="sl-SI"/>
              </w:rPr>
              <w:t xml:space="preserve"> solidarna odgovornost zakonca </w:t>
            </w:r>
          </w:p>
        </w:tc>
        <w:tc>
          <w:tcPr>
            <w:tcW w:w="1414" w:type="dxa"/>
            <w:tcBorders>
              <w:top w:val="nil"/>
              <w:left w:val="nil"/>
              <w:bottom w:val="single" w:sz="4" w:space="0" w:color="auto"/>
              <w:right w:val="single" w:sz="4" w:space="0" w:color="auto"/>
            </w:tcBorders>
            <w:shd w:val="clear" w:color="auto" w:fill="auto"/>
            <w:vAlign w:val="center"/>
            <w:hideMark/>
          </w:tcPr>
          <w:p w14:paraId="6EAB40C7" w14:textId="239A733A" w:rsidR="00D847F2" w:rsidRPr="00F43999" w:rsidRDefault="00D847F2" w:rsidP="0024486B">
            <w:pPr>
              <w:spacing w:line="240" w:lineRule="auto"/>
              <w:jc w:val="center"/>
              <w:rPr>
                <w:rFonts w:ascii="Arial" w:eastAsia="Times New Roman" w:hAnsi="Arial" w:cs="Arial"/>
                <w:color w:val="000000"/>
                <w:sz w:val="18"/>
                <w:szCs w:val="18"/>
                <w:lang w:eastAsia="sl-SI"/>
              </w:rPr>
            </w:pPr>
            <w:r w:rsidRPr="00F43999">
              <w:rPr>
                <w:rFonts w:ascii="Arial" w:eastAsia="Times New Roman" w:hAnsi="Arial" w:cs="Arial"/>
                <w:color w:val="000000"/>
                <w:sz w:val="18"/>
                <w:szCs w:val="18"/>
                <w:lang w:eastAsia="sl-SI"/>
              </w:rPr>
              <w:t>56. in 57. čl. ZZZDR oz</w:t>
            </w:r>
            <w:r w:rsidR="0024486B">
              <w:rPr>
                <w:rFonts w:ascii="Arial" w:eastAsia="Times New Roman" w:hAnsi="Arial" w:cs="Arial"/>
                <w:color w:val="000000"/>
                <w:sz w:val="18"/>
                <w:szCs w:val="18"/>
                <w:lang w:eastAsia="sl-SI"/>
              </w:rPr>
              <w:t>iroma</w:t>
            </w:r>
            <w:r w:rsidRPr="00F43999">
              <w:rPr>
                <w:rFonts w:ascii="Arial" w:eastAsia="Times New Roman" w:hAnsi="Arial" w:cs="Arial"/>
                <w:color w:val="000000"/>
                <w:sz w:val="18"/>
                <w:szCs w:val="18"/>
                <w:lang w:eastAsia="sl-SI"/>
              </w:rPr>
              <w:t xml:space="preserve"> 82., 83. in 84. člen DZ</w:t>
            </w:r>
          </w:p>
        </w:tc>
        <w:tc>
          <w:tcPr>
            <w:tcW w:w="601" w:type="dxa"/>
            <w:tcBorders>
              <w:top w:val="nil"/>
              <w:left w:val="single" w:sz="8" w:space="0" w:color="auto"/>
              <w:bottom w:val="single" w:sz="4" w:space="0" w:color="auto"/>
              <w:right w:val="single" w:sz="4" w:space="0" w:color="auto"/>
            </w:tcBorders>
            <w:shd w:val="clear" w:color="auto" w:fill="auto"/>
            <w:vAlign w:val="center"/>
            <w:hideMark/>
          </w:tcPr>
          <w:p w14:paraId="3AE10EAD"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w:t>
            </w:r>
          </w:p>
        </w:tc>
        <w:tc>
          <w:tcPr>
            <w:tcW w:w="601" w:type="dxa"/>
            <w:tcBorders>
              <w:top w:val="nil"/>
              <w:left w:val="nil"/>
              <w:bottom w:val="single" w:sz="4" w:space="0" w:color="auto"/>
              <w:right w:val="single" w:sz="4" w:space="0" w:color="auto"/>
            </w:tcBorders>
            <w:shd w:val="clear" w:color="000000" w:fill="DAEEF3"/>
            <w:vAlign w:val="center"/>
            <w:hideMark/>
          </w:tcPr>
          <w:p w14:paraId="66FCCA67"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601" w:type="dxa"/>
            <w:tcBorders>
              <w:top w:val="nil"/>
              <w:left w:val="nil"/>
              <w:bottom w:val="single" w:sz="4" w:space="0" w:color="auto"/>
              <w:right w:val="single" w:sz="4" w:space="0" w:color="auto"/>
            </w:tcBorders>
            <w:shd w:val="clear" w:color="auto" w:fill="auto"/>
            <w:vAlign w:val="center"/>
            <w:hideMark/>
          </w:tcPr>
          <w:p w14:paraId="0AEDBD2B"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0</w:t>
            </w:r>
          </w:p>
        </w:tc>
        <w:tc>
          <w:tcPr>
            <w:tcW w:w="978" w:type="dxa"/>
            <w:tcBorders>
              <w:top w:val="nil"/>
              <w:left w:val="nil"/>
              <w:bottom w:val="single" w:sz="4" w:space="0" w:color="auto"/>
              <w:right w:val="single" w:sz="8" w:space="0" w:color="auto"/>
            </w:tcBorders>
            <w:shd w:val="clear" w:color="auto" w:fill="auto"/>
            <w:vAlign w:val="center"/>
            <w:hideMark/>
          </w:tcPr>
          <w:p w14:paraId="5D7ED5BD"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51.237</w:t>
            </w:r>
          </w:p>
        </w:tc>
        <w:tc>
          <w:tcPr>
            <w:tcW w:w="619" w:type="dxa"/>
            <w:tcBorders>
              <w:top w:val="nil"/>
              <w:left w:val="nil"/>
              <w:bottom w:val="single" w:sz="4" w:space="0" w:color="auto"/>
              <w:right w:val="single" w:sz="4" w:space="0" w:color="auto"/>
            </w:tcBorders>
            <w:shd w:val="clear" w:color="auto" w:fill="auto"/>
            <w:vAlign w:val="center"/>
            <w:hideMark/>
          </w:tcPr>
          <w:p w14:paraId="65DA9990"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15</w:t>
            </w:r>
          </w:p>
        </w:tc>
        <w:tc>
          <w:tcPr>
            <w:tcW w:w="563" w:type="dxa"/>
            <w:tcBorders>
              <w:top w:val="nil"/>
              <w:left w:val="nil"/>
              <w:bottom w:val="single" w:sz="4" w:space="0" w:color="auto"/>
              <w:right w:val="single" w:sz="4" w:space="0" w:color="auto"/>
            </w:tcBorders>
            <w:shd w:val="clear" w:color="000000" w:fill="DAEEF3"/>
            <w:vAlign w:val="center"/>
            <w:hideMark/>
          </w:tcPr>
          <w:p w14:paraId="0E42045B"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2</w:t>
            </w:r>
          </w:p>
        </w:tc>
        <w:tc>
          <w:tcPr>
            <w:tcW w:w="430" w:type="dxa"/>
            <w:tcBorders>
              <w:top w:val="nil"/>
              <w:left w:val="nil"/>
              <w:bottom w:val="single" w:sz="4" w:space="0" w:color="auto"/>
              <w:right w:val="single" w:sz="4" w:space="0" w:color="auto"/>
            </w:tcBorders>
            <w:shd w:val="clear" w:color="auto" w:fill="auto"/>
            <w:vAlign w:val="center"/>
            <w:hideMark/>
          </w:tcPr>
          <w:p w14:paraId="15ADBEC6"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1</w:t>
            </w:r>
          </w:p>
        </w:tc>
        <w:tc>
          <w:tcPr>
            <w:tcW w:w="999" w:type="dxa"/>
            <w:tcBorders>
              <w:top w:val="nil"/>
              <w:left w:val="nil"/>
              <w:bottom w:val="single" w:sz="4" w:space="0" w:color="auto"/>
              <w:right w:val="single" w:sz="8" w:space="0" w:color="auto"/>
            </w:tcBorders>
            <w:shd w:val="clear" w:color="auto" w:fill="auto"/>
            <w:vAlign w:val="center"/>
            <w:hideMark/>
          </w:tcPr>
          <w:p w14:paraId="457C6FBF" w14:textId="77777777" w:rsidR="00D847F2" w:rsidRPr="00F43999" w:rsidRDefault="00D847F2" w:rsidP="00556699">
            <w:pPr>
              <w:spacing w:line="240" w:lineRule="auto"/>
              <w:jc w:val="right"/>
              <w:rPr>
                <w:rFonts w:ascii="Arial" w:eastAsia="Times New Roman" w:hAnsi="Arial" w:cs="Arial"/>
                <w:sz w:val="18"/>
                <w:szCs w:val="18"/>
                <w:lang w:eastAsia="sl-SI"/>
              </w:rPr>
            </w:pPr>
            <w:r w:rsidRPr="00F43999">
              <w:rPr>
                <w:rFonts w:ascii="Arial" w:eastAsia="Times New Roman" w:hAnsi="Arial" w:cs="Arial"/>
                <w:sz w:val="18"/>
                <w:szCs w:val="18"/>
                <w:lang w:eastAsia="sl-SI"/>
              </w:rPr>
              <w:t>49.770</w:t>
            </w:r>
          </w:p>
        </w:tc>
      </w:tr>
      <w:tr w:rsidR="00D847F2" w:rsidRPr="00F43999" w14:paraId="07FEA993" w14:textId="77777777" w:rsidTr="00556699">
        <w:trPr>
          <w:trHeight w:val="175"/>
        </w:trPr>
        <w:tc>
          <w:tcPr>
            <w:tcW w:w="4160" w:type="dxa"/>
            <w:gridSpan w:val="3"/>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5DEB0871" w14:textId="77777777" w:rsidR="00D847F2" w:rsidRPr="00F43999" w:rsidRDefault="00D847F2" w:rsidP="00556699">
            <w:pPr>
              <w:spacing w:line="240" w:lineRule="auto"/>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Skupaj</w:t>
            </w:r>
          </w:p>
        </w:tc>
        <w:tc>
          <w:tcPr>
            <w:tcW w:w="601" w:type="dxa"/>
            <w:tcBorders>
              <w:top w:val="nil"/>
              <w:left w:val="single" w:sz="8" w:space="0" w:color="auto"/>
              <w:bottom w:val="single" w:sz="8" w:space="0" w:color="auto"/>
              <w:right w:val="single" w:sz="4" w:space="0" w:color="auto"/>
            </w:tcBorders>
            <w:shd w:val="clear" w:color="000000" w:fill="31869B"/>
            <w:noWrap/>
            <w:vAlign w:val="center"/>
            <w:hideMark/>
          </w:tcPr>
          <w:p w14:paraId="1CAFB29E"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29</w:t>
            </w:r>
          </w:p>
        </w:tc>
        <w:tc>
          <w:tcPr>
            <w:tcW w:w="601" w:type="dxa"/>
            <w:tcBorders>
              <w:top w:val="nil"/>
              <w:left w:val="single" w:sz="8" w:space="0" w:color="auto"/>
              <w:bottom w:val="single" w:sz="8" w:space="0" w:color="auto"/>
              <w:right w:val="single" w:sz="4" w:space="0" w:color="auto"/>
            </w:tcBorders>
            <w:shd w:val="clear" w:color="000000" w:fill="31869B"/>
            <w:noWrap/>
            <w:vAlign w:val="center"/>
            <w:hideMark/>
          </w:tcPr>
          <w:p w14:paraId="1B640987"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14</w:t>
            </w:r>
          </w:p>
        </w:tc>
        <w:tc>
          <w:tcPr>
            <w:tcW w:w="601" w:type="dxa"/>
            <w:tcBorders>
              <w:top w:val="nil"/>
              <w:left w:val="single" w:sz="8" w:space="0" w:color="auto"/>
              <w:bottom w:val="single" w:sz="8" w:space="0" w:color="auto"/>
              <w:right w:val="single" w:sz="4" w:space="0" w:color="auto"/>
            </w:tcBorders>
            <w:shd w:val="clear" w:color="000000" w:fill="31869B"/>
            <w:noWrap/>
            <w:vAlign w:val="center"/>
            <w:hideMark/>
          </w:tcPr>
          <w:p w14:paraId="67CE475F"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w:t>
            </w:r>
          </w:p>
        </w:tc>
        <w:tc>
          <w:tcPr>
            <w:tcW w:w="978" w:type="dxa"/>
            <w:tcBorders>
              <w:top w:val="nil"/>
              <w:left w:val="single" w:sz="8" w:space="0" w:color="auto"/>
              <w:bottom w:val="single" w:sz="8" w:space="0" w:color="auto"/>
              <w:right w:val="single" w:sz="4" w:space="0" w:color="auto"/>
            </w:tcBorders>
            <w:shd w:val="clear" w:color="000000" w:fill="31869B"/>
            <w:noWrap/>
            <w:vAlign w:val="center"/>
            <w:hideMark/>
          </w:tcPr>
          <w:p w14:paraId="6F9504B7"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214.440</w:t>
            </w:r>
          </w:p>
        </w:tc>
        <w:tc>
          <w:tcPr>
            <w:tcW w:w="619" w:type="dxa"/>
            <w:tcBorders>
              <w:top w:val="nil"/>
              <w:left w:val="single" w:sz="8" w:space="0" w:color="auto"/>
              <w:bottom w:val="single" w:sz="8" w:space="0" w:color="auto"/>
              <w:right w:val="single" w:sz="4" w:space="0" w:color="auto"/>
            </w:tcBorders>
            <w:shd w:val="clear" w:color="000000" w:fill="31869B"/>
            <w:noWrap/>
            <w:vAlign w:val="center"/>
            <w:hideMark/>
          </w:tcPr>
          <w:p w14:paraId="42E2CE53"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49</w:t>
            </w:r>
          </w:p>
        </w:tc>
        <w:tc>
          <w:tcPr>
            <w:tcW w:w="563" w:type="dxa"/>
            <w:tcBorders>
              <w:top w:val="nil"/>
              <w:left w:val="single" w:sz="8" w:space="0" w:color="auto"/>
              <w:bottom w:val="single" w:sz="8" w:space="0" w:color="auto"/>
              <w:right w:val="single" w:sz="4" w:space="0" w:color="auto"/>
            </w:tcBorders>
            <w:shd w:val="clear" w:color="000000" w:fill="31869B"/>
            <w:noWrap/>
            <w:vAlign w:val="center"/>
            <w:hideMark/>
          </w:tcPr>
          <w:p w14:paraId="12122B15"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18</w:t>
            </w:r>
          </w:p>
        </w:tc>
        <w:tc>
          <w:tcPr>
            <w:tcW w:w="430" w:type="dxa"/>
            <w:tcBorders>
              <w:top w:val="nil"/>
              <w:left w:val="single" w:sz="8" w:space="0" w:color="auto"/>
              <w:bottom w:val="single" w:sz="8" w:space="0" w:color="auto"/>
              <w:right w:val="single" w:sz="4" w:space="0" w:color="auto"/>
            </w:tcBorders>
            <w:shd w:val="clear" w:color="000000" w:fill="31869B"/>
            <w:noWrap/>
            <w:vAlign w:val="center"/>
            <w:hideMark/>
          </w:tcPr>
          <w:p w14:paraId="5E0B91CE"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13</w:t>
            </w:r>
          </w:p>
        </w:tc>
        <w:tc>
          <w:tcPr>
            <w:tcW w:w="999" w:type="dxa"/>
            <w:tcBorders>
              <w:top w:val="nil"/>
              <w:left w:val="single" w:sz="8" w:space="0" w:color="auto"/>
              <w:bottom w:val="single" w:sz="8" w:space="0" w:color="auto"/>
              <w:right w:val="single" w:sz="8" w:space="0" w:color="auto"/>
            </w:tcBorders>
            <w:shd w:val="clear" w:color="000000" w:fill="31869B"/>
            <w:noWrap/>
            <w:vAlign w:val="center"/>
            <w:hideMark/>
          </w:tcPr>
          <w:p w14:paraId="7CE5691E" w14:textId="77777777" w:rsidR="00D847F2" w:rsidRPr="00F43999" w:rsidRDefault="00D847F2" w:rsidP="00556699">
            <w:pPr>
              <w:spacing w:line="240" w:lineRule="auto"/>
              <w:jc w:val="center"/>
              <w:rPr>
                <w:rFonts w:ascii="Arial" w:eastAsia="Times New Roman" w:hAnsi="Arial" w:cs="Arial"/>
                <w:b/>
                <w:bCs/>
                <w:color w:val="FFFFFF"/>
                <w:sz w:val="18"/>
                <w:szCs w:val="18"/>
                <w:lang w:eastAsia="sl-SI"/>
              </w:rPr>
            </w:pPr>
            <w:r w:rsidRPr="00F43999">
              <w:rPr>
                <w:rFonts w:ascii="Arial" w:eastAsia="Times New Roman" w:hAnsi="Arial" w:cs="Arial"/>
                <w:b/>
                <w:bCs/>
                <w:color w:val="FFFFFF"/>
                <w:sz w:val="18"/>
                <w:szCs w:val="18"/>
                <w:lang w:eastAsia="sl-SI"/>
              </w:rPr>
              <w:t>1.164.555</w:t>
            </w:r>
          </w:p>
        </w:tc>
      </w:tr>
    </w:tbl>
    <w:p w14:paraId="52A1BD81" w14:textId="77777777" w:rsidR="004E60F1" w:rsidRDefault="00D847F2" w:rsidP="004E60F1">
      <w:pPr>
        <w:rPr>
          <w:rFonts w:ascii="Arial" w:hAnsi="Arial" w:cs="Arial"/>
          <w:i/>
          <w:sz w:val="20"/>
          <w:szCs w:val="20"/>
        </w:rPr>
      </w:pPr>
      <w:r w:rsidRPr="00534703">
        <w:rPr>
          <w:rFonts w:ascii="Arial" w:hAnsi="Arial" w:cs="Arial"/>
          <w:i/>
          <w:sz w:val="20"/>
          <w:szCs w:val="20"/>
        </w:rPr>
        <w:t>Vir: FURS</w:t>
      </w:r>
      <w:r w:rsidR="00F3582A">
        <w:rPr>
          <w:rFonts w:ascii="Arial" w:hAnsi="Arial" w:cs="Arial"/>
          <w:i/>
          <w:sz w:val="20"/>
          <w:szCs w:val="20"/>
        </w:rPr>
        <w:t>.</w:t>
      </w:r>
    </w:p>
    <w:p w14:paraId="7F64C94E" w14:textId="3837E039" w:rsidR="00D847F2" w:rsidRPr="00A97497" w:rsidRDefault="00D847F2" w:rsidP="004E60F1">
      <w:pPr>
        <w:spacing w:after="0"/>
        <w:rPr>
          <w:rFonts w:ascii="Arial" w:hAnsi="Arial" w:cs="Arial"/>
          <w:b/>
          <w:i/>
          <w:iCs/>
          <w:sz w:val="16"/>
          <w:szCs w:val="16"/>
        </w:rPr>
      </w:pPr>
      <w:r w:rsidRPr="00A97497">
        <w:rPr>
          <w:rFonts w:ascii="Arial" w:hAnsi="Arial" w:cs="Arial"/>
          <w:b/>
          <w:i/>
          <w:iCs/>
          <w:sz w:val="16"/>
          <w:szCs w:val="16"/>
        </w:rPr>
        <w:t>Legenda k preglednici:</w:t>
      </w:r>
    </w:p>
    <w:p w14:paraId="588B9EE9" w14:textId="53F84828" w:rsidR="00D847F2" w:rsidRPr="00A97497" w:rsidRDefault="00F3582A" w:rsidP="004E60F1">
      <w:pPr>
        <w:spacing w:after="0"/>
        <w:jc w:val="both"/>
        <w:rPr>
          <w:rFonts w:ascii="Arial" w:hAnsi="Arial" w:cs="Arial"/>
          <w:i/>
          <w:iCs/>
          <w:sz w:val="16"/>
          <w:szCs w:val="16"/>
        </w:rPr>
      </w:pPr>
      <w:r>
        <w:rPr>
          <w:rFonts w:ascii="Arial" w:hAnsi="Arial" w:cs="Arial"/>
          <w:i/>
          <w:iCs/>
          <w:sz w:val="16"/>
          <w:szCs w:val="16"/>
        </w:rPr>
        <w:t xml:space="preserve">– </w:t>
      </w:r>
      <w:r w:rsidR="00D847F2" w:rsidRPr="00A97497">
        <w:rPr>
          <w:rFonts w:ascii="Arial" w:hAnsi="Arial" w:cs="Arial"/>
          <w:i/>
          <w:iCs/>
          <w:sz w:val="16"/>
          <w:szCs w:val="16"/>
        </w:rPr>
        <w:t>podatki so prikazani glede na dogodek v posameznem obdobju – uspeh ali neuspeh posameznega ukrepa se običajno pokaže šele v prihodnjem obdobju;</w:t>
      </w:r>
    </w:p>
    <w:p w14:paraId="7F5C27EF" w14:textId="7743458B" w:rsidR="00D847F2" w:rsidRPr="00A97497" w:rsidRDefault="00D847F2" w:rsidP="004E60F1">
      <w:pPr>
        <w:spacing w:after="0"/>
        <w:jc w:val="both"/>
        <w:rPr>
          <w:rFonts w:ascii="Arial" w:hAnsi="Arial" w:cs="Arial"/>
          <w:i/>
          <w:iCs/>
          <w:sz w:val="16"/>
          <w:szCs w:val="16"/>
        </w:rPr>
      </w:pPr>
      <w:r w:rsidRPr="00A97497">
        <w:rPr>
          <w:rFonts w:ascii="Arial" w:hAnsi="Arial" w:cs="Arial"/>
          <w:b/>
          <w:i/>
          <w:iCs/>
          <w:sz w:val="16"/>
          <w:szCs w:val="16"/>
        </w:rPr>
        <w:t>(1)</w:t>
      </w:r>
      <w:r w:rsidRPr="00A97497">
        <w:rPr>
          <w:rFonts w:ascii="Arial" w:hAnsi="Arial" w:cs="Arial"/>
          <w:i/>
          <w:iCs/>
          <w:sz w:val="16"/>
          <w:szCs w:val="16"/>
        </w:rPr>
        <w:t xml:space="preserve"> število izvedenih ukrepov v poročevalskem obdobju (</w:t>
      </w:r>
      <w:r w:rsidR="0024486B">
        <w:rPr>
          <w:rFonts w:ascii="Arial" w:hAnsi="Arial" w:cs="Arial"/>
          <w:i/>
          <w:iCs/>
          <w:sz w:val="16"/>
          <w:szCs w:val="16"/>
        </w:rPr>
        <w:t>na primer</w:t>
      </w:r>
      <w:r w:rsidRPr="00A97497">
        <w:rPr>
          <w:rFonts w:ascii="Arial" w:hAnsi="Arial" w:cs="Arial"/>
          <w:i/>
          <w:iCs/>
          <w:sz w:val="16"/>
          <w:szCs w:val="16"/>
        </w:rPr>
        <w:t xml:space="preserve"> število izdanih sklepov o izvršbi na podlagi poroštva, število vloženih predlogov za vložitev tožbe na državno pravobranilstvo),</w:t>
      </w:r>
    </w:p>
    <w:p w14:paraId="0D74ED1F" w14:textId="77777777" w:rsidR="00D847F2" w:rsidRPr="00A97497" w:rsidRDefault="00D847F2" w:rsidP="004E60F1">
      <w:pPr>
        <w:spacing w:after="0"/>
        <w:jc w:val="both"/>
        <w:rPr>
          <w:rFonts w:ascii="Arial" w:hAnsi="Arial" w:cs="Arial"/>
          <w:i/>
          <w:iCs/>
          <w:sz w:val="16"/>
          <w:szCs w:val="16"/>
        </w:rPr>
      </w:pPr>
      <w:r w:rsidRPr="00A97497">
        <w:rPr>
          <w:rFonts w:ascii="Arial" w:hAnsi="Arial" w:cs="Arial"/>
          <w:b/>
          <w:i/>
          <w:iCs/>
          <w:sz w:val="16"/>
          <w:szCs w:val="16"/>
        </w:rPr>
        <w:t>(2)</w:t>
      </w:r>
      <w:r w:rsidRPr="00A97497">
        <w:rPr>
          <w:rFonts w:ascii="Arial" w:hAnsi="Arial" w:cs="Arial"/>
          <w:i/>
          <w:iCs/>
          <w:sz w:val="16"/>
          <w:szCs w:val="16"/>
        </w:rPr>
        <w:t xml:space="preserve"> število uspešno rešenih zadev v poročevalskem obdobju (rešeno uspešno; t</w:t>
      </w:r>
      <w:r>
        <w:rPr>
          <w:rFonts w:ascii="Arial" w:hAnsi="Arial" w:cs="Arial"/>
          <w:i/>
          <w:iCs/>
          <w:sz w:val="16"/>
          <w:szCs w:val="16"/>
        </w:rPr>
        <w:t>orej</w:t>
      </w:r>
      <w:r w:rsidRPr="00A97497">
        <w:rPr>
          <w:rFonts w:ascii="Arial" w:hAnsi="Arial" w:cs="Arial"/>
          <w:i/>
          <w:iCs/>
          <w:sz w:val="16"/>
          <w:szCs w:val="16"/>
        </w:rPr>
        <w:t> zadev, v katerih se je upravni ali pravdni postopek pravnomočno zaključil v korist FURS),</w:t>
      </w:r>
    </w:p>
    <w:p w14:paraId="59B963F3" w14:textId="439DA1EE" w:rsidR="00D847F2" w:rsidRPr="00A97497" w:rsidRDefault="00D847F2" w:rsidP="00D847F2">
      <w:pPr>
        <w:spacing w:after="0" w:line="240" w:lineRule="auto"/>
        <w:jc w:val="both"/>
        <w:rPr>
          <w:rFonts w:ascii="Arial" w:hAnsi="Arial" w:cs="Arial"/>
          <w:i/>
          <w:iCs/>
          <w:sz w:val="16"/>
          <w:szCs w:val="16"/>
        </w:rPr>
      </w:pPr>
      <w:r w:rsidRPr="00A97497">
        <w:rPr>
          <w:rFonts w:ascii="Arial" w:hAnsi="Arial" w:cs="Arial"/>
          <w:b/>
          <w:i/>
          <w:iCs/>
          <w:sz w:val="16"/>
          <w:szCs w:val="16"/>
        </w:rPr>
        <w:t>(3)</w:t>
      </w:r>
      <w:r w:rsidRPr="00A97497">
        <w:rPr>
          <w:rFonts w:ascii="Arial" w:hAnsi="Arial" w:cs="Arial"/>
          <w:i/>
          <w:iCs/>
          <w:sz w:val="16"/>
          <w:szCs w:val="16"/>
        </w:rPr>
        <w:t xml:space="preserve"> število neuspešno rešenih zadev v poročevalskem obdobju (rešeno neuspešno; </w:t>
      </w:r>
      <w:r>
        <w:rPr>
          <w:rFonts w:ascii="Arial" w:hAnsi="Arial" w:cs="Arial"/>
          <w:i/>
          <w:iCs/>
          <w:sz w:val="16"/>
          <w:szCs w:val="16"/>
        </w:rPr>
        <w:t>torej</w:t>
      </w:r>
      <w:r w:rsidRPr="00A97497">
        <w:rPr>
          <w:rFonts w:ascii="Arial" w:hAnsi="Arial" w:cs="Arial"/>
          <w:i/>
          <w:iCs/>
          <w:sz w:val="16"/>
          <w:szCs w:val="16"/>
        </w:rPr>
        <w:t xml:space="preserve"> zadev, v katerih je bil upravni</w:t>
      </w:r>
      <w:r w:rsidR="00155CE9">
        <w:rPr>
          <w:rFonts w:ascii="Arial" w:hAnsi="Arial" w:cs="Arial"/>
          <w:i/>
          <w:iCs/>
          <w:sz w:val="16"/>
          <w:szCs w:val="16"/>
        </w:rPr>
        <w:t xml:space="preserve"> ali</w:t>
      </w:r>
      <w:r w:rsidRPr="00A97497">
        <w:rPr>
          <w:rFonts w:ascii="Arial" w:hAnsi="Arial" w:cs="Arial"/>
          <w:i/>
          <w:iCs/>
          <w:sz w:val="16"/>
          <w:szCs w:val="16"/>
        </w:rPr>
        <w:t xml:space="preserve"> pravdni postopek za Finančno upravo RS kot upnika pravnomočno zaključen neuspešno; </w:t>
      </w:r>
      <w:r w:rsidR="0024486B">
        <w:rPr>
          <w:rFonts w:ascii="Arial" w:hAnsi="Arial" w:cs="Arial"/>
          <w:i/>
          <w:iCs/>
          <w:sz w:val="16"/>
          <w:szCs w:val="16"/>
        </w:rPr>
        <w:t>na primer</w:t>
      </w:r>
      <w:r w:rsidRPr="00A97497">
        <w:rPr>
          <w:rFonts w:ascii="Arial" w:hAnsi="Arial" w:cs="Arial"/>
          <w:i/>
          <w:iCs/>
          <w:sz w:val="16"/>
          <w:szCs w:val="16"/>
        </w:rPr>
        <w:t xml:space="preserve"> sklep o izvršbi na podlagi poroštva je bil odpravljen, tožbeni zahtevek zavrnjen,</w:t>
      </w:r>
    </w:p>
    <w:p w14:paraId="383C4921" w14:textId="1CF720CA" w:rsidR="00D847F2" w:rsidRDefault="00D847F2" w:rsidP="00D847F2">
      <w:pPr>
        <w:spacing w:after="0" w:line="240" w:lineRule="auto"/>
        <w:jc w:val="both"/>
        <w:rPr>
          <w:rFonts w:ascii="Arial" w:hAnsi="Arial" w:cs="Arial"/>
          <w:i/>
          <w:iCs/>
          <w:sz w:val="16"/>
          <w:szCs w:val="16"/>
        </w:rPr>
      </w:pPr>
      <w:r w:rsidRPr="00A97497">
        <w:rPr>
          <w:rFonts w:ascii="Arial" w:hAnsi="Arial" w:cs="Arial"/>
          <w:b/>
          <w:bCs/>
          <w:i/>
          <w:iCs/>
          <w:sz w:val="16"/>
          <w:szCs w:val="16"/>
        </w:rPr>
        <w:t>(4)</w:t>
      </w:r>
      <w:r w:rsidRPr="00A97497">
        <w:rPr>
          <w:rFonts w:ascii="Arial" w:hAnsi="Arial" w:cs="Arial"/>
          <w:i/>
          <w:iCs/>
          <w:sz w:val="16"/>
          <w:szCs w:val="16"/>
        </w:rPr>
        <w:t xml:space="preserve"> znesek izterjanega dolga, v evrih.</w:t>
      </w:r>
    </w:p>
    <w:p w14:paraId="4FB1B089" w14:textId="77777777" w:rsidR="00247C3E" w:rsidRPr="00A97497" w:rsidRDefault="00247C3E" w:rsidP="00D847F2">
      <w:pPr>
        <w:spacing w:after="0" w:line="240" w:lineRule="auto"/>
        <w:jc w:val="both"/>
        <w:rPr>
          <w:rFonts w:ascii="Arial" w:hAnsi="Arial" w:cs="Arial"/>
          <w:i/>
          <w:iCs/>
          <w:sz w:val="16"/>
          <w:szCs w:val="16"/>
        </w:rPr>
      </w:pPr>
    </w:p>
    <w:p w14:paraId="579F9748" w14:textId="115A0BA5" w:rsidR="00D847F2" w:rsidRPr="00E52DB1" w:rsidRDefault="00D847F2" w:rsidP="00D847F2">
      <w:pPr>
        <w:rPr>
          <w:rFonts w:ascii="Arial" w:hAnsi="Arial" w:cs="Arial"/>
          <w:b/>
          <w:sz w:val="20"/>
          <w:szCs w:val="20"/>
          <w:lang w:eastAsia="sl-SI"/>
        </w:rPr>
      </w:pPr>
      <w:bookmarkStart w:id="30" w:name="_Toc475381249"/>
      <w:r w:rsidRPr="0094063C">
        <w:rPr>
          <w:rFonts w:ascii="Arial" w:hAnsi="Arial" w:cs="Arial"/>
          <w:b/>
          <w:sz w:val="20"/>
          <w:szCs w:val="20"/>
          <w:lang w:eastAsia="sl-SI"/>
        </w:rPr>
        <w:t>6.</w:t>
      </w:r>
      <w:r w:rsidRPr="009A25C3">
        <w:rPr>
          <w:rFonts w:ascii="Arial" w:hAnsi="Arial" w:cs="Arial"/>
          <w:b/>
          <w:sz w:val="20"/>
          <w:szCs w:val="20"/>
          <w:lang w:eastAsia="sl-SI"/>
        </w:rPr>
        <w:t>2</w:t>
      </w:r>
      <w:r w:rsidR="00992912">
        <w:rPr>
          <w:rFonts w:ascii="Arial" w:hAnsi="Arial" w:cs="Arial"/>
          <w:b/>
          <w:sz w:val="20"/>
          <w:szCs w:val="20"/>
          <w:lang w:eastAsia="sl-SI"/>
        </w:rPr>
        <w:t xml:space="preserve"> </w:t>
      </w:r>
      <w:r w:rsidRPr="009A25C3">
        <w:rPr>
          <w:rFonts w:ascii="Arial" w:hAnsi="Arial" w:cs="Arial"/>
          <w:b/>
          <w:sz w:val="20"/>
          <w:szCs w:val="20"/>
          <w:lang w:eastAsia="sl-SI"/>
        </w:rPr>
        <w:t>Izterjava nedavčnih obveznosti za druge predlagatelje</w:t>
      </w:r>
      <w:bookmarkEnd w:id="30"/>
    </w:p>
    <w:p w14:paraId="207B8B10" w14:textId="5B2637BE" w:rsidR="00D847F2" w:rsidRPr="008309BC" w:rsidRDefault="00D847F2" w:rsidP="00D847F2">
      <w:pPr>
        <w:jc w:val="both"/>
        <w:rPr>
          <w:rFonts w:ascii="Arial" w:hAnsi="Arial" w:cs="Arial"/>
          <w:sz w:val="20"/>
          <w:szCs w:val="20"/>
        </w:rPr>
      </w:pPr>
      <w:r w:rsidRPr="008309BC">
        <w:rPr>
          <w:rFonts w:ascii="Arial" w:hAnsi="Arial" w:cs="Arial"/>
          <w:sz w:val="20"/>
          <w:szCs w:val="20"/>
        </w:rPr>
        <w:t>FURS je pristoj</w:t>
      </w:r>
      <w:r>
        <w:rPr>
          <w:rFonts w:ascii="Arial" w:hAnsi="Arial" w:cs="Arial"/>
          <w:sz w:val="20"/>
          <w:szCs w:val="20"/>
        </w:rPr>
        <w:t>e</w:t>
      </w:r>
      <w:r w:rsidRPr="008309BC">
        <w:rPr>
          <w:rFonts w:ascii="Arial" w:hAnsi="Arial" w:cs="Arial"/>
          <w:sz w:val="20"/>
          <w:szCs w:val="20"/>
        </w:rPr>
        <w:t>n tudi za izvajanje nalog izterjave nedavčnih obveznosti za druge predlagatelje (denarne kazni, terjatve iz naslova upravnih taks, terjatve iz naslova prekrškov, različne upravne obveznosti, ki se izterjujejo po pravilih Zakona o splošnem upravnem postopku</w:t>
      </w:r>
      <w:r w:rsidR="00851D42">
        <w:rPr>
          <w:rFonts w:ascii="Arial" w:hAnsi="Arial" w:cs="Arial"/>
          <w:sz w:val="20"/>
          <w:szCs w:val="20"/>
        </w:rPr>
        <w:t xml:space="preserve"> /</w:t>
      </w:r>
      <w:r>
        <w:rPr>
          <w:rFonts w:ascii="Arial" w:hAnsi="Arial" w:cs="Arial"/>
          <w:sz w:val="20"/>
          <w:szCs w:val="20"/>
        </w:rPr>
        <w:t>ZUP</w:t>
      </w:r>
      <w:r w:rsidR="00851D42">
        <w:rPr>
          <w:rFonts w:ascii="Arial" w:hAnsi="Arial" w:cs="Arial"/>
          <w:sz w:val="20"/>
          <w:szCs w:val="20"/>
        </w:rPr>
        <w:t>/,</w:t>
      </w:r>
      <w:r>
        <w:rPr>
          <w:rStyle w:val="Sprotnaopomba-sklic"/>
          <w:rFonts w:ascii="Arial" w:hAnsi="Arial" w:cs="Arial"/>
          <w:sz w:val="20"/>
          <w:szCs w:val="20"/>
        </w:rPr>
        <w:footnoteReference w:id="16"/>
      </w:r>
      <w:r w:rsidR="00992912">
        <w:rPr>
          <w:rFonts w:ascii="Arial" w:hAnsi="Arial" w:cs="Arial"/>
          <w:sz w:val="20"/>
          <w:szCs w:val="20"/>
        </w:rPr>
        <w:t xml:space="preserve"> </w:t>
      </w:r>
      <w:r w:rsidRPr="008309BC">
        <w:rPr>
          <w:rFonts w:ascii="Arial" w:hAnsi="Arial" w:cs="Arial"/>
          <w:sz w:val="20"/>
          <w:szCs w:val="20"/>
        </w:rPr>
        <w:t>i</w:t>
      </w:r>
      <w:r w:rsidR="00851D42">
        <w:rPr>
          <w:rFonts w:ascii="Arial" w:hAnsi="Arial" w:cs="Arial"/>
          <w:sz w:val="20"/>
          <w:szCs w:val="20"/>
        </w:rPr>
        <w:t xml:space="preserve">n </w:t>
      </w:r>
      <w:r w:rsidRPr="008309BC">
        <w:rPr>
          <w:rFonts w:ascii="Arial" w:hAnsi="Arial" w:cs="Arial"/>
          <w:sz w:val="20"/>
          <w:szCs w:val="20"/>
        </w:rPr>
        <w:t>p</w:t>
      </w:r>
      <w:r w:rsidR="00851D42">
        <w:rPr>
          <w:rFonts w:ascii="Arial" w:hAnsi="Arial" w:cs="Arial"/>
          <w:sz w:val="20"/>
          <w:szCs w:val="20"/>
        </w:rPr>
        <w:t>o</w:t>
      </w:r>
      <w:r w:rsidRPr="008309BC">
        <w:rPr>
          <w:rFonts w:ascii="Arial" w:hAnsi="Arial" w:cs="Arial"/>
          <w:sz w:val="20"/>
          <w:szCs w:val="20"/>
        </w:rPr>
        <w:t>d</w:t>
      </w:r>
      <w:r w:rsidR="00851D42">
        <w:rPr>
          <w:rFonts w:ascii="Arial" w:hAnsi="Arial" w:cs="Arial"/>
          <w:sz w:val="20"/>
          <w:szCs w:val="20"/>
        </w:rPr>
        <w:t>obno</w:t>
      </w:r>
      <w:r w:rsidRPr="008309BC">
        <w:rPr>
          <w:rFonts w:ascii="Arial" w:hAnsi="Arial" w:cs="Arial"/>
          <w:sz w:val="20"/>
          <w:szCs w:val="20"/>
        </w:rPr>
        <w:t>).</w:t>
      </w:r>
    </w:p>
    <w:p w14:paraId="3E92997D" w14:textId="07402DA1" w:rsidR="00D847F2" w:rsidRPr="00F43999" w:rsidRDefault="00D847F2" w:rsidP="00D847F2">
      <w:pPr>
        <w:jc w:val="both"/>
        <w:rPr>
          <w:rFonts w:ascii="Arial" w:hAnsi="Arial" w:cs="Arial"/>
          <w:sz w:val="20"/>
          <w:szCs w:val="20"/>
        </w:rPr>
      </w:pPr>
      <w:r w:rsidRPr="00F43999">
        <w:rPr>
          <w:rFonts w:ascii="Arial" w:hAnsi="Arial" w:cs="Arial"/>
          <w:sz w:val="20"/>
          <w:szCs w:val="20"/>
        </w:rPr>
        <w:t>V letu 2022 so predlagatelji vložili 171.070 novih predlogov za izterjavo nedavčnih obveznosti za skupaj</w:t>
      </w:r>
      <w:r w:rsidR="00992912">
        <w:rPr>
          <w:rFonts w:ascii="Arial" w:hAnsi="Arial" w:cs="Arial"/>
          <w:sz w:val="20"/>
          <w:szCs w:val="20"/>
        </w:rPr>
        <w:t xml:space="preserve"> </w:t>
      </w:r>
      <w:r w:rsidRPr="00F43999">
        <w:rPr>
          <w:rFonts w:ascii="Arial" w:hAnsi="Arial" w:cs="Arial"/>
          <w:sz w:val="20"/>
          <w:szCs w:val="20"/>
        </w:rPr>
        <w:t>56.494.838</w:t>
      </w:r>
      <w:r w:rsidR="00527930" w:rsidRPr="00F43999">
        <w:rPr>
          <w:rFonts w:ascii="Arial" w:hAnsi="Arial" w:cs="Arial"/>
          <w:sz w:val="20"/>
          <w:szCs w:val="20"/>
        </w:rPr>
        <w:t> EUR</w:t>
      </w:r>
      <w:r w:rsidRPr="00F43999">
        <w:rPr>
          <w:rFonts w:ascii="Arial" w:hAnsi="Arial" w:cs="Arial"/>
          <w:sz w:val="20"/>
          <w:szCs w:val="20"/>
        </w:rPr>
        <w:t xml:space="preserve">. Število vloženih predlogov se je v primerjavi z letom 2021 zmanjšalo za 274 oziroma </w:t>
      </w:r>
      <w:r w:rsidR="0024486B">
        <w:rPr>
          <w:rFonts w:ascii="Arial" w:hAnsi="Arial" w:cs="Arial"/>
          <w:sz w:val="20"/>
          <w:szCs w:val="20"/>
        </w:rPr>
        <w:t xml:space="preserve">za </w:t>
      </w:r>
      <w:r w:rsidRPr="00F43999">
        <w:rPr>
          <w:rFonts w:ascii="Arial" w:hAnsi="Arial" w:cs="Arial"/>
          <w:sz w:val="20"/>
          <w:szCs w:val="20"/>
        </w:rPr>
        <w:t xml:space="preserve">0,2 </w:t>
      </w:r>
      <w:r>
        <w:rPr>
          <w:rFonts w:ascii="Arial" w:hAnsi="Arial" w:cs="Arial"/>
          <w:sz w:val="20"/>
          <w:szCs w:val="20"/>
        </w:rPr>
        <w:t>odstotka</w:t>
      </w:r>
      <w:r w:rsidRPr="00F43999">
        <w:rPr>
          <w:rFonts w:ascii="Arial" w:hAnsi="Arial" w:cs="Arial"/>
          <w:sz w:val="20"/>
          <w:szCs w:val="20"/>
        </w:rPr>
        <w:t>, znesek terjatev po vloženih predlogih pa za 38.384.533</w:t>
      </w:r>
      <w:r w:rsidR="00527930" w:rsidRPr="00F43999">
        <w:rPr>
          <w:rFonts w:ascii="Arial" w:hAnsi="Arial" w:cs="Arial"/>
          <w:sz w:val="20"/>
          <w:szCs w:val="20"/>
        </w:rPr>
        <w:t> EUR</w:t>
      </w:r>
      <w:r w:rsidRPr="00F43999">
        <w:rPr>
          <w:rFonts w:ascii="Arial" w:hAnsi="Arial" w:cs="Arial"/>
          <w:sz w:val="20"/>
          <w:szCs w:val="20"/>
        </w:rPr>
        <w:t xml:space="preserve"> oziroma za 40,5 </w:t>
      </w:r>
      <w:r>
        <w:rPr>
          <w:rFonts w:ascii="Arial" w:hAnsi="Arial" w:cs="Arial"/>
          <w:sz w:val="20"/>
          <w:szCs w:val="20"/>
        </w:rPr>
        <w:t>odstotka</w:t>
      </w:r>
      <w:r w:rsidRPr="00F43999">
        <w:rPr>
          <w:rFonts w:ascii="Arial" w:hAnsi="Arial" w:cs="Arial"/>
          <w:sz w:val="20"/>
          <w:szCs w:val="20"/>
        </w:rPr>
        <w:t>. Rešenih je bilo 208.614 zadev v višini 80.104.689</w:t>
      </w:r>
      <w:r w:rsidR="00527930" w:rsidRPr="00F43999">
        <w:rPr>
          <w:rFonts w:ascii="Arial" w:hAnsi="Arial" w:cs="Arial"/>
          <w:sz w:val="20"/>
          <w:szCs w:val="20"/>
        </w:rPr>
        <w:t> EUR</w:t>
      </w:r>
      <w:r w:rsidRPr="00F43999">
        <w:rPr>
          <w:rFonts w:ascii="Arial" w:hAnsi="Arial" w:cs="Arial"/>
          <w:sz w:val="20"/>
          <w:szCs w:val="20"/>
        </w:rPr>
        <w:t xml:space="preserve">. </w:t>
      </w:r>
    </w:p>
    <w:p w14:paraId="19171E7D" w14:textId="77777777" w:rsidR="00D847F2" w:rsidRPr="00F43999" w:rsidRDefault="00D847F2" w:rsidP="00D847F2">
      <w:pPr>
        <w:jc w:val="both"/>
        <w:rPr>
          <w:rFonts w:ascii="Arial" w:hAnsi="Arial" w:cs="Arial"/>
          <w:sz w:val="20"/>
          <w:szCs w:val="20"/>
        </w:rPr>
      </w:pPr>
      <w:r w:rsidRPr="00F43999">
        <w:rPr>
          <w:rFonts w:ascii="Arial" w:hAnsi="Arial" w:cs="Arial"/>
          <w:sz w:val="20"/>
          <w:szCs w:val="20"/>
        </w:rPr>
        <w:lastRenderedPageBreak/>
        <w:t>Največji predlagatelj izvršb je bila Policija s 44.610 predlogi, sledijo medobčinski inšpektorati z 41.025 predlogi in direkcije z 28.831 vloženimi predlogi za izvršbo.</w:t>
      </w:r>
    </w:p>
    <w:p w14:paraId="26F95F3A" w14:textId="77777777" w:rsidR="00D847F2" w:rsidRPr="00DF7E2A" w:rsidRDefault="00D847F2" w:rsidP="00D847F2">
      <w:pPr>
        <w:pStyle w:val="Odstavekseznama1"/>
        <w:ind w:left="0"/>
        <w:jc w:val="both"/>
        <w:rPr>
          <w:rFonts w:ascii="Arial" w:hAnsi="Arial" w:cs="Arial"/>
          <w:sz w:val="20"/>
          <w:szCs w:val="20"/>
        </w:rPr>
      </w:pPr>
      <w:r w:rsidRPr="00DF7E2A">
        <w:rPr>
          <w:rFonts w:ascii="Arial" w:hAnsi="Arial" w:cs="Arial"/>
          <w:sz w:val="20"/>
          <w:szCs w:val="20"/>
        </w:rPr>
        <w:t>V letu 2022 so v pristojnost FURS za izterjavo prešle naslednje nove terjatve:</w:t>
      </w:r>
    </w:p>
    <w:p w14:paraId="47C7084A" w14:textId="442332CF" w:rsidR="00D847F2" w:rsidRPr="00DF7E2A" w:rsidRDefault="00D847F2" w:rsidP="00D847F2">
      <w:pPr>
        <w:pStyle w:val="Odstavekseznama1"/>
        <w:numPr>
          <w:ilvl w:val="0"/>
          <w:numId w:val="29"/>
        </w:numPr>
        <w:jc w:val="both"/>
        <w:rPr>
          <w:rFonts w:ascii="Arial" w:hAnsi="Arial" w:cs="Arial"/>
          <w:sz w:val="20"/>
          <w:szCs w:val="20"/>
        </w:rPr>
      </w:pPr>
      <w:r w:rsidRPr="00DF7E2A">
        <w:rPr>
          <w:rFonts w:ascii="Arial" w:hAnsi="Arial" w:cs="Arial"/>
          <w:sz w:val="20"/>
          <w:szCs w:val="20"/>
        </w:rPr>
        <w:t>vračilo pomoči za nakup nepremičnine v Republiki Slovenji na podlagi Zakona o ureditvi določenih vprašanj zaradi končne razsodbe arbitražnega sodišča na podlagi Arbitražnega sporazuma med Vlado Republike Slovenije in Vlado Republike Hrvaške (ZUVRAS)</w:t>
      </w:r>
      <w:r w:rsidR="0024486B">
        <w:rPr>
          <w:rFonts w:ascii="Arial" w:hAnsi="Arial" w:cs="Arial"/>
          <w:sz w:val="20"/>
          <w:szCs w:val="20"/>
        </w:rPr>
        <w:t>,</w:t>
      </w:r>
      <w:r w:rsidRPr="00DF7E2A">
        <w:rPr>
          <w:rStyle w:val="Sprotnaopomba-sklic"/>
          <w:rFonts w:ascii="Arial" w:hAnsi="Arial" w:cs="Arial"/>
          <w:sz w:val="20"/>
          <w:szCs w:val="20"/>
        </w:rPr>
        <w:footnoteReference w:id="17"/>
      </w:r>
    </w:p>
    <w:p w14:paraId="3995DF04" w14:textId="46627947" w:rsidR="00D847F2" w:rsidRPr="00DF7E2A" w:rsidRDefault="00D847F2" w:rsidP="00D847F2">
      <w:pPr>
        <w:pStyle w:val="Odstavekseznama1"/>
        <w:numPr>
          <w:ilvl w:val="0"/>
          <w:numId w:val="29"/>
        </w:numPr>
        <w:jc w:val="both"/>
        <w:rPr>
          <w:rFonts w:ascii="Arial" w:hAnsi="Arial" w:cs="Arial"/>
          <w:sz w:val="20"/>
          <w:szCs w:val="20"/>
        </w:rPr>
      </w:pPr>
      <w:r w:rsidRPr="00DF7E2A">
        <w:rPr>
          <w:rFonts w:ascii="Arial" w:hAnsi="Arial" w:cs="Arial"/>
          <w:sz w:val="20"/>
          <w:szCs w:val="20"/>
        </w:rPr>
        <w:t xml:space="preserve">vračilo pomoči za gospodarstvo pri odpravi škode zaradi dviga cen energentov na podlagi </w:t>
      </w:r>
      <w:r w:rsidR="0024486B">
        <w:rPr>
          <w:rFonts w:ascii="Arial" w:hAnsi="Arial" w:cs="Arial"/>
          <w:sz w:val="20"/>
          <w:szCs w:val="20"/>
        </w:rPr>
        <w:t>tretjega</w:t>
      </w:r>
      <w:r w:rsidRPr="00DF7E2A">
        <w:rPr>
          <w:rFonts w:ascii="Arial" w:hAnsi="Arial" w:cs="Arial"/>
          <w:sz w:val="20"/>
          <w:szCs w:val="20"/>
        </w:rPr>
        <w:t xml:space="preserve"> odstavka 5. člena Zakon</w:t>
      </w:r>
      <w:r>
        <w:rPr>
          <w:rFonts w:ascii="Arial" w:hAnsi="Arial" w:cs="Arial"/>
          <w:sz w:val="20"/>
          <w:szCs w:val="20"/>
        </w:rPr>
        <w:t>a</w:t>
      </w:r>
      <w:r w:rsidRPr="00DF7E2A">
        <w:rPr>
          <w:rFonts w:ascii="Arial" w:hAnsi="Arial" w:cs="Arial"/>
          <w:sz w:val="20"/>
          <w:szCs w:val="20"/>
        </w:rPr>
        <w:t xml:space="preserve"> o ukrepih za omilitev posledic dviga cen energentov v gospodarstvu in kmetijstvu </w:t>
      </w:r>
      <w:r>
        <w:rPr>
          <w:rFonts w:ascii="Arial" w:hAnsi="Arial" w:cs="Arial"/>
          <w:sz w:val="20"/>
          <w:szCs w:val="20"/>
        </w:rPr>
        <w:t>(</w:t>
      </w:r>
      <w:r w:rsidRPr="00DF7E2A">
        <w:rPr>
          <w:rFonts w:ascii="Arial" w:hAnsi="Arial" w:cs="Arial"/>
          <w:sz w:val="20"/>
          <w:szCs w:val="20"/>
        </w:rPr>
        <w:t>ZUOPDCE</w:t>
      </w:r>
      <w:r>
        <w:rPr>
          <w:rFonts w:ascii="Arial" w:hAnsi="Arial" w:cs="Arial"/>
          <w:sz w:val="20"/>
          <w:szCs w:val="20"/>
        </w:rPr>
        <w:t>)</w:t>
      </w:r>
      <w:r w:rsidR="0024486B">
        <w:rPr>
          <w:rFonts w:ascii="Arial" w:hAnsi="Arial" w:cs="Arial"/>
          <w:sz w:val="20"/>
          <w:szCs w:val="20"/>
        </w:rPr>
        <w:t>,</w:t>
      </w:r>
      <w:r w:rsidRPr="00DF7E2A">
        <w:rPr>
          <w:rStyle w:val="Sprotnaopomba-sklic"/>
          <w:rFonts w:ascii="Arial" w:hAnsi="Arial" w:cs="Arial"/>
          <w:sz w:val="20"/>
          <w:szCs w:val="20"/>
        </w:rPr>
        <w:footnoteReference w:id="18"/>
      </w:r>
    </w:p>
    <w:p w14:paraId="45997804" w14:textId="36956C7F" w:rsidR="00D847F2" w:rsidRPr="00DF7E2A" w:rsidRDefault="00D847F2" w:rsidP="00D847F2">
      <w:pPr>
        <w:pStyle w:val="Odstavekseznama1"/>
        <w:numPr>
          <w:ilvl w:val="0"/>
          <w:numId w:val="29"/>
        </w:numPr>
        <w:jc w:val="both"/>
        <w:rPr>
          <w:rFonts w:ascii="Arial" w:hAnsi="Arial" w:cs="Arial"/>
          <w:sz w:val="20"/>
          <w:szCs w:val="20"/>
        </w:rPr>
      </w:pPr>
      <w:r w:rsidRPr="00DF7E2A">
        <w:rPr>
          <w:rFonts w:ascii="Arial" w:hAnsi="Arial" w:cs="Arial"/>
          <w:sz w:val="20"/>
          <w:szCs w:val="20"/>
        </w:rPr>
        <w:t>komunalni prispevek, odmerjen na podlagi Zakona o urejanju prostora (ZUreP-3)</w:t>
      </w:r>
      <w:r w:rsidR="0024486B">
        <w:rPr>
          <w:rFonts w:ascii="Arial" w:hAnsi="Arial" w:cs="Arial"/>
          <w:sz w:val="20"/>
          <w:szCs w:val="20"/>
        </w:rPr>
        <w:t>,</w:t>
      </w:r>
      <w:r w:rsidRPr="00DF7E2A">
        <w:rPr>
          <w:rStyle w:val="Sprotnaopomba-sklic"/>
          <w:rFonts w:ascii="Arial" w:hAnsi="Arial" w:cs="Arial"/>
          <w:sz w:val="20"/>
          <w:szCs w:val="20"/>
        </w:rPr>
        <w:footnoteReference w:id="19"/>
      </w:r>
      <w:r w:rsidRPr="00DF7E2A">
        <w:rPr>
          <w:rFonts w:ascii="Arial" w:hAnsi="Arial" w:cs="Arial"/>
          <w:sz w:val="20"/>
          <w:szCs w:val="20"/>
        </w:rPr>
        <w:t xml:space="preserve"> in </w:t>
      </w:r>
    </w:p>
    <w:p w14:paraId="2B9E09F2" w14:textId="4AD3843D" w:rsidR="00D847F2" w:rsidRPr="00DF7E2A" w:rsidRDefault="00D847F2" w:rsidP="00D847F2">
      <w:pPr>
        <w:pStyle w:val="Odstavekseznama1"/>
        <w:numPr>
          <w:ilvl w:val="0"/>
          <w:numId w:val="29"/>
        </w:numPr>
        <w:jc w:val="both"/>
        <w:rPr>
          <w:rFonts w:ascii="Arial" w:hAnsi="Arial" w:cs="Arial"/>
          <w:sz w:val="20"/>
          <w:szCs w:val="20"/>
        </w:rPr>
      </w:pPr>
      <w:r w:rsidRPr="00DF7E2A">
        <w:rPr>
          <w:rFonts w:ascii="Arial" w:hAnsi="Arial" w:cs="Arial"/>
          <w:sz w:val="20"/>
          <w:szCs w:val="20"/>
        </w:rPr>
        <w:t>prispevek za promocijo kmetijskih in živilskih proizvodov na podlagi Zakona o promociji kmetijskih in živilskih proizvodov (ZPKŽP)</w:t>
      </w:r>
      <w:r w:rsidR="0024486B">
        <w:rPr>
          <w:rFonts w:ascii="Arial" w:hAnsi="Arial" w:cs="Arial"/>
          <w:sz w:val="20"/>
          <w:szCs w:val="20"/>
        </w:rPr>
        <w:t>.</w:t>
      </w:r>
      <w:r w:rsidRPr="00DF7E2A">
        <w:rPr>
          <w:rStyle w:val="Sprotnaopomba-sklic"/>
          <w:rFonts w:ascii="Arial" w:hAnsi="Arial" w:cs="Arial"/>
          <w:sz w:val="20"/>
          <w:szCs w:val="20"/>
        </w:rPr>
        <w:footnoteReference w:id="20"/>
      </w:r>
    </w:p>
    <w:p w14:paraId="68F0503E" w14:textId="77777777" w:rsidR="00D847F2" w:rsidRPr="005555DD" w:rsidRDefault="00D847F2" w:rsidP="00D847F2">
      <w:pPr>
        <w:pStyle w:val="Odstavekseznama1"/>
        <w:ind w:left="644"/>
        <w:rPr>
          <w:rFonts w:ascii="Arial" w:hAnsi="Arial" w:cs="Arial"/>
          <w:color w:val="FF0000"/>
          <w:sz w:val="20"/>
          <w:szCs w:val="20"/>
        </w:rPr>
      </w:pPr>
    </w:p>
    <w:p w14:paraId="664357BA" w14:textId="1870A86B" w:rsidR="00D847F2" w:rsidRPr="00F43999" w:rsidRDefault="00D847F2" w:rsidP="00D847F2">
      <w:pPr>
        <w:jc w:val="both"/>
        <w:rPr>
          <w:rFonts w:ascii="Arial" w:hAnsi="Arial" w:cs="Arial"/>
          <w:sz w:val="20"/>
          <w:szCs w:val="20"/>
        </w:rPr>
      </w:pPr>
      <w:r w:rsidRPr="00F43999">
        <w:rPr>
          <w:rFonts w:ascii="Arial" w:hAnsi="Arial" w:cs="Arial"/>
          <w:sz w:val="20"/>
          <w:szCs w:val="20"/>
        </w:rPr>
        <w:t>Hkrati je bilo v sistem sodelovanja v postopkih davčne izvršbe za izterjavo nedavčnih obveznosti po že obstoječih pravnih podlagah vključen</w:t>
      </w:r>
      <w:r w:rsidR="0024486B">
        <w:rPr>
          <w:rFonts w:ascii="Arial" w:hAnsi="Arial" w:cs="Arial"/>
          <w:sz w:val="20"/>
          <w:szCs w:val="20"/>
        </w:rPr>
        <w:t>ih</w:t>
      </w:r>
      <w:r w:rsidRPr="00F43999">
        <w:rPr>
          <w:rFonts w:ascii="Arial" w:hAnsi="Arial" w:cs="Arial"/>
          <w:sz w:val="20"/>
          <w:szCs w:val="20"/>
        </w:rPr>
        <w:t xml:space="preserve"> </w:t>
      </w:r>
      <w:r w:rsidR="0024486B">
        <w:rPr>
          <w:rFonts w:ascii="Arial" w:hAnsi="Arial" w:cs="Arial"/>
          <w:sz w:val="20"/>
          <w:szCs w:val="20"/>
        </w:rPr>
        <w:t>sedem</w:t>
      </w:r>
      <w:r w:rsidRPr="00F43999">
        <w:rPr>
          <w:rFonts w:ascii="Arial" w:hAnsi="Arial" w:cs="Arial"/>
          <w:sz w:val="20"/>
          <w:szCs w:val="20"/>
        </w:rPr>
        <w:t xml:space="preserve"> novih predlagateljev, in sicer</w:t>
      </w:r>
      <w:r w:rsidR="00992912">
        <w:rPr>
          <w:rFonts w:ascii="Arial" w:hAnsi="Arial" w:cs="Arial"/>
          <w:sz w:val="20"/>
          <w:szCs w:val="20"/>
        </w:rPr>
        <w:t xml:space="preserve"> </w:t>
      </w:r>
      <w:r w:rsidRPr="00F43999">
        <w:rPr>
          <w:rFonts w:ascii="Arial" w:hAnsi="Arial" w:cs="Arial"/>
          <w:sz w:val="20"/>
          <w:szCs w:val="20"/>
        </w:rPr>
        <w:t xml:space="preserve">Občina Polzela, Občina Vransko, Občina Tabor, </w:t>
      </w:r>
      <w:r>
        <w:rPr>
          <w:rFonts w:ascii="Arial" w:hAnsi="Arial" w:cs="Arial"/>
          <w:sz w:val="20"/>
          <w:szCs w:val="20"/>
        </w:rPr>
        <w:t>m</w:t>
      </w:r>
      <w:r w:rsidRPr="00F43999">
        <w:rPr>
          <w:rFonts w:ascii="Arial" w:hAnsi="Arial" w:cs="Arial"/>
          <w:sz w:val="20"/>
          <w:szCs w:val="20"/>
        </w:rPr>
        <w:t>inistrstvo za javno upravo, Občina Gornji Petrovci, Občina Hodoš in Občina Šalovci.</w:t>
      </w:r>
    </w:p>
    <w:p w14:paraId="4089686A" w14:textId="52120CFE" w:rsidR="00D847F2" w:rsidRPr="008D66B1" w:rsidRDefault="00D847F2" w:rsidP="00D847F2">
      <w:pPr>
        <w:jc w:val="both"/>
        <w:rPr>
          <w:rFonts w:ascii="Arial" w:hAnsi="Arial" w:cs="Arial"/>
          <w:sz w:val="20"/>
          <w:szCs w:val="20"/>
        </w:rPr>
      </w:pPr>
      <w:r w:rsidRPr="008D66B1">
        <w:rPr>
          <w:rFonts w:ascii="Arial" w:hAnsi="Arial" w:cs="Arial"/>
          <w:sz w:val="20"/>
          <w:szCs w:val="20"/>
        </w:rPr>
        <w:t>S ciljem izterjave nedavčnih obveznosti je bilo v letu 2022 dolžnikom poslanih 167.941 opominov za dolg v skupnem znesku 44.061.348</w:t>
      </w:r>
      <w:r w:rsidR="00527930" w:rsidRPr="008D66B1">
        <w:rPr>
          <w:rFonts w:ascii="Arial" w:hAnsi="Arial" w:cs="Arial"/>
          <w:sz w:val="20"/>
          <w:szCs w:val="20"/>
        </w:rPr>
        <w:t> EUR</w:t>
      </w:r>
      <w:r w:rsidRPr="008D66B1">
        <w:rPr>
          <w:rFonts w:ascii="Arial" w:hAnsi="Arial" w:cs="Arial"/>
          <w:sz w:val="20"/>
          <w:szCs w:val="20"/>
        </w:rPr>
        <w:t xml:space="preserve"> ter 22.458 pozivov za dolg v višini 32.495.930</w:t>
      </w:r>
      <w:r w:rsidR="00527930" w:rsidRPr="008D66B1">
        <w:rPr>
          <w:rFonts w:ascii="Arial" w:hAnsi="Arial" w:cs="Arial"/>
          <w:sz w:val="20"/>
          <w:szCs w:val="20"/>
        </w:rPr>
        <w:t> EUR</w:t>
      </w:r>
      <w:r w:rsidRPr="008D66B1">
        <w:rPr>
          <w:rFonts w:ascii="Arial" w:hAnsi="Arial" w:cs="Arial"/>
          <w:sz w:val="20"/>
          <w:szCs w:val="20"/>
        </w:rPr>
        <w:t>. Poleg tega je bilo izdan</w:t>
      </w:r>
      <w:r>
        <w:rPr>
          <w:rFonts w:ascii="Arial" w:hAnsi="Arial" w:cs="Arial"/>
          <w:sz w:val="20"/>
          <w:szCs w:val="20"/>
        </w:rPr>
        <w:t>ih</w:t>
      </w:r>
      <w:r w:rsidRPr="008D66B1">
        <w:rPr>
          <w:rFonts w:ascii="Arial" w:hAnsi="Arial" w:cs="Arial"/>
          <w:sz w:val="20"/>
          <w:szCs w:val="20"/>
        </w:rPr>
        <w:t xml:space="preserve"> 139.747 sklepov o izvršbi, s katerimi je bila začeta izvršba za dolg v višini 64.634.376</w:t>
      </w:r>
      <w:r w:rsidR="00527930" w:rsidRPr="008D66B1">
        <w:rPr>
          <w:rFonts w:ascii="Arial" w:hAnsi="Arial" w:cs="Arial"/>
          <w:sz w:val="20"/>
          <w:szCs w:val="20"/>
        </w:rPr>
        <w:t> EUR</w:t>
      </w:r>
      <w:r w:rsidRPr="008D66B1">
        <w:rPr>
          <w:rFonts w:ascii="Arial" w:hAnsi="Arial" w:cs="Arial"/>
          <w:sz w:val="20"/>
          <w:szCs w:val="20"/>
        </w:rPr>
        <w:t>. V primerjavi s preteklim letom je bilo terjanega za 2.220.721</w:t>
      </w:r>
      <w:r w:rsidR="00527930" w:rsidRPr="008D66B1">
        <w:rPr>
          <w:rFonts w:ascii="Arial" w:hAnsi="Arial" w:cs="Arial"/>
          <w:sz w:val="20"/>
          <w:szCs w:val="20"/>
        </w:rPr>
        <w:t> EUR</w:t>
      </w:r>
      <w:r w:rsidRPr="008D66B1">
        <w:rPr>
          <w:rFonts w:ascii="Arial" w:hAnsi="Arial" w:cs="Arial"/>
          <w:sz w:val="20"/>
          <w:szCs w:val="20"/>
        </w:rPr>
        <w:t xml:space="preserve"> manj dolga, kar je posledica nižjega zneska prejetih terjatev v izterjavo. Kljub navedenemu je bilo z izvedenimi ukrepi izterjanih 44.557.061</w:t>
      </w:r>
      <w:r w:rsidR="00527930" w:rsidRPr="008D66B1">
        <w:rPr>
          <w:rFonts w:ascii="Arial" w:hAnsi="Arial" w:cs="Arial"/>
          <w:sz w:val="20"/>
          <w:szCs w:val="20"/>
        </w:rPr>
        <w:t> EUR</w:t>
      </w:r>
      <w:r w:rsidRPr="008D66B1">
        <w:rPr>
          <w:rFonts w:ascii="Arial" w:hAnsi="Arial" w:cs="Arial"/>
          <w:sz w:val="20"/>
          <w:szCs w:val="20"/>
        </w:rPr>
        <w:t>, kar je za 6.199.732</w:t>
      </w:r>
      <w:r w:rsidR="00357C20" w:rsidRPr="008D66B1">
        <w:rPr>
          <w:rFonts w:ascii="Arial" w:hAnsi="Arial" w:cs="Arial"/>
          <w:sz w:val="20"/>
          <w:szCs w:val="20"/>
        </w:rPr>
        <w:t> EUR</w:t>
      </w:r>
      <w:r w:rsidRPr="008D66B1">
        <w:rPr>
          <w:rFonts w:ascii="Arial" w:hAnsi="Arial" w:cs="Arial"/>
          <w:sz w:val="20"/>
          <w:szCs w:val="20"/>
        </w:rPr>
        <w:t xml:space="preserve"> (16,2 </w:t>
      </w:r>
      <w:r>
        <w:rPr>
          <w:rFonts w:ascii="Arial" w:hAnsi="Arial" w:cs="Arial"/>
          <w:sz w:val="20"/>
          <w:szCs w:val="20"/>
        </w:rPr>
        <w:t>odstotka</w:t>
      </w:r>
      <w:r w:rsidRPr="008D66B1">
        <w:rPr>
          <w:rFonts w:ascii="Arial" w:hAnsi="Arial" w:cs="Arial"/>
          <w:sz w:val="20"/>
          <w:szCs w:val="20"/>
        </w:rPr>
        <w:t xml:space="preserve">) več kot v letu 2021. </w:t>
      </w:r>
    </w:p>
    <w:p w14:paraId="72778F49" w14:textId="7816DB8C" w:rsidR="00D847F2" w:rsidRPr="008D66B1" w:rsidRDefault="00D847F2" w:rsidP="00D847F2">
      <w:pPr>
        <w:jc w:val="both"/>
        <w:rPr>
          <w:rFonts w:ascii="Arial" w:hAnsi="Arial" w:cs="Arial"/>
          <w:sz w:val="20"/>
          <w:szCs w:val="20"/>
        </w:rPr>
      </w:pPr>
      <w:r w:rsidRPr="008D66B1">
        <w:rPr>
          <w:rFonts w:ascii="Arial" w:hAnsi="Arial" w:cs="Arial"/>
          <w:sz w:val="20"/>
          <w:szCs w:val="20"/>
        </w:rPr>
        <w:t xml:space="preserve">Po sklepih je bilo v povprečju poplačanega 31,6 </w:t>
      </w:r>
      <w:r>
        <w:rPr>
          <w:rFonts w:ascii="Arial" w:hAnsi="Arial" w:cs="Arial"/>
          <w:sz w:val="20"/>
          <w:szCs w:val="20"/>
        </w:rPr>
        <w:t>odstotka</w:t>
      </w:r>
      <w:r w:rsidRPr="008D66B1">
        <w:rPr>
          <w:rFonts w:ascii="Arial" w:hAnsi="Arial" w:cs="Arial"/>
          <w:sz w:val="20"/>
          <w:szCs w:val="20"/>
        </w:rPr>
        <w:t xml:space="preserve"> dolga. Največji delež izterjanih sredstev </w:t>
      </w:r>
      <w:r>
        <w:rPr>
          <w:rFonts w:ascii="Arial" w:hAnsi="Arial" w:cs="Arial"/>
          <w:sz w:val="20"/>
          <w:szCs w:val="20"/>
        </w:rPr>
        <w:t>so</w:t>
      </w:r>
      <w:r w:rsidRPr="008D66B1">
        <w:rPr>
          <w:rFonts w:ascii="Arial" w:hAnsi="Arial" w:cs="Arial"/>
          <w:sz w:val="20"/>
          <w:szCs w:val="20"/>
        </w:rPr>
        <w:t xml:space="preserve"> plačila na podlagi pisnih opominov in pozivov, in sicer imajo skupaj 54,1</w:t>
      </w:r>
      <w:r>
        <w:rPr>
          <w:rFonts w:ascii="Arial" w:hAnsi="Arial" w:cs="Arial"/>
          <w:sz w:val="20"/>
          <w:szCs w:val="20"/>
        </w:rPr>
        <w:t xml:space="preserve">-odstotni </w:t>
      </w:r>
      <w:r w:rsidRPr="008D66B1">
        <w:rPr>
          <w:rFonts w:ascii="Arial" w:hAnsi="Arial" w:cs="Arial"/>
          <w:sz w:val="20"/>
          <w:szCs w:val="20"/>
        </w:rPr>
        <w:t>delež. Plačila po sklepih imajo 45,9</w:t>
      </w:r>
      <w:r>
        <w:rPr>
          <w:rFonts w:ascii="Arial" w:hAnsi="Arial" w:cs="Arial"/>
          <w:sz w:val="20"/>
          <w:szCs w:val="20"/>
        </w:rPr>
        <w:t xml:space="preserve">-odstotni </w:t>
      </w:r>
      <w:r w:rsidRPr="008D66B1">
        <w:rPr>
          <w:rFonts w:ascii="Arial" w:hAnsi="Arial" w:cs="Arial"/>
          <w:sz w:val="20"/>
          <w:szCs w:val="20"/>
        </w:rPr>
        <w:t>delež vseh plačil.</w:t>
      </w:r>
      <w:r w:rsidR="0024486B">
        <w:rPr>
          <w:rFonts w:ascii="Arial" w:hAnsi="Arial" w:cs="Arial"/>
          <w:sz w:val="20"/>
          <w:szCs w:val="20"/>
        </w:rPr>
        <w:t xml:space="preserve"> </w:t>
      </w:r>
    </w:p>
    <w:p w14:paraId="6FC0C91F" w14:textId="5A73FF13" w:rsidR="00D847F2" w:rsidRPr="008D66B1" w:rsidRDefault="00D847F2" w:rsidP="00D847F2">
      <w:pPr>
        <w:jc w:val="both"/>
        <w:rPr>
          <w:rFonts w:ascii="Arial" w:hAnsi="Arial" w:cs="Arial"/>
          <w:sz w:val="20"/>
          <w:szCs w:val="20"/>
        </w:rPr>
      </w:pPr>
      <w:r w:rsidRPr="008D66B1">
        <w:rPr>
          <w:rFonts w:ascii="Arial" w:hAnsi="Arial" w:cs="Arial"/>
          <w:sz w:val="20"/>
          <w:szCs w:val="20"/>
        </w:rPr>
        <w:t>Med izdanimi sklepi o izvršbi tudi v primeru izterjave nedavčnih obveznosti prevladujejo sklepi o izvršbi na denarna sredstva pri bankah in hranilnicah. Navedenih sklepov je bilo v letu 2022 izdanih 117.418</w:t>
      </w:r>
      <w:r w:rsidR="00992912">
        <w:rPr>
          <w:rFonts w:ascii="Arial" w:hAnsi="Arial" w:cs="Arial"/>
          <w:sz w:val="20"/>
          <w:szCs w:val="20"/>
        </w:rPr>
        <w:t xml:space="preserve"> </w:t>
      </w:r>
      <w:r w:rsidRPr="008D66B1">
        <w:rPr>
          <w:rFonts w:ascii="Arial" w:hAnsi="Arial" w:cs="Arial"/>
          <w:sz w:val="20"/>
          <w:szCs w:val="20"/>
        </w:rPr>
        <w:t xml:space="preserve">(84 </w:t>
      </w:r>
      <w:r>
        <w:rPr>
          <w:rFonts w:ascii="Arial" w:hAnsi="Arial" w:cs="Arial"/>
          <w:sz w:val="20"/>
          <w:szCs w:val="20"/>
        </w:rPr>
        <w:t>odstotkov</w:t>
      </w:r>
      <w:r w:rsidRPr="008D66B1">
        <w:rPr>
          <w:rFonts w:ascii="Arial" w:hAnsi="Arial" w:cs="Arial"/>
          <w:sz w:val="20"/>
          <w:szCs w:val="20"/>
        </w:rPr>
        <w:t xml:space="preserve"> vseh). Sledijo sklepi o izvršbi na denarne prejemke 19.722 (14,1 </w:t>
      </w:r>
      <w:r>
        <w:rPr>
          <w:rFonts w:ascii="Arial" w:hAnsi="Arial" w:cs="Arial"/>
          <w:sz w:val="20"/>
          <w:szCs w:val="20"/>
        </w:rPr>
        <w:t>odstotek</w:t>
      </w:r>
      <w:r w:rsidRPr="008D66B1">
        <w:rPr>
          <w:rFonts w:ascii="Arial" w:hAnsi="Arial" w:cs="Arial"/>
          <w:sz w:val="20"/>
          <w:szCs w:val="20"/>
        </w:rPr>
        <w:t xml:space="preserve">). Izvršba na dolžnikove premičnine je bila začeta v 2.528 primerih (1,8 </w:t>
      </w:r>
      <w:r>
        <w:rPr>
          <w:rFonts w:ascii="Arial" w:hAnsi="Arial" w:cs="Arial"/>
          <w:sz w:val="20"/>
          <w:szCs w:val="20"/>
        </w:rPr>
        <w:t>odstotka</w:t>
      </w:r>
      <w:r w:rsidRPr="008D66B1">
        <w:rPr>
          <w:rFonts w:ascii="Arial" w:hAnsi="Arial" w:cs="Arial"/>
          <w:sz w:val="20"/>
          <w:szCs w:val="20"/>
        </w:rPr>
        <w:t>), izvršba na denarne terjatve dolžnikov pa v 79 (0,1</w:t>
      </w:r>
      <w:r>
        <w:rPr>
          <w:rFonts w:ascii="Arial" w:hAnsi="Arial" w:cs="Arial"/>
          <w:sz w:val="20"/>
          <w:szCs w:val="20"/>
        </w:rPr>
        <w:t xml:space="preserve"> odstotk</w:t>
      </w:r>
      <w:r w:rsidR="00461A09">
        <w:rPr>
          <w:rFonts w:ascii="Arial" w:hAnsi="Arial" w:cs="Arial"/>
          <w:sz w:val="20"/>
          <w:szCs w:val="20"/>
        </w:rPr>
        <w:t>a</w:t>
      </w:r>
      <w:r w:rsidRPr="008D66B1">
        <w:rPr>
          <w:rFonts w:ascii="Arial" w:hAnsi="Arial" w:cs="Arial"/>
          <w:sz w:val="20"/>
          <w:szCs w:val="20"/>
        </w:rPr>
        <w:t>) primerih.</w:t>
      </w:r>
      <w:r>
        <w:rPr>
          <w:rFonts w:ascii="Arial" w:hAnsi="Arial" w:cs="Arial"/>
          <w:sz w:val="20"/>
          <w:szCs w:val="20"/>
        </w:rPr>
        <w:t xml:space="preserve"> </w:t>
      </w:r>
      <w:r w:rsidRPr="008D66B1">
        <w:rPr>
          <w:rFonts w:ascii="Arial" w:hAnsi="Arial" w:cs="Arial"/>
          <w:sz w:val="20"/>
          <w:szCs w:val="20"/>
        </w:rPr>
        <w:t xml:space="preserve">Najučinkovitejše sredstvo izvršbe z vidika plačil je bila izvršba na denarna sredstva dolžnika pri bankah ali hranilnicah </w:t>
      </w:r>
      <w:r w:rsidR="00461A09">
        <w:rPr>
          <w:rFonts w:ascii="Arial" w:hAnsi="Arial" w:cs="Arial"/>
          <w:sz w:val="20"/>
          <w:szCs w:val="20"/>
        </w:rPr>
        <w:t>s</w:t>
      </w:r>
      <w:r w:rsidRPr="008D66B1">
        <w:rPr>
          <w:rFonts w:ascii="Arial" w:hAnsi="Arial" w:cs="Arial"/>
          <w:sz w:val="20"/>
          <w:szCs w:val="20"/>
        </w:rPr>
        <w:t xml:space="preserve"> 83,8</w:t>
      </w:r>
      <w:r>
        <w:rPr>
          <w:rFonts w:ascii="Arial" w:hAnsi="Arial" w:cs="Arial"/>
          <w:sz w:val="20"/>
          <w:szCs w:val="20"/>
        </w:rPr>
        <w:t xml:space="preserve">-odstotnim </w:t>
      </w:r>
      <w:r w:rsidRPr="008D66B1">
        <w:rPr>
          <w:rFonts w:ascii="Arial" w:hAnsi="Arial" w:cs="Arial"/>
          <w:sz w:val="20"/>
          <w:szCs w:val="20"/>
        </w:rPr>
        <w:t>deležem vseh plačil.</w:t>
      </w:r>
    </w:p>
    <w:p w14:paraId="7D2EB30E" w14:textId="77777777" w:rsidR="00247C3E" w:rsidRDefault="00247C3E" w:rsidP="004E60F1">
      <w:pPr>
        <w:spacing w:after="0"/>
        <w:rPr>
          <w:rFonts w:ascii="Arial" w:hAnsi="Arial" w:cs="Arial"/>
          <w:b/>
        </w:rPr>
      </w:pPr>
      <w:bookmarkStart w:id="31" w:name="_Hlk100062578"/>
    </w:p>
    <w:p w14:paraId="14C91705" w14:textId="6ECE58B9" w:rsidR="00D847F2" w:rsidRDefault="00D847F2" w:rsidP="004E60F1">
      <w:pPr>
        <w:spacing w:after="0"/>
        <w:rPr>
          <w:rFonts w:ascii="Arial" w:hAnsi="Arial" w:cs="Arial"/>
          <w:b/>
        </w:rPr>
      </w:pPr>
      <w:r w:rsidRPr="00A1513A">
        <w:rPr>
          <w:rFonts w:ascii="Arial" w:hAnsi="Arial" w:cs="Arial"/>
          <w:b/>
        </w:rPr>
        <w:t>7 Nadzor</w:t>
      </w:r>
      <w:r w:rsidRPr="00E523D8">
        <w:rPr>
          <w:rFonts w:ascii="Arial" w:hAnsi="Arial" w:cs="Arial"/>
          <w:b/>
        </w:rPr>
        <w:t xml:space="preserve"> </w:t>
      </w:r>
    </w:p>
    <w:p w14:paraId="5F8B7E81" w14:textId="77777777" w:rsidR="004E60F1" w:rsidRDefault="004E60F1" w:rsidP="004E60F1">
      <w:pPr>
        <w:spacing w:after="0"/>
        <w:rPr>
          <w:rFonts w:ascii="Arial" w:hAnsi="Arial" w:cs="Arial"/>
          <w:b/>
        </w:rPr>
      </w:pPr>
    </w:p>
    <w:p w14:paraId="0184DE1B" w14:textId="0622402E" w:rsidR="00D847F2" w:rsidRPr="0081397B" w:rsidRDefault="00D847F2" w:rsidP="00D847F2">
      <w:pPr>
        <w:jc w:val="both"/>
        <w:rPr>
          <w:rFonts w:ascii="Arial" w:hAnsi="Arial" w:cs="Arial"/>
          <w:sz w:val="20"/>
          <w:szCs w:val="20"/>
          <w:lang w:eastAsia="sl-SI"/>
        </w:rPr>
      </w:pPr>
      <w:r w:rsidRPr="0081397B">
        <w:rPr>
          <w:rFonts w:ascii="Arial" w:hAnsi="Arial" w:cs="Arial"/>
          <w:sz w:val="20"/>
          <w:szCs w:val="20"/>
          <w:lang w:eastAsia="sl-SI"/>
        </w:rPr>
        <w:t xml:space="preserve">Ukrepi davčnega nadzora </w:t>
      </w:r>
      <w:r w:rsidR="00461A09">
        <w:rPr>
          <w:rFonts w:ascii="Arial" w:hAnsi="Arial" w:cs="Arial"/>
          <w:sz w:val="20"/>
          <w:szCs w:val="20"/>
          <w:lang w:eastAsia="sl-SI"/>
        </w:rPr>
        <w:t>so</w:t>
      </w:r>
      <w:r w:rsidR="00461A09" w:rsidRPr="0081397B">
        <w:rPr>
          <w:rFonts w:ascii="Arial" w:hAnsi="Arial" w:cs="Arial"/>
          <w:sz w:val="20"/>
          <w:szCs w:val="20"/>
          <w:lang w:eastAsia="sl-SI"/>
        </w:rPr>
        <w:t xml:space="preserve"> </w:t>
      </w:r>
      <w:r w:rsidRPr="0081397B">
        <w:rPr>
          <w:rFonts w:ascii="Arial" w:hAnsi="Arial" w:cs="Arial"/>
          <w:sz w:val="20"/>
          <w:szCs w:val="20"/>
          <w:lang w:eastAsia="sl-SI"/>
        </w:rPr>
        <w:t>en</w:t>
      </w:r>
      <w:r w:rsidR="00461A09">
        <w:rPr>
          <w:rFonts w:ascii="Arial" w:hAnsi="Arial" w:cs="Arial"/>
          <w:sz w:val="20"/>
          <w:szCs w:val="20"/>
          <w:lang w:eastAsia="sl-SI"/>
        </w:rPr>
        <w:t>o</w:t>
      </w:r>
      <w:r w:rsidRPr="0081397B">
        <w:rPr>
          <w:rFonts w:ascii="Arial" w:hAnsi="Arial" w:cs="Arial"/>
          <w:sz w:val="20"/>
          <w:szCs w:val="20"/>
          <w:lang w:eastAsia="sl-SI"/>
        </w:rPr>
        <w:t xml:space="preserve"> </w:t>
      </w:r>
      <w:r w:rsidR="00461A09">
        <w:rPr>
          <w:rFonts w:ascii="Arial" w:hAnsi="Arial" w:cs="Arial"/>
          <w:sz w:val="20"/>
          <w:szCs w:val="20"/>
          <w:lang w:eastAsia="sl-SI"/>
        </w:rPr>
        <w:t>o</w:t>
      </w:r>
      <w:r w:rsidRPr="0081397B">
        <w:rPr>
          <w:rFonts w:ascii="Arial" w:hAnsi="Arial" w:cs="Arial"/>
          <w:sz w:val="20"/>
          <w:szCs w:val="20"/>
          <w:lang w:eastAsia="sl-SI"/>
        </w:rPr>
        <w:t>d orodij, s katerim</w:t>
      </w:r>
      <w:r w:rsidR="00461A09">
        <w:rPr>
          <w:rFonts w:ascii="Arial" w:hAnsi="Arial" w:cs="Arial"/>
          <w:sz w:val="20"/>
          <w:szCs w:val="20"/>
          <w:lang w:eastAsia="sl-SI"/>
        </w:rPr>
        <w:t xml:space="preserve">i </w:t>
      </w:r>
      <w:r w:rsidRPr="0081397B">
        <w:rPr>
          <w:rFonts w:ascii="Arial" w:hAnsi="Arial" w:cs="Arial"/>
          <w:sz w:val="20"/>
          <w:szCs w:val="20"/>
          <w:lang w:eastAsia="sl-SI"/>
        </w:rPr>
        <w:t xml:space="preserve">FURS znižuje davčni razkorak – razliko med vsemi nastalimi obveznostmi iz naslova obveznih dajatev in dejansko pobranimi javnofinančnimi prihodki. Del davčnega dolga </w:t>
      </w:r>
      <w:r>
        <w:rPr>
          <w:rFonts w:ascii="Arial" w:hAnsi="Arial" w:cs="Arial"/>
          <w:sz w:val="20"/>
          <w:szCs w:val="20"/>
          <w:lang w:eastAsia="sl-SI"/>
        </w:rPr>
        <w:t>so</w:t>
      </w:r>
      <w:r w:rsidRPr="0081397B">
        <w:rPr>
          <w:rFonts w:ascii="Arial" w:hAnsi="Arial" w:cs="Arial"/>
          <w:sz w:val="20"/>
          <w:szCs w:val="20"/>
          <w:lang w:eastAsia="sl-SI"/>
        </w:rPr>
        <w:t xml:space="preserve"> obveznosti, odmerjene v postopkih davčnega nadzora, ki jih zavezanci ne poravnajo v zakonskih rokih. Preostali del davčnega razkoraka ni evidentiran kot obveznost v evidencah FURS in se zato ne obravnava kot davčni dolg.</w:t>
      </w:r>
      <w:r w:rsidRPr="0081397B">
        <w:rPr>
          <w:rStyle w:val="Sprotnaopomba-sklic"/>
          <w:rFonts w:ascii="Arial" w:hAnsi="Arial" w:cs="Arial"/>
          <w:sz w:val="20"/>
          <w:szCs w:val="20"/>
          <w:lang w:eastAsia="sl-SI"/>
        </w:rPr>
        <w:footnoteReference w:id="21"/>
      </w:r>
      <w:r w:rsidRPr="0081397B">
        <w:rPr>
          <w:rFonts w:ascii="Arial" w:hAnsi="Arial" w:cs="Arial"/>
          <w:sz w:val="20"/>
          <w:szCs w:val="20"/>
          <w:lang w:eastAsia="sl-SI"/>
        </w:rPr>
        <w:t xml:space="preserve"> </w:t>
      </w:r>
    </w:p>
    <w:p w14:paraId="614969A1" w14:textId="780670D0" w:rsidR="00D847F2" w:rsidRPr="0081397B"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81397B">
        <w:rPr>
          <w:rFonts w:ascii="Arial" w:hAnsi="Arial" w:cs="Arial"/>
          <w:bCs/>
          <w:sz w:val="20"/>
          <w:szCs w:val="20"/>
        </w:rPr>
        <w:lastRenderedPageBreak/>
        <w:t>Najpogostejša oblika nadzora se izvaja neposredno ob predložitvi obračuna, napovedi, deklaracije ali drugega dokumenta za določitev obveznosti. Formalne, logične in računske kontrole, praviloma vgrajene v programsko podporo, določajo obseg in vrsto nepravilnosti, ki jih je treb</w:t>
      </w:r>
      <w:r w:rsidR="00461A09">
        <w:rPr>
          <w:rFonts w:ascii="Arial" w:hAnsi="Arial" w:cs="Arial"/>
          <w:bCs/>
          <w:sz w:val="20"/>
          <w:szCs w:val="20"/>
        </w:rPr>
        <w:t>a</w:t>
      </w:r>
      <w:r w:rsidRPr="0081397B">
        <w:rPr>
          <w:rFonts w:ascii="Arial" w:hAnsi="Arial" w:cs="Arial"/>
          <w:bCs/>
          <w:sz w:val="20"/>
          <w:szCs w:val="20"/>
        </w:rPr>
        <w:t xml:space="preserve"> preveriti ob sprejemu vhodnega dokumenta. </w:t>
      </w:r>
      <w:r>
        <w:rPr>
          <w:rFonts w:ascii="Arial" w:hAnsi="Arial" w:cs="Arial"/>
          <w:bCs/>
          <w:sz w:val="20"/>
          <w:szCs w:val="20"/>
        </w:rPr>
        <w:t>V</w:t>
      </w:r>
      <w:r w:rsidRPr="0081397B">
        <w:rPr>
          <w:rFonts w:ascii="Arial" w:hAnsi="Arial" w:cs="Arial"/>
          <w:bCs/>
          <w:sz w:val="20"/>
          <w:szCs w:val="20"/>
        </w:rPr>
        <w:t xml:space="preserve"> to obliko nadzora sodi tudi preverjanje pravočasnosti predlaganja dokumentov, ki so podlaga za določitev obveznosti, ter pozivanje zavezancev k predložitvi teh dokumentov. Pomemben vpliv na zmanjšanje obsega izvajanja tovrstnega nadzora imajo sprejeti instituti, ki zagotavljajo dosledno evidentiranje nastalih obveznih dajatev v evidencah </w:t>
      </w:r>
      <w:r w:rsidRPr="00B85075">
        <w:rPr>
          <w:rFonts w:ascii="Arial" w:hAnsi="Arial" w:cs="Arial"/>
          <w:bCs/>
          <w:sz w:val="20"/>
          <w:szCs w:val="20"/>
        </w:rPr>
        <w:t xml:space="preserve">FURS – </w:t>
      </w:r>
      <w:r w:rsidR="0024486B">
        <w:rPr>
          <w:rFonts w:ascii="Arial" w:hAnsi="Arial" w:cs="Arial"/>
          <w:bCs/>
          <w:sz w:val="20"/>
          <w:szCs w:val="20"/>
        </w:rPr>
        <w:t>na primer</w:t>
      </w:r>
      <w:r w:rsidRPr="00B85075">
        <w:rPr>
          <w:rFonts w:ascii="Arial" w:hAnsi="Arial" w:cs="Arial"/>
          <w:bCs/>
          <w:sz w:val="20"/>
          <w:szCs w:val="20"/>
        </w:rPr>
        <w:t xml:space="preserve"> </w:t>
      </w:r>
      <w:proofErr w:type="spellStart"/>
      <w:r w:rsidRPr="00B85075">
        <w:rPr>
          <w:rFonts w:ascii="Arial" w:hAnsi="Arial" w:cs="Arial"/>
          <w:bCs/>
          <w:sz w:val="20"/>
          <w:szCs w:val="20"/>
        </w:rPr>
        <w:t>predizpolnjeni</w:t>
      </w:r>
      <w:proofErr w:type="spellEnd"/>
      <w:r w:rsidRPr="0081397B">
        <w:rPr>
          <w:rFonts w:ascii="Arial" w:hAnsi="Arial" w:cs="Arial"/>
          <w:bCs/>
          <w:sz w:val="20"/>
          <w:szCs w:val="20"/>
        </w:rPr>
        <w:t xml:space="preserve"> obračuni prispevkov za socialno varnost za samozaposlene, kmete in osebe, ki so v zavarovanje vključene prostovoljno.</w:t>
      </w:r>
    </w:p>
    <w:p w14:paraId="58662BB1" w14:textId="2A22C597" w:rsidR="00D847F2" w:rsidRPr="0081397B" w:rsidRDefault="00D847F2" w:rsidP="00D847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0"/>
          <w:szCs w:val="20"/>
        </w:rPr>
      </w:pPr>
      <w:r w:rsidRPr="0081397B">
        <w:rPr>
          <w:rFonts w:ascii="Arial" w:hAnsi="Arial" w:cs="Arial"/>
          <w:bCs/>
          <w:sz w:val="20"/>
          <w:szCs w:val="20"/>
        </w:rPr>
        <w:t>Vse pomembnejši del nadzora so poglobljen</w:t>
      </w:r>
      <w:r>
        <w:rPr>
          <w:rFonts w:ascii="Arial" w:hAnsi="Arial" w:cs="Arial"/>
          <w:bCs/>
          <w:sz w:val="20"/>
          <w:szCs w:val="20"/>
        </w:rPr>
        <w:t>i vsebinski nadzori oziroma</w:t>
      </w:r>
      <w:r w:rsidRPr="0081397B">
        <w:rPr>
          <w:rFonts w:ascii="Arial" w:hAnsi="Arial" w:cs="Arial"/>
          <w:bCs/>
          <w:sz w:val="20"/>
          <w:szCs w:val="20"/>
        </w:rPr>
        <w:t xml:space="preserve"> kontrole, ki jih opravljajo kontrolorji. FURS si prizadeva za povečevanje deleža navedenih kontrol, </w:t>
      </w:r>
      <w:r>
        <w:rPr>
          <w:rFonts w:ascii="Arial" w:hAnsi="Arial" w:cs="Arial"/>
          <w:bCs/>
          <w:sz w:val="20"/>
          <w:szCs w:val="20"/>
        </w:rPr>
        <w:t>prvi pogoj</w:t>
      </w:r>
      <w:r w:rsidRPr="0081397B">
        <w:rPr>
          <w:rFonts w:ascii="Arial" w:hAnsi="Arial" w:cs="Arial"/>
          <w:bCs/>
          <w:sz w:val="20"/>
          <w:szCs w:val="20"/>
        </w:rPr>
        <w:t xml:space="preserve"> za to pa je razbremenitev kontrolorjev z nekaterimi drugimi nalogami. Že omenjeni </w:t>
      </w:r>
      <w:proofErr w:type="spellStart"/>
      <w:r w:rsidRPr="0081397B">
        <w:rPr>
          <w:rFonts w:ascii="Arial" w:hAnsi="Arial" w:cs="Arial"/>
          <w:bCs/>
          <w:sz w:val="20"/>
          <w:szCs w:val="20"/>
        </w:rPr>
        <w:t>predizpolnjeni</w:t>
      </w:r>
      <w:proofErr w:type="spellEnd"/>
      <w:r w:rsidRPr="0081397B">
        <w:rPr>
          <w:rFonts w:ascii="Arial" w:hAnsi="Arial" w:cs="Arial"/>
          <w:bCs/>
          <w:sz w:val="20"/>
          <w:szCs w:val="20"/>
        </w:rPr>
        <w:t xml:space="preserve"> obračuni prispevkov za socialno varnost</w:t>
      </w:r>
      <w:r>
        <w:rPr>
          <w:rFonts w:ascii="Arial" w:hAnsi="Arial" w:cs="Arial"/>
          <w:bCs/>
          <w:sz w:val="20"/>
          <w:szCs w:val="20"/>
        </w:rPr>
        <w:t xml:space="preserve"> in</w:t>
      </w:r>
      <w:r w:rsidRPr="0081397B">
        <w:rPr>
          <w:rFonts w:ascii="Arial" w:hAnsi="Arial" w:cs="Arial"/>
          <w:bCs/>
          <w:sz w:val="20"/>
          <w:szCs w:val="20"/>
        </w:rPr>
        <w:t xml:space="preserve"> sprememba </w:t>
      </w:r>
      <w:r>
        <w:rPr>
          <w:rFonts w:ascii="Arial" w:hAnsi="Arial" w:cs="Arial"/>
          <w:bCs/>
          <w:sz w:val="20"/>
          <w:szCs w:val="20"/>
        </w:rPr>
        <w:t>načina obveščanja</w:t>
      </w:r>
      <w:r w:rsidRPr="0081397B">
        <w:rPr>
          <w:rFonts w:ascii="Arial" w:hAnsi="Arial" w:cs="Arial"/>
          <w:bCs/>
          <w:sz w:val="20"/>
          <w:szCs w:val="20"/>
        </w:rPr>
        <w:t xml:space="preserve"> zavezancev so le nekateri ukrepi, ki omogočajo preusmerjanje kontrolnih postopkov v vsebinsko zahtevnejše nadzore.</w:t>
      </w:r>
      <w:r w:rsidR="00992912">
        <w:rPr>
          <w:rFonts w:ascii="Arial" w:hAnsi="Arial" w:cs="Arial"/>
          <w:bCs/>
          <w:sz w:val="20"/>
          <w:szCs w:val="20"/>
        </w:rPr>
        <w:t xml:space="preserve"> </w:t>
      </w:r>
    </w:p>
    <w:p w14:paraId="62A70150" w14:textId="1302FD29" w:rsidR="00D847F2" w:rsidRPr="00ED4F40" w:rsidRDefault="00D847F2" w:rsidP="00D847F2">
      <w:pPr>
        <w:jc w:val="both"/>
        <w:rPr>
          <w:rFonts w:ascii="Arial" w:hAnsi="Arial" w:cs="Arial"/>
          <w:color w:val="000000"/>
          <w:sz w:val="20"/>
          <w:szCs w:val="20"/>
        </w:rPr>
      </w:pPr>
      <w:r w:rsidRPr="00ED4F40">
        <w:rPr>
          <w:rFonts w:ascii="Arial" w:hAnsi="Arial" w:cs="Arial"/>
          <w:color w:val="000000"/>
          <w:sz w:val="20"/>
          <w:szCs w:val="20"/>
        </w:rPr>
        <w:t xml:space="preserve">Inšpekcijski nadzor je namenjen sistemskemu naknadnemu nadzoru zavezancev. Ta se zagotavlja z letnim načrtom, ki se pripravi z analizo tveganja in objektivnimi </w:t>
      </w:r>
      <w:r w:rsidR="00461A09">
        <w:rPr>
          <w:rFonts w:ascii="Arial" w:hAnsi="Arial" w:cs="Arial"/>
          <w:color w:val="000000"/>
          <w:sz w:val="20"/>
          <w:szCs w:val="20"/>
        </w:rPr>
        <w:t>merili</w:t>
      </w:r>
      <w:r w:rsidRPr="00ED4F40">
        <w:rPr>
          <w:rFonts w:ascii="Arial" w:hAnsi="Arial" w:cs="Arial"/>
          <w:color w:val="000000"/>
          <w:sz w:val="20"/>
          <w:szCs w:val="20"/>
        </w:rPr>
        <w:t>, s katerimi se upošteva</w:t>
      </w:r>
      <w:r w:rsidR="00461A09">
        <w:rPr>
          <w:rFonts w:ascii="Arial" w:hAnsi="Arial" w:cs="Arial"/>
          <w:color w:val="000000"/>
          <w:sz w:val="20"/>
          <w:szCs w:val="20"/>
        </w:rPr>
        <w:t>ta</w:t>
      </w:r>
      <w:r w:rsidRPr="00ED4F40">
        <w:rPr>
          <w:rFonts w:ascii="Arial" w:hAnsi="Arial" w:cs="Arial"/>
          <w:color w:val="000000"/>
          <w:sz w:val="20"/>
          <w:szCs w:val="20"/>
        </w:rPr>
        <w:t xml:space="preserve"> načelo enakomernega izvajanja inšpekcijskega nadzora vseh zavezancev za davek in načelo pomembnosti davka, ki ga zavezanec za davek prispeva v javnofinančnih prihodkih. Inšpekcijski nadzori postajajo vse bolj ciljno usmerjeni, kar zagotavlja večjo učinkovitost nadzornih postopkov, hkrati pa se s tem zmanjšuje čas opravljanja posameznega nadzora. </w:t>
      </w:r>
    </w:p>
    <w:p w14:paraId="3BEA3600" w14:textId="77777777" w:rsidR="00D847F2" w:rsidRDefault="00D847F2" w:rsidP="00D847F2">
      <w:pPr>
        <w:jc w:val="both"/>
        <w:rPr>
          <w:rFonts w:ascii="Arial" w:hAnsi="Arial" w:cs="Arial"/>
          <w:color w:val="000000"/>
          <w:sz w:val="20"/>
          <w:szCs w:val="20"/>
        </w:rPr>
      </w:pPr>
      <w:r w:rsidRPr="00ED4F40">
        <w:rPr>
          <w:rFonts w:ascii="Arial" w:hAnsi="Arial" w:cs="Arial"/>
          <w:color w:val="000000"/>
          <w:sz w:val="20"/>
          <w:szCs w:val="20"/>
        </w:rPr>
        <w:t xml:space="preserve">Finančne preiskave zagotavljajo enoten in organiziran pristop k preprečevanju, preiskovanju in odkrivanju zahtevnejših oblik delovanja, ki ogroža finančni interes, varstvo in varnost države. Osredotočajo se predvsem na primere, v katerih je zaznano usklajeno delovanje več povezanih subjektov, ki je načrtno usmerjeno v izogibanje oziroma utajevanje plačevanja dajatev. Hkrati </w:t>
      </w:r>
      <w:r>
        <w:rPr>
          <w:rFonts w:ascii="Arial" w:hAnsi="Arial" w:cs="Arial"/>
          <w:color w:val="000000"/>
          <w:sz w:val="20"/>
          <w:szCs w:val="20"/>
        </w:rPr>
        <w:t>so</w:t>
      </w:r>
      <w:r w:rsidRPr="00ED4F40">
        <w:rPr>
          <w:rFonts w:ascii="Arial" w:hAnsi="Arial" w:cs="Arial"/>
          <w:color w:val="000000"/>
          <w:sz w:val="20"/>
          <w:szCs w:val="20"/>
        </w:rPr>
        <w:t xml:space="preserve"> del </w:t>
      </w:r>
      <w:r>
        <w:rPr>
          <w:rFonts w:ascii="Arial" w:hAnsi="Arial" w:cs="Arial"/>
          <w:color w:val="000000"/>
          <w:sz w:val="20"/>
          <w:szCs w:val="20"/>
        </w:rPr>
        <w:t>usklajenega</w:t>
      </w:r>
      <w:r w:rsidRPr="00ED4F40">
        <w:rPr>
          <w:rFonts w:ascii="Arial" w:hAnsi="Arial" w:cs="Arial"/>
          <w:color w:val="000000"/>
          <w:sz w:val="20"/>
          <w:szCs w:val="20"/>
        </w:rPr>
        <w:t xml:space="preserve"> institucionalnega odzivanja na zahtevne oblike finančnega in gospodarskega kriminala znotraj države kot tudi na mednarodni ravni. Učinki finančnih preiskav so v nadaljevanju predstavljeni v okviru inšpekcijskih nadzorov. </w:t>
      </w:r>
    </w:p>
    <w:p w14:paraId="232672F9" w14:textId="74B6D66C" w:rsidR="00D847F2" w:rsidRPr="00621D8A" w:rsidRDefault="00D847F2" w:rsidP="00D847F2">
      <w:pPr>
        <w:jc w:val="both"/>
        <w:rPr>
          <w:rFonts w:ascii="Arial" w:hAnsi="Arial" w:cs="Arial"/>
          <w:color w:val="000000"/>
          <w:sz w:val="20"/>
          <w:szCs w:val="20"/>
        </w:rPr>
      </w:pPr>
      <w:r w:rsidRPr="009E7683">
        <w:rPr>
          <w:rFonts w:ascii="Arial" w:hAnsi="Arial" w:cs="Arial"/>
          <w:color w:val="000000"/>
          <w:sz w:val="20"/>
          <w:szCs w:val="20"/>
        </w:rPr>
        <w:t>V letu 202</w:t>
      </w:r>
      <w:r>
        <w:rPr>
          <w:rFonts w:ascii="Arial" w:hAnsi="Arial" w:cs="Arial"/>
          <w:color w:val="000000"/>
          <w:sz w:val="20"/>
          <w:szCs w:val="20"/>
        </w:rPr>
        <w:t>2</w:t>
      </w:r>
      <w:r w:rsidRPr="009E7683">
        <w:rPr>
          <w:rFonts w:ascii="Arial" w:hAnsi="Arial" w:cs="Arial"/>
          <w:color w:val="000000"/>
          <w:sz w:val="20"/>
          <w:szCs w:val="20"/>
        </w:rPr>
        <w:t xml:space="preserve"> so se v kontroli, inšpekciji, preiskavah in mobilnih oddelkih izvajali ciljno usmerjeni nadzori na področjih obdavčitve davka od dohodkov pravnih oseb in davka od dohodkov iz dejavnosti, na področju pravilnosti in pravočasnosti obračunavanja DDV, sistemskih utaj DDV in DDV v mednarodnem cestnem prevozu potnikov, nadzori na področju davkov in prispevkov od dohodkov fizičnih oseb, elektronskega poslovanja, na področju carin, trošarin, </w:t>
      </w:r>
      <w:proofErr w:type="spellStart"/>
      <w:r w:rsidRPr="009E7683">
        <w:rPr>
          <w:rFonts w:ascii="Arial" w:hAnsi="Arial" w:cs="Arial"/>
          <w:color w:val="000000"/>
          <w:sz w:val="20"/>
          <w:szCs w:val="20"/>
        </w:rPr>
        <w:t>okoljskih</w:t>
      </w:r>
      <w:proofErr w:type="spellEnd"/>
      <w:r w:rsidRPr="009E7683">
        <w:rPr>
          <w:rFonts w:ascii="Arial" w:hAnsi="Arial" w:cs="Arial"/>
          <w:color w:val="000000"/>
          <w:sz w:val="20"/>
          <w:szCs w:val="20"/>
        </w:rPr>
        <w:t xml:space="preserve"> dajatev, poslovanja z davčnimi oazami, prijave premoženja fizičnih oseb ter transfernih cen. F</w:t>
      </w:r>
      <w:r>
        <w:rPr>
          <w:rFonts w:ascii="Arial" w:hAnsi="Arial" w:cs="Arial"/>
          <w:color w:val="000000"/>
          <w:sz w:val="20"/>
          <w:szCs w:val="20"/>
        </w:rPr>
        <w:t xml:space="preserve">URS </w:t>
      </w:r>
      <w:r w:rsidRPr="009E7683">
        <w:rPr>
          <w:rFonts w:ascii="Arial" w:hAnsi="Arial" w:cs="Arial"/>
          <w:color w:val="000000"/>
          <w:sz w:val="20"/>
          <w:szCs w:val="20"/>
        </w:rPr>
        <w:t>je tudi v letu 202</w:t>
      </w:r>
      <w:r>
        <w:rPr>
          <w:rFonts w:ascii="Arial" w:hAnsi="Arial" w:cs="Arial"/>
          <w:color w:val="000000"/>
          <w:sz w:val="20"/>
          <w:szCs w:val="20"/>
        </w:rPr>
        <w:t>2</w:t>
      </w:r>
      <w:r w:rsidRPr="009E7683">
        <w:rPr>
          <w:rFonts w:ascii="Arial" w:hAnsi="Arial" w:cs="Arial"/>
          <w:color w:val="000000"/>
          <w:sz w:val="20"/>
          <w:szCs w:val="20"/>
        </w:rPr>
        <w:t xml:space="preserve"> namenil posebno pozornost boju zoper sivo ekonomijo, katere nadzor je bil </w:t>
      </w:r>
      <w:r w:rsidR="00461A09">
        <w:rPr>
          <w:rFonts w:ascii="Arial" w:hAnsi="Arial" w:cs="Arial"/>
          <w:color w:val="000000"/>
          <w:sz w:val="20"/>
          <w:szCs w:val="20"/>
        </w:rPr>
        <w:t>pretežno</w:t>
      </w:r>
      <w:r w:rsidRPr="009E7683">
        <w:rPr>
          <w:rFonts w:ascii="Arial" w:hAnsi="Arial" w:cs="Arial"/>
          <w:color w:val="000000"/>
          <w:sz w:val="20"/>
          <w:szCs w:val="20"/>
        </w:rPr>
        <w:t xml:space="preserve"> usmerjen na nadzor dela in </w:t>
      </w:r>
      <w:r w:rsidRPr="00621D8A">
        <w:rPr>
          <w:rFonts w:ascii="Arial" w:hAnsi="Arial" w:cs="Arial"/>
          <w:color w:val="000000"/>
          <w:sz w:val="20"/>
          <w:szCs w:val="20"/>
        </w:rPr>
        <w:t>zaposlovanja na črno ter nadzor davčnih blagajn.</w:t>
      </w:r>
    </w:p>
    <w:p w14:paraId="5FD93839" w14:textId="77777777" w:rsidR="006E5CB1" w:rsidRDefault="00D847F2" w:rsidP="00D847F2">
      <w:pPr>
        <w:jc w:val="both"/>
        <w:rPr>
          <w:rFonts w:ascii="Arial" w:hAnsi="Arial" w:cs="Arial"/>
          <w:color w:val="000000"/>
          <w:sz w:val="20"/>
          <w:szCs w:val="20"/>
        </w:rPr>
      </w:pPr>
      <w:r w:rsidRPr="00621D8A">
        <w:rPr>
          <w:rFonts w:ascii="Arial" w:hAnsi="Arial" w:cs="Arial"/>
          <w:color w:val="000000"/>
          <w:sz w:val="20"/>
          <w:szCs w:val="20"/>
        </w:rPr>
        <w:t xml:space="preserve">Ukrepi za preprečevanje širjenja epidemije </w:t>
      </w:r>
      <w:r>
        <w:rPr>
          <w:rFonts w:ascii="Arial" w:hAnsi="Arial" w:cs="Arial"/>
          <w:color w:val="000000"/>
          <w:sz w:val="20"/>
          <w:szCs w:val="20"/>
        </w:rPr>
        <w:t>covida</w:t>
      </w:r>
      <w:r w:rsidRPr="00621D8A">
        <w:rPr>
          <w:rFonts w:ascii="Arial" w:hAnsi="Arial" w:cs="Arial"/>
          <w:color w:val="000000"/>
          <w:sz w:val="20"/>
          <w:szCs w:val="20"/>
        </w:rPr>
        <w:t>-19 so v začetku leta 2022 še posegali v aktivnosti zavezancev za davek, čemur je bilo treb</w:t>
      </w:r>
      <w:r w:rsidR="004337C0">
        <w:rPr>
          <w:rFonts w:ascii="Arial" w:hAnsi="Arial" w:cs="Arial"/>
          <w:color w:val="000000"/>
          <w:sz w:val="20"/>
          <w:szCs w:val="20"/>
        </w:rPr>
        <w:t>a</w:t>
      </w:r>
      <w:r w:rsidRPr="00621D8A">
        <w:rPr>
          <w:rFonts w:ascii="Arial" w:hAnsi="Arial" w:cs="Arial"/>
          <w:color w:val="000000"/>
          <w:sz w:val="20"/>
          <w:szCs w:val="20"/>
        </w:rPr>
        <w:t xml:space="preserve"> prilagoditi tudi delovanje FURS na področju nadzora. </w:t>
      </w:r>
    </w:p>
    <w:p w14:paraId="15156D30" w14:textId="1F321841" w:rsidR="00D847F2" w:rsidRPr="00621D8A" w:rsidRDefault="00D847F2" w:rsidP="00D847F2">
      <w:pPr>
        <w:jc w:val="both"/>
        <w:rPr>
          <w:rFonts w:ascii="Arial" w:hAnsi="Arial" w:cs="Arial"/>
          <w:color w:val="000000"/>
          <w:sz w:val="20"/>
          <w:szCs w:val="20"/>
        </w:rPr>
      </w:pPr>
      <w:r w:rsidRPr="00621D8A">
        <w:rPr>
          <w:rFonts w:ascii="Arial" w:hAnsi="Arial" w:cs="Arial"/>
          <w:color w:val="000000"/>
          <w:sz w:val="20"/>
          <w:szCs w:val="20"/>
        </w:rPr>
        <w:t>FURS je, upoštevajoč okoliščine zaradi širjenja okužb</w:t>
      </w:r>
      <w:r w:rsidRPr="00621D8A">
        <w:rPr>
          <w:rFonts w:ascii="Arial" w:hAnsi="Arial" w:cs="Arial"/>
          <w:sz w:val="20"/>
          <w:szCs w:val="20"/>
        </w:rPr>
        <w:t xml:space="preserve"> v skladu s strateškimi usmeritvami v </w:t>
      </w:r>
      <w:r w:rsidR="004337C0">
        <w:rPr>
          <w:rFonts w:ascii="Arial" w:hAnsi="Arial" w:cs="Arial"/>
          <w:sz w:val="20"/>
          <w:szCs w:val="20"/>
        </w:rPr>
        <w:t xml:space="preserve">usklajevanju oziroma </w:t>
      </w:r>
      <w:r w:rsidRPr="00621D8A">
        <w:rPr>
          <w:rFonts w:ascii="Arial" w:hAnsi="Arial" w:cs="Arial"/>
          <w:sz w:val="20"/>
          <w:szCs w:val="20"/>
        </w:rPr>
        <w:t xml:space="preserve">koordinaciji </w:t>
      </w:r>
      <w:r>
        <w:rPr>
          <w:rFonts w:ascii="Arial" w:hAnsi="Arial" w:cs="Arial"/>
          <w:sz w:val="20"/>
          <w:szCs w:val="20"/>
        </w:rPr>
        <w:t>m</w:t>
      </w:r>
      <w:r w:rsidRPr="00621D8A">
        <w:rPr>
          <w:rFonts w:ascii="Arial" w:hAnsi="Arial" w:cs="Arial"/>
          <w:sz w:val="20"/>
          <w:szCs w:val="20"/>
        </w:rPr>
        <w:t>inistrstva za javno upravo (</w:t>
      </w:r>
      <w:r w:rsidR="004337C0">
        <w:rPr>
          <w:rFonts w:ascii="Arial" w:hAnsi="Arial" w:cs="Arial"/>
          <w:sz w:val="20"/>
          <w:szCs w:val="20"/>
        </w:rPr>
        <w:t>i</w:t>
      </w:r>
      <w:r w:rsidRPr="00621D8A">
        <w:rPr>
          <w:rFonts w:ascii="Arial" w:hAnsi="Arial" w:cs="Arial"/>
          <w:sz w:val="20"/>
          <w:szCs w:val="20"/>
        </w:rPr>
        <w:t>nšpekcijski svet)</w:t>
      </w:r>
      <w:r w:rsidRPr="00621D8A">
        <w:rPr>
          <w:rFonts w:ascii="Arial" w:hAnsi="Arial" w:cs="Arial"/>
          <w:color w:val="000000"/>
          <w:sz w:val="20"/>
          <w:szCs w:val="20"/>
        </w:rPr>
        <w:t xml:space="preserve">, svoje usmeritve na področju nadzora </w:t>
      </w:r>
      <w:r w:rsidR="004337C0" w:rsidRPr="00621D8A">
        <w:rPr>
          <w:rFonts w:ascii="Arial" w:hAnsi="Arial" w:cs="Arial"/>
          <w:color w:val="000000"/>
          <w:sz w:val="20"/>
          <w:szCs w:val="20"/>
        </w:rPr>
        <w:t xml:space="preserve">ustrezno prilagajal </w:t>
      </w:r>
      <w:r w:rsidRPr="00621D8A">
        <w:rPr>
          <w:rFonts w:ascii="Arial" w:hAnsi="Arial" w:cs="Arial"/>
          <w:color w:val="000000"/>
          <w:sz w:val="20"/>
          <w:szCs w:val="20"/>
        </w:rPr>
        <w:t>tudi v letu 2022.</w:t>
      </w:r>
    </w:p>
    <w:p w14:paraId="720A7CC9" w14:textId="65B56D7F" w:rsidR="00D847F2" w:rsidRDefault="00D847F2" w:rsidP="00D847F2">
      <w:pPr>
        <w:jc w:val="both"/>
        <w:rPr>
          <w:rFonts w:ascii="Arial" w:hAnsi="Arial" w:cs="Arial"/>
          <w:i/>
          <w:color w:val="000000"/>
          <w:sz w:val="20"/>
          <w:szCs w:val="20"/>
        </w:rPr>
      </w:pPr>
      <w:r w:rsidRPr="00ED4F40">
        <w:rPr>
          <w:rFonts w:ascii="Arial" w:hAnsi="Arial" w:cs="Arial"/>
          <w:i/>
          <w:color w:val="000000"/>
          <w:sz w:val="20"/>
          <w:szCs w:val="20"/>
        </w:rPr>
        <w:t>Preglednica 2</w:t>
      </w:r>
      <w:r>
        <w:rPr>
          <w:rFonts w:ascii="Arial" w:hAnsi="Arial" w:cs="Arial"/>
          <w:i/>
          <w:color w:val="000000"/>
          <w:sz w:val="20"/>
          <w:szCs w:val="20"/>
        </w:rPr>
        <w:t>7</w:t>
      </w:r>
      <w:r w:rsidRPr="00ED4F40">
        <w:rPr>
          <w:rFonts w:ascii="Arial" w:hAnsi="Arial" w:cs="Arial"/>
          <w:i/>
          <w:color w:val="000000"/>
          <w:sz w:val="20"/>
          <w:szCs w:val="20"/>
        </w:rPr>
        <w:t>: Učinki davčnega nadzora (zneski v EUR)</w:t>
      </w:r>
    </w:p>
    <w:tbl>
      <w:tblPr>
        <w:tblW w:w="9187" w:type="dxa"/>
        <w:tblLayout w:type="fixed"/>
        <w:tblCellMar>
          <w:left w:w="70" w:type="dxa"/>
          <w:right w:w="70" w:type="dxa"/>
        </w:tblCellMar>
        <w:tblLook w:val="04A0" w:firstRow="1" w:lastRow="0" w:firstColumn="1" w:lastColumn="0" w:noHBand="0" w:noVBand="1"/>
      </w:tblPr>
      <w:tblGrid>
        <w:gridCol w:w="2009"/>
        <w:gridCol w:w="1196"/>
        <w:gridCol w:w="1196"/>
        <w:gridCol w:w="1197"/>
        <w:gridCol w:w="1196"/>
        <w:gridCol w:w="1196"/>
        <w:gridCol w:w="1197"/>
      </w:tblGrid>
      <w:tr w:rsidR="00D847F2" w:rsidRPr="00A1513A" w14:paraId="6DC0BC84" w14:textId="77777777" w:rsidTr="00556699">
        <w:trPr>
          <w:trHeight w:val="548"/>
        </w:trPr>
        <w:tc>
          <w:tcPr>
            <w:tcW w:w="2009" w:type="dxa"/>
            <w:tcBorders>
              <w:top w:val="single" w:sz="4" w:space="0" w:color="auto"/>
              <w:left w:val="single" w:sz="4" w:space="0" w:color="auto"/>
              <w:bottom w:val="single" w:sz="4" w:space="0" w:color="auto"/>
              <w:right w:val="single" w:sz="4" w:space="0" w:color="auto"/>
            </w:tcBorders>
            <w:shd w:val="clear" w:color="auto" w:fill="31869B"/>
            <w:vAlign w:val="center"/>
            <w:hideMark/>
          </w:tcPr>
          <w:p w14:paraId="17622D9F" w14:textId="7C368683" w:rsidR="00D847F2" w:rsidRPr="00A1513A" w:rsidRDefault="00D847F2" w:rsidP="004337C0">
            <w:pPr>
              <w:spacing w:after="0" w:line="240" w:lineRule="auto"/>
              <w:jc w:val="both"/>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 xml:space="preserve">Učinki nadzora – dodatno odmerjene obveznosti v </w:t>
            </w:r>
            <w:r w:rsidR="004337C0">
              <w:rPr>
                <w:rFonts w:ascii="Arial" w:eastAsia="Times New Roman" w:hAnsi="Arial" w:cs="Arial"/>
                <w:b/>
                <w:bCs/>
                <w:color w:val="FFFFFF"/>
                <w:sz w:val="18"/>
                <w:szCs w:val="18"/>
                <w:lang w:eastAsia="sl-SI"/>
              </w:rPr>
              <w:t>EUR</w:t>
            </w:r>
          </w:p>
        </w:tc>
        <w:tc>
          <w:tcPr>
            <w:tcW w:w="1196" w:type="dxa"/>
            <w:tcBorders>
              <w:top w:val="single" w:sz="4" w:space="0" w:color="auto"/>
              <w:left w:val="nil"/>
              <w:bottom w:val="single" w:sz="4" w:space="0" w:color="auto"/>
              <w:right w:val="single" w:sz="4" w:space="0" w:color="auto"/>
            </w:tcBorders>
            <w:shd w:val="clear" w:color="auto" w:fill="31869B"/>
            <w:vAlign w:val="center"/>
          </w:tcPr>
          <w:p w14:paraId="2C7CF751" w14:textId="77777777" w:rsidR="00D847F2" w:rsidRPr="00A1513A" w:rsidDel="009F52BB"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2017</w:t>
            </w:r>
          </w:p>
        </w:tc>
        <w:tc>
          <w:tcPr>
            <w:tcW w:w="1196" w:type="dxa"/>
            <w:tcBorders>
              <w:top w:val="single" w:sz="4" w:space="0" w:color="auto"/>
              <w:left w:val="single" w:sz="4" w:space="0" w:color="auto"/>
              <w:bottom w:val="single" w:sz="4" w:space="0" w:color="auto"/>
              <w:right w:val="single" w:sz="4" w:space="0" w:color="auto"/>
            </w:tcBorders>
            <w:shd w:val="clear" w:color="auto" w:fill="31869B"/>
            <w:vAlign w:val="center"/>
          </w:tcPr>
          <w:p w14:paraId="5128AE00" w14:textId="77777777" w:rsidR="00D847F2" w:rsidRPr="00A1513A" w:rsidDel="009F52BB"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2018</w:t>
            </w:r>
          </w:p>
        </w:tc>
        <w:tc>
          <w:tcPr>
            <w:tcW w:w="1197" w:type="dxa"/>
            <w:tcBorders>
              <w:top w:val="single" w:sz="4" w:space="0" w:color="auto"/>
              <w:left w:val="nil"/>
              <w:bottom w:val="single" w:sz="4" w:space="0" w:color="auto"/>
              <w:right w:val="single" w:sz="4" w:space="0" w:color="auto"/>
            </w:tcBorders>
            <w:shd w:val="clear" w:color="auto" w:fill="31869B"/>
            <w:vAlign w:val="center"/>
          </w:tcPr>
          <w:p w14:paraId="20A80C18" w14:textId="77777777" w:rsidR="00D847F2" w:rsidRPr="00A1513A" w:rsidDel="009F52BB"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2019</w:t>
            </w:r>
          </w:p>
        </w:tc>
        <w:tc>
          <w:tcPr>
            <w:tcW w:w="1196" w:type="dxa"/>
            <w:tcBorders>
              <w:top w:val="single" w:sz="4" w:space="0" w:color="auto"/>
              <w:left w:val="nil"/>
              <w:bottom w:val="single" w:sz="4" w:space="0" w:color="auto"/>
              <w:right w:val="single" w:sz="4" w:space="0" w:color="auto"/>
            </w:tcBorders>
            <w:shd w:val="clear" w:color="auto" w:fill="31869B"/>
          </w:tcPr>
          <w:p w14:paraId="69E4C33E" w14:textId="77777777" w:rsidR="00D847F2" w:rsidRPr="00A1513A" w:rsidRDefault="00D847F2" w:rsidP="00556699">
            <w:pPr>
              <w:spacing w:after="0" w:line="240" w:lineRule="auto"/>
              <w:jc w:val="center"/>
              <w:rPr>
                <w:rFonts w:ascii="Arial" w:eastAsia="Times New Roman" w:hAnsi="Arial" w:cs="Arial"/>
                <w:b/>
                <w:bCs/>
                <w:color w:val="FFFFFF"/>
                <w:sz w:val="18"/>
                <w:szCs w:val="18"/>
                <w:lang w:eastAsia="sl-SI"/>
              </w:rPr>
            </w:pPr>
          </w:p>
          <w:p w14:paraId="08230927" w14:textId="77777777" w:rsidR="00D847F2" w:rsidRPr="00A1513A" w:rsidDel="009F52BB"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2020</w:t>
            </w:r>
          </w:p>
        </w:tc>
        <w:tc>
          <w:tcPr>
            <w:tcW w:w="1196" w:type="dxa"/>
            <w:tcBorders>
              <w:top w:val="single" w:sz="4" w:space="0" w:color="auto"/>
              <w:left w:val="nil"/>
              <w:bottom w:val="single" w:sz="4" w:space="0" w:color="auto"/>
              <w:right w:val="single" w:sz="4" w:space="0" w:color="auto"/>
            </w:tcBorders>
            <w:shd w:val="clear" w:color="auto" w:fill="31869B"/>
          </w:tcPr>
          <w:p w14:paraId="4322D8A9" w14:textId="77777777" w:rsidR="00D847F2" w:rsidRPr="00A1513A" w:rsidRDefault="00D847F2" w:rsidP="00556699">
            <w:pPr>
              <w:spacing w:after="0" w:line="240" w:lineRule="auto"/>
              <w:jc w:val="center"/>
              <w:rPr>
                <w:rFonts w:ascii="Arial" w:eastAsia="Times New Roman" w:hAnsi="Arial" w:cs="Arial"/>
                <w:b/>
                <w:bCs/>
                <w:color w:val="FFFFFF"/>
                <w:sz w:val="18"/>
                <w:szCs w:val="18"/>
                <w:lang w:eastAsia="sl-SI"/>
              </w:rPr>
            </w:pPr>
          </w:p>
          <w:p w14:paraId="2ADEADC7" w14:textId="77777777" w:rsidR="00D847F2" w:rsidRPr="00A1513A" w:rsidDel="009F52BB"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2021</w:t>
            </w:r>
          </w:p>
        </w:tc>
        <w:tc>
          <w:tcPr>
            <w:tcW w:w="1197" w:type="dxa"/>
            <w:tcBorders>
              <w:top w:val="single" w:sz="4" w:space="0" w:color="auto"/>
              <w:left w:val="nil"/>
              <w:bottom w:val="single" w:sz="4" w:space="0" w:color="auto"/>
              <w:right w:val="single" w:sz="4" w:space="0" w:color="auto"/>
            </w:tcBorders>
            <w:shd w:val="clear" w:color="auto" w:fill="31869B"/>
            <w:vAlign w:val="center"/>
          </w:tcPr>
          <w:p w14:paraId="3BBD71BA" w14:textId="77777777" w:rsidR="00D847F2" w:rsidRPr="00A1513A" w:rsidRDefault="00D847F2" w:rsidP="00556699">
            <w:pPr>
              <w:spacing w:after="0" w:line="240" w:lineRule="auto"/>
              <w:jc w:val="center"/>
              <w:rPr>
                <w:rFonts w:ascii="Arial" w:eastAsia="Times New Roman" w:hAnsi="Arial" w:cs="Arial"/>
                <w:b/>
                <w:bCs/>
                <w:color w:val="FFFFFF"/>
                <w:sz w:val="18"/>
                <w:szCs w:val="18"/>
                <w:lang w:eastAsia="sl-SI"/>
              </w:rPr>
            </w:pPr>
            <w:r w:rsidRPr="00A1513A">
              <w:rPr>
                <w:rFonts w:ascii="Arial" w:eastAsia="Times New Roman" w:hAnsi="Arial" w:cs="Arial"/>
                <w:b/>
                <w:bCs/>
                <w:color w:val="FFFFFF"/>
                <w:sz w:val="18"/>
                <w:szCs w:val="18"/>
                <w:lang w:eastAsia="sl-SI"/>
              </w:rPr>
              <w:t>2022</w:t>
            </w:r>
          </w:p>
        </w:tc>
      </w:tr>
      <w:tr w:rsidR="00D847F2" w:rsidRPr="00A1513A" w14:paraId="33742775" w14:textId="77777777" w:rsidTr="00556699">
        <w:trPr>
          <w:trHeight w:val="353"/>
        </w:trPr>
        <w:tc>
          <w:tcPr>
            <w:tcW w:w="2009" w:type="dxa"/>
            <w:tcBorders>
              <w:top w:val="nil"/>
              <w:left w:val="single" w:sz="4" w:space="0" w:color="auto"/>
              <w:bottom w:val="single" w:sz="4" w:space="0" w:color="auto"/>
              <w:right w:val="single" w:sz="4" w:space="0" w:color="auto"/>
            </w:tcBorders>
            <w:shd w:val="clear" w:color="auto" w:fill="auto"/>
            <w:vAlign w:val="center"/>
            <w:hideMark/>
          </w:tcPr>
          <w:p w14:paraId="160D0CE4" w14:textId="77777777" w:rsidR="00D847F2" w:rsidRPr="00A1513A" w:rsidRDefault="00D847F2" w:rsidP="00556699">
            <w:pPr>
              <w:spacing w:after="0" w:line="240" w:lineRule="auto"/>
              <w:jc w:val="both"/>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 xml:space="preserve">naknadne kontrole </w:t>
            </w:r>
          </w:p>
        </w:tc>
        <w:tc>
          <w:tcPr>
            <w:tcW w:w="1196" w:type="dxa"/>
            <w:tcBorders>
              <w:top w:val="single" w:sz="4" w:space="0" w:color="auto"/>
              <w:left w:val="nil"/>
              <w:bottom w:val="single" w:sz="4" w:space="0" w:color="auto"/>
              <w:right w:val="single" w:sz="4" w:space="0" w:color="auto"/>
            </w:tcBorders>
            <w:vAlign w:val="center"/>
          </w:tcPr>
          <w:p w14:paraId="0DB440E7"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90.898.244</w:t>
            </w:r>
          </w:p>
        </w:tc>
        <w:tc>
          <w:tcPr>
            <w:tcW w:w="1196" w:type="dxa"/>
            <w:tcBorders>
              <w:top w:val="nil"/>
              <w:left w:val="single" w:sz="4" w:space="0" w:color="auto"/>
              <w:bottom w:val="single" w:sz="4" w:space="0" w:color="auto"/>
              <w:right w:val="single" w:sz="4" w:space="0" w:color="auto"/>
            </w:tcBorders>
            <w:vAlign w:val="center"/>
          </w:tcPr>
          <w:p w14:paraId="572A88A0"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91.906.047 </w:t>
            </w:r>
          </w:p>
        </w:tc>
        <w:tc>
          <w:tcPr>
            <w:tcW w:w="1197" w:type="dxa"/>
            <w:tcBorders>
              <w:top w:val="nil"/>
              <w:left w:val="nil"/>
              <w:bottom w:val="single" w:sz="4" w:space="0" w:color="auto"/>
              <w:right w:val="single" w:sz="4" w:space="0" w:color="auto"/>
            </w:tcBorders>
            <w:vAlign w:val="center"/>
          </w:tcPr>
          <w:p w14:paraId="15C8507F"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148.410.461</w:t>
            </w:r>
          </w:p>
        </w:tc>
        <w:tc>
          <w:tcPr>
            <w:tcW w:w="1196" w:type="dxa"/>
            <w:tcBorders>
              <w:top w:val="nil"/>
              <w:left w:val="nil"/>
              <w:bottom w:val="single" w:sz="4" w:space="0" w:color="auto"/>
              <w:right w:val="single" w:sz="4" w:space="0" w:color="auto"/>
            </w:tcBorders>
            <w:vAlign w:val="center"/>
          </w:tcPr>
          <w:p w14:paraId="40C4E0F8"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 xml:space="preserve">132.269.769 </w:t>
            </w:r>
          </w:p>
        </w:tc>
        <w:tc>
          <w:tcPr>
            <w:tcW w:w="1196" w:type="dxa"/>
            <w:tcBorders>
              <w:top w:val="nil"/>
              <w:left w:val="nil"/>
              <w:bottom w:val="single" w:sz="4" w:space="0" w:color="auto"/>
              <w:right w:val="single" w:sz="4" w:space="0" w:color="auto"/>
            </w:tcBorders>
            <w:vAlign w:val="center"/>
          </w:tcPr>
          <w:p w14:paraId="5BF752D9"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143.474.209</w:t>
            </w:r>
          </w:p>
        </w:tc>
        <w:tc>
          <w:tcPr>
            <w:tcW w:w="1197" w:type="dxa"/>
            <w:tcBorders>
              <w:top w:val="nil"/>
              <w:left w:val="nil"/>
              <w:bottom w:val="single" w:sz="4" w:space="0" w:color="auto"/>
              <w:right w:val="single" w:sz="4" w:space="0" w:color="auto"/>
            </w:tcBorders>
            <w:shd w:val="clear" w:color="auto" w:fill="auto"/>
            <w:vAlign w:val="center"/>
          </w:tcPr>
          <w:p w14:paraId="3A3236FC" w14:textId="77777777" w:rsidR="00D847F2" w:rsidRPr="00A1513A"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154.950.106</w:t>
            </w:r>
          </w:p>
        </w:tc>
      </w:tr>
      <w:tr w:rsidR="00D847F2" w:rsidRPr="00A1513A" w14:paraId="2E23DF9D" w14:textId="77777777" w:rsidTr="00556699">
        <w:trPr>
          <w:trHeight w:val="375"/>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790A" w14:textId="77777777" w:rsidR="00D847F2" w:rsidRPr="00A1513A" w:rsidRDefault="00D847F2" w:rsidP="00556699">
            <w:pPr>
              <w:spacing w:after="0" w:line="240" w:lineRule="auto"/>
              <w:jc w:val="both"/>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inšpekcijski nadzori</w:t>
            </w:r>
          </w:p>
        </w:tc>
        <w:tc>
          <w:tcPr>
            <w:tcW w:w="1196" w:type="dxa"/>
            <w:tcBorders>
              <w:top w:val="single" w:sz="4" w:space="0" w:color="auto"/>
              <w:left w:val="single" w:sz="4" w:space="0" w:color="auto"/>
              <w:bottom w:val="single" w:sz="4" w:space="0" w:color="auto"/>
              <w:right w:val="single" w:sz="4" w:space="0" w:color="auto"/>
            </w:tcBorders>
            <w:vAlign w:val="center"/>
          </w:tcPr>
          <w:p w14:paraId="34A23DB0"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130.173.358</w:t>
            </w:r>
          </w:p>
        </w:tc>
        <w:tc>
          <w:tcPr>
            <w:tcW w:w="1196" w:type="dxa"/>
            <w:tcBorders>
              <w:top w:val="single" w:sz="4" w:space="0" w:color="auto"/>
              <w:left w:val="single" w:sz="4" w:space="0" w:color="auto"/>
              <w:bottom w:val="single" w:sz="4" w:space="0" w:color="auto"/>
              <w:right w:val="single" w:sz="4" w:space="0" w:color="auto"/>
            </w:tcBorders>
            <w:vAlign w:val="center"/>
          </w:tcPr>
          <w:p w14:paraId="4F256699"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162.914.552</w:t>
            </w:r>
          </w:p>
        </w:tc>
        <w:tc>
          <w:tcPr>
            <w:tcW w:w="1197" w:type="dxa"/>
            <w:tcBorders>
              <w:top w:val="single" w:sz="4" w:space="0" w:color="auto"/>
              <w:left w:val="single" w:sz="4" w:space="0" w:color="auto"/>
              <w:bottom w:val="single" w:sz="4" w:space="0" w:color="auto"/>
              <w:right w:val="single" w:sz="4" w:space="0" w:color="auto"/>
            </w:tcBorders>
            <w:vAlign w:val="center"/>
          </w:tcPr>
          <w:p w14:paraId="68DDD75E"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168.122.346</w:t>
            </w:r>
          </w:p>
        </w:tc>
        <w:tc>
          <w:tcPr>
            <w:tcW w:w="1196" w:type="dxa"/>
            <w:tcBorders>
              <w:top w:val="single" w:sz="4" w:space="0" w:color="auto"/>
              <w:left w:val="single" w:sz="4" w:space="0" w:color="auto"/>
              <w:bottom w:val="single" w:sz="4" w:space="0" w:color="auto"/>
              <w:right w:val="single" w:sz="4" w:space="0" w:color="auto"/>
            </w:tcBorders>
            <w:vAlign w:val="center"/>
          </w:tcPr>
          <w:p w14:paraId="219C1E8C"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136.771.174</w:t>
            </w:r>
          </w:p>
        </w:tc>
        <w:tc>
          <w:tcPr>
            <w:tcW w:w="1196" w:type="dxa"/>
            <w:tcBorders>
              <w:top w:val="single" w:sz="4" w:space="0" w:color="auto"/>
              <w:left w:val="single" w:sz="4" w:space="0" w:color="auto"/>
              <w:bottom w:val="single" w:sz="4" w:space="0" w:color="auto"/>
              <w:right w:val="single" w:sz="4" w:space="0" w:color="auto"/>
            </w:tcBorders>
            <w:vAlign w:val="center"/>
          </w:tcPr>
          <w:p w14:paraId="7D4C9BD3" w14:textId="77777777" w:rsidR="00D847F2" w:rsidRPr="00A1513A" w:rsidDel="009F52BB"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131.616.905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F02EBFA" w14:textId="77777777" w:rsidR="00D847F2" w:rsidRPr="00A1513A" w:rsidRDefault="00D847F2" w:rsidP="00556699">
            <w:pPr>
              <w:spacing w:after="0" w:line="240" w:lineRule="auto"/>
              <w:jc w:val="center"/>
              <w:rPr>
                <w:rFonts w:ascii="Arial" w:eastAsia="Times New Roman" w:hAnsi="Arial" w:cs="Arial"/>
                <w:color w:val="000000"/>
                <w:sz w:val="18"/>
                <w:szCs w:val="18"/>
                <w:lang w:eastAsia="sl-SI"/>
              </w:rPr>
            </w:pPr>
            <w:r w:rsidRPr="00A1513A">
              <w:rPr>
                <w:rFonts w:ascii="Arial" w:eastAsia="Times New Roman" w:hAnsi="Arial" w:cs="Arial"/>
                <w:color w:val="000000"/>
                <w:sz w:val="18"/>
                <w:szCs w:val="18"/>
                <w:lang w:eastAsia="sl-SI"/>
              </w:rPr>
              <w:t>74.528.077</w:t>
            </w:r>
          </w:p>
        </w:tc>
      </w:tr>
    </w:tbl>
    <w:p w14:paraId="31466560" w14:textId="52D34693" w:rsidR="00D847F2" w:rsidRPr="00FC1782" w:rsidRDefault="00D847F2" w:rsidP="00D847F2">
      <w:pPr>
        <w:pStyle w:val="Brezrazmikov"/>
        <w:rPr>
          <w:rFonts w:ascii="Arial" w:hAnsi="Arial" w:cs="Arial"/>
          <w:sz w:val="18"/>
          <w:szCs w:val="18"/>
        </w:rPr>
      </w:pPr>
      <w:r w:rsidRPr="00FC1782">
        <w:rPr>
          <w:rFonts w:ascii="Arial" w:hAnsi="Arial" w:cs="Arial"/>
          <w:sz w:val="18"/>
          <w:szCs w:val="18"/>
          <w:u w:val="single"/>
        </w:rPr>
        <w:lastRenderedPageBreak/>
        <w:t>Opomba</w:t>
      </w:r>
      <w:r w:rsidRPr="00FC1782">
        <w:rPr>
          <w:rFonts w:ascii="Arial" w:hAnsi="Arial" w:cs="Arial"/>
          <w:sz w:val="18"/>
          <w:szCs w:val="18"/>
        </w:rPr>
        <w:t>: v let</w:t>
      </w:r>
      <w:r w:rsidR="004337C0">
        <w:rPr>
          <w:rFonts w:ascii="Arial" w:hAnsi="Arial" w:cs="Arial"/>
          <w:sz w:val="18"/>
          <w:szCs w:val="18"/>
        </w:rPr>
        <w:t>ih</w:t>
      </w:r>
      <w:r w:rsidRPr="00FC1782">
        <w:rPr>
          <w:rFonts w:ascii="Arial" w:hAnsi="Arial" w:cs="Arial"/>
          <w:sz w:val="18"/>
          <w:szCs w:val="18"/>
        </w:rPr>
        <w:t xml:space="preserve"> 2020</w:t>
      </w:r>
      <w:r>
        <w:rPr>
          <w:rFonts w:ascii="Arial" w:hAnsi="Arial" w:cs="Arial"/>
          <w:sz w:val="18"/>
          <w:szCs w:val="18"/>
        </w:rPr>
        <w:t>, 2021</w:t>
      </w:r>
      <w:r w:rsidRPr="00FC1782">
        <w:rPr>
          <w:rFonts w:ascii="Arial" w:hAnsi="Arial" w:cs="Arial"/>
          <w:sz w:val="18"/>
          <w:szCs w:val="18"/>
        </w:rPr>
        <w:t xml:space="preserve"> </w:t>
      </w:r>
      <w:r>
        <w:rPr>
          <w:rFonts w:ascii="Arial" w:hAnsi="Arial" w:cs="Arial"/>
          <w:sz w:val="18"/>
          <w:szCs w:val="18"/>
        </w:rPr>
        <w:t xml:space="preserve">in 2022 </w:t>
      </w:r>
      <w:r w:rsidRPr="00FC1782">
        <w:rPr>
          <w:rFonts w:ascii="Arial" w:hAnsi="Arial" w:cs="Arial"/>
          <w:sz w:val="18"/>
          <w:szCs w:val="18"/>
        </w:rPr>
        <w:t xml:space="preserve">so med naknadne kontrole vključeni tudi podatki o naknadnih kontrolah s področja carin, trošarin in </w:t>
      </w:r>
      <w:proofErr w:type="spellStart"/>
      <w:r w:rsidRPr="00FC1782">
        <w:rPr>
          <w:rFonts w:ascii="Arial" w:hAnsi="Arial" w:cs="Arial"/>
          <w:sz w:val="18"/>
          <w:szCs w:val="18"/>
        </w:rPr>
        <w:t>okoljskih</w:t>
      </w:r>
      <w:proofErr w:type="spellEnd"/>
      <w:r w:rsidRPr="00FC1782">
        <w:rPr>
          <w:rFonts w:ascii="Arial" w:hAnsi="Arial" w:cs="Arial"/>
          <w:sz w:val="18"/>
          <w:szCs w:val="18"/>
        </w:rPr>
        <w:t xml:space="preserve"> dajatev</w:t>
      </w:r>
      <w:r w:rsidR="004337C0">
        <w:rPr>
          <w:rFonts w:ascii="Arial" w:hAnsi="Arial" w:cs="Arial"/>
          <w:sz w:val="18"/>
          <w:szCs w:val="18"/>
        </w:rPr>
        <w:t>.</w:t>
      </w:r>
      <w:r w:rsidRPr="00FC1782">
        <w:rPr>
          <w:rFonts w:ascii="Arial" w:hAnsi="Arial" w:cs="Arial"/>
          <w:sz w:val="18"/>
          <w:szCs w:val="18"/>
        </w:rPr>
        <w:t xml:space="preserve"> </w:t>
      </w:r>
    </w:p>
    <w:p w14:paraId="74ABD775" w14:textId="0E476054" w:rsidR="00D847F2" w:rsidRDefault="00D847F2" w:rsidP="00D847F2">
      <w:pPr>
        <w:rPr>
          <w:rFonts w:ascii="Arial" w:hAnsi="Arial" w:cs="Arial"/>
          <w:i/>
          <w:sz w:val="20"/>
          <w:szCs w:val="20"/>
        </w:rPr>
      </w:pPr>
      <w:r w:rsidRPr="00534703">
        <w:rPr>
          <w:rFonts w:ascii="Arial" w:hAnsi="Arial" w:cs="Arial"/>
          <w:i/>
          <w:sz w:val="20"/>
          <w:szCs w:val="20"/>
        </w:rPr>
        <w:t>Vir: FURS</w:t>
      </w:r>
      <w:r w:rsidR="004337C0">
        <w:rPr>
          <w:rFonts w:ascii="Arial" w:hAnsi="Arial" w:cs="Arial"/>
          <w:i/>
          <w:sz w:val="20"/>
          <w:szCs w:val="20"/>
        </w:rPr>
        <w:t xml:space="preserve">. </w:t>
      </w:r>
      <w:r w:rsidR="00992912">
        <w:rPr>
          <w:rFonts w:ascii="Arial" w:hAnsi="Arial" w:cs="Arial"/>
          <w:i/>
          <w:sz w:val="20"/>
          <w:szCs w:val="20"/>
        </w:rPr>
        <w:t xml:space="preserve"> </w:t>
      </w:r>
      <w:r>
        <w:rPr>
          <w:rFonts w:ascii="Arial" w:hAnsi="Arial" w:cs="Arial"/>
          <w:i/>
          <w:sz w:val="20"/>
          <w:szCs w:val="20"/>
        </w:rPr>
        <w:t xml:space="preserve"> </w:t>
      </w:r>
    </w:p>
    <w:p w14:paraId="7F759D8F" w14:textId="0332CC57" w:rsidR="00D847F2" w:rsidRDefault="00D847F2" w:rsidP="00D847F2">
      <w:pPr>
        <w:jc w:val="both"/>
        <w:rPr>
          <w:rFonts w:ascii="Arial" w:hAnsi="Arial" w:cs="Arial"/>
          <w:color w:val="000000"/>
          <w:sz w:val="20"/>
          <w:szCs w:val="20"/>
        </w:rPr>
      </w:pPr>
      <w:r w:rsidRPr="00ED4F40">
        <w:rPr>
          <w:rFonts w:ascii="Arial" w:hAnsi="Arial" w:cs="Arial"/>
          <w:color w:val="000000"/>
          <w:sz w:val="20"/>
          <w:szCs w:val="20"/>
        </w:rPr>
        <w:t>Delež poplačil v postopkih nadzora odmerjenih obveznosti je odvisen od vrste opravljenega nadzora. V postopkih naknadnih kontrol je ta delež višji, saj se ti postopki praviloma izvajajo v tesnejšem sodelovanju z zavezancem, hkrati pa gre za nadzor časovno ne oddaljenih obračunskih obdobij glede na</w:t>
      </w:r>
      <w:r>
        <w:rPr>
          <w:rFonts w:ascii="Arial" w:hAnsi="Arial" w:cs="Arial"/>
          <w:color w:val="000000"/>
          <w:sz w:val="20"/>
          <w:szCs w:val="20"/>
        </w:rPr>
        <w:t xml:space="preserve"> </w:t>
      </w:r>
      <w:r w:rsidRPr="00ED4F40">
        <w:rPr>
          <w:rFonts w:ascii="Arial" w:hAnsi="Arial" w:cs="Arial"/>
          <w:color w:val="000000"/>
          <w:sz w:val="20"/>
          <w:szCs w:val="20"/>
        </w:rPr>
        <w:t>čas</w:t>
      </w:r>
      <w:r>
        <w:rPr>
          <w:rFonts w:ascii="Arial" w:hAnsi="Arial" w:cs="Arial"/>
          <w:color w:val="000000"/>
          <w:sz w:val="20"/>
          <w:szCs w:val="20"/>
        </w:rPr>
        <w:t xml:space="preserve"> </w:t>
      </w:r>
      <w:r w:rsidRPr="00ED4F40">
        <w:rPr>
          <w:rFonts w:ascii="Arial" w:hAnsi="Arial" w:cs="Arial"/>
          <w:color w:val="000000"/>
          <w:sz w:val="20"/>
          <w:szCs w:val="20"/>
        </w:rPr>
        <w:t>izvedbe</w:t>
      </w:r>
      <w:r>
        <w:rPr>
          <w:rFonts w:ascii="Arial" w:hAnsi="Arial" w:cs="Arial"/>
          <w:color w:val="000000"/>
          <w:sz w:val="20"/>
          <w:szCs w:val="20"/>
        </w:rPr>
        <w:t xml:space="preserve"> </w:t>
      </w:r>
      <w:r w:rsidRPr="00ED4F40">
        <w:rPr>
          <w:rFonts w:ascii="Arial" w:hAnsi="Arial" w:cs="Arial"/>
          <w:color w:val="000000"/>
          <w:sz w:val="20"/>
          <w:szCs w:val="20"/>
        </w:rPr>
        <w:t>nadzora</w:t>
      </w:r>
      <w:r>
        <w:rPr>
          <w:rFonts w:ascii="Arial" w:hAnsi="Arial" w:cs="Arial"/>
          <w:color w:val="000000"/>
          <w:sz w:val="20"/>
          <w:szCs w:val="20"/>
        </w:rPr>
        <w:t>,</w:t>
      </w:r>
      <w:r w:rsidRPr="00ED4F40">
        <w:rPr>
          <w:rFonts w:ascii="Arial" w:hAnsi="Arial" w:cs="Arial"/>
          <w:color w:val="000000"/>
          <w:sz w:val="20"/>
          <w:szCs w:val="20"/>
        </w:rPr>
        <w:t xml:space="preserve"> kar pozitivno vpliva na višje poplačilo obveznosti. V inšpekcijskih postopkih, kjer so odmerjene obveznosti praviloma višje in se nanašajo tudi na časovno bolj oddaljena obračunska obdobja, pa mora davčni organ odmerjene obveznosti ustrezno zavarovati še pred izvršljivostjo inšpekcijske odločbe, kar dviguje delež poplačila naknadno ugotovljenih obveznosti.</w:t>
      </w:r>
      <w:r>
        <w:rPr>
          <w:rFonts w:ascii="Arial" w:hAnsi="Arial" w:cs="Arial"/>
          <w:color w:val="000000"/>
          <w:sz w:val="20"/>
          <w:szCs w:val="20"/>
        </w:rPr>
        <w:t xml:space="preserve"> Prav tako se povečuje število predloženih </w:t>
      </w:r>
      <w:proofErr w:type="spellStart"/>
      <w:r>
        <w:rPr>
          <w:rFonts w:ascii="Arial" w:hAnsi="Arial" w:cs="Arial"/>
          <w:color w:val="000000"/>
          <w:sz w:val="20"/>
          <w:szCs w:val="20"/>
        </w:rPr>
        <w:t>samoprijav</w:t>
      </w:r>
      <w:proofErr w:type="spellEnd"/>
      <w:r>
        <w:rPr>
          <w:rFonts w:ascii="Arial" w:hAnsi="Arial" w:cs="Arial"/>
          <w:color w:val="000000"/>
          <w:sz w:val="20"/>
          <w:szCs w:val="20"/>
        </w:rPr>
        <w:t xml:space="preserve"> oziroma predloženih davčnih obračunov v postopku davčno inšpekcijskega nadzora ter s tem tudi plačani zneski obveznosti v tako predloženih obračunih. </w:t>
      </w:r>
    </w:p>
    <w:bookmarkEnd w:id="31"/>
    <w:p w14:paraId="5E2A731B" w14:textId="77777777" w:rsidR="00D847F2" w:rsidRDefault="00D847F2" w:rsidP="00D847F2">
      <w:pPr>
        <w:rPr>
          <w:rFonts w:ascii="Arial" w:hAnsi="Arial" w:cs="Arial"/>
          <w:b/>
          <w:bCs/>
        </w:rPr>
      </w:pPr>
      <w:r w:rsidRPr="00B54766">
        <w:rPr>
          <w:rFonts w:ascii="Arial" w:hAnsi="Arial" w:cs="Arial"/>
          <w:b/>
          <w:bCs/>
        </w:rPr>
        <w:t xml:space="preserve">8. Spodbujanje prostovoljnega </w:t>
      </w:r>
      <w:r w:rsidRPr="00B54766">
        <w:rPr>
          <w:rFonts w:ascii="Arial" w:hAnsi="Arial" w:cs="Arial"/>
          <w:b/>
        </w:rPr>
        <w:t>plačevanja</w:t>
      </w:r>
      <w:r w:rsidRPr="00B54766">
        <w:rPr>
          <w:rFonts w:ascii="Arial" w:hAnsi="Arial" w:cs="Arial"/>
          <w:b/>
          <w:bCs/>
        </w:rPr>
        <w:t xml:space="preserve"> dajatev</w:t>
      </w:r>
    </w:p>
    <w:p w14:paraId="1D8EABE7" w14:textId="487D75ED" w:rsidR="00D847F2" w:rsidRPr="007665A6" w:rsidRDefault="00D847F2" w:rsidP="00D847F2">
      <w:pPr>
        <w:jc w:val="both"/>
        <w:rPr>
          <w:rFonts w:ascii="Arial" w:hAnsi="Arial" w:cs="Arial"/>
          <w:sz w:val="20"/>
          <w:szCs w:val="20"/>
        </w:rPr>
      </w:pPr>
      <w:r w:rsidRPr="007665A6">
        <w:rPr>
          <w:rFonts w:ascii="Arial" w:hAnsi="Arial" w:cs="Arial"/>
          <w:sz w:val="20"/>
          <w:szCs w:val="20"/>
        </w:rPr>
        <w:t xml:space="preserve">Krepitev kulture prostovoljnega izpolnjevanja zakonskih obveznosti je prednostni dolgoročni cilj FURS. V ta namen se </w:t>
      </w:r>
      <w:r w:rsidR="00356149">
        <w:rPr>
          <w:rFonts w:ascii="Arial" w:hAnsi="Arial" w:cs="Arial"/>
          <w:sz w:val="20"/>
          <w:szCs w:val="20"/>
        </w:rPr>
        <w:t xml:space="preserve">nenehno </w:t>
      </w:r>
      <w:r w:rsidRPr="007665A6">
        <w:rPr>
          <w:rFonts w:ascii="Arial" w:hAnsi="Arial" w:cs="Arial"/>
          <w:sz w:val="20"/>
          <w:szCs w:val="20"/>
        </w:rPr>
        <w:t>izvaja vrsta medsebojno povezanih ukrepov na različnih področjih njegovega delovanja</w:t>
      </w:r>
      <w:r>
        <w:rPr>
          <w:rFonts w:ascii="Arial" w:hAnsi="Arial" w:cs="Arial"/>
          <w:sz w:val="20"/>
          <w:szCs w:val="20"/>
        </w:rPr>
        <w:t xml:space="preserve"> -</w:t>
      </w:r>
      <w:r w:rsidRPr="007665A6">
        <w:rPr>
          <w:rFonts w:ascii="Arial" w:hAnsi="Arial" w:cs="Arial"/>
          <w:sz w:val="20"/>
          <w:szCs w:val="20"/>
        </w:rPr>
        <w:t xml:space="preserve"> od preventivnih do zelo ciljno usmerjenih aktivnost</w:t>
      </w:r>
      <w:r w:rsidR="00356149">
        <w:rPr>
          <w:rFonts w:ascii="Arial" w:hAnsi="Arial" w:cs="Arial"/>
          <w:sz w:val="20"/>
          <w:szCs w:val="20"/>
        </w:rPr>
        <w:t>i</w:t>
      </w:r>
      <w:r w:rsidRPr="007665A6">
        <w:rPr>
          <w:rFonts w:ascii="Arial" w:hAnsi="Arial" w:cs="Arial"/>
          <w:sz w:val="20"/>
          <w:szCs w:val="20"/>
        </w:rPr>
        <w:t xml:space="preserve">. </w:t>
      </w:r>
    </w:p>
    <w:p w14:paraId="05656F46" w14:textId="77777777" w:rsidR="00D847F2" w:rsidRDefault="00D847F2" w:rsidP="00D847F2">
      <w:pPr>
        <w:pStyle w:val="Brezrazmikov"/>
        <w:spacing w:line="276" w:lineRule="auto"/>
        <w:rPr>
          <w:rFonts w:ascii="Arial" w:hAnsi="Arial" w:cs="Arial"/>
          <w:b/>
          <w:bCs/>
          <w:sz w:val="20"/>
          <w:szCs w:val="20"/>
          <w:lang w:eastAsia="sl-SI"/>
        </w:rPr>
      </w:pPr>
      <w:r w:rsidRPr="004F2C21">
        <w:rPr>
          <w:rFonts w:ascii="Arial" w:hAnsi="Arial" w:cs="Arial"/>
          <w:b/>
          <w:bCs/>
          <w:sz w:val="20"/>
          <w:szCs w:val="20"/>
          <w:lang w:eastAsia="sl-SI"/>
        </w:rPr>
        <w:t xml:space="preserve">8.1 Informiranje in ozaveščanje zavezancev </w:t>
      </w:r>
    </w:p>
    <w:p w14:paraId="1F6A864E" w14:textId="77777777" w:rsidR="00D847F2" w:rsidRDefault="00D847F2" w:rsidP="00D847F2">
      <w:pPr>
        <w:pStyle w:val="Brezrazmikov"/>
        <w:spacing w:line="276" w:lineRule="auto"/>
        <w:rPr>
          <w:rFonts w:ascii="Arial" w:hAnsi="Arial" w:cs="Arial"/>
          <w:b/>
          <w:bCs/>
          <w:sz w:val="20"/>
          <w:szCs w:val="20"/>
          <w:lang w:eastAsia="sl-SI"/>
        </w:rPr>
      </w:pPr>
    </w:p>
    <w:p w14:paraId="54AF28D0" w14:textId="77777777" w:rsidR="00D847F2" w:rsidRPr="008012FD" w:rsidRDefault="00D847F2" w:rsidP="00D847F2">
      <w:pPr>
        <w:pStyle w:val="Brezrazmikov"/>
        <w:spacing w:line="276" w:lineRule="auto"/>
        <w:jc w:val="both"/>
        <w:rPr>
          <w:rFonts w:ascii="Arial" w:hAnsi="Arial" w:cs="Arial"/>
          <w:b/>
          <w:bCs/>
          <w:sz w:val="20"/>
          <w:szCs w:val="20"/>
          <w:lang w:eastAsia="sl-SI"/>
        </w:rPr>
      </w:pPr>
      <w:r w:rsidRPr="008012FD">
        <w:rPr>
          <w:rFonts w:ascii="Arial" w:hAnsi="Arial" w:cs="Arial"/>
          <w:b/>
          <w:bCs/>
          <w:sz w:val="20"/>
          <w:szCs w:val="20"/>
          <w:lang w:eastAsia="sl-SI"/>
        </w:rPr>
        <w:t xml:space="preserve">Telefonsko informiranje </w:t>
      </w:r>
    </w:p>
    <w:p w14:paraId="5EBDA288" w14:textId="770EC70C"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F</w:t>
      </w:r>
      <w:r>
        <w:rPr>
          <w:rFonts w:ascii="Arial" w:hAnsi="Arial" w:cs="Arial"/>
          <w:sz w:val="20"/>
          <w:szCs w:val="20"/>
          <w:lang w:eastAsia="sl-SI"/>
        </w:rPr>
        <w:t xml:space="preserve">URS </w:t>
      </w:r>
      <w:r w:rsidRPr="00AA43B5">
        <w:rPr>
          <w:rFonts w:ascii="Arial" w:hAnsi="Arial" w:cs="Arial"/>
          <w:sz w:val="20"/>
          <w:szCs w:val="20"/>
          <w:lang w:eastAsia="sl-SI"/>
        </w:rPr>
        <w:t>zagotavlja pravico zavezancev do informiranja iz 13. člena Z</w:t>
      </w:r>
      <w:r>
        <w:rPr>
          <w:rFonts w:ascii="Arial" w:hAnsi="Arial" w:cs="Arial"/>
          <w:sz w:val="20"/>
          <w:szCs w:val="20"/>
          <w:lang w:eastAsia="sl-SI"/>
        </w:rPr>
        <w:t>DavP-2</w:t>
      </w:r>
      <w:r w:rsidRPr="00AA43B5">
        <w:rPr>
          <w:rFonts w:ascii="Arial" w:hAnsi="Arial" w:cs="Arial"/>
          <w:sz w:val="20"/>
          <w:szCs w:val="20"/>
          <w:lang w:eastAsia="sl-SI"/>
        </w:rPr>
        <w:t xml:space="preserve">. S tem vpliva na povečanje pravilno in pravočasno izpolnjenih davčnih obveznosti. V letu 2022 je bilo v </w:t>
      </w:r>
      <w:r w:rsidR="00A95ADC">
        <w:rPr>
          <w:rFonts w:ascii="Arial" w:hAnsi="Arial" w:cs="Arial"/>
          <w:sz w:val="20"/>
          <w:szCs w:val="20"/>
          <w:lang w:eastAsia="sl-SI"/>
        </w:rPr>
        <w:t>k</w:t>
      </w:r>
      <w:r w:rsidRPr="00AA43B5">
        <w:rPr>
          <w:rFonts w:ascii="Arial" w:hAnsi="Arial" w:cs="Arial"/>
          <w:sz w:val="20"/>
          <w:szCs w:val="20"/>
          <w:lang w:eastAsia="sl-SI"/>
        </w:rPr>
        <w:t xml:space="preserve">licnem centru odgovorjeno na 430.591 klicev, in sicer največ v klicnem centru za davke fizičnih oseb (267.266), </w:t>
      </w:r>
      <w:r w:rsidR="00A95ADC">
        <w:rPr>
          <w:rFonts w:ascii="Arial" w:hAnsi="Arial" w:cs="Arial"/>
          <w:sz w:val="20"/>
          <w:szCs w:val="20"/>
          <w:lang w:eastAsia="sl-SI"/>
        </w:rPr>
        <w:t>k</w:t>
      </w:r>
      <w:r w:rsidRPr="00AA43B5">
        <w:rPr>
          <w:rFonts w:ascii="Arial" w:hAnsi="Arial" w:cs="Arial"/>
          <w:sz w:val="20"/>
          <w:szCs w:val="20"/>
          <w:lang w:eastAsia="sl-SI"/>
        </w:rPr>
        <w:t xml:space="preserve">licnem centru za davke poslovnih subjektov (77.685), KC PS </w:t>
      </w:r>
      <w:r w:rsidR="00A95ADC">
        <w:rPr>
          <w:rFonts w:ascii="Arial" w:hAnsi="Arial" w:cs="Arial"/>
          <w:sz w:val="20"/>
          <w:szCs w:val="20"/>
          <w:lang w:eastAsia="sl-SI"/>
        </w:rPr>
        <w:t>k</w:t>
      </w:r>
      <w:r w:rsidRPr="00AA43B5">
        <w:rPr>
          <w:rFonts w:ascii="Arial" w:hAnsi="Arial" w:cs="Arial"/>
          <w:sz w:val="20"/>
          <w:szCs w:val="20"/>
          <w:lang w:eastAsia="sl-SI"/>
        </w:rPr>
        <w:t xml:space="preserve">licnem centru za DDV (48.108) ter </w:t>
      </w:r>
      <w:r w:rsidR="00A95ADC">
        <w:rPr>
          <w:rFonts w:ascii="Arial" w:hAnsi="Arial" w:cs="Arial"/>
          <w:sz w:val="20"/>
          <w:szCs w:val="20"/>
          <w:lang w:eastAsia="sl-SI"/>
        </w:rPr>
        <w:t>k</w:t>
      </w:r>
      <w:r w:rsidRPr="00AA43B5">
        <w:rPr>
          <w:rFonts w:ascii="Arial" w:hAnsi="Arial" w:cs="Arial"/>
          <w:sz w:val="20"/>
          <w:szCs w:val="20"/>
          <w:lang w:eastAsia="sl-SI"/>
        </w:rPr>
        <w:t xml:space="preserve">licnem centru BON (37.532). Klicni center BON je bil zaradi zaključenega obdobja za unovčitev </w:t>
      </w:r>
      <w:r w:rsidR="00A95ADC">
        <w:rPr>
          <w:rFonts w:ascii="Arial" w:hAnsi="Arial" w:cs="Arial"/>
          <w:sz w:val="20"/>
          <w:szCs w:val="20"/>
          <w:lang w:eastAsia="sl-SI"/>
        </w:rPr>
        <w:t>t</w:t>
      </w:r>
      <w:r w:rsidRPr="00AA43B5">
        <w:rPr>
          <w:rFonts w:ascii="Arial" w:hAnsi="Arial" w:cs="Arial"/>
          <w:sz w:val="20"/>
          <w:szCs w:val="20"/>
          <w:lang w:eastAsia="sl-SI"/>
        </w:rPr>
        <w:t xml:space="preserve">urističnih bonov in </w:t>
      </w:r>
      <w:r>
        <w:rPr>
          <w:rFonts w:ascii="Arial" w:hAnsi="Arial" w:cs="Arial"/>
          <w:sz w:val="20"/>
          <w:szCs w:val="20"/>
          <w:lang w:eastAsia="sl-SI"/>
        </w:rPr>
        <w:t>b</w:t>
      </w:r>
      <w:r w:rsidRPr="00AA43B5">
        <w:rPr>
          <w:rFonts w:ascii="Arial" w:hAnsi="Arial" w:cs="Arial"/>
          <w:sz w:val="20"/>
          <w:szCs w:val="20"/>
          <w:lang w:eastAsia="sl-SI"/>
        </w:rPr>
        <w:t>onov</w:t>
      </w:r>
      <w:r>
        <w:rPr>
          <w:rFonts w:ascii="Arial" w:hAnsi="Arial" w:cs="Arial"/>
          <w:sz w:val="20"/>
          <w:szCs w:val="20"/>
          <w:lang w:eastAsia="sl-SI"/>
        </w:rPr>
        <w:t xml:space="preserve"> </w:t>
      </w:r>
      <w:r w:rsidRPr="00AA43B5">
        <w:rPr>
          <w:rFonts w:ascii="Arial" w:hAnsi="Arial" w:cs="Arial"/>
          <w:sz w:val="20"/>
          <w:szCs w:val="20"/>
          <w:lang w:eastAsia="sl-SI"/>
        </w:rPr>
        <w:t xml:space="preserve">21 ukinjen 1. 7. 2022. V </w:t>
      </w:r>
      <w:r w:rsidR="00A95ADC">
        <w:rPr>
          <w:rFonts w:ascii="Arial" w:hAnsi="Arial" w:cs="Arial"/>
          <w:sz w:val="20"/>
          <w:szCs w:val="20"/>
          <w:lang w:eastAsia="sl-SI"/>
        </w:rPr>
        <w:t>k</w:t>
      </w:r>
      <w:r w:rsidRPr="00AA43B5">
        <w:rPr>
          <w:rFonts w:ascii="Arial" w:hAnsi="Arial" w:cs="Arial"/>
          <w:sz w:val="20"/>
          <w:szCs w:val="20"/>
          <w:lang w:eastAsia="sl-SI"/>
        </w:rPr>
        <w:t xml:space="preserve">licnem centru za davke fizičnih oseb so bile tudi v letu 2022 opazne standardne konice s povečanim številom odgovorjenih klicev: obdobje pred rokom za vložitev </w:t>
      </w:r>
      <w:r w:rsidR="00A95ADC">
        <w:rPr>
          <w:rFonts w:ascii="Arial" w:hAnsi="Arial" w:cs="Arial"/>
          <w:sz w:val="20"/>
          <w:szCs w:val="20"/>
          <w:lang w:eastAsia="sl-SI"/>
        </w:rPr>
        <w:t>v</w:t>
      </w:r>
      <w:r w:rsidRPr="00AA43B5">
        <w:rPr>
          <w:rFonts w:ascii="Arial" w:hAnsi="Arial" w:cs="Arial"/>
          <w:sz w:val="20"/>
          <w:szCs w:val="20"/>
          <w:lang w:eastAsia="sl-SI"/>
        </w:rPr>
        <w:t xml:space="preserve">log za uveljavljanje posebne olajšave za vzdrževane družinske člane za leto 2021 ter po odpremi prve in druge tranše informativnih izračunov dohodnine za leto 2021. V </w:t>
      </w:r>
      <w:r w:rsidR="00A95ADC">
        <w:rPr>
          <w:rFonts w:ascii="Arial" w:hAnsi="Arial" w:cs="Arial"/>
          <w:sz w:val="20"/>
          <w:szCs w:val="20"/>
          <w:lang w:eastAsia="sl-SI"/>
        </w:rPr>
        <w:t>k</w:t>
      </w:r>
      <w:r w:rsidRPr="00AA43B5">
        <w:rPr>
          <w:rFonts w:ascii="Arial" w:hAnsi="Arial" w:cs="Arial"/>
          <w:sz w:val="20"/>
          <w:szCs w:val="20"/>
          <w:lang w:eastAsia="sl-SI"/>
        </w:rPr>
        <w:t xml:space="preserve">licnem centru za davke poslovnih subjektov v letu 2022 </w:t>
      </w:r>
      <w:r w:rsidR="00A95ADC">
        <w:rPr>
          <w:rFonts w:ascii="Arial" w:hAnsi="Arial" w:cs="Arial"/>
          <w:sz w:val="20"/>
          <w:szCs w:val="20"/>
          <w:lang w:eastAsia="sl-SI"/>
        </w:rPr>
        <w:t xml:space="preserve">ni bilo zaznati </w:t>
      </w:r>
      <w:r w:rsidRPr="00AA43B5">
        <w:rPr>
          <w:rFonts w:ascii="Arial" w:hAnsi="Arial" w:cs="Arial"/>
          <w:sz w:val="20"/>
          <w:szCs w:val="20"/>
          <w:lang w:eastAsia="sl-SI"/>
        </w:rPr>
        <w:t>značiln</w:t>
      </w:r>
      <w:r w:rsidR="00A95ADC">
        <w:rPr>
          <w:rFonts w:ascii="Arial" w:hAnsi="Arial" w:cs="Arial"/>
          <w:sz w:val="20"/>
          <w:szCs w:val="20"/>
          <w:lang w:eastAsia="sl-SI"/>
        </w:rPr>
        <w:t>e</w:t>
      </w:r>
      <w:r w:rsidRPr="00AA43B5">
        <w:rPr>
          <w:rFonts w:ascii="Arial" w:hAnsi="Arial" w:cs="Arial"/>
          <w:sz w:val="20"/>
          <w:szCs w:val="20"/>
          <w:lang w:eastAsia="sl-SI"/>
        </w:rPr>
        <w:t xml:space="preserve"> konic</w:t>
      </w:r>
      <w:r w:rsidR="00A95ADC">
        <w:rPr>
          <w:rFonts w:ascii="Arial" w:hAnsi="Arial" w:cs="Arial"/>
          <w:sz w:val="20"/>
          <w:szCs w:val="20"/>
          <w:lang w:eastAsia="sl-SI"/>
        </w:rPr>
        <w:t>e</w:t>
      </w:r>
      <w:r w:rsidRPr="00AA43B5">
        <w:rPr>
          <w:rFonts w:ascii="Arial" w:hAnsi="Arial" w:cs="Arial"/>
          <w:sz w:val="20"/>
          <w:szCs w:val="20"/>
          <w:lang w:eastAsia="sl-SI"/>
        </w:rPr>
        <w:t xml:space="preserve"> na letni ravni. Klici glede </w:t>
      </w:r>
      <w:r w:rsidR="00A95ADC">
        <w:rPr>
          <w:rFonts w:ascii="Arial" w:hAnsi="Arial" w:cs="Arial"/>
          <w:sz w:val="20"/>
          <w:szCs w:val="20"/>
          <w:lang w:eastAsia="sl-SI"/>
        </w:rPr>
        <w:t>o</w:t>
      </w:r>
      <w:r w:rsidRPr="00AA43B5">
        <w:rPr>
          <w:rFonts w:ascii="Arial" w:hAnsi="Arial" w:cs="Arial"/>
          <w:sz w:val="20"/>
          <w:szCs w:val="20"/>
          <w:lang w:eastAsia="sl-SI"/>
        </w:rPr>
        <w:t xml:space="preserve">bračuna davka od dohodkov pravnih oseb in </w:t>
      </w:r>
      <w:r w:rsidR="00A95ADC">
        <w:rPr>
          <w:rFonts w:ascii="Arial" w:hAnsi="Arial" w:cs="Arial"/>
          <w:sz w:val="20"/>
          <w:szCs w:val="20"/>
          <w:lang w:eastAsia="sl-SI"/>
        </w:rPr>
        <w:t>o</w:t>
      </w:r>
      <w:r w:rsidRPr="00AA43B5">
        <w:rPr>
          <w:rFonts w:ascii="Arial" w:hAnsi="Arial" w:cs="Arial"/>
          <w:sz w:val="20"/>
          <w:szCs w:val="20"/>
          <w:lang w:eastAsia="sl-SI"/>
        </w:rPr>
        <w:t xml:space="preserve">bračuna dohodnine od dohodka iz dejavnosti so se zaradi prestavitve roka za oddajo z 31. </w:t>
      </w:r>
      <w:r w:rsidR="00A95ADC">
        <w:rPr>
          <w:rFonts w:ascii="Arial" w:hAnsi="Arial" w:cs="Arial"/>
          <w:sz w:val="20"/>
          <w:szCs w:val="20"/>
          <w:lang w:eastAsia="sl-SI"/>
        </w:rPr>
        <w:t>marca</w:t>
      </w:r>
      <w:r w:rsidRPr="00AA43B5">
        <w:rPr>
          <w:rFonts w:ascii="Arial" w:hAnsi="Arial" w:cs="Arial"/>
          <w:sz w:val="20"/>
          <w:szCs w:val="20"/>
          <w:lang w:eastAsia="sl-SI"/>
        </w:rPr>
        <w:t xml:space="preserve"> 2022 na 3. </w:t>
      </w:r>
      <w:r w:rsidR="00A95ADC">
        <w:rPr>
          <w:rFonts w:ascii="Arial" w:hAnsi="Arial" w:cs="Arial"/>
          <w:sz w:val="20"/>
          <w:szCs w:val="20"/>
          <w:lang w:eastAsia="sl-SI"/>
        </w:rPr>
        <w:t>maj</w:t>
      </w:r>
      <w:r w:rsidRPr="00AA43B5">
        <w:rPr>
          <w:rFonts w:ascii="Arial" w:hAnsi="Arial" w:cs="Arial"/>
          <w:sz w:val="20"/>
          <w:szCs w:val="20"/>
          <w:lang w:eastAsia="sl-SI"/>
        </w:rPr>
        <w:t xml:space="preserve"> 2022 porazdelili v obdobje pred 31. 3. 2022 </w:t>
      </w:r>
      <w:r w:rsidR="00A95ADC">
        <w:rPr>
          <w:rFonts w:ascii="Arial" w:hAnsi="Arial" w:cs="Arial"/>
          <w:sz w:val="20"/>
          <w:szCs w:val="20"/>
          <w:lang w:eastAsia="sl-SI"/>
        </w:rPr>
        <w:t xml:space="preserve">pa </w:t>
      </w:r>
      <w:r w:rsidRPr="00AA43B5">
        <w:rPr>
          <w:rFonts w:ascii="Arial" w:hAnsi="Arial" w:cs="Arial"/>
          <w:sz w:val="20"/>
          <w:szCs w:val="20"/>
          <w:lang w:eastAsia="sl-SI"/>
        </w:rPr>
        <w:t xml:space="preserve">do 3. 5. 2022. Predvsem v KC PS so bili v prvi polovici leta prejeti tudi klici glede ukrepov za omejitev posledic </w:t>
      </w:r>
      <w:r w:rsidR="00A95ADC">
        <w:rPr>
          <w:rFonts w:ascii="Arial" w:hAnsi="Arial" w:cs="Arial"/>
          <w:sz w:val="20"/>
          <w:szCs w:val="20"/>
          <w:lang w:eastAsia="sl-SI"/>
        </w:rPr>
        <w:t>covida</w:t>
      </w:r>
      <w:r w:rsidRPr="00AA43B5">
        <w:rPr>
          <w:rFonts w:ascii="Arial" w:hAnsi="Arial" w:cs="Arial"/>
          <w:sz w:val="20"/>
          <w:szCs w:val="20"/>
          <w:lang w:eastAsia="sl-SI"/>
        </w:rPr>
        <w:t>-19 na davčnem področju.</w:t>
      </w:r>
      <w:r w:rsidR="00992912">
        <w:rPr>
          <w:rFonts w:ascii="Arial" w:hAnsi="Arial" w:cs="Arial"/>
          <w:sz w:val="20"/>
          <w:szCs w:val="20"/>
          <w:lang w:eastAsia="sl-SI"/>
        </w:rPr>
        <w:t xml:space="preserve"> </w:t>
      </w:r>
    </w:p>
    <w:p w14:paraId="2C11159F" w14:textId="77777777" w:rsidR="00D847F2" w:rsidRPr="00AA43B5" w:rsidRDefault="00D847F2" w:rsidP="00D847F2">
      <w:pPr>
        <w:pStyle w:val="Brezrazmikov"/>
        <w:spacing w:line="276" w:lineRule="auto"/>
        <w:jc w:val="both"/>
        <w:rPr>
          <w:rFonts w:ascii="Arial" w:hAnsi="Arial" w:cs="Arial"/>
          <w:sz w:val="20"/>
          <w:szCs w:val="20"/>
          <w:lang w:eastAsia="sl-SI"/>
        </w:rPr>
      </w:pPr>
    </w:p>
    <w:p w14:paraId="267742EA" w14:textId="0CF71C10"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Povprečen čas čakanja na prostega uslužbenca v klicnih centrih v letu 2022 je bil 111 sekund. Tudi ob letnih konicah je bil čas čakanja na prostega uslužbenca primeren, takrat s</w:t>
      </w:r>
      <w:r>
        <w:rPr>
          <w:rFonts w:ascii="Arial" w:hAnsi="Arial" w:cs="Arial"/>
          <w:sz w:val="20"/>
          <w:szCs w:val="20"/>
          <w:lang w:eastAsia="sl-SI"/>
        </w:rPr>
        <w:t>e</w:t>
      </w:r>
      <w:r w:rsidRPr="00AA43B5">
        <w:rPr>
          <w:rFonts w:ascii="Arial" w:hAnsi="Arial" w:cs="Arial"/>
          <w:sz w:val="20"/>
          <w:szCs w:val="20"/>
          <w:lang w:eastAsia="sl-SI"/>
        </w:rPr>
        <w:t xml:space="preserve"> običajno število uslužbencev v klicnih centrih okrepi z dodatnimi uslužbenci. Slabši odzivni čas je bil v </w:t>
      </w:r>
      <w:r w:rsidR="00A95ADC">
        <w:rPr>
          <w:rFonts w:ascii="Arial" w:hAnsi="Arial" w:cs="Arial"/>
          <w:sz w:val="20"/>
          <w:szCs w:val="20"/>
          <w:lang w:eastAsia="sl-SI"/>
        </w:rPr>
        <w:t>k</w:t>
      </w:r>
      <w:r w:rsidRPr="00AA43B5">
        <w:rPr>
          <w:rFonts w:ascii="Arial" w:hAnsi="Arial" w:cs="Arial"/>
          <w:sz w:val="20"/>
          <w:szCs w:val="20"/>
          <w:lang w:eastAsia="sl-SI"/>
        </w:rPr>
        <w:t>licnem centru BON v zadnjem mesecu pred rokom za unovčitev bonov, ko smo beležili izredno povečanje števila klicev.</w:t>
      </w:r>
    </w:p>
    <w:p w14:paraId="484ECFCB" w14:textId="77777777" w:rsidR="00D847F2" w:rsidRPr="008012FD" w:rsidRDefault="00D847F2" w:rsidP="00D847F2">
      <w:pPr>
        <w:pStyle w:val="Brezrazmikov"/>
        <w:spacing w:line="276" w:lineRule="auto"/>
        <w:jc w:val="both"/>
        <w:rPr>
          <w:rFonts w:ascii="Arial" w:hAnsi="Arial" w:cs="Arial"/>
          <w:b/>
          <w:bCs/>
          <w:sz w:val="20"/>
          <w:szCs w:val="20"/>
          <w:lang w:eastAsia="sl-SI"/>
        </w:rPr>
      </w:pPr>
    </w:p>
    <w:p w14:paraId="12866ED9" w14:textId="77777777" w:rsidR="00D847F2" w:rsidRPr="008012FD" w:rsidRDefault="00D847F2" w:rsidP="00D847F2">
      <w:pPr>
        <w:pStyle w:val="Brezrazmikov"/>
        <w:spacing w:line="276" w:lineRule="auto"/>
        <w:jc w:val="both"/>
        <w:rPr>
          <w:rFonts w:ascii="Arial" w:hAnsi="Arial" w:cs="Arial"/>
          <w:b/>
          <w:bCs/>
          <w:sz w:val="20"/>
          <w:szCs w:val="20"/>
          <w:lang w:eastAsia="sl-SI"/>
        </w:rPr>
      </w:pPr>
      <w:r w:rsidRPr="008012FD">
        <w:rPr>
          <w:rFonts w:ascii="Arial" w:hAnsi="Arial" w:cs="Arial"/>
          <w:b/>
          <w:bCs/>
          <w:sz w:val="20"/>
          <w:szCs w:val="20"/>
          <w:lang w:eastAsia="sl-SI"/>
        </w:rPr>
        <w:t xml:space="preserve">Klicni centri </w:t>
      </w:r>
    </w:p>
    <w:p w14:paraId="4A5734FA" w14:textId="2D2F0E40"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V kontaktnem centru F</w:t>
      </w:r>
      <w:r>
        <w:rPr>
          <w:rFonts w:ascii="Arial" w:hAnsi="Arial" w:cs="Arial"/>
          <w:sz w:val="20"/>
          <w:szCs w:val="20"/>
          <w:lang w:eastAsia="sl-SI"/>
        </w:rPr>
        <w:t xml:space="preserve">URS </w:t>
      </w:r>
      <w:r w:rsidRPr="00AA43B5">
        <w:rPr>
          <w:rFonts w:ascii="Arial" w:hAnsi="Arial" w:cs="Arial"/>
          <w:sz w:val="20"/>
          <w:szCs w:val="20"/>
          <w:lang w:eastAsia="sl-SI"/>
        </w:rPr>
        <w:t>je bil v letu 2022 urejen prilagoj</w:t>
      </w:r>
      <w:r w:rsidR="002717DD">
        <w:rPr>
          <w:rFonts w:ascii="Arial" w:hAnsi="Arial" w:cs="Arial"/>
          <w:sz w:val="20"/>
          <w:szCs w:val="20"/>
          <w:lang w:eastAsia="sl-SI"/>
        </w:rPr>
        <w:t>e</w:t>
      </w:r>
      <w:r w:rsidRPr="00AA43B5">
        <w:rPr>
          <w:rFonts w:ascii="Arial" w:hAnsi="Arial" w:cs="Arial"/>
          <w:sz w:val="20"/>
          <w:szCs w:val="20"/>
          <w:lang w:eastAsia="sl-SI"/>
        </w:rPr>
        <w:t>n</w:t>
      </w:r>
      <w:r w:rsidR="00A95ADC">
        <w:rPr>
          <w:rFonts w:ascii="Arial" w:hAnsi="Arial" w:cs="Arial"/>
          <w:sz w:val="20"/>
          <w:szCs w:val="20"/>
          <w:lang w:eastAsia="sl-SI"/>
        </w:rPr>
        <w:t>i</w:t>
      </w:r>
      <w:r w:rsidRPr="00AA43B5">
        <w:rPr>
          <w:rFonts w:ascii="Arial" w:hAnsi="Arial" w:cs="Arial"/>
          <w:sz w:val="20"/>
          <w:szCs w:val="20"/>
          <w:lang w:eastAsia="sl-SI"/>
        </w:rPr>
        <w:t xml:space="preserve"> dostop za zaposlene do enotnega dokumentarnega sistema. S tem bodo informacije za zavezance pri telefonskem klicu lahko </w:t>
      </w:r>
      <w:r w:rsidR="00A95ADC">
        <w:rPr>
          <w:rFonts w:ascii="Arial" w:hAnsi="Arial" w:cs="Arial"/>
          <w:sz w:val="20"/>
          <w:szCs w:val="20"/>
          <w:lang w:eastAsia="sl-SI"/>
        </w:rPr>
        <w:t>bolj</w:t>
      </w:r>
      <w:r w:rsidRPr="00AA43B5">
        <w:rPr>
          <w:rFonts w:ascii="Arial" w:hAnsi="Arial" w:cs="Arial"/>
          <w:sz w:val="20"/>
          <w:szCs w:val="20"/>
          <w:lang w:eastAsia="sl-SI"/>
        </w:rPr>
        <w:t xml:space="preserve"> celovite in podane ob prvem stiku. </w:t>
      </w:r>
    </w:p>
    <w:p w14:paraId="0E9832DD" w14:textId="77777777" w:rsidR="00D847F2" w:rsidRPr="00AA43B5" w:rsidRDefault="00D847F2" w:rsidP="00D847F2">
      <w:pPr>
        <w:pStyle w:val="Brezrazmikov"/>
        <w:spacing w:line="276" w:lineRule="auto"/>
        <w:jc w:val="both"/>
        <w:rPr>
          <w:rFonts w:ascii="Arial" w:hAnsi="Arial" w:cs="Arial"/>
          <w:sz w:val="20"/>
          <w:szCs w:val="20"/>
          <w:lang w:eastAsia="sl-SI"/>
        </w:rPr>
      </w:pPr>
    </w:p>
    <w:p w14:paraId="7FE40C2B" w14:textId="75BA6807"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Dokončn</w:t>
      </w:r>
      <w:r>
        <w:rPr>
          <w:rFonts w:ascii="Arial" w:hAnsi="Arial" w:cs="Arial"/>
          <w:sz w:val="20"/>
          <w:szCs w:val="20"/>
          <w:lang w:eastAsia="sl-SI"/>
        </w:rPr>
        <w:t>o</w:t>
      </w:r>
      <w:r w:rsidRPr="00AA43B5">
        <w:rPr>
          <w:rFonts w:ascii="Arial" w:hAnsi="Arial" w:cs="Arial"/>
          <w:sz w:val="20"/>
          <w:szCs w:val="20"/>
          <w:lang w:eastAsia="sl-SI"/>
        </w:rPr>
        <w:t xml:space="preserve"> je bil</w:t>
      </w:r>
      <w:r w:rsidR="00A95ADC">
        <w:rPr>
          <w:rFonts w:ascii="Arial" w:hAnsi="Arial" w:cs="Arial"/>
          <w:sz w:val="20"/>
          <w:szCs w:val="20"/>
          <w:lang w:eastAsia="sl-SI"/>
        </w:rPr>
        <w:t>a</w:t>
      </w:r>
      <w:r w:rsidRPr="00AA43B5">
        <w:rPr>
          <w:rFonts w:ascii="Arial" w:hAnsi="Arial" w:cs="Arial"/>
          <w:sz w:val="20"/>
          <w:szCs w:val="20"/>
          <w:lang w:eastAsia="sl-SI"/>
        </w:rPr>
        <w:t xml:space="preserve"> vzpostavljen</w:t>
      </w:r>
      <w:r w:rsidR="00A95ADC">
        <w:rPr>
          <w:rFonts w:ascii="Arial" w:hAnsi="Arial" w:cs="Arial"/>
          <w:sz w:val="20"/>
          <w:szCs w:val="20"/>
          <w:lang w:eastAsia="sl-SI"/>
        </w:rPr>
        <w:t>a</w:t>
      </w:r>
      <w:r w:rsidRPr="00AA43B5">
        <w:rPr>
          <w:rFonts w:ascii="Arial" w:hAnsi="Arial" w:cs="Arial"/>
          <w:sz w:val="20"/>
          <w:szCs w:val="20"/>
          <w:lang w:eastAsia="sl-SI"/>
        </w:rPr>
        <w:t xml:space="preserve"> drug</w:t>
      </w:r>
      <w:r w:rsidR="00A95ADC">
        <w:rPr>
          <w:rFonts w:ascii="Arial" w:hAnsi="Arial" w:cs="Arial"/>
          <w:sz w:val="20"/>
          <w:szCs w:val="20"/>
          <w:lang w:eastAsia="sl-SI"/>
        </w:rPr>
        <w:t>a</w:t>
      </w:r>
      <w:r w:rsidRPr="00AA43B5">
        <w:rPr>
          <w:rFonts w:ascii="Arial" w:hAnsi="Arial" w:cs="Arial"/>
          <w:sz w:val="20"/>
          <w:szCs w:val="20"/>
          <w:lang w:eastAsia="sl-SI"/>
        </w:rPr>
        <w:t xml:space="preserve"> in tretj</w:t>
      </w:r>
      <w:r w:rsidR="00A95ADC">
        <w:rPr>
          <w:rFonts w:ascii="Arial" w:hAnsi="Arial" w:cs="Arial"/>
          <w:sz w:val="20"/>
          <w:szCs w:val="20"/>
          <w:lang w:eastAsia="sl-SI"/>
        </w:rPr>
        <w:t>a</w:t>
      </w:r>
      <w:r w:rsidRPr="00AA43B5">
        <w:rPr>
          <w:rFonts w:ascii="Arial" w:hAnsi="Arial" w:cs="Arial"/>
          <w:sz w:val="20"/>
          <w:szCs w:val="20"/>
          <w:lang w:eastAsia="sl-SI"/>
        </w:rPr>
        <w:t xml:space="preserve"> </w:t>
      </w:r>
      <w:r w:rsidR="00A95ADC">
        <w:rPr>
          <w:rFonts w:ascii="Arial" w:hAnsi="Arial" w:cs="Arial"/>
          <w:sz w:val="20"/>
          <w:szCs w:val="20"/>
          <w:lang w:eastAsia="sl-SI"/>
        </w:rPr>
        <w:t xml:space="preserve">raven </w:t>
      </w:r>
      <w:r w:rsidRPr="00AA43B5">
        <w:rPr>
          <w:rFonts w:ascii="Arial" w:hAnsi="Arial" w:cs="Arial"/>
          <w:sz w:val="20"/>
          <w:szCs w:val="20"/>
          <w:lang w:eastAsia="sl-SI"/>
        </w:rPr>
        <w:t xml:space="preserve">informiranja za pripravo zahtevnejših pojasnil in </w:t>
      </w:r>
      <w:r w:rsidR="00A95ADC">
        <w:rPr>
          <w:rFonts w:ascii="Arial" w:hAnsi="Arial" w:cs="Arial"/>
          <w:sz w:val="20"/>
          <w:szCs w:val="20"/>
          <w:lang w:eastAsia="sl-SI"/>
        </w:rPr>
        <w:t xml:space="preserve">usklajevanje </w:t>
      </w:r>
      <w:r w:rsidRPr="00AA43B5">
        <w:rPr>
          <w:rFonts w:ascii="Arial" w:hAnsi="Arial" w:cs="Arial"/>
          <w:sz w:val="20"/>
          <w:szCs w:val="20"/>
          <w:lang w:eastAsia="sl-SI"/>
        </w:rPr>
        <w:t xml:space="preserve">dela v ekipah zaposlenih. </w:t>
      </w:r>
      <w:r w:rsidR="00A95ADC">
        <w:rPr>
          <w:rFonts w:ascii="Arial" w:hAnsi="Arial" w:cs="Arial"/>
          <w:sz w:val="20"/>
          <w:szCs w:val="20"/>
          <w:lang w:eastAsia="sl-SI"/>
        </w:rPr>
        <w:t xml:space="preserve">Tako </w:t>
      </w:r>
      <w:r w:rsidRPr="00AA43B5">
        <w:rPr>
          <w:rFonts w:ascii="Arial" w:hAnsi="Arial" w:cs="Arial"/>
          <w:sz w:val="20"/>
          <w:szCs w:val="20"/>
          <w:lang w:eastAsia="sl-SI"/>
        </w:rPr>
        <w:t>je F</w:t>
      </w:r>
      <w:r>
        <w:rPr>
          <w:rFonts w:ascii="Arial" w:hAnsi="Arial" w:cs="Arial"/>
          <w:sz w:val="20"/>
          <w:szCs w:val="20"/>
          <w:lang w:eastAsia="sl-SI"/>
        </w:rPr>
        <w:t xml:space="preserve">URS </w:t>
      </w:r>
      <w:r w:rsidRPr="00AA43B5">
        <w:rPr>
          <w:rFonts w:ascii="Arial" w:hAnsi="Arial" w:cs="Arial"/>
          <w:sz w:val="20"/>
          <w:szCs w:val="20"/>
          <w:lang w:eastAsia="sl-SI"/>
        </w:rPr>
        <w:t>omogočil hitrejšo pripravo pojasnil na prv</w:t>
      </w:r>
      <w:r w:rsidR="00A95ADC">
        <w:rPr>
          <w:rFonts w:ascii="Arial" w:hAnsi="Arial" w:cs="Arial"/>
          <w:sz w:val="20"/>
          <w:szCs w:val="20"/>
          <w:lang w:eastAsia="sl-SI"/>
        </w:rPr>
        <w:t>i</w:t>
      </w:r>
      <w:r w:rsidRPr="00AA43B5">
        <w:rPr>
          <w:rFonts w:ascii="Arial" w:hAnsi="Arial" w:cs="Arial"/>
          <w:sz w:val="20"/>
          <w:szCs w:val="20"/>
          <w:lang w:eastAsia="sl-SI"/>
        </w:rPr>
        <w:t xml:space="preserve"> </w:t>
      </w:r>
      <w:r w:rsidR="00A95ADC">
        <w:rPr>
          <w:rFonts w:ascii="Arial" w:hAnsi="Arial" w:cs="Arial"/>
          <w:sz w:val="20"/>
          <w:szCs w:val="20"/>
          <w:lang w:eastAsia="sl-SI"/>
        </w:rPr>
        <w:t xml:space="preserve">ravni </w:t>
      </w:r>
      <w:r w:rsidRPr="00AA43B5">
        <w:rPr>
          <w:rFonts w:ascii="Arial" w:hAnsi="Arial" w:cs="Arial"/>
          <w:sz w:val="20"/>
          <w:szCs w:val="20"/>
          <w:lang w:eastAsia="sl-SI"/>
        </w:rPr>
        <w:t>in obvladovanje zahtevnejših vsebinskih področij na drug</w:t>
      </w:r>
      <w:r w:rsidR="00A95ADC">
        <w:rPr>
          <w:rFonts w:ascii="Arial" w:hAnsi="Arial" w:cs="Arial"/>
          <w:sz w:val="20"/>
          <w:szCs w:val="20"/>
          <w:lang w:eastAsia="sl-SI"/>
        </w:rPr>
        <w:t>i</w:t>
      </w:r>
      <w:r w:rsidRPr="00AA43B5">
        <w:rPr>
          <w:rFonts w:ascii="Arial" w:hAnsi="Arial" w:cs="Arial"/>
          <w:sz w:val="20"/>
          <w:szCs w:val="20"/>
          <w:lang w:eastAsia="sl-SI"/>
        </w:rPr>
        <w:t xml:space="preserve"> in tretj</w:t>
      </w:r>
      <w:r w:rsidR="00A95ADC">
        <w:rPr>
          <w:rFonts w:ascii="Arial" w:hAnsi="Arial" w:cs="Arial"/>
          <w:sz w:val="20"/>
          <w:szCs w:val="20"/>
          <w:lang w:eastAsia="sl-SI"/>
        </w:rPr>
        <w:t>i</w:t>
      </w:r>
      <w:r w:rsidRPr="00AA43B5">
        <w:rPr>
          <w:rFonts w:ascii="Arial" w:hAnsi="Arial" w:cs="Arial"/>
          <w:sz w:val="20"/>
          <w:szCs w:val="20"/>
          <w:lang w:eastAsia="sl-SI"/>
        </w:rPr>
        <w:t xml:space="preserve"> </w:t>
      </w:r>
      <w:r w:rsidR="00A95ADC">
        <w:rPr>
          <w:rFonts w:ascii="Arial" w:hAnsi="Arial" w:cs="Arial"/>
          <w:sz w:val="20"/>
          <w:szCs w:val="20"/>
          <w:lang w:eastAsia="sl-SI"/>
        </w:rPr>
        <w:t>ravni</w:t>
      </w:r>
      <w:r w:rsidRPr="00AA43B5">
        <w:rPr>
          <w:rFonts w:ascii="Arial" w:hAnsi="Arial" w:cs="Arial"/>
          <w:sz w:val="20"/>
          <w:szCs w:val="20"/>
          <w:lang w:eastAsia="sl-SI"/>
        </w:rPr>
        <w:t xml:space="preserve">. Vzpostavljena je bila </w:t>
      </w:r>
      <w:r w:rsidR="00A95ADC">
        <w:rPr>
          <w:rFonts w:ascii="Arial" w:hAnsi="Arial" w:cs="Arial"/>
          <w:sz w:val="20"/>
          <w:szCs w:val="20"/>
          <w:lang w:eastAsia="sl-SI"/>
        </w:rPr>
        <w:t>e</w:t>
      </w:r>
      <w:r w:rsidRPr="00AA43B5">
        <w:rPr>
          <w:rFonts w:ascii="Arial" w:hAnsi="Arial" w:cs="Arial"/>
          <w:sz w:val="20"/>
          <w:szCs w:val="20"/>
          <w:lang w:eastAsia="sl-SI"/>
        </w:rPr>
        <w:t xml:space="preserve">kipa KAPITAL za pripravo pojasnil z zahtevnejših vsebinskih področij, na katerih je za pripravo pojasnil z davčnega področja potrebno znanje tudi izven davčnih okvirjev. </w:t>
      </w:r>
    </w:p>
    <w:p w14:paraId="6AB3BD30" w14:textId="705CCBBA" w:rsidR="00D847F2" w:rsidRPr="00AA43B5" w:rsidRDefault="00D847F2" w:rsidP="00D847F2">
      <w:pPr>
        <w:pStyle w:val="Brezrazmikov"/>
        <w:spacing w:line="276" w:lineRule="auto"/>
        <w:jc w:val="both"/>
        <w:rPr>
          <w:rFonts w:ascii="Arial" w:hAnsi="Arial" w:cs="Arial"/>
          <w:sz w:val="20"/>
          <w:szCs w:val="20"/>
          <w:lang w:eastAsia="sl-SI"/>
        </w:rPr>
      </w:pPr>
    </w:p>
    <w:p w14:paraId="0C6DC61D" w14:textId="77777777"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lastRenderedPageBreak/>
        <w:t xml:space="preserve">Ob letnih konicah se v kontaktni center </w:t>
      </w:r>
      <w:r>
        <w:rPr>
          <w:rFonts w:ascii="Arial" w:hAnsi="Arial" w:cs="Arial"/>
          <w:sz w:val="20"/>
          <w:szCs w:val="20"/>
          <w:lang w:eastAsia="sl-SI"/>
        </w:rPr>
        <w:t>FURS</w:t>
      </w:r>
      <w:r w:rsidRPr="00AA43B5">
        <w:rPr>
          <w:rFonts w:ascii="Arial" w:hAnsi="Arial" w:cs="Arial"/>
          <w:sz w:val="20"/>
          <w:szCs w:val="20"/>
          <w:lang w:eastAsia="sl-SI"/>
        </w:rPr>
        <w:t xml:space="preserve"> vključi</w:t>
      </w:r>
      <w:r>
        <w:rPr>
          <w:rFonts w:ascii="Arial" w:hAnsi="Arial" w:cs="Arial"/>
          <w:sz w:val="20"/>
          <w:szCs w:val="20"/>
          <w:lang w:eastAsia="sl-SI"/>
        </w:rPr>
        <w:t>jo</w:t>
      </w:r>
      <w:r w:rsidRPr="00AA43B5">
        <w:rPr>
          <w:rFonts w:ascii="Arial" w:hAnsi="Arial" w:cs="Arial"/>
          <w:sz w:val="20"/>
          <w:szCs w:val="20"/>
          <w:lang w:eastAsia="sl-SI"/>
        </w:rPr>
        <w:t xml:space="preserve"> dodatni uslužbenci, ki sicer ne opravljajo dela v klicnem centru. S tem je bila dosežena primerna odzivnost tudi v času konic (oddaja vlog za uveljavljanje posebne olajšave za vzdrževane družinske člane pri informativnem izračunu dohodnine, prejem informativnega izračuna dohodnine, oddaja obračuna za dohodek iz dejavnosti oziroma dohodka pravnih oseb). </w:t>
      </w:r>
    </w:p>
    <w:p w14:paraId="6A55FAAF" w14:textId="77777777" w:rsidR="00D847F2" w:rsidRPr="00AA43B5" w:rsidRDefault="00D847F2" w:rsidP="00D847F2">
      <w:pPr>
        <w:pStyle w:val="Brezrazmikov"/>
        <w:spacing w:line="276" w:lineRule="auto"/>
        <w:jc w:val="both"/>
        <w:rPr>
          <w:rFonts w:ascii="Arial" w:hAnsi="Arial" w:cs="Arial"/>
          <w:sz w:val="20"/>
          <w:szCs w:val="20"/>
          <w:lang w:eastAsia="sl-SI"/>
        </w:rPr>
      </w:pPr>
    </w:p>
    <w:p w14:paraId="7F7EF598" w14:textId="77777777" w:rsidR="00D847F2" w:rsidRPr="008012FD" w:rsidRDefault="00D847F2" w:rsidP="00D847F2">
      <w:pPr>
        <w:pStyle w:val="Brezrazmikov"/>
        <w:spacing w:line="276" w:lineRule="auto"/>
        <w:jc w:val="both"/>
        <w:rPr>
          <w:rFonts w:ascii="Arial" w:hAnsi="Arial" w:cs="Arial"/>
          <w:b/>
          <w:bCs/>
          <w:sz w:val="20"/>
          <w:szCs w:val="20"/>
          <w:lang w:eastAsia="sl-SI"/>
        </w:rPr>
      </w:pPr>
      <w:r w:rsidRPr="008012FD">
        <w:rPr>
          <w:rFonts w:ascii="Arial" w:hAnsi="Arial" w:cs="Arial"/>
          <w:b/>
          <w:bCs/>
          <w:sz w:val="20"/>
          <w:szCs w:val="20"/>
          <w:lang w:eastAsia="sl-SI"/>
        </w:rPr>
        <w:t xml:space="preserve">Spletišče </w:t>
      </w:r>
      <w:r>
        <w:rPr>
          <w:rFonts w:ascii="Arial" w:hAnsi="Arial" w:cs="Arial"/>
          <w:b/>
          <w:bCs/>
          <w:sz w:val="20"/>
          <w:szCs w:val="20"/>
          <w:lang w:eastAsia="sl-SI"/>
        </w:rPr>
        <w:t>FU</w:t>
      </w:r>
      <w:r w:rsidRPr="008012FD">
        <w:rPr>
          <w:rFonts w:ascii="Arial" w:hAnsi="Arial" w:cs="Arial"/>
          <w:b/>
          <w:bCs/>
          <w:sz w:val="20"/>
          <w:szCs w:val="20"/>
          <w:lang w:eastAsia="sl-SI"/>
        </w:rPr>
        <w:t>RS</w:t>
      </w:r>
    </w:p>
    <w:p w14:paraId="44A0C93F" w14:textId="322594C6"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V letu 2022 je potekalo obveščanje uporabnikov prek spleta www.fu.gov.si brez večjih izpadov. Vnos novic, aktualnih novic, pomembnih in nujnih obvestil </w:t>
      </w:r>
      <w:r w:rsidR="0088076F">
        <w:rPr>
          <w:rFonts w:ascii="Arial" w:hAnsi="Arial" w:cs="Arial"/>
          <w:sz w:val="20"/>
          <w:szCs w:val="20"/>
          <w:lang w:eastAsia="sl-SI"/>
        </w:rPr>
        <w:t>ter posodobitev</w:t>
      </w:r>
      <w:r w:rsidR="0088076F" w:rsidRPr="00AA43B5">
        <w:rPr>
          <w:rFonts w:ascii="Arial" w:hAnsi="Arial" w:cs="Arial"/>
          <w:sz w:val="20"/>
          <w:szCs w:val="20"/>
          <w:lang w:eastAsia="sl-SI"/>
        </w:rPr>
        <w:t xml:space="preserve"> </w:t>
      </w:r>
      <w:r w:rsidRPr="00AA43B5">
        <w:rPr>
          <w:rFonts w:ascii="Arial" w:hAnsi="Arial" w:cs="Arial"/>
          <w:sz w:val="20"/>
          <w:szCs w:val="20"/>
          <w:lang w:eastAsia="sl-SI"/>
        </w:rPr>
        <w:t xml:space="preserve">dokumentov </w:t>
      </w:r>
      <w:r w:rsidR="0088076F">
        <w:rPr>
          <w:rFonts w:ascii="Arial" w:hAnsi="Arial" w:cs="Arial"/>
          <w:sz w:val="20"/>
          <w:szCs w:val="20"/>
          <w:lang w:eastAsia="sl-SI"/>
        </w:rPr>
        <w:t xml:space="preserve">in </w:t>
      </w:r>
      <w:r w:rsidRPr="00AA43B5">
        <w:rPr>
          <w:rFonts w:ascii="Arial" w:hAnsi="Arial" w:cs="Arial"/>
          <w:sz w:val="20"/>
          <w:szCs w:val="20"/>
          <w:lang w:eastAsia="sl-SI"/>
        </w:rPr>
        <w:t xml:space="preserve">opisnih vsebin, je bilo </w:t>
      </w:r>
      <w:r w:rsidR="00356149">
        <w:rPr>
          <w:rFonts w:ascii="Arial" w:hAnsi="Arial" w:cs="Arial"/>
          <w:sz w:val="20"/>
          <w:szCs w:val="20"/>
          <w:lang w:eastAsia="sl-SI"/>
        </w:rPr>
        <w:t>pravočasno</w:t>
      </w:r>
      <w:r w:rsidR="0088076F">
        <w:rPr>
          <w:rFonts w:ascii="Arial" w:hAnsi="Arial" w:cs="Arial"/>
          <w:sz w:val="20"/>
          <w:szCs w:val="20"/>
          <w:lang w:eastAsia="sl-SI"/>
        </w:rPr>
        <w:t xml:space="preserve"> </w:t>
      </w:r>
      <w:r w:rsidRPr="00AA43B5">
        <w:rPr>
          <w:rFonts w:ascii="Arial" w:hAnsi="Arial" w:cs="Arial"/>
          <w:sz w:val="20"/>
          <w:szCs w:val="20"/>
          <w:lang w:eastAsia="sl-SI"/>
        </w:rPr>
        <w:t>in brez motenj.</w:t>
      </w:r>
    </w:p>
    <w:p w14:paraId="675547A2" w14:textId="77777777" w:rsidR="00D847F2" w:rsidRPr="00AA43B5" w:rsidRDefault="00D847F2" w:rsidP="00D847F2">
      <w:pPr>
        <w:pStyle w:val="Brezrazmikov"/>
        <w:spacing w:line="276" w:lineRule="auto"/>
        <w:jc w:val="both"/>
        <w:rPr>
          <w:rFonts w:ascii="Arial" w:hAnsi="Arial" w:cs="Arial"/>
          <w:sz w:val="20"/>
          <w:szCs w:val="20"/>
          <w:lang w:eastAsia="sl-SI"/>
        </w:rPr>
      </w:pPr>
    </w:p>
    <w:p w14:paraId="4DA9F235" w14:textId="54EF38DB"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Zaradi zagotavljanja varnostnih popravkov je F</w:t>
      </w:r>
      <w:r>
        <w:rPr>
          <w:rFonts w:ascii="Arial" w:hAnsi="Arial" w:cs="Arial"/>
          <w:sz w:val="20"/>
          <w:szCs w:val="20"/>
          <w:lang w:eastAsia="sl-SI"/>
        </w:rPr>
        <w:t xml:space="preserve">URS </w:t>
      </w:r>
      <w:r w:rsidRPr="00AA43B5">
        <w:rPr>
          <w:rFonts w:ascii="Arial" w:hAnsi="Arial" w:cs="Arial"/>
          <w:sz w:val="20"/>
          <w:szCs w:val="20"/>
          <w:lang w:eastAsia="sl-SI"/>
        </w:rPr>
        <w:t xml:space="preserve">sredi leta 2022 </w:t>
      </w:r>
      <w:r w:rsidR="0088076F">
        <w:rPr>
          <w:rFonts w:ascii="Arial" w:hAnsi="Arial" w:cs="Arial"/>
          <w:sz w:val="20"/>
          <w:szCs w:val="20"/>
          <w:lang w:eastAsia="sl-SI"/>
        </w:rPr>
        <w:t>za</w:t>
      </w:r>
      <w:r w:rsidRPr="00AA43B5">
        <w:rPr>
          <w:rFonts w:ascii="Arial" w:hAnsi="Arial" w:cs="Arial"/>
          <w:sz w:val="20"/>
          <w:szCs w:val="20"/>
          <w:lang w:eastAsia="sl-SI"/>
        </w:rPr>
        <w:t xml:space="preserve">čel nadgradnjo sistema TYPO3. Novejša </w:t>
      </w:r>
      <w:r w:rsidR="0088076F">
        <w:rPr>
          <w:rFonts w:ascii="Arial" w:hAnsi="Arial" w:cs="Arial"/>
          <w:sz w:val="20"/>
          <w:szCs w:val="20"/>
          <w:lang w:eastAsia="sl-SI"/>
        </w:rPr>
        <w:t>različica</w:t>
      </w:r>
      <w:r w:rsidRPr="00AA43B5">
        <w:rPr>
          <w:rFonts w:ascii="Arial" w:hAnsi="Arial" w:cs="Arial"/>
          <w:sz w:val="20"/>
          <w:szCs w:val="20"/>
          <w:lang w:eastAsia="sl-SI"/>
        </w:rPr>
        <w:t xml:space="preserve">TYPO3 je zahtevala tudi višjo </w:t>
      </w:r>
      <w:r w:rsidR="002717DD">
        <w:rPr>
          <w:rFonts w:ascii="Arial" w:hAnsi="Arial" w:cs="Arial"/>
          <w:sz w:val="20"/>
          <w:szCs w:val="20"/>
          <w:lang w:eastAsia="sl-SI"/>
        </w:rPr>
        <w:t>razli</w:t>
      </w:r>
      <w:r w:rsidR="0088076F">
        <w:rPr>
          <w:rFonts w:ascii="Arial" w:hAnsi="Arial" w:cs="Arial"/>
          <w:sz w:val="20"/>
          <w:szCs w:val="20"/>
          <w:lang w:eastAsia="sl-SI"/>
        </w:rPr>
        <w:t>čico</w:t>
      </w:r>
      <w:r w:rsidR="0088076F" w:rsidRPr="00AA43B5">
        <w:rPr>
          <w:rFonts w:ascii="Arial" w:hAnsi="Arial" w:cs="Arial"/>
          <w:sz w:val="20"/>
          <w:szCs w:val="20"/>
          <w:lang w:eastAsia="sl-SI"/>
        </w:rPr>
        <w:t xml:space="preserve"> </w:t>
      </w:r>
      <w:r w:rsidRPr="00AA43B5">
        <w:rPr>
          <w:rFonts w:ascii="Arial" w:hAnsi="Arial" w:cs="Arial"/>
          <w:sz w:val="20"/>
          <w:szCs w:val="20"/>
          <w:lang w:eastAsia="sl-SI"/>
        </w:rPr>
        <w:t xml:space="preserve">PHP (ver 8.x). Zaradi dejstva, da </w:t>
      </w:r>
      <w:r w:rsidR="0088076F">
        <w:rPr>
          <w:rFonts w:ascii="Arial" w:hAnsi="Arial" w:cs="Arial"/>
          <w:sz w:val="20"/>
          <w:szCs w:val="20"/>
          <w:lang w:eastAsia="sl-SI"/>
        </w:rPr>
        <w:t xml:space="preserve">že vzpostavljeno </w:t>
      </w:r>
      <w:r w:rsidRPr="00AA43B5">
        <w:rPr>
          <w:rFonts w:ascii="Arial" w:hAnsi="Arial" w:cs="Arial"/>
          <w:sz w:val="20"/>
          <w:szCs w:val="20"/>
          <w:lang w:eastAsia="sl-SI"/>
        </w:rPr>
        <w:t xml:space="preserve">gostovanje na </w:t>
      </w:r>
      <w:r>
        <w:rPr>
          <w:rFonts w:ascii="Arial" w:hAnsi="Arial" w:cs="Arial"/>
          <w:sz w:val="20"/>
          <w:szCs w:val="20"/>
          <w:lang w:eastAsia="sl-SI"/>
        </w:rPr>
        <w:t xml:space="preserve">ministrstvu za javno upravo </w:t>
      </w:r>
      <w:r w:rsidRPr="00AA43B5">
        <w:rPr>
          <w:rFonts w:ascii="Arial" w:hAnsi="Arial" w:cs="Arial"/>
          <w:sz w:val="20"/>
          <w:szCs w:val="20"/>
          <w:lang w:eastAsia="sl-SI"/>
        </w:rPr>
        <w:t xml:space="preserve">ne more zagotoviti dovolj visoke </w:t>
      </w:r>
      <w:r w:rsidR="0088076F">
        <w:rPr>
          <w:rFonts w:ascii="Arial" w:hAnsi="Arial" w:cs="Arial"/>
          <w:sz w:val="20"/>
          <w:szCs w:val="20"/>
          <w:lang w:eastAsia="sl-SI"/>
        </w:rPr>
        <w:t>različice</w:t>
      </w:r>
      <w:r w:rsidR="0088076F" w:rsidRPr="00AA43B5">
        <w:rPr>
          <w:rFonts w:ascii="Arial" w:hAnsi="Arial" w:cs="Arial"/>
          <w:sz w:val="20"/>
          <w:szCs w:val="20"/>
          <w:lang w:eastAsia="sl-SI"/>
        </w:rPr>
        <w:t xml:space="preserve"> </w:t>
      </w:r>
      <w:r w:rsidRPr="00AA43B5">
        <w:rPr>
          <w:rFonts w:ascii="Arial" w:hAnsi="Arial" w:cs="Arial"/>
          <w:sz w:val="20"/>
          <w:szCs w:val="20"/>
          <w:lang w:eastAsia="sl-SI"/>
        </w:rPr>
        <w:t xml:space="preserve">za nadgradnjo TYPO3, je sočasno </w:t>
      </w:r>
      <w:r w:rsidR="0088076F">
        <w:rPr>
          <w:rFonts w:ascii="Arial" w:hAnsi="Arial" w:cs="Arial"/>
          <w:sz w:val="20"/>
          <w:szCs w:val="20"/>
          <w:lang w:eastAsia="sl-SI"/>
        </w:rPr>
        <w:t>za</w:t>
      </w:r>
      <w:r w:rsidRPr="00AA43B5">
        <w:rPr>
          <w:rFonts w:ascii="Arial" w:hAnsi="Arial" w:cs="Arial"/>
          <w:sz w:val="20"/>
          <w:szCs w:val="20"/>
          <w:lang w:eastAsia="sl-SI"/>
        </w:rPr>
        <w:t xml:space="preserve">čel nadgradnjo TYPO3 ter migracijo na novo gostovanje znotraj </w:t>
      </w:r>
      <w:r>
        <w:rPr>
          <w:rFonts w:ascii="Arial" w:hAnsi="Arial" w:cs="Arial"/>
          <w:sz w:val="20"/>
          <w:szCs w:val="20"/>
          <w:lang w:eastAsia="sl-SI"/>
        </w:rPr>
        <w:t>ministrstva za javno upravo</w:t>
      </w:r>
      <w:r w:rsidRPr="00AA43B5">
        <w:rPr>
          <w:rFonts w:ascii="Arial" w:hAnsi="Arial" w:cs="Arial"/>
          <w:sz w:val="20"/>
          <w:szCs w:val="20"/>
          <w:lang w:eastAsia="sl-SI"/>
        </w:rPr>
        <w:t xml:space="preserve">. Protokol za novo gostovanje je tudi dodatno zahteval varnostno preverjanje. </w:t>
      </w:r>
      <w:r w:rsidR="00714D2A">
        <w:rPr>
          <w:rFonts w:ascii="Arial" w:hAnsi="Arial" w:cs="Arial"/>
          <w:sz w:val="20"/>
          <w:szCs w:val="20"/>
          <w:lang w:eastAsia="sl-SI"/>
        </w:rPr>
        <w:t>Zaradi</w:t>
      </w:r>
      <w:r w:rsidR="00714D2A" w:rsidRPr="00AA43B5">
        <w:rPr>
          <w:rFonts w:ascii="Arial" w:hAnsi="Arial" w:cs="Arial"/>
          <w:sz w:val="20"/>
          <w:szCs w:val="20"/>
          <w:lang w:eastAsia="sl-SI"/>
        </w:rPr>
        <w:t xml:space="preserve"> </w:t>
      </w:r>
      <w:r w:rsidRPr="00AA43B5">
        <w:rPr>
          <w:rFonts w:ascii="Arial" w:hAnsi="Arial" w:cs="Arial"/>
          <w:sz w:val="20"/>
          <w:szCs w:val="20"/>
          <w:lang w:eastAsia="sl-SI"/>
        </w:rPr>
        <w:t xml:space="preserve">tega sta bila nadgradnja in migracija na novo gostovanje časovno nekoliko obsežnejša. </w:t>
      </w:r>
    </w:p>
    <w:p w14:paraId="0BBDCBBA" w14:textId="77777777" w:rsidR="00D847F2" w:rsidRPr="00AA43B5" w:rsidRDefault="00D847F2" w:rsidP="00D847F2">
      <w:pPr>
        <w:pStyle w:val="Brezrazmikov"/>
        <w:spacing w:line="276" w:lineRule="auto"/>
        <w:jc w:val="both"/>
        <w:rPr>
          <w:rFonts w:ascii="Arial" w:hAnsi="Arial" w:cs="Arial"/>
          <w:sz w:val="20"/>
          <w:szCs w:val="20"/>
          <w:lang w:eastAsia="sl-SI"/>
        </w:rPr>
      </w:pPr>
    </w:p>
    <w:p w14:paraId="0B3D4456" w14:textId="47F7B27E"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V letu 2022 je F</w:t>
      </w:r>
      <w:r>
        <w:rPr>
          <w:rFonts w:ascii="Arial" w:hAnsi="Arial" w:cs="Arial"/>
          <w:sz w:val="20"/>
          <w:szCs w:val="20"/>
          <w:lang w:eastAsia="sl-SI"/>
        </w:rPr>
        <w:t xml:space="preserve">URS </w:t>
      </w:r>
      <w:r w:rsidRPr="00AA43B5">
        <w:rPr>
          <w:rFonts w:ascii="Arial" w:hAnsi="Arial" w:cs="Arial"/>
          <w:sz w:val="20"/>
          <w:szCs w:val="20"/>
          <w:lang w:eastAsia="sl-SI"/>
        </w:rPr>
        <w:t>nadaljeval prilagajanje spletnih strani za ranljive skupine – odprava programskih ter uredniških napak. Trenutno je prilagojena polovica spletnih strani spletišča www.fu.gov.si. V okviru prilagoditev spletnih vsebin za najnovejše tehnologije (mobilne naprave), ki jih uporabniki v</w:t>
      </w:r>
      <w:r w:rsidR="00714D2A">
        <w:rPr>
          <w:rFonts w:ascii="Arial" w:hAnsi="Arial" w:cs="Arial"/>
          <w:sz w:val="20"/>
          <w:szCs w:val="20"/>
          <w:lang w:eastAsia="sl-SI"/>
        </w:rPr>
        <w:t>s</w:t>
      </w:r>
      <w:r w:rsidRPr="00AA43B5">
        <w:rPr>
          <w:rFonts w:ascii="Arial" w:hAnsi="Arial" w:cs="Arial"/>
          <w:sz w:val="20"/>
          <w:szCs w:val="20"/>
          <w:lang w:eastAsia="sl-SI"/>
        </w:rPr>
        <w:t xml:space="preserve">e pogosteje </w:t>
      </w:r>
      <w:r w:rsidR="00714D2A">
        <w:rPr>
          <w:rFonts w:ascii="Arial" w:hAnsi="Arial" w:cs="Arial"/>
          <w:sz w:val="20"/>
          <w:szCs w:val="20"/>
          <w:lang w:eastAsia="sl-SI"/>
        </w:rPr>
        <w:t>uporabljajo</w:t>
      </w:r>
      <w:r w:rsidRPr="00AA43B5">
        <w:rPr>
          <w:rFonts w:ascii="Arial" w:hAnsi="Arial" w:cs="Arial"/>
          <w:sz w:val="20"/>
          <w:szCs w:val="20"/>
          <w:lang w:eastAsia="sl-SI"/>
        </w:rPr>
        <w:t xml:space="preserve">, je bilo izvedeno prilagajanje slik, ki bo </w:t>
      </w:r>
      <w:r w:rsidR="00714D2A">
        <w:rPr>
          <w:rFonts w:ascii="Arial" w:hAnsi="Arial" w:cs="Arial"/>
          <w:sz w:val="20"/>
          <w:szCs w:val="20"/>
          <w:lang w:eastAsia="sl-SI"/>
        </w:rPr>
        <w:t>z</w:t>
      </w:r>
      <w:r w:rsidRPr="00AA43B5">
        <w:rPr>
          <w:rFonts w:ascii="Arial" w:hAnsi="Arial" w:cs="Arial"/>
          <w:sz w:val="20"/>
          <w:szCs w:val="20"/>
          <w:lang w:eastAsia="sl-SI"/>
        </w:rPr>
        <w:t xml:space="preserve">daj bolj zvezno. To bo vidno na novem strežniku, ki bo </w:t>
      </w:r>
      <w:r w:rsidR="00714D2A">
        <w:rPr>
          <w:rFonts w:ascii="Arial" w:hAnsi="Arial" w:cs="Arial"/>
          <w:sz w:val="20"/>
          <w:szCs w:val="20"/>
          <w:lang w:eastAsia="sl-SI"/>
        </w:rPr>
        <w:t xml:space="preserve">v </w:t>
      </w:r>
      <w:r w:rsidRPr="00AA43B5">
        <w:rPr>
          <w:rFonts w:ascii="Arial" w:hAnsi="Arial" w:cs="Arial"/>
          <w:sz w:val="20"/>
          <w:szCs w:val="20"/>
          <w:lang w:eastAsia="sl-SI"/>
        </w:rPr>
        <w:t>produkcijski uporabi v letu 2023.</w:t>
      </w:r>
    </w:p>
    <w:p w14:paraId="48735FB3" w14:textId="77777777" w:rsidR="00D847F2" w:rsidRPr="00AA43B5" w:rsidRDefault="00D847F2" w:rsidP="00D847F2">
      <w:pPr>
        <w:pStyle w:val="Brezrazmikov"/>
        <w:spacing w:line="276" w:lineRule="auto"/>
        <w:jc w:val="both"/>
        <w:rPr>
          <w:rFonts w:ascii="Arial" w:hAnsi="Arial" w:cs="Arial"/>
          <w:sz w:val="20"/>
          <w:szCs w:val="20"/>
          <w:lang w:eastAsia="sl-SI"/>
        </w:rPr>
      </w:pPr>
    </w:p>
    <w:p w14:paraId="0D2B224F" w14:textId="134086D0"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Proti koncu leta 2022 je bila </w:t>
      </w:r>
      <w:r w:rsidR="00714D2A">
        <w:rPr>
          <w:rFonts w:ascii="Arial" w:hAnsi="Arial" w:cs="Arial"/>
          <w:sz w:val="20"/>
          <w:szCs w:val="20"/>
          <w:lang w:eastAsia="sl-SI"/>
        </w:rPr>
        <w:t>vnovič</w:t>
      </w:r>
      <w:r w:rsidR="00714D2A" w:rsidRPr="00AA43B5">
        <w:rPr>
          <w:rFonts w:ascii="Arial" w:hAnsi="Arial" w:cs="Arial"/>
          <w:sz w:val="20"/>
          <w:szCs w:val="20"/>
          <w:lang w:eastAsia="sl-SI"/>
        </w:rPr>
        <w:t xml:space="preserve"> </w:t>
      </w:r>
      <w:r w:rsidRPr="00AA43B5">
        <w:rPr>
          <w:rFonts w:ascii="Arial" w:hAnsi="Arial" w:cs="Arial"/>
          <w:sz w:val="20"/>
          <w:szCs w:val="20"/>
          <w:lang w:eastAsia="sl-SI"/>
        </w:rPr>
        <w:t xml:space="preserve">zagnana analitika za </w:t>
      </w:r>
      <w:proofErr w:type="spellStart"/>
      <w:r w:rsidRPr="00AA43B5">
        <w:rPr>
          <w:rFonts w:ascii="Arial" w:hAnsi="Arial" w:cs="Arial"/>
          <w:sz w:val="20"/>
          <w:szCs w:val="20"/>
          <w:lang w:eastAsia="sl-SI"/>
        </w:rPr>
        <w:t>Matomo</w:t>
      </w:r>
      <w:proofErr w:type="spellEnd"/>
      <w:r w:rsidRPr="00AA43B5">
        <w:rPr>
          <w:rFonts w:ascii="Arial" w:hAnsi="Arial" w:cs="Arial"/>
          <w:sz w:val="20"/>
          <w:szCs w:val="20"/>
          <w:lang w:eastAsia="sl-SI"/>
        </w:rPr>
        <w:t>. Izveden je bila migracija na nov</w:t>
      </w:r>
      <w:r w:rsidR="00714D2A">
        <w:rPr>
          <w:rFonts w:ascii="Arial" w:hAnsi="Arial" w:cs="Arial"/>
          <w:sz w:val="20"/>
          <w:szCs w:val="20"/>
          <w:lang w:eastAsia="sl-SI"/>
        </w:rPr>
        <w:t>i</w:t>
      </w:r>
      <w:r w:rsidRPr="00AA43B5">
        <w:rPr>
          <w:rFonts w:ascii="Arial" w:hAnsi="Arial" w:cs="Arial"/>
          <w:sz w:val="20"/>
          <w:szCs w:val="20"/>
          <w:lang w:eastAsia="sl-SI"/>
        </w:rPr>
        <w:t xml:space="preserve"> strežnik</w:t>
      </w:r>
      <w:r w:rsidR="00714D2A" w:rsidRPr="00714D2A">
        <w:rPr>
          <w:rFonts w:ascii="Arial" w:hAnsi="Arial" w:cs="Arial"/>
          <w:sz w:val="20"/>
          <w:szCs w:val="20"/>
          <w:lang w:eastAsia="sl-SI"/>
        </w:rPr>
        <w:t xml:space="preserve"> </w:t>
      </w:r>
      <w:proofErr w:type="spellStart"/>
      <w:r w:rsidR="00714D2A" w:rsidRPr="00AA43B5">
        <w:rPr>
          <w:rFonts w:ascii="Arial" w:hAnsi="Arial" w:cs="Arial"/>
          <w:sz w:val="20"/>
          <w:szCs w:val="20"/>
          <w:lang w:eastAsia="sl-SI"/>
        </w:rPr>
        <w:t>Matomo</w:t>
      </w:r>
      <w:proofErr w:type="spellEnd"/>
      <w:r w:rsidRPr="00AA43B5">
        <w:rPr>
          <w:rFonts w:ascii="Arial" w:hAnsi="Arial" w:cs="Arial"/>
          <w:sz w:val="20"/>
          <w:szCs w:val="20"/>
          <w:lang w:eastAsia="sl-SI"/>
        </w:rPr>
        <w:t>. F</w:t>
      </w:r>
      <w:r>
        <w:rPr>
          <w:rFonts w:ascii="Arial" w:hAnsi="Arial" w:cs="Arial"/>
          <w:sz w:val="20"/>
          <w:szCs w:val="20"/>
          <w:lang w:eastAsia="sl-SI"/>
        </w:rPr>
        <w:t>URS se je ravnal po</w:t>
      </w:r>
      <w:r w:rsidRPr="00AA43B5">
        <w:rPr>
          <w:rFonts w:ascii="Arial" w:hAnsi="Arial" w:cs="Arial"/>
          <w:sz w:val="20"/>
          <w:szCs w:val="20"/>
          <w:lang w:eastAsia="sl-SI"/>
        </w:rPr>
        <w:t xml:space="preserve"> </w:t>
      </w:r>
      <w:hyperlink r:id="rId20" w:tgtFrame="_blank" w:history="1">
        <w:r w:rsidRPr="006E5CB1">
          <w:rPr>
            <w:rStyle w:val="Krepko"/>
            <w:rFonts w:ascii="Arial" w:hAnsi="Arial" w:cs="Arial"/>
            <w:b w:val="0"/>
            <w:bCs w:val="0"/>
            <w:sz w:val="20"/>
            <w:szCs w:val="20"/>
          </w:rPr>
          <w:t>Splošni uredbi EU o varstvu podatkov</w:t>
        </w:r>
      </w:hyperlink>
      <w:r w:rsidRPr="00BC52A2">
        <w:rPr>
          <w:rFonts w:ascii="Arial" w:hAnsi="Arial" w:cs="Arial"/>
          <w:sz w:val="20"/>
          <w:szCs w:val="20"/>
          <w:lang w:eastAsia="sl-SI"/>
        </w:rPr>
        <w:t xml:space="preserve"> </w:t>
      </w:r>
      <w:r>
        <w:rPr>
          <w:rFonts w:ascii="Arial" w:hAnsi="Arial" w:cs="Arial"/>
          <w:sz w:val="20"/>
          <w:szCs w:val="20"/>
          <w:lang w:eastAsia="sl-SI"/>
        </w:rPr>
        <w:t>(</w:t>
      </w:r>
      <w:r w:rsidRPr="00AA43B5">
        <w:rPr>
          <w:rFonts w:ascii="Arial" w:hAnsi="Arial" w:cs="Arial"/>
          <w:sz w:val="20"/>
          <w:szCs w:val="20"/>
          <w:lang w:eastAsia="sl-SI"/>
        </w:rPr>
        <w:t>GDPR</w:t>
      </w:r>
      <w:r>
        <w:rPr>
          <w:rFonts w:ascii="Arial" w:hAnsi="Arial" w:cs="Arial"/>
          <w:sz w:val="20"/>
          <w:szCs w:val="20"/>
          <w:lang w:eastAsia="sl-SI"/>
        </w:rPr>
        <w:t>)</w:t>
      </w:r>
      <w:r w:rsidRPr="00AA43B5">
        <w:rPr>
          <w:rFonts w:ascii="Arial" w:hAnsi="Arial" w:cs="Arial"/>
          <w:sz w:val="20"/>
          <w:szCs w:val="20"/>
          <w:lang w:eastAsia="sl-SI"/>
        </w:rPr>
        <w:t xml:space="preserve">, zaradi česar je </w:t>
      </w:r>
      <w:r w:rsidR="00714D2A">
        <w:rPr>
          <w:rFonts w:ascii="Arial" w:hAnsi="Arial" w:cs="Arial"/>
          <w:sz w:val="20"/>
          <w:szCs w:val="20"/>
          <w:lang w:eastAsia="sl-SI"/>
        </w:rPr>
        <w:t>z</w:t>
      </w:r>
      <w:r w:rsidRPr="00AA43B5">
        <w:rPr>
          <w:rFonts w:ascii="Arial" w:hAnsi="Arial" w:cs="Arial"/>
          <w:sz w:val="20"/>
          <w:szCs w:val="20"/>
          <w:lang w:eastAsia="sl-SI"/>
        </w:rPr>
        <w:t xml:space="preserve">daj, ob vstopu na splet www.fu.gov.si, potrebno potrjevanje piškotkov. V sodelovanju </w:t>
      </w:r>
      <w:r>
        <w:rPr>
          <w:rFonts w:ascii="Arial" w:hAnsi="Arial" w:cs="Arial"/>
          <w:sz w:val="20"/>
          <w:szCs w:val="20"/>
          <w:lang w:eastAsia="sl-SI"/>
        </w:rPr>
        <w:t>s</w:t>
      </w:r>
      <w:r w:rsidRPr="00AA43B5">
        <w:rPr>
          <w:rFonts w:ascii="Arial" w:hAnsi="Arial" w:cs="Arial"/>
          <w:sz w:val="20"/>
          <w:szCs w:val="20"/>
          <w:lang w:eastAsia="sl-SI"/>
        </w:rPr>
        <w:t xml:space="preserve"> </w:t>
      </w:r>
      <w:r w:rsidRPr="001A4757">
        <w:rPr>
          <w:rFonts w:ascii="Arial" w:hAnsi="Arial" w:cs="Arial"/>
          <w:sz w:val="20"/>
          <w:szCs w:val="20"/>
          <w:lang w:eastAsia="sl-SI"/>
        </w:rPr>
        <w:t>p</w:t>
      </w:r>
      <w:r w:rsidRPr="00D158A6">
        <w:rPr>
          <w:rStyle w:val="Krepko"/>
          <w:rFonts w:ascii="Arial" w:hAnsi="Arial" w:cs="Arial"/>
          <w:b w:val="0"/>
          <w:sz w:val="20"/>
          <w:szCs w:val="20"/>
        </w:rPr>
        <w:t>ooblaščeno osebo za varstvo osebnih podatkov</w:t>
      </w:r>
      <w:r>
        <w:rPr>
          <w:rFonts w:ascii="Arial" w:hAnsi="Arial" w:cs="Arial"/>
          <w:sz w:val="20"/>
          <w:szCs w:val="20"/>
          <w:lang w:eastAsia="sl-SI"/>
        </w:rPr>
        <w:t xml:space="preserve"> (</w:t>
      </w:r>
      <w:r w:rsidRPr="00AA43B5">
        <w:rPr>
          <w:rFonts w:ascii="Arial" w:hAnsi="Arial" w:cs="Arial"/>
          <w:sz w:val="20"/>
          <w:szCs w:val="20"/>
          <w:lang w:eastAsia="sl-SI"/>
        </w:rPr>
        <w:t>DPO F</w:t>
      </w:r>
      <w:r>
        <w:rPr>
          <w:rFonts w:ascii="Arial" w:hAnsi="Arial" w:cs="Arial"/>
          <w:sz w:val="20"/>
          <w:szCs w:val="20"/>
          <w:lang w:eastAsia="sl-SI"/>
        </w:rPr>
        <w:t xml:space="preserve">URS) </w:t>
      </w:r>
      <w:r w:rsidRPr="00AA43B5">
        <w:rPr>
          <w:rFonts w:ascii="Arial" w:hAnsi="Arial" w:cs="Arial"/>
          <w:sz w:val="20"/>
          <w:szCs w:val="20"/>
          <w:lang w:eastAsia="sl-SI"/>
        </w:rPr>
        <w:t xml:space="preserve"> je bilo dogovorjeno ter izvedene izjeme, v primeru mesečnih poročanj v okviru projekta SI-SDG. </w:t>
      </w:r>
    </w:p>
    <w:p w14:paraId="4ACFE0BA" w14:textId="77777777" w:rsidR="00D847F2" w:rsidRPr="00AA43B5" w:rsidRDefault="00D847F2" w:rsidP="00D847F2">
      <w:pPr>
        <w:pStyle w:val="Brezrazmikov"/>
        <w:spacing w:line="276" w:lineRule="auto"/>
        <w:jc w:val="both"/>
        <w:rPr>
          <w:rFonts w:ascii="Arial" w:hAnsi="Arial" w:cs="Arial"/>
          <w:sz w:val="20"/>
          <w:szCs w:val="20"/>
          <w:lang w:eastAsia="sl-SI"/>
        </w:rPr>
      </w:pPr>
    </w:p>
    <w:p w14:paraId="23ED29F8" w14:textId="77777777" w:rsidR="00D847F2" w:rsidRPr="00C8005C" w:rsidRDefault="00D847F2" w:rsidP="00D847F2">
      <w:pPr>
        <w:pStyle w:val="Brezrazmikov"/>
        <w:spacing w:line="276" w:lineRule="auto"/>
        <w:jc w:val="both"/>
        <w:rPr>
          <w:rFonts w:ascii="Arial" w:hAnsi="Arial" w:cs="Arial"/>
          <w:b/>
          <w:bCs/>
          <w:sz w:val="20"/>
          <w:szCs w:val="20"/>
          <w:lang w:eastAsia="sl-SI"/>
        </w:rPr>
      </w:pPr>
      <w:r w:rsidRPr="00C8005C">
        <w:rPr>
          <w:rFonts w:ascii="Arial" w:hAnsi="Arial" w:cs="Arial"/>
          <w:b/>
          <w:bCs/>
          <w:sz w:val="20"/>
          <w:szCs w:val="20"/>
          <w:lang w:eastAsia="sl-SI"/>
        </w:rPr>
        <w:t>Komuniciranje z mediji</w:t>
      </w:r>
    </w:p>
    <w:p w14:paraId="5C6FE63C" w14:textId="0224CF37"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V letu 2022 je F</w:t>
      </w:r>
      <w:r>
        <w:rPr>
          <w:rFonts w:ascii="Arial" w:hAnsi="Arial" w:cs="Arial"/>
          <w:sz w:val="20"/>
          <w:szCs w:val="20"/>
          <w:lang w:eastAsia="sl-SI"/>
        </w:rPr>
        <w:t xml:space="preserve">URS </w:t>
      </w:r>
      <w:r w:rsidRPr="00AA43B5">
        <w:rPr>
          <w:rFonts w:ascii="Arial" w:hAnsi="Arial" w:cs="Arial"/>
          <w:sz w:val="20"/>
          <w:szCs w:val="20"/>
          <w:lang w:eastAsia="sl-SI"/>
        </w:rPr>
        <w:t xml:space="preserve">nadaljeval s proaktivnim medijskim komuniciranjem. Poleg rednega informiranja in obveščanja javnosti o davčnih in carinskih temah je bila nekoliko manj kot pretekli dve leti </w:t>
      </w:r>
      <w:r w:rsidR="00714D2A" w:rsidRPr="00AA43B5">
        <w:rPr>
          <w:rFonts w:ascii="Arial" w:hAnsi="Arial" w:cs="Arial"/>
          <w:sz w:val="20"/>
          <w:szCs w:val="20"/>
          <w:lang w:eastAsia="sl-SI"/>
        </w:rPr>
        <w:t xml:space="preserve">pozornost </w:t>
      </w:r>
      <w:r w:rsidRPr="00AA43B5">
        <w:rPr>
          <w:rFonts w:ascii="Arial" w:hAnsi="Arial" w:cs="Arial"/>
          <w:sz w:val="20"/>
          <w:szCs w:val="20"/>
          <w:lang w:eastAsia="sl-SI"/>
        </w:rPr>
        <w:t xml:space="preserve">namenjena protikoronskim ukrepom, ki se nanašajo na davčno področje. Turističnim bonom in </w:t>
      </w:r>
      <w:r>
        <w:rPr>
          <w:rFonts w:ascii="Arial" w:hAnsi="Arial" w:cs="Arial"/>
          <w:sz w:val="20"/>
          <w:szCs w:val="20"/>
          <w:lang w:eastAsia="sl-SI"/>
        </w:rPr>
        <w:t>b</w:t>
      </w:r>
      <w:r w:rsidRPr="00AA43B5">
        <w:rPr>
          <w:rFonts w:ascii="Arial" w:hAnsi="Arial" w:cs="Arial"/>
          <w:sz w:val="20"/>
          <w:szCs w:val="20"/>
          <w:lang w:eastAsia="sl-SI"/>
        </w:rPr>
        <w:t>onom</w:t>
      </w:r>
      <w:r>
        <w:rPr>
          <w:rFonts w:ascii="Arial" w:hAnsi="Arial" w:cs="Arial"/>
          <w:sz w:val="20"/>
          <w:szCs w:val="20"/>
          <w:lang w:eastAsia="sl-SI"/>
        </w:rPr>
        <w:t xml:space="preserve"> </w:t>
      </w:r>
      <w:r w:rsidRPr="00AA43B5">
        <w:rPr>
          <w:rFonts w:ascii="Arial" w:hAnsi="Arial" w:cs="Arial"/>
          <w:sz w:val="20"/>
          <w:szCs w:val="20"/>
          <w:lang w:eastAsia="sl-SI"/>
        </w:rPr>
        <w:t>21 je bila namenjena manjša medijska pozornost kot pretekl</w:t>
      </w:r>
      <w:r>
        <w:rPr>
          <w:rFonts w:ascii="Arial" w:hAnsi="Arial" w:cs="Arial"/>
          <w:sz w:val="20"/>
          <w:szCs w:val="20"/>
          <w:lang w:eastAsia="sl-SI"/>
        </w:rPr>
        <w:t>a</w:t>
      </w:r>
      <w:r w:rsidRPr="00AA43B5">
        <w:rPr>
          <w:rFonts w:ascii="Arial" w:hAnsi="Arial" w:cs="Arial"/>
          <w:sz w:val="20"/>
          <w:szCs w:val="20"/>
          <w:lang w:eastAsia="sl-SI"/>
        </w:rPr>
        <w:t xml:space="preserve"> leta, saj je bilo obe vrsti bonov mogoče unovčevati le do 30. 6. 2022. </w:t>
      </w:r>
      <w:r w:rsidR="00714D2A">
        <w:rPr>
          <w:rFonts w:ascii="Arial" w:hAnsi="Arial" w:cs="Arial"/>
          <w:sz w:val="20"/>
          <w:szCs w:val="20"/>
          <w:lang w:eastAsia="sl-SI"/>
        </w:rPr>
        <w:t xml:space="preserve"> </w:t>
      </w:r>
    </w:p>
    <w:p w14:paraId="4BE06F27" w14:textId="77777777" w:rsidR="00D847F2" w:rsidRPr="00AA43B5" w:rsidRDefault="00D847F2" w:rsidP="00D847F2">
      <w:pPr>
        <w:pStyle w:val="Brezrazmikov"/>
        <w:spacing w:line="276" w:lineRule="auto"/>
        <w:jc w:val="both"/>
        <w:rPr>
          <w:rFonts w:ascii="Arial" w:hAnsi="Arial" w:cs="Arial"/>
          <w:sz w:val="20"/>
          <w:szCs w:val="20"/>
          <w:lang w:eastAsia="sl-SI"/>
        </w:rPr>
      </w:pPr>
    </w:p>
    <w:p w14:paraId="7C14FF75" w14:textId="264F87D1"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Tudi pri drugih tematikah so bili davčni zavezanci prek medijev obveščeni o vseh pravicah in obveznostih ter novostih. Poseben poudarek pri komuniciranju z javnostjo je bil namenjen načinu podajanja informacij. Kljub </w:t>
      </w:r>
      <w:r w:rsidR="00090092">
        <w:rPr>
          <w:rFonts w:ascii="Arial" w:hAnsi="Arial" w:cs="Arial"/>
          <w:sz w:val="20"/>
          <w:szCs w:val="20"/>
          <w:lang w:eastAsia="sl-SI"/>
        </w:rPr>
        <w:t>zahtevnosti</w:t>
      </w:r>
      <w:r w:rsidR="00714D2A" w:rsidRPr="00AA43B5">
        <w:rPr>
          <w:rFonts w:ascii="Arial" w:hAnsi="Arial" w:cs="Arial"/>
          <w:sz w:val="20"/>
          <w:szCs w:val="20"/>
          <w:lang w:eastAsia="sl-SI"/>
        </w:rPr>
        <w:t xml:space="preserve"> </w:t>
      </w:r>
      <w:r w:rsidRPr="00AA43B5">
        <w:rPr>
          <w:rFonts w:ascii="Arial" w:hAnsi="Arial" w:cs="Arial"/>
          <w:sz w:val="20"/>
          <w:szCs w:val="20"/>
          <w:lang w:eastAsia="sl-SI"/>
        </w:rPr>
        <w:t xml:space="preserve">davčne in carinske tematike se skuša tako z mediji kot zavezanci komunicirati na poljuden, razumljiv, vendar strokoven način. S tem namenom so se tudi v letu 2022 širila in posodabljala različna komunikacijska orodja in pripomočki, predvsem </w:t>
      </w:r>
      <w:r w:rsidR="008B635D">
        <w:rPr>
          <w:rFonts w:ascii="Arial" w:hAnsi="Arial" w:cs="Arial"/>
          <w:sz w:val="20"/>
          <w:szCs w:val="20"/>
          <w:lang w:eastAsia="sl-SI"/>
        </w:rPr>
        <w:t>na način</w:t>
      </w:r>
      <w:r w:rsidR="008B635D" w:rsidRPr="00AA43B5">
        <w:rPr>
          <w:rFonts w:ascii="Arial" w:hAnsi="Arial" w:cs="Arial"/>
          <w:sz w:val="20"/>
          <w:szCs w:val="20"/>
          <w:lang w:eastAsia="sl-SI"/>
        </w:rPr>
        <w:t xml:space="preserve"> </w:t>
      </w:r>
      <w:r w:rsidRPr="00AA43B5">
        <w:rPr>
          <w:rFonts w:ascii="Arial" w:hAnsi="Arial" w:cs="Arial"/>
          <w:sz w:val="20"/>
          <w:szCs w:val="20"/>
          <w:lang w:eastAsia="sl-SI"/>
        </w:rPr>
        <w:t xml:space="preserve">digitalizacije </w:t>
      </w:r>
      <w:r w:rsidR="008B635D">
        <w:rPr>
          <w:rFonts w:ascii="Arial" w:hAnsi="Arial" w:cs="Arial"/>
          <w:sz w:val="20"/>
          <w:szCs w:val="20"/>
          <w:lang w:eastAsia="sl-SI"/>
        </w:rPr>
        <w:t>(</w:t>
      </w:r>
      <w:r w:rsidRPr="00AA43B5">
        <w:rPr>
          <w:rFonts w:ascii="Arial" w:hAnsi="Arial" w:cs="Arial"/>
          <w:sz w:val="20"/>
          <w:szCs w:val="20"/>
          <w:lang w:eastAsia="sl-SI"/>
        </w:rPr>
        <w:t>t</w:t>
      </w:r>
      <w:r w:rsidR="008B635D">
        <w:rPr>
          <w:rFonts w:ascii="Arial" w:hAnsi="Arial" w:cs="Arial"/>
          <w:sz w:val="20"/>
          <w:szCs w:val="20"/>
          <w:lang w:eastAsia="sl-SI"/>
        </w:rPr>
        <w:t>o</w:t>
      </w:r>
      <w:r w:rsidRPr="00AA43B5">
        <w:rPr>
          <w:rFonts w:ascii="Arial" w:hAnsi="Arial" w:cs="Arial"/>
          <w:sz w:val="20"/>
          <w:szCs w:val="20"/>
          <w:lang w:eastAsia="sl-SI"/>
        </w:rPr>
        <w:t xml:space="preserve"> je uporaba </w:t>
      </w:r>
      <w:proofErr w:type="spellStart"/>
      <w:r w:rsidRPr="00AA43B5">
        <w:rPr>
          <w:rFonts w:ascii="Arial" w:hAnsi="Arial" w:cs="Arial"/>
          <w:sz w:val="20"/>
          <w:szCs w:val="20"/>
          <w:lang w:eastAsia="sl-SI"/>
        </w:rPr>
        <w:t>videovsebin</w:t>
      </w:r>
      <w:proofErr w:type="spellEnd"/>
      <w:r w:rsidRPr="00AA43B5">
        <w:rPr>
          <w:rFonts w:ascii="Arial" w:hAnsi="Arial" w:cs="Arial"/>
          <w:sz w:val="20"/>
          <w:szCs w:val="20"/>
          <w:lang w:eastAsia="sl-SI"/>
        </w:rPr>
        <w:t xml:space="preserve">, </w:t>
      </w:r>
      <w:proofErr w:type="spellStart"/>
      <w:r w:rsidRPr="00AA43B5">
        <w:rPr>
          <w:rFonts w:ascii="Arial" w:hAnsi="Arial" w:cs="Arial"/>
          <w:sz w:val="20"/>
          <w:szCs w:val="20"/>
          <w:lang w:eastAsia="sl-SI"/>
        </w:rPr>
        <w:t>infografik</w:t>
      </w:r>
      <w:proofErr w:type="spellEnd"/>
      <w:r w:rsidRPr="00AA43B5">
        <w:rPr>
          <w:rFonts w:ascii="Arial" w:hAnsi="Arial" w:cs="Arial"/>
          <w:sz w:val="20"/>
          <w:szCs w:val="20"/>
          <w:lang w:eastAsia="sl-SI"/>
        </w:rPr>
        <w:t xml:space="preserve"> </w:t>
      </w:r>
      <w:r w:rsidR="008B635D">
        <w:rPr>
          <w:rFonts w:ascii="Arial" w:hAnsi="Arial" w:cs="Arial"/>
          <w:sz w:val="20"/>
          <w:szCs w:val="20"/>
          <w:lang w:eastAsia="sl-SI"/>
        </w:rPr>
        <w:t>ter</w:t>
      </w:r>
      <w:r w:rsidR="008B635D" w:rsidRPr="00AA43B5">
        <w:rPr>
          <w:rFonts w:ascii="Arial" w:hAnsi="Arial" w:cs="Arial"/>
          <w:sz w:val="20"/>
          <w:szCs w:val="20"/>
          <w:lang w:eastAsia="sl-SI"/>
        </w:rPr>
        <w:t xml:space="preserve"> </w:t>
      </w:r>
      <w:r w:rsidRPr="00AA43B5">
        <w:rPr>
          <w:rFonts w:ascii="Arial" w:hAnsi="Arial" w:cs="Arial"/>
          <w:sz w:val="20"/>
          <w:szCs w:val="20"/>
          <w:lang w:eastAsia="sl-SI"/>
        </w:rPr>
        <w:t>širitev komuniciranja prek družbenih omrežij</w:t>
      </w:r>
      <w:r w:rsidR="008B635D">
        <w:rPr>
          <w:rFonts w:ascii="Arial" w:hAnsi="Arial" w:cs="Arial"/>
          <w:sz w:val="20"/>
          <w:szCs w:val="20"/>
          <w:lang w:eastAsia="sl-SI"/>
        </w:rPr>
        <w:t>)</w:t>
      </w:r>
      <w:r w:rsidRPr="00AA43B5">
        <w:rPr>
          <w:rFonts w:ascii="Arial" w:hAnsi="Arial" w:cs="Arial"/>
          <w:sz w:val="20"/>
          <w:szCs w:val="20"/>
          <w:lang w:eastAsia="sl-SI"/>
        </w:rPr>
        <w:t>.</w:t>
      </w:r>
    </w:p>
    <w:p w14:paraId="4C9938F8" w14:textId="77777777"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 </w:t>
      </w:r>
    </w:p>
    <w:p w14:paraId="2D2B5989" w14:textId="2171AAFF"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Pri komuniciranju z mediji so se uporabljala različna komunikacijska orodja, kot </w:t>
      </w:r>
      <w:r w:rsidR="0024486B">
        <w:rPr>
          <w:rFonts w:ascii="Arial" w:hAnsi="Arial" w:cs="Arial"/>
          <w:sz w:val="20"/>
          <w:szCs w:val="20"/>
          <w:lang w:eastAsia="sl-SI"/>
        </w:rPr>
        <w:t>na primer</w:t>
      </w:r>
      <w:r w:rsidRPr="00AA43B5">
        <w:rPr>
          <w:rFonts w:ascii="Arial" w:hAnsi="Arial" w:cs="Arial"/>
          <w:sz w:val="20"/>
          <w:szCs w:val="20"/>
          <w:lang w:eastAsia="sl-SI"/>
        </w:rPr>
        <w:t xml:space="preserve"> sporočila za javnost, novinarske konference, izjave za medije, odgovori na novinarska vprašanja. F</w:t>
      </w:r>
      <w:r>
        <w:rPr>
          <w:rFonts w:ascii="Arial" w:hAnsi="Arial" w:cs="Arial"/>
          <w:sz w:val="20"/>
          <w:szCs w:val="20"/>
          <w:lang w:eastAsia="sl-SI"/>
        </w:rPr>
        <w:t xml:space="preserve">URS </w:t>
      </w:r>
      <w:r w:rsidRPr="00AA43B5">
        <w:rPr>
          <w:rFonts w:ascii="Arial" w:hAnsi="Arial" w:cs="Arial"/>
          <w:sz w:val="20"/>
          <w:szCs w:val="20"/>
          <w:lang w:eastAsia="sl-SI"/>
        </w:rPr>
        <w:t>je leta 2022 odgovoril na 558 novinarskih vprašanj, kar je 27</w:t>
      </w:r>
      <w:r>
        <w:rPr>
          <w:rFonts w:ascii="Arial" w:hAnsi="Arial" w:cs="Arial"/>
          <w:sz w:val="20"/>
          <w:szCs w:val="20"/>
          <w:lang w:eastAsia="sl-SI"/>
        </w:rPr>
        <w:t xml:space="preserve"> odstotkov</w:t>
      </w:r>
      <w:r w:rsidRPr="00AA43B5">
        <w:rPr>
          <w:rFonts w:ascii="Arial" w:hAnsi="Arial" w:cs="Arial"/>
          <w:sz w:val="20"/>
          <w:szCs w:val="20"/>
          <w:lang w:eastAsia="sl-SI"/>
        </w:rPr>
        <w:t xml:space="preserve"> manj kakor leto poprej</w:t>
      </w:r>
      <w:r w:rsidR="008B635D">
        <w:rPr>
          <w:rFonts w:ascii="Arial" w:hAnsi="Arial" w:cs="Arial"/>
          <w:sz w:val="20"/>
          <w:szCs w:val="20"/>
          <w:lang w:eastAsia="sl-SI"/>
        </w:rPr>
        <w:t>,</w:t>
      </w:r>
      <w:r w:rsidRPr="00AA43B5">
        <w:rPr>
          <w:rFonts w:ascii="Arial" w:hAnsi="Arial" w:cs="Arial"/>
          <w:sz w:val="20"/>
          <w:szCs w:val="20"/>
          <w:lang w:eastAsia="sl-SI"/>
        </w:rPr>
        <w:t xml:space="preserve"> ter objavil 82 sporočil za medije, kar je 28 </w:t>
      </w:r>
      <w:r>
        <w:rPr>
          <w:rFonts w:ascii="Arial" w:hAnsi="Arial" w:cs="Arial"/>
          <w:sz w:val="20"/>
          <w:szCs w:val="20"/>
          <w:lang w:eastAsia="sl-SI"/>
        </w:rPr>
        <w:t xml:space="preserve">odstotkov </w:t>
      </w:r>
      <w:r w:rsidRPr="00AA43B5">
        <w:rPr>
          <w:rFonts w:ascii="Arial" w:hAnsi="Arial" w:cs="Arial"/>
          <w:sz w:val="20"/>
          <w:szCs w:val="20"/>
          <w:lang w:eastAsia="sl-SI"/>
        </w:rPr>
        <w:t xml:space="preserve">manj kakor leta 2021. Ob tem bi </w:t>
      </w:r>
      <w:r w:rsidR="008B635D">
        <w:rPr>
          <w:rFonts w:ascii="Arial" w:hAnsi="Arial" w:cs="Arial"/>
          <w:sz w:val="20"/>
          <w:szCs w:val="20"/>
          <w:lang w:eastAsia="sl-SI"/>
        </w:rPr>
        <w:t>radi poudarili</w:t>
      </w:r>
      <w:r w:rsidRPr="00AA43B5">
        <w:rPr>
          <w:rFonts w:ascii="Arial" w:hAnsi="Arial" w:cs="Arial"/>
          <w:sz w:val="20"/>
          <w:szCs w:val="20"/>
          <w:lang w:eastAsia="sl-SI"/>
        </w:rPr>
        <w:t xml:space="preserve">, da je bilo </w:t>
      </w:r>
      <w:r w:rsidR="008B635D">
        <w:rPr>
          <w:rFonts w:ascii="Arial" w:hAnsi="Arial" w:cs="Arial"/>
          <w:sz w:val="20"/>
          <w:szCs w:val="20"/>
          <w:lang w:eastAsia="sl-SI"/>
        </w:rPr>
        <w:t xml:space="preserve">v </w:t>
      </w:r>
      <w:r w:rsidRPr="00AA43B5">
        <w:rPr>
          <w:rFonts w:ascii="Arial" w:hAnsi="Arial" w:cs="Arial"/>
          <w:sz w:val="20"/>
          <w:szCs w:val="20"/>
          <w:lang w:eastAsia="sl-SI"/>
        </w:rPr>
        <w:t>letu 2022 znatno manj informacij, ki so se nanašale na ukrepe</w:t>
      </w:r>
      <w:r w:rsidR="008B635D" w:rsidRPr="008B635D">
        <w:rPr>
          <w:rFonts w:ascii="Arial" w:hAnsi="Arial" w:cs="Arial"/>
          <w:sz w:val="20"/>
          <w:szCs w:val="20"/>
          <w:lang w:eastAsia="sl-SI"/>
        </w:rPr>
        <w:t xml:space="preserve"> </w:t>
      </w:r>
      <w:r w:rsidR="008B635D">
        <w:rPr>
          <w:rFonts w:ascii="Arial" w:hAnsi="Arial" w:cs="Arial"/>
          <w:sz w:val="20"/>
          <w:szCs w:val="20"/>
          <w:lang w:eastAsia="sl-SI"/>
        </w:rPr>
        <w:t xml:space="preserve">zaradi </w:t>
      </w:r>
      <w:r w:rsidR="008B635D" w:rsidRPr="00AA43B5">
        <w:rPr>
          <w:rFonts w:ascii="Arial" w:hAnsi="Arial" w:cs="Arial"/>
          <w:sz w:val="20"/>
          <w:szCs w:val="20"/>
          <w:lang w:eastAsia="sl-SI"/>
        </w:rPr>
        <w:t>covid</w:t>
      </w:r>
      <w:r w:rsidR="008B635D">
        <w:rPr>
          <w:rFonts w:ascii="Arial" w:hAnsi="Arial" w:cs="Arial"/>
          <w:sz w:val="20"/>
          <w:szCs w:val="20"/>
          <w:lang w:eastAsia="sl-SI"/>
        </w:rPr>
        <w:t>a</w:t>
      </w:r>
      <w:r w:rsidR="00B7202C">
        <w:rPr>
          <w:rFonts w:ascii="Arial" w:hAnsi="Arial" w:cs="Arial"/>
          <w:sz w:val="20"/>
          <w:szCs w:val="20"/>
          <w:lang w:eastAsia="sl-SI"/>
        </w:rPr>
        <w:t>-19</w:t>
      </w:r>
      <w:r w:rsidRPr="00AA43B5">
        <w:rPr>
          <w:rFonts w:ascii="Arial" w:hAnsi="Arial" w:cs="Arial"/>
          <w:sz w:val="20"/>
          <w:szCs w:val="20"/>
          <w:lang w:eastAsia="sl-SI"/>
        </w:rPr>
        <w:t xml:space="preserve">, na turistične bone in nove </w:t>
      </w:r>
      <w:r>
        <w:rPr>
          <w:rFonts w:ascii="Arial" w:hAnsi="Arial" w:cs="Arial"/>
          <w:sz w:val="20"/>
          <w:szCs w:val="20"/>
          <w:lang w:eastAsia="sl-SI"/>
        </w:rPr>
        <w:t>b</w:t>
      </w:r>
      <w:r w:rsidRPr="00AA43B5">
        <w:rPr>
          <w:rFonts w:ascii="Arial" w:hAnsi="Arial" w:cs="Arial"/>
          <w:sz w:val="20"/>
          <w:szCs w:val="20"/>
          <w:lang w:eastAsia="sl-SI"/>
        </w:rPr>
        <w:t>one</w:t>
      </w:r>
      <w:r>
        <w:rPr>
          <w:rFonts w:ascii="Arial" w:hAnsi="Arial" w:cs="Arial"/>
          <w:sz w:val="20"/>
          <w:szCs w:val="20"/>
          <w:lang w:eastAsia="sl-SI"/>
        </w:rPr>
        <w:t xml:space="preserve"> </w:t>
      </w:r>
      <w:r w:rsidRPr="00AA43B5">
        <w:rPr>
          <w:rFonts w:ascii="Arial" w:hAnsi="Arial" w:cs="Arial"/>
          <w:sz w:val="20"/>
          <w:szCs w:val="20"/>
          <w:lang w:eastAsia="sl-SI"/>
        </w:rPr>
        <w:t>21.</w:t>
      </w:r>
    </w:p>
    <w:p w14:paraId="7316B5A2" w14:textId="77777777" w:rsidR="00D847F2" w:rsidRPr="00AA43B5" w:rsidRDefault="00D847F2" w:rsidP="00D847F2">
      <w:pPr>
        <w:pStyle w:val="Brezrazmikov"/>
        <w:spacing w:line="276" w:lineRule="auto"/>
        <w:jc w:val="both"/>
        <w:rPr>
          <w:rFonts w:ascii="Arial" w:hAnsi="Arial" w:cs="Arial"/>
          <w:sz w:val="20"/>
          <w:szCs w:val="20"/>
          <w:lang w:eastAsia="sl-SI"/>
        </w:rPr>
      </w:pPr>
    </w:p>
    <w:p w14:paraId="4942F206" w14:textId="77777777" w:rsidR="00D847F2" w:rsidRPr="00C8005C" w:rsidRDefault="00D847F2" w:rsidP="00D847F2">
      <w:pPr>
        <w:pStyle w:val="Brezrazmikov"/>
        <w:spacing w:line="276" w:lineRule="auto"/>
        <w:jc w:val="both"/>
        <w:rPr>
          <w:rFonts w:ascii="Arial" w:hAnsi="Arial" w:cs="Arial"/>
          <w:b/>
          <w:bCs/>
          <w:sz w:val="20"/>
          <w:szCs w:val="20"/>
          <w:lang w:eastAsia="sl-SI"/>
        </w:rPr>
      </w:pPr>
      <w:r w:rsidRPr="00C8005C">
        <w:rPr>
          <w:rFonts w:ascii="Arial" w:hAnsi="Arial" w:cs="Arial"/>
          <w:b/>
          <w:bCs/>
          <w:sz w:val="20"/>
          <w:szCs w:val="20"/>
          <w:lang w:eastAsia="sl-SI"/>
        </w:rPr>
        <w:t xml:space="preserve">Družbena omrežja </w:t>
      </w:r>
    </w:p>
    <w:p w14:paraId="284BB8DB" w14:textId="4D8EFEA5"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lastRenderedPageBreak/>
        <w:t xml:space="preserve">Skladno s svetovnimi </w:t>
      </w:r>
      <w:r w:rsidR="008B635D">
        <w:rPr>
          <w:rFonts w:ascii="Arial" w:hAnsi="Arial" w:cs="Arial"/>
          <w:sz w:val="20"/>
          <w:szCs w:val="20"/>
          <w:lang w:eastAsia="sl-SI"/>
        </w:rPr>
        <w:t>smernicami</w:t>
      </w:r>
      <w:r w:rsidR="008B635D" w:rsidRPr="00AA43B5">
        <w:rPr>
          <w:rFonts w:ascii="Arial" w:hAnsi="Arial" w:cs="Arial"/>
          <w:sz w:val="20"/>
          <w:szCs w:val="20"/>
          <w:lang w:eastAsia="sl-SI"/>
        </w:rPr>
        <w:t xml:space="preserve"> </w:t>
      </w:r>
      <w:r w:rsidRPr="00AA43B5">
        <w:rPr>
          <w:rFonts w:ascii="Arial" w:hAnsi="Arial" w:cs="Arial"/>
          <w:sz w:val="20"/>
          <w:szCs w:val="20"/>
          <w:lang w:eastAsia="sl-SI"/>
        </w:rPr>
        <w:t>spreminjanja medijskega prostora je F</w:t>
      </w:r>
      <w:r>
        <w:rPr>
          <w:rFonts w:ascii="Arial" w:hAnsi="Arial" w:cs="Arial"/>
          <w:sz w:val="20"/>
          <w:szCs w:val="20"/>
          <w:lang w:eastAsia="sl-SI"/>
        </w:rPr>
        <w:t xml:space="preserve">URS </w:t>
      </w:r>
      <w:r w:rsidRPr="00AA43B5">
        <w:rPr>
          <w:rFonts w:ascii="Arial" w:hAnsi="Arial" w:cs="Arial"/>
          <w:sz w:val="20"/>
          <w:szCs w:val="20"/>
          <w:lang w:eastAsia="sl-SI"/>
        </w:rPr>
        <w:t xml:space="preserve">že leta 2019 </w:t>
      </w:r>
      <w:r>
        <w:rPr>
          <w:rFonts w:ascii="Arial" w:hAnsi="Arial" w:cs="Arial"/>
          <w:sz w:val="20"/>
          <w:szCs w:val="20"/>
          <w:lang w:eastAsia="sl-SI"/>
        </w:rPr>
        <w:t>uvedel</w:t>
      </w:r>
      <w:r w:rsidRPr="00AA43B5">
        <w:rPr>
          <w:rFonts w:ascii="Arial" w:hAnsi="Arial" w:cs="Arial"/>
          <w:sz w:val="20"/>
          <w:szCs w:val="20"/>
          <w:lang w:eastAsia="sl-SI"/>
        </w:rPr>
        <w:t xml:space="preserve"> novo strategijo komuniciranja prek družbenih omrežij. Na ta način s</w:t>
      </w:r>
      <w:r w:rsidR="008B635D">
        <w:rPr>
          <w:rFonts w:ascii="Arial" w:hAnsi="Arial" w:cs="Arial"/>
          <w:sz w:val="20"/>
          <w:szCs w:val="20"/>
          <w:lang w:eastAsia="sl-SI"/>
        </w:rPr>
        <w:t>e</w:t>
      </w:r>
      <w:r w:rsidRPr="00AA43B5">
        <w:rPr>
          <w:rFonts w:ascii="Arial" w:hAnsi="Arial" w:cs="Arial"/>
          <w:sz w:val="20"/>
          <w:szCs w:val="20"/>
          <w:lang w:eastAsia="sl-SI"/>
        </w:rPr>
        <w:t xml:space="preserve"> želi približati čim širši javnosti ter zavezancem davčne vsebine predstaviti na drugačen način, predvsem pa pridobiti čim širši krog sledilcev, ki se jim lahko </w:t>
      </w:r>
      <w:r w:rsidR="00090092">
        <w:rPr>
          <w:rFonts w:ascii="Arial" w:hAnsi="Arial" w:cs="Arial"/>
          <w:sz w:val="20"/>
          <w:szCs w:val="20"/>
          <w:lang w:eastAsia="sl-SI"/>
        </w:rPr>
        <w:t>predloži</w:t>
      </w:r>
      <w:r w:rsidR="00090092" w:rsidRPr="00AA43B5">
        <w:rPr>
          <w:rFonts w:ascii="Arial" w:hAnsi="Arial" w:cs="Arial"/>
          <w:sz w:val="20"/>
          <w:szCs w:val="20"/>
          <w:lang w:eastAsia="sl-SI"/>
        </w:rPr>
        <w:t xml:space="preserve"> </w:t>
      </w:r>
      <w:r w:rsidR="00090092">
        <w:rPr>
          <w:rFonts w:ascii="Arial" w:hAnsi="Arial" w:cs="Arial"/>
          <w:sz w:val="20"/>
          <w:szCs w:val="20"/>
          <w:lang w:eastAsia="sl-SI"/>
        </w:rPr>
        <w:t>tehtne</w:t>
      </w:r>
      <w:r w:rsidR="00090092" w:rsidRPr="00AA43B5">
        <w:rPr>
          <w:rFonts w:ascii="Arial" w:hAnsi="Arial" w:cs="Arial"/>
          <w:sz w:val="20"/>
          <w:szCs w:val="20"/>
          <w:lang w:eastAsia="sl-SI"/>
        </w:rPr>
        <w:t xml:space="preserve"> </w:t>
      </w:r>
      <w:r w:rsidRPr="00AA43B5">
        <w:rPr>
          <w:rFonts w:ascii="Arial" w:hAnsi="Arial" w:cs="Arial"/>
          <w:sz w:val="20"/>
          <w:szCs w:val="20"/>
          <w:lang w:eastAsia="sl-SI"/>
        </w:rPr>
        <w:t>informacije. Na družbenih omrežjih se redno odgovarja tudi na vprašanja zavezancev. Do konca leta 2022 je bilo na družbenem omrežju Facebook skupno 13.155 sledilcev, na</w:t>
      </w:r>
      <w:r>
        <w:rPr>
          <w:rFonts w:ascii="Arial" w:hAnsi="Arial" w:cs="Arial"/>
          <w:sz w:val="20"/>
          <w:szCs w:val="20"/>
          <w:lang w:eastAsia="sl-SI"/>
        </w:rPr>
        <w:t xml:space="preserve"> </w:t>
      </w:r>
      <w:r w:rsidRPr="00AA43B5">
        <w:rPr>
          <w:rFonts w:ascii="Arial" w:hAnsi="Arial" w:cs="Arial"/>
          <w:sz w:val="20"/>
          <w:szCs w:val="20"/>
          <w:lang w:eastAsia="sl-SI"/>
        </w:rPr>
        <w:t xml:space="preserve">družbenem omrežju </w:t>
      </w:r>
      <w:proofErr w:type="spellStart"/>
      <w:r w:rsidRPr="00AA43B5">
        <w:rPr>
          <w:rFonts w:ascii="Arial" w:hAnsi="Arial" w:cs="Arial"/>
          <w:sz w:val="20"/>
          <w:szCs w:val="20"/>
          <w:lang w:eastAsia="sl-SI"/>
        </w:rPr>
        <w:t>Twitter</w:t>
      </w:r>
      <w:proofErr w:type="spellEnd"/>
      <w:r w:rsidRPr="00AA43B5">
        <w:rPr>
          <w:rFonts w:ascii="Arial" w:hAnsi="Arial" w:cs="Arial"/>
          <w:sz w:val="20"/>
          <w:szCs w:val="20"/>
          <w:lang w:eastAsia="sl-SI"/>
        </w:rPr>
        <w:t xml:space="preserve"> 3.720 sledilcev, na</w:t>
      </w:r>
      <w:r>
        <w:rPr>
          <w:rFonts w:ascii="Arial" w:hAnsi="Arial" w:cs="Arial"/>
          <w:sz w:val="20"/>
          <w:szCs w:val="20"/>
          <w:lang w:eastAsia="sl-SI"/>
        </w:rPr>
        <w:t xml:space="preserve"> </w:t>
      </w:r>
      <w:r w:rsidRPr="00AA43B5">
        <w:rPr>
          <w:rFonts w:ascii="Arial" w:hAnsi="Arial" w:cs="Arial"/>
          <w:sz w:val="20"/>
          <w:szCs w:val="20"/>
          <w:lang w:eastAsia="sl-SI"/>
        </w:rPr>
        <w:t xml:space="preserve">družbenem omrežju </w:t>
      </w:r>
      <w:proofErr w:type="spellStart"/>
      <w:r w:rsidRPr="00AA43B5">
        <w:rPr>
          <w:rFonts w:ascii="Arial" w:hAnsi="Arial" w:cs="Arial"/>
          <w:sz w:val="20"/>
          <w:szCs w:val="20"/>
          <w:lang w:eastAsia="sl-SI"/>
        </w:rPr>
        <w:t>Instagram</w:t>
      </w:r>
      <w:proofErr w:type="spellEnd"/>
      <w:r w:rsidRPr="00AA43B5">
        <w:rPr>
          <w:rFonts w:ascii="Arial" w:hAnsi="Arial" w:cs="Arial"/>
          <w:sz w:val="20"/>
          <w:szCs w:val="20"/>
          <w:lang w:eastAsia="sl-SI"/>
        </w:rPr>
        <w:t xml:space="preserve"> 1.023 sledilcev in na</w:t>
      </w:r>
      <w:r w:rsidRPr="007B493E">
        <w:rPr>
          <w:rFonts w:ascii="Arial" w:hAnsi="Arial" w:cs="Arial"/>
          <w:sz w:val="20"/>
          <w:szCs w:val="20"/>
          <w:lang w:eastAsia="sl-SI"/>
        </w:rPr>
        <w:t xml:space="preserve"> </w:t>
      </w:r>
      <w:r w:rsidRPr="00AA43B5">
        <w:rPr>
          <w:rFonts w:ascii="Arial" w:hAnsi="Arial" w:cs="Arial"/>
          <w:sz w:val="20"/>
          <w:szCs w:val="20"/>
          <w:lang w:eastAsia="sl-SI"/>
        </w:rPr>
        <w:t>družbenem omrežju</w:t>
      </w:r>
      <w:r w:rsidR="00992912">
        <w:rPr>
          <w:rFonts w:ascii="Arial" w:hAnsi="Arial" w:cs="Arial"/>
          <w:sz w:val="20"/>
          <w:szCs w:val="20"/>
          <w:lang w:eastAsia="sl-SI"/>
        </w:rPr>
        <w:t xml:space="preserve"> </w:t>
      </w:r>
      <w:proofErr w:type="spellStart"/>
      <w:r w:rsidRPr="00AA43B5">
        <w:rPr>
          <w:rFonts w:ascii="Arial" w:hAnsi="Arial" w:cs="Arial"/>
          <w:sz w:val="20"/>
          <w:szCs w:val="20"/>
          <w:lang w:eastAsia="sl-SI"/>
        </w:rPr>
        <w:t>Linked</w:t>
      </w:r>
      <w:r>
        <w:rPr>
          <w:rFonts w:ascii="Arial" w:hAnsi="Arial" w:cs="Arial"/>
          <w:sz w:val="20"/>
          <w:szCs w:val="20"/>
          <w:lang w:eastAsia="sl-SI"/>
        </w:rPr>
        <w:t>i</w:t>
      </w:r>
      <w:r w:rsidRPr="00AA43B5">
        <w:rPr>
          <w:rFonts w:ascii="Arial" w:hAnsi="Arial" w:cs="Arial"/>
          <w:sz w:val="20"/>
          <w:szCs w:val="20"/>
          <w:lang w:eastAsia="sl-SI"/>
        </w:rPr>
        <w:t>n</w:t>
      </w:r>
      <w:proofErr w:type="spellEnd"/>
      <w:r w:rsidRPr="00AA43B5">
        <w:rPr>
          <w:rFonts w:ascii="Arial" w:hAnsi="Arial" w:cs="Arial"/>
          <w:sz w:val="20"/>
          <w:szCs w:val="20"/>
          <w:lang w:eastAsia="sl-SI"/>
        </w:rPr>
        <w:t xml:space="preserve"> 160 sledilcev.</w:t>
      </w:r>
    </w:p>
    <w:p w14:paraId="7BFF79E1" w14:textId="77777777"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 </w:t>
      </w:r>
    </w:p>
    <w:p w14:paraId="12F3A227" w14:textId="06CD240B"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S koncem leta 2022 se je F</w:t>
      </w:r>
      <w:r>
        <w:rPr>
          <w:rFonts w:ascii="Arial" w:hAnsi="Arial" w:cs="Arial"/>
          <w:sz w:val="20"/>
          <w:szCs w:val="20"/>
          <w:lang w:eastAsia="sl-SI"/>
        </w:rPr>
        <w:t xml:space="preserve">URS </w:t>
      </w:r>
      <w:r w:rsidRPr="00AA43B5">
        <w:rPr>
          <w:rFonts w:ascii="Arial" w:hAnsi="Arial" w:cs="Arial"/>
          <w:sz w:val="20"/>
          <w:szCs w:val="20"/>
          <w:lang w:eastAsia="sl-SI"/>
        </w:rPr>
        <w:t xml:space="preserve">odločil za aktivno upravljanje družbenega omrežja </w:t>
      </w:r>
      <w:proofErr w:type="spellStart"/>
      <w:r w:rsidRPr="00AA43B5">
        <w:rPr>
          <w:rFonts w:ascii="Arial" w:hAnsi="Arial" w:cs="Arial"/>
          <w:sz w:val="20"/>
          <w:szCs w:val="20"/>
          <w:lang w:eastAsia="sl-SI"/>
        </w:rPr>
        <w:t>Linkedin</w:t>
      </w:r>
      <w:proofErr w:type="spellEnd"/>
      <w:r w:rsidR="008B635D">
        <w:rPr>
          <w:rFonts w:ascii="Arial" w:hAnsi="Arial" w:cs="Arial"/>
          <w:sz w:val="20"/>
          <w:szCs w:val="20"/>
          <w:lang w:eastAsia="sl-SI"/>
        </w:rPr>
        <w:t>,</w:t>
      </w:r>
      <w:r w:rsidRPr="00AA43B5">
        <w:rPr>
          <w:rFonts w:ascii="Arial" w:hAnsi="Arial" w:cs="Arial"/>
          <w:sz w:val="20"/>
          <w:szCs w:val="20"/>
          <w:lang w:eastAsia="sl-SI"/>
        </w:rPr>
        <w:t xml:space="preserve"> predvsem z namenom </w:t>
      </w:r>
      <w:r w:rsidR="008B635D">
        <w:rPr>
          <w:rFonts w:ascii="Arial" w:hAnsi="Arial" w:cs="Arial"/>
          <w:sz w:val="20"/>
          <w:szCs w:val="20"/>
          <w:lang w:eastAsia="sl-SI"/>
        </w:rPr>
        <w:t xml:space="preserve">širše predstavitve oziroma </w:t>
      </w:r>
      <w:r w:rsidRPr="00AA43B5">
        <w:rPr>
          <w:rFonts w:ascii="Arial" w:hAnsi="Arial" w:cs="Arial"/>
          <w:sz w:val="20"/>
          <w:szCs w:val="20"/>
          <w:lang w:eastAsia="sl-SI"/>
        </w:rPr>
        <w:t>promocije dela na F</w:t>
      </w:r>
      <w:r>
        <w:rPr>
          <w:rFonts w:ascii="Arial" w:hAnsi="Arial" w:cs="Arial"/>
          <w:sz w:val="20"/>
          <w:szCs w:val="20"/>
          <w:lang w:eastAsia="sl-SI"/>
        </w:rPr>
        <w:t xml:space="preserve">URS </w:t>
      </w:r>
      <w:r w:rsidRPr="00AA43B5">
        <w:rPr>
          <w:rFonts w:ascii="Arial" w:hAnsi="Arial" w:cs="Arial"/>
          <w:sz w:val="20"/>
          <w:szCs w:val="20"/>
          <w:lang w:eastAsia="sl-SI"/>
        </w:rPr>
        <w:t xml:space="preserve">in večjega dosega objavljenih prostih delovnih mest, saj se </w:t>
      </w:r>
      <w:r w:rsidR="00BC75AB">
        <w:rPr>
          <w:rFonts w:ascii="Arial" w:hAnsi="Arial" w:cs="Arial"/>
          <w:sz w:val="20"/>
          <w:szCs w:val="20"/>
          <w:lang w:eastAsia="sl-SI"/>
        </w:rPr>
        <w:t xml:space="preserve">zdaj spoprijemamo </w:t>
      </w:r>
      <w:r w:rsidRPr="00AA43B5">
        <w:rPr>
          <w:rFonts w:ascii="Arial" w:hAnsi="Arial" w:cs="Arial"/>
          <w:sz w:val="20"/>
          <w:szCs w:val="20"/>
          <w:lang w:eastAsia="sl-SI"/>
        </w:rPr>
        <w:t>s pomanjkanjem oz</w:t>
      </w:r>
      <w:r>
        <w:rPr>
          <w:rFonts w:ascii="Arial" w:hAnsi="Arial" w:cs="Arial"/>
          <w:sz w:val="20"/>
          <w:szCs w:val="20"/>
          <w:lang w:eastAsia="sl-SI"/>
        </w:rPr>
        <w:t>iroma</w:t>
      </w:r>
      <w:r w:rsidRPr="00AA43B5">
        <w:rPr>
          <w:rFonts w:ascii="Arial" w:hAnsi="Arial" w:cs="Arial"/>
          <w:sz w:val="20"/>
          <w:szCs w:val="20"/>
          <w:lang w:eastAsia="sl-SI"/>
        </w:rPr>
        <w:t xml:space="preserve"> nizkim številom prejetih prijav kandidatov za razpisana delovna mesta. </w:t>
      </w:r>
    </w:p>
    <w:p w14:paraId="27A07DEC" w14:textId="77777777" w:rsidR="00D847F2" w:rsidRPr="00C8005C" w:rsidRDefault="00D847F2" w:rsidP="00D847F2">
      <w:pPr>
        <w:pStyle w:val="Brezrazmikov"/>
        <w:spacing w:line="276" w:lineRule="auto"/>
        <w:jc w:val="both"/>
        <w:rPr>
          <w:rFonts w:ascii="Arial" w:hAnsi="Arial" w:cs="Arial"/>
          <w:b/>
          <w:bCs/>
          <w:sz w:val="20"/>
          <w:szCs w:val="20"/>
          <w:lang w:eastAsia="sl-SI"/>
        </w:rPr>
      </w:pPr>
    </w:p>
    <w:p w14:paraId="530B92B6" w14:textId="06EC79D7" w:rsidR="00D847F2" w:rsidRPr="00C8005C" w:rsidRDefault="00D847F2" w:rsidP="00D847F2">
      <w:pPr>
        <w:pStyle w:val="Brezrazmikov"/>
        <w:spacing w:line="276" w:lineRule="auto"/>
        <w:jc w:val="both"/>
        <w:rPr>
          <w:rFonts w:ascii="Arial" w:hAnsi="Arial" w:cs="Arial"/>
          <w:b/>
          <w:bCs/>
          <w:sz w:val="20"/>
          <w:szCs w:val="20"/>
          <w:lang w:eastAsia="sl-SI"/>
        </w:rPr>
      </w:pPr>
      <w:r w:rsidRPr="00C8005C">
        <w:rPr>
          <w:rFonts w:ascii="Arial" w:hAnsi="Arial" w:cs="Arial"/>
          <w:b/>
          <w:bCs/>
          <w:sz w:val="20"/>
          <w:szCs w:val="20"/>
          <w:lang w:eastAsia="sl-SI"/>
        </w:rPr>
        <w:t xml:space="preserve">Podporne komunikacijske aktivnosti </w:t>
      </w:r>
      <w:r w:rsidR="00992912">
        <w:rPr>
          <w:rFonts w:ascii="Arial" w:hAnsi="Arial" w:cs="Arial"/>
          <w:b/>
          <w:bCs/>
          <w:sz w:val="20"/>
          <w:szCs w:val="20"/>
          <w:lang w:eastAsia="sl-SI"/>
        </w:rPr>
        <w:t xml:space="preserve"> </w:t>
      </w:r>
    </w:p>
    <w:p w14:paraId="7E0830FF" w14:textId="65E4C7A0" w:rsidR="00D847F2" w:rsidRPr="00AA43B5" w:rsidRDefault="00D847F2" w:rsidP="00D847F2">
      <w:pPr>
        <w:pStyle w:val="Brezrazmikov"/>
        <w:spacing w:line="276" w:lineRule="auto"/>
        <w:jc w:val="both"/>
        <w:rPr>
          <w:rFonts w:ascii="Arial" w:hAnsi="Arial" w:cs="Arial"/>
          <w:sz w:val="20"/>
          <w:szCs w:val="20"/>
          <w:lang w:eastAsia="sl-SI"/>
        </w:rPr>
      </w:pPr>
      <w:r w:rsidRPr="00AA43B5">
        <w:rPr>
          <w:rFonts w:ascii="Arial" w:hAnsi="Arial" w:cs="Arial"/>
          <w:sz w:val="20"/>
          <w:szCs w:val="20"/>
          <w:lang w:eastAsia="sl-SI"/>
        </w:rPr>
        <w:t xml:space="preserve">Davčnim zavezancem, ki so na novo ustanovili podjetje oziroma na novo registrirali dejavnost, je </w:t>
      </w:r>
      <w:r>
        <w:rPr>
          <w:rFonts w:ascii="Arial" w:hAnsi="Arial" w:cs="Arial"/>
          <w:sz w:val="20"/>
          <w:szCs w:val="20"/>
          <w:lang w:eastAsia="sl-SI"/>
        </w:rPr>
        <w:t>FURS</w:t>
      </w:r>
      <w:r w:rsidRPr="00AA43B5">
        <w:rPr>
          <w:rFonts w:ascii="Arial" w:hAnsi="Arial" w:cs="Arial"/>
          <w:sz w:val="20"/>
          <w:szCs w:val="20"/>
          <w:lang w:eastAsia="sl-SI"/>
        </w:rPr>
        <w:t xml:space="preserve"> nudil dodatno informiranje in pomoč. Predstavniki </w:t>
      </w:r>
      <w:r>
        <w:rPr>
          <w:rFonts w:ascii="Arial" w:hAnsi="Arial" w:cs="Arial"/>
          <w:sz w:val="20"/>
          <w:szCs w:val="20"/>
          <w:lang w:eastAsia="sl-SI"/>
        </w:rPr>
        <w:t>FURS</w:t>
      </w:r>
      <w:r w:rsidRPr="00AA43B5">
        <w:rPr>
          <w:rFonts w:ascii="Arial" w:hAnsi="Arial" w:cs="Arial"/>
          <w:sz w:val="20"/>
          <w:szCs w:val="20"/>
          <w:lang w:eastAsia="sl-SI"/>
        </w:rPr>
        <w:t xml:space="preserve"> so v letu 2022 obiskali 2.120 novoustanovljenih podjetnikov po celotni Sloveniji, med katerimi jih je večina samostojnih podjetnikov. Seznanili so jih s pravicami in obveznostmi ter jim ponudili pomoč </w:t>
      </w:r>
      <w:r w:rsidR="00995F0B">
        <w:rPr>
          <w:rFonts w:ascii="Arial" w:hAnsi="Arial" w:cs="Arial"/>
          <w:sz w:val="20"/>
          <w:szCs w:val="20"/>
          <w:lang w:eastAsia="sl-SI"/>
        </w:rPr>
        <w:t>in</w:t>
      </w:r>
      <w:r w:rsidR="00995F0B" w:rsidRPr="00AA43B5">
        <w:rPr>
          <w:rFonts w:ascii="Arial" w:hAnsi="Arial" w:cs="Arial"/>
          <w:sz w:val="20"/>
          <w:szCs w:val="20"/>
          <w:lang w:eastAsia="sl-SI"/>
        </w:rPr>
        <w:t xml:space="preserve"> </w:t>
      </w:r>
      <w:r w:rsidR="00995F0B">
        <w:rPr>
          <w:rFonts w:ascii="Arial" w:hAnsi="Arial" w:cs="Arial"/>
          <w:sz w:val="20"/>
          <w:szCs w:val="20"/>
          <w:lang w:eastAsia="sl-SI"/>
        </w:rPr>
        <w:t xml:space="preserve">podatke za stik </w:t>
      </w:r>
      <w:r w:rsidRPr="00AA43B5">
        <w:rPr>
          <w:rFonts w:ascii="Arial" w:hAnsi="Arial" w:cs="Arial"/>
          <w:sz w:val="20"/>
          <w:szCs w:val="20"/>
          <w:lang w:eastAsia="sl-SI"/>
        </w:rPr>
        <w:t xml:space="preserve">v primeru, da bodo potrebovali dodatna pojasnila. </w:t>
      </w:r>
      <w:r w:rsidR="00995F0B">
        <w:rPr>
          <w:rFonts w:ascii="Arial" w:hAnsi="Arial" w:cs="Arial"/>
          <w:sz w:val="20"/>
          <w:szCs w:val="20"/>
          <w:lang w:eastAsia="sl-SI"/>
        </w:rPr>
        <w:t>Tako</w:t>
      </w:r>
      <w:r w:rsidRPr="00AA43B5">
        <w:rPr>
          <w:rFonts w:ascii="Arial" w:hAnsi="Arial" w:cs="Arial"/>
          <w:sz w:val="20"/>
          <w:szCs w:val="20"/>
          <w:lang w:eastAsia="sl-SI"/>
        </w:rPr>
        <w:t xml:space="preserve"> bodo davčni zavezanci čim bolje informirani in pripravljeni na izzive, s katerimi se bodo srečali na davčnem in carinskem področju. Zavezancem so delili tudi informativne letake, postavljena je tudi posebna spletna stran.</w:t>
      </w:r>
    </w:p>
    <w:p w14:paraId="1B4CA186" w14:textId="77777777" w:rsidR="00D847F2" w:rsidRPr="00F32D12" w:rsidRDefault="00D847F2" w:rsidP="00D847F2">
      <w:pPr>
        <w:pStyle w:val="Brezrazmikov"/>
        <w:spacing w:line="276" w:lineRule="auto"/>
        <w:jc w:val="both"/>
        <w:rPr>
          <w:rFonts w:ascii="Arial" w:hAnsi="Arial" w:cs="Arial"/>
          <w:sz w:val="20"/>
          <w:szCs w:val="20"/>
        </w:rPr>
      </w:pPr>
    </w:p>
    <w:p w14:paraId="65DD40F5" w14:textId="35841A4D" w:rsidR="00D847F2" w:rsidRDefault="00D847F2" w:rsidP="00D847F2">
      <w:pPr>
        <w:autoSpaceDE w:val="0"/>
        <w:autoSpaceDN w:val="0"/>
        <w:adjustRightInd w:val="0"/>
        <w:spacing w:after="0"/>
        <w:jc w:val="both"/>
        <w:rPr>
          <w:rFonts w:ascii="Arial" w:hAnsi="Arial" w:cs="Arial"/>
          <w:b/>
          <w:bCs/>
          <w:i/>
          <w:iCs/>
          <w:sz w:val="20"/>
          <w:szCs w:val="20"/>
          <w:lang w:eastAsia="sl-SI"/>
        </w:rPr>
      </w:pPr>
      <w:r w:rsidRPr="00E36DC0">
        <w:rPr>
          <w:rFonts w:ascii="Arial" w:hAnsi="Arial" w:cs="Arial"/>
          <w:b/>
          <w:bCs/>
          <w:i/>
          <w:iCs/>
          <w:sz w:val="20"/>
          <w:szCs w:val="20"/>
          <w:lang w:eastAsia="sl-SI"/>
        </w:rPr>
        <w:t>8.2 Ukrepi</w:t>
      </w:r>
      <w:r w:rsidR="00995F0B">
        <w:rPr>
          <w:rFonts w:ascii="Arial" w:hAnsi="Arial" w:cs="Arial"/>
          <w:b/>
          <w:bCs/>
          <w:i/>
          <w:iCs/>
          <w:sz w:val="20"/>
          <w:szCs w:val="20"/>
          <w:lang w:eastAsia="sl-SI"/>
        </w:rPr>
        <w:t>,</w:t>
      </w:r>
      <w:r w:rsidRPr="00E36DC0">
        <w:rPr>
          <w:rFonts w:ascii="Arial" w:hAnsi="Arial" w:cs="Arial"/>
          <w:b/>
          <w:bCs/>
          <w:i/>
          <w:iCs/>
          <w:sz w:val="20"/>
          <w:szCs w:val="20"/>
          <w:lang w:eastAsia="sl-SI"/>
        </w:rPr>
        <w:t xml:space="preserve"> povezani s plačevanjem obveznosti</w:t>
      </w:r>
      <w:r w:rsidRPr="00F32D12">
        <w:rPr>
          <w:rFonts w:ascii="Arial" w:hAnsi="Arial" w:cs="Arial"/>
          <w:b/>
          <w:bCs/>
          <w:i/>
          <w:iCs/>
          <w:sz w:val="20"/>
          <w:szCs w:val="20"/>
          <w:lang w:eastAsia="sl-SI"/>
        </w:rPr>
        <w:t xml:space="preserve"> </w:t>
      </w:r>
    </w:p>
    <w:p w14:paraId="7411E871" w14:textId="77777777" w:rsidR="00D847F2" w:rsidRDefault="00D847F2" w:rsidP="00D847F2">
      <w:pPr>
        <w:autoSpaceDE w:val="0"/>
        <w:autoSpaceDN w:val="0"/>
        <w:adjustRightInd w:val="0"/>
        <w:spacing w:after="0"/>
        <w:jc w:val="both"/>
        <w:rPr>
          <w:rFonts w:ascii="Arial" w:hAnsi="Arial" w:cs="Arial"/>
          <w:b/>
          <w:bCs/>
          <w:i/>
          <w:iCs/>
          <w:sz w:val="20"/>
          <w:szCs w:val="20"/>
          <w:lang w:eastAsia="sl-SI"/>
        </w:rPr>
      </w:pPr>
    </w:p>
    <w:p w14:paraId="6E0F3767" w14:textId="12FB9C79" w:rsidR="00D847F2" w:rsidRPr="00151916" w:rsidRDefault="00D847F2" w:rsidP="00D847F2">
      <w:pPr>
        <w:pStyle w:val="Brezrazmikov"/>
        <w:spacing w:line="276" w:lineRule="auto"/>
        <w:jc w:val="both"/>
        <w:rPr>
          <w:rFonts w:ascii="Arial" w:hAnsi="Arial" w:cs="Arial"/>
          <w:b/>
          <w:bCs/>
          <w:sz w:val="20"/>
          <w:szCs w:val="20"/>
        </w:rPr>
      </w:pPr>
      <w:r w:rsidRPr="00151916">
        <w:rPr>
          <w:rFonts w:ascii="Arial" w:hAnsi="Arial" w:cs="Arial"/>
          <w:b/>
          <w:bCs/>
          <w:sz w:val="20"/>
          <w:szCs w:val="20"/>
        </w:rPr>
        <w:t xml:space="preserve">Uvedba novih plačilnih metod, ki olajšujejo plačevanje obveznosti zavezancev </w:t>
      </w:r>
    </w:p>
    <w:p w14:paraId="58CD4A1A" w14:textId="7A5E4A60" w:rsidR="00D847F2" w:rsidRPr="00151916" w:rsidRDefault="00D847F2" w:rsidP="00D847F2">
      <w:pPr>
        <w:pStyle w:val="Brezrazmikov"/>
        <w:spacing w:line="276" w:lineRule="auto"/>
        <w:jc w:val="both"/>
        <w:rPr>
          <w:rFonts w:ascii="Arial" w:hAnsi="Arial" w:cs="Arial"/>
          <w:sz w:val="20"/>
          <w:szCs w:val="20"/>
        </w:rPr>
      </w:pPr>
      <w:r w:rsidRPr="00151916">
        <w:rPr>
          <w:rFonts w:ascii="Arial" w:hAnsi="Arial" w:cs="Arial"/>
          <w:sz w:val="20"/>
          <w:szCs w:val="20"/>
        </w:rPr>
        <w:t>FURS zavezancem omogoča različne načine poenostavitev pri plačevanju obveznih dajatev na način, da zavezanec z enim plačilni</w:t>
      </w:r>
      <w:r w:rsidR="002717DD">
        <w:rPr>
          <w:rFonts w:ascii="Arial" w:hAnsi="Arial" w:cs="Arial"/>
          <w:sz w:val="20"/>
          <w:szCs w:val="20"/>
        </w:rPr>
        <w:t>m</w:t>
      </w:r>
      <w:r w:rsidRPr="00151916">
        <w:rPr>
          <w:rFonts w:ascii="Arial" w:hAnsi="Arial" w:cs="Arial"/>
          <w:sz w:val="20"/>
          <w:szCs w:val="20"/>
        </w:rPr>
        <w:t xml:space="preserve"> nalogom poravna več različnih dajatev.</w:t>
      </w:r>
      <w:r>
        <w:rPr>
          <w:rFonts w:ascii="Arial" w:hAnsi="Arial" w:cs="Arial"/>
          <w:sz w:val="20"/>
          <w:szCs w:val="20"/>
        </w:rPr>
        <w:t xml:space="preserve"> </w:t>
      </w:r>
      <w:r w:rsidRPr="00151916">
        <w:rPr>
          <w:rFonts w:ascii="Arial" w:hAnsi="Arial" w:cs="Arial"/>
          <w:sz w:val="20"/>
          <w:szCs w:val="20"/>
        </w:rPr>
        <w:t>Poleg zmanjšanja administrativnih bremen za zavezance pri plačevanju obveznih dajatev rešitve pri poenostavitvi plačevanja obveznih dajatev zagotavljajo, da prejemniki (blagajne javnega financiranja) prejmejo sredstva še isti dan – enako, kot bi v primeru posamičnega plačila, ne glede na to, da zavezanec plača z enim plačilom obveznosti do različnih blagajn javnega financiranja.</w:t>
      </w:r>
      <w:r w:rsidR="00992912">
        <w:rPr>
          <w:rFonts w:ascii="Arial" w:hAnsi="Arial" w:cs="Arial"/>
          <w:sz w:val="20"/>
          <w:szCs w:val="20"/>
        </w:rPr>
        <w:t xml:space="preserve"> </w:t>
      </w:r>
    </w:p>
    <w:p w14:paraId="56A09FA3" w14:textId="77777777" w:rsidR="00D847F2" w:rsidRPr="00151916" w:rsidRDefault="00D847F2" w:rsidP="00D847F2">
      <w:pPr>
        <w:pStyle w:val="Brezrazmikov"/>
        <w:spacing w:line="276" w:lineRule="auto"/>
        <w:jc w:val="both"/>
        <w:rPr>
          <w:rFonts w:ascii="Arial" w:hAnsi="Arial" w:cs="Arial"/>
          <w:sz w:val="20"/>
          <w:szCs w:val="20"/>
        </w:rPr>
      </w:pPr>
    </w:p>
    <w:p w14:paraId="6B190209" w14:textId="5F1B125A" w:rsidR="00D847F2" w:rsidRPr="00946222" w:rsidRDefault="00D847F2" w:rsidP="00D847F2">
      <w:pPr>
        <w:jc w:val="both"/>
        <w:rPr>
          <w:rFonts w:ascii="Arial" w:hAnsi="Arial" w:cs="Arial"/>
          <w:sz w:val="20"/>
          <w:szCs w:val="20"/>
        </w:rPr>
      </w:pPr>
      <w:r w:rsidRPr="00151916">
        <w:rPr>
          <w:rFonts w:ascii="Arial" w:hAnsi="Arial" w:cs="Arial"/>
          <w:sz w:val="20"/>
          <w:szCs w:val="20"/>
        </w:rPr>
        <w:t xml:space="preserve">Zavezanci, ki oddajo prijavo na prejem </w:t>
      </w:r>
      <w:proofErr w:type="spellStart"/>
      <w:r w:rsidRPr="00151916">
        <w:rPr>
          <w:rFonts w:ascii="Arial" w:hAnsi="Arial" w:cs="Arial"/>
          <w:sz w:val="20"/>
          <w:szCs w:val="20"/>
        </w:rPr>
        <w:t>eRačuna</w:t>
      </w:r>
      <w:proofErr w:type="spellEnd"/>
      <w:r w:rsidRPr="00151916">
        <w:rPr>
          <w:rFonts w:ascii="Arial" w:hAnsi="Arial" w:cs="Arial"/>
          <w:sz w:val="20"/>
          <w:szCs w:val="20"/>
        </w:rPr>
        <w:t xml:space="preserve"> za plačilo obveznih dajatev, obveznosti</w:t>
      </w:r>
      <w:r w:rsidR="00995F0B">
        <w:rPr>
          <w:rFonts w:ascii="Arial" w:hAnsi="Arial" w:cs="Arial"/>
          <w:sz w:val="20"/>
          <w:szCs w:val="20"/>
        </w:rPr>
        <w:t>,</w:t>
      </w:r>
      <w:r w:rsidRPr="00151916">
        <w:rPr>
          <w:rFonts w:ascii="Arial" w:hAnsi="Arial" w:cs="Arial"/>
          <w:sz w:val="20"/>
          <w:szCs w:val="20"/>
        </w:rPr>
        <w:t xml:space="preserve"> obračunane z obračunom prispevkov za socialno varnost, obračunom davčnega odtegljaja (REK</w:t>
      </w:r>
      <w:r w:rsidR="00995F0B">
        <w:rPr>
          <w:rFonts w:ascii="Arial" w:hAnsi="Arial" w:cs="Arial"/>
          <w:sz w:val="20"/>
          <w:szCs w:val="20"/>
        </w:rPr>
        <w:t>-</w:t>
      </w:r>
      <w:r w:rsidRPr="00151916">
        <w:rPr>
          <w:rFonts w:ascii="Arial" w:hAnsi="Arial" w:cs="Arial"/>
          <w:sz w:val="20"/>
          <w:szCs w:val="20"/>
        </w:rPr>
        <w:t xml:space="preserve">obrazec), </w:t>
      </w:r>
      <w:r w:rsidRPr="00151916">
        <w:rPr>
          <w:rFonts w:ascii="Arial" w:hAnsi="Arial" w:cs="Arial"/>
          <w:bCs/>
          <w:sz w:val="20"/>
          <w:szCs w:val="20"/>
        </w:rPr>
        <w:t>obračunom davka od dohodka pravnih oseb ter obračunom akontacij dohodnine in dohodnine od</w:t>
      </w:r>
      <w:r w:rsidRPr="00946222">
        <w:rPr>
          <w:rFonts w:ascii="Arial" w:hAnsi="Arial" w:cs="Arial"/>
          <w:bCs/>
          <w:sz w:val="20"/>
          <w:szCs w:val="20"/>
        </w:rPr>
        <w:t xml:space="preserve"> opravljanja dejavnosti</w:t>
      </w:r>
      <w:r w:rsidR="00995F0B">
        <w:rPr>
          <w:rFonts w:ascii="Arial" w:hAnsi="Arial" w:cs="Arial"/>
          <w:bCs/>
          <w:sz w:val="20"/>
          <w:szCs w:val="20"/>
        </w:rPr>
        <w:t>,</w:t>
      </w:r>
      <w:r w:rsidRPr="00946222">
        <w:rPr>
          <w:rFonts w:ascii="Arial" w:hAnsi="Arial" w:cs="Arial"/>
          <w:sz w:val="20"/>
          <w:szCs w:val="20"/>
        </w:rPr>
        <w:t xml:space="preserve"> plačajo z </w:t>
      </w:r>
      <w:proofErr w:type="spellStart"/>
      <w:r w:rsidRPr="00946222">
        <w:rPr>
          <w:rFonts w:ascii="Arial" w:hAnsi="Arial" w:cs="Arial"/>
          <w:sz w:val="20"/>
          <w:szCs w:val="20"/>
        </w:rPr>
        <w:t>eRačunom</w:t>
      </w:r>
      <w:proofErr w:type="spellEnd"/>
      <w:r w:rsidR="00995F0B">
        <w:rPr>
          <w:rFonts w:ascii="Arial" w:hAnsi="Arial" w:cs="Arial"/>
          <w:sz w:val="20"/>
          <w:szCs w:val="20"/>
        </w:rPr>
        <w:t>,</w:t>
      </w:r>
      <w:r w:rsidRPr="00946222">
        <w:rPr>
          <w:rFonts w:ascii="Arial" w:hAnsi="Arial" w:cs="Arial"/>
          <w:sz w:val="20"/>
          <w:szCs w:val="20"/>
        </w:rPr>
        <w:t xml:space="preserve"> prejetim v spletno banko. </w:t>
      </w:r>
      <w:r w:rsidR="00456F73">
        <w:rPr>
          <w:rFonts w:ascii="Arial" w:hAnsi="Arial" w:cs="Arial"/>
          <w:sz w:val="20"/>
          <w:szCs w:val="20"/>
        </w:rPr>
        <w:t>P</w:t>
      </w:r>
      <w:r w:rsidRPr="00946222">
        <w:rPr>
          <w:rFonts w:ascii="Arial" w:hAnsi="Arial" w:cs="Arial"/>
          <w:sz w:val="20"/>
          <w:szCs w:val="20"/>
        </w:rPr>
        <w:t>ri F</w:t>
      </w:r>
      <w:r>
        <w:rPr>
          <w:rFonts w:ascii="Arial" w:hAnsi="Arial" w:cs="Arial"/>
          <w:sz w:val="20"/>
          <w:szCs w:val="20"/>
        </w:rPr>
        <w:t xml:space="preserve">URS </w:t>
      </w:r>
      <w:r w:rsidR="00456F73">
        <w:rPr>
          <w:rFonts w:ascii="Arial" w:hAnsi="Arial" w:cs="Arial"/>
          <w:sz w:val="20"/>
          <w:szCs w:val="20"/>
        </w:rPr>
        <w:t xml:space="preserve">je bilo 31. </w:t>
      </w:r>
      <w:r w:rsidR="000E7DDB">
        <w:rPr>
          <w:rFonts w:ascii="Arial" w:hAnsi="Arial" w:cs="Arial"/>
          <w:sz w:val="20"/>
          <w:szCs w:val="20"/>
        </w:rPr>
        <w:t>decembra</w:t>
      </w:r>
      <w:r w:rsidR="00456F73">
        <w:rPr>
          <w:rFonts w:ascii="Arial" w:hAnsi="Arial" w:cs="Arial"/>
          <w:sz w:val="20"/>
          <w:szCs w:val="20"/>
        </w:rPr>
        <w:t xml:space="preserve"> 2022 </w:t>
      </w:r>
      <w:r w:rsidRPr="00946222">
        <w:rPr>
          <w:rFonts w:ascii="Arial" w:hAnsi="Arial" w:cs="Arial"/>
          <w:sz w:val="20"/>
          <w:szCs w:val="20"/>
        </w:rPr>
        <w:t xml:space="preserve">evidentiranih 5.359 aktivnih prijav na prejem </w:t>
      </w:r>
      <w:proofErr w:type="spellStart"/>
      <w:r w:rsidRPr="00946222">
        <w:rPr>
          <w:rFonts w:ascii="Arial" w:hAnsi="Arial" w:cs="Arial"/>
          <w:sz w:val="20"/>
          <w:szCs w:val="20"/>
        </w:rPr>
        <w:t>eRačuna</w:t>
      </w:r>
      <w:proofErr w:type="spellEnd"/>
      <w:r w:rsidRPr="00946222">
        <w:rPr>
          <w:rFonts w:ascii="Arial" w:hAnsi="Arial" w:cs="Arial"/>
          <w:sz w:val="20"/>
          <w:szCs w:val="20"/>
        </w:rPr>
        <w:t xml:space="preserve"> za plačilo obveznih dajatev, kar je za 10 </w:t>
      </w:r>
      <w:r>
        <w:rPr>
          <w:rFonts w:ascii="Arial" w:hAnsi="Arial" w:cs="Arial"/>
          <w:sz w:val="20"/>
          <w:szCs w:val="20"/>
        </w:rPr>
        <w:t>odstotk</w:t>
      </w:r>
      <w:r w:rsidR="00456F73">
        <w:rPr>
          <w:rFonts w:ascii="Arial" w:hAnsi="Arial" w:cs="Arial"/>
          <w:sz w:val="20"/>
          <w:szCs w:val="20"/>
        </w:rPr>
        <w:t>ov</w:t>
      </w:r>
      <w:r>
        <w:rPr>
          <w:rFonts w:ascii="Arial" w:hAnsi="Arial" w:cs="Arial"/>
          <w:sz w:val="20"/>
          <w:szCs w:val="20"/>
        </w:rPr>
        <w:t xml:space="preserve"> </w:t>
      </w:r>
      <w:r w:rsidRPr="00946222">
        <w:rPr>
          <w:rFonts w:ascii="Arial" w:hAnsi="Arial" w:cs="Arial"/>
          <w:sz w:val="20"/>
          <w:szCs w:val="20"/>
        </w:rPr>
        <w:t xml:space="preserve">več kot 31. </w:t>
      </w:r>
      <w:r w:rsidR="000E7DDB">
        <w:rPr>
          <w:rFonts w:ascii="Arial" w:hAnsi="Arial" w:cs="Arial"/>
          <w:sz w:val="20"/>
          <w:szCs w:val="20"/>
        </w:rPr>
        <w:t>decembra</w:t>
      </w:r>
      <w:r w:rsidRPr="00946222">
        <w:rPr>
          <w:rFonts w:ascii="Arial" w:hAnsi="Arial" w:cs="Arial"/>
          <w:sz w:val="20"/>
          <w:szCs w:val="20"/>
        </w:rPr>
        <w:t xml:space="preserve"> 2021. V letu 2022 je bilo izdanih 85.959 </w:t>
      </w:r>
      <w:proofErr w:type="spellStart"/>
      <w:r w:rsidRPr="00946222">
        <w:rPr>
          <w:rFonts w:ascii="Arial" w:hAnsi="Arial" w:cs="Arial"/>
          <w:sz w:val="20"/>
          <w:szCs w:val="20"/>
        </w:rPr>
        <w:t>eRačunov</w:t>
      </w:r>
      <w:proofErr w:type="spellEnd"/>
      <w:r w:rsidRPr="00946222">
        <w:rPr>
          <w:rFonts w:ascii="Arial" w:hAnsi="Arial" w:cs="Arial"/>
          <w:sz w:val="20"/>
          <w:szCs w:val="20"/>
        </w:rPr>
        <w:t xml:space="preserve"> za plačilo obveznih dajatev v višini 60.757.207</w:t>
      </w:r>
      <w:r w:rsidR="002717DD" w:rsidRPr="00946222">
        <w:rPr>
          <w:rFonts w:ascii="Arial" w:hAnsi="Arial" w:cs="Arial"/>
          <w:sz w:val="20"/>
          <w:szCs w:val="20"/>
        </w:rPr>
        <w:t> EUR</w:t>
      </w:r>
      <w:r w:rsidRPr="00946222">
        <w:rPr>
          <w:rFonts w:ascii="Arial" w:hAnsi="Arial" w:cs="Arial"/>
          <w:sz w:val="20"/>
          <w:szCs w:val="20"/>
        </w:rPr>
        <w:t xml:space="preserve">. V primerjavi z letom 2021 se je število izdanih </w:t>
      </w:r>
      <w:proofErr w:type="spellStart"/>
      <w:r w:rsidRPr="00946222">
        <w:rPr>
          <w:rFonts w:ascii="Arial" w:hAnsi="Arial" w:cs="Arial"/>
          <w:sz w:val="20"/>
          <w:szCs w:val="20"/>
        </w:rPr>
        <w:t>eRačunov</w:t>
      </w:r>
      <w:proofErr w:type="spellEnd"/>
      <w:r w:rsidRPr="00946222">
        <w:rPr>
          <w:rFonts w:ascii="Arial" w:hAnsi="Arial" w:cs="Arial"/>
          <w:sz w:val="20"/>
          <w:szCs w:val="20"/>
        </w:rPr>
        <w:t xml:space="preserve"> za plačilo obveznih dajatev povečalo za 65 </w:t>
      </w:r>
      <w:r>
        <w:rPr>
          <w:rFonts w:ascii="Arial" w:hAnsi="Arial" w:cs="Arial"/>
          <w:sz w:val="20"/>
          <w:szCs w:val="20"/>
        </w:rPr>
        <w:t xml:space="preserve">odstotkov. </w:t>
      </w:r>
      <w:r w:rsidRPr="00946222">
        <w:rPr>
          <w:rFonts w:ascii="Arial" w:hAnsi="Arial" w:cs="Arial"/>
          <w:sz w:val="20"/>
          <w:szCs w:val="20"/>
        </w:rPr>
        <w:t xml:space="preserve">Povišanje števila izdanih </w:t>
      </w:r>
      <w:proofErr w:type="spellStart"/>
      <w:r w:rsidRPr="00946222">
        <w:rPr>
          <w:rFonts w:ascii="Arial" w:hAnsi="Arial" w:cs="Arial"/>
          <w:sz w:val="20"/>
          <w:szCs w:val="20"/>
        </w:rPr>
        <w:t>eRačunov</w:t>
      </w:r>
      <w:proofErr w:type="spellEnd"/>
      <w:r w:rsidRPr="00946222">
        <w:rPr>
          <w:rFonts w:ascii="Arial" w:hAnsi="Arial" w:cs="Arial"/>
          <w:sz w:val="20"/>
          <w:szCs w:val="20"/>
        </w:rPr>
        <w:t xml:space="preserve"> je predvsem posledica izdaje </w:t>
      </w:r>
      <w:proofErr w:type="spellStart"/>
      <w:r w:rsidRPr="00946222">
        <w:rPr>
          <w:rFonts w:ascii="Arial" w:hAnsi="Arial" w:cs="Arial"/>
          <w:sz w:val="20"/>
          <w:szCs w:val="20"/>
        </w:rPr>
        <w:t>eRačunov</w:t>
      </w:r>
      <w:proofErr w:type="spellEnd"/>
      <w:r w:rsidRPr="00946222">
        <w:rPr>
          <w:rFonts w:ascii="Arial" w:hAnsi="Arial" w:cs="Arial"/>
          <w:sz w:val="20"/>
          <w:szCs w:val="20"/>
        </w:rPr>
        <w:t xml:space="preserve"> tudi za plačilo obveznosti</w:t>
      </w:r>
      <w:r w:rsidR="00456F73">
        <w:rPr>
          <w:rFonts w:ascii="Arial" w:hAnsi="Arial" w:cs="Arial"/>
          <w:sz w:val="20"/>
          <w:szCs w:val="20"/>
        </w:rPr>
        <w:t>,</w:t>
      </w:r>
      <w:r w:rsidRPr="00946222">
        <w:rPr>
          <w:rFonts w:ascii="Arial" w:hAnsi="Arial" w:cs="Arial"/>
          <w:sz w:val="20"/>
          <w:szCs w:val="20"/>
        </w:rPr>
        <w:t xml:space="preserve"> določenih z </w:t>
      </w:r>
      <w:r w:rsidRPr="00946222">
        <w:rPr>
          <w:rFonts w:ascii="Arial" w:hAnsi="Arial" w:cs="Arial"/>
          <w:bCs/>
          <w:sz w:val="20"/>
          <w:szCs w:val="20"/>
        </w:rPr>
        <w:t>obračunom davka od dohodka pravnih oseb ter obračunom akontacij dohodnine in dohodnine od opravljanja dejavnosti, ki se izdajajo od junija 2022.</w:t>
      </w:r>
      <w:r w:rsidR="00456F73">
        <w:rPr>
          <w:rFonts w:ascii="Arial" w:hAnsi="Arial" w:cs="Arial"/>
          <w:bCs/>
          <w:sz w:val="20"/>
          <w:szCs w:val="20"/>
        </w:rPr>
        <w:t xml:space="preserve"> </w:t>
      </w:r>
    </w:p>
    <w:p w14:paraId="396FFA99" w14:textId="56FB9F07" w:rsidR="00D847F2" w:rsidRDefault="00D847F2" w:rsidP="00D847F2">
      <w:pPr>
        <w:jc w:val="both"/>
        <w:rPr>
          <w:rFonts w:ascii="Arial" w:hAnsi="Arial" w:cs="Arial"/>
          <w:color w:val="FF0000"/>
          <w:sz w:val="20"/>
          <w:szCs w:val="20"/>
        </w:rPr>
      </w:pPr>
      <w:r w:rsidRPr="00946222">
        <w:rPr>
          <w:rFonts w:ascii="Arial" w:hAnsi="Arial" w:cs="Arial"/>
          <w:sz w:val="20"/>
          <w:szCs w:val="20"/>
        </w:rPr>
        <w:t xml:space="preserve">Zavezancem, ki so registrirani uporabniki </w:t>
      </w:r>
      <w:proofErr w:type="spellStart"/>
      <w:r w:rsidRPr="00946222">
        <w:rPr>
          <w:rFonts w:ascii="Arial" w:hAnsi="Arial" w:cs="Arial"/>
          <w:sz w:val="20"/>
          <w:szCs w:val="20"/>
        </w:rPr>
        <w:t>eDavkov</w:t>
      </w:r>
      <w:proofErr w:type="spellEnd"/>
      <w:r w:rsidRPr="00946222">
        <w:rPr>
          <w:rFonts w:ascii="Arial" w:hAnsi="Arial" w:cs="Arial"/>
          <w:sz w:val="20"/>
          <w:szCs w:val="20"/>
        </w:rPr>
        <w:t xml:space="preserve"> in uporabniki spletnih bank, vključen</w:t>
      </w:r>
      <w:r w:rsidR="00456F73">
        <w:rPr>
          <w:rFonts w:ascii="Arial" w:hAnsi="Arial" w:cs="Arial"/>
          <w:sz w:val="20"/>
          <w:szCs w:val="20"/>
        </w:rPr>
        <w:t>ih</w:t>
      </w:r>
      <w:r w:rsidRPr="00946222">
        <w:rPr>
          <w:rFonts w:ascii="Arial" w:hAnsi="Arial" w:cs="Arial"/>
          <w:sz w:val="20"/>
          <w:szCs w:val="20"/>
        </w:rPr>
        <w:t xml:space="preserve"> v sistem spletnih plačil Uprave Republike Slovenije za javna plačila</w:t>
      </w:r>
      <w:r>
        <w:rPr>
          <w:rFonts w:ascii="Arial" w:hAnsi="Arial" w:cs="Arial"/>
          <w:sz w:val="20"/>
          <w:szCs w:val="20"/>
        </w:rPr>
        <w:t xml:space="preserve"> (v nadaljnjem besedilu: UJP)</w:t>
      </w:r>
      <w:r w:rsidR="00456F73">
        <w:rPr>
          <w:rFonts w:ascii="Arial" w:hAnsi="Arial" w:cs="Arial"/>
          <w:sz w:val="20"/>
          <w:szCs w:val="20"/>
        </w:rPr>
        <w:t>,</w:t>
      </w:r>
      <w:r w:rsidRPr="00946222">
        <w:rPr>
          <w:rFonts w:ascii="Arial" w:hAnsi="Arial" w:cs="Arial"/>
          <w:sz w:val="20"/>
          <w:szCs w:val="20"/>
        </w:rPr>
        <w:t xml:space="preserve"> je bilo leta 2020 omogočeno, da za izbrane obveznosti v sistemu </w:t>
      </w:r>
      <w:proofErr w:type="spellStart"/>
      <w:r w:rsidRPr="00946222">
        <w:rPr>
          <w:rFonts w:ascii="Arial" w:hAnsi="Arial" w:cs="Arial"/>
          <w:sz w:val="20"/>
          <w:szCs w:val="20"/>
        </w:rPr>
        <w:t>eDavki</w:t>
      </w:r>
      <w:proofErr w:type="spellEnd"/>
      <w:r w:rsidRPr="00946222">
        <w:rPr>
          <w:rFonts w:ascii="Arial" w:hAnsi="Arial" w:cs="Arial"/>
          <w:sz w:val="20"/>
          <w:szCs w:val="20"/>
        </w:rPr>
        <w:t xml:space="preserve"> (tako </w:t>
      </w:r>
      <w:r w:rsidR="00456F73">
        <w:rPr>
          <w:rFonts w:ascii="Arial" w:hAnsi="Arial" w:cs="Arial"/>
          <w:sz w:val="20"/>
          <w:szCs w:val="20"/>
        </w:rPr>
        <w:t xml:space="preserve">v </w:t>
      </w:r>
      <w:r w:rsidRPr="00946222">
        <w:rPr>
          <w:rFonts w:ascii="Arial" w:hAnsi="Arial" w:cs="Arial"/>
          <w:sz w:val="20"/>
          <w:szCs w:val="20"/>
        </w:rPr>
        <w:t>spletnem portalu kot mobilni aplikaciji) izvedejo plačilo z enim plačilnim nalogom na en račun, ki jim je v spletno banko pos</w:t>
      </w:r>
      <w:r w:rsidR="00456F73">
        <w:rPr>
          <w:rFonts w:ascii="Arial" w:hAnsi="Arial" w:cs="Arial"/>
          <w:sz w:val="20"/>
          <w:szCs w:val="20"/>
        </w:rPr>
        <w:t>l</w:t>
      </w:r>
      <w:r w:rsidRPr="00946222">
        <w:rPr>
          <w:rFonts w:ascii="Arial" w:hAnsi="Arial" w:cs="Arial"/>
          <w:sz w:val="20"/>
          <w:szCs w:val="20"/>
        </w:rPr>
        <w:t xml:space="preserve">an iz </w:t>
      </w:r>
      <w:proofErr w:type="spellStart"/>
      <w:r w:rsidRPr="00946222">
        <w:rPr>
          <w:rFonts w:ascii="Arial" w:hAnsi="Arial" w:cs="Arial"/>
          <w:sz w:val="20"/>
          <w:szCs w:val="20"/>
        </w:rPr>
        <w:t>eDavkov</w:t>
      </w:r>
      <w:proofErr w:type="spellEnd"/>
      <w:r w:rsidRPr="00946222">
        <w:rPr>
          <w:rFonts w:ascii="Arial" w:hAnsi="Arial" w:cs="Arial"/>
          <w:sz w:val="20"/>
          <w:szCs w:val="20"/>
        </w:rPr>
        <w:t xml:space="preserve"> prek sistema spletnih plačil UJP. V letu 2022 je bilo na ta način izvršenih 27.389 plačil v skupnem znesku 5.747.939</w:t>
      </w:r>
      <w:r w:rsidR="002717DD" w:rsidRPr="00946222">
        <w:rPr>
          <w:rFonts w:ascii="Arial" w:hAnsi="Arial" w:cs="Arial"/>
          <w:sz w:val="20"/>
          <w:szCs w:val="20"/>
        </w:rPr>
        <w:t> EUR</w:t>
      </w:r>
      <w:r w:rsidRPr="00946222">
        <w:rPr>
          <w:rFonts w:ascii="Arial" w:hAnsi="Arial" w:cs="Arial"/>
          <w:sz w:val="20"/>
          <w:szCs w:val="20"/>
        </w:rPr>
        <w:t>. V povprečju je let</w:t>
      </w:r>
      <w:r w:rsidR="00456F73">
        <w:rPr>
          <w:rFonts w:ascii="Arial" w:hAnsi="Arial" w:cs="Arial"/>
          <w:sz w:val="20"/>
          <w:szCs w:val="20"/>
        </w:rPr>
        <w:t>a</w:t>
      </w:r>
      <w:r w:rsidRPr="00946222">
        <w:rPr>
          <w:rFonts w:ascii="Arial" w:hAnsi="Arial" w:cs="Arial"/>
          <w:sz w:val="20"/>
          <w:szCs w:val="20"/>
        </w:rPr>
        <w:t xml:space="preserve"> 2022 vsak mesec plačilo iz </w:t>
      </w:r>
      <w:proofErr w:type="spellStart"/>
      <w:r w:rsidRPr="00946222">
        <w:rPr>
          <w:rFonts w:ascii="Arial" w:hAnsi="Arial" w:cs="Arial"/>
          <w:sz w:val="20"/>
          <w:szCs w:val="20"/>
        </w:rPr>
        <w:t>eDavkov</w:t>
      </w:r>
      <w:proofErr w:type="spellEnd"/>
      <w:r w:rsidRPr="00946222">
        <w:rPr>
          <w:rFonts w:ascii="Arial" w:hAnsi="Arial" w:cs="Arial"/>
          <w:sz w:val="20"/>
          <w:szCs w:val="20"/>
        </w:rPr>
        <w:t xml:space="preserve"> </w:t>
      </w:r>
      <w:r>
        <w:rPr>
          <w:rFonts w:ascii="Arial" w:hAnsi="Arial" w:cs="Arial"/>
          <w:sz w:val="20"/>
          <w:szCs w:val="20"/>
        </w:rPr>
        <w:t>izvedlo</w:t>
      </w:r>
      <w:r w:rsidRPr="00946222">
        <w:rPr>
          <w:rFonts w:ascii="Arial" w:hAnsi="Arial" w:cs="Arial"/>
          <w:sz w:val="20"/>
          <w:szCs w:val="20"/>
        </w:rPr>
        <w:t xml:space="preserve"> 1.674 zavezancev, kar je </w:t>
      </w:r>
      <w:r w:rsidR="00456F73">
        <w:rPr>
          <w:rFonts w:ascii="Arial" w:hAnsi="Arial" w:cs="Arial"/>
          <w:sz w:val="20"/>
          <w:szCs w:val="20"/>
        </w:rPr>
        <w:t xml:space="preserve">za </w:t>
      </w:r>
      <w:r w:rsidRPr="00946222">
        <w:rPr>
          <w:rFonts w:ascii="Arial" w:hAnsi="Arial" w:cs="Arial"/>
          <w:sz w:val="20"/>
          <w:szCs w:val="20"/>
        </w:rPr>
        <w:t xml:space="preserve">171 </w:t>
      </w:r>
      <w:r>
        <w:rPr>
          <w:rFonts w:ascii="Arial" w:hAnsi="Arial" w:cs="Arial"/>
          <w:sz w:val="20"/>
          <w:szCs w:val="20"/>
        </w:rPr>
        <w:t>odstotk</w:t>
      </w:r>
      <w:r w:rsidR="00456F73">
        <w:rPr>
          <w:rFonts w:ascii="Arial" w:hAnsi="Arial" w:cs="Arial"/>
          <w:sz w:val="20"/>
          <w:szCs w:val="20"/>
        </w:rPr>
        <w:t>ov</w:t>
      </w:r>
      <w:r>
        <w:rPr>
          <w:rFonts w:ascii="Arial" w:hAnsi="Arial" w:cs="Arial"/>
          <w:sz w:val="20"/>
          <w:szCs w:val="20"/>
        </w:rPr>
        <w:t xml:space="preserve"> </w:t>
      </w:r>
      <w:r w:rsidRPr="00946222">
        <w:rPr>
          <w:rFonts w:ascii="Arial" w:hAnsi="Arial" w:cs="Arial"/>
          <w:sz w:val="20"/>
          <w:szCs w:val="20"/>
        </w:rPr>
        <w:t>več kot v letu 2021.</w:t>
      </w:r>
      <w:r w:rsidRPr="00946222">
        <w:rPr>
          <w:rFonts w:ascii="Arial" w:hAnsi="Arial" w:cs="Arial"/>
          <w:color w:val="FF0000"/>
          <w:sz w:val="20"/>
          <w:szCs w:val="20"/>
        </w:rPr>
        <w:t xml:space="preserve"> </w:t>
      </w:r>
    </w:p>
    <w:p w14:paraId="7CDF56DA" w14:textId="77777777" w:rsidR="00247C3E" w:rsidRDefault="00247C3E" w:rsidP="00D847F2">
      <w:pPr>
        <w:pStyle w:val="Brezrazmikov"/>
        <w:spacing w:line="276" w:lineRule="auto"/>
        <w:jc w:val="both"/>
        <w:rPr>
          <w:rStyle w:val="Krepko"/>
          <w:rFonts w:ascii="Arial" w:hAnsi="Arial" w:cs="Arial"/>
          <w:bCs w:val="0"/>
          <w:sz w:val="20"/>
          <w:szCs w:val="20"/>
        </w:rPr>
      </w:pPr>
    </w:p>
    <w:p w14:paraId="59D9A0A1" w14:textId="77777777" w:rsidR="00247C3E" w:rsidRDefault="00247C3E" w:rsidP="00D847F2">
      <w:pPr>
        <w:pStyle w:val="Brezrazmikov"/>
        <w:spacing w:line="276" w:lineRule="auto"/>
        <w:jc w:val="both"/>
        <w:rPr>
          <w:rStyle w:val="Krepko"/>
          <w:rFonts w:ascii="Arial" w:hAnsi="Arial" w:cs="Arial"/>
          <w:bCs w:val="0"/>
          <w:sz w:val="20"/>
          <w:szCs w:val="20"/>
        </w:rPr>
      </w:pPr>
    </w:p>
    <w:p w14:paraId="17ED85A5" w14:textId="1F13E8E0" w:rsidR="00D847F2" w:rsidRPr="00946222" w:rsidRDefault="00D847F2" w:rsidP="00D847F2">
      <w:pPr>
        <w:pStyle w:val="Brezrazmikov"/>
        <w:spacing w:line="276" w:lineRule="auto"/>
        <w:jc w:val="both"/>
        <w:rPr>
          <w:rStyle w:val="Krepko"/>
          <w:rFonts w:ascii="Arial" w:hAnsi="Arial" w:cs="Arial"/>
          <w:bCs w:val="0"/>
          <w:sz w:val="20"/>
          <w:szCs w:val="20"/>
        </w:rPr>
      </w:pPr>
      <w:r w:rsidRPr="00946222">
        <w:rPr>
          <w:rStyle w:val="Krepko"/>
          <w:rFonts w:ascii="Arial" w:hAnsi="Arial" w:cs="Arial"/>
          <w:bCs w:val="0"/>
          <w:sz w:val="20"/>
          <w:szCs w:val="20"/>
        </w:rPr>
        <w:lastRenderedPageBreak/>
        <w:t>Širitev storitve opominjanja pri plačevanju davkov</w:t>
      </w:r>
    </w:p>
    <w:p w14:paraId="0E2CB80D" w14:textId="4D624233" w:rsidR="00D847F2" w:rsidRPr="00C8005C" w:rsidRDefault="00456F73" w:rsidP="00D847F2">
      <w:pPr>
        <w:pStyle w:val="Brezrazmikov"/>
        <w:spacing w:line="276" w:lineRule="auto"/>
        <w:jc w:val="both"/>
        <w:rPr>
          <w:rFonts w:ascii="Arial" w:hAnsi="Arial" w:cs="Arial"/>
          <w:sz w:val="20"/>
          <w:szCs w:val="20"/>
        </w:rPr>
      </w:pPr>
      <w:r>
        <w:rPr>
          <w:rStyle w:val="Krepko"/>
          <w:rFonts w:ascii="Arial" w:hAnsi="Arial" w:cs="Arial"/>
          <w:b w:val="0"/>
          <w:bCs w:val="0"/>
          <w:sz w:val="20"/>
          <w:szCs w:val="20"/>
        </w:rPr>
        <w:t xml:space="preserve">Čeprav </w:t>
      </w:r>
      <w:r w:rsidR="00D847F2" w:rsidRPr="00C8005C">
        <w:rPr>
          <w:rStyle w:val="Krepko"/>
          <w:rFonts w:ascii="Arial" w:hAnsi="Arial" w:cs="Arial"/>
          <w:b w:val="0"/>
          <w:bCs w:val="0"/>
          <w:sz w:val="20"/>
          <w:szCs w:val="20"/>
        </w:rPr>
        <w:t>z</w:t>
      </w:r>
      <w:r w:rsidR="00D847F2" w:rsidRPr="00C8005C">
        <w:rPr>
          <w:rFonts w:ascii="Arial" w:hAnsi="Arial" w:cs="Arial"/>
          <w:sz w:val="20"/>
          <w:szCs w:val="20"/>
        </w:rPr>
        <w:t xml:space="preserve">akonodaja ne predpisuje obveznega opominjanja, FURS zavezance opozarja na plačevanje obveznosti pred in po izteku roka za plačilo davkov. Mobilna aplikacija </w:t>
      </w:r>
      <w:proofErr w:type="spellStart"/>
      <w:r w:rsidR="00D847F2" w:rsidRPr="00C8005C">
        <w:rPr>
          <w:rFonts w:ascii="Arial" w:hAnsi="Arial" w:cs="Arial"/>
          <w:sz w:val="20"/>
          <w:szCs w:val="20"/>
        </w:rPr>
        <w:t>eDavki</w:t>
      </w:r>
      <w:proofErr w:type="spellEnd"/>
      <w:r w:rsidR="00D847F2" w:rsidRPr="00C8005C">
        <w:rPr>
          <w:rFonts w:ascii="Arial" w:hAnsi="Arial" w:cs="Arial"/>
          <w:sz w:val="20"/>
          <w:szCs w:val="20"/>
        </w:rPr>
        <w:t xml:space="preserve"> registriranim uporabnikom </w:t>
      </w:r>
      <w:r w:rsidRPr="00C8005C">
        <w:rPr>
          <w:rFonts w:ascii="Arial" w:hAnsi="Arial" w:cs="Arial"/>
          <w:sz w:val="20"/>
          <w:szCs w:val="20"/>
        </w:rPr>
        <w:t xml:space="preserve">omogoča obveščanje </w:t>
      </w:r>
      <w:r w:rsidR="00D847F2" w:rsidRPr="00C8005C">
        <w:rPr>
          <w:rFonts w:ascii="Arial" w:hAnsi="Arial" w:cs="Arial"/>
          <w:sz w:val="20"/>
          <w:szCs w:val="20"/>
        </w:rPr>
        <w:t>o izteku roka za plačilo davka tik pred zapadlostjo,</w:t>
      </w:r>
      <w:r w:rsidR="00D847F2">
        <w:rPr>
          <w:rFonts w:ascii="Arial" w:hAnsi="Arial" w:cs="Arial"/>
          <w:sz w:val="20"/>
          <w:szCs w:val="20"/>
        </w:rPr>
        <w:t xml:space="preserve"> </w:t>
      </w:r>
      <w:r w:rsidR="00D847F2" w:rsidRPr="00C8005C">
        <w:rPr>
          <w:rFonts w:ascii="Arial" w:hAnsi="Arial" w:cs="Arial"/>
          <w:sz w:val="20"/>
          <w:szCs w:val="20"/>
        </w:rPr>
        <w:t xml:space="preserve">če so na to storitev naročeni. V preteklem letu se je </w:t>
      </w:r>
      <w:r w:rsidR="007D5397">
        <w:rPr>
          <w:rFonts w:ascii="Arial" w:hAnsi="Arial" w:cs="Arial"/>
          <w:sz w:val="20"/>
          <w:szCs w:val="20"/>
        </w:rPr>
        <w:t>znova</w:t>
      </w:r>
      <w:r>
        <w:rPr>
          <w:rFonts w:ascii="Arial" w:hAnsi="Arial" w:cs="Arial"/>
          <w:sz w:val="20"/>
          <w:szCs w:val="20"/>
        </w:rPr>
        <w:t xml:space="preserve"> </w:t>
      </w:r>
      <w:r w:rsidR="00D847F2" w:rsidRPr="00C8005C">
        <w:rPr>
          <w:rFonts w:ascii="Arial" w:hAnsi="Arial" w:cs="Arial"/>
          <w:sz w:val="20"/>
          <w:szCs w:val="20"/>
        </w:rPr>
        <w:t>razširil krog uporabnikov te storitve.</w:t>
      </w:r>
    </w:p>
    <w:p w14:paraId="649D8B89" w14:textId="77777777" w:rsidR="00D847F2" w:rsidRPr="00C8005C" w:rsidRDefault="00D847F2" w:rsidP="00D847F2">
      <w:pPr>
        <w:pStyle w:val="Brezrazmikov"/>
        <w:spacing w:line="276" w:lineRule="auto"/>
        <w:jc w:val="both"/>
        <w:rPr>
          <w:rFonts w:ascii="Arial" w:hAnsi="Arial" w:cs="Arial"/>
          <w:sz w:val="20"/>
          <w:szCs w:val="20"/>
        </w:rPr>
      </w:pPr>
    </w:p>
    <w:p w14:paraId="0AFEE52F" w14:textId="76AA6C7B" w:rsidR="00D847F2" w:rsidRPr="00C8005C" w:rsidRDefault="00D847F2" w:rsidP="00D847F2">
      <w:pPr>
        <w:pStyle w:val="Brezrazmikov"/>
        <w:spacing w:line="276" w:lineRule="auto"/>
        <w:jc w:val="both"/>
        <w:rPr>
          <w:rFonts w:ascii="Arial" w:hAnsi="Arial" w:cs="Arial"/>
          <w:sz w:val="20"/>
          <w:szCs w:val="20"/>
        </w:rPr>
      </w:pPr>
      <w:r w:rsidRPr="00C8005C">
        <w:rPr>
          <w:rFonts w:ascii="Arial" w:hAnsi="Arial" w:cs="Arial"/>
          <w:sz w:val="20"/>
          <w:szCs w:val="20"/>
        </w:rPr>
        <w:t>Po zapadlosti terjatev in pred začetkom davčne izvršbe F</w:t>
      </w:r>
      <w:r>
        <w:rPr>
          <w:rFonts w:ascii="Arial" w:hAnsi="Arial" w:cs="Arial"/>
          <w:sz w:val="20"/>
          <w:szCs w:val="20"/>
        </w:rPr>
        <w:t xml:space="preserve">URS </w:t>
      </w:r>
      <w:r w:rsidRPr="00C8005C">
        <w:rPr>
          <w:rFonts w:ascii="Arial" w:hAnsi="Arial" w:cs="Arial"/>
          <w:sz w:val="20"/>
          <w:szCs w:val="20"/>
        </w:rPr>
        <w:t>dolžnike pozove k prostovoljni poravnavi zapadl</w:t>
      </w:r>
      <w:r w:rsidR="002717DD">
        <w:rPr>
          <w:rFonts w:ascii="Arial" w:hAnsi="Arial" w:cs="Arial"/>
          <w:sz w:val="20"/>
          <w:szCs w:val="20"/>
        </w:rPr>
        <w:t>ih</w:t>
      </w:r>
      <w:r w:rsidRPr="00C8005C">
        <w:rPr>
          <w:rFonts w:ascii="Arial" w:hAnsi="Arial" w:cs="Arial"/>
          <w:sz w:val="20"/>
          <w:szCs w:val="20"/>
        </w:rPr>
        <w:t xml:space="preserve"> obveznost</w:t>
      </w:r>
      <w:r w:rsidR="002717DD">
        <w:rPr>
          <w:rFonts w:ascii="Arial" w:hAnsi="Arial" w:cs="Arial"/>
          <w:sz w:val="20"/>
          <w:szCs w:val="20"/>
        </w:rPr>
        <w:t>i</w:t>
      </w:r>
      <w:r w:rsidRPr="00C8005C">
        <w:rPr>
          <w:rFonts w:ascii="Arial" w:hAnsi="Arial" w:cs="Arial"/>
          <w:sz w:val="20"/>
          <w:szCs w:val="20"/>
        </w:rPr>
        <w:t xml:space="preserve"> z opominom. V letu 2022 so bile razširjene storitve opominjanja za področje davkov, tako da po novem zagotavljajo, da se pošiljajo opomini tudi zavezancem, ki imajo naslov za vročanje v tujini. Dopolnjena je bila tudi vsebina opomina, ki omogoča preglednejšo navedbo številke podračunov in možnost priprave plačilnega naloga s QR</w:t>
      </w:r>
      <w:r w:rsidR="00456F73">
        <w:rPr>
          <w:rFonts w:ascii="Arial" w:hAnsi="Arial" w:cs="Arial"/>
          <w:sz w:val="20"/>
          <w:szCs w:val="20"/>
        </w:rPr>
        <w:t>-</w:t>
      </w:r>
      <w:r w:rsidRPr="00C8005C">
        <w:rPr>
          <w:rFonts w:ascii="Arial" w:hAnsi="Arial" w:cs="Arial"/>
          <w:sz w:val="20"/>
          <w:szCs w:val="20"/>
        </w:rPr>
        <w:t>kodo.</w:t>
      </w:r>
    </w:p>
    <w:p w14:paraId="6FAAEA74" w14:textId="77777777" w:rsidR="00D847F2" w:rsidRDefault="00D847F2" w:rsidP="00D847F2">
      <w:pPr>
        <w:pStyle w:val="Brezrazmikov"/>
        <w:spacing w:line="276" w:lineRule="auto"/>
        <w:jc w:val="both"/>
        <w:rPr>
          <w:rStyle w:val="Krepko"/>
          <w:rFonts w:ascii="Arial" w:hAnsi="Arial" w:cs="Arial"/>
          <w:bCs w:val="0"/>
          <w:sz w:val="20"/>
          <w:szCs w:val="20"/>
        </w:rPr>
      </w:pPr>
    </w:p>
    <w:p w14:paraId="0AF14EB1" w14:textId="6B15DFAD" w:rsidR="00D847F2" w:rsidRPr="00946222" w:rsidRDefault="00D847F2" w:rsidP="00D847F2">
      <w:pPr>
        <w:pStyle w:val="Brezrazmikov"/>
        <w:spacing w:line="276" w:lineRule="auto"/>
        <w:jc w:val="both"/>
        <w:rPr>
          <w:rStyle w:val="Krepko"/>
          <w:rFonts w:ascii="Arial" w:hAnsi="Arial" w:cs="Arial"/>
          <w:bCs w:val="0"/>
          <w:sz w:val="20"/>
          <w:szCs w:val="20"/>
        </w:rPr>
      </w:pPr>
      <w:r w:rsidRPr="00946222">
        <w:rPr>
          <w:rStyle w:val="Krepko"/>
          <w:rFonts w:ascii="Arial" w:hAnsi="Arial" w:cs="Arial"/>
          <w:bCs w:val="0"/>
          <w:sz w:val="20"/>
          <w:szCs w:val="20"/>
        </w:rPr>
        <w:t>Javna objava neplačnikov davka</w:t>
      </w:r>
    </w:p>
    <w:p w14:paraId="66649B2A" w14:textId="373A01CE" w:rsidR="00D847F2" w:rsidRPr="00946222" w:rsidRDefault="00D847F2" w:rsidP="00D847F2">
      <w:pPr>
        <w:pStyle w:val="Brezrazmikov"/>
        <w:spacing w:line="276" w:lineRule="auto"/>
        <w:jc w:val="both"/>
        <w:rPr>
          <w:rFonts w:ascii="Arial" w:hAnsi="Arial" w:cs="Arial"/>
          <w:sz w:val="20"/>
          <w:szCs w:val="20"/>
        </w:rPr>
      </w:pPr>
      <w:r w:rsidRPr="00946222">
        <w:rPr>
          <w:rFonts w:ascii="Arial" w:hAnsi="Arial" w:cs="Arial"/>
          <w:sz w:val="20"/>
          <w:szCs w:val="20"/>
        </w:rPr>
        <w:t>F</w:t>
      </w:r>
      <w:r>
        <w:rPr>
          <w:rFonts w:ascii="Arial" w:hAnsi="Arial" w:cs="Arial"/>
          <w:sz w:val="20"/>
          <w:szCs w:val="20"/>
        </w:rPr>
        <w:t xml:space="preserve">URS </w:t>
      </w:r>
      <w:r w:rsidRPr="00946222">
        <w:rPr>
          <w:rFonts w:ascii="Arial" w:hAnsi="Arial" w:cs="Arial"/>
          <w:sz w:val="20"/>
          <w:szCs w:val="20"/>
        </w:rPr>
        <w:t>mesečno javno objavlja seznam davčnih zavezancev z zapadlimi neplačanimi davčnimi obveznostmi, ki na 25. dan v mesecu pred mesecem objave presegajo 5.000</w:t>
      </w:r>
      <w:r w:rsidR="002717DD" w:rsidRPr="00946222">
        <w:rPr>
          <w:rFonts w:ascii="Arial" w:hAnsi="Arial" w:cs="Arial"/>
          <w:sz w:val="20"/>
          <w:szCs w:val="20"/>
        </w:rPr>
        <w:t> EUR</w:t>
      </w:r>
      <w:r>
        <w:rPr>
          <w:rFonts w:ascii="Arial" w:hAnsi="Arial" w:cs="Arial"/>
          <w:sz w:val="20"/>
          <w:szCs w:val="20"/>
        </w:rPr>
        <w:t xml:space="preserve"> </w:t>
      </w:r>
      <w:r w:rsidRPr="00946222">
        <w:rPr>
          <w:rFonts w:ascii="Arial" w:hAnsi="Arial" w:cs="Arial"/>
          <w:sz w:val="20"/>
          <w:szCs w:val="20"/>
        </w:rPr>
        <w:t xml:space="preserve">in so starejše od 90 dni. Od prve objave enotnega seznama neplačnikov davkov v avgustu 2014 do objave v januarju 2023 (po stanju na dan 25. </w:t>
      </w:r>
      <w:r w:rsidR="000E7DDB">
        <w:rPr>
          <w:rFonts w:ascii="Arial" w:hAnsi="Arial" w:cs="Arial"/>
          <w:sz w:val="20"/>
          <w:szCs w:val="20"/>
        </w:rPr>
        <w:t>december</w:t>
      </w:r>
      <w:r w:rsidRPr="00946222">
        <w:rPr>
          <w:rFonts w:ascii="Arial" w:hAnsi="Arial" w:cs="Arial"/>
          <w:sz w:val="20"/>
          <w:szCs w:val="20"/>
        </w:rPr>
        <w:t xml:space="preserve"> 2022) se je število dolžnikov zmanjšalo za 5.040 oseb oz</w:t>
      </w:r>
      <w:r w:rsidR="0024486B">
        <w:rPr>
          <w:rFonts w:ascii="Arial" w:hAnsi="Arial" w:cs="Arial"/>
          <w:sz w:val="20"/>
          <w:szCs w:val="20"/>
        </w:rPr>
        <w:t>iroma</w:t>
      </w:r>
      <w:r w:rsidRPr="00946222">
        <w:rPr>
          <w:rFonts w:ascii="Arial" w:hAnsi="Arial" w:cs="Arial"/>
          <w:sz w:val="20"/>
          <w:szCs w:val="20"/>
        </w:rPr>
        <w:t xml:space="preserve"> za 28,9 </w:t>
      </w:r>
      <w:r>
        <w:rPr>
          <w:rFonts w:ascii="Arial" w:hAnsi="Arial" w:cs="Arial"/>
          <w:sz w:val="20"/>
          <w:szCs w:val="20"/>
        </w:rPr>
        <w:t>odstotka,</w:t>
      </w:r>
      <w:r w:rsidR="00992912">
        <w:rPr>
          <w:rFonts w:ascii="Arial" w:hAnsi="Arial" w:cs="Arial"/>
          <w:sz w:val="20"/>
          <w:szCs w:val="20"/>
        </w:rPr>
        <w:t xml:space="preserve"> </w:t>
      </w:r>
      <w:r w:rsidRPr="00946222">
        <w:rPr>
          <w:rFonts w:ascii="Arial" w:hAnsi="Arial" w:cs="Arial"/>
          <w:sz w:val="20"/>
          <w:szCs w:val="20"/>
        </w:rPr>
        <w:t>skupni davčni dolg objavljenih dolžnikov pa se je zmanjšal za 285.329.669</w:t>
      </w:r>
      <w:r w:rsidR="002717DD" w:rsidRPr="00946222">
        <w:rPr>
          <w:rFonts w:ascii="Arial" w:hAnsi="Arial" w:cs="Arial"/>
          <w:sz w:val="20"/>
          <w:szCs w:val="20"/>
        </w:rPr>
        <w:t> EUR</w:t>
      </w:r>
      <w:r>
        <w:rPr>
          <w:rFonts w:ascii="Arial" w:hAnsi="Arial" w:cs="Arial"/>
          <w:sz w:val="20"/>
          <w:szCs w:val="20"/>
        </w:rPr>
        <w:t xml:space="preserve"> </w:t>
      </w:r>
      <w:r w:rsidRPr="00946222">
        <w:rPr>
          <w:rFonts w:ascii="Arial" w:hAnsi="Arial" w:cs="Arial"/>
          <w:sz w:val="20"/>
          <w:szCs w:val="20"/>
        </w:rPr>
        <w:t>oz</w:t>
      </w:r>
      <w:r w:rsidR="0024486B">
        <w:rPr>
          <w:rFonts w:ascii="Arial" w:hAnsi="Arial" w:cs="Arial"/>
          <w:sz w:val="20"/>
          <w:szCs w:val="20"/>
        </w:rPr>
        <w:t>iroma</w:t>
      </w:r>
      <w:r w:rsidRPr="00946222">
        <w:rPr>
          <w:rFonts w:ascii="Arial" w:hAnsi="Arial" w:cs="Arial"/>
          <w:sz w:val="20"/>
          <w:szCs w:val="20"/>
        </w:rPr>
        <w:t xml:space="preserve"> za 29,3 </w:t>
      </w:r>
      <w:r>
        <w:rPr>
          <w:rFonts w:ascii="Arial" w:hAnsi="Arial" w:cs="Arial"/>
          <w:sz w:val="20"/>
          <w:szCs w:val="20"/>
        </w:rPr>
        <w:t>odstotka</w:t>
      </w:r>
      <w:r w:rsidR="00992912">
        <w:rPr>
          <w:rFonts w:ascii="Arial" w:hAnsi="Arial" w:cs="Arial"/>
          <w:sz w:val="20"/>
          <w:szCs w:val="20"/>
        </w:rPr>
        <w:t xml:space="preserve"> </w:t>
      </w:r>
      <w:r w:rsidRPr="00946222">
        <w:rPr>
          <w:rFonts w:ascii="Arial" w:hAnsi="Arial" w:cs="Arial"/>
          <w:sz w:val="20"/>
          <w:szCs w:val="20"/>
        </w:rPr>
        <w:t>ob tem, da je v letu 2022 glede na leto 2014 zabeležena 54,6</w:t>
      </w:r>
      <w:r>
        <w:rPr>
          <w:rFonts w:ascii="Arial" w:hAnsi="Arial" w:cs="Arial"/>
          <w:sz w:val="20"/>
          <w:szCs w:val="20"/>
        </w:rPr>
        <w:t xml:space="preserve">-odstotna </w:t>
      </w:r>
      <w:r w:rsidRPr="00946222">
        <w:rPr>
          <w:rFonts w:ascii="Arial" w:hAnsi="Arial" w:cs="Arial"/>
          <w:sz w:val="20"/>
          <w:szCs w:val="20"/>
        </w:rPr>
        <w:t>rast prihodkov.</w:t>
      </w:r>
    </w:p>
    <w:p w14:paraId="3CA1834F" w14:textId="77777777" w:rsidR="00D847F2" w:rsidRDefault="00D847F2" w:rsidP="00D847F2">
      <w:pPr>
        <w:pStyle w:val="Brezrazmikov"/>
        <w:spacing w:line="276" w:lineRule="auto"/>
        <w:jc w:val="both"/>
        <w:rPr>
          <w:rFonts w:ascii="Arial" w:hAnsi="Arial" w:cs="Arial"/>
          <w:b/>
          <w:bCs/>
          <w:sz w:val="20"/>
          <w:szCs w:val="20"/>
          <w:lang w:eastAsia="sl-SI"/>
        </w:rPr>
      </w:pPr>
    </w:p>
    <w:p w14:paraId="1B373A81" w14:textId="36A8B16F" w:rsidR="00D847F2" w:rsidRPr="008012FD" w:rsidRDefault="00D847F2" w:rsidP="00D847F2">
      <w:pPr>
        <w:pStyle w:val="Brezrazmikov"/>
        <w:spacing w:line="276" w:lineRule="auto"/>
        <w:jc w:val="both"/>
        <w:rPr>
          <w:rFonts w:ascii="Arial" w:hAnsi="Arial" w:cs="Arial"/>
          <w:sz w:val="20"/>
          <w:szCs w:val="20"/>
          <w:lang w:eastAsia="sl-SI"/>
        </w:rPr>
      </w:pPr>
      <w:r w:rsidRPr="008012FD">
        <w:rPr>
          <w:rFonts w:ascii="Arial" w:hAnsi="Arial" w:cs="Arial"/>
          <w:b/>
          <w:bCs/>
          <w:sz w:val="20"/>
          <w:szCs w:val="20"/>
          <w:lang w:eastAsia="sl-SI"/>
        </w:rPr>
        <w:t>Enostaven dostop zavezanca do stanja dolga in potrdila o poravnanih obveznostih</w:t>
      </w:r>
      <w:r w:rsidRPr="008012FD">
        <w:rPr>
          <w:rFonts w:ascii="Arial" w:hAnsi="Arial" w:cs="Arial"/>
          <w:sz w:val="20"/>
          <w:szCs w:val="20"/>
          <w:lang w:eastAsia="sl-SI"/>
        </w:rPr>
        <w:t xml:space="preserve"> </w:t>
      </w:r>
    </w:p>
    <w:p w14:paraId="30CC214F" w14:textId="5C3CE839" w:rsidR="00D847F2" w:rsidRPr="008012FD" w:rsidRDefault="00D847F2" w:rsidP="00D847F2">
      <w:pPr>
        <w:pStyle w:val="Brezrazmikov"/>
        <w:spacing w:line="276" w:lineRule="auto"/>
        <w:jc w:val="both"/>
        <w:rPr>
          <w:rFonts w:ascii="Arial" w:hAnsi="Arial" w:cs="Arial"/>
          <w:sz w:val="20"/>
          <w:szCs w:val="20"/>
          <w:lang w:eastAsia="sl-SI"/>
        </w:rPr>
      </w:pPr>
      <w:r w:rsidRPr="008012FD">
        <w:rPr>
          <w:rFonts w:ascii="Arial" w:hAnsi="Arial" w:cs="Arial"/>
          <w:sz w:val="20"/>
          <w:szCs w:val="20"/>
          <w:lang w:eastAsia="sl-SI"/>
        </w:rPr>
        <w:t>Zavezanci lahko prek spletnega portala F</w:t>
      </w:r>
      <w:r>
        <w:rPr>
          <w:rFonts w:ascii="Arial" w:hAnsi="Arial" w:cs="Arial"/>
          <w:sz w:val="20"/>
          <w:szCs w:val="20"/>
          <w:lang w:eastAsia="sl-SI"/>
        </w:rPr>
        <w:t xml:space="preserve">URS </w:t>
      </w:r>
      <w:r w:rsidRPr="008012FD">
        <w:rPr>
          <w:rFonts w:ascii="Arial" w:hAnsi="Arial" w:cs="Arial"/>
          <w:sz w:val="20"/>
          <w:szCs w:val="20"/>
          <w:lang w:eastAsia="sl-SI"/>
        </w:rPr>
        <w:t>v okviru spletne storitve »</w:t>
      </w:r>
      <w:proofErr w:type="spellStart"/>
      <w:r w:rsidRPr="008012FD">
        <w:rPr>
          <w:rFonts w:ascii="Arial" w:hAnsi="Arial" w:cs="Arial"/>
          <w:sz w:val="20"/>
          <w:szCs w:val="20"/>
          <w:lang w:eastAsia="sl-SI"/>
        </w:rPr>
        <w:t>eKartica</w:t>
      </w:r>
      <w:proofErr w:type="spellEnd"/>
      <w:r w:rsidRPr="008012FD">
        <w:rPr>
          <w:rFonts w:ascii="Arial" w:hAnsi="Arial" w:cs="Arial"/>
          <w:sz w:val="20"/>
          <w:szCs w:val="20"/>
          <w:lang w:eastAsia="sl-SI"/>
        </w:rPr>
        <w:t xml:space="preserve">« ali prek mobilne aplikacije </w:t>
      </w:r>
      <w:proofErr w:type="spellStart"/>
      <w:r w:rsidRPr="008012FD">
        <w:rPr>
          <w:rFonts w:ascii="Arial" w:hAnsi="Arial" w:cs="Arial"/>
          <w:sz w:val="20"/>
          <w:szCs w:val="20"/>
          <w:lang w:eastAsia="sl-SI"/>
        </w:rPr>
        <w:t>eDavki</w:t>
      </w:r>
      <w:proofErr w:type="spellEnd"/>
      <w:r w:rsidRPr="008012FD">
        <w:rPr>
          <w:rFonts w:ascii="Arial" w:hAnsi="Arial" w:cs="Arial"/>
          <w:sz w:val="20"/>
          <w:szCs w:val="20"/>
          <w:lang w:eastAsia="sl-SI"/>
        </w:rPr>
        <w:t xml:space="preserve"> na zavihku »Knjigovodsko stanje« redno preverjajo stanje in zapadlost terjatev in obveznosti na svoji knjigovodski kartici. V letu 2022 je bilo prek ene ali druge spletne storitve opravljenih 5.164.603 vpogledov v </w:t>
      </w:r>
      <w:proofErr w:type="spellStart"/>
      <w:r w:rsidRPr="008012FD">
        <w:rPr>
          <w:rFonts w:ascii="Arial" w:hAnsi="Arial" w:cs="Arial"/>
          <w:sz w:val="20"/>
          <w:szCs w:val="20"/>
          <w:lang w:eastAsia="sl-SI"/>
        </w:rPr>
        <w:t>eKartico</w:t>
      </w:r>
      <w:proofErr w:type="spellEnd"/>
      <w:r w:rsidRPr="008012FD">
        <w:rPr>
          <w:rFonts w:ascii="Arial" w:hAnsi="Arial" w:cs="Arial"/>
          <w:sz w:val="20"/>
          <w:szCs w:val="20"/>
          <w:lang w:eastAsia="sl-SI"/>
        </w:rPr>
        <w:t>.</w:t>
      </w:r>
    </w:p>
    <w:p w14:paraId="2226A141" w14:textId="77777777" w:rsidR="00D847F2" w:rsidRPr="008012FD" w:rsidRDefault="00D847F2" w:rsidP="00D847F2">
      <w:pPr>
        <w:pStyle w:val="Brezrazmikov"/>
        <w:spacing w:line="276" w:lineRule="auto"/>
        <w:jc w:val="both"/>
        <w:rPr>
          <w:rFonts w:ascii="Arial" w:hAnsi="Arial" w:cs="Arial"/>
          <w:sz w:val="20"/>
          <w:szCs w:val="20"/>
          <w:lang w:eastAsia="sl-SI"/>
        </w:rPr>
      </w:pPr>
    </w:p>
    <w:p w14:paraId="3F04EE04" w14:textId="4145EE6D" w:rsidR="00D847F2" w:rsidRPr="00946222" w:rsidRDefault="00325949" w:rsidP="00D847F2">
      <w:pPr>
        <w:jc w:val="both"/>
        <w:rPr>
          <w:rFonts w:ascii="Arial" w:eastAsia="Times New Roman" w:hAnsi="Arial" w:cs="Arial"/>
          <w:color w:val="FF0000"/>
          <w:sz w:val="20"/>
          <w:szCs w:val="20"/>
          <w:lang w:eastAsia="sl-SI"/>
        </w:rPr>
      </w:pPr>
      <w:r>
        <w:rPr>
          <w:rFonts w:ascii="Arial" w:eastAsia="Times New Roman" w:hAnsi="Arial" w:cs="Arial"/>
          <w:sz w:val="20"/>
          <w:szCs w:val="20"/>
          <w:lang w:eastAsia="sl-SI"/>
        </w:rPr>
        <w:t>S</w:t>
      </w:r>
      <w:r w:rsidRPr="00946222">
        <w:rPr>
          <w:rFonts w:ascii="Arial" w:eastAsia="Times New Roman" w:hAnsi="Arial" w:cs="Arial"/>
          <w:sz w:val="20"/>
          <w:szCs w:val="20"/>
          <w:lang w:eastAsia="sl-SI"/>
        </w:rPr>
        <w:t>eptembr</w:t>
      </w:r>
      <w:r>
        <w:rPr>
          <w:rFonts w:ascii="Arial" w:eastAsia="Times New Roman" w:hAnsi="Arial" w:cs="Arial"/>
          <w:sz w:val="20"/>
          <w:szCs w:val="20"/>
          <w:lang w:eastAsia="sl-SI"/>
        </w:rPr>
        <w:t>a</w:t>
      </w:r>
      <w:r w:rsidRPr="00946222">
        <w:rPr>
          <w:rFonts w:ascii="Arial" w:eastAsia="Times New Roman" w:hAnsi="Arial" w:cs="Arial"/>
          <w:sz w:val="20"/>
          <w:szCs w:val="20"/>
          <w:lang w:eastAsia="sl-SI"/>
        </w:rPr>
        <w:t xml:space="preserve"> 2022 </w:t>
      </w:r>
      <w:r w:rsidR="00D847F2" w:rsidRPr="00946222">
        <w:rPr>
          <w:rFonts w:ascii="Arial" w:eastAsia="Times New Roman" w:hAnsi="Arial" w:cs="Arial"/>
          <w:sz w:val="20"/>
          <w:szCs w:val="20"/>
          <w:lang w:eastAsia="sl-SI"/>
        </w:rPr>
        <w:t xml:space="preserve">je bila </w:t>
      </w:r>
      <w:proofErr w:type="spellStart"/>
      <w:r w:rsidRPr="00946222">
        <w:rPr>
          <w:rFonts w:ascii="Arial" w:eastAsia="Times New Roman" w:hAnsi="Arial" w:cs="Arial"/>
          <w:sz w:val="20"/>
          <w:szCs w:val="20"/>
          <w:lang w:eastAsia="sl-SI"/>
        </w:rPr>
        <w:t>eKartica</w:t>
      </w:r>
      <w:proofErr w:type="spellEnd"/>
      <w:r w:rsidRPr="00946222">
        <w:rPr>
          <w:rFonts w:ascii="Arial" w:eastAsia="Times New Roman" w:hAnsi="Arial" w:cs="Arial"/>
          <w:sz w:val="20"/>
          <w:szCs w:val="20"/>
          <w:lang w:eastAsia="sl-SI"/>
        </w:rPr>
        <w:t xml:space="preserve"> </w:t>
      </w:r>
      <w:r w:rsidR="00D847F2" w:rsidRPr="00946222">
        <w:rPr>
          <w:rFonts w:ascii="Arial" w:eastAsia="Times New Roman" w:hAnsi="Arial" w:cs="Arial"/>
          <w:sz w:val="20"/>
          <w:szCs w:val="20"/>
          <w:lang w:eastAsia="sl-SI"/>
        </w:rPr>
        <w:t xml:space="preserve">prenovljena. S prenovo je bil dosežen takojšen prikaz knjigovodskih podatkov tekočega leta, omogočen pa tudi vpogled v podatke predpreteklega leta. Dodan je bil še prikaz stanja posamezne postavke, omogočeno filtriranje po podatkih o izvedenih pobotih in izravnavah </w:t>
      </w:r>
      <w:r>
        <w:rPr>
          <w:rFonts w:ascii="Arial" w:eastAsia="Times New Roman" w:hAnsi="Arial" w:cs="Arial"/>
          <w:sz w:val="20"/>
          <w:szCs w:val="20"/>
          <w:lang w:eastAsia="sl-SI"/>
        </w:rPr>
        <w:t xml:space="preserve">ter </w:t>
      </w:r>
      <w:r w:rsidR="00D847F2" w:rsidRPr="00946222">
        <w:rPr>
          <w:rFonts w:ascii="Arial" w:eastAsia="Times New Roman" w:hAnsi="Arial" w:cs="Arial"/>
          <w:sz w:val="20"/>
          <w:szCs w:val="20"/>
          <w:lang w:eastAsia="sl-SI"/>
        </w:rPr>
        <w:t xml:space="preserve">dodani so bili </w:t>
      </w:r>
      <w:r>
        <w:rPr>
          <w:rFonts w:ascii="Arial" w:eastAsia="Times New Roman" w:hAnsi="Arial" w:cs="Arial"/>
          <w:sz w:val="20"/>
          <w:szCs w:val="20"/>
          <w:lang w:eastAsia="sl-SI"/>
        </w:rPr>
        <w:t>še</w:t>
      </w:r>
      <w:r w:rsidRPr="00946222">
        <w:rPr>
          <w:rFonts w:ascii="Arial" w:eastAsia="Times New Roman" w:hAnsi="Arial" w:cs="Arial"/>
          <w:sz w:val="20"/>
          <w:szCs w:val="20"/>
          <w:lang w:eastAsia="sl-SI"/>
        </w:rPr>
        <w:t xml:space="preserve"> </w:t>
      </w:r>
      <w:r w:rsidR="00D847F2" w:rsidRPr="00946222">
        <w:rPr>
          <w:rFonts w:ascii="Arial" w:eastAsia="Times New Roman" w:hAnsi="Arial" w:cs="Arial"/>
          <w:sz w:val="20"/>
          <w:szCs w:val="20"/>
          <w:lang w:eastAsia="sl-SI"/>
        </w:rPr>
        <w:t>podatki o davčnem obdobju, končnem prejemniku in datumu vnosa.</w:t>
      </w:r>
    </w:p>
    <w:p w14:paraId="3B2BDA28" w14:textId="3E1896CC" w:rsidR="00D847F2" w:rsidRPr="00946222" w:rsidRDefault="00D847F2" w:rsidP="00D847F2">
      <w:pPr>
        <w:jc w:val="both"/>
        <w:rPr>
          <w:rFonts w:ascii="Arial" w:eastAsia="Times New Roman" w:hAnsi="Arial" w:cs="Arial"/>
          <w:sz w:val="20"/>
          <w:szCs w:val="20"/>
          <w:lang w:eastAsia="sl-SI"/>
        </w:rPr>
      </w:pPr>
      <w:r w:rsidRPr="00946222">
        <w:rPr>
          <w:rFonts w:ascii="Arial" w:eastAsia="Times New Roman" w:hAnsi="Arial" w:cs="Arial"/>
          <w:sz w:val="20"/>
          <w:szCs w:val="20"/>
          <w:lang w:eastAsia="sl-SI"/>
        </w:rPr>
        <w:t xml:space="preserve">Ena od storitev v zvezi z vpogledom v evidence je razkritje podatkov fizičnim osebam o tem, ali in kako delodajalec zanje plačuje obvezne prispevke za socialno varnost iz delovnega razmerja. Zavezanci so prek portala e-Davki v letu 2022 opravili 32.813 </w:t>
      </w:r>
      <w:r w:rsidR="00325949">
        <w:rPr>
          <w:rFonts w:ascii="Arial" w:eastAsia="Times New Roman" w:hAnsi="Arial" w:cs="Arial"/>
          <w:sz w:val="20"/>
          <w:szCs w:val="20"/>
          <w:lang w:eastAsia="sl-SI"/>
        </w:rPr>
        <w:t>takšnih</w:t>
      </w:r>
      <w:r w:rsidR="00325949" w:rsidRPr="00946222">
        <w:rPr>
          <w:rFonts w:ascii="Arial" w:eastAsia="Times New Roman" w:hAnsi="Arial" w:cs="Arial"/>
          <w:sz w:val="20"/>
          <w:szCs w:val="20"/>
          <w:lang w:eastAsia="sl-SI"/>
        </w:rPr>
        <w:t xml:space="preserve"> </w:t>
      </w:r>
      <w:r w:rsidRPr="00946222">
        <w:rPr>
          <w:rFonts w:ascii="Arial" w:eastAsia="Times New Roman" w:hAnsi="Arial" w:cs="Arial"/>
          <w:sz w:val="20"/>
          <w:szCs w:val="20"/>
          <w:lang w:eastAsia="sl-SI"/>
        </w:rPr>
        <w:t>vpogledov, kar je za 11,5</w:t>
      </w:r>
      <w:r>
        <w:rPr>
          <w:rFonts w:ascii="Arial" w:eastAsia="Times New Roman" w:hAnsi="Arial" w:cs="Arial"/>
          <w:sz w:val="20"/>
          <w:szCs w:val="20"/>
          <w:lang w:eastAsia="sl-SI"/>
        </w:rPr>
        <w:t xml:space="preserve"> odstotka</w:t>
      </w:r>
      <w:r w:rsidRPr="00946222">
        <w:rPr>
          <w:rFonts w:ascii="Arial" w:eastAsia="Times New Roman" w:hAnsi="Arial" w:cs="Arial"/>
          <w:sz w:val="20"/>
          <w:szCs w:val="20"/>
          <w:lang w:eastAsia="sl-SI"/>
        </w:rPr>
        <w:t xml:space="preserve"> manj kakor v letu 2021.</w:t>
      </w:r>
    </w:p>
    <w:p w14:paraId="1C5D0E0B" w14:textId="698409B7" w:rsidR="00D847F2" w:rsidRPr="00946222" w:rsidRDefault="00D847F2" w:rsidP="00D847F2">
      <w:pPr>
        <w:jc w:val="both"/>
        <w:rPr>
          <w:rFonts w:ascii="Arial" w:hAnsi="Arial" w:cs="Arial"/>
          <w:sz w:val="20"/>
          <w:szCs w:val="20"/>
          <w:lang w:eastAsia="sl-SI"/>
        </w:rPr>
      </w:pPr>
      <w:r w:rsidRPr="00946222">
        <w:rPr>
          <w:rFonts w:ascii="Arial" w:hAnsi="Arial" w:cs="Arial"/>
          <w:sz w:val="20"/>
          <w:szCs w:val="20"/>
          <w:lang w:eastAsia="sl-SI"/>
        </w:rPr>
        <w:t>V letu 2022 je F</w:t>
      </w:r>
      <w:r>
        <w:rPr>
          <w:rFonts w:ascii="Arial" w:hAnsi="Arial" w:cs="Arial"/>
          <w:sz w:val="20"/>
          <w:szCs w:val="20"/>
          <w:lang w:eastAsia="sl-SI"/>
        </w:rPr>
        <w:t xml:space="preserve">URS </w:t>
      </w:r>
      <w:r w:rsidRPr="00946222">
        <w:rPr>
          <w:rFonts w:ascii="Arial" w:hAnsi="Arial" w:cs="Arial"/>
          <w:sz w:val="20"/>
          <w:szCs w:val="20"/>
          <w:lang w:eastAsia="sl-SI"/>
        </w:rPr>
        <w:t xml:space="preserve">zavezancem iz knjigovodske evidence izdal 83.734 različnih dokumentov v postopkih preverjanja poravnanih obveznosti, kar je sicer 27,5 </w:t>
      </w:r>
      <w:r>
        <w:rPr>
          <w:rFonts w:ascii="Arial" w:hAnsi="Arial" w:cs="Arial"/>
          <w:sz w:val="20"/>
          <w:szCs w:val="20"/>
          <w:lang w:eastAsia="sl-SI"/>
        </w:rPr>
        <w:t xml:space="preserve">odstotka </w:t>
      </w:r>
      <w:r w:rsidRPr="00946222">
        <w:rPr>
          <w:rFonts w:ascii="Arial" w:hAnsi="Arial" w:cs="Arial"/>
          <w:sz w:val="20"/>
          <w:szCs w:val="20"/>
          <w:lang w:eastAsia="sl-SI"/>
        </w:rPr>
        <w:t xml:space="preserve">manj kakor v letu 2021, ko je bilo izdanih 115.553 dokumentov. Upad izdaje dokumentov je posledica </w:t>
      </w:r>
      <w:r>
        <w:rPr>
          <w:rFonts w:ascii="Arial" w:hAnsi="Arial" w:cs="Arial"/>
          <w:sz w:val="20"/>
          <w:szCs w:val="20"/>
          <w:lang w:eastAsia="sl-SI"/>
        </w:rPr>
        <w:t>manjšega obsega</w:t>
      </w:r>
      <w:r w:rsidRPr="00946222">
        <w:rPr>
          <w:rFonts w:ascii="Arial" w:hAnsi="Arial" w:cs="Arial"/>
          <w:sz w:val="20"/>
          <w:szCs w:val="20"/>
          <w:lang w:eastAsia="sl-SI"/>
        </w:rPr>
        <w:t xml:space="preserve"> preverjanja poravnanih davčnih obveznosti davčnih zavezancev zaradi prenehanja izvajanja nekaterih ukrepov Finančne uprave RS in ZRSZ</w:t>
      </w:r>
      <w:r w:rsidR="00325949">
        <w:rPr>
          <w:rFonts w:ascii="Arial" w:hAnsi="Arial" w:cs="Arial"/>
          <w:sz w:val="20"/>
          <w:szCs w:val="20"/>
          <w:lang w:eastAsia="sl-SI"/>
        </w:rPr>
        <w:t>,</w:t>
      </w:r>
      <w:r w:rsidRPr="00946222">
        <w:rPr>
          <w:rFonts w:ascii="Arial" w:hAnsi="Arial" w:cs="Arial"/>
          <w:sz w:val="20"/>
          <w:szCs w:val="20"/>
          <w:lang w:eastAsia="sl-SI"/>
        </w:rPr>
        <w:t xml:space="preserve"> povezanih z epidemijo covid</w:t>
      </w:r>
      <w:r>
        <w:rPr>
          <w:rFonts w:ascii="Arial" w:hAnsi="Arial" w:cs="Arial"/>
          <w:sz w:val="20"/>
          <w:szCs w:val="20"/>
          <w:lang w:eastAsia="sl-SI"/>
        </w:rPr>
        <w:t>a-</w:t>
      </w:r>
      <w:r w:rsidRPr="00946222">
        <w:rPr>
          <w:rFonts w:ascii="Arial" w:hAnsi="Arial" w:cs="Arial"/>
          <w:sz w:val="20"/>
          <w:szCs w:val="20"/>
          <w:lang w:eastAsia="sl-SI"/>
        </w:rPr>
        <w:t xml:space="preserve">19. Delež izdanih dokumentov zavezancem prek portala </w:t>
      </w:r>
      <w:proofErr w:type="spellStart"/>
      <w:r w:rsidRPr="00946222">
        <w:rPr>
          <w:rFonts w:ascii="Arial" w:hAnsi="Arial" w:cs="Arial"/>
          <w:sz w:val="20"/>
          <w:szCs w:val="20"/>
          <w:lang w:eastAsia="sl-SI"/>
        </w:rPr>
        <w:t>eDavki</w:t>
      </w:r>
      <w:proofErr w:type="spellEnd"/>
      <w:r w:rsidRPr="00946222">
        <w:rPr>
          <w:rFonts w:ascii="Arial" w:hAnsi="Arial" w:cs="Arial"/>
          <w:sz w:val="20"/>
          <w:szCs w:val="20"/>
          <w:lang w:eastAsia="sl-SI"/>
        </w:rPr>
        <w:t xml:space="preserve"> v letu 2022 znaša 80,9 </w:t>
      </w:r>
      <w:r>
        <w:rPr>
          <w:rFonts w:ascii="Arial" w:hAnsi="Arial" w:cs="Arial"/>
          <w:sz w:val="20"/>
          <w:szCs w:val="20"/>
          <w:lang w:eastAsia="sl-SI"/>
        </w:rPr>
        <w:t xml:space="preserve">odstotka </w:t>
      </w:r>
      <w:r w:rsidRPr="00946222">
        <w:rPr>
          <w:rFonts w:ascii="Arial" w:hAnsi="Arial" w:cs="Arial"/>
          <w:sz w:val="20"/>
          <w:szCs w:val="20"/>
          <w:lang w:eastAsia="sl-SI"/>
        </w:rPr>
        <w:t xml:space="preserve">vseh izdanih dokumentov v postopku preverjanja poravnanih obveznosti. </w:t>
      </w:r>
      <w:r w:rsidR="00325949">
        <w:rPr>
          <w:rFonts w:ascii="Arial" w:hAnsi="Arial" w:cs="Arial"/>
          <w:sz w:val="20"/>
          <w:szCs w:val="20"/>
          <w:lang w:eastAsia="sl-SI"/>
        </w:rPr>
        <w:t xml:space="preserve">Ob </w:t>
      </w:r>
      <w:r w:rsidRPr="00946222">
        <w:rPr>
          <w:rFonts w:ascii="Arial" w:hAnsi="Arial" w:cs="Arial"/>
          <w:sz w:val="20"/>
          <w:szCs w:val="20"/>
          <w:lang w:eastAsia="sl-SI"/>
        </w:rPr>
        <w:t>vložitv</w:t>
      </w:r>
      <w:r w:rsidR="00325949">
        <w:rPr>
          <w:rFonts w:ascii="Arial" w:hAnsi="Arial" w:cs="Arial"/>
          <w:sz w:val="20"/>
          <w:szCs w:val="20"/>
          <w:lang w:eastAsia="sl-SI"/>
        </w:rPr>
        <w:t>i</w:t>
      </w:r>
      <w:r w:rsidRPr="00946222">
        <w:rPr>
          <w:rFonts w:ascii="Arial" w:hAnsi="Arial" w:cs="Arial"/>
          <w:sz w:val="20"/>
          <w:szCs w:val="20"/>
          <w:lang w:eastAsia="sl-SI"/>
        </w:rPr>
        <w:t xml:space="preserve"> vloge prek </w:t>
      </w:r>
      <w:proofErr w:type="spellStart"/>
      <w:r w:rsidRPr="00946222">
        <w:rPr>
          <w:rFonts w:ascii="Arial" w:hAnsi="Arial" w:cs="Arial"/>
          <w:sz w:val="20"/>
          <w:szCs w:val="20"/>
          <w:lang w:eastAsia="sl-SI"/>
        </w:rPr>
        <w:t>eDavkov</w:t>
      </w:r>
      <w:proofErr w:type="spellEnd"/>
      <w:r w:rsidRPr="00946222">
        <w:rPr>
          <w:rFonts w:ascii="Arial" w:hAnsi="Arial" w:cs="Arial"/>
          <w:sz w:val="20"/>
          <w:szCs w:val="20"/>
          <w:lang w:eastAsia="sl-SI"/>
        </w:rPr>
        <w:t xml:space="preserve"> je potrdilo ali obvestilo o dolgu praviloma izdano isti delovni dan. </w:t>
      </w:r>
      <w:r w:rsidR="00325949">
        <w:rPr>
          <w:rFonts w:ascii="Arial" w:hAnsi="Arial" w:cs="Arial"/>
          <w:sz w:val="20"/>
          <w:szCs w:val="20"/>
          <w:lang w:eastAsia="sl-SI"/>
        </w:rPr>
        <w:t xml:space="preserve"> </w:t>
      </w:r>
    </w:p>
    <w:p w14:paraId="38F089D9" w14:textId="09759BF5" w:rsidR="00D847F2" w:rsidRPr="00946222" w:rsidRDefault="00D847F2" w:rsidP="00D847F2">
      <w:pPr>
        <w:jc w:val="both"/>
        <w:rPr>
          <w:rFonts w:ascii="Arial" w:hAnsi="Arial" w:cs="Arial"/>
          <w:sz w:val="20"/>
          <w:szCs w:val="20"/>
          <w:lang w:eastAsia="sl-SI"/>
        </w:rPr>
      </w:pPr>
      <w:r w:rsidRPr="00946222">
        <w:rPr>
          <w:rFonts w:ascii="Arial" w:hAnsi="Arial" w:cs="Arial"/>
          <w:sz w:val="20"/>
          <w:szCs w:val="20"/>
          <w:lang w:eastAsia="sl-SI"/>
        </w:rPr>
        <w:t>Zaradi prenehanja ukrepov, povezanih z epidemijo covid</w:t>
      </w:r>
      <w:r>
        <w:rPr>
          <w:rFonts w:ascii="Arial" w:hAnsi="Arial" w:cs="Arial"/>
          <w:sz w:val="20"/>
          <w:szCs w:val="20"/>
          <w:lang w:eastAsia="sl-SI"/>
        </w:rPr>
        <w:t>a</w:t>
      </w:r>
      <w:r w:rsidRPr="00946222">
        <w:rPr>
          <w:rFonts w:ascii="Arial" w:hAnsi="Arial" w:cs="Arial"/>
          <w:sz w:val="20"/>
          <w:szCs w:val="20"/>
          <w:lang w:eastAsia="sl-SI"/>
        </w:rPr>
        <w:t xml:space="preserve">–19, je v letu 2022 upadlo tudi število prek </w:t>
      </w:r>
      <w:proofErr w:type="spellStart"/>
      <w:r w:rsidRPr="00946222">
        <w:rPr>
          <w:rFonts w:ascii="Arial" w:hAnsi="Arial" w:cs="Arial"/>
          <w:sz w:val="20"/>
          <w:szCs w:val="20"/>
          <w:lang w:eastAsia="sl-SI"/>
        </w:rPr>
        <w:t>eDavkov</w:t>
      </w:r>
      <w:proofErr w:type="spellEnd"/>
      <w:r w:rsidRPr="00946222">
        <w:rPr>
          <w:rFonts w:ascii="Arial" w:hAnsi="Arial" w:cs="Arial"/>
          <w:sz w:val="20"/>
          <w:szCs w:val="20"/>
          <w:lang w:eastAsia="sl-SI"/>
        </w:rPr>
        <w:t xml:space="preserve"> izdanih obvestil o dolgu. V letu 2021 je bilo teh izdanih obvestil 6.935, v letu 2022</w:t>
      </w:r>
      <w:r w:rsidR="00282F45">
        <w:rPr>
          <w:rFonts w:ascii="Arial" w:hAnsi="Arial" w:cs="Arial"/>
          <w:sz w:val="20"/>
          <w:szCs w:val="20"/>
          <w:lang w:eastAsia="sl-SI"/>
        </w:rPr>
        <w:t xml:space="preserve"> pa</w:t>
      </w:r>
      <w:r w:rsidRPr="00946222">
        <w:rPr>
          <w:rFonts w:ascii="Arial" w:hAnsi="Arial" w:cs="Arial"/>
          <w:sz w:val="20"/>
          <w:szCs w:val="20"/>
          <w:lang w:eastAsia="sl-SI"/>
        </w:rPr>
        <w:t xml:space="preserve"> 5.382. Obvestilo o dolgu zavezancu prikaže dolg na </w:t>
      </w:r>
      <w:r w:rsidR="00282F45">
        <w:rPr>
          <w:rFonts w:ascii="Arial" w:hAnsi="Arial" w:cs="Arial"/>
          <w:sz w:val="20"/>
          <w:szCs w:val="20"/>
          <w:lang w:eastAsia="sl-SI"/>
        </w:rPr>
        <w:t xml:space="preserve">posamezni </w:t>
      </w:r>
      <w:r w:rsidRPr="00946222">
        <w:rPr>
          <w:rFonts w:ascii="Arial" w:hAnsi="Arial" w:cs="Arial"/>
          <w:sz w:val="20"/>
          <w:szCs w:val="20"/>
          <w:lang w:eastAsia="sl-SI"/>
        </w:rPr>
        <w:t>dan skupaj z zamudnimi obrestmi in plačilnimi računi za plačilo dolga.</w:t>
      </w:r>
    </w:p>
    <w:p w14:paraId="0FE4492D" w14:textId="77777777" w:rsidR="00247C3E" w:rsidRDefault="00282F45" w:rsidP="00D847F2">
      <w:pPr>
        <w:jc w:val="both"/>
        <w:rPr>
          <w:rFonts w:ascii="Arial" w:hAnsi="Arial" w:cs="Arial"/>
          <w:sz w:val="20"/>
          <w:szCs w:val="20"/>
          <w:lang w:eastAsia="sl-SI"/>
        </w:rPr>
      </w:pPr>
      <w:r>
        <w:rPr>
          <w:rFonts w:ascii="Arial" w:hAnsi="Arial" w:cs="Arial"/>
          <w:sz w:val="20"/>
          <w:szCs w:val="20"/>
          <w:lang w:eastAsia="sl-SI"/>
        </w:rPr>
        <w:t>N</w:t>
      </w:r>
      <w:r w:rsidRPr="00946222">
        <w:rPr>
          <w:rFonts w:ascii="Arial" w:hAnsi="Arial" w:cs="Arial"/>
          <w:sz w:val="20"/>
          <w:szCs w:val="20"/>
          <w:lang w:eastAsia="sl-SI"/>
        </w:rPr>
        <w:t xml:space="preserve">a </w:t>
      </w:r>
      <w:proofErr w:type="spellStart"/>
      <w:r w:rsidRPr="00946222">
        <w:rPr>
          <w:rFonts w:ascii="Arial" w:hAnsi="Arial" w:cs="Arial"/>
          <w:sz w:val="20"/>
          <w:szCs w:val="20"/>
          <w:lang w:eastAsia="sl-SI"/>
        </w:rPr>
        <w:t>eDavkih</w:t>
      </w:r>
      <w:proofErr w:type="spellEnd"/>
      <w:r w:rsidRPr="00946222">
        <w:rPr>
          <w:rFonts w:ascii="Arial" w:hAnsi="Arial" w:cs="Arial"/>
          <w:sz w:val="20"/>
          <w:szCs w:val="20"/>
          <w:lang w:eastAsia="sl-SI"/>
        </w:rPr>
        <w:t xml:space="preserve"> </w:t>
      </w:r>
      <w:r w:rsidR="00D847F2" w:rsidRPr="00946222">
        <w:rPr>
          <w:rFonts w:ascii="Arial" w:hAnsi="Arial" w:cs="Arial"/>
          <w:sz w:val="20"/>
          <w:szCs w:val="20"/>
          <w:lang w:eastAsia="sl-SI"/>
        </w:rPr>
        <w:t xml:space="preserve">je bila </w:t>
      </w:r>
      <w:r w:rsidRPr="00946222">
        <w:rPr>
          <w:rFonts w:ascii="Arial" w:hAnsi="Arial" w:cs="Arial"/>
          <w:sz w:val="20"/>
          <w:szCs w:val="20"/>
          <w:lang w:eastAsia="sl-SI"/>
        </w:rPr>
        <w:t xml:space="preserve">6. </w:t>
      </w:r>
      <w:r w:rsidR="007D5397">
        <w:rPr>
          <w:rFonts w:ascii="Arial" w:hAnsi="Arial" w:cs="Arial"/>
          <w:sz w:val="20"/>
          <w:szCs w:val="20"/>
          <w:lang w:eastAsia="sl-SI"/>
        </w:rPr>
        <w:t>10.</w:t>
      </w:r>
      <w:r w:rsidRPr="00946222">
        <w:rPr>
          <w:rFonts w:ascii="Arial" w:hAnsi="Arial" w:cs="Arial"/>
          <w:sz w:val="20"/>
          <w:szCs w:val="20"/>
          <w:lang w:eastAsia="sl-SI"/>
        </w:rPr>
        <w:t xml:space="preserve"> 2022 </w:t>
      </w:r>
      <w:r w:rsidR="00D847F2" w:rsidRPr="00946222">
        <w:rPr>
          <w:rFonts w:ascii="Arial" w:hAnsi="Arial" w:cs="Arial"/>
          <w:sz w:val="20"/>
          <w:szCs w:val="20"/>
          <w:lang w:eastAsia="sl-SI"/>
        </w:rPr>
        <w:t>zavezancem dana na razpolago nova funkcionalnost</w:t>
      </w:r>
      <w:r w:rsidR="00291F80">
        <w:rPr>
          <w:rFonts w:ascii="Arial" w:hAnsi="Arial" w:cs="Arial"/>
          <w:sz w:val="20"/>
          <w:szCs w:val="20"/>
          <w:lang w:eastAsia="sl-SI"/>
        </w:rPr>
        <w:t>:</w:t>
      </w:r>
      <w:r w:rsidR="00D847F2" w:rsidRPr="00946222">
        <w:rPr>
          <w:rFonts w:ascii="Arial" w:hAnsi="Arial" w:cs="Arial"/>
          <w:sz w:val="20"/>
          <w:szCs w:val="20"/>
          <w:lang w:eastAsia="sl-SI"/>
        </w:rPr>
        <w:t xml:space="preserve"> pridobitev izpisa odprtih postavk (v nadalj</w:t>
      </w:r>
      <w:r w:rsidR="00D847F2">
        <w:rPr>
          <w:rFonts w:ascii="Arial" w:hAnsi="Arial" w:cs="Arial"/>
          <w:sz w:val="20"/>
          <w:szCs w:val="20"/>
          <w:lang w:eastAsia="sl-SI"/>
        </w:rPr>
        <w:t xml:space="preserve">njem besedilu: </w:t>
      </w:r>
      <w:r w:rsidR="00D847F2" w:rsidRPr="00946222">
        <w:rPr>
          <w:rFonts w:ascii="Arial" w:hAnsi="Arial" w:cs="Arial"/>
          <w:sz w:val="20"/>
          <w:szCs w:val="20"/>
          <w:lang w:eastAsia="sl-SI"/>
        </w:rPr>
        <w:t xml:space="preserve">IOP). V obdobju od prenosa funkcionalnosti na </w:t>
      </w:r>
      <w:proofErr w:type="spellStart"/>
      <w:r w:rsidR="00D847F2" w:rsidRPr="00946222">
        <w:rPr>
          <w:rFonts w:ascii="Arial" w:hAnsi="Arial" w:cs="Arial"/>
          <w:sz w:val="20"/>
          <w:szCs w:val="20"/>
          <w:lang w:eastAsia="sl-SI"/>
        </w:rPr>
        <w:t>eDavke</w:t>
      </w:r>
      <w:proofErr w:type="spellEnd"/>
      <w:r w:rsidR="00D847F2" w:rsidRPr="00946222">
        <w:rPr>
          <w:rFonts w:ascii="Arial" w:hAnsi="Arial" w:cs="Arial"/>
          <w:sz w:val="20"/>
          <w:szCs w:val="20"/>
          <w:lang w:eastAsia="sl-SI"/>
        </w:rPr>
        <w:t xml:space="preserve"> do 31. </w:t>
      </w:r>
      <w:r w:rsidR="000E7DDB">
        <w:rPr>
          <w:rFonts w:ascii="Arial" w:hAnsi="Arial" w:cs="Arial"/>
          <w:sz w:val="20"/>
          <w:szCs w:val="20"/>
          <w:lang w:eastAsia="sl-SI"/>
        </w:rPr>
        <w:t>decembra</w:t>
      </w:r>
      <w:r w:rsidR="00D847F2" w:rsidRPr="00946222">
        <w:rPr>
          <w:rFonts w:ascii="Arial" w:hAnsi="Arial" w:cs="Arial"/>
          <w:sz w:val="20"/>
          <w:szCs w:val="20"/>
          <w:lang w:eastAsia="sl-SI"/>
        </w:rPr>
        <w:t xml:space="preserve"> 2022 so si zavezanci pridobili 600 obrazcev IOP. </w:t>
      </w:r>
    </w:p>
    <w:p w14:paraId="7EE5191A" w14:textId="0CF436BB" w:rsidR="00D847F2" w:rsidRPr="00946222" w:rsidRDefault="00D847F2" w:rsidP="00D847F2">
      <w:pPr>
        <w:jc w:val="both"/>
        <w:rPr>
          <w:rFonts w:ascii="Arial" w:hAnsi="Arial" w:cs="Arial"/>
          <w:sz w:val="20"/>
          <w:szCs w:val="20"/>
          <w:lang w:eastAsia="sl-SI"/>
        </w:rPr>
      </w:pPr>
      <w:r w:rsidRPr="00946222">
        <w:rPr>
          <w:rFonts w:ascii="Arial" w:hAnsi="Arial" w:cs="Arial"/>
          <w:sz w:val="20"/>
          <w:szCs w:val="20"/>
          <w:lang w:eastAsia="sl-SI"/>
        </w:rPr>
        <w:lastRenderedPageBreak/>
        <w:t>V</w:t>
      </w:r>
      <w:r>
        <w:rPr>
          <w:rFonts w:ascii="Arial" w:hAnsi="Arial" w:cs="Arial"/>
          <w:sz w:val="20"/>
          <w:szCs w:val="20"/>
          <w:lang w:eastAsia="sl-SI"/>
        </w:rPr>
        <w:t xml:space="preserve"> obrazcih</w:t>
      </w:r>
      <w:r w:rsidRPr="00946222">
        <w:rPr>
          <w:rFonts w:ascii="Arial" w:hAnsi="Arial" w:cs="Arial"/>
          <w:sz w:val="20"/>
          <w:szCs w:val="20"/>
          <w:lang w:eastAsia="sl-SI"/>
        </w:rPr>
        <w:t xml:space="preserve"> IOP so zajete terjatve in obveznosti, ki so zavezancu vidne na njegovi knjigovodski </w:t>
      </w:r>
      <w:proofErr w:type="spellStart"/>
      <w:r w:rsidRPr="00946222">
        <w:rPr>
          <w:rFonts w:ascii="Arial" w:hAnsi="Arial" w:cs="Arial"/>
          <w:sz w:val="20"/>
          <w:szCs w:val="20"/>
          <w:lang w:eastAsia="sl-SI"/>
        </w:rPr>
        <w:t>eKartici</w:t>
      </w:r>
      <w:proofErr w:type="spellEnd"/>
      <w:r w:rsidRPr="00946222">
        <w:rPr>
          <w:rFonts w:ascii="Arial" w:hAnsi="Arial" w:cs="Arial"/>
          <w:sz w:val="20"/>
          <w:szCs w:val="20"/>
          <w:lang w:eastAsia="sl-SI"/>
        </w:rPr>
        <w:t xml:space="preserve"> oziroma </w:t>
      </w:r>
      <w:proofErr w:type="spellStart"/>
      <w:r w:rsidRPr="00946222">
        <w:rPr>
          <w:rFonts w:ascii="Arial" w:hAnsi="Arial" w:cs="Arial"/>
          <w:sz w:val="20"/>
          <w:szCs w:val="20"/>
          <w:lang w:eastAsia="sl-SI"/>
        </w:rPr>
        <w:t>eKarticiO</w:t>
      </w:r>
      <w:proofErr w:type="spellEnd"/>
      <w:r w:rsidRPr="00946222">
        <w:rPr>
          <w:rFonts w:ascii="Arial" w:hAnsi="Arial" w:cs="Arial"/>
          <w:sz w:val="20"/>
          <w:szCs w:val="20"/>
          <w:lang w:eastAsia="sl-SI"/>
        </w:rPr>
        <w:t xml:space="preserve"> in knjigovodski kartici </w:t>
      </w:r>
      <w:proofErr w:type="spellStart"/>
      <w:r w:rsidRPr="00946222">
        <w:rPr>
          <w:rFonts w:ascii="Arial" w:hAnsi="Arial" w:cs="Arial"/>
          <w:sz w:val="20"/>
          <w:szCs w:val="20"/>
          <w:lang w:eastAsia="sl-SI"/>
        </w:rPr>
        <w:t>eKarticaC</w:t>
      </w:r>
      <w:proofErr w:type="spellEnd"/>
      <w:r w:rsidRPr="00946222">
        <w:rPr>
          <w:rFonts w:ascii="Arial" w:hAnsi="Arial" w:cs="Arial"/>
          <w:sz w:val="20"/>
          <w:szCs w:val="20"/>
          <w:lang w:eastAsia="sl-SI"/>
        </w:rPr>
        <w:t>.</w:t>
      </w:r>
    </w:p>
    <w:p w14:paraId="36010164" w14:textId="77777777" w:rsidR="00D847F2" w:rsidRPr="00946222" w:rsidRDefault="00D847F2" w:rsidP="00D847F2">
      <w:pPr>
        <w:pStyle w:val="Brezrazmikov"/>
        <w:spacing w:line="276" w:lineRule="auto"/>
        <w:jc w:val="both"/>
        <w:rPr>
          <w:rFonts w:ascii="Arial" w:hAnsi="Arial" w:cs="Arial"/>
          <w:b/>
          <w:bCs/>
          <w:sz w:val="20"/>
          <w:szCs w:val="20"/>
          <w:lang w:eastAsia="sl-SI"/>
        </w:rPr>
      </w:pPr>
      <w:r w:rsidRPr="00946222">
        <w:rPr>
          <w:rFonts w:ascii="Arial" w:hAnsi="Arial" w:cs="Arial"/>
          <w:b/>
          <w:bCs/>
          <w:sz w:val="20"/>
          <w:szCs w:val="20"/>
          <w:lang w:eastAsia="sl-SI"/>
        </w:rPr>
        <w:t>Potrdila in razkritja iz evidenc v povezavi z izplačili javnih sredstev in pridobitvijo ugodnosti</w:t>
      </w:r>
    </w:p>
    <w:p w14:paraId="5F9F3869" w14:textId="43AF6D91" w:rsidR="00D847F2" w:rsidRDefault="00D847F2" w:rsidP="00D847F2">
      <w:pPr>
        <w:pStyle w:val="Brezrazmikov"/>
        <w:spacing w:line="276" w:lineRule="auto"/>
        <w:jc w:val="both"/>
        <w:rPr>
          <w:rFonts w:ascii="Arial" w:hAnsi="Arial" w:cs="Arial"/>
          <w:sz w:val="20"/>
          <w:szCs w:val="20"/>
          <w:lang w:eastAsia="sl-SI"/>
        </w:rPr>
      </w:pPr>
      <w:r>
        <w:rPr>
          <w:rFonts w:ascii="Arial" w:hAnsi="Arial" w:cs="Arial"/>
          <w:sz w:val="20"/>
          <w:szCs w:val="20"/>
          <w:lang w:eastAsia="sl-SI"/>
        </w:rPr>
        <w:t>V</w:t>
      </w:r>
      <w:r w:rsidRPr="00946222">
        <w:rPr>
          <w:rFonts w:ascii="Arial" w:hAnsi="Arial" w:cs="Arial"/>
          <w:sz w:val="20"/>
          <w:szCs w:val="20"/>
          <w:lang w:eastAsia="sl-SI"/>
        </w:rPr>
        <w:t>eč zakonov, ukrepov in razpisov, ki omogočajo izplačila javnih sredstev subjektom in podelitve določenih pravic, za njihovo pridobitev postavlja pogoj o poravnanih obveznostih do F</w:t>
      </w:r>
      <w:r>
        <w:rPr>
          <w:rFonts w:ascii="Arial" w:hAnsi="Arial" w:cs="Arial"/>
          <w:sz w:val="20"/>
          <w:szCs w:val="20"/>
          <w:lang w:eastAsia="sl-SI"/>
        </w:rPr>
        <w:t>URS</w:t>
      </w:r>
      <w:r w:rsidRPr="00946222">
        <w:rPr>
          <w:rFonts w:ascii="Arial" w:hAnsi="Arial" w:cs="Arial"/>
          <w:sz w:val="20"/>
          <w:szCs w:val="20"/>
          <w:lang w:eastAsia="sl-SI"/>
        </w:rPr>
        <w:t>. Upravičenec do razkritja lahko iz evidenc F</w:t>
      </w:r>
      <w:r>
        <w:rPr>
          <w:rFonts w:ascii="Arial" w:hAnsi="Arial" w:cs="Arial"/>
          <w:sz w:val="20"/>
          <w:szCs w:val="20"/>
          <w:lang w:eastAsia="sl-SI"/>
        </w:rPr>
        <w:t xml:space="preserve">URS </w:t>
      </w:r>
      <w:r w:rsidRPr="00946222">
        <w:rPr>
          <w:rFonts w:ascii="Arial" w:hAnsi="Arial" w:cs="Arial"/>
          <w:sz w:val="20"/>
          <w:szCs w:val="20"/>
          <w:lang w:eastAsia="sl-SI"/>
        </w:rPr>
        <w:t xml:space="preserve">pridobi podatke o izpolnjenih obveznostih v času vložitve zahteve oziroma v času postopka odobritve ugodnosti ali pravice. </w:t>
      </w:r>
      <w:r>
        <w:rPr>
          <w:rFonts w:ascii="Arial" w:hAnsi="Arial" w:cs="Arial"/>
          <w:sz w:val="20"/>
          <w:szCs w:val="20"/>
          <w:lang w:eastAsia="sl-SI"/>
        </w:rPr>
        <w:t>Č</w:t>
      </w:r>
      <w:r w:rsidRPr="00946222">
        <w:rPr>
          <w:rFonts w:ascii="Arial" w:hAnsi="Arial" w:cs="Arial"/>
          <w:sz w:val="20"/>
          <w:szCs w:val="20"/>
          <w:lang w:eastAsia="sl-SI"/>
        </w:rPr>
        <w:t xml:space="preserve">e obveznosti niso izpolnjene, ni mogoče pridobiti ugodnosti, </w:t>
      </w:r>
      <w:r>
        <w:rPr>
          <w:rFonts w:ascii="Arial" w:hAnsi="Arial" w:cs="Arial"/>
          <w:sz w:val="20"/>
          <w:szCs w:val="20"/>
          <w:lang w:eastAsia="sl-SI"/>
        </w:rPr>
        <w:t>na primer</w:t>
      </w:r>
      <w:r w:rsidRPr="00946222">
        <w:rPr>
          <w:rFonts w:ascii="Arial" w:hAnsi="Arial" w:cs="Arial"/>
          <w:sz w:val="20"/>
          <w:szCs w:val="20"/>
          <w:lang w:eastAsia="sl-SI"/>
        </w:rPr>
        <w:t xml:space="preserve"> postati izvajalec javnega naročila, podaljšati pogodbe za izvajanje javnih naročil, pridobiti subvencije iz javnih sredstev, začeti opravljati dejavnost kot samostojni podjetnik oziroma ustanoviti novo gospodarsko družbo, opravljati čezmejne storitve, pridobiti delovne viz</w:t>
      </w:r>
      <w:r w:rsidR="00B42B8E">
        <w:rPr>
          <w:rFonts w:ascii="Arial" w:hAnsi="Arial" w:cs="Arial"/>
          <w:sz w:val="20"/>
          <w:szCs w:val="20"/>
          <w:lang w:eastAsia="sl-SI"/>
        </w:rPr>
        <w:t>um</w:t>
      </w:r>
      <w:r w:rsidRPr="00946222">
        <w:rPr>
          <w:rFonts w:ascii="Arial" w:hAnsi="Arial" w:cs="Arial"/>
          <w:sz w:val="20"/>
          <w:szCs w:val="20"/>
          <w:lang w:eastAsia="sl-SI"/>
        </w:rPr>
        <w:t xml:space="preserve">e, državljanstva, licence </w:t>
      </w:r>
      <w:r>
        <w:rPr>
          <w:rFonts w:ascii="Arial" w:hAnsi="Arial" w:cs="Arial"/>
          <w:sz w:val="20"/>
          <w:szCs w:val="20"/>
          <w:lang w:eastAsia="sl-SI"/>
        </w:rPr>
        <w:t>in podobno</w:t>
      </w:r>
      <w:r w:rsidRPr="00946222">
        <w:rPr>
          <w:rFonts w:ascii="Arial" w:hAnsi="Arial" w:cs="Arial"/>
          <w:sz w:val="20"/>
          <w:szCs w:val="20"/>
          <w:lang w:eastAsia="sl-SI"/>
        </w:rPr>
        <w:t xml:space="preserve"> Ta preverjanja posredno vplivajo na pravočasno plačevanje obveznosti iz naslova obveznih dajatev in drugih denarnih nedavčnih obveznosti. </w:t>
      </w:r>
    </w:p>
    <w:p w14:paraId="7A44013D" w14:textId="77777777" w:rsidR="00D847F2" w:rsidRPr="00946222" w:rsidRDefault="00D847F2" w:rsidP="00D847F2">
      <w:pPr>
        <w:pStyle w:val="Brezrazmikov"/>
        <w:spacing w:line="276" w:lineRule="auto"/>
        <w:jc w:val="both"/>
        <w:rPr>
          <w:rFonts w:ascii="Arial" w:hAnsi="Arial" w:cs="Arial"/>
          <w:sz w:val="20"/>
          <w:szCs w:val="20"/>
          <w:lang w:eastAsia="sl-SI"/>
        </w:rPr>
      </w:pPr>
    </w:p>
    <w:p w14:paraId="1DF06CFC" w14:textId="47AB684C" w:rsidR="00D847F2" w:rsidRPr="00946222" w:rsidRDefault="00D847F2" w:rsidP="00D847F2">
      <w:pPr>
        <w:jc w:val="both"/>
        <w:rPr>
          <w:rFonts w:ascii="Arial" w:hAnsi="Arial" w:cs="Arial"/>
          <w:sz w:val="20"/>
          <w:szCs w:val="20"/>
          <w:lang w:eastAsia="sl-SI"/>
        </w:rPr>
      </w:pPr>
      <w:r w:rsidRPr="00946222">
        <w:rPr>
          <w:rFonts w:ascii="Arial" w:hAnsi="Arial" w:cs="Arial"/>
          <w:sz w:val="20"/>
          <w:szCs w:val="20"/>
          <w:lang w:eastAsia="sl-SI"/>
        </w:rPr>
        <w:t>F</w:t>
      </w:r>
      <w:r>
        <w:rPr>
          <w:rFonts w:ascii="Arial" w:hAnsi="Arial" w:cs="Arial"/>
          <w:sz w:val="20"/>
          <w:szCs w:val="20"/>
          <w:lang w:eastAsia="sl-SI"/>
        </w:rPr>
        <w:t xml:space="preserve">URS </w:t>
      </w:r>
      <w:r w:rsidRPr="00946222">
        <w:rPr>
          <w:rFonts w:ascii="Arial" w:hAnsi="Arial" w:cs="Arial"/>
          <w:sz w:val="20"/>
          <w:szCs w:val="20"/>
          <w:lang w:eastAsia="sl-SI"/>
        </w:rPr>
        <w:t xml:space="preserve">je v letu 2022 upravičencem </w:t>
      </w:r>
      <w:r>
        <w:rPr>
          <w:rFonts w:ascii="Arial" w:hAnsi="Arial" w:cs="Arial"/>
          <w:sz w:val="20"/>
          <w:szCs w:val="20"/>
          <w:lang w:eastAsia="sl-SI"/>
        </w:rPr>
        <w:t>predložil</w:t>
      </w:r>
      <w:r w:rsidRPr="00946222">
        <w:rPr>
          <w:rFonts w:ascii="Arial" w:hAnsi="Arial" w:cs="Arial"/>
          <w:sz w:val="20"/>
          <w:szCs w:val="20"/>
          <w:lang w:eastAsia="sl-SI"/>
        </w:rPr>
        <w:t xml:space="preserve"> 563.447 razkritij o poravnanih obveznostih, od tega je bilo 549.870 razkritij oziroma 97,6 </w:t>
      </w:r>
      <w:r>
        <w:rPr>
          <w:rFonts w:ascii="Arial" w:hAnsi="Arial" w:cs="Arial"/>
          <w:sz w:val="20"/>
          <w:szCs w:val="20"/>
          <w:lang w:eastAsia="sl-SI"/>
        </w:rPr>
        <w:t xml:space="preserve">odstotka </w:t>
      </w:r>
      <w:r w:rsidRPr="00946222">
        <w:rPr>
          <w:rFonts w:ascii="Arial" w:hAnsi="Arial" w:cs="Arial"/>
          <w:sz w:val="20"/>
          <w:szCs w:val="20"/>
          <w:lang w:eastAsia="sl-SI"/>
        </w:rPr>
        <w:t xml:space="preserve">izvedenih prek </w:t>
      </w:r>
      <w:r w:rsidR="00562493">
        <w:rPr>
          <w:rFonts w:ascii="Arial" w:hAnsi="Arial" w:cs="Arial"/>
          <w:sz w:val="20"/>
          <w:szCs w:val="20"/>
          <w:lang w:eastAsia="sl-SI"/>
        </w:rPr>
        <w:t xml:space="preserve">samodejne </w:t>
      </w:r>
      <w:r w:rsidR="00B42B8E">
        <w:rPr>
          <w:rFonts w:ascii="Arial" w:hAnsi="Arial" w:cs="Arial"/>
          <w:sz w:val="20"/>
          <w:szCs w:val="20"/>
          <w:lang w:eastAsia="sl-SI"/>
        </w:rPr>
        <w:t>(</w:t>
      </w:r>
      <w:r w:rsidRPr="00946222">
        <w:rPr>
          <w:rFonts w:ascii="Arial" w:hAnsi="Arial" w:cs="Arial"/>
          <w:sz w:val="20"/>
          <w:szCs w:val="20"/>
          <w:lang w:eastAsia="sl-SI"/>
        </w:rPr>
        <w:t>avtomatične</w:t>
      </w:r>
      <w:r w:rsidR="00B42B8E">
        <w:rPr>
          <w:rFonts w:ascii="Arial" w:hAnsi="Arial" w:cs="Arial"/>
          <w:sz w:val="20"/>
          <w:szCs w:val="20"/>
          <w:lang w:eastAsia="sl-SI"/>
        </w:rPr>
        <w:t>)</w:t>
      </w:r>
      <w:r w:rsidRPr="00946222">
        <w:rPr>
          <w:rFonts w:ascii="Arial" w:hAnsi="Arial" w:cs="Arial"/>
          <w:sz w:val="20"/>
          <w:szCs w:val="20"/>
          <w:lang w:eastAsia="sl-SI"/>
        </w:rPr>
        <w:t xml:space="preserve"> izmenjave podatkov med organi. </w:t>
      </w:r>
      <w:r>
        <w:rPr>
          <w:rFonts w:ascii="Arial" w:hAnsi="Arial" w:cs="Arial"/>
          <w:sz w:val="20"/>
          <w:szCs w:val="20"/>
          <w:lang w:eastAsia="sl-SI"/>
        </w:rPr>
        <w:t>Samodejna</w:t>
      </w:r>
      <w:r w:rsidRPr="00946222">
        <w:rPr>
          <w:rFonts w:ascii="Arial" w:hAnsi="Arial" w:cs="Arial"/>
          <w:sz w:val="20"/>
          <w:szCs w:val="20"/>
          <w:lang w:eastAsia="sl-SI"/>
        </w:rPr>
        <w:t xml:space="preserve"> izmenjava razkriti</w:t>
      </w:r>
      <w:r w:rsidR="00282F45">
        <w:rPr>
          <w:rFonts w:ascii="Arial" w:hAnsi="Arial" w:cs="Arial"/>
          <w:sz w:val="20"/>
          <w:szCs w:val="20"/>
          <w:lang w:eastAsia="sl-SI"/>
        </w:rPr>
        <w:t>j</w:t>
      </w:r>
      <w:r w:rsidRPr="00946222">
        <w:rPr>
          <w:rFonts w:ascii="Arial" w:hAnsi="Arial" w:cs="Arial"/>
          <w:sz w:val="20"/>
          <w:szCs w:val="20"/>
          <w:lang w:eastAsia="sl-SI"/>
        </w:rPr>
        <w:t xml:space="preserve"> je nujna glede na velik obseg vlog, zato so bile v letu 2022 z namenom, da se obseg </w:t>
      </w:r>
      <w:r>
        <w:rPr>
          <w:rFonts w:ascii="Arial" w:hAnsi="Arial" w:cs="Arial"/>
          <w:sz w:val="20"/>
          <w:szCs w:val="20"/>
          <w:lang w:eastAsia="sl-SI"/>
        </w:rPr>
        <w:t>samodejnih</w:t>
      </w:r>
      <w:r w:rsidRPr="00946222">
        <w:rPr>
          <w:rFonts w:ascii="Arial" w:hAnsi="Arial" w:cs="Arial"/>
          <w:sz w:val="20"/>
          <w:szCs w:val="20"/>
          <w:lang w:eastAsia="sl-SI"/>
        </w:rPr>
        <w:t xml:space="preserve"> izmenjav še poveča, dane pobude za podpis dogovorov o izmenjavi z več organi; nekateri so že realizirani</w:t>
      </w:r>
      <w:r>
        <w:rPr>
          <w:rFonts w:ascii="Arial" w:hAnsi="Arial" w:cs="Arial"/>
          <w:sz w:val="20"/>
          <w:szCs w:val="20"/>
          <w:lang w:eastAsia="sl-SI"/>
        </w:rPr>
        <w:t>;</w:t>
      </w:r>
      <w:r w:rsidRPr="00946222">
        <w:rPr>
          <w:rFonts w:ascii="Arial" w:hAnsi="Arial" w:cs="Arial"/>
          <w:sz w:val="20"/>
          <w:szCs w:val="20"/>
          <w:lang w:eastAsia="sl-SI"/>
        </w:rPr>
        <w:t xml:space="preserve"> n</w:t>
      </w:r>
      <w:r>
        <w:rPr>
          <w:rFonts w:ascii="Arial" w:hAnsi="Arial" w:cs="Arial"/>
          <w:sz w:val="20"/>
          <w:szCs w:val="20"/>
          <w:lang w:eastAsia="sl-SI"/>
        </w:rPr>
        <w:t xml:space="preserve">a </w:t>
      </w:r>
      <w:r w:rsidRPr="00946222">
        <w:rPr>
          <w:rFonts w:ascii="Arial" w:hAnsi="Arial" w:cs="Arial"/>
          <w:sz w:val="20"/>
          <w:szCs w:val="20"/>
          <w:lang w:eastAsia="sl-SI"/>
        </w:rPr>
        <w:t>pr</w:t>
      </w:r>
      <w:r>
        <w:rPr>
          <w:rFonts w:ascii="Arial" w:hAnsi="Arial" w:cs="Arial"/>
          <w:sz w:val="20"/>
          <w:szCs w:val="20"/>
          <w:lang w:eastAsia="sl-SI"/>
        </w:rPr>
        <w:t>imer</w:t>
      </w:r>
      <w:r w:rsidRPr="00946222">
        <w:rPr>
          <w:rFonts w:ascii="Arial" w:hAnsi="Arial" w:cs="Arial"/>
          <w:sz w:val="20"/>
          <w:szCs w:val="20"/>
          <w:lang w:eastAsia="sl-SI"/>
        </w:rPr>
        <w:t xml:space="preserve"> z EKO </w:t>
      </w:r>
      <w:r w:rsidR="00560F21">
        <w:rPr>
          <w:rFonts w:ascii="Arial" w:hAnsi="Arial" w:cs="Arial"/>
          <w:sz w:val="20"/>
          <w:szCs w:val="20"/>
          <w:lang w:eastAsia="sl-SI"/>
        </w:rPr>
        <w:t>s</w:t>
      </w:r>
      <w:r w:rsidRPr="00946222">
        <w:rPr>
          <w:rFonts w:ascii="Arial" w:hAnsi="Arial" w:cs="Arial"/>
          <w:sz w:val="20"/>
          <w:szCs w:val="20"/>
          <w:lang w:eastAsia="sl-SI"/>
        </w:rPr>
        <w:t xml:space="preserve">kladom za namene pridobivanja podatkov na </w:t>
      </w:r>
      <w:r w:rsidRPr="00151916">
        <w:rPr>
          <w:rFonts w:ascii="Arial" w:hAnsi="Arial" w:cs="Arial"/>
          <w:sz w:val="20"/>
          <w:szCs w:val="20"/>
          <w:lang w:eastAsia="sl-SI"/>
        </w:rPr>
        <w:t xml:space="preserve">podlagi </w:t>
      </w:r>
      <w:r>
        <w:rPr>
          <w:rFonts w:ascii="Arial" w:hAnsi="Arial" w:cs="Arial"/>
          <w:sz w:val="20"/>
          <w:szCs w:val="20"/>
          <w:lang w:eastAsia="sl-SI"/>
        </w:rPr>
        <w:t>Zakona o varstvu okolja (</w:t>
      </w:r>
      <w:r w:rsidRPr="00151916">
        <w:rPr>
          <w:rFonts w:ascii="Arial" w:hAnsi="Arial" w:cs="Arial"/>
          <w:sz w:val="20"/>
          <w:szCs w:val="20"/>
          <w:lang w:eastAsia="sl-SI"/>
        </w:rPr>
        <w:t>ZVO-2</w:t>
      </w:r>
      <w:r>
        <w:rPr>
          <w:rFonts w:ascii="Arial" w:hAnsi="Arial" w:cs="Arial"/>
          <w:sz w:val="20"/>
          <w:szCs w:val="20"/>
          <w:lang w:eastAsia="sl-SI"/>
        </w:rPr>
        <w:t>)</w:t>
      </w:r>
      <w:r w:rsidR="00E93BC0">
        <w:rPr>
          <w:rFonts w:ascii="Arial" w:hAnsi="Arial" w:cs="Arial"/>
          <w:sz w:val="20"/>
          <w:szCs w:val="20"/>
          <w:lang w:eastAsia="sl-SI"/>
        </w:rPr>
        <w:t>.</w:t>
      </w:r>
      <w:r>
        <w:rPr>
          <w:rStyle w:val="Sprotnaopomba-sklic"/>
          <w:rFonts w:ascii="Arial" w:hAnsi="Arial" w:cs="Arial"/>
          <w:sz w:val="20"/>
          <w:szCs w:val="20"/>
          <w:lang w:eastAsia="sl-SI"/>
        </w:rPr>
        <w:footnoteReference w:id="22"/>
      </w:r>
    </w:p>
    <w:p w14:paraId="2B91C1B6" w14:textId="15CCF50B" w:rsidR="00D847F2" w:rsidRPr="008630D6" w:rsidRDefault="00D847F2" w:rsidP="00D847F2">
      <w:pPr>
        <w:spacing w:after="0" w:line="240" w:lineRule="auto"/>
        <w:rPr>
          <w:rFonts w:ascii="Times New Roman" w:eastAsia="Times New Roman" w:hAnsi="Times New Roman"/>
          <w:sz w:val="24"/>
          <w:szCs w:val="24"/>
          <w:lang w:eastAsia="sl-SI"/>
        </w:rPr>
      </w:pPr>
      <w:r w:rsidRPr="00946222">
        <w:rPr>
          <w:rFonts w:ascii="Arial" w:hAnsi="Arial" w:cs="Arial"/>
          <w:sz w:val="20"/>
          <w:szCs w:val="20"/>
          <w:lang w:eastAsia="sl-SI"/>
        </w:rPr>
        <w:t xml:space="preserve">Število razkritij organom v letu 2022 se je v primerjavi z letom 2021 povečalo, saj se je </w:t>
      </w:r>
      <w:r w:rsidR="005D70F4">
        <w:rPr>
          <w:rFonts w:ascii="Arial" w:hAnsi="Arial" w:cs="Arial"/>
          <w:sz w:val="20"/>
          <w:szCs w:val="20"/>
          <w:lang w:eastAsia="sl-SI"/>
        </w:rPr>
        <w:t>znova</w:t>
      </w:r>
      <w:r w:rsidR="005D70F4" w:rsidRPr="00946222">
        <w:rPr>
          <w:rFonts w:ascii="Arial" w:hAnsi="Arial" w:cs="Arial"/>
          <w:sz w:val="20"/>
          <w:szCs w:val="20"/>
          <w:lang w:eastAsia="sl-SI"/>
        </w:rPr>
        <w:t xml:space="preserve"> </w:t>
      </w:r>
      <w:r w:rsidRPr="00946222">
        <w:rPr>
          <w:rFonts w:ascii="Arial" w:hAnsi="Arial" w:cs="Arial"/>
          <w:sz w:val="20"/>
          <w:szCs w:val="20"/>
          <w:lang w:eastAsia="sl-SI"/>
        </w:rPr>
        <w:t xml:space="preserve">povečalo število poizvedb </w:t>
      </w:r>
      <w:r w:rsidRPr="00D158A6">
        <w:rPr>
          <w:rFonts w:ascii="Arial" w:eastAsia="Times New Roman" w:hAnsi="Arial" w:cs="Arial"/>
          <w:sz w:val="20"/>
          <w:szCs w:val="20"/>
          <w:lang w:eastAsia="sl-SI"/>
        </w:rPr>
        <w:t>Agencije Republike Slovenije za kmetijske trge in razvoj podeželja</w:t>
      </w:r>
    </w:p>
    <w:p w14:paraId="11C12582" w14:textId="77777777" w:rsidR="00D847F2" w:rsidRPr="00946222" w:rsidRDefault="00D847F2" w:rsidP="00D847F2">
      <w:pPr>
        <w:jc w:val="both"/>
        <w:rPr>
          <w:rFonts w:ascii="Arial" w:hAnsi="Arial" w:cs="Arial"/>
          <w:sz w:val="20"/>
          <w:szCs w:val="20"/>
          <w:lang w:eastAsia="sl-SI"/>
        </w:rPr>
      </w:pPr>
      <w:r w:rsidRPr="00946222">
        <w:rPr>
          <w:rFonts w:ascii="Arial" w:hAnsi="Arial" w:cs="Arial"/>
          <w:sz w:val="20"/>
          <w:szCs w:val="20"/>
          <w:lang w:eastAsia="sl-SI"/>
        </w:rPr>
        <w:t>zaradi izvajanja ukrepov za omilitev posledic dviga cen v gospodarstvu in kmetijstvu.</w:t>
      </w:r>
    </w:p>
    <w:p w14:paraId="50BA1C17" w14:textId="77777777" w:rsidR="00247C3E" w:rsidRDefault="00247C3E" w:rsidP="00D847F2">
      <w:pPr>
        <w:autoSpaceDE w:val="0"/>
        <w:autoSpaceDN w:val="0"/>
        <w:adjustRightInd w:val="0"/>
        <w:spacing w:after="0"/>
        <w:jc w:val="both"/>
        <w:rPr>
          <w:rFonts w:ascii="Arial" w:hAnsi="Arial" w:cs="Arial"/>
          <w:i/>
          <w:sz w:val="20"/>
          <w:szCs w:val="20"/>
        </w:rPr>
      </w:pPr>
    </w:p>
    <w:p w14:paraId="6041D275" w14:textId="43D80163" w:rsidR="00D847F2" w:rsidRDefault="00D847F2" w:rsidP="00D847F2">
      <w:pPr>
        <w:autoSpaceDE w:val="0"/>
        <w:autoSpaceDN w:val="0"/>
        <w:adjustRightInd w:val="0"/>
        <w:spacing w:after="0"/>
        <w:jc w:val="both"/>
        <w:rPr>
          <w:rFonts w:ascii="Arial" w:hAnsi="Arial" w:cs="Arial"/>
          <w:i/>
          <w:iCs/>
          <w:sz w:val="20"/>
          <w:szCs w:val="20"/>
        </w:rPr>
      </w:pPr>
      <w:r w:rsidRPr="00DF6908">
        <w:rPr>
          <w:rFonts w:ascii="Arial" w:hAnsi="Arial" w:cs="Arial"/>
          <w:i/>
          <w:sz w:val="20"/>
          <w:szCs w:val="20"/>
        </w:rPr>
        <w:t>Preglednica 2</w:t>
      </w:r>
      <w:r>
        <w:rPr>
          <w:rFonts w:ascii="Arial" w:hAnsi="Arial" w:cs="Arial"/>
          <w:i/>
          <w:sz w:val="20"/>
          <w:szCs w:val="20"/>
        </w:rPr>
        <w:t>8</w:t>
      </w:r>
      <w:r w:rsidRPr="00DF6908">
        <w:rPr>
          <w:rFonts w:ascii="Arial" w:hAnsi="Arial" w:cs="Arial"/>
          <w:i/>
          <w:iCs/>
          <w:sz w:val="20"/>
          <w:szCs w:val="20"/>
        </w:rPr>
        <w:t>: Število razkritji iz knjigovodske evidence in evidence o davkih v povezavi s pridobitvami ugodnosti</w:t>
      </w:r>
      <w:r>
        <w:rPr>
          <w:rFonts w:ascii="Arial" w:hAnsi="Arial" w:cs="Arial"/>
          <w:i/>
          <w:iCs/>
          <w:sz w:val="20"/>
          <w:szCs w:val="20"/>
        </w:rPr>
        <w:t xml:space="preserve"> oziroma </w:t>
      </w:r>
      <w:r w:rsidRPr="00DF6908">
        <w:rPr>
          <w:rFonts w:ascii="Arial" w:hAnsi="Arial" w:cs="Arial"/>
          <w:i/>
          <w:iCs/>
          <w:sz w:val="20"/>
          <w:szCs w:val="20"/>
        </w:rPr>
        <w:t>pravic</w:t>
      </w:r>
    </w:p>
    <w:tbl>
      <w:tblPr>
        <w:tblW w:w="9227" w:type="dxa"/>
        <w:tblCellMar>
          <w:left w:w="70" w:type="dxa"/>
          <w:right w:w="70" w:type="dxa"/>
        </w:tblCellMar>
        <w:tblLook w:val="04A0" w:firstRow="1" w:lastRow="0" w:firstColumn="1" w:lastColumn="0" w:noHBand="0" w:noVBand="1"/>
      </w:tblPr>
      <w:tblGrid>
        <w:gridCol w:w="5282"/>
        <w:gridCol w:w="791"/>
        <w:gridCol w:w="791"/>
        <w:gridCol w:w="791"/>
        <w:gridCol w:w="791"/>
        <w:gridCol w:w="991"/>
      </w:tblGrid>
      <w:tr w:rsidR="00D847F2" w:rsidRPr="008012FD" w14:paraId="21348F81" w14:textId="77777777" w:rsidTr="00556699">
        <w:trPr>
          <w:trHeight w:val="128"/>
        </w:trPr>
        <w:tc>
          <w:tcPr>
            <w:tcW w:w="5282" w:type="dxa"/>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5833C4EB" w14:textId="77777777" w:rsidR="00D847F2" w:rsidRPr="008012FD" w:rsidRDefault="00D847F2" w:rsidP="00556699">
            <w:pPr>
              <w:spacing w:after="0" w:line="240" w:lineRule="auto"/>
              <w:jc w:val="center"/>
              <w:rPr>
                <w:rFonts w:ascii="Arial" w:eastAsia="Times New Roman" w:hAnsi="Arial" w:cs="Arial"/>
                <w:b/>
                <w:bCs/>
                <w:color w:val="000000"/>
                <w:sz w:val="18"/>
                <w:szCs w:val="18"/>
                <w:lang w:eastAsia="sl-SI"/>
              </w:rPr>
            </w:pPr>
            <w:r w:rsidRPr="008012FD">
              <w:rPr>
                <w:rFonts w:ascii="Arial" w:eastAsia="Times New Roman" w:hAnsi="Arial" w:cs="Arial"/>
                <w:b/>
                <w:bCs/>
                <w:color w:val="000000"/>
                <w:sz w:val="18"/>
                <w:szCs w:val="18"/>
                <w:lang w:eastAsia="sl-SI"/>
              </w:rPr>
              <w:t> </w:t>
            </w:r>
          </w:p>
        </w:tc>
        <w:tc>
          <w:tcPr>
            <w:tcW w:w="751" w:type="dxa"/>
            <w:tcBorders>
              <w:top w:val="single" w:sz="4" w:space="0" w:color="auto"/>
              <w:left w:val="nil"/>
              <w:bottom w:val="single" w:sz="4" w:space="0" w:color="auto"/>
              <w:right w:val="single" w:sz="4" w:space="0" w:color="auto"/>
            </w:tcBorders>
            <w:shd w:val="clear" w:color="000000" w:fill="31869B"/>
            <w:vAlign w:val="center"/>
            <w:hideMark/>
          </w:tcPr>
          <w:p w14:paraId="55165339" w14:textId="77777777" w:rsidR="00D847F2" w:rsidRPr="008012FD" w:rsidRDefault="00D847F2" w:rsidP="00556699">
            <w:pPr>
              <w:spacing w:after="0" w:line="240" w:lineRule="auto"/>
              <w:jc w:val="center"/>
              <w:rPr>
                <w:rFonts w:ascii="Arial" w:eastAsia="Times New Roman" w:hAnsi="Arial" w:cs="Arial"/>
                <w:b/>
                <w:bCs/>
                <w:color w:val="FFFFFF"/>
                <w:sz w:val="18"/>
                <w:szCs w:val="18"/>
                <w:lang w:eastAsia="sl-SI"/>
              </w:rPr>
            </w:pPr>
            <w:r w:rsidRPr="008012FD">
              <w:rPr>
                <w:rFonts w:ascii="Arial" w:eastAsia="Times New Roman" w:hAnsi="Arial" w:cs="Arial"/>
                <w:b/>
                <w:bCs/>
                <w:color w:val="FFFFFF"/>
                <w:sz w:val="18"/>
                <w:szCs w:val="18"/>
                <w:lang w:eastAsia="sl-SI"/>
              </w:rPr>
              <w:t>2019</w:t>
            </w:r>
          </w:p>
        </w:tc>
        <w:tc>
          <w:tcPr>
            <w:tcW w:w="751" w:type="dxa"/>
            <w:tcBorders>
              <w:top w:val="single" w:sz="4" w:space="0" w:color="auto"/>
              <w:left w:val="nil"/>
              <w:bottom w:val="single" w:sz="4" w:space="0" w:color="auto"/>
              <w:right w:val="single" w:sz="4" w:space="0" w:color="auto"/>
            </w:tcBorders>
            <w:shd w:val="clear" w:color="000000" w:fill="31869B"/>
            <w:vAlign w:val="center"/>
            <w:hideMark/>
          </w:tcPr>
          <w:p w14:paraId="5483821B" w14:textId="77777777" w:rsidR="00D847F2" w:rsidRPr="008012FD" w:rsidRDefault="00D847F2" w:rsidP="00556699">
            <w:pPr>
              <w:spacing w:after="0" w:line="240" w:lineRule="auto"/>
              <w:jc w:val="center"/>
              <w:rPr>
                <w:rFonts w:ascii="Arial" w:eastAsia="Times New Roman" w:hAnsi="Arial" w:cs="Arial"/>
                <w:b/>
                <w:bCs/>
                <w:color w:val="FFFFFF"/>
                <w:sz w:val="18"/>
                <w:szCs w:val="18"/>
                <w:lang w:eastAsia="sl-SI"/>
              </w:rPr>
            </w:pPr>
            <w:r w:rsidRPr="008012FD">
              <w:rPr>
                <w:rFonts w:ascii="Arial" w:eastAsia="Times New Roman" w:hAnsi="Arial" w:cs="Arial"/>
                <w:b/>
                <w:bCs/>
                <w:color w:val="FFFFFF"/>
                <w:sz w:val="18"/>
                <w:szCs w:val="18"/>
                <w:lang w:eastAsia="sl-SI"/>
              </w:rPr>
              <w:t>2020</w:t>
            </w:r>
          </w:p>
        </w:tc>
        <w:tc>
          <w:tcPr>
            <w:tcW w:w="751" w:type="dxa"/>
            <w:tcBorders>
              <w:top w:val="single" w:sz="4" w:space="0" w:color="auto"/>
              <w:left w:val="nil"/>
              <w:bottom w:val="single" w:sz="4" w:space="0" w:color="auto"/>
              <w:right w:val="single" w:sz="4" w:space="0" w:color="auto"/>
            </w:tcBorders>
            <w:shd w:val="clear" w:color="000000" w:fill="31869B"/>
            <w:vAlign w:val="center"/>
            <w:hideMark/>
          </w:tcPr>
          <w:p w14:paraId="54231BD3" w14:textId="77777777" w:rsidR="00D847F2" w:rsidRPr="008012FD" w:rsidRDefault="00D847F2" w:rsidP="00556699">
            <w:pPr>
              <w:spacing w:after="0" w:line="240" w:lineRule="auto"/>
              <w:jc w:val="center"/>
              <w:rPr>
                <w:rFonts w:ascii="Arial" w:eastAsia="Times New Roman" w:hAnsi="Arial" w:cs="Arial"/>
                <w:b/>
                <w:bCs/>
                <w:color w:val="FFFFFF"/>
                <w:sz w:val="18"/>
                <w:szCs w:val="18"/>
                <w:lang w:eastAsia="sl-SI"/>
              </w:rPr>
            </w:pPr>
            <w:r w:rsidRPr="008012FD">
              <w:rPr>
                <w:rFonts w:ascii="Arial" w:eastAsia="Times New Roman" w:hAnsi="Arial" w:cs="Arial"/>
                <w:b/>
                <w:bCs/>
                <w:color w:val="FFFFFF"/>
                <w:sz w:val="18"/>
                <w:szCs w:val="18"/>
                <w:lang w:eastAsia="sl-SI"/>
              </w:rPr>
              <w:t>2021</w:t>
            </w:r>
          </w:p>
        </w:tc>
        <w:tc>
          <w:tcPr>
            <w:tcW w:w="751" w:type="dxa"/>
            <w:tcBorders>
              <w:top w:val="single" w:sz="4" w:space="0" w:color="auto"/>
              <w:left w:val="nil"/>
              <w:bottom w:val="single" w:sz="4" w:space="0" w:color="auto"/>
              <w:right w:val="single" w:sz="4" w:space="0" w:color="auto"/>
            </w:tcBorders>
            <w:shd w:val="clear" w:color="000000" w:fill="31869B"/>
            <w:vAlign w:val="center"/>
            <w:hideMark/>
          </w:tcPr>
          <w:p w14:paraId="61EF5B92" w14:textId="77777777" w:rsidR="00D847F2" w:rsidRPr="008012FD" w:rsidRDefault="00D847F2" w:rsidP="00556699">
            <w:pPr>
              <w:spacing w:after="0" w:line="240" w:lineRule="auto"/>
              <w:jc w:val="center"/>
              <w:rPr>
                <w:rFonts w:ascii="Arial" w:eastAsia="Times New Roman" w:hAnsi="Arial" w:cs="Arial"/>
                <w:b/>
                <w:bCs/>
                <w:color w:val="FFFFFF"/>
                <w:sz w:val="18"/>
                <w:szCs w:val="18"/>
                <w:lang w:eastAsia="sl-SI"/>
              </w:rPr>
            </w:pPr>
            <w:r w:rsidRPr="008012FD">
              <w:rPr>
                <w:rFonts w:ascii="Arial" w:eastAsia="Times New Roman" w:hAnsi="Arial" w:cs="Arial"/>
                <w:b/>
                <w:bCs/>
                <w:color w:val="FFFFFF"/>
                <w:sz w:val="18"/>
                <w:szCs w:val="18"/>
                <w:lang w:eastAsia="sl-SI"/>
              </w:rPr>
              <w:t>2022</w:t>
            </w:r>
          </w:p>
        </w:tc>
        <w:tc>
          <w:tcPr>
            <w:tcW w:w="941" w:type="dxa"/>
            <w:tcBorders>
              <w:top w:val="single" w:sz="4" w:space="0" w:color="auto"/>
              <w:left w:val="nil"/>
              <w:bottom w:val="single" w:sz="4" w:space="0" w:color="auto"/>
              <w:right w:val="single" w:sz="4" w:space="0" w:color="auto"/>
            </w:tcBorders>
            <w:shd w:val="clear" w:color="000000" w:fill="31869B"/>
            <w:vAlign w:val="center"/>
            <w:hideMark/>
          </w:tcPr>
          <w:p w14:paraId="3698DBC9" w14:textId="77777777" w:rsidR="00D847F2" w:rsidRPr="008012FD" w:rsidRDefault="00D847F2" w:rsidP="00556699">
            <w:pPr>
              <w:spacing w:after="0" w:line="240" w:lineRule="auto"/>
              <w:jc w:val="center"/>
              <w:rPr>
                <w:rFonts w:ascii="Arial" w:eastAsia="Times New Roman" w:hAnsi="Arial" w:cs="Arial"/>
                <w:b/>
                <w:bCs/>
                <w:color w:val="FFFFFF"/>
                <w:sz w:val="18"/>
                <w:szCs w:val="18"/>
                <w:lang w:eastAsia="sl-SI"/>
              </w:rPr>
            </w:pPr>
            <w:r w:rsidRPr="008012FD">
              <w:rPr>
                <w:rFonts w:ascii="Arial" w:eastAsia="Times New Roman" w:hAnsi="Arial" w:cs="Arial"/>
                <w:b/>
                <w:bCs/>
                <w:color w:val="FFFFFF"/>
                <w:sz w:val="18"/>
                <w:szCs w:val="18"/>
                <w:lang w:eastAsia="sl-SI"/>
              </w:rPr>
              <w:t>IND 2022/2021</w:t>
            </w:r>
          </w:p>
        </w:tc>
      </w:tr>
      <w:tr w:rsidR="00D847F2" w:rsidRPr="008012FD" w14:paraId="620BF3FA" w14:textId="77777777" w:rsidTr="00556699">
        <w:trPr>
          <w:trHeight w:val="255"/>
        </w:trPr>
        <w:tc>
          <w:tcPr>
            <w:tcW w:w="5282" w:type="dxa"/>
            <w:tcBorders>
              <w:top w:val="nil"/>
              <w:left w:val="single" w:sz="4" w:space="0" w:color="auto"/>
              <w:bottom w:val="single" w:sz="4" w:space="0" w:color="auto"/>
              <w:right w:val="single" w:sz="4" w:space="0" w:color="auto"/>
            </w:tcBorders>
            <w:shd w:val="clear" w:color="auto" w:fill="auto"/>
            <w:noWrap/>
            <w:vAlign w:val="center"/>
            <w:hideMark/>
          </w:tcPr>
          <w:p w14:paraId="78720766" w14:textId="4A64251C" w:rsidR="00D847F2" w:rsidRPr="008012FD" w:rsidRDefault="00D847F2" w:rsidP="00155CE9">
            <w:pPr>
              <w:spacing w:after="0" w:line="240" w:lineRule="auto"/>
              <w:jc w:val="both"/>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Razkritja iz knjigovodske evidence (neobstoj dolga) in evidence o davkih (predloženi REK</w:t>
            </w:r>
            <w:r w:rsidR="00155CE9">
              <w:rPr>
                <w:rFonts w:ascii="Arial" w:eastAsia="Times New Roman" w:hAnsi="Arial" w:cs="Arial"/>
                <w:color w:val="000000"/>
                <w:sz w:val="18"/>
                <w:szCs w:val="18"/>
                <w:lang w:eastAsia="sl-SI"/>
              </w:rPr>
              <w:t>-</w:t>
            </w:r>
            <w:r w:rsidRPr="008012FD">
              <w:rPr>
                <w:rFonts w:ascii="Arial" w:eastAsia="Times New Roman" w:hAnsi="Arial" w:cs="Arial"/>
                <w:color w:val="000000"/>
                <w:sz w:val="18"/>
                <w:szCs w:val="18"/>
                <w:lang w:eastAsia="sl-SI"/>
              </w:rPr>
              <w:t>obračuni za prispevke za socialno varnost)*</w:t>
            </w:r>
          </w:p>
        </w:tc>
        <w:tc>
          <w:tcPr>
            <w:tcW w:w="751" w:type="dxa"/>
            <w:tcBorders>
              <w:top w:val="nil"/>
              <w:left w:val="nil"/>
              <w:bottom w:val="single" w:sz="4" w:space="0" w:color="auto"/>
              <w:right w:val="single" w:sz="4" w:space="0" w:color="auto"/>
            </w:tcBorders>
            <w:shd w:val="clear" w:color="auto" w:fill="auto"/>
            <w:vAlign w:val="center"/>
            <w:hideMark/>
          </w:tcPr>
          <w:p w14:paraId="4992D575" w14:textId="77777777" w:rsidR="00D847F2" w:rsidRPr="008012FD" w:rsidRDefault="00D847F2" w:rsidP="00556699">
            <w:pPr>
              <w:spacing w:after="0" w:line="240" w:lineRule="auto"/>
              <w:jc w:val="right"/>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284.924</w:t>
            </w:r>
          </w:p>
        </w:tc>
        <w:tc>
          <w:tcPr>
            <w:tcW w:w="751" w:type="dxa"/>
            <w:tcBorders>
              <w:top w:val="nil"/>
              <w:left w:val="nil"/>
              <w:bottom w:val="single" w:sz="4" w:space="0" w:color="auto"/>
              <w:right w:val="single" w:sz="4" w:space="0" w:color="auto"/>
            </w:tcBorders>
            <w:shd w:val="clear" w:color="auto" w:fill="auto"/>
            <w:vAlign w:val="center"/>
            <w:hideMark/>
          </w:tcPr>
          <w:p w14:paraId="2113B7A8" w14:textId="77777777" w:rsidR="00D847F2" w:rsidRPr="008012FD" w:rsidRDefault="00D847F2" w:rsidP="00556699">
            <w:pPr>
              <w:spacing w:after="0" w:line="240" w:lineRule="auto"/>
              <w:jc w:val="right"/>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445.987</w:t>
            </w:r>
          </w:p>
        </w:tc>
        <w:tc>
          <w:tcPr>
            <w:tcW w:w="751" w:type="dxa"/>
            <w:tcBorders>
              <w:top w:val="nil"/>
              <w:left w:val="nil"/>
              <w:bottom w:val="single" w:sz="4" w:space="0" w:color="auto"/>
              <w:right w:val="single" w:sz="4" w:space="0" w:color="auto"/>
            </w:tcBorders>
            <w:shd w:val="clear" w:color="auto" w:fill="auto"/>
            <w:vAlign w:val="center"/>
            <w:hideMark/>
          </w:tcPr>
          <w:p w14:paraId="0C796CD2" w14:textId="77777777" w:rsidR="00D847F2" w:rsidRPr="008012FD" w:rsidRDefault="00D847F2" w:rsidP="00556699">
            <w:pPr>
              <w:spacing w:after="0" w:line="240" w:lineRule="auto"/>
              <w:jc w:val="right"/>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387.717</w:t>
            </w:r>
          </w:p>
        </w:tc>
        <w:tc>
          <w:tcPr>
            <w:tcW w:w="751" w:type="dxa"/>
            <w:tcBorders>
              <w:top w:val="nil"/>
              <w:left w:val="nil"/>
              <w:bottom w:val="single" w:sz="4" w:space="0" w:color="auto"/>
              <w:right w:val="single" w:sz="4" w:space="0" w:color="auto"/>
            </w:tcBorders>
            <w:shd w:val="clear" w:color="auto" w:fill="auto"/>
            <w:vAlign w:val="center"/>
            <w:hideMark/>
          </w:tcPr>
          <w:p w14:paraId="29505E07" w14:textId="77777777" w:rsidR="00D847F2" w:rsidRPr="008012FD" w:rsidRDefault="00D847F2" w:rsidP="00556699">
            <w:pPr>
              <w:spacing w:after="0" w:line="240" w:lineRule="auto"/>
              <w:jc w:val="right"/>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563.447</w:t>
            </w:r>
          </w:p>
        </w:tc>
        <w:tc>
          <w:tcPr>
            <w:tcW w:w="941" w:type="dxa"/>
            <w:tcBorders>
              <w:top w:val="nil"/>
              <w:left w:val="nil"/>
              <w:bottom w:val="single" w:sz="4" w:space="0" w:color="auto"/>
              <w:right w:val="single" w:sz="4" w:space="0" w:color="auto"/>
            </w:tcBorders>
            <w:shd w:val="clear" w:color="auto" w:fill="auto"/>
            <w:vAlign w:val="center"/>
            <w:hideMark/>
          </w:tcPr>
          <w:p w14:paraId="0B33ECB1" w14:textId="77777777" w:rsidR="00D847F2" w:rsidRPr="008012FD" w:rsidRDefault="00D847F2" w:rsidP="00556699">
            <w:pPr>
              <w:spacing w:after="0" w:line="240" w:lineRule="auto"/>
              <w:jc w:val="right"/>
              <w:rPr>
                <w:rFonts w:ascii="Arial" w:eastAsia="Times New Roman" w:hAnsi="Arial" w:cs="Arial"/>
                <w:color w:val="000000"/>
                <w:sz w:val="18"/>
                <w:szCs w:val="18"/>
                <w:lang w:eastAsia="sl-SI"/>
              </w:rPr>
            </w:pPr>
            <w:r w:rsidRPr="008012FD">
              <w:rPr>
                <w:rFonts w:ascii="Arial" w:eastAsia="Times New Roman" w:hAnsi="Arial" w:cs="Arial"/>
                <w:color w:val="000000"/>
                <w:sz w:val="18"/>
                <w:szCs w:val="18"/>
                <w:lang w:eastAsia="sl-SI"/>
              </w:rPr>
              <w:t>145,3</w:t>
            </w:r>
          </w:p>
        </w:tc>
      </w:tr>
    </w:tbl>
    <w:p w14:paraId="7F9BA811" w14:textId="6E348883" w:rsidR="00D847F2" w:rsidRPr="005F05C3" w:rsidRDefault="00D847F2" w:rsidP="00D847F2">
      <w:pPr>
        <w:spacing w:after="0"/>
        <w:jc w:val="both"/>
        <w:rPr>
          <w:rFonts w:ascii="Arial" w:hAnsi="Arial" w:cs="Arial"/>
          <w:sz w:val="16"/>
          <w:szCs w:val="16"/>
        </w:rPr>
      </w:pPr>
      <w:r w:rsidRPr="005F05C3">
        <w:rPr>
          <w:rFonts w:ascii="Arial" w:hAnsi="Arial" w:cs="Arial"/>
          <w:sz w:val="20"/>
        </w:rPr>
        <w:t> </w:t>
      </w:r>
      <w:r w:rsidRPr="005F05C3">
        <w:rPr>
          <w:rFonts w:ascii="Arial" w:hAnsi="Arial" w:cs="Arial"/>
          <w:sz w:val="16"/>
          <w:szCs w:val="16"/>
        </w:rPr>
        <w:t>*</w:t>
      </w:r>
      <w:r w:rsidRPr="005F05C3">
        <w:t xml:space="preserve"> </w:t>
      </w:r>
      <w:r w:rsidRPr="005F05C3">
        <w:rPr>
          <w:rFonts w:ascii="Arial" w:hAnsi="Arial" w:cs="Arial"/>
          <w:sz w:val="16"/>
          <w:szCs w:val="16"/>
        </w:rPr>
        <w:t xml:space="preserve">Nekateri zakoni določajo kot </w:t>
      </w:r>
      <w:r w:rsidR="00291F80">
        <w:rPr>
          <w:rFonts w:ascii="Arial" w:hAnsi="Arial" w:cs="Arial"/>
          <w:sz w:val="16"/>
          <w:szCs w:val="16"/>
        </w:rPr>
        <w:t>merilo</w:t>
      </w:r>
      <w:r w:rsidR="00155CE9" w:rsidRPr="005F05C3">
        <w:rPr>
          <w:rFonts w:ascii="Arial" w:hAnsi="Arial" w:cs="Arial"/>
          <w:sz w:val="16"/>
          <w:szCs w:val="16"/>
        </w:rPr>
        <w:t xml:space="preserve"> </w:t>
      </w:r>
      <w:r w:rsidRPr="005F05C3">
        <w:rPr>
          <w:rFonts w:ascii="Arial" w:hAnsi="Arial" w:cs="Arial"/>
          <w:sz w:val="16"/>
          <w:szCs w:val="16"/>
        </w:rPr>
        <w:t>samo prvi pogoj v zvezi z razkritjem iz knjigovodske evidence.</w:t>
      </w:r>
    </w:p>
    <w:p w14:paraId="118B83BF" w14:textId="2AD45550" w:rsidR="00D847F2" w:rsidRDefault="00D847F2" w:rsidP="00D847F2">
      <w:pPr>
        <w:rPr>
          <w:rFonts w:ascii="Arial" w:hAnsi="Arial" w:cs="Arial"/>
          <w:b/>
          <w:bCs/>
        </w:rPr>
      </w:pPr>
      <w:r w:rsidRPr="005F05C3">
        <w:rPr>
          <w:rFonts w:ascii="Arial" w:hAnsi="Arial" w:cs="Arial"/>
          <w:i/>
          <w:sz w:val="20"/>
          <w:szCs w:val="20"/>
        </w:rPr>
        <w:t>Vir: FURS</w:t>
      </w:r>
      <w:r w:rsidR="00700BC8">
        <w:rPr>
          <w:rFonts w:ascii="Arial" w:hAnsi="Arial" w:cs="Arial"/>
          <w:i/>
          <w:sz w:val="20"/>
          <w:szCs w:val="20"/>
        </w:rPr>
        <w:t>.</w:t>
      </w:r>
    </w:p>
    <w:p w14:paraId="12DD91A0" w14:textId="77777777" w:rsidR="00AA1F8A" w:rsidRDefault="00AA1F8A"/>
    <w:sectPr w:rsidR="00AA1F8A" w:rsidSect="00556699">
      <w:footerReference w:type="default" r:id="rId21"/>
      <w:headerReference w:type="first" r:id="rId2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8372" w14:textId="77777777" w:rsidR="008F148A" w:rsidRDefault="008F148A" w:rsidP="00D847F2">
      <w:pPr>
        <w:spacing w:after="0" w:line="240" w:lineRule="auto"/>
      </w:pPr>
      <w:r>
        <w:separator/>
      </w:r>
    </w:p>
  </w:endnote>
  <w:endnote w:type="continuationSeparator" w:id="0">
    <w:p w14:paraId="729F540B" w14:textId="77777777" w:rsidR="008F148A" w:rsidRDefault="008F148A" w:rsidP="00D8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vantGarGotItcTOT-BooOb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3335"/>
      <w:docPartObj>
        <w:docPartGallery w:val="Page Numbers (Bottom of Page)"/>
        <w:docPartUnique/>
      </w:docPartObj>
    </w:sdtPr>
    <w:sdtEndPr/>
    <w:sdtContent>
      <w:p w14:paraId="56CDB181" w14:textId="17C28E5B" w:rsidR="00527930" w:rsidRDefault="00527930">
        <w:pPr>
          <w:pStyle w:val="Noga"/>
          <w:jc w:val="center"/>
        </w:pPr>
        <w:r>
          <w:fldChar w:fldCharType="begin"/>
        </w:r>
        <w:r>
          <w:instrText>PAGE   \* MERGEFORMAT</w:instrText>
        </w:r>
        <w:r>
          <w:fldChar w:fldCharType="separate"/>
        </w:r>
        <w:r w:rsidR="00B42B8E">
          <w:rPr>
            <w:noProof/>
          </w:rPr>
          <w:t>36</w:t>
        </w:r>
        <w:r>
          <w:fldChar w:fldCharType="end"/>
        </w:r>
      </w:p>
    </w:sdtContent>
  </w:sdt>
  <w:p w14:paraId="2CBDE9E6" w14:textId="77777777" w:rsidR="00527930" w:rsidRDefault="005279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132C" w14:textId="77777777" w:rsidR="008F148A" w:rsidRDefault="008F148A" w:rsidP="00D847F2">
      <w:pPr>
        <w:spacing w:after="0" w:line="240" w:lineRule="auto"/>
      </w:pPr>
      <w:r>
        <w:separator/>
      </w:r>
    </w:p>
  </w:footnote>
  <w:footnote w:type="continuationSeparator" w:id="0">
    <w:p w14:paraId="3B136D63" w14:textId="77777777" w:rsidR="008F148A" w:rsidRDefault="008F148A" w:rsidP="00D847F2">
      <w:pPr>
        <w:spacing w:after="0" w:line="240" w:lineRule="auto"/>
      </w:pPr>
      <w:r>
        <w:continuationSeparator/>
      </w:r>
    </w:p>
  </w:footnote>
  <w:footnote w:id="1">
    <w:p w14:paraId="6FC42BDB" w14:textId="49486EF6" w:rsidR="00527930" w:rsidRPr="003A10E9" w:rsidRDefault="00527930" w:rsidP="00D847F2">
      <w:pPr>
        <w:pStyle w:val="Sprotnaopomba-besedilo"/>
        <w:spacing w:line="240" w:lineRule="auto"/>
        <w:rPr>
          <w:sz w:val="16"/>
          <w:szCs w:val="16"/>
        </w:rPr>
      </w:pPr>
      <w:r w:rsidRPr="003A10E9">
        <w:rPr>
          <w:rStyle w:val="Sprotnaopomba-sklic"/>
          <w:sz w:val="16"/>
          <w:szCs w:val="16"/>
        </w:rPr>
        <w:footnoteRef/>
      </w:r>
      <w:r w:rsidRPr="003A10E9">
        <w:rPr>
          <w:sz w:val="16"/>
          <w:szCs w:val="16"/>
        </w:rPr>
        <w:t xml:space="preserve"> Uradni list RS, št. 36/20</w:t>
      </w:r>
      <w:r>
        <w:rPr>
          <w:sz w:val="16"/>
          <w:szCs w:val="16"/>
        </w:rPr>
        <w:t>.</w:t>
      </w:r>
    </w:p>
  </w:footnote>
  <w:footnote w:id="2">
    <w:p w14:paraId="53D356C3" w14:textId="7AD59EAB" w:rsidR="00527930" w:rsidRPr="003A10E9" w:rsidRDefault="00527930" w:rsidP="00D847F2">
      <w:pPr>
        <w:pStyle w:val="Sprotnaopomba-besedilo"/>
        <w:spacing w:line="240" w:lineRule="auto"/>
        <w:rPr>
          <w:sz w:val="16"/>
          <w:szCs w:val="16"/>
        </w:rPr>
      </w:pPr>
      <w:r w:rsidRPr="003A10E9">
        <w:rPr>
          <w:rStyle w:val="Sprotnaopomba-sklic"/>
          <w:sz w:val="16"/>
          <w:szCs w:val="16"/>
        </w:rPr>
        <w:footnoteRef/>
      </w:r>
      <w:r w:rsidRPr="003A10E9">
        <w:rPr>
          <w:sz w:val="16"/>
          <w:szCs w:val="16"/>
        </w:rPr>
        <w:t xml:space="preserve"> Uradni list RS, št. 175/20, 203/20 – ZIUPOPDVE, 15/21 – ZDUOP, 51/21 – ZZVZZ-O, 57/21 – odl. US in 112/21 – ZIUPGT</w:t>
      </w:r>
      <w:r>
        <w:rPr>
          <w:sz w:val="16"/>
          <w:szCs w:val="16"/>
        </w:rPr>
        <w:t>.</w:t>
      </w:r>
    </w:p>
  </w:footnote>
  <w:footnote w:id="3">
    <w:p w14:paraId="6DB44763" w14:textId="20C51402" w:rsidR="00527930" w:rsidRPr="003A10E9" w:rsidRDefault="00527930" w:rsidP="00D847F2">
      <w:pPr>
        <w:pStyle w:val="Sprotnaopomba-besedilo"/>
        <w:spacing w:line="276" w:lineRule="auto"/>
        <w:jc w:val="both"/>
        <w:rPr>
          <w:sz w:val="16"/>
          <w:szCs w:val="16"/>
        </w:rPr>
      </w:pPr>
      <w:bookmarkStart w:id="1" w:name="_Hlk129329249"/>
      <w:r w:rsidRPr="003A10E9">
        <w:rPr>
          <w:rStyle w:val="Sprotnaopomba-sklic"/>
          <w:sz w:val="16"/>
          <w:szCs w:val="16"/>
        </w:rPr>
        <w:footnoteRef/>
      </w:r>
      <w:r w:rsidRPr="003A10E9">
        <w:rPr>
          <w:rFonts w:cs="Arial"/>
          <w:sz w:val="16"/>
          <w:szCs w:val="16"/>
        </w:rPr>
        <w:t xml:space="preserve"> Gre za kumulativni davčni dolg, ki se nanaša na nastale dolgove zadnjih </w:t>
      </w:r>
      <w:r>
        <w:rPr>
          <w:rFonts w:cs="Arial"/>
          <w:sz w:val="16"/>
          <w:szCs w:val="16"/>
        </w:rPr>
        <w:t>desetih</w:t>
      </w:r>
      <w:r w:rsidRPr="003A10E9">
        <w:rPr>
          <w:rFonts w:cs="Arial"/>
          <w:sz w:val="16"/>
          <w:szCs w:val="16"/>
        </w:rPr>
        <w:t xml:space="preserve"> let, kar je povezano z rokom absolutnega zastaranja davčnih obveznosti. Struktura davčnega dolga glede na nastanek dolga </w:t>
      </w:r>
      <w:r w:rsidR="00B42B8E">
        <w:rPr>
          <w:rFonts w:cs="Arial"/>
          <w:sz w:val="16"/>
          <w:szCs w:val="16"/>
        </w:rPr>
        <w:t>glede na</w:t>
      </w:r>
      <w:r w:rsidRPr="003A10E9">
        <w:rPr>
          <w:rFonts w:cs="Arial"/>
          <w:sz w:val="16"/>
          <w:szCs w:val="16"/>
        </w:rPr>
        <w:t xml:space="preserve"> dospelost v plačilo je </w:t>
      </w:r>
      <w:r>
        <w:rPr>
          <w:rFonts w:cs="Arial"/>
          <w:sz w:val="16"/>
          <w:szCs w:val="16"/>
        </w:rPr>
        <w:t>vsebina</w:t>
      </w:r>
      <w:r w:rsidRPr="003A10E9">
        <w:rPr>
          <w:rFonts w:cs="Arial"/>
          <w:sz w:val="16"/>
          <w:szCs w:val="16"/>
        </w:rPr>
        <w:t xml:space="preserve"> preglednice 8. </w:t>
      </w:r>
      <w:bookmarkEnd w:id="1"/>
    </w:p>
  </w:footnote>
  <w:footnote w:id="4">
    <w:p w14:paraId="382384EC" w14:textId="77777777" w:rsidR="00527930" w:rsidRPr="008A0731" w:rsidRDefault="00527930" w:rsidP="00D847F2">
      <w:pPr>
        <w:pStyle w:val="Sprotnaopomba-besedilo"/>
        <w:rPr>
          <w:sz w:val="16"/>
          <w:szCs w:val="16"/>
        </w:rPr>
      </w:pPr>
      <w:r w:rsidRPr="008A0731">
        <w:rPr>
          <w:rStyle w:val="Sprotnaopomba-sklic"/>
          <w:sz w:val="16"/>
          <w:szCs w:val="16"/>
        </w:rPr>
        <w:footnoteRef/>
      </w:r>
      <w:r w:rsidRPr="008A0731">
        <w:rPr>
          <w:sz w:val="16"/>
          <w:szCs w:val="16"/>
        </w:rPr>
        <w:t xml:space="preserve"> Uradni list RS, št. 36/20, 49/20 – ZIUZEOP, 61/20 – ZIUZEOP-A in 80/20 – ZIUOOPE.</w:t>
      </w:r>
    </w:p>
  </w:footnote>
  <w:footnote w:id="5">
    <w:p w14:paraId="45AF1133" w14:textId="439D42DB" w:rsidR="00527930" w:rsidRPr="00791678" w:rsidRDefault="00527930" w:rsidP="00D847F2">
      <w:pPr>
        <w:pStyle w:val="Brezrazmikov"/>
        <w:rPr>
          <w:rFonts w:ascii="Arial" w:hAnsi="Arial" w:cs="Arial"/>
          <w:sz w:val="16"/>
          <w:szCs w:val="16"/>
        </w:rPr>
      </w:pPr>
      <w:r w:rsidRPr="00CC6663">
        <w:rPr>
          <w:rStyle w:val="Sprotnaopomba-sklic"/>
          <w:rFonts w:ascii="Arial" w:hAnsi="Arial" w:cs="Arial"/>
          <w:sz w:val="16"/>
          <w:szCs w:val="16"/>
        </w:rPr>
        <w:footnoteRef/>
      </w:r>
      <w:r w:rsidRPr="00CC6663">
        <w:t xml:space="preserve"> </w:t>
      </w:r>
      <w:r w:rsidRPr="00CC6663">
        <w:rPr>
          <w:rFonts w:ascii="Arial" w:hAnsi="Arial" w:cs="Arial"/>
          <w:sz w:val="16"/>
          <w:szCs w:val="16"/>
        </w:rPr>
        <w:t xml:space="preserve">Vir podatkov </w:t>
      </w:r>
      <w:r>
        <w:rPr>
          <w:rFonts w:ascii="Arial" w:hAnsi="Arial" w:cs="Arial"/>
          <w:sz w:val="16"/>
          <w:szCs w:val="16"/>
        </w:rPr>
        <w:t xml:space="preserve">je </w:t>
      </w:r>
      <w:r w:rsidRPr="00CC6663">
        <w:rPr>
          <w:rFonts w:ascii="Arial" w:hAnsi="Arial" w:cs="Arial"/>
          <w:sz w:val="16"/>
          <w:szCs w:val="16"/>
        </w:rPr>
        <w:t>spletna stran MF, Bilance državnega proračuna, Državni proračun 1992</w:t>
      </w:r>
      <w:r>
        <w:rPr>
          <w:rFonts w:ascii="Arial" w:hAnsi="Arial" w:cs="Arial"/>
          <w:sz w:val="16"/>
          <w:szCs w:val="16"/>
        </w:rPr>
        <w:t>–</w:t>
      </w:r>
      <w:r w:rsidRPr="00CC6663">
        <w:rPr>
          <w:rFonts w:ascii="Arial" w:hAnsi="Arial" w:cs="Arial"/>
          <w:sz w:val="16"/>
          <w:szCs w:val="16"/>
        </w:rPr>
        <w:t>202</w:t>
      </w:r>
      <w:r>
        <w:rPr>
          <w:rFonts w:ascii="Arial" w:hAnsi="Arial" w:cs="Arial"/>
          <w:sz w:val="16"/>
          <w:szCs w:val="16"/>
        </w:rPr>
        <w:t>2</w:t>
      </w:r>
      <w:r w:rsidRPr="00CC6663">
        <w:rPr>
          <w:rFonts w:ascii="Arial" w:hAnsi="Arial" w:cs="Arial"/>
          <w:sz w:val="16"/>
          <w:szCs w:val="16"/>
        </w:rPr>
        <w:t xml:space="preserve">: </w:t>
      </w:r>
      <w:hyperlink r:id="rId1" w:history="1">
        <w:r w:rsidRPr="00791678">
          <w:rPr>
            <w:rStyle w:val="Hiperpovezava"/>
            <w:rFonts w:cs="Arial"/>
            <w:sz w:val="16"/>
            <w:szCs w:val="16"/>
          </w:rPr>
          <w:t>https://www.gov.si/teme/fiskalna-in-javnofinancna-politika/</w:t>
        </w:r>
      </w:hyperlink>
      <w:r>
        <w:rPr>
          <w:rStyle w:val="Hiperpovezava"/>
          <w:rFonts w:cs="Arial"/>
          <w:sz w:val="16"/>
          <w:szCs w:val="16"/>
        </w:rPr>
        <w:t>.</w:t>
      </w:r>
    </w:p>
  </w:footnote>
  <w:footnote w:id="6">
    <w:p w14:paraId="6833A598" w14:textId="23F9C3CF" w:rsidR="00527930" w:rsidRPr="003A10E9" w:rsidRDefault="00527930" w:rsidP="00D847F2">
      <w:pPr>
        <w:pStyle w:val="Sprotnaopomba-besedilo"/>
        <w:spacing w:line="276" w:lineRule="auto"/>
        <w:rPr>
          <w:sz w:val="16"/>
          <w:szCs w:val="16"/>
        </w:rPr>
      </w:pPr>
      <w:r w:rsidRPr="003A10E9">
        <w:rPr>
          <w:rStyle w:val="Sprotnaopomba-sklic"/>
          <w:sz w:val="16"/>
          <w:szCs w:val="16"/>
        </w:rPr>
        <w:footnoteRef/>
      </w:r>
      <w:r w:rsidRPr="003A10E9">
        <w:rPr>
          <w:sz w:val="16"/>
          <w:szCs w:val="16"/>
        </w:rPr>
        <w:t xml:space="preserve"> Uradni list RS, št. 13/11 – uradno prečiščeno besedilo, 32/12, 94/12, 101/13 – ZDavNepr, 111/13, 22/14 – odl. US, 25/14 – ZFU, 40/14 – ZIN-B, 90/14, 91/15, 63/16, 69/17, 13/18 – ZJF-H, 36/19, 66/19, 145/20 – odl. US, 203/20 – ZIUPOPDVE, 39/22 – ZFU-A, 52/22 – odl. US in 87/22 – odl. US in 163/22</w:t>
      </w:r>
      <w:r>
        <w:rPr>
          <w:sz w:val="16"/>
          <w:szCs w:val="16"/>
        </w:rPr>
        <w:t xml:space="preserve">. </w:t>
      </w:r>
    </w:p>
    <w:p w14:paraId="2064B0C8" w14:textId="77777777" w:rsidR="00527930" w:rsidRPr="00CC6663" w:rsidRDefault="00527930" w:rsidP="00D847F2">
      <w:pPr>
        <w:pStyle w:val="Sprotnaopomba-besedilo"/>
        <w:spacing w:line="276" w:lineRule="auto"/>
        <w:rPr>
          <w:sz w:val="16"/>
          <w:szCs w:val="16"/>
        </w:rPr>
      </w:pPr>
    </w:p>
    <w:p w14:paraId="51DEA619" w14:textId="77777777" w:rsidR="00527930" w:rsidRPr="004E7D0E" w:rsidRDefault="00527930" w:rsidP="00D847F2">
      <w:pPr>
        <w:pStyle w:val="Sprotnaopomba-besedilo"/>
        <w:spacing w:line="276" w:lineRule="auto"/>
        <w:rPr>
          <w:sz w:val="16"/>
          <w:szCs w:val="16"/>
        </w:rPr>
      </w:pPr>
    </w:p>
  </w:footnote>
  <w:footnote w:id="7">
    <w:p w14:paraId="6596E4D2" w14:textId="031A92E5" w:rsidR="00527930" w:rsidRPr="00A33E86" w:rsidRDefault="00527930" w:rsidP="00D847F2">
      <w:pPr>
        <w:pStyle w:val="Sprotnaopomba-besedilo"/>
        <w:spacing w:line="240" w:lineRule="auto"/>
        <w:jc w:val="both"/>
        <w:rPr>
          <w:rFonts w:cs="Arial"/>
          <w:sz w:val="16"/>
          <w:szCs w:val="16"/>
        </w:rPr>
      </w:pPr>
      <w:r w:rsidRPr="00650904">
        <w:rPr>
          <w:rStyle w:val="Sprotnaopomba-sklic"/>
          <w:rFonts w:cs="Arial"/>
          <w:sz w:val="18"/>
          <w:szCs w:val="18"/>
        </w:rPr>
        <w:footnoteRef/>
      </w:r>
      <w:r w:rsidRPr="00650904">
        <w:rPr>
          <w:rFonts w:cs="Arial"/>
          <w:sz w:val="18"/>
          <w:szCs w:val="18"/>
        </w:rPr>
        <w:t xml:space="preserve"> </w:t>
      </w:r>
      <w:r w:rsidRPr="00A33E86">
        <w:rPr>
          <w:rFonts w:cs="Arial"/>
          <w:sz w:val="16"/>
          <w:szCs w:val="16"/>
        </w:rPr>
        <w:t>Z Zakonom o spremembah in dopolnitvah Zakona o finančnem poslovanju, postopkih zaradi insolventnosti in prisilnem prenehanju (Uradni list RS, št. 27/16) je bila spremenjena opredelitev prednostnih terjatev, na katere odpust ne učinkuje, na način, da se za prednostne terjatve štejejo vse terjatve iz naslova prispevkov, nastale pred začetkom postopka zaradi insolventnosti</w:t>
      </w:r>
      <w:r>
        <w:rPr>
          <w:rFonts w:cs="Arial"/>
          <w:sz w:val="16"/>
          <w:szCs w:val="16"/>
        </w:rPr>
        <w:t>,</w:t>
      </w:r>
      <w:r w:rsidRPr="00A33E86">
        <w:rPr>
          <w:rFonts w:cs="Arial"/>
          <w:sz w:val="16"/>
          <w:szCs w:val="16"/>
        </w:rPr>
        <w:t xml:space="preserve"> in ne več samo terjatve iz naslova prispevkov, ki so nastale v zadnjem letu pred začetkom postopka zaradi insolventnosti.</w:t>
      </w:r>
    </w:p>
  </w:footnote>
  <w:footnote w:id="8">
    <w:p w14:paraId="68D54106" w14:textId="2D820BAC" w:rsidR="00527930" w:rsidRPr="00CC6663" w:rsidRDefault="00527930" w:rsidP="00D847F2">
      <w:pPr>
        <w:pStyle w:val="Sprotnaopomba-besedilo"/>
        <w:spacing w:line="240" w:lineRule="auto"/>
        <w:jc w:val="both"/>
        <w:rPr>
          <w:sz w:val="16"/>
          <w:szCs w:val="16"/>
        </w:rPr>
      </w:pPr>
      <w:r w:rsidRPr="00B72BD3">
        <w:rPr>
          <w:rStyle w:val="Sprotnaopomba-sklic"/>
          <w:sz w:val="18"/>
          <w:szCs w:val="18"/>
        </w:rPr>
        <w:footnoteRef/>
      </w:r>
      <w:r w:rsidRPr="00B72BD3">
        <w:rPr>
          <w:sz w:val="18"/>
          <w:szCs w:val="18"/>
        </w:rPr>
        <w:t xml:space="preserve"> </w:t>
      </w:r>
      <w:r w:rsidRPr="00CC6663">
        <w:rPr>
          <w:sz w:val="16"/>
          <w:szCs w:val="16"/>
        </w:rPr>
        <w:t xml:space="preserve">V skladu s 5. členom Zakona o finančnem poslovanju, postopkih zaradi insolventnosti in prisilnem prenehanju </w:t>
      </w:r>
      <w:r w:rsidRPr="00CC6663">
        <w:rPr>
          <w:rFonts w:cs="Arial"/>
          <w:sz w:val="16"/>
          <w:szCs w:val="16"/>
          <w:shd w:val="clear" w:color="auto" w:fill="FFFFFF"/>
        </w:rPr>
        <w:t>(Uradni list RS, št</w:t>
      </w:r>
      <w:r w:rsidRPr="00A647B5">
        <w:rPr>
          <w:rFonts w:cs="Arial"/>
          <w:sz w:val="16"/>
          <w:szCs w:val="16"/>
          <w:shd w:val="clear" w:color="auto" w:fill="FFFFFF"/>
        </w:rPr>
        <w:t>. </w:t>
      </w:r>
      <w:hyperlink r:id="rId2" w:tgtFrame="_blank" w:tooltip="Zakon o finančnem poslovanju, postopkih zaradi insolventnosti in prisilnem prenehanju (uradno prečiščeno besedilo)" w:history="1">
        <w:r w:rsidRPr="00A647B5">
          <w:rPr>
            <w:rStyle w:val="Hiperpovezava"/>
            <w:rFonts w:cs="Arial"/>
            <w:sz w:val="16"/>
            <w:szCs w:val="16"/>
            <w:shd w:val="clear" w:color="auto" w:fill="FFFFFF"/>
          </w:rPr>
          <w:t>176/21</w:t>
        </w:r>
      </w:hyperlink>
      <w:r w:rsidRPr="00A647B5">
        <w:rPr>
          <w:rFonts w:cs="Arial"/>
          <w:sz w:val="16"/>
          <w:szCs w:val="16"/>
          <w:shd w:val="clear" w:color="auto" w:fill="FFFFFF"/>
        </w:rPr>
        <w:t> – uradno prečiščeno besedilo, </w:t>
      </w:r>
      <w:hyperlink r:id="rId3" w:tgtFrame="_blank" w:tooltip="Popravek Uradnega prečiščenega besedila Zakona o finančnem poslovanju, postopkih zaradi insolventnosti in prisilnem prenehanju (ZFPPIPP-UPB17)" w:history="1">
        <w:r w:rsidRPr="00A647B5">
          <w:rPr>
            <w:rStyle w:val="Hiperpovezava"/>
            <w:rFonts w:cs="Arial"/>
            <w:sz w:val="16"/>
            <w:szCs w:val="16"/>
            <w:shd w:val="clear" w:color="auto" w:fill="FFFFFF"/>
          </w:rPr>
          <w:t>178/21 – popr.</w:t>
        </w:r>
      </w:hyperlink>
      <w:r w:rsidRPr="00A647B5">
        <w:rPr>
          <w:rFonts w:cs="Arial"/>
          <w:sz w:val="16"/>
          <w:szCs w:val="16"/>
          <w:shd w:val="clear" w:color="auto" w:fill="FFFFFF"/>
        </w:rPr>
        <w:t> in </w:t>
      </w:r>
      <w:hyperlink r:id="rId4" w:tgtFrame="_blank" w:tooltip="Odločba o delni razveljavitvi drugega odstavka 34. člena Zakona o spremembah in dopolnitvah Zakona o finančnem poslovanju, postopkih zaradi insolventnosti in prisilnem prenehanju" w:history="1">
        <w:r w:rsidRPr="00A647B5">
          <w:rPr>
            <w:rStyle w:val="Hiperpovezava"/>
            <w:rFonts w:cs="Arial"/>
            <w:sz w:val="16"/>
            <w:szCs w:val="16"/>
            <w:shd w:val="clear" w:color="auto" w:fill="FFFFFF"/>
          </w:rPr>
          <w:t>196/21</w:t>
        </w:r>
      </w:hyperlink>
      <w:r w:rsidRPr="00A647B5">
        <w:rPr>
          <w:rFonts w:cs="Arial"/>
          <w:sz w:val="16"/>
          <w:szCs w:val="16"/>
          <w:shd w:val="clear" w:color="auto" w:fill="FFFFFF"/>
        </w:rPr>
        <w:t> – odl. US</w:t>
      </w:r>
      <w:r>
        <w:rPr>
          <w:rFonts w:cs="Arial"/>
          <w:sz w:val="16"/>
          <w:szCs w:val="16"/>
          <w:shd w:val="clear" w:color="auto" w:fill="FFFFFF"/>
        </w:rPr>
        <w:t>,</w:t>
      </w:r>
      <w:r w:rsidRPr="00872088">
        <w:rPr>
          <w:rFonts w:ascii="Calibri" w:eastAsia="Calibri" w:hAnsi="Calibri"/>
          <w:sz w:val="22"/>
          <w:szCs w:val="22"/>
        </w:rPr>
        <w:t xml:space="preserve"> </w:t>
      </w:r>
      <w:hyperlink r:id="rId5"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158A6">
          <w:rPr>
            <w:rFonts w:eastAsia="Calibri" w:cs="Arial"/>
            <w:color w:val="0000FF"/>
            <w:sz w:val="16"/>
            <w:szCs w:val="16"/>
            <w:u w:val="single"/>
          </w:rPr>
          <w:t>157/22</w:t>
        </w:r>
      </w:hyperlink>
      <w:r w:rsidRPr="00D158A6">
        <w:rPr>
          <w:rFonts w:eastAsia="Calibri" w:cs="Arial"/>
          <w:sz w:val="16"/>
          <w:szCs w:val="16"/>
        </w:rPr>
        <w:t xml:space="preserve"> – odl. US, </w:t>
      </w:r>
      <w:hyperlink r:id="rId6" w:tgtFrame="_blank" w:tooltip="Odločba o ugotovitvi, da je 221.i člen Zakona o finančnem poslovanju, postopkih zaradi insolventnosti in prisilnem prenehanju v neskladju z Ustavo" w:history="1">
        <w:r w:rsidRPr="00D158A6">
          <w:rPr>
            <w:rFonts w:eastAsia="Calibri" w:cs="Arial"/>
            <w:color w:val="0000FF"/>
            <w:sz w:val="16"/>
            <w:szCs w:val="16"/>
            <w:u w:val="single"/>
          </w:rPr>
          <w:t>35/23</w:t>
        </w:r>
      </w:hyperlink>
      <w:r w:rsidRPr="00D158A6">
        <w:rPr>
          <w:rFonts w:eastAsia="Calibri" w:cs="Arial"/>
          <w:sz w:val="16"/>
          <w:szCs w:val="16"/>
        </w:rPr>
        <w:t xml:space="preserve"> – odl. US in </w:t>
      </w:r>
      <w:hyperlink r:id="rId7" w:tgtFrame="_blank" w:tooltip="Odločba o ugotovitvi, da je deveti odstavek v zvezi s 1. točko drugega odstavka 112. člena Zakona o finančnem poslovanju, postopkih zaradi insolventnosti in prisilnem prenehanju v neskladju z Ustavo" w:history="1">
        <w:r w:rsidRPr="00D158A6">
          <w:rPr>
            <w:rFonts w:eastAsia="Calibri" w:cs="Arial"/>
            <w:color w:val="0000FF"/>
            <w:sz w:val="16"/>
            <w:szCs w:val="16"/>
            <w:u w:val="single"/>
          </w:rPr>
          <w:t>57/23</w:t>
        </w:r>
      </w:hyperlink>
      <w:r w:rsidRPr="00D158A6">
        <w:rPr>
          <w:rFonts w:eastAsia="Calibri" w:cs="Arial"/>
          <w:sz w:val="16"/>
          <w:szCs w:val="16"/>
        </w:rPr>
        <w:t xml:space="preserve"> – odl. US</w:t>
      </w:r>
      <w:r w:rsidRPr="00CC6663">
        <w:rPr>
          <w:rFonts w:cs="Arial"/>
          <w:sz w:val="16"/>
          <w:szCs w:val="16"/>
          <w:shd w:val="clear" w:color="auto" w:fill="FFFFFF"/>
        </w:rPr>
        <w:t>)</w:t>
      </w:r>
      <w:r w:rsidRPr="00CC6663">
        <w:rPr>
          <w:rFonts w:cs="Arial"/>
          <w:b/>
          <w:bCs/>
          <w:sz w:val="16"/>
          <w:szCs w:val="16"/>
          <w:shd w:val="clear" w:color="auto" w:fill="FFFFFF"/>
        </w:rPr>
        <w:t xml:space="preserve"> </w:t>
      </w:r>
      <w:r w:rsidRPr="00CC6663">
        <w:rPr>
          <w:sz w:val="16"/>
          <w:szCs w:val="16"/>
        </w:rPr>
        <w:t>so to: prisilna poravnava, poenostavljena prisilna poravnava, stečajni postopek nad pravno osebo, postopek osebnega stečaja in postopek stečaja zapuščine.</w:t>
      </w:r>
    </w:p>
  </w:footnote>
  <w:footnote w:id="9">
    <w:p w14:paraId="582C833B" w14:textId="71068CF7" w:rsidR="00527930" w:rsidRPr="00CC6663" w:rsidRDefault="00527930" w:rsidP="00D847F2">
      <w:pPr>
        <w:pStyle w:val="Sprotnaopomba-besedilo"/>
        <w:rPr>
          <w:sz w:val="16"/>
          <w:szCs w:val="16"/>
        </w:rPr>
      </w:pPr>
      <w:r w:rsidRPr="00CC6663">
        <w:rPr>
          <w:rStyle w:val="Sprotnaopomba-sklic"/>
          <w:sz w:val="16"/>
          <w:szCs w:val="16"/>
        </w:rPr>
        <w:footnoteRef/>
      </w:r>
      <w:r w:rsidRPr="00CC6663">
        <w:rPr>
          <w:sz w:val="16"/>
          <w:szCs w:val="16"/>
        </w:rPr>
        <w:t xml:space="preserve"> Vir:</w:t>
      </w:r>
      <w:r>
        <w:rPr>
          <w:sz w:val="16"/>
          <w:szCs w:val="16"/>
        </w:rPr>
        <w:t xml:space="preserve"> </w:t>
      </w:r>
      <w:r w:rsidRPr="00CC6663">
        <w:rPr>
          <w:sz w:val="16"/>
          <w:szCs w:val="16"/>
        </w:rPr>
        <w:t>Ministrstvo za pravosodje, Direktorat za civilno pravo: Podatki o insolvečnih postopkih, ki jih vodijo sodišča v RS.</w:t>
      </w:r>
    </w:p>
  </w:footnote>
  <w:footnote w:id="10">
    <w:p w14:paraId="3EB35888" w14:textId="50862BA6" w:rsidR="00527930" w:rsidRPr="006168BB" w:rsidRDefault="00527930" w:rsidP="00D847F2">
      <w:pPr>
        <w:pStyle w:val="Sprotnaopomba-besedilo"/>
        <w:rPr>
          <w:rFonts w:cs="Arial"/>
          <w:sz w:val="16"/>
          <w:szCs w:val="16"/>
        </w:rPr>
      </w:pPr>
      <w:r w:rsidRPr="009148B5">
        <w:rPr>
          <w:rStyle w:val="Sprotnaopomba-sklic"/>
          <w:rFonts w:cs="Arial"/>
          <w:sz w:val="16"/>
          <w:szCs w:val="16"/>
        </w:rPr>
        <w:footnoteRef/>
      </w:r>
      <w:r w:rsidRPr="009148B5">
        <w:rPr>
          <w:rFonts w:cs="Arial"/>
          <w:sz w:val="16"/>
          <w:szCs w:val="16"/>
        </w:rPr>
        <w:t xml:space="preserve"> </w:t>
      </w:r>
      <w:r w:rsidRPr="006168BB">
        <w:rPr>
          <w:rFonts w:eastAsia="Calibri" w:cs="Arial"/>
          <w:sz w:val="16"/>
          <w:szCs w:val="16"/>
        </w:rPr>
        <w:t xml:space="preserve">(Uradni list RS, </w:t>
      </w:r>
      <w:r w:rsidRPr="00D158A6">
        <w:rPr>
          <w:rFonts w:eastAsia="Calibri" w:cs="Arial"/>
          <w:sz w:val="16"/>
          <w:szCs w:val="16"/>
        </w:rPr>
        <w:t xml:space="preserve">št. </w:t>
      </w:r>
      <w:hyperlink r:id="rId8" w:tgtFrame="_blank" w:tooltip="Zakon o finančnem poslovanju, postopkih zaradi insolventnosti in prisilnem prenehanju (uradno prečiščeno besedilo)" w:history="1">
        <w:r w:rsidRPr="00D158A6">
          <w:rPr>
            <w:rFonts w:eastAsia="Calibri" w:cs="Arial"/>
            <w:color w:val="0000FF"/>
            <w:sz w:val="16"/>
            <w:szCs w:val="16"/>
            <w:u w:val="single"/>
          </w:rPr>
          <w:t>176/21</w:t>
        </w:r>
      </w:hyperlink>
      <w:r w:rsidRPr="00D158A6">
        <w:rPr>
          <w:rFonts w:eastAsia="Calibri" w:cs="Arial"/>
          <w:sz w:val="16"/>
          <w:szCs w:val="16"/>
        </w:rPr>
        <w:t xml:space="preserve"> – uradno prečiščeno besedilo, </w:t>
      </w:r>
      <w:hyperlink r:id="rId9" w:tgtFrame="_blank" w:tooltip="Popravek Uradnega prečiščenega besedila Zakona o finančnem poslovanju, postopkih zaradi insolventnosti in prisilnem prenehanju (ZFPPIPP-UPB17)" w:history="1">
        <w:r w:rsidRPr="00D158A6">
          <w:rPr>
            <w:rFonts w:eastAsia="Calibri" w:cs="Arial"/>
            <w:color w:val="0000FF"/>
            <w:sz w:val="16"/>
            <w:szCs w:val="16"/>
            <w:u w:val="single"/>
          </w:rPr>
          <w:t>178/21 – popr.</w:t>
        </w:r>
      </w:hyperlink>
      <w:r w:rsidRPr="00D158A6">
        <w:rPr>
          <w:rFonts w:eastAsia="Calibri" w:cs="Arial"/>
          <w:sz w:val="16"/>
          <w:szCs w:val="16"/>
        </w:rPr>
        <w:t xml:space="preserve">, </w:t>
      </w:r>
      <w:hyperlink r:id="rId10" w:tgtFrame="_blank" w:tooltip="Odločba o delni razveljavitvi drugega odstavka 34. člena Zakona o spremembah in dopolnitvah Zakona o finančnem poslovanju, postopkih zaradi insolventnosti in prisilnem prenehanju" w:history="1">
        <w:r w:rsidRPr="00D158A6">
          <w:rPr>
            <w:rFonts w:eastAsia="Calibri" w:cs="Arial"/>
            <w:color w:val="0000FF"/>
            <w:sz w:val="16"/>
            <w:szCs w:val="16"/>
            <w:u w:val="single"/>
          </w:rPr>
          <w:t>196/21</w:t>
        </w:r>
      </w:hyperlink>
      <w:r w:rsidRPr="00D158A6">
        <w:rPr>
          <w:rFonts w:eastAsia="Calibri" w:cs="Arial"/>
          <w:sz w:val="16"/>
          <w:szCs w:val="16"/>
        </w:rPr>
        <w:t xml:space="preserve"> – odl. US, </w:t>
      </w:r>
      <w:hyperlink r:id="rId11"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158A6">
          <w:rPr>
            <w:rFonts w:eastAsia="Calibri" w:cs="Arial"/>
            <w:color w:val="0000FF"/>
            <w:sz w:val="16"/>
            <w:szCs w:val="16"/>
            <w:u w:val="single"/>
          </w:rPr>
          <w:t>157/22</w:t>
        </w:r>
      </w:hyperlink>
      <w:r w:rsidRPr="00D158A6">
        <w:rPr>
          <w:rFonts w:eastAsia="Calibri" w:cs="Arial"/>
          <w:sz w:val="16"/>
          <w:szCs w:val="16"/>
        </w:rPr>
        <w:t xml:space="preserve"> – odl. US, </w:t>
      </w:r>
      <w:hyperlink r:id="rId12" w:tgtFrame="_blank" w:tooltip="Odločba o ugotovitvi, da je 221.i člen Zakona o finančnem poslovanju, postopkih zaradi insolventnosti in prisilnem prenehanju v neskladju z Ustavo" w:history="1">
        <w:r w:rsidRPr="00D158A6">
          <w:rPr>
            <w:rFonts w:eastAsia="Calibri" w:cs="Arial"/>
            <w:color w:val="0000FF"/>
            <w:sz w:val="16"/>
            <w:szCs w:val="16"/>
            <w:u w:val="single"/>
          </w:rPr>
          <w:t>35/23</w:t>
        </w:r>
      </w:hyperlink>
      <w:r w:rsidRPr="00D158A6">
        <w:rPr>
          <w:rFonts w:eastAsia="Calibri" w:cs="Arial"/>
          <w:sz w:val="16"/>
          <w:szCs w:val="16"/>
        </w:rPr>
        <w:t xml:space="preserve"> – odl. US in </w:t>
      </w:r>
      <w:hyperlink r:id="rId13" w:tgtFrame="_blank" w:tooltip="Odločba o ugotovitvi, da je deveti odstavek v zvezi s 1. točko drugega odstavka 112. člena Zakona o finančnem poslovanju, postopkih zaradi insolventnosti in prisilnem prenehanju v neskladju z Ustavo" w:history="1">
        <w:r w:rsidRPr="00D158A6">
          <w:rPr>
            <w:rFonts w:eastAsia="Calibri" w:cs="Arial"/>
            <w:color w:val="0000FF"/>
            <w:sz w:val="16"/>
            <w:szCs w:val="16"/>
            <w:u w:val="single"/>
          </w:rPr>
          <w:t>57/23</w:t>
        </w:r>
      </w:hyperlink>
      <w:r w:rsidRPr="00D158A6">
        <w:rPr>
          <w:rFonts w:eastAsia="Calibri" w:cs="Arial"/>
          <w:sz w:val="16"/>
          <w:szCs w:val="16"/>
        </w:rPr>
        <w:t xml:space="preserve"> – odl. US)</w:t>
      </w:r>
      <w:r>
        <w:rPr>
          <w:rFonts w:eastAsia="Calibri" w:cs="Arial"/>
          <w:sz w:val="16"/>
          <w:szCs w:val="16"/>
        </w:rPr>
        <w:t>.</w:t>
      </w:r>
    </w:p>
  </w:footnote>
  <w:footnote w:id="11">
    <w:p w14:paraId="01583B0B" w14:textId="77777777" w:rsidR="00527930" w:rsidRPr="00FB57B6" w:rsidRDefault="00527930" w:rsidP="00D847F2">
      <w:pPr>
        <w:pStyle w:val="Sprotnaopomba-besedilo"/>
        <w:spacing w:line="240" w:lineRule="auto"/>
        <w:jc w:val="both"/>
        <w:rPr>
          <w:sz w:val="16"/>
          <w:szCs w:val="16"/>
        </w:rPr>
      </w:pPr>
      <w:r w:rsidRPr="00FB57B6">
        <w:rPr>
          <w:rStyle w:val="Sprotnaopomba-sklic"/>
          <w:sz w:val="16"/>
          <w:szCs w:val="16"/>
        </w:rPr>
        <w:footnoteRef/>
      </w:r>
      <w:r w:rsidRPr="00FB57B6">
        <w:rPr>
          <w:sz w:val="16"/>
          <w:szCs w:val="16"/>
        </w:rPr>
        <w:t xml:space="preserve"> V skupino nedavčnih prihodkov sodijo prihodki iz udeležbe pri dobičku in dohodku od premoženja, takse in pristojbine, denarne kazni in drugi nedavčni prihodki.</w:t>
      </w:r>
    </w:p>
    <w:p w14:paraId="30DDBC1C" w14:textId="77777777" w:rsidR="00527930" w:rsidRPr="00FB57B6" w:rsidRDefault="00527930" w:rsidP="00D847F2">
      <w:pPr>
        <w:pStyle w:val="Sprotnaopomba-besedilo"/>
        <w:spacing w:line="240" w:lineRule="auto"/>
        <w:jc w:val="both"/>
        <w:rPr>
          <w:sz w:val="16"/>
          <w:szCs w:val="16"/>
        </w:rPr>
      </w:pPr>
    </w:p>
    <w:p w14:paraId="458650F8" w14:textId="77777777" w:rsidR="00527930" w:rsidRDefault="00527930" w:rsidP="00D847F2">
      <w:pPr>
        <w:pStyle w:val="Sprotnaopomba-besedilo"/>
        <w:spacing w:line="240" w:lineRule="auto"/>
        <w:rPr>
          <w:sz w:val="16"/>
          <w:szCs w:val="16"/>
        </w:rPr>
      </w:pPr>
    </w:p>
    <w:p w14:paraId="4CDD146B" w14:textId="77777777" w:rsidR="00527930" w:rsidRDefault="00527930" w:rsidP="00D847F2">
      <w:pPr>
        <w:pStyle w:val="Sprotnaopomba-besedilo"/>
        <w:spacing w:line="240" w:lineRule="auto"/>
        <w:rPr>
          <w:sz w:val="16"/>
          <w:szCs w:val="16"/>
        </w:rPr>
      </w:pPr>
    </w:p>
    <w:p w14:paraId="5865389E" w14:textId="77777777" w:rsidR="00527930" w:rsidRPr="007C1B99" w:rsidRDefault="00527930" w:rsidP="00D847F2">
      <w:pPr>
        <w:pStyle w:val="Sprotnaopomba-besedilo"/>
        <w:spacing w:line="240" w:lineRule="auto"/>
        <w:rPr>
          <w:sz w:val="16"/>
          <w:szCs w:val="16"/>
        </w:rPr>
      </w:pPr>
    </w:p>
  </w:footnote>
  <w:footnote w:id="12">
    <w:p w14:paraId="3E39E6E1" w14:textId="775CDC75" w:rsidR="00527930" w:rsidRPr="003A10E9" w:rsidRDefault="00527930" w:rsidP="00D847F2">
      <w:pPr>
        <w:pStyle w:val="Brezrazmikov"/>
        <w:rPr>
          <w:rFonts w:ascii="Arial" w:hAnsi="Arial" w:cs="Arial"/>
          <w:color w:val="00B050"/>
          <w:sz w:val="16"/>
          <w:szCs w:val="16"/>
        </w:rPr>
      </w:pPr>
      <w:r w:rsidRPr="003A10E9">
        <w:rPr>
          <w:rStyle w:val="Sprotnaopomba-sklic"/>
          <w:rFonts w:ascii="Arial" w:hAnsi="Arial" w:cs="Arial"/>
          <w:sz w:val="16"/>
          <w:szCs w:val="16"/>
        </w:rPr>
        <w:footnoteRef/>
      </w:r>
      <w:r w:rsidRPr="003A10E9">
        <w:rPr>
          <w:rFonts w:ascii="Arial" w:hAnsi="Arial" w:cs="Arial"/>
          <w:sz w:val="16"/>
          <w:szCs w:val="16"/>
        </w:rPr>
        <w:t xml:space="preserve"> Uradni list RS, št. 141/06, 46/07, 102/07, 28/09, 101/11, 24/12, 32/12 – ZDavP-2E, 19/13, 45/14, 97/14, 39/15, 40/16, 85/16, 30/17, 37/18, 43/19, 80/19, 106/20, 200/20, 135/21, 43/22 in 166/22</w:t>
      </w:r>
      <w:r>
        <w:rPr>
          <w:rFonts w:ascii="Arial" w:hAnsi="Arial" w:cs="Arial"/>
          <w:sz w:val="16"/>
          <w:szCs w:val="16"/>
        </w:rPr>
        <w:t xml:space="preserve">. </w:t>
      </w:r>
    </w:p>
  </w:footnote>
  <w:footnote w:id="13">
    <w:p w14:paraId="4E5B2BA4" w14:textId="2FEA6D3C" w:rsidR="00527930" w:rsidRPr="003A10E9" w:rsidRDefault="00527930" w:rsidP="00D847F2">
      <w:pPr>
        <w:pStyle w:val="Sprotnaopomba-besedilo"/>
        <w:spacing w:line="240" w:lineRule="auto"/>
        <w:rPr>
          <w:sz w:val="16"/>
          <w:szCs w:val="16"/>
        </w:rPr>
      </w:pPr>
      <w:r w:rsidRPr="003A10E9">
        <w:rPr>
          <w:rStyle w:val="Sprotnaopomba-sklic"/>
          <w:sz w:val="16"/>
          <w:szCs w:val="16"/>
        </w:rPr>
        <w:footnoteRef/>
      </w:r>
      <w:r w:rsidRPr="003A10E9">
        <w:rPr>
          <w:sz w:val="16"/>
          <w:szCs w:val="16"/>
        </w:rPr>
        <w:t xml:space="preserve"> Uradni list RS, št. 65/09 – uradno prečiščeno besedilo, 33/11, 91/11, 32/12, 57/12, 44/13 – odl. US, 82/13, 55/15, 15/17, 22/19 – ZPosS, 158/20 – ZIntPK-C, 18/21 in 18/23 – ZDU-1O</w:t>
      </w:r>
      <w:r>
        <w:rPr>
          <w:sz w:val="16"/>
          <w:szCs w:val="16"/>
        </w:rPr>
        <w:t xml:space="preserve">. </w:t>
      </w:r>
    </w:p>
  </w:footnote>
  <w:footnote w:id="14">
    <w:p w14:paraId="1AA60D9E" w14:textId="77777777" w:rsidR="00527930" w:rsidRPr="00A23C09" w:rsidRDefault="00527930" w:rsidP="00D847F2">
      <w:pPr>
        <w:pStyle w:val="Sprotnaopomba-besedilo"/>
        <w:rPr>
          <w:rFonts w:cs="Arial"/>
          <w:sz w:val="16"/>
          <w:szCs w:val="16"/>
        </w:rPr>
      </w:pPr>
      <w:r w:rsidRPr="00A23C09">
        <w:rPr>
          <w:rStyle w:val="Sprotnaopomba-sklic"/>
          <w:rFonts w:cs="Arial"/>
          <w:sz w:val="16"/>
          <w:szCs w:val="16"/>
        </w:rPr>
        <w:footnoteRef/>
      </w:r>
      <w:r w:rsidRPr="00A23C09">
        <w:rPr>
          <w:rFonts w:cs="Arial"/>
          <w:sz w:val="16"/>
          <w:szCs w:val="16"/>
        </w:rPr>
        <w:t xml:space="preserve"> </w:t>
      </w:r>
      <w:r w:rsidRPr="00A23C09">
        <w:rPr>
          <w:rFonts w:eastAsia="Calibri" w:cs="Arial"/>
          <w:sz w:val="16"/>
          <w:szCs w:val="16"/>
        </w:rPr>
        <w:t xml:space="preserve">(Uradni list RS, št. </w:t>
      </w:r>
      <w:hyperlink r:id="rId14" w:tgtFrame="_blank" w:tooltip="Obligacijski zakonik (uradno prečiščeno besedilo)" w:history="1">
        <w:r w:rsidRPr="00A23C09">
          <w:rPr>
            <w:rFonts w:eastAsia="Calibri" w:cs="Arial"/>
            <w:color w:val="0000FF"/>
            <w:sz w:val="16"/>
            <w:szCs w:val="16"/>
            <w:u w:val="single"/>
          </w:rPr>
          <w:t>97/07</w:t>
        </w:r>
      </w:hyperlink>
      <w:r w:rsidRPr="00A23C09">
        <w:rPr>
          <w:rFonts w:eastAsia="Calibri" w:cs="Arial"/>
          <w:sz w:val="16"/>
          <w:szCs w:val="16"/>
        </w:rPr>
        <w:t xml:space="preserve"> – uradno prečiščeno besedilo, </w:t>
      </w:r>
      <w:hyperlink r:id="rId15" w:tgtFrame="_blank" w:tooltip="Odločba o razveljavitvi 184. člena Obligacijskega zakonika" w:history="1">
        <w:r w:rsidRPr="00A23C09">
          <w:rPr>
            <w:rFonts w:eastAsia="Calibri" w:cs="Arial"/>
            <w:color w:val="0000FF"/>
            <w:sz w:val="16"/>
            <w:szCs w:val="16"/>
            <w:u w:val="single"/>
          </w:rPr>
          <w:t>64/16</w:t>
        </w:r>
      </w:hyperlink>
      <w:r w:rsidRPr="00A23C09">
        <w:rPr>
          <w:rFonts w:eastAsia="Calibri" w:cs="Arial"/>
          <w:sz w:val="16"/>
          <w:szCs w:val="16"/>
        </w:rPr>
        <w:t xml:space="preserve"> – odl. US in </w:t>
      </w:r>
      <w:hyperlink r:id="rId16" w:tgtFrame="_blank" w:tooltip="Avtentična razlaga 631. člena Obligacijskega zakonika" w:history="1">
        <w:r w:rsidRPr="00A23C09">
          <w:rPr>
            <w:rFonts w:eastAsia="Calibri" w:cs="Arial"/>
            <w:color w:val="0000FF"/>
            <w:sz w:val="16"/>
            <w:szCs w:val="16"/>
            <w:u w:val="single"/>
          </w:rPr>
          <w:t>20/18</w:t>
        </w:r>
      </w:hyperlink>
      <w:r w:rsidRPr="00A23C09">
        <w:rPr>
          <w:rFonts w:eastAsia="Calibri" w:cs="Arial"/>
          <w:sz w:val="16"/>
          <w:szCs w:val="16"/>
        </w:rPr>
        <w:t xml:space="preserve"> – OROZ631)</w:t>
      </w:r>
    </w:p>
  </w:footnote>
  <w:footnote w:id="15">
    <w:p w14:paraId="6F653479" w14:textId="235ADB84" w:rsidR="00527930" w:rsidRPr="005070B7" w:rsidRDefault="00527930" w:rsidP="00D847F2">
      <w:pPr>
        <w:pStyle w:val="Sprotnaopomba-besedilo"/>
        <w:rPr>
          <w:rFonts w:cs="Arial"/>
          <w:sz w:val="16"/>
          <w:szCs w:val="16"/>
        </w:rPr>
      </w:pPr>
      <w:r w:rsidRPr="00A23C09">
        <w:rPr>
          <w:rStyle w:val="Sprotnaopomba-sklic"/>
          <w:rFonts w:cs="Arial"/>
          <w:sz w:val="16"/>
          <w:szCs w:val="16"/>
        </w:rPr>
        <w:footnoteRef/>
      </w:r>
      <w:r w:rsidRPr="00A23C09">
        <w:rPr>
          <w:rFonts w:cs="Arial"/>
          <w:sz w:val="16"/>
          <w:szCs w:val="16"/>
        </w:rPr>
        <w:t xml:space="preserve"> </w:t>
      </w:r>
      <w:r w:rsidRPr="00A23C09">
        <w:rPr>
          <w:rFonts w:eastAsia="Calibri" w:cs="Arial"/>
          <w:sz w:val="16"/>
          <w:szCs w:val="16"/>
        </w:rPr>
        <w:t xml:space="preserve">(Uradni list RS, št. </w:t>
      </w:r>
      <w:hyperlink r:id="rId17" w:tgtFrame="_blank" w:tooltip="Družinski zakonik (DZ)" w:history="1">
        <w:r w:rsidRPr="00A23C09">
          <w:rPr>
            <w:rFonts w:eastAsia="Calibri" w:cs="Arial"/>
            <w:color w:val="0000FF"/>
            <w:sz w:val="16"/>
            <w:szCs w:val="16"/>
            <w:u w:val="single"/>
          </w:rPr>
          <w:t>15/17</w:t>
        </w:r>
      </w:hyperlink>
      <w:r w:rsidRPr="00A23C09">
        <w:rPr>
          <w:rFonts w:eastAsia="Calibri" w:cs="Arial"/>
          <w:sz w:val="16"/>
          <w:szCs w:val="16"/>
        </w:rPr>
        <w:t xml:space="preserve">, </w:t>
      </w:r>
      <w:hyperlink r:id="rId18" w:tgtFrame="_blank" w:tooltip="Zakon o nevladnih organizacijah" w:history="1">
        <w:r w:rsidRPr="00A23C09">
          <w:rPr>
            <w:rFonts w:eastAsia="Calibri" w:cs="Arial"/>
            <w:color w:val="0000FF"/>
            <w:sz w:val="16"/>
            <w:szCs w:val="16"/>
            <w:u w:val="single"/>
          </w:rPr>
          <w:t>21/18</w:t>
        </w:r>
      </w:hyperlink>
      <w:r w:rsidRPr="00A23C09">
        <w:rPr>
          <w:rFonts w:eastAsia="Calibri" w:cs="Arial"/>
          <w:sz w:val="16"/>
          <w:szCs w:val="16"/>
        </w:rPr>
        <w:t xml:space="preserve"> – ZNOrg, </w:t>
      </w:r>
      <w:hyperlink r:id="rId19" w:tgtFrame="_blank" w:tooltip="Zakon o spremembah Družinskega zakonika" w:history="1">
        <w:r w:rsidRPr="00A23C09">
          <w:rPr>
            <w:rFonts w:eastAsia="Calibri" w:cs="Arial"/>
            <w:color w:val="0000FF"/>
            <w:sz w:val="16"/>
            <w:szCs w:val="16"/>
            <w:u w:val="single"/>
          </w:rPr>
          <w:t>22/19</w:t>
        </w:r>
      </w:hyperlink>
      <w:r w:rsidRPr="00A23C09">
        <w:rPr>
          <w:rFonts w:eastAsia="Calibri" w:cs="Arial"/>
          <w:sz w:val="16"/>
          <w:szCs w:val="16"/>
        </w:rPr>
        <w:t xml:space="preserve">, </w:t>
      </w:r>
      <w:hyperlink r:id="rId20" w:tgtFrame="_blank" w:tooltip="Zakon o spremembah in dopolnitvah Zakona o matičnem registru" w:history="1">
        <w:r w:rsidRPr="00A23C09">
          <w:rPr>
            <w:rFonts w:eastAsia="Calibri" w:cs="Arial"/>
            <w:color w:val="0000FF"/>
            <w:sz w:val="16"/>
            <w:szCs w:val="16"/>
            <w:u w:val="single"/>
          </w:rPr>
          <w:t>67/19</w:t>
        </w:r>
      </w:hyperlink>
      <w:r w:rsidRPr="00A23C09">
        <w:rPr>
          <w:rFonts w:eastAsia="Calibri" w:cs="Arial"/>
          <w:sz w:val="16"/>
          <w:szCs w:val="16"/>
        </w:rPr>
        <w:t xml:space="preserve"> – ZMatR-C in </w:t>
      </w:r>
      <w:hyperlink r:id="rId21" w:tgtFrame="_blank" w:tooltip="Zakon o obravnavi otrok in mladostnikov s čustvenimi in vedenjskimi težavami in motnjami v vzgoji in izobraževanju" w:history="1">
        <w:r w:rsidRPr="00A23C09">
          <w:rPr>
            <w:rFonts w:eastAsia="Calibri" w:cs="Arial"/>
            <w:color w:val="0000FF"/>
            <w:sz w:val="16"/>
            <w:szCs w:val="16"/>
            <w:u w:val="single"/>
          </w:rPr>
          <w:t>200/20</w:t>
        </w:r>
      </w:hyperlink>
      <w:r w:rsidRPr="00A23C09">
        <w:rPr>
          <w:rFonts w:eastAsia="Calibri" w:cs="Arial"/>
          <w:sz w:val="16"/>
          <w:szCs w:val="16"/>
        </w:rPr>
        <w:t xml:space="preserve"> – ZOOMTVI</w:t>
      </w:r>
      <w:r>
        <w:rPr>
          <w:rFonts w:eastAsia="Calibri" w:cs="Arial"/>
          <w:sz w:val="16"/>
          <w:szCs w:val="16"/>
        </w:rPr>
        <w:t>,</w:t>
      </w:r>
      <w:r>
        <w:rPr>
          <w:rFonts w:eastAsia="Calibri" w:cs="Arial"/>
          <w:b/>
          <w:bCs/>
          <w:color w:val="626060"/>
          <w:sz w:val="18"/>
          <w:szCs w:val="18"/>
          <w:shd w:val="clear" w:color="auto" w:fill="FFFFFF"/>
        </w:rPr>
        <w:t xml:space="preserve"> </w:t>
      </w:r>
      <w:hyperlink r:id="rId22"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Pr="00D158A6">
          <w:rPr>
            <w:rFonts w:eastAsia="Calibri" w:cs="Arial"/>
            <w:color w:val="626060"/>
            <w:sz w:val="18"/>
            <w:szCs w:val="18"/>
            <w:u w:val="single"/>
            <w:shd w:val="clear" w:color="auto" w:fill="FFFFFF"/>
          </w:rPr>
          <w:t>94/22</w:t>
        </w:r>
      </w:hyperlink>
      <w:r w:rsidRPr="00D158A6">
        <w:rPr>
          <w:rFonts w:eastAsia="Calibri" w:cs="Arial"/>
          <w:color w:val="626060"/>
          <w:sz w:val="18"/>
          <w:szCs w:val="18"/>
          <w:shd w:val="clear" w:color="auto" w:fill="FFFFFF"/>
        </w:rPr>
        <w:t> – odl. US, </w:t>
      </w:r>
      <w:hyperlink r:id="rId23"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Pr="00D158A6">
          <w:rPr>
            <w:rFonts w:eastAsia="Calibri" w:cs="Arial"/>
            <w:color w:val="626060"/>
            <w:sz w:val="18"/>
            <w:szCs w:val="18"/>
            <w:u w:val="single"/>
            <w:shd w:val="clear" w:color="auto" w:fill="FFFFFF"/>
          </w:rPr>
          <w:t>94/22</w:t>
        </w:r>
      </w:hyperlink>
      <w:r w:rsidRPr="00D158A6">
        <w:rPr>
          <w:rFonts w:eastAsia="Calibri" w:cs="Arial"/>
          <w:color w:val="626060"/>
          <w:sz w:val="18"/>
          <w:szCs w:val="18"/>
          <w:shd w:val="clear" w:color="auto" w:fill="FFFFFF"/>
        </w:rPr>
        <w:t> – odl. US in </w:t>
      </w:r>
      <w:hyperlink r:id="rId24" w:tgtFrame="_blank" w:tooltip="Zakon o spremembah Družinskega zakonika" w:history="1">
        <w:r w:rsidRPr="00D158A6">
          <w:rPr>
            <w:rFonts w:eastAsia="Calibri" w:cs="Arial"/>
            <w:color w:val="626060"/>
            <w:sz w:val="18"/>
            <w:szCs w:val="18"/>
            <w:u w:val="single"/>
            <w:shd w:val="clear" w:color="auto" w:fill="FFFFFF"/>
          </w:rPr>
          <w:t>5/23</w:t>
        </w:r>
      </w:hyperlink>
      <w:r w:rsidRPr="00D158A6">
        <w:rPr>
          <w:rFonts w:eastAsia="Calibri" w:cs="Arial"/>
          <w:color w:val="626060"/>
          <w:sz w:val="18"/>
          <w:szCs w:val="18"/>
          <w:shd w:val="clear" w:color="auto" w:fill="FFFFFF"/>
        </w:rPr>
        <w:t>)</w:t>
      </w:r>
    </w:p>
  </w:footnote>
  <w:footnote w:id="16">
    <w:p w14:paraId="189AEA24" w14:textId="03986AFB" w:rsidR="00527930" w:rsidRPr="00A23C09" w:rsidRDefault="00527930" w:rsidP="00D847F2">
      <w:pPr>
        <w:pStyle w:val="Sprotnaopomba-besedilo"/>
        <w:rPr>
          <w:rFonts w:cs="Arial"/>
          <w:sz w:val="16"/>
          <w:szCs w:val="16"/>
        </w:rPr>
      </w:pPr>
      <w:r w:rsidRPr="00A23C09">
        <w:rPr>
          <w:rStyle w:val="Sprotnaopomba-sklic"/>
          <w:rFonts w:cs="Arial"/>
          <w:sz w:val="16"/>
          <w:szCs w:val="16"/>
        </w:rPr>
        <w:footnoteRef/>
      </w:r>
      <w:r w:rsidRPr="00A23C09">
        <w:rPr>
          <w:rFonts w:cs="Arial"/>
          <w:sz w:val="16"/>
          <w:szCs w:val="16"/>
        </w:rPr>
        <w:t xml:space="preserve"> </w:t>
      </w:r>
      <w:r w:rsidRPr="00A23C09">
        <w:rPr>
          <w:rFonts w:eastAsia="Calibri" w:cs="Arial"/>
          <w:sz w:val="16"/>
          <w:szCs w:val="16"/>
        </w:rPr>
        <w:t xml:space="preserve">Uradni list RS, št. </w:t>
      </w:r>
      <w:hyperlink r:id="rId25" w:tgtFrame="_blank" w:tooltip="Zakon o splošnem upravnem postopku (uradno prečiščeno besedilo)" w:history="1">
        <w:r w:rsidRPr="00A23C09">
          <w:rPr>
            <w:rFonts w:eastAsia="Calibri" w:cs="Arial"/>
            <w:color w:val="0000FF"/>
            <w:sz w:val="16"/>
            <w:szCs w:val="16"/>
            <w:u w:val="single"/>
          </w:rPr>
          <w:t>24/06</w:t>
        </w:r>
      </w:hyperlink>
      <w:r w:rsidRPr="00A23C09">
        <w:rPr>
          <w:rFonts w:eastAsia="Calibri" w:cs="Arial"/>
          <w:sz w:val="16"/>
          <w:szCs w:val="16"/>
        </w:rPr>
        <w:t xml:space="preserve"> – uradno prečiščeno besedilo, </w:t>
      </w:r>
      <w:hyperlink r:id="rId26" w:tgtFrame="_blank" w:tooltip="Zakon o upravnem sporu" w:history="1">
        <w:r w:rsidRPr="00A23C09">
          <w:rPr>
            <w:rFonts w:eastAsia="Calibri" w:cs="Arial"/>
            <w:color w:val="0000FF"/>
            <w:sz w:val="16"/>
            <w:szCs w:val="16"/>
            <w:u w:val="single"/>
          </w:rPr>
          <w:t>105/06</w:t>
        </w:r>
      </w:hyperlink>
      <w:r w:rsidRPr="00A23C09">
        <w:rPr>
          <w:rFonts w:eastAsia="Calibri" w:cs="Arial"/>
          <w:sz w:val="16"/>
          <w:szCs w:val="16"/>
        </w:rPr>
        <w:t xml:space="preserve"> – ZUS-1, </w:t>
      </w:r>
      <w:hyperlink r:id="rId27" w:tgtFrame="_blank" w:tooltip="Zakon o spremembah in dopolnitvah Zakona o splošnem upravnem postopku" w:history="1">
        <w:r w:rsidRPr="00A23C09">
          <w:rPr>
            <w:rFonts w:eastAsia="Calibri" w:cs="Arial"/>
            <w:color w:val="0000FF"/>
            <w:sz w:val="16"/>
            <w:szCs w:val="16"/>
            <w:u w:val="single"/>
          </w:rPr>
          <w:t>126/07</w:t>
        </w:r>
      </w:hyperlink>
      <w:r w:rsidRPr="00A23C09">
        <w:rPr>
          <w:rFonts w:eastAsia="Calibri" w:cs="Arial"/>
          <w:sz w:val="16"/>
          <w:szCs w:val="16"/>
        </w:rPr>
        <w:t xml:space="preserve">, </w:t>
      </w:r>
      <w:hyperlink r:id="rId28" w:tgtFrame="_blank" w:tooltip="Zakon o spremembi in dopolnitvah Zakona o splošnem upravnem postopku" w:history="1">
        <w:r w:rsidRPr="00A23C09">
          <w:rPr>
            <w:rFonts w:eastAsia="Calibri" w:cs="Arial"/>
            <w:color w:val="0000FF"/>
            <w:sz w:val="16"/>
            <w:szCs w:val="16"/>
            <w:u w:val="single"/>
          </w:rPr>
          <w:t>65/08</w:t>
        </w:r>
      </w:hyperlink>
      <w:r w:rsidRPr="00A23C09">
        <w:rPr>
          <w:rFonts w:eastAsia="Calibri" w:cs="Arial"/>
          <w:sz w:val="16"/>
          <w:szCs w:val="16"/>
        </w:rPr>
        <w:t xml:space="preserve">, </w:t>
      </w:r>
      <w:hyperlink r:id="rId29" w:tgtFrame="_blank" w:tooltip="Zakon o spremembah in dopolnitvah Zakona o splošnem upravnem postopku" w:history="1">
        <w:r w:rsidRPr="00A23C09">
          <w:rPr>
            <w:rFonts w:eastAsia="Calibri" w:cs="Arial"/>
            <w:color w:val="0000FF"/>
            <w:sz w:val="16"/>
            <w:szCs w:val="16"/>
            <w:u w:val="single"/>
          </w:rPr>
          <w:t>8/10</w:t>
        </w:r>
      </w:hyperlink>
      <w:r w:rsidRPr="00A23C09">
        <w:rPr>
          <w:rFonts w:eastAsia="Calibri" w:cs="Arial"/>
          <w:sz w:val="16"/>
          <w:szCs w:val="16"/>
        </w:rPr>
        <w:t xml:space="preserve">, </w:t>
      </w:r>
      <w:hyperlink r:id="rId30" w:tgtFrame="_blank" w:tooltip="Zakon o spremembah in dopolnitvi Zakona o splošnem upravnem postopku" w:history="1">
        <w:r w:rsidRPr="00A23C09">
          <w:rPr>
            <w:rFonts w:eastAsia="Calibri" w:cs="Arial"/>
            <w:color w:val="0000FF"/>
            <w:sz w:val="16"/>
            <w:szCs w:val="16"/>
            <w:u w:val="single"/>
          </w:rPr>
          <w:t>82/13</w:t>
        </w:r>
      </w:hyperlink>
      <w:r w:rsidRPr="00A23C09">
        <w:rPr>
          <w:rFonts w:eastAsia="Calibri" w:cs="Arial"/>
          <w:sz w:val="16"/>
          <w:szCs w:val="16"/>
        </w:rPr>
        <w:t xml:space="preserve">, </w:t>
      </w:r>
      <w:hyperlink r:id="rId31" w:tgtFrame="_blank" w:tooltip="Zakon o interventnih ukrepih za omilitev posledic drugega vala epidemije COVID-19" w:history="1">
        <w:r w:rsidRPr="00A23C09">
          <w:rPr>
            <w:rFonts w:eastAsia="Calibri" w:cs="Arial"/>
            <w:color w:val="0000FF"/>
            <w:sz w:val="16"/>
            <w:szCs w:val="16"/>
            <w:u w:val="single"/>
          </w:rPr>
          <w:t>175/20</w:t>
        </w:r>
      </w:hyperlink>
      <w:r w:rsidRPr="00A23C09">
        <w:rPr>
          <w:rFonts w:eastAsia="Calibri" w:cs="Arial"/>
          <w:sz w:val="16"/>
          <w:szCs w:val="16"/>
        </w:rPr>
        <w:t xml:space="preserve"> – ZIUOPDVE in </w:t>
      </w:r>
      <w:hyperlink r:id="rId32" w:tgtFrame="_blank" w:tooltip="Zakon o debirokratizaciji" w:history="1">
        <w:r w:rsidRPr="00A23C09">
          <w:rPr>
            <w:rFonts w:eastAsia="Calibri" w:cs="Arial"/>
            <w:color w:val="0000FF"/>
            <w:sz w:val="16"/>
            <w:szCs w:val="16"/>
            <w:u w:val="single"/>
          </w:rPr>
          <w:t>3/22</w:t>
        </w:r>
      </w:hyperlink>
      <w:r w:rsidRPr="00A23C09">
        <w:rPr>
          <w:rFonts w:eastAsia="Calibri" w:cs="Arial"/>
          <w:sz w:val="16"/>
          <w:szCs w:val="16"/>
        </w:rPr>
        <w:t xml:space="preserve"> – ZDeb</w:t>
      </w:r>
      <w:r>
        <w:rPr>
          <w:rFonts w:eastAsia="Calibri" w:cs="Arial"/>
          <w:sz w:val="16"/>
          <w:szCs w:val="16"/>
        </w:rPr>
        <w:t>.</w:t>
      </w:r>
    </w:p>
  </w:footnote>
  <w:footnote w:id="17">
    <w:p w14:paraId="0A151503" w14:textId="0CB562BE" w:rsidR="00527930" w:rsidRPr="003A10E9" w:rsidRDefault="00527930" w:rsidP="00D847F2">
      <w:pPr>
        <w:pStyle w:val="Sprotnaopomba-besedilo"/>
        <w:rPr>
          <w:sz w:val="16"/>
          <w:szCs w:val="16"/>
        </w:rPr>
      </w:pPr>
      <w:r w:rsidRPr="003A10E9">
        <w:rPr>
          <w:rStyle w:val="Sprotnaopomba-sklic"/>
          <w:sz w:val="16"/>
          <w:szCs w:val="16"/>
        </w:rPr>
        <w:footnoteRef/>
      </w:r>
      <w:r w:rsidRPr="003A10E9">
        <w:rPr>
          <w:sz w:val="16"/>
          <w:szCs w:val="16"/>
        </w:rPr>
        <w:t xml:space="preserve"> Ur. l. RS, št. 69/17, 59/19 in 204/21</w:t>
      </w:r>
      <w:r>
        <w:rPr>
          <w:sz w:val="16"/>
          <w:szCs w:val="16"/>
        </w:rPr>
        <w:t>.</w:t>
      </w:r>
    </w:p>
  </w:footnote>
  <w:footnote w:id="18">
    <w:p w14:paraId="65D3D4D3" w14:textId="2599D051" w:rsidR="00527930" w:rsidRPr="003A10E9" w:rsidRDefault="00527930" w:rsidP="00D847F2">
      <w:pPr>
        <w:pStyle w:val="Sprotnaopomba-besedilo"/>
        <w:rPr>
          <w:sz w:val="16"/>
          <w:szCs w:val="16"/>
        </w:rPr>
      </w:pPr>
      <w:r w:rsidRPr="003A10E9">
        <w:rPr>
          <w:rStyle w:val="Sprotnaopomba-sklic"/>
          <w:sz w:val="16"/>
          <w:szCs w:val="16"/>
        </w:rPr>
        <w:footnoteRef/>
      </w:r>
      <w:r w:rsidRPr="003A10E9">
        <w:rPr>
          <w:sz w:val="16"/>
          <w:szCs w:val="16"/>
        </w:rPr>
        <w:t xml:space="preserve"> Ur. l. RS, št. 29/22</w:t>
      </w:r>
      <w:r>
        <w:rPr>
          <w:sz w:val="16"/>
          <w:szCs w:val="16"/>
        </w:rPr>
        <w:t>.</w:t>
      </w:r>
    </w:p>
  </w:footnote>
  <w:footnote w:id="19">
    <w:p w14:paraId="0A98A076" w14:textId="18D97D3C" w:rsidR="00527930" w:rsidRPr="006168BB" w:rsidRDefault="00527930" w:rsidP="00D847F2">
      <w:pPr>
        <w:pStyle w:val="Sprotnaopomba-besedilo"/>
        <w:rPr>
          <w:rFonts w:cs="Arial"/>
          <w:sz w:val="16"/>
          <w:szCs w:val="16"/>
        </w:rPr>
      </w:pPr>
      <w:r w:rsidRPr="003A10E9">
        <w:rPr>
          <w:rStyle w:val="Sprotnaopomba-sklic"/>
          <w:sz w:val="16"/>
          <w:szCs w:val="16"/>
        </w:rPr>
        <w:footnoteRef/>
      </w:r>
      <w:r w:rsidRPr="003A10E9">
        <w:rPr>
          <w:sz w:val="16"/>
          <w:szCs w:val="16"/>
        </w:rPr>
        <w:t xml:space="preserve"> Ur. l. RS, št. 199/21</w:t>
      </w:r>
      <w:r>
        <w:rPr>
          <w:sz w:val="16"/>
          <w:szCs w:val="16"/>
        </w:rPr>
        <w:t xml:space="preserve"> </w:t>
      </w:r>
      <w:r w:rsidRPr="00D158A6">
        <w:rPr>
          <w:rFonts w:eastAsia="Calibri" w:cs="Arial"/>
          <w:sz w:val="16"/>
          <w:szCs w:val="16"/>
        </w:rPr>
        <w:t xml:space="preserve">in </w:t>
      </w:r>
      <w:hyperlink r:id="rId33" w:tgtFrame="_blank" w:tooltip="Zakon o spremembah in dopolnitvah Zakona o državni upravi" w:history="1">
        <w:r w:rsidRPr="00D158A6">
          <w:rPr>
            <w:rFonts w:eastAsia="Calibri" w:cs="Arial"/>
            <w:color w:val="0000FF"/>
            <w:sz w:val="16"/>
            <w:szCs w:val="16"/>
            <w:u w:val="single"/>
          </w:rPr>
          <w:t>18/23</w:t>
        </w:r>
      </w:hyperlink>
      <w:r w:rsidRPr="00D158A6">
        <w:rPr>
          <w:rFonts w:eastAsia="Calibri" w:cs="Arial"/>
          <w:sz w:val="16"/>
          <w:szCs w:val="16"/>
        </w:rPr>
        <w:t xml:space="preserve"> – ZDU-1O</w:t>
      </w:r>
      <w:r>
        <w:rPr>
          <w:rFonts w:eastAsia="Calibri" w:cs="Arial"/>
          <w:sz w:val="16"/>
          <w:szCs w:val="16"/>
        </w:rPr>
        <w:t>.</w:t>
      </w:r>
    </w:p>
  </w:footnote>
  <w:footnote w:id="20">
    <w:p w14:paraId="1C50815F" w14:textId="6AA6170C" w:rsidR="00527930" w:rsidRPr="000D0411" w:rsidRDefault="00527930" w:rsidP="00D847F2">
      <w:pPr>
        <w:pStyle w:val="Sprotnaopomba-besedilo"/>
        <w:rPr>
          <w:sz w:val="18"/>
          <w:szCs w:val="18"/>
        </w:rPr>
      </w:pPr>
      <w:r w:rsidRPr="003A10E9">
        <w:rPr>
          <w:rStyle w:val="Sprotnaopomba-sklic"/>
          <w:sz w:val="16"/>
          <w:szCs w:val="16"/>
        </w:rPr>
        <w:footnoteRef/>
      </w:r>
      <w:r w:rsidRPr="003A10E9">
        <w:rPr>
          <w:sz w:val="16"/>
          <w:szCs w:val="16"/>
        </w:rPr>
        <w:t xml:space="preserve"> Ur. l. RS, št. 26/11 in 57/12</w:t>
      </w:r>
      <w:r>
        <w:rPr>
          <w:sz w:val="16"/>
          <w:szCs w:val="16"/>
        </w:rPr>
        <w:t>.</w:t>
      </w:r>
    </w:p>
  </w:footnote>
  <w:footnote w:id="21">
    <w:p w14:paraId="577FDD52" w14:textId="77777777" w:rsidR="00527930" w:rsidRPr="003A10E9" w:rsidRDefault="00527930" w:rsidP="00D847F2">
      <w:pPr>
        <w:pStyle w:val="Sprotnaopomba-besedilo"/>
        <w:rPr>
          <w:sz w:val="16"/>
          <w:szCs w:val="16"/>
        </w:rPr>
      </w:pPr>
      <w:r>
        <w:rPr>
          <w:rStyle w:val="Sprotnaopomba-sklic"/>
        </w:rPr>
        <w:footnoteRef/>
      </w:r>
      <w:r>
        <w:t xml:space="preserve"> </w:t>
      </w:r>
      <w:r w:rsidRPr="003A10E9">
        <w:rPr>
          <w:sz w:val="16"/>
          <w:szCs w:val="16"/>
        </w:rPr>
        <w:t xml:space="preserve">Za nekatere obvezne dajatve je vzpostavljeno tudi merjenje davčnega razkoraka - </w:t>
      </w:r>
      <w:hyperlink r:id="rId34" w:history="1">
        <w:r w:rsidRPr="003A10E9">
          <w:rPr>
            <w:rStyle w:val="Hiperpovezava"/>
            <w:sz w:val="16"/>
            <w:szCs w:val="16"/>
          </w:rPr>
          <w:t>https://ec.europa.eu/taxation_customs/business/tax-cooperation-control/vat-gap_en</w:t>
        </w:r>
      </w:hyperlink>
    </w:p>
    <w:p w14:paraId="5F5A7B63" w14:textId="77777777" w:rsidR="00527930" w:rsidRPr="003A10E9" w:rsidRDefault="00527930" w:rsidP="00D847F2">
      <w:pPr>
        <w:pStyle w:val="Sprotnaopomba-besedilo"/>
        <w:rPr>
          <w:sz w:val="16"/>
          <w:szCs w:val="16"/>
        </w:rPr>
      </w:pPr>
      <w:r w:rsidRPr="003A10E9">
        <w:rPr>
          <w:sz w:val="16"/>
          <w:szCs w:val="16"/>
        </w:rPr>
        <w:t xml:space="preserve"> </w:t>
      </w:r>
    </w:p>
  </w:footnote>
  <w:footnote w:id="22">
    <w:p w14:paraId="2D3C74AF" w14:textId="63F266CA" w:rsidR="00527930" w:rsidRPr="00D158A6" w:rsidRDefault="00527930" w:rsidP="00D847F2">
      <w:pPr>
        <w:pStyle w:val="Sprotnaopomba-besedilo"/>
        <w:rPr>
          <w:rFonts w:cs="Arial"/>
          <w:sz w:val="16"/>
          <w:szCs w:val="16"/>
        </w:rPr>
      </w:pPr>
      <w:r>
        <w:rPr>
          <w:rStyle w:val="Sprotnaopomba-sklic"/>
        </w:rPr>
        <w:footnoteRef/>
      </w:r>
      <w:r>
        <w:t xml:space="preserve"> </w:t>
      </w:r>
      <w:r w:rsidRPr="00D158A6">
        <w:rPr>
          <w:rFonts w:eastAsia="Calibri" w:cs="Arial"/>
          <w:color w:val="626060"/>
          <w:sz w:val="16"/>
          <w:szCs w:val="16"/>
          <w:shd w:val="clear" w:color="auto" w:fill="FFFFFF"/>
        </w:rPr>
        <w:t>Uradni list RS, št. </w:t>
      </w:r>
      <w:hyperlink r:id="rId35" w:tgtFrame="_blank" w:tooltip="Zakon o varstvu okolja (ZVO-2)" w:history="1">
        <w:r w:rsidRPr="00D158A6">
          <w:rPr>
            <w:rFonts w:eastAsia="Calibri" w:cs="Arial"/>
            <w:color w:val="626060"/>
            <w:sz w:val="16"/>
            <w:szCs w:val="16"/>
            <w:u w:val="single"/>
            <w:shd w:val="clear" w:color="auto" w:fill="FFFFFF"/>
          </w:rPr>
          <w:t>44/22</w:t>
        </w:r>
      </w:hyperlink>
      <w:r w:rsidRPr="00D158A6">
        <w:rPr>
          <w:rFonts w:eastAsia="Calibri" w:cs="Arial"/>
          <w:color w:val="626060"/>
          <w:sz w:val="16"/>
          <w:szCs w:val="16"/>
          <w:shd w:val="clear" w:color="auto" w:fill="FFFFFF"/>
        </w:rPr>
        <w:t> in </w:t>
      </w:r>
      <w:hyperlink r:id="rId36" w:tgtFrame="_blank" w:tooltip="Zakon o spremembah in dopolnitvah Zakona o državni upravi" w:history="1">
        <w:r w:rsidRPr="00D158A6">
          <w:rPr>
            <w:rFonts w:eastAsia="Calibri" w:cs="Arial"/>
            <w:color w:val="626060"/>
            <w:sz w:val="16"/>
            <w:szCs w:val="16"/>
            <w:u w:val="single"/>
            <w:shd w:val="clear" w:color="auto" w:fill="FFFFFF"/>
          </w:rPr>
          <w:t>18/23</w:t>
        </w:r>
      </w:hyperlink>
      <w:r w:rsidRPr="00D158A6">
        <w:rPr>
          <w:rFonts w:eastAsia="Calibri" w:cs="Arial"/>
          <w:color w:val="626060"/>
          <w:sz w:val="16"/>
          <w:szCs w:val="16"/>
          <w:shd w:val="clear" w:color="auto" w:fill="FFFFFF"/>
        </w:rPr>
        <w:t> – ZDU-1O</w:t>
      </w:r>
      <w:r>
        <w:rPr>
          <w:rFonts w:eastAsia="Calibri" w:cs="Arial"/>
          <w:color w:val="626060"/>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30C0" w14:textId="77777777" w:rsidR="00527930" w:rsidRPr="008F3500" w:rsidRDefault="00527930" w:rsidP="00556699">
    <w:pPr>
      <w:pStyle w:val="Glava"/>
      <w:tabs>
        <w:tab w:val="clear" w:pos="4320"/>
        <w:tab w:val="clear" w:pos="8640"/>
        <w:tab w:val="left" w:pos="5112"/>
      </w:tabs>
      <w:spacing w:line="240" w:lineRule="exact"/>
      <w:rPr>
        <w:rFonts w:cs="Arial"/>
        <w:sz w:val="16"/>
      </w:rPr>
    </w:pPr>
    <w:r w:rsidRPr="008F3500">
      <w:rPr>
        <w:rFonts w:cs="Arial"/>
        <w:sz w:val="16"/>
      </w:rPr>
      <w:tab/>
    </w:r>
  </w:p>
  <w:p w14:paraId="763BDAB0" w14:textId="77777777" w:rsidR="00527930" w:rsidRPr="008F3500" w:rsidRDefault="00527930" w:rsidP="0055669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C54"/>
    <w:multiLevelType w:val="hybridMultilevel"/>
    <w:tmpl w:val="56FC868A"/>
    <w:lvl w:ilvl="0" w:tplc="76AC1A70">
      <w:start w:val="49"/>
      <w:numFmt w:val="bullet"/>
      <w:lvlText w:val=""/>
      <w:lvlJc w:val="left"/>
      <w:pPr>
        <w:ind w:left="-1536" w:hanging="360"/>
      </w:pPr>
      <w:rPr>
        <w:rFonts w:ascii="Symbol" w:eastAsia="Times New Roman" w:hAnsi="Symbol" w:cs="Times New Roman" w:hint="default"/>
      </w:rPr>
    </w:lvl>
    <w:lvl w:ilvl="1" w:tplc="04240003" w:tentative="1">
      <w:start w:val="1"/>
      <w:numFmt w:val="bullet"/>
      <w:lvlText w:val="o"/>
      <w:lvlJc w:val="left"/>
      <w:pPr>
        <w:ind w:left="-816" w:hanging="360"/>
      </w:pPr>
      <w:rPr>
        <w:rFonts w:ascii="Courier New" w:hAnsi="Courier New" w:cs="Courier New" w:hint="default"/>
      </w:rPr>
    </w:lvl>
    <w:lvl w:ilvl="2" w:tplc="04240005" w:tentative="1">
      <w:start w:val="1"/>
      <w:numFmt w:val="bullet"/>
      <w:lvlText w:val=""/>
      <w:lvlJc w:val="left"/>
      <w:pPr>
        <w:ind w:left="-96" w:hanging="360"/>
      </w:pPr>
      <w:rPr>
        <w:rFonts w:ascii="Wingdings" w:hAnsi="Wingdings" w:hint="default"/>
      </w:rPr>
    </w:lvl>
    <w:lvl w:ilvl="3" w:tplc="04240001" w:tentative="1">
      <w:start w:val="1"/>
      <w:numFmt w:val="bullet"/>
      <w:lvlText w:val=""/>
      <w:lvlJc w:val="left"/>
      <w:pPr>
        <w:ind w:left="624" w:hanging="360"/>
      </w:pPr>
      <w:rPr>
        <w:rFonts w:ascii="Symbol" w:hAnsi="Symbol" w:hint="default"/>
      </w:rPr>
    </w:lvl>
    <w:lvl w:ilvl="4" w:tplc="04240003" w:tentative="1">
      <w:start w:val="1"/>
      <w:numFmt w:val="bullet"/>
      <w:lvlText w:val="o"/>
      <w:lvlJc w:val="left"/>
      <w:pPr>
        <w:ind w:left="1344" w:hanging="360"/>
      </w:pPr>
      <w:rPr>
        <w:rFonts w:ascii="Courier New" w:hAnsi="Courier New" w:cs="Courier New" w:hint="default"/>
      </w:rPr>
    </w:lvl>
    <w:lvl w:ilvl="5" w:tplc="04240005" w:tentative="1">
      <w:start w:val="1"/>
      <w:numFmt w:val="bullet"/>
      <w:lvlText w:val=""/>
      <w:lvlJc w:val="left"/>
      <w:pPr>
        <w:ind w:left="2064" w:hanging="360"/>
      </w:pPr>
      <w:rPr>
        <w:rFonts w:ascii="Wingdings" w:hAnsi="Wingdings" w:hint="default"/>
      </w:rPr>
    </w:lvl>
    <w:lvl w:ilvl="6" w:tplc="04240001" w:tentative="1">
      <w:start w:val="1"/>
      <w:numFmt w:val="bullet"/>
      <w:lvlText w:val=""/>
      <w:lvlJc w:val="left"/>
      <w:pPr>
        <w:ind w:left="2784" w:hanging="360"/>
      </w:pPr>
      <w:rPr>
        <w:rFonts w:ascii="Symbol" w:hAnsi="Symbol" w:hint="default"/>
      </w:rPr>
    </w:lvl>
    <w:lvl w:ilvl="7" w:tplc="04240003" w:tentative="1">
      <w:start w:val="1"/>
      <w:numFmt w:val="bullet"/>
      <w:lvlText w:val="o"/>
      <w:lvlJc w:val="left"/>
      <w:pPr>
        <w:ind w:left="3504" w:hanging="360"/>
      </w:pPr>
      <w:rPr>
        <w:rFonts w:ascii="Courier New" w:hAnsi="Courier New" w:cs="Courier New" w:hint="default"/>
      </w:rPr>
    </w:lvl>
    <w:lvl w:ilvl="8" w:tplc="04240005" w:tentative="1">
      <w:start w:val="1"/>
      <w:numFmt w:val="bullet"/>
      <w:lvlText w:val=""/>
      <w:lvlJc w:val="left"/>
      <w:pPr>
        <w:ind w:left="4224" w:hanging="360"/>
      </w:pPr>
      <w:rPr>
        <w:rFonts w:ascii="Wingdings" w:hAnsi="Wingdings" w:hint="default"/>
      </w:rPr>
    </w:lvl>
  </w:abstractNum>
  <w:abstractNum w:abstractNumId="1" w15:restartNumberingAfterBreak="0">
    <w:nsid w:val="064C45FA"/>
    <w:multiLevelType w:val="hybridMultilevel"/>
    <w:tmpl w:val="F51E04EC"/>
    <w:lvl w:ilvl="0" w:tplc="7D64DAE8">
      <w:start w:val="31"/>
      <w:numFmt w:val="bullet"/>
      <w:lvlText w:val="-"/>
      <w:lvlJc w:val="left"/>
      <w:pPr>
        <w:ind w:left="720" w:hanging="360"/>
      </w:pPr>
      <w:rPr>
        <w:rFonts w:ascii="Arial" w:eastAsia="Times New Roman" w:hAnsi="Arial" w:cs="Arial" w:hint="default"/>
      </w:rPr>
    </w:lvl>
    <w:lvl w:ilvl="1" w:tplc="22AA4D56">
      <w:numFmt w:val="bullet"/>
      <w:lvlText w:val="•"/>
      <w:lvlJc w:val="left"/>
      <w:pPr>
        <w:ind w:left="1788" w:hanging="708"/>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A24585"/>
    <w:multiLevelType w:val="hybridMultilevel"/>
    <w:tmpl w:val="52BA02E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A1E59DB"/>
    <w:multiLevelType w:val="hybridMultilevel"/>
    <w:tmpl w:val="EFF408B8"/>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F10DB8"/>
    <w:multiLevelType w:val="hybridMultilevel"/>
    <w:tmpl w:val="13AC2F4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E1247D"/>
    <w:multiLevelType w:val="hybridMultilevel"/>
    <w:tmpl w:val="EF682A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356F8E"/>
    <w:multiLevelType w:val="hybridMultilevel"/>
    <w:tmpl w:val="1716E5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B810E5"/>
    <w:multiLevelType w:val="hybridMultilevel"/>
    <w:tmpl w:val="8D322438"/>
    <w:lvl w:ilvl="0" w:tplc="76AC1A70">
      <w:start w:val="49"/>
      <w:numFmt w:val="bullet"/>
      <w:lvlText w:val=""/>
      <w:lvlJc w:val="left"/>
      <w:pPr>
        <w:ind w:left="1428" w:hanging="360"/>
      </w:pPr>
      <w:rPr>
        <w:rFonts w:ascii="Symbol" w:eastAsia="Times New Roman" w:hAnsi="Symbol"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3426DCA"/>
    <w:multiLevelType w:val="hybridMultilevel"/>
    <w:tmpl w:val="353ED5F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407060"/>
    <w:multiLevelType w:val="hybridMultilevel"/>
    <w:tmpl w:val="CFEE5FA2"/>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9" w15:restartNumberingAfterBreak="0">
    <w:nsid w:val="47CC33E0"/>
    <w:multiLevelType w:val="hybridMultilevel"/>
    <w:tmpl w:val="B6DCADA6"/>
    <w:lvl w:ilvl="0" w:tplc="427883A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292307"/>
    <w:multiLevelType w:val="hybridMultilevel"/>
    <w:tmpl w:val="0DC81A78"/>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693218"/>
    <w:multiLevelType w:val="hybridMultilevel"/>
    <w:tmpl w:val="F49485F2"/>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C142C2"/>
    <w:multiLevelType w:val="hybridMultilevel"/>
    <w:tmpl w:val="BBB6E82E"/>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6EF86B36"/>
    <w:multiLevelType w:val="hybridMultilevel"/>
    <w:tmpl w:val="A976996A"/>
    <w:lvl w:ilvl="0" w:tplc="226E4734">
      <w:start w:val="1"/>
      <w:numFmt w:val="bullet"/>
      <w:lvlText w:val=""/>
      <w:lvlJc w:val="left"/>
      <w:pPr>
        <w:ind w:left="678" w:hanging="360"/>
      </w:pPr>
      <w:rPr>
        <w:rFonts w:ascii="Symbol" w:hAnsi="Symbo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26" w15:restartNumberingAfterBreak="0">
    <w:nsid w:val="73932012"/>
    <w:multiLevelType w:val="hybridMultilevel"/>
    <w:tmpl w:val="F83EFFA2"/>
    <w:lvl w:ilvl="0" w:tplc="B0509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C33403"/>
    <w:multiLevelType w:val="hybridMultilevel"/>
    <w:tmpl w:val="C0DEA726"/>
    <w:lvl w:ilvl="0" w:tplc="91F88120">
      <w:start w:val="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3D4A9F"/>
    <w:multiLevelType w:val="hybridMultilevel"/>
    <w:tmpl w:val="FAF420F8"/>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9" w15:restartNumberingAfterBreak="0">
    <w:nsid w:val="7F2A42A9"/>
    <w:multiLevelType w:val="hybridMultilevel"/>
    <w:tmpl w:val="FFDE904A"/>
    <w:lvl w:ilvl="0" w:tplc="1098D4D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7246156">
    <w:abstractNumId w:val="15"/>
  </w:num>
  <w:num w:numId="2" w16cid:durableId="47649904">
    <w:abstractNumId w:val="16"/>
  </w:num>
  <w:num w:numId="3" w16cid:durableId="21521058">
    <w:abstractNumId w:val="12"/>
  </w:num>
  <w:num w:numId="4" w16cid:durableId="1233929070">
    <w:abstractNumId w:val="2"/>
  </w:num>
  <w:num w:numId="5" w16cid:durableId="1802334498">
    <w:abstractNumId w:val="13"/>
    <w:lvlOverride w:ilvl="0">
      <w:startOverride w:val="1"/>
    </w:lvlOverride>
  </w:num>
  <w:num w:numId="6" w16cid:durableId="1064064789">
    <w:abstractNumId w:val="5"/>
  </w:num>
  <w:num w:numId="7" w16cid:durableId="1341272973">
    <w:abstractNumId w:val="8"/>
  </w:num>
  <w:num w:numId="8" w16cid:durableId="1789931875">
    <w:abstractNumId w:val="20"/>
  </w:num>
  <w:num w:numId="9" w16cid:durableId="2101024197">
    <w:abstractNumId w:val="23"/>
  </w:num>
  <w:num w:numId="10" w16cid:durableId="870922641">
    <w:abstractNumId w:val="14"/>
  </w:num>
  <w:num w:numId="11" w16cid:durableId="1702313948">
    <w:abstractNumId w:val="10"/>
  </w:num>
  <w:num w:numId="12" w16cid:durableId="572131757">
    <w:abstractNumId w:val="27"/>
  </w:num>
  <w:num w:numId="13" w16cid:durableId="414405091">
    <w:abstractNumId w:val="1"/>
  </w:num>
  <w:num w:numId="14" w16cid:durableId="1384714258">
    <w:abstractNumId w:val="25"/>
  </w:num>
  <w:num w:numId="15" w16cid:durableId="903217489">
    <w:abstractNumId w:val="22"/>
  </w:num>
  <w:num w:numId="16" w16cid:durableId="920135831">
    <w:abstractNumId w:val="6"/>
  </w:num>
  <w:num w:numId="17" w16cid:durableId="506216444">
    <w:abstractNumId w:val="19"/>
  </w:num>
  <w:num w:numId="18" w16cid:durableId="1406490492">
    <w:abstractNumId w:val="26"/>
  </w:num>
  <w:num w:numId="19" w16cid:durableId="218825099">
    <w:abstractNumId w:val="17"/>
  </w:num>
  <w:num w:numId="20" w16cid:durableId="866287285">
    <w:abstractNumId w:val="29"/>
  </w:num>
  <w:num w:numId="21" w16cid:durableId="195197773">
    <w:abstractNumId w:val="3"/>
  </w:num>
  <w:num w:numId="22" w16cid:durableId="531918237">
    <w:abstractNumId w:val="7"/>
  </w:num>
  <w:num w:numId="23" w16cid:durableId="708652102">
    <w:abstractNumId w:val="9"/>
  </w:num>
  <w:num w:numId="24" w16cid:durableId="1811091238">
    <w:abstractNumId w:val="18"/>
  </w:num>
  <w:num w:numId="25" w16cid:durableId="967710554">
    <w:abstractNumId w:val="0"/>
  </w:num>
  <w:num w:numId="26" w16cid:durableId="1593009653">
    <w:abstractNumId w:val="11"/>
  </w:num>
  <w:num w:numId="27" w16cid:durableId="930623497">
    <w:abstractNumId w:val="28"/>
  </w:num>
  <w:num w:numId="28" w16cid:durableId="1785035770">
    <w:abstractNumId w:val="4"/>
  </w:num>
  <w:num w:numId="29" w16cid:durableId="353118213">
    <w:abstractNumId w:val="24"/>
  </w:num>
  <w:num w:numId="30" w16cid:durableId="465507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F2"/>
    <w:rsid w:val="00026D23"/>
    <w:rsid w:val="000555B9"/>
    <w:rsid w:val="000833D6"/>
    <w:rsid w:val="00090092"/>
    <w:rsid w:val="000E7DDB"/>
    <w:rsid w:val="00150EBA"/>
    <w:rsid w:val="00155CE9"/>
    <w:rsid w:val="00180BB6"/>
    <w:rsid w:val="00184F62"/>
    <w:rsid w:val="00196821"/>
    <w:rsid w:val="001A2992"/>
    <w:rsid w:val="001B3731"/>
    <w:rsid w:val="001C21D4"/>
    <w:rsid w:val="00216669"/>
    <w:rsid w:val="002335F1"/>
    <w:rsid w:val="0024486B"/>
    <w:rsid w:val="00247C3E"/>
    <w:rsid w:val="002717DD"/>
    <w:rsid w:val="00282F45"/>
    <w:rsid w:val="00291F80"/>
    <w:rsid w:val="002B6202"/>
    <w:rsid w:val="002D1E9E"/>
    <w:rsid w:val="002F28CA"/>
    <w:rsid w:val="00304B82"/>
    <w:rsid w:val="00314AC1"/>
    <w:rsid w:val="00325949"/>
    <w:rsid w:val="003326E1"/>
    <w:rsid w:val="00337757"/>
    <w:rsid w:val="00345FB6"/>
    <w:rsid w:val="00356149"/>
    <w:rsid w:val="00357C20"/>
    <w:rsid w:val="003D7CC1"/>
    <w:rsid w:val="003E635B"/>
    <w:rsid w:val="003E7709"/>
    <w:rsid w:val="004337C0"/>
    <w:rsid w:val="00434102"/>
    <w:rsid w:val="00456F73"/>
    <w:rsid w:val="00461A09"/>
    <w:rsid w:val="00466DB2"/>
    <w:rsid w:val="00472167"/>
    <w:rsid w:val="0048399B"/>
    <w:rsid w:val="004E60F1"/>
    <w:rsid w:val="00521366"/>
    <w:rsid w:val="00527930"/>
    <w:rsid w:val="00530BA5"/>
    <w:rsid w:val="00535EA5"/>
    <w:rsid w:val="00556699"/>
    <w:rsid w:val="00560F21"/>
    <w:rsid w:val="00562493"/>
    <w:rsid w:val="00563EE3"/>
    <w:rsid w:val="00564CB8"/>
    <w:rsid w:val="00573B24"/>
    <w:rsid w:val="005955E9"/>
    <w:rsid w:val="005B2D47"/>
    <w:rsid w:val="005B7EE6"/>
    <w:rsid w:val="005C0748"/>
    <w:rsid w:val="005D70F4"/>
    <w:rsid w:val="005E66F8"/>
    <w:rsid w:val="005F4065"/>
    <w:rsid w:val="005F4B4C"/>
    <w:rsid w:val="00631329"/>
    <w:rsid w:val="00632151"/>
    <w:rsid w:val="00657A3D"/>
    <w:rsid w:val="006602C2"/>
    <w:rsid w:val="006977F6"/>
    <w:rsid w:val="006E2B82"/>
    <w:rsid w:val="006E5CB1"/>
    <w:rsid w:val="00700BC8"/>
    <w:rsid w:val="00714D2A"/>
    <w:rsid w:val="00727BBD"/>
    <w:rsid w:val="00774288"/>
    <w:rsid w:val="007D5397"/>
    <w:rsid w:val="007E2511"/>
    <w:rsid w:val="00851D42"/>
    <w:rsid w:val="00856C74"/>
    <w:rsid w:val="0088076F"/>
    <w:rsid w:val="00885FCA"/>
    <w:rsid w:val="008B635D"/>
    <w:rsid w:val="008C05B0"/>
    <w:rsid w:val="008E009A"/>
    <w:rsid w:val="008F148A"/>
    <w:rsid w:val="008F3122"/>
    <w:rsid w:val="00955F86"/>
    <w:rsid w:val="009922FF"/>
    <w:rsid w:val="00992912"/>
    <w:rsid w:val="00995F0B"/>
    <w:rsid w:val="009E2FB4"/>
    <w:rsid w:val="00A95ADC"/>
    <w:rsid w:val="00AA1F8A"/>
    <w:rsid w:val="00B1396B"/>
    <w:rsid w:val="00B17D7F"/>
    <w:rsid w:val="00B42B8E"/>
    <w:rsid w:val="00B7202C"/>
    <w:rsid w:val="00B80925"/>
    <w:rsid w:val="00BB09E8"/>
    <w:rsid w:val="00BB2857"/>
    <w:rsid w:val="00BC75AB"/>
    <w:rsid w:val="00BE7DAB"/>
    <w:rsid w:val="00BF6078"/>
    <w:rsid w:val="00C567AC"/>
    <w:rsid w:val="00C70C0C"/>
    <w:rsid w:val="00C72419"/>
    <w:rsid w:val="00C81E14"/>
    <w:rsid w:val="00CB1E6F"/>
    <w:rsid w:val="00CB3A0C"/>
    <w:rsid w:val="00D540CC"/>
    <w:rsid w:val="00D80ED6"/>
    <w:rsid w:val="00D847F2"/>
    <w:rsid w:val="00D877C9"/>
    <w:rsid w:val="00E128C5"/>
    <w:rsid w:val="00E77E5E"/>
    <w:rsid w:val="00E93BC0"/>
    <w:rsid w:val="00EA0A6C"/>
    <w:rsid w:val="00EA0EB9"/>
    <w:rsid w:val="00EB0B25"/>
    <w:rsid w:val="00EC2883"/>
    <w:rsid w:val="00ED2E10"/>
    <w:rsid w:val="00EE7169"/>
    <w:rsid w:val="00EF66A2"/>
    <w:rsid w:val="00F05E9F"/>
    <w:rsid w:val="00F3582A"/>
    <w:rsid w:val="00F8041D"/>
    <w:rsid w:val="00FB3A6B"/>
    <w:rsid w:val="00FC4D5A"/>
    <w:rsid w:val="00FD4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0DC9"/>
  <w15:chartTrackingRefBased/>
  <w15:docId w15:val="{B6AD2619-3DD3-420C-BA34-65C40AC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47F2"/>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D847F2"/>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iPriority w:val="9"/>
    <w:semiHidden/>
    <w:unhideWhenUsed/>
    <w:qFormat/>
    <w:rsid w:val="00D847F2"/>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D847F2"/>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D847F2"/>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uiPriority w:val="9"/>
    <w:semiHidden/>
    <w:rsid w:val="00D847F2"/>
    <w:rPr>
      <w:rFonts w:ascii="Cambria" w:eastAsia="Times New Roman" w:hAnsi="Cambria" w:cs="Times New Roman"/>
      <w:b/>
      <w:bCs/>
      <w:i/>
      <w:iCs/>
      <w:sz w:val="28"/>
      <w:szCs w:val="28"/>
    </w:rPr>
  </w:style>
  <w:style w:type="character" w:customStyle="1" w:styleId="Naslov3Znak">
    <w:name w:val="Naslov 3 Znak"/>
    <w:basedOn w:val="Privzetapisavaodstavka"/>
    <w:link w:val="Naslov3"/>
    <w:uiPriority w:val="9"/>
    <w:rsid w:val="00D847F2"/>
    <w:rPr>
      <w:rFonts w:ascii="Cambria" w:eastAsia="Times New Roman" w:hAnsi="Cambria" w:cs="Times New Roman"/>
      <w:b/>
      <w:bCs/>
      <w:sz w:val="26"/>
      <w:szCs w:val="26"/>
    </w:rPr>
  </w:style>
  <w:style w:type="paragraph" w:styleId="Glava">
    <w:name w:val="header"/>
    <w:basedOn w:val="Navaden"/>
    <w:link w:val="GlavaZnak"/>
    <w:rsid w:val="00D847F2"/>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D847F2"/>
    <w:rPr>
      <w:rFonts w:ascii="Arial" w:eastAsia="Times New Roman" w:hAnsi="Arial" w:cs="Times New Roman"/>
      <w:sz w:val="20"/>
      <w:szCs w:val="24"/>
    </w:rPr>
  </w:style>
  <w:style w:type="paragraph" w:styleId="Noga">
    <w:name w:val="footer"/>
    <w:basedOn w:val="Navaden"/>
    <w:link w:val="NogaZnak"/>
    <w:uiPriority w:val="99"/>
    <w:rsid w:val="00D847F2"/>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D847F2"/>
    <w:rPr>
      <w:rFonts w:ascii="Arial" w:eastAsia="Times New Roman" w:hAnsi="Arial" w:cs="Times New Roman"/>
      <w:sz w:val="20"/>
      <w:szCs w:val="24"/>
    </w:rPr>
  </w:style>
  <w:style w:type="paragraph" w:styleId="Zgradbadokumenta">
    <w:name w:val="Document Map"/>
    <w:basedOn w:val="Navaden"/>
    <w:link w:val="ZgradbadokumentaZnak"/>
    <w:rsid w:val="00D847F2"/>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D847F2"/>
    <w:rPr>
      <w:rFonts w:ascii="Tahoma" w:eastAsia="Times New Roman" w:hAnsi="Tahoma" w:cs="Tahoma"/>
      <w:sz w:val="16"/>
      <w:szCs w:val="16"/>
    </w:rPr>
  </w:style>
  <w:style w:type="table" w:styleId="Tabelamrea">
    <w:name w:val="Table Grid"/>
    <w:basedOn w:val="Navadnatabela"/>
    <w:rsid w:val="00D847F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847F2"/>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D847F2"/>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D847F2"/>
    <w:rPr>
      <w:color w:val="0000FF"/>
      <w:u w:val="single"/>
    </w:rPr>
  </w:style>
  <w:style w:type="paragraph" w:customStyle="1" w:styleId="podpisi">
    <w:name w:val="podpisi"/>
    <w:basedOn w:val="Navaden"/>
    <w:qFormat/>
    <w:rsid w:val="00D847F2"/>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D847F2"/>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D847F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847F2"/>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D847F2"/>
    <w:rPr>
      <w:rFonts w:ascii="Arial" w:eastAsia="Times New Roman" w:hAnsi="Arial" w:cs="Arial"/>
      <w:b/>
      <w:lang w:eastAsia="sl-SI"/>
    </w:rPr>
  </w:style>
  <w:style w:type="paragraph" w:customStyle="1" w:styleId="Poglavje">
    <w:name w:val="Poglavje"/>
    <w:basedOn w:val="Navaden"/>
    <w:qFormat/>
    <w:rsid w:val="00D847F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qFormat/>
    <w:rsid w:val="00D847F2"/>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uiPriority w:val="99"/>
    <w:rsid w:val="00D847F2"/>
    <w:rPr>
      <w:rFonts w:ascii="Arial" w:eastAsia="Times New Roman" w:hAnsi="Arial" w:cs="Arial"/>
      <w:lang w:eastAsia="sl-SI"/>
    </w:rPr>
  </w:style>
  <w:style w:type="paragraph" w:customStyle="1" w:styleId="Oddelek">
    <w:name w:val="Oddelek"/>
    <w:basedOn w:val="Navaden"/>
    <w:link w:val="OddelekZnak1"/>
    <w:qFormat/>
    <w:rsid w:val="00D847F2"/>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D847F2"/>
    <w:rPr>
      <w:rFonts w:ascii="Arial" w:eastAsia="Times New Roman" w:hAnsi="Arial" w:cs="Arial"/>
      <w:b/>
      <w:lang w:eastAsia="sl-SI"/>
    </w:rPr>
  </w:style>
  <w:style w:type="paragraph" w:customStyle="1" w:styleId="Alineazaodstavkom">
    <w:name w:val="Alinea za odstavkom"/>
    <w:basedOn w:val="Navaden"/>
    <w:link w:val="AlineazaodstavkomZnak"/>
    <w:qFormat/>
    <w:rsid w:val="00D847F2"/>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D847F2"/>
    <w:rPr>
      <w:rFonts w:ascii="Arial" w:eastAsia="Times New Roman" w:hAnsi="Arial" w:cs="Arial"/>
      <w:lang w:eastAsia="sl-SI"/>
    </w:rPr>
  </w:style>
  <w:style w:type="character" w:styleId="tevilkastrani">
    <w:name w:val="page number"/>
    <w:rsid w:val="00D847F2"/>
  </w:style>
  <w:style w:type="paragraph" w:styleId="Sprotnaopomba-besedilo">
    <w:name w:val="footnote text"/>
    <w:basedOn w:val="Navaden"/>
    <w:link w:val="Sprotnaopomba-besediloZnak"/>
    <w:uiPriority w:val="99"/>
    <w:rsid w:val="00D847F2"/>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uiPriority w:val="99"/>
    <w:rsid w:val="00D847F2"/>
    <w:rPr>
      <w:rFonts w:ascii="Arial" w:eastAsia="Times New Roman" w:hAnsi="Arial" w:cs="Times New Roman"/>
      <w:sz w:val="20"/>
      <w:szCs w:val="20"/>
    </w:rPr>
  </w:style>
  <w:style w:type="character" w:styleId="Sprotnaopomba-sklic">
    <w:name w:val="footnote reference"/>
    <w:uiPriority w:val="99"/>
    <w:rsid w:val="00D847F2"/>
    <w:rPr>
      <w:vertAlign w:val="superscript"/>
    </w:rPr>
  </w:style>
  <w:style w:type="character" w:styleId="Pripombasklic">
    <w:name w:val="annotation reference"/>
    <w:uiPriority w:val="99"/>
    <w:semiHidden/>
    <w:rsid w:val="00D847F2"/>
    <w:rPr>
      <w:sz w:val="16"/>
      <w:szCs w:val="16"/>
    </w:rPr>
  </w:style>
  <w:style w:type="paragraph" w:styleId="Pripombabesedilo">
    <w:name w:val="annotation text"/>
    <w:basedOn w:val="Navaden"/>
    <w:link w:val="PripombabesediloZnak"/>
    <w:uiPriority w:val="99"/>
    <w:semiHidden/>
    <w:rsid w:val="00D847F2"/>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basedOn w:val="Privzetapisavaodstavka"/>
    <w:link w:val="Pripombabesedilo"/>
    <w:uiPriority w:val="99"/>
    <w:semiHidden/>
    <w:rsid w:val="00D847F2"/>
    <w:rPr>
      <w:rFonts w:ascii="Times New Roman" w:eastAsia="Times New Roman" w:hAnsi="Times New Roman" w:cs="Times New Roman"/>
      <w:sz w:val="20"/>
      <w:szCs w:val="20"/>
    </w:rPr>
  </w:style>
  <w:style w:type="paragraph" w:styleId="Besedilooblaka">
    <w:name w:val="Balloon Text"/>
    <w:basedOn w:val="Navaden"/>
    <w:link w:val="BesedilooblakaZnak"/>
    <w:semiHidden/>
    <w:rsid w:val="00D847F2"/>
    <w:pPr>
      <w:spacing w:after="0" w:line="260" w:lineRule="exact"/>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D847F2"/>
    <w:rPr>
      <w:rFonts w:ascii="Tahoma" w:eastAsia="Times New Roman" w:hAnsi="Tahoma" w:cs="Tahoma"/>
      <w:sz w:val="16"/>
      <w:szCs w:val="16"/>
    </w:rPr>
  </w:style>
  <w:style w:type="paragraph" w:customStyle="1" w:styleId="Par-number1">
    <w:name w:val="Par-number 1."/>
    <w:basedOn w:val="Navaden"/>
    <w:next w:val="Navaden"/>
    <w:rsid w:val="00D847F2"/>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D847F2"/>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D847F2"/>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D847F2"/>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semiHidden/>
    <w:rsid w:val="00D847F2"/>
    <w:rPr>
      <w:rFonts w:ascii="Arial" w:eastAsia="Times New Roman" w:hAnsi="Arial" w:cs="Times New Roman"/>
      <w:b/>
      <w:bCs/>
      <w:sz w:val="20"/>
      <w:szCs w:val="20"/>
    </w:rPr>
  </w:style>
  <w:style w:type="paragraph" w:customStyle="1" w:styleId="Odstavek">
    <w:name w:val="Odstavek"/>
    <w:basedOn w:val="Navaden"/>
    <w:link w:val="OdstavekZnak"/>
    <w:qFormat/>
    <w:rsid w:val="00D847F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D847F2"/>
    <w:rPr>
      <w:rFonts w:ascii="Arial" w:eastAsia="Times New Roman" w:hAnsi="Arial" w:cs="Arial"/>
      <w:lang w:eastAsia="sl-SI"/>
    </w:rPr>
  </w:style>
  <w:style w:type="paragraph" w:customStyle="1" w:styleId="Odstavekseznama1">
    <w:name w:val="Odstavek seznama1"/>
    <w:basedOn w:val="Navaden"/>
    <w:qFormat/>
    <w:rsid w:val="00D847F2"/>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D847F2"/>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D847F2"/>
    <w:rPr>
      <w:rFonts w:ascii="Arial" w:eastAsia="Times New Roman" w:hAnsi="Arial" w:cs="Arial"/>
      <w:lang w:eastAsia="sl-SI"/>
    </w:rPr>
  </w:style>
  <w:style w:type="character" w:customStyle="1" w:styleId="rkovnatokazaodstavkomZnak">
    <w:name w:val="Črkovna točka_za odstavkom Znak"/>
    <w:link w:val="rkovnatokazaodstavkom"/>
    <w:rsid w:val="00D847F2"/>
    <w:rPr>
      <w:rFonts w:ascii="Arial" w:hAnsi="Arial"/>
    </w:rPr>
  </w:style>
  <w:style w:type="paragraph" w:customStyle="1" w:styleId="rkovnatokazaodstavkom">
    <w:name w:val="Črkovna točka_za odstavkom"/>
    <w:basedOn w:val="Navaden"/>
    <w:link w:val="rkovnatokazaodstavkomZnak"/>
    <w:qFormat/>
    <w:rsid w:val="00D847F2"/>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rPr>
  </w:style>
  <w:style w:type="paragraph" w:customStyle="1" w:styleId="Odsek">
    <w:name w:val="Odsek"/>
    <w:basedOn w:val="Oddelek"/>
    <w:link w:val="OdsekZnak"/>
    <w:qFormat/>
    <w:rsid w:val="00D847F2"/>
    <w:pPr>
      <w:numPr>
        <w:numId w:val="1"/>
      </w:numPr>
      <w:ind w:left="0" w:firstLine="0"/>
    </w:pPr>
  </w:style>
  <w:style w:type="character" w:customStyle="1" w:styleId="OdsekZnak">
    <w:name w:val="Odsek Znak"/>
    <w:link w:val="Odsek"/>
    <w:rsid w:val="00D847F2"/>
    <w:rPr>
      <w:rFonts w:ascii="Arial" w:eastAsia="Times New Roman" w:hAnsi="Arial" w:cs="Arial"/>
      <w:b/>
      <w:lang w:eastAsia="sl-SI"/>
    </w:rPr>
  </w:style>
  <w:style w:type="paragraph" w:customStyle="1" w:styleId="len">
    <w:name w:val="Člen"/>
    <w:basedOn w:val="Navaden"/>
    <w:link w:val="lenZnak"/>
    <w:qFormat/>
    <w:rsid w:val="00D847F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D847F2"/>
    <w:rPr>
      <w:rFonts w:ascii="Arial" w:eastAsia="Times New Roman" w:hAnsi="Arial" w:cs="Arial"/>
      <w:b/>
      <w:lang w:eastAsia="sl-SI"/>
    </w:rPr>
  </w:style>
  <w:style w:type="paragraph" w:customStyle="1" w:styleId="lennaslov">
    <w:name w:val="Člen_naslov"/>
    <w:basedOn w:val="len"/>
    <w:qFormat/>
    <w:rsid w:val="00D847F2"/>
    <w:pPr>
      <w:spacing w:before="0"/>
    </w:pPr>
  </w:style>
  <w:style w:type="paragraph" w:styleId="Telobesedila-zamik">
    <w:name w:val="Body Text Indent"/>
    <w:basedOn w:val="Navaden"/>
    <w:link w:val="Telobesedila-zamikZnak"/>
    <w:rsid w:val="00D847F2"/>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D847F2"/>
    <w:rPr>
      <w:rFonts w:ascii="Arial" w:eastAsia="Times New Roman" w:hAnsi="Arial" w:cs="Times New Roman"/>
      <w:sz w:val="20"/>
      <w:szCs w:val="24"/>
      <w:lang w:val="en-US"/>
    </w:rPr>
  </w:style>
  <w:style w:type="character" w:customStyle="1" w:styleId="OdstavekseznamaZnak">
    <w:name w:val="Odstavek seznama Znak"/>
    <w:link w:val="Odstavekseznama"/>
    <w:uiPriority w:val="34"/>
    <w:rsid w:val="00D847F2"/>
    <w:rPr>
      <w:rFonts w:ascii="Times New Roman" w:eastAsia="Times New Roman" w:hAnsi="Times New Roman" w:cs="Times New Roman"/>
      <w:sz w:val="24"/>
      <w:szCs w:val="24"/>
      <w:lang w:eastAsia="sl-SI"/>
    </w:rPr>
  </w:style>
  <w:style w:type="paragraph" w:styleId="Brezrazmikov">
    <w:name w:val="No Spacing"/>
    <w:uiPriority w:val="1"/>
    <w:qFormat/>
    <w:rsid w:val="00D847F2"/>
    <w:pPr>
      <w:spacing w:after="0" w:line="240" w:lineRule="auto"/>
    </w:pPr>
    <w:rPr>
      <w:rFonts w:ascii="Calibri" w:eastAsia="Calibri" w:hAnsi="Calibri" w:cs="Times New Roman"/>
    </w:rPr>
  </w:style>
  <w:style w:type="paragraph" w:styleId="Revizija">
    <w:name w:val="Revision"/>
    <w:hidden/>
    <w:uiPriority w:val="99"/>
    <w:semiHidden/>
    <w:rsid w:val="00D847F2"/>
    <w:pPr>
      <w:spacing w:after="0" w:line="240" w:lineRule="auto"/>
    </w:pPr>
    <w:rPr>
      <w:rFonts w:ascii="Calibri" w:eastAsia="Calibri" w:hAnsi="Calibri" w:cs="Times New Roman"/>
    </w:rPr>
  </w:style>
  <w:style w:type="paragraph" w:customStyle="1" w:styleId="FURSNavaden">
    <w:name w:val="FURS Navaden"/>
    <w:basedOn w:val="Navaden"/>
    <w:link w:val="FURSNavadenZnak"/>
    <w:qFormat/>
    <w:rsid w:val="00D847F2"/>
    <w:pPr>
      <w:spacing w:after="0" w:line="260" w:lineRule="atLeast"/>
      <w:jc w:val="both"/>
    </w:pPr>
    <w:rPr>
      <w:rFonts w:ascii="Arial" w:hAnsi="Arial"/>
      <w:sz w:val="20"/>
      <w:szCs w:val="24"/>
      <w:lang w:eastAsia="sl-SI"/>
    </w:rPr>
  </w:style>
  <w:style w:type="character" w:customStyle="1" w:styleId="FURSNavadenZnak">
    <w:name w:val="FURS Navaden Znak"/>
    <w:link w:val="FURSNavaden"/>
    <w:rsid w:val="00D847F2"/>
    <w:rPr>
      <w:rFonts w:ascii="Arial" w:eastAsia="Calibri" w:hAnsi="Arial" w:cs="Times New Roman"/>
      <w:sz w:val="20"/>
      <w:szCs w:val="24"/>
      <w:lang w:eastAsia="sl-SI"/>
    </w:rPr>
  </w:style>
  <w:style w:type="table" w:customStyle="1" w:styleId="Tabela-mrea1">
    <w:name w:val="Tabela - mreža1"/>
    <w:basedOn w:val="Navadnatabela"/>
    <w:next w:val="Tabelamrea"/>
    <w:uiPriority w:val="59"/>
    <w:rsid w:val="00D847F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D847F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D847F2"/>
    <w:rPr>
      <w:b/>
      <w:bCs/>
    </w:rPr>
  </w:style>
  <w:style w:type="paragraph" w:styleId="Golobesedilo">
    <w:name w:val="Plain Text"/>
    <w:basedOn w:val="Navaden"/>
    <w:link w:val="GolobesediloZnak"/>
    <w:uiPriority w:val="99"/>
    <w:semiHidden/>
    <w:unhideWhenUsed/>
    <w:rsid w:val="00D847F2"/>
    <w:pPr>
      <w:spacing w:after="0" w:line="240" w:lineRule="auto"/>
    </w:pPr>
    <w:rPr>
      <w:rFonts w:eastAsiaTheme="minorHAnsi" w:cs="Consolas"/>
      <w:szCs w:val="21"/>
    </w:rPr>
  </w:style>
  <w:style w:type="character" w:customStyle="1" w:styleId="GolobesediloZnak">
    <w:name w:val="Golo besedilo Znak"/>
    <w:basedOn w:val="Privzetapisavaodstavka"/>
    <w:link w:val="Golobesedilo"/>
    <w:uiPriority w:val="99"/>
    <w:semiHidden/>
    <w:rsid w:val="00D847F2"/>
    <w:rPr>
      <w:rFonts w:ascii="Calibri" w:hAnsi="Calibri" w:cs="Consolas"/>
      <w:szCs w:val="21"/>
    </w:rPr>
  </w:style>
  <w:style w:type="paragraph" w:customStyle="1" w:styleId="Default">
    <w:name w:val="Default"/>
    <w:basedOn w:val="Navaden"/>
    <w:rsid w:val="00D847F2"/>
    <w:pPr>
      <w:autoSpaceDE w:val="0"/>
      <w:autoSpaceDN w:val="0"/>
      <w:spacing w:after="0" w:line="240" w:lineRule="auto"/>
    </w:pPr>
    <w:rPr>
      <w:rFonts w:ascii="Arial" w:eastAsiaTheme="minorHAnsi" w:hAnsi="Arial" w:cs="Arial"/>
      <w:color w:val="000000"/>
      <w:sz w:val="24"/>
      <w:szCs w:val="24"/>
      <w:lang w:eastAsia="sl-SI"/>
    </w:rPr>
  </w:style>
  <w:style w:type="table" w:styleId="Tabelatemnamrea5poudarek5">
    <w:name w:val="Grid Table 5 Dark Accent 5"/>
    <w:basedOn w:val="Navadnatabela"/>
    <w:uiPriority w:val="50"/>
    <w:rsid w:val="00D847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Slog1">
    <w:name w:val="Slog1"/>
    <w:basedOn w:val="Navadnatabela"/>
    <w:uiPriority w:val="99"/>
    <w:rsid w:val="00D847F2"/>
    <w:pPr>
      <w:spacing w:after="0" w:line="240" w:lineRule="auto"/>
    </w:pPr>
    <w:rPr>
      <w:rFonts w:ascii="Calibri" w:eastAsia="Calibri" w:hAnsi="Calibri" w:cs="Times New Roman"/>
      <w:sz w:val="20"/>
      <w:szCs w:val="20"/>
      <w:lang w:eastAsia="sl-SI"/>
    </w:rPr>
    <w:tblPr/>
  </w:style>
  <w:style w:type="paragraph" w:styleId="Navadensplet">
    <w:name w:val="Normal (Web)"/>
    <w:basedOn w:val="Navaden"/>
    <w:uiPriority w:val="99"/>
    <w:semiHidden/>
    <w:unhideWhenUsed/>
    <w:rsid w:val="00D847F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roles">
    <w:name w:val="roles"/>
    <w:basedOn w:val="Privzetapisavaodstavka"/>
    <w:rsid w:val="00D847F2"/>
  </w:style>
  <w:style w:type="character" w:customStyle="1" w:styleId="Nerazreenaomemba1">
    <w:name w:val="Nerazrešena omemba1"/>
    <w:basedOn w:val="Privzetapisavaodstavka"/>
    <w:uiPriority w:val="99"/>
    <w:semiHidden/>
    <w:unhideWhenUsed/>
    <w:rsid w:val="00D847F2"/>
    <w:rPr>
      <w:color w:val="605E5C"/>
      <w:shd w:val="clear" w:color="auto" w:fill="E1DFDD"/>
    </w:rPr>
  </w:style>
  <w:style w:type="character" w:styleId="SledenaHiperpovezava">
    <w:name w:val="FollowedHyperlink"/>
    <w:basedOn w:val="Privzetapisavaodstavka"/>
    <w:uiPriority w:val="99"/>
    <w:semiHidden/>
    <w:unhideWhenUsed/>
    <w:rsid w:val="00D84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radni-list.si/1/objava.jsp?sop=2023-01-0348"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eur-lex.europa.eu/legal-content/SL/TXT/?uri=uriserv:OJ.L_.2016.119.01.0001.01.SLV&amp;toc=OJ:L:2016:119:F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1-01-3463" TargetMode="External"/><Relationship Id="rId13" Type="http://schemas.openxmlformats.org/officeDocument/2006/relationships/hyperlink" Target="http://www.uradni-list.si/1/objava.jsp?sop=2023-01-1703" TargetMode="External"/><Relationship Id="rId18" Type="http://schemas.openxmlformats.org/officeDocument/2006/relationships/hyperlink" Target="http://www.uradni-list.si/1/objava.jsp?sop=2018-01-0887" TargetMode="External"/><Relationship Id="rId26" Type="http://schemas.openxmlformats.org/officeDocument/2006/relationships/hyperlink" Target="http://www.uradni-list.si/1/objava.jsp?sop=2006-01-4487" TargetMode="External"/><Relationship Id="rId3" Type="http://schemas.openxmlformats.org/officeDocument/2006/relationships/hyperlink" Target="http://www.uradni-list.si/1/objava.jsp?sop=2021-21-3524" TargetMode="External"/><Relationship Id="rId21" Type="http://schemas.openxmlformats.org/officeDocument/2006/relationships/hyperlink" Target="http://www.uradni-list.si/1/objava.jsp?sop=2020-01-3628" TargetMode="External"/><Relationship Id="rId34" Type="http://schemas.openxmlformats.org/officeDocument/2006/relationships/hyperlink" Target="https://ec.europa.eu/taxation_customs/business/tax-cooperation-control/vat-gap_en" TargetMode="External"/><Relationship Id="rId7" Type="http://schemas.openxmlformats.org/officeDocument/2006/relationships/hyperlink" Target="http://www.uradni-list.si/1/objava.jsp?sop=2023-01-1703" TargetMode="External"/><Relationship Id="rId12" Type="http://schemas.openxmlformats.org/officeDocument/2006/relationships/hyperlink" Target="http://www.uradni-list.si/1/objava.jsp?sop=2023-01-1018" TargetMode="External"/><Relationship Id="rId17" Type="http://schemas.openxmlformats.org/officeDocument/2006/relationships/hyperlink" Target="http://www.uradni-list.si/1/objava.jsp?sop=2017-01-0729" TargetMode="External"/><Relationship Id="rId25" Type="http://schemas.openxmlformats.org/officeDocument/2006/relationships/hyperlink" Target="http://www.uradni-list.si/1/objava.jsp?sop=2006-01-0970" TargetMode="External"/><Relationship Id="rId33" Type="http://schemas.openxmlformats.org/officeDocument/2006/relationships/hyperlink" Target="http://www.uradni-list.si/1/objava.jsp?sop=2023-01-0348" TargetMode="External"/><Relationship Id="rId2" Type="http://schemas.openxmlformats.org/officeDocument/2006/relationships/hyperlink" Target="http://www.uradni-list.si/1/objava.jsp?sop=2021-01-3463" TargetMode="External"/><Relationship Id="rId16" Type="http://schemas.openxmlformats.org/officeDocument/2006/relationships/hyperlink" Target="http://www.uradni-list.si/1/objava.jsp?sop=2018-01-0865" TargetMode="External"/><Relationship Id="rId20" Type="http://schemas.openxmlformats.org/officeDocument/2006/relationships/hyperlink" Target="http://www.uradni-list.si/1/objava.jsp?sop=2019-01-2936" TargetMode="External"/><Relationship Id="rId29" Type="http://schemas.openxmlformats.org/officeDocument/2006/relationships/hyperlink" Target="http://www.uradni-list.si/1/objava.jsp?sop=2010-01-0251" TargetMode="External"/><Relationship Id="rId1" Type="http://schemas.openxmlformats.org/officeDocument/2006/relationships/hyperlink" Target="https://www.gov.si/teme/fiskalna-in-javnofinancna-politika/" TargetMode="External"/><Relationship Id="rId6" Type="http://schemas.openxmlformats.org/officeDocument/2006/relationships/hyperlink" Target="http://www.uradni-list.si/1/objava.jsp?sop=2023-01-1018" TargetMode="External"/><Relationship Id="rId11" Type="http://schemas.openxmlformats.org/officeDocument/2006/relationships/hyperlink" Target="http://www.uradni-list.si/1/objava.jsp?sop=2022-01-3944" TargetMode="External"/><Relationship Id="rId24" Type="http://schemas.openxmlformats.org/officeDocument/2006/relationships/hyperlink" Target="http://www.uradni-list.si/1/objava.jsp?sop=2023-01-0098" TargetMode="External"/><Relationship Id="rId32" Type="http://schemas.openxmlformats.org/officeDocument/2006/relationships/hyperlink" Target="http://www.uradni-list.si/1/objava.jsp?sop=2022-01-0014" TargetMode="External"/><Relationship Id="rId5" Type="http://schemas.openxmlformats.org/officeDocument/2006/relationships/hyperlink" Target="http://www.uradni-list.si/1/objava.jsp?sop=2022-01-3944" TargetMode="External"/><Relationship Id="rId15" Type="http://schemas.openxmlformats.org/officeDocument/2006/relationships/hyperlink" Target="http://www.uradni-list.si/1/objava.jsp?sop=2016-01-2761" TargetMode="External"/><Relationship Id="rId23" Type="http://schemas.openxmlformats.org/officeDocument/2006/relationships/hyperlink" Target="http://www.uradni-list.si/1/objava.jsp?sop=2022-01-2372" TargetMode="External"/><Relationship Id="rId28" Type="http://schemas.openxmlformats.org/officeDocument/2006/relationships/hyperlink" Target="http://www.uradni-list.si/1/objava.jsp?sop=2008-01-2816" TargetMode="External"/><Relationship Id="rId36" Type="http://schemas.openxmlformats.org/officeDocument/2006/relationships/hyperlink" Target="http://www.uradni-list.si/1/objava.jsp?sop=2023-01-0348" TargetMode="External"/><Relationship Id="rId10" Type="http://schemas.openxmlformats.org/officeDocument/2006/relationships/hyperlink" Target="http://www.uradni-list.si/1/objava.jsp?sop=2021-01-3903" TargetMode="External"/><Relationship Id="rId19" Type="http://schemas.openxmlformats.org/officeDocument/2006/relationships/hyperlink" Target="http://www.uradni-list.si/1/objava.jsp?sop=2019-01-0917" TargetMode="External"/><Relationship Id="rId31" Type="http://schemas.openxmlformats.org/officeDocument/2006/relationships/hyperlink" Target="http://www.uradni-list.si/1/objava.jsp?sop=2020-01-3096" TargetMode="External"/><Relationship Id="rId4" Type="http://schemas.openxmlformats.org/officeDocument/2006/relationships/hyperlink" Target="http://www.uradni-list.si/1/objava.jsp?sop=2021-01-3903" TargetMode="External"/><Relationship Id="rId9" Type="http://schemas.openxmlformats.org/officeDocument/2006/relationships/hyperlink" Target="http://www.uradni-list.si/1/objava.jsp?sop=2021-21-3524" TargetMode="External"/><Relationship Id="rId14" Type="http://schemas.openxmlformats.org/officeDocument/2006/relationships/hyperlink" Target="http://www.uradni-list.si/1/objava.jsp?sop=2007-01-4826" TargetMode="External"/><Relationship Id="rId22" Type="http://schemas.openxmlformats.org/officeDocument/2006/relationships/hyperlink" Target="http://www.uradni-list.si/1/objava.jsp?sop=2022-01-2371" TargetMode="External"/><Relationship Id="rId27" Type="http://schemas.openxmlformats.org/officeDocument/2006/relationships/hyperlink" Target="http://www.uradni-list.si/1/objava.jsp?sop=2007-01-6415" TargetMode="External"/><Relationship Id="rId30" Type="http://schemas.openxmlformats.org/officeDocument/2006/relationships/hyperlink" Target="http://www.uradni-list.si/1/objava.jsp?sop=2013-01-3034" TargetMode="External"/><Relationship Id="rId35" Type="http://schemas.openxmlformats.org/officeDocument/2006/relationships/hyperlink" Target="http://www.uradni-list.si/1/objava.jsp?sop=2022-01-087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ntra.gov.si/sites/005-maks-gfu/urf/ssdr/porocila/porocila_vnos/SPREMLJANJE%20JFP/REALIZACIJA%20JFP%202022/Realizacija%20JFP%20FURS%20DECEMBER%202022_delovna_po%20Z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u00nt02\groups\SDKI\Izterjava\Poro&#269;ila\Poro&#269;ilo_dav&#269;ni%20dolg\na%20dan%2031.12.2022\31.12.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gu00nt02\groups\SDKI\Izterjava\Poro&#269;ila\Poro&#269;ilo_dav&#269;ni%20dolg\na%20dan%2031.12.2022\31.12.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u00nt02\groups\SDKI\Izterjava\Poro&#269;ila\Poro&#269;ilo_dav&#269;ni%20dolg\na%20dan%2031.12.2022\31.12.202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gu00nt02\groups\SDKI\Izterjava\Poro&#269;ila\2022\Letno%20poro&#269;ilo\Tabele%20izterjave%20za%20poro&#269;ilo%20FURS%2020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845694729379287"/>
          <c:y val="0.2405900302159773"/>
          <c:w val="0.56047375995439985"/>
          <c:h val="0.5325650834288435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E2-49D6-BE1E-99AD17ACFC4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1E2-49D6-BE1E-99AD17ACFC4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1E2-49D6-BE1E-99AD17ACFC4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1E2-49D6-BE1E-99AD17ACFC4F}"/>
              </c:ext>
            </c:extLst>
          </c:dPt>
          <c:dLbls>
            <c:dLbl>
              <c:idx val="0"/>
              <c:layout>
                <c:manualLayout>
                  <c:x val="7.9544455380577431E-2"/>
                  <c:y val="0.27161781860600748"/>
                </c:manualLayout>
              </c:layout>
              <c:tx>
                <c:rich>
                  <a:bodyPr/>
                  <a:lstStyle/>
                  <a:p>
                    <a:fld id="{747F2C53-0898-4FC4-8914-07A34C45EC98}" type="CATEGORYNAME">
                      <a:rPr lang="en-US"/>
                      <a:pPr/>
                      <a:t>[IME KATEGORIJE]</a:t>
                    </a:fld>
                    <a:r>
                      <a:rPr lang="en-US" baseline="0"/>
                      <a:t> </a:t>
                    </a:r>
                    <a:fld id="{EB39C6EA-E765-493E-A0CD-8E26E6CC9F2D}" type="VALUE">
                      <a:rPr lang="en-US" baseline="0"/>
                      <a:pPr/>
                      <a:t>[VREDNOST]</a:t>
                    </a:fld>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E2-49D6-BE1E-99AD17ACFC4F}"/>
                </c:ext>
              </c:extLst>
            </c:dLbl>
            <c:dLbl>
              <c:idx val="1"/>
              <c:layout>
                <c:manualLayout>
                  <c:x val="-1.7217799484948752E-3"/>
                  <c:y val="7.0200983147628598E-2"/>
                </c:manualLayout>
              </c:layout>
              <c:tx>
                <c:rich>
                  <a:bodyPr/>
                  <a:lstStyle/>
                  <a:p>
                    <a:fld id="{E7648FA4-3654-423B-B509-7CF20E5EBD40}" type="CATEGORYNAME">
                      <a:rPr lang="en-US"/>
                      <a:pPr/>
                      <a:t>[IME KATEGORIJE]</a:t>
                    </a:fld>
                    <a:r>
                      <a:rPr lang="en-US" baseline="0"/>
                      <a:t> </a:t>
                    </a:r>
                    <a:fld id="{813403E1-C6E9-40BE-8F29-D52E97BC3B3B}" type="VALUE">
                      <a:rPr lang="en-US" baseline="0"/>
                      <a:pPr/>
                      <a:t>[VREDNOST]</a:t>
                    </a:fld>
                    <a:r>
                      <a:rPr lang="en-US" baseline="0"/>
                      <a:t> %</a:t>
                    </a:r>
                  </a:p>
                </c:rich>
              </c:tx>
              <c:showLegendKey val="0"/>
              <c:showVal val="1"/>
              <c:showCatName val="1"/>
              <c:showSerName val="0"/>
              <c:showPercent val="0"/>
              <c:showBubbleSize val="0"/>
              <c:extLst>
                <c:ext xmlns:c15="http://schemas.microsoft.com/office/drawing/2012/chart" uri="{CE6537A1-D6FC-4f65-9D91-7224C49458BB}">
                  <c15:layout>
                    <c:manualLayout>
                      <c:w val="0.21411155705444312"/>
                      <c:h val="0.46533760595133766"/>
                    </c:manualLayout>
                  </c15:layout>
                  <c15:dlblFieldTable/>
                  <c15:showDataLabelsRange val="0"/>
                </c:ext>
                <c:ext xmlns:c16="http://schemas.microsoft.com/office/drawing/2014/chart" uri="{C3380CC4-5D6E-409C-BE32-E72D297353CC}">
                  <c16:uniqueId val="{00000003-61E2-49D6-BE1E-99AD17ACFC4F}"/>
                </c:ext>
              </c:extLst>
            </c:dLbl>
            <c:dLbl>
              <c:idx val="2"/>
              <c:layout>
                <c:manualLayout>
                  <c:x val="-0.19186358061116526"/>
                  <c:y val="6.9089471457326829E-2"/>
                </c:manualLayout>
              </c:layout>
              <c:tx>
                <c:rich>
                  <a:bodyPr/>
                  <a:lstStyle/>
                  <a:p>
                    <a:fld id="{36B45B6B-06D6-4F82-AE16-79CF645D44F3}" type="CATEGORYNAME">
                      <a:rPr lang="en-US"/>
                      <a:pPr/>
                      <a:t>[IME KATEGORIJE]</a:t>
                    </a:fld>
                    <a:fld id="{F70A9B40-9C4B-4A53-83C2-F94E60D3D7CF}" type="VALUE">
                      <a:rPr lang="en-US" baseline="0"/>
                      <a:pPr/>
                      <a:t>[VREDNOST]</a:t>
                    </a:fld>
                    <a:r>
                      <a:rPr lang="en-US" baseline="0"/>
                      <a:t> %</a:t>
                    </a:r>
                  </a:p>
                </c:rich>
              </c:tx>
              <c:showLegendKey val="0"/>
              <c:showVal val="1"/>
              <c:showCatName val="1"/>
              <c:showSerName val="0"/>
              <c:showPercent val="0"/>
              <c:showBubbleSize val="0"/>
              <c:extLst>
                <c:ext xmlns:c15="http://schemas.microsoft.com/office/drawing/2012/chart" uri="{CE6537A1-D6FC-4f65-9D91-7224C49458BB}">
                  <c15:layout>
                    <c:manualLayout>
                      <c:w val="0.2043169904409497"/>
                      <c:h val="0.44158911954187546"/>
                    </c:manualLayout>
                  </c15:layout>
                  <c15:dlblFieldTable/>
                  <c15:showDataLabelsRange val="0"/>
                </c:ext>
                <c:ext xmlns:c16="http://schemas.microsoft.com/office/drawing/2014/chart" uri="{C3380CC4-5D6E-409C-BE32-E72D297353CC}">
                  <c16:uniqueId val="{00000005-61E2-49D6-BE1E-99AD17ACFC4F}"/>
                </c:ext>
              </c:extLst>
            </c:dLbl>
            <c:dLbl>
              <c:idx val="3"/>
              <c:layout>
                <c:manualLayout>
                  <c:x val="6.0599245406824147E-2"/>
                  <c:y val="-7.0005468066491688E-2"/>
                </c:manualLayout>
              </c:layout>
              <c:tx>
                <c:rich>
                  <a:bodyPr/>
                  <a:lstStyle/>
                  <a:p>
                    <a:fld id="{2257C277-9D69-4C7C-B996-9B72E996F970}" type="CATEGORYNAME">
                      <a:rPr lang="en-US"/>
                      <a:pPr/>
                      <a:t>[IME KATEGORIJE]</a:t>
                    </a:fld>
                    <a:r>
                      <a:rPr lang="en-US" baseline="0"/>
                      <a:t> </a:t>
                    </a:r>
                    <a:fld id="{FB8D05DC-9A2E-4C65-958D-FA21824A2E40}" type="VALUE">
                      <a:rPr lang="en-US" baseline="0"/>
                      <a:pPr/>
                      <a:t>[VREDNOST]</a:t>
                    </a:fld>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1E2-49D6-BE1E-99AD17ACFC4F}"/>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Graf_Prejemniki_LP!$C$15:$C$18</c:f>
              <c:strCache>
                <c:ptCount val="4"/>
                <c:pt idx="0">
                  <c:v>Država</c:v>
                </c:pt>
                <c:pt idx="1">
                  <c:v>Zavod za pokojninsko in invalidsko zavarovanje Slovenije </c:v>
                </c:pt>
                <c:pt idx="2">
                  <c:v>Zavod za zdravstveno zavarovanje Slovenije </c:v>
                </c:pt>
                <c:pt idx="3">
                  <c:v>Občine</c:v>
                </c:pt>
              </c:strCache>
            </c:strRef>
          </c:cat>
          <c:val>
            <c:numRef>
              <c:f>Graf_Prejemniki_LP!$D$15:$D$18</c:f>
              <c:numCache>
                <c:formatCode>#,##0.0</c:formatCode>
                <c:ptCount val="4"/>
                <c:pt idx="0">
                  <c:v>55.407167158690221</c:v>
                </c:pt>
                <c:pt idx="1">
                  <c:v>25.911636728894276</c:v>
                </c:pt>
                <c:pt idx="2">
                  <c:v>16.807258486893019</c:v>
                </c:pt>
                <c:pt idx="3">
                  <c:v>1.8739376255224895</c:v>
                </c:pt>
              </c:numCache>
            </c:numRef>
          </c:val>
          <c:extLst>
            <c:ext xmlns:c16="http://schemas.microsoft.com/office/drawing/2014/chart" uri="{C3380CC4-5D6E-409C-BE32-E72D297353CC}">
              <c16:uniqueId val="{00000008-61E2-49D6-BE1E-99AD17ACFC4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188146210158235"/>
          <c:y val="0.2922304175065365"/>
          <c:w val="0.55480868405826278"/>
          <c:h val="0.4768674049971941"/>
        </c:manualLayout>
      </c:layout>
      <c:pie3DChart>
        <c:varyColors val="1"/>
        <c:ser>
          <c:idx val="0"/>
          <c:order val="0"/>
          <c:dPt>
            <c:idx val="0"/>
            <c:bubble3D val="0"/>
            <c:explosion val="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12-4215-BB8B-AC354FFE0E7F}"/>
              </c:ext>
            </c:extLst>
          </c:dPt>
          <c:dPt>
            <c:idx val="1"/>
            <c:bubble3D val="0"/>
            <c:explosion val="9"/>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12-4215-BB8B-AC354FFE0E7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12-4215-BB8B-AC354FFE0E7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12-4215-BB8B-AC354FFE0E7F}"/>
              </c:ext>
            </c:extLst>
          </c:dPt>
          <c:dPt>
            <c:idx val="4"/>
            <c:bubble3D val="0"/>
            <c:explosion val="2"/>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B12-4215-BB8B-AC354FFE0E7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B12-4215-BB8B-AC354FFE0E7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B12-4215-BB8B-AC354FFE0E7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B12-4215-BB8B-AC354FFE0E7F}"/>
              </c:ext>
            </c:extLst>
          </c:dPt>
          <c:dLbls>
            <c:dLbl>
              <c:idx val="0"/>
              <c:layout>
                <c:manualLayout>
                  <c:x val="9.4013288275067719E-2"/>
                  <c:y val="7.8279141281836412E-2"/>
                </c:manualLayout>
              </c:layout>
              <c:tx>
                <c:rich>
                  <a:bodyPr/>
                  <a:lstStyle/>
                  <a:p>
                    <a:fld id="{93E3DC8B-880E-403E-9FCB-8DCE2F450B0E}" type="CATEGORYNAME">
                      <a:rPr lang="en-US"/>
                      <a:pPr/>
                      <a:t>[IME KATEGORIJE]</a:t>
                    </a:fld>
                    <a:r>
                      <a:rPr lang="en-US" baseline="0"/>
                      <a:t> 21,6 %</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12-4215-BB8B-AC354FFE0E7F}"/>
                </c:ext>
              </c:extLst>
            </c:dLbl>
            <c:dLbl>
              <c:idx val="1"/>
              <c:layout>
                <c:manualLayout>
                  <c:x val="8.5864786071070065E-2"/>
                  <c:y val="0"/>
                </c:manualLayout>
              </c:layout>
              <c:tx>
                <c:rich>
                  <a:bodyPr/>
                  <a:lstStyle/>
                  <a:p>
                    <a:r>
                      <a:rPr lang="en-US" i="1"/>
                      <a:t>Prispevki za socialno varnost in transferni prihodki</a:t>
                    </a:r>
                    <a:r>
                      <a:rPr lang="en-US" i="1" baseline="0"/>
                      <a:t> 43,2 %</a:t>
                    </a:r>
                  </a:p>
                  <a:p>
                    <a:endParaRPr lang="en-US"/>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B12-4215-BB8B-AC354FFE0E7F}"/>
                </c:ext>
              </c:extLst>
            </c:dLbl>
            <c:dLbl>
              <c:idx val="2"/>
              <c:layout>
                <c:manualLayout>
                  <c:x val="6.3684234493342165E-2"/>
                  <c:y val="0.18140760928373875"/>
                </c:manualLayout>
              </c:layout>
              <c:tx>
                <c:rich>
                  <a:bodyPr/>
                  <a:lstStyle/>
                  <a:p>
                    <a:fld id="{225F6641-A3B1-49EA-809E-202E1D37FD43}" type="CATEGORYNAME">
                      <a:rPr lang="en-US"/>
                      <a:pPr/>
                      <a:t>[IME KATEGORIJE]</a:t>
                    </a:fld>
                    <a:r>
                      <a:rPr lang="en-US" baseline="0"/>
                      <a:t> 0,1 %</a:t>
                    </a:r>
                  </a:p>
                </c:rich>
              </c:tx>
              <c:showLegendKey val="0"/>
              <c:showVal val="1"/>
              <c:showCatName val="1"/>
              <c:showSerName val="0"/>
              <c:showPercent val="1"/>
              <c:showBubbleSize val="0"/>
              <c:extLst>
                <c:ext xmlns:c15="http://schemas.microsoft.com/office/drawing/2012/chart" uri="{CE6537A1-D6FC-4f65-9D91-7224C49458BB}">
                  <c15:layout>
                    <c:manualLayout>
                      <c:w val="0.16527906259636135"/>
                      <c:h val="0.25903221828815021"/>
                    </c:manualLayout>
                  </c15:layout>
                  <c15:dlblFieldTable/>
                  <c15:showDataLabelsRange val="0"/>
                </c:ext>
                <c:ext xmlns:c16="http://schemas.microsoft.com/office/drawing/2014/chart" uri="{C3380CC4-5D6E-409C-BE32-E72D297353CC}">
                  <c16:uniqueId val="{00000005-4B12-4215-BB8B-AC354FFE0E7F}"/>
                </c:ext>
              </c:extLst>
            </c:dLbl>
            <c:dLbl>
              <c:idx val="3"/>
              <c:layout>
                <c:manualLayout>
                  <c:x val="-9.5742850943243793E-2"/>
                  <c:y val="9.1953041055625254E-3"/>
                </c:manualLayout>
              </c:layout>
              <c:tx>
                <c:rich>
                  <a:bodyPr/>
                  <a:lstStyle/>
                  <a:p>
                    <a:fld id="{16BEDAE8-E9C4-444A-8D34-F57DEB48A571}" type="CATEGORYNAME">
                      <a:rPr lang="en-US"/>
                      <a:pPr/>
                      <a:t>[IME KATEGORIJE]</a:t>
                    </a:fld>
                    <a:r>
                      <a:rPr lang="en-US" baseline="0"/>
                      <a:t> 1,6 %</a:t>
                    </a:r>
                  </a:p>
                </c:rich>
              </c:tx>
              <c:showLegendKey val="0"/>
              <c:showVal val="1"/>
              <c:showCatName val="1"/>
              <c:showSerName val="0"/>
              <c:showPercent val="1"/>
              <c:showBubbleSize val="0"/>
              <c:extLst>
                <c:ext xmlns:c15="http://schemas.microsoft.com/office/drawing/2012/chart" uri="{CE6537A1-D6FC-4f65-9D91-7224C49458BB}">
                  <c15:layout>
                    <c:manualLayout>
                      <c:w val="0.16699056234991902"/>
                      <c:h val="0.22106129351280754"/>
                    </c:manualLayout>
                  </c15:layout>
                  <c15:dlblFieldTable/>
                  <c15:showDataLabelsRange val="0"/>
                </c:ext>
                <c:ext xmlns:c16="http://schemas.microsoft.com/office/drawing/2014/chart" uri="{C3380CC4-5D6E-409C-BE32-E72D297353CC}">
                  <c16:uniqueId val="{00000007-4B12-4215-BB8B-AC354FFE0E7F}"/>
                </c:ext>
              </c:extLst>
            </c:dLbl>
            <c:dLbl>
              <c:idx val="4"/>
              <c:layout>
                <c:manualLayout>
                  <c:x val="-0.16292588027135585"/>
                  <c:y val="2.5442960569526066E-2"/>
                </c:manualLayout>
              </c:layout>
              <c:tx>
                <c:rich>
                  <a:bodyPr/>
                  <a:lstStyle/>
                  <a:p>
                    <a:fld id="{EEB6740F-41EC-48FC-B1AF-09FF4FEA9EDA}" type="CATEGORYNAME">
                      <a:rPr lang="en-US"/>
                      <a:pPr/>
                      <a:t>[IME KATEGORIJE]</a:t>
                    </a:fld>
                    <a:r>
                      <a:rPr lang="en-US" baseline="0"/>
                      <a:t> 31,6 %</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B12-4215-BB8B-AC354FFE0E7F}"/>
                </c:ext>
              </c:extLst>
            </c:dLbl>
            <c:dLbl>
              <c:idx val="5"/>
              <c:layout>
                <c:manualLayout>
                  <c:x val="-0.1521097512120477"/>
                  <c:y val="-3.9524127024039221E-2"/>
                </c:manualLayout>
              </c:layout>
              <c:tx>
                <c:rich>
                  <a:bodyPr/>
                  <a:lstStyle/>
                  <a:p>
                    <a:fld id="{E4A63DC8-FF01-4229-A7F9-671FD4BB7B91}" type="CATEGORYNAME">
                      <a:rPr lang="en-US"/>
                      <a:pPr/>
                      <a:t>[IME KATEGORIJE]</a:t>
                    </a:fld>
                    <a:r>
                      <a:rPr lang="en-US"/>
                      <a:t> 1,4 %</a:t>
                    </a:r>
                  </a:p>
                </c:rich>
              </c:tx>
              <c:showLegendKey val="0"/>
              <c:showVal val="1"/>
              <c:showCatName val="1"/>
              <c:showSerName val="0"/>
              <c:showPercent val="1"/>
              <c:showBubbleSize val="0"/>
              <c:extLst>
                <c:ext xmlns:c15="http://schemas.microsoft.com/office/drawing/2012/chart" uri="{CE6537A1-D6FC-4f65-9D91-7224C49458BB}">
                  <c15:layout>
                    <c:manualLayout>
                      <c:w val="0.25706774672335281"/>
                      <c:h val="0.27025514428146141"/>
                    </c:manualLayout>
                  </c15:layout>
                  <c15:dlblFieldTable/>
                  <c15:showDataLabelsRange val="0"/>
                </c:ext>
                <c:ext xmlns:c16="http://schemas.microsoft.com/office/drawing/2014/chart" uri="{C3380CC4-5D6E-409C-BE32-E72D297353CC}">
                  <c16:uniqueId val="{0000000B-4B12-4215-BB8B-AC354FFE0E7F}"/>
                </c:ext>
              </c:extLst>
            </c:dLbl>
            <c:dLbl>
              <c:idx val="6"/>
              <c:layout>
                <c:manualLayout>
                  <c:x val="0.12716614437175827"/>
                  <c:y val="-5.6966017498219342E-2"/>
                </c:manualLayout>
              </c:layout>
              <c:tx>
                <c:rich>
                  <a:bodyPr/>
                  <a:lstStyle/>
                  <a:p>
                    <a:fld id="{AF7E2B6A-F4D3-43B4-A0CA-CFF82212AE29}" type="CATEGORYNAME">
                      <a:rPr lang="en-US"/>
                      <a:pPr/>
                      <a:t>[IME KATEGORIJE]</a:t>
                    </a:fld>
                    <a:r>
                      <a:rPr lang="en-US"/>
                      <a:t> 0,5 %</a:t>
                    </a:r>
                  </a:p>
                </c:rich>
              </c:tx>
              <c:showLegendKey val="0"/>
              <c:showVal val="1"/>
              <c:showCatName val="1"/>
              <c:showSerName val="0"/>
              <c:showPercent val="1"/>
              <c:showBubbleSize val="0"/>
              <c:extLst>
                <c:ext xmlns:c15="http://schemas.microsoft.com/office/drawing/2012/chart" uri="{CE6537A1-D6FC-4f65-9D91-7224C49458BB}">
                  <c15:layout>
                    <c:manualLayout>
                      <c:w val="0.20903095947419151"/>
                      <c:h val="0.17812538533354469"/>
                    </c:manualLayout>
                  </c15:layout>
                  <c15:dlblFieldTable/>
                  <c15:showDataLabelsRange val="0"/>
                </c:ext>
                <c:ext xmlns:c16="http://schemas.microsoft.com/office/drawing/2014/chart" uri="{C3380CC4-5D6E-409C-BE32-E72D297353CC}">
                  <c16:uniqueId val="{0000000D-4B12-4215-BB8B-AC354FFE0E7F}"/>
                </c:ext>
              </c:extLst>
            </c:dLbl>
            <c:dLbl>
              <c:idx val="7"/>
              <c:delete val="1"/>
              <c:extLst>
                <c:ext xmlns:c15="http://schemas.microsoft.com/office/drawing/2012/chart" uri="{CE6537A1-D6FC-4f65-9D91-7224C49458BB}"/>
                <c:ext xmlns:c16="http://schemas.microsoft.com/office/drawing/2014/chart" uri="{C3380CC4-5D6E-409C-BE32-E72D297353CC}">
                  <c16:uniqueId val="{0000000F-4B12-4215-BB8B-AC354FFE0E7F}"/>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Graf_Dajatve_LP!$C$8:$C$15</c:f>
              <c:strCache>
                <c:ptCount val="8"/>
                <c:pt idx="0">
                  <c:v>Davki na dohodek in dobiček</c:v>
                </c:pt>
                <c:pt idx="1">
                  <c:v>Prispevki za socialno varnost in Transferni prihodki</c:v>
                </c:pt>
                <c:pt idx="2">
                  <c:v>Davki na plačilno listi in delovno silo</c:v>
                </c:pt>
                <c:pt idx="3">
                  <c:v>Davki na premoženje</c:v>
                </c:pt>
                <c:pt idx="4">
                  <c:v>Domači davki na blago in storitve</c:v>
                </c:pt>
                <c:pt idx="5">
                  <c:v>Davki na mednarodno trgovino in transakcije</c:v>
                </c:pt>
                <c:pt idx="6">
                  <c:v>Nedavčni prihodki</c:v>
                </c:pt>
                <c:pt idx="7">
                  <c:v>Nerazporejeni</c:v>
                </c:pt>
              </c:strCache>
            </c:strRef>
          </c:cat>
          <c:val>
            <c:numRef>
              <c:f>Graf_Dajatve_LP!$D$8:$D$15</c:f>
              <c:numCache>
                <c:formatCode>#,##0.00</c:formatCode>
                <c:ptCount val="8"/>
                <c:pt idx="0">
                  <c:v>21.57982192790671</c:v>
                </c:pt>
                <c:pt idx="1">
                  <c:v>43.173555457962735</c:v>
                </c:pt>
                <c:pt idx="2">
                  <c:v>0.126806826610352</c:v>
                </c:pt>
                <c:pt idx="3">
                  <c:v>1.5996251350970541</c:v>
                </c:pt>
                <c:pt idx="4">
                  <c:v>31.636401172858818</c:v>
                </c:pt>
                <c:pt idx="5">
                  <c:v>1.3747813881452777</c:v>
                </c:pt>
                <c:pt idx="6">
                  <c:v>0.53736363221262395</c:v>
                </c:pt>
                <c:pt idx="7">
                  <c:v>-2.8362942061339106E-2</c:v>
                </c:pt>
              </c:numCache>
            </c:numRef>
          </c:val>
          <c:extLst>
            <c:ext xmlns:c16="http://schemas.microsoft.com/office/drawing/2014/chart" uri="{C3380CC4-5D6E-409C-BE32-E72D297353CC}">
              <c16:uniqueId val="{00000010-4B12-4215-BB8B-AC354FFE0E7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3"/>
          <c:dPt>
            <c:idx val="0"/>
            <c:bubble3D val="0"/>
            <c:explosion val="4"/>
            <c:spPr>
              <a:solidFill>
                <a:schemeClr val="accent1"/>
              </a:solidFill>
              <a:ln w="19050">
                <a:solidFill>
                  <a:schemeClr val="lt1"/>
                </a:solidFill>
              </a:ln>
              <a:effectLst/>
            </c:spPr>
            <c:extLst>
              <c:ext xmlns:c16="http://schemas.microsoft.com/office/drawing/2014/chart" uri="{C3380CC4-5D6E-409C-BE32-E72D297353CC}">
                <c16:uniqueId val="{00000001-A89E-49A8-B074-7DDC79DCC506}"/>
              </c:ext>
            </c:extLst>
          </c:dPt>
          <c:dPt>
            <c:idx val="1"/>
            <c:bubble3D val="0"/>
            <c:explosion val="0"/>
            <c:spPr>
              <a:solidFill>
                <a:schemeClr val="accent2"/>
              </a:solidFill>
              <a:ln w="19050">
                <a:solidFill>
                  <a:schemeClr val="lt1"/>
                </a:solidFill>
              </a:ln>
              <a:effectLst/>
            </c:spPr>
            <c:extLst>
              <c:ext xmlns:c16="http://schemas.microsoft.com/office/drawing/2014/chart" uri="{C3380CC4-5D6E-409C-BE32-E72D297353CC}">
                <c16:uniqueId val="{00000003-A89E-49A8-B074-7DDC79DCC506}"/>
              </c:ext>
            </c:extLst>
          </c:dPt>
          <c:dLbls>
            <c:dLbl>
              <c:idx val="0"/>
              <c:layout>
                <c:manualLayout>
                  <c:x val="7.8323536290637014E-2"/>
                  <c:y val="0.13840030305490239"/>
                </c:manualLayout>
              </c:layout>
              <c:tx>
                <c:rich>
                  <a:bodyPr/>
                  <a:lstStyle/>
                  <a:p>
                    <a:r>
                      <a:rPr lang="en-US" sz="800">
                        <a:latin typeface="Arial" pitchFamily="34" charset="0"/>
                        <a:cs typeface="Arial" pitchFamily="34" charset="0"/>
                      </a:rPr>
                      <a:t>Pravne osebe
52,6%</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89E-49A8-B074-7DDC79DCC506}"/>
                </c:ext>
              </c:extLst>
            </c:dLbl>
            <c:dLbl>
              <c:idx val="1"/>
              <c:layout>
                <c:manualLayout>
                  <c:x val="-8.3988100050122083E-2"/>
                  <c:y val="-0.23032260036059529"/>
                </c:manualLayout>
              </c:layout>
              <c:tx>
                <c:rich>
                  <a:bodyPr/>
                  <a:lstStyle/>
                  <a:p>
                    <a:r>
                      <a:rPr lang="en-US" sz="800">
                        <a:latin typeface="Arial" pitchFamily="34" charset="0"/>
                        <a:cs typeface="Arial" pitchFamily="34" charset="0"/>
                      </a:rPr>
                      <a:t>Fizične osebe
47,4%,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89E-49A8-B074-7DDC79DCC50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 in PO'!$E$7:$E$8</c:f>
              <c:strCache>
                <c:ptCount val="2"/>
                <c:pt idx="0">
                  <c:v>Pravne osebe</c:v>
                </c:pt>
                <c:pt idx="1">
                  <c:v>Fizične osebe</c:v>
                </c:pt>
              </c:strCache>
            </c:strRef>
          </c:cat>
          <c:val>
            <c:numRef>
              <c:f>'FO in PO'!$H$7:$H$8</c:f>
              <c:numCache>
                <c:formatCode>#,##0</c:formatCode>
                <c:ptCount val="2"/>
                <c:pt idx="0">
                  <c:v>471172297.59000003</c:v>
                </c:pt>
                <c:pt idx="1">
                  <c:v>425177692.22000003</c:v>
                </c:pt>
              </c:numCache>
            </c:numRef>
          </c:val>
          <c:extLst>
            <c:ext xmlns:c16="http://schemas.microsoft.com/office/drawing/2014/chart" uri="{C3380CC4-5D6E-409C-BE32-E72D297353CC}">
              <c16:uniqueId val="{00000004-A89E-49A8-B074-7DDC79DCC50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25170986623305086"/>
          <c:y val="0.28607453591389648"/>
          <c:w val="0.65016628813654187"/>
          <c:h val="0.6355914254094468"/>
        </c:manualLayout>
      </c:layout>
      <c:pie3DChart>
        <c:varyColors val="1"/>
        <c:ser>
          <c:idx val="0"/>
          <c:order val="0"/>
          <c:explosion val="11"/>
          <c:dPt>
            <c:idx val="0"/>
            <c:bubble3D val="0"/>
            <c:explosion val="4"/>
            <c:extLst>
              <c:ext xmlns:c16="http://schemas.microsoft.com/office/drawing/2014/chart" uri="{C3380CC4-5D6E-409C-BE32-E72D297353CC}">
                <c16:uniqueId val="{00000001-0849-4F1B-8C4C-4F93A58C7E2F}"/>
              </c:ext>
            </c:extLst>
          </c:dPt>
          <c:dPt>
            <c:idx val="2"/>
            <c:bubble3D val="0"/>
            <c:extLst>
              <c:ext xmlns:c16="http://schemas.microsoft.com/office/drawing/2014/chart" uri="{C3380CC4-5D6E-409C-BE32-E72D297353CC}">
                <c16:uniqueId val="{00000002-0849-4F1B-8C4C-4F93A58C7E2F}"/>
              </c:ext>
            </c:extLst>
          </c:dPt>
          <c:dLbls>
            <c:dLbl>
              <c:idx val="0"/>
              <c:layout>
                <c:manualLayout>
                  <c:x val="6.4166157097493987E-2"/>
                  <c:y val="2.9063812843827957E-2"/>
                </c:manualLayout>
              </c:layout>
              <c:tx>
                <c:rich>
                  <a:bodyPr/>
                  <a:lstStyle/>
                  <a:p>
                    <a:r>
                      <a:rPr lang="en-US" sz="800">
                        <a:latin typeface="Arial" pitchFamily="34" charset="0"/>
                        <a:cs typeface="Arial" pitchFamily="34" charset="0"/>
                      </a:rPr>
                      <a:t>Državni proračun
68,9 %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849-4F1B-8C4C-4F93A58C7E2F}"/>
                </c:ext>
              </c:extLst>
            </c:dLbl>
            <c:dLbl>
              <c:idx val="1"/>
              <c:layout>
                <c:manualLayout>
                  <c:x val="-7.3331304601417582E-2"/>
                  <c:y val="0.16967264508603092"/>
                </c:manualLayout>
              </c:layout>
              <c:tx>
                <c:rich>
                  <a:bodyPr/>
                  <a:lstStyle/>
                  <a:p>
                    <a:r>
                      <a:rPr lang="en-US" sz="800">
                        <a:latin typeface="Arial" pitchFamily="34" charset="0"/>
                        <a:cs typeface="Arial" pitchFamily="34" charset="0"/>
                      </a:rPr>
                      <a:t>Zavod za pokojninsko</a:t>
                    </a:r>
                    <a:r>
                      <a:rPr lang="en-US" sz="800" b="0" i="0" u="none" strike="noStrike" kern="1200" baseline="0">
                        <a:solidFill>
                          <a:sysClr val="windowText" lastClr="000000"/>
                        </a:solidFill>
                        <a:latin typeface="Arial" pitchFamily="34" charset="0"/>
                        <a:ea typeface="+mn-ea"/>
                        <a:cs typeface="Arial" pitchFamily="34" charset="0"/>
                      </a:rPr>
                      <a:t> </a:t>
                    </a:r>
                    <a:r>
                      <a:rPr lang="en-US" sz="800">
                        <a:latin typeface="Arial" pitchFamily="34" charset="0"/>
                        <a:cs typeface="Arial" pitchFamily="34" charset="0"/>
                      </a:rPr>
                      <a:t>in invalidsko zavarovanje 
18,8 %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849-4F1B-8C4C-4F93A58C7E2F}"/>
                </c:ext>
              </c:extLst>
            </c:dLbl>
            <c:dLbl>
              <c:idx val="2"/>
              <c:layout>
                <c:manualLayout>
                  <c:x val="-0.17174982051010618"/>
                  <c:y val="3.7981918926801347E-2"/>
                </c:manualLayout>
              </c:layout>
              <c:tx>
                <c:rich>
                  <a:bodyPr/>
                  <a:lstStyle/>
                  <a:p>
                    <a:r>
                      <a:rPr lang="en-US" sz="800">
                        <a:latin typeface="Arial" pitchFamily="34" charset="0"/>
                        <a:cs typeface="Arial" pitchFamily="34" charset="0"/>
                      </a:rPr>
                      <a:t>Zavod za zdravstveno</a:t>
                    </a:r>
                    <a:r>
                      <a:rPr lang="en-US" sz="800" b="0" i="0" u="none" strike="noStrike" kern="1200" baseline="0">
                        <a:solidFill>
                          <a:sysClr val="windowText" lastClr="000000"/>
                        </a:solidFill>
                        <a:latin typeface="Arial" pitchFamily="34" charset="0"/>
                        <a:ea typeface="+mn-ea"/>
                        <a:cs typeface="Arial" pitchFamily="34" charset="0"/>
                      </a:rPr>
                      <a:t> </a:t>
                    </a:r>
                    <a:r>
                      <a:rPr lang="en-US" sz="800">
                        <a:latin typeface="Arial" pitchFamily="34" charset="0"/>
                        <a:cs typeface="Arial" pitchFamily="34" charset="0"/>
                      </a:rPr>
                      <a:t>zavarovanje</a:t>
                    </a:r>
                    <a:r>
                      <a:rPr lang="en-US" sz="800" b="0" i="0" u="none" strike="noStrike" kern="1200" baseline="0">
                        <a:solidFill>
                          <a:sysClr val="windowText" lastClr="000000"/>
                        </a:solidFill>
                        <a:latin typeface="Arial" pitchFamily="34" charset="0"/>
                        <a:ea typeface="+mn-ea"/>
                        <a:cs typeface="Arial" pitchFamily="34" charset="0"/>
                      </a:rPr>
                      <a:t> </a:t>
                    </a:r>
                    <a:r>
                      <a:rPr lang="en-US" sz="800">
                        <a:latin typeface="Arial" pitchFamily="34" charset="0"/>
                        <a:cs typeface="Arial" pitchFamily="34" charset="0"/>
                      </a:rPr>
                      <a:t> 
9,4 %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849-4F1B-8C4C-4F93A58C7E2F}"/>
                </c:ext>
              </c:extLst>
            </c:dLbl>
            <c:dLbl>
              <c:idx val="3"/>
              <c:layout>
                <c:manualLayout>
                  <c:x val="5.7147467664652131E-3"/>
                  <c:y val="-8.8477579818293947E-2"/>
                </c:manualLayout>
              </c:layout>
              <c:tx>
                <c:rich>
                  <a:bodyPr/>
                  <a:lstStyle/>
                  <a:p>
                    <a:r>
                      <a:rPr lang="en-US" sz="800">
                        <a:latin typeface="Arial" pitchFamily="34" charset="0"/>
                        <a:cs typeface="Arial" pitchFamily="34" charset="0"/>
                      </a:rPr>
                      <a:t>Proračuni občin
2,6 %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849-4F1B-8C4C-4F93A58C7E2F}"/>
                </c:ext>
              </c:extLst>
            </c:dLbl>
            <c:dLbl>
              <c:idx val="4"/>
              <c:layout>
                <c:manualLayout>
                  <c:x val="0.35853407436085705"/>
                  <c:y val="4.1840422688678262E-2"/>
                </c:manualLayout>
              </c:layout>
              <c:tx>
                <c:rich>
                  <a:bodyPr/>
                  <a:lstStyle/>
                  <a:p>
                    <a:fld id="{0EF6722D-58C2-447D-8FA6-078036CAFA7C}" type="CATEGORYNAME">
                      <a:rPr lang="en-US"/>
                      <a:pPr/>
                      <a:t>[IME KATEGORIJE]</a:t>
                    </a:fld>
                    <a:r>
                      <a:rPr lang="en-US" baseline="0"/>
                      <a:t>
0,3%</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49-4F1B-8C4C-4F93A58C7E2F}"/>
                </c:ext>
              </c:extLst>
            </c:dLbl>
            <c:spPr>
              <a:noFill/>
              <a:ln>
                <a:noFill/>
              </a:ln>
              <a:effectLst/>
            </c:spPr>
            <c:txPr>
              <a:bodyPr/>
              <a:lstStyle/>
              <a:p>
                <a:pPr>
                  <a:defRPr sz="800">
                    <a:latin typeface="Arial" pitchFamily="34" charset="0"/>
                    <a:cs typeface="Arial" pitchFamily="34" charset="0"/>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'dolg po blagajni'!$D$18:$D$22</c:f>
              <c:strCache>
                <c:ptCount val="5"/>
                <c:pt idx="0">
                  <c:v>Državni proračun</c:v>
                </c:pt>
                <c:pt idx="1">
                  <c:v>ZPIZ </c:v>
                </c:pt>
                <c:pt idx="2">
                  <c:v>ZZZS</c:v>
                </c:pt>
                <c:pt idx="3">
                  <c:v>Proračuni občin</c:v>
                </c:pt>
                <c:pt idx="4">
                  <c:v>Drugi prejemniki</c:v>
                </c:pt>
              </c:strCache>
            </c:strRef>
          </c:cat>
          <c:val>
            <c:numRef>
              <c:f>'dolg po blagajni'!$K$18:$K$22</c:f>
              <c:numCache>
                <c:formatCode>#,##0.0</c:formatCode>
                <c:ptCount val="5"/>
                <c:pt idx="0">
                  <c:v>68.85853512080466</c:v>
                </c:pt>
                <c:pt idx="1">
                  <c:v>18.824986868091564</c:v>
                </c:pt>
                <c:pt idx="2">
                  <c:v>9.4288642715041977</c:v>
                </c:pt>
                <c:pt idx="3">
                  <c:v>2.6293308696728173</c:v>
                </c:pt>
                <c:pt idx="4">
                  <c:v>0.2582828699267618</c:v>
                </c:pt>
              </c:numCache>
            </c:numRef>
          </c:val>
          <c:extLst>
            <c:ext xmlns:c16="http://schemas.microsoft.com/office/drawing/2014/chart" uri="{C3380CC4-5D6E-409C-BE32-E72D297353CC}">
              <c16:uniqueId val="{00000006-0849-4F1B-8C4C-4F93A58C7E2F}"/>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91057153977441"/>
          <c:y val="0.17844193388869914"/>
          <c:w val="0.51426311755278387"/>
          <c:h val="0.66106477954549847"/>
        </c:manualLayout>
      </c:layout>
      <c:pieChart>
        <c:varyColors val="1"/>
        <c:ser>
          <c:idx val="0"/>
          <c:order val="0"/>
          <c:explosion val="8"/>
          <c:dLbls>
            <c:dLbl>
              <c:idx val="0"/>
              <c:layout>
                <c:manualLayout>
                  <c:x val="6.2479267087811804E-2"/>
                  <c:y val="7.9755284212661953E-2"/>
                </c:manualLayout>
              </c:layout>
              <c:tx>
                <c:rich>
                  <a:bodyPr/>
                  <a:lstStyle/>
                  <a:p>
                    <a:r>
                      <a:rPr lang="en-US" sz="900">
                        <a:latin typeface="Arial" pitchFamily="34" charset="0"/>
                        <a:cs typeface="Arial" pitchFamily="34" charset="0"/>
                      </a:rPr>
                      <a:t>Davki na dohodek in dobiček
30,4%</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544-426E-B653-15677F3135AC}"/>
                </c:ext>
              </c:extLst>
            </c:dLbl>
            <c:dLbl>
              <c:idx val="1"/>
              <c:layout>
                <c:manualLayout>
                  <c:x val="3.8920284300745511E-2"/>
                  <c:y val="2.5926866441032613E-2"/>
                </c:manualLayout>
              </c:layout>
              <c:tx>
                <c:rich>
                  <a:bodyPr/>
                  <a:lstStyle/>
                  <a:p>
                    <a:r>
                      <a:rPr lang="en-US" sz="900">
                        <a:latin typeface="Arial" pitchFamily="34" charset="0"/>
                        <a:cs typeface="Arial" pitchFamily="34" charset="0"/>
                      </a:rPr>
                      <a:t>Prispevki za socialno varnost
30,5%</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544-426E-B653-15677F3135AC}"/>
                </c:ext>
              </c:extLst>
            </c:dLbl>
            <c:dLbl>
              <c:idx val="2"/>
              <c:layout>
                <c:manualLayout>
                  <c:x val="0.12435457459410494"/>
                  <c:y val="7.761287412907171E-2"/>
                </c:manualLayout>
              </c:layout>
              <c:tx>
                <c:rich>
                  <a:bodyPr/>
                  <a:lstStyle/>
                  <a:p>
                    <a:r>
                      <a:rPr lang="en-US" sz="900">
                        <a:latin typeface="Arial" pitchFamily="34" charset="0"/>
                        <a:cs typeface="Arial" pitchFamily="34" charset="0"/>
                      </a:rPr>
                      <a:t>Davki na plačilno listo
0,0%</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544-426E-B653-15677F3135AC}"/>
                </c:ext>
              </c:extLst>
            </c:dLbl>
            <c:dLbl>
              <c:idx val="3"/>
              <c:layout>
                <c:manualLayout>
                  <c:x val="-8.8752894260310661E-2"/>
                  <c:y val="-2.1289699382372785E-2"/>
                </c:manualLayout>
              </c:layout>
              <c:tx>
                <c:rich>
                  <a:bodyPr/>
                  <a:lstStyle/>
                  <a:p>
                    <a:r>
                      <a:rPr lang="en-US" sz="900">
                        <a:latin typeface="Arial" pitchFamily="34" charset="0"/>
                        <a:cs typeface="Arial" pitchFamily="34" charset="0"/>
                      </a:rPr>
                      <a:t>Davki na premoženje
2,8%</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544-426E-B653-15677F3135AC}"/>
                </c:ext>
              </c:extLst>
            </c:dLbl>
            <c:dLbl>
              <c:idx val="4"/>
              <c:layout>
                <c:manualLayout>
                  <c:x val="-8.7175405399906605E-2"/>
                  <c:y val="0.11216384197328522"/>
                </c:manualLayout>
              </c:layout>
              <c:tx>
                <c:rich>
                  <a:bodyPr/>
                  <a:lstStyle/>
                  <a:p>
                    <a:r>
                      <a:rPr lang="en-US" sz="900">
                        <a:latin typeface="Arial" pitchFamily="34" charset="0"/>
                        <a:cs typeface="Arial" pitchFamily="34" charset="0"/>
                      </a:rPr>
                      <a:t>Domači davki na blago in storitve
35,9%</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6544-426E-B653-15677F3135AC}"/>
                </c:ext>
              </c:extLst>
            </c:dLbl>
            <c:dLbl>
              <c:idx val="5"/>
              <c:layout>
                <c:manualLayout>
                  <c:x val="-0.35998681120134474"/>
                  <c:y val="3.1565080528791922E-2"/>
                </c:manualLayout>
              </c:layout>
              <c:tx>
                <c:rich>
                  <a:bodyPr/>
                  <a:lstStyle/>
                  <a:p>
                    <a:r>
                      <a:rPr lang="en-US" sz="900">
                        <a:latin typeface="Arial" pitchFamily="34" charset="0"/>
                        <a:cs typeface="Arial" pitchFamily="34" charset="0"/>
                      </a:rPr>
                      <a:t>Davki na mednaradno trgovino in transakcije
0,4%</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544-426E-B653-15677F3135AC}"/>
                </c:ext>
              </c:extLst>
            </c:dLbl>
            <c:dLbl>
              <c:idx val="6"/>
              <c:layout>
                <c:manualLayout>
                  <c:x val="0.12243357952349003"/>
                  <c:y val="-5.3242006459229774E-2"/>
                </c:manualLayout>
              </c:layout>
              <c:tx>
                <c:rich>
                  <a:bodyPr/>
                  <a:lstStyle/>
                  <a:p>
                    <a:r>
                      <a:rPr lang="en-US" sz="900">
                        <a:latin typeface="Arial" pitchFamily="34" charset="0"/>
                        <a:cs typeface="Arial" pitchFamily="34" charset="0"/>
                      </a:rPr>
                      <a:t>Drugi davki
0,0%</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6544-426E-B653-15677F3135AC}"/>
                </c:ext>
              </c:extLst>
            </c:dLbl>
            <c:spPr>
              <a:noFill/>
              <a:ln>
                <a:noFill/>
              </a:ln>
              <a:effectLst/>
            </c:spPr>
            <c:txPr>
              <a:bodyPr/>
              <a:lstStyle/>
              <a:p>
                <a:pPr>
                  <a:defRPr sz="900">
                    <a:latin typeface="Arial" pitchFamily="34" charset="0"/>
                    <a:cs typeface="Arial" pitchFamily="34" charset="0"/>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'dolg po davkih_tabela  '!$B$85:$B$91</c:f>
              <c:strCache>
                <c:ptCount val="7"/>
                <c:pt idx="0">
                  <c:v>Davki na dohodek in dobiček</c:v>
                </c:pt>
                <c:pt idx="1">
                  <c:v>Prispevki za socialno varnost</c:v>
                </c:pt>
                <c:pt idx="2">
                  <c:v>Davki na plačilno listo</c:v>
                </c:pt>
                <c:pt idx="3">
                  <c:v>Davki na premoženje</c:v>
                </c:pt>
                <c:pt idx="4">
                  <c:v>Domači davki na blago in storitve</c:v>
                </c:pt>
                <c:pt idx="5">
                  <c:v>Davki na mednaradno trgovino in transakcije</c:v>
                </c:pt>
                <c:pt idx="6">
                  <c:v>Drugi davki</c:v>
                </c:pt>
              </c:strCache>
            </c:strRef>
          </c:cat>
          <c:val>
            <c:numRef>
              <c:f>'dolg po davkih_tabela  '!$C$85:$C$91</c:f>
              <c:numCache>
                <c:formatCode>#,##0.0</c:formatCode>
                <c:ptCount val="7"/>
                <c:pt idx="0">
                  <c:v>30.35405342781295</c:v>
                </c:pt>
                <c:pt idx="1">
                  <c:v>30.5</c:v>
                </c:pt>
                <c:pt idx="2">
                  <c:v>4.1263336108316728E-2</c:v>
                </c:pt>
                <c:pt idx="3">
                  <c:v>2.7924139181087151</c:v>
                </c:pt>
                <c:pt idx="4">
                  <c:v>35.904976997268818</c:v>
                </c:pt>
                <c:pt idx="5">
                  <c:v>0.4436297545019921</c:v>
                </c:pt>
                <c:pt idx="6">
                  <c:v>2.8009674605971584E-2</c:v>
                </c:pt>
              </c:numCache>
            </c:numRef>
          </c:val>
          <c:extLst>
            <c:ext xmlns:c16="http://schemas.microsoft.com/office/drawing/2014/chart" uri="{C3380CC4-5D6E-409C-BE32-E72D297353CC}">
              <c16:uniqueId val="{00000007-6544-426E-B653-15677F3135A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27088349493504"/>
          <c:y val="0.23404382743927582"/>
          <c:w val="0.75188280246894468"/>
          <c:h val="0.73907805213668676"/>
        </c:manualLayout>
      </c:layout>
      <c:pie3DChart>
        <c:varyColors val="1"/>
        <c:ser>
          <c:idx val="0"/>
          <c:order val="0"/>
          <c:explosion val="25"/>
          <c:dPt>
            <c:idx val="0"/>
            <c:bubble3D val="0"/>
            <c:explosion val="1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C5A6-4218-9FC8-1388F7326E7E}"/>
              </c:ext>
            </c:extLst>
          </c:dPt>
          <c:dPt>
            <c:idx val="1"/>
            <c:bubble3D val="0"/>
            <c:explosion val="2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C5A6-4218-9FC8-1388F7326E7E}"/>
              </c:ext>
            </c:extLst>
          </c:dPt>
          <c:dPt>
            <c:idx val="2"/>
            <c:bubble3D val="0"/>
            <c:explosion val="17"/>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C5A6-4218-9FC8-1388F7326E7E}"/>
              </c:ext>
            </c:extLst>
          </c:dPt>
          <c:dPt>
            <c:idx val="3"/>
            <c:bubble3D val="0"/>
            <c:explosion val="16"/>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C5A6-4218-9FC8-1388F7326E7E}"/>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C5A6-4218-9FC8-1388F7326E7E}"/>
              </c:ext>
            </c:extLst>
          </c:dPt>
          <c:dPt>
            <c:idx val="5"/>
            <c:bubble3D val="0"/>
            <c:explosion val="18"/>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C5A6-4218-9FC8-1388F7326E7E}"/>
              </c:ext>
            </c:extLst>
          </c:dPt>
          <c:dLbls>
            <c:dLbl>
              <c:idx val="0"/>
              <c:layout>
                <c:manualLayout>
                  <c:x val="8.3245930211572186E-2"/>
                  <c:y val="4.7777183191906804E-2"/>
                </c:manualLayout>
              </c:layout>
              <c:tx>
                <c:rich>
                  <a:bodyPr/>
                  <a:lstStyle/>
                  <a:p>
                    <a:fld id="{E4FCDBA9-D6D0-4BC4-B356-3D9893729B58}" type="CATEGORYNAME">
                      <a:rPr lang="en-US"/>
                      <a:pPr/>
                      <a:t>[IME KATEGORIJE]</a:t>
                    </a:fld>
                    <a:r>
                      <a:rPr lang="en-US" baseline="0"/>
                      <a:t>; </a:t>
                    </a:r>
                    <a:fld id="{066CF063-B3B0-46C3-AADD-BC708C9105EE}" type="VALUE">
                      <a:rPr lang="en-US" baseline="0"/>
                      <a:pPr/>
                      <a:t>[VREDNOST]</a:t>
                    </a:fld>
                    <a:r>
                      <a:rPr lang="en-US" baseline="0"/>
                      <a:t>; </a:t>
                    </a:r>
                    <a:fld id="{00F6283D-F8DE-4CE3-BB68-8D2BDB380C1C}" type="PERCENTAGE">
                      <a:rPr lang="en-US" baseline="0"/>
                      <a:pPr/>
                      <a:t>[ODSTOTEK]</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A6-4218-9FC8-1388F7326E7E}"/>
                </c:ext>
              </c:extLst>
            </c:dLbl>
            <c:dLbl>
              <c:idx val="1"/>
              <c:layout>
                <c:manualLayout>
                  <c:x val="-9.7993752847009827E-2"/>
                  <c:y val="-0.104617720789888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A6-4218-9FC8-1388F7326E7E}"/>
                </c:ext>
              </c:extLst>
            </c:dLbl>
            <c:dLbl>
              <c:idx val="2"/>
              <c:layout>
                <c:manualLayout>
                  <c:x val="-2.6658416224494531E-2"/>
                  <c:y val="5.67854909318323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A6-4218-9FC8-1388F7326E7E}"/>
                </c:ext>
              </c:extLst>
            </c:dLbl>
            <c:dLbl>
              <c:idx val="3"/>
              <c:layout>
                <c:manualLayout>
                  <c:x val="-2.6192266241768881E-2"/>
                  <c:y val="-0.120466285522940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A6-4218-9FC8-1388F7326E7E}"/>
                </c:ext>
              </c:extLst>
            </c:dLbl>
            <c:dLbl>
              <c:idx val="4"/>
              <c:layout>
                <c:manualLayout>
                  <c:x val="8.7558436334947323E-2"/>
                  <c:y val="-6.421323548148716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A6-4218-9FC8-1388F7326E7E}"/>
                </c:ext>
              </c:extLst>
            </c:dLbl>
            <c:dLbl>
              <c:idx val="5"/>
              <c:layout>
                <c:manualLayout>
                  <c:x val="7.420138298036906E-2"/>
                  <c:y val="-3.4345743189868258E-2"/>
                </c:manualLayout>
              </c:layout>
              <c:tx>
                <c:rich>
                  <a:bodyPr/>
                  <a:lstStyle/>
                  <a:p>
                    <a:fld id="{7ECAD9E1-C508-4F1B-BD29-01AE6CD60103}" type="CATEGORYNAME">
                      <a:rPr lang="en-US"/>
                      <a:pPr/>
                      <a:t>[IME KATEGORIJE]</a:t>
                    </a:fld>
                    <a:r>
                      <a:rPr lang="en-US" baseline="0"/>
                      <a:t>; </a:t>
                    </a:r>
                    <a:fld id="{EA7FFA4B-E6A2-41FE-986D-1B301CDAB03F}" type="VALUE">
                      <a:rPr lang="en-US" baseline="0"/>
                      <a:pPr/>
                      <a:t>[VREDNOST]</a:t>
                    </a:fld>
                    <a:r>
                      <a:rPr lang="en-US" baseline="0"/>
                      <a:t>; 1,0%</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5A6-4218-9FC8-1388F7326E7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'rubeži graf'!$A$4:$A$9</c:f>
              <c:strCache>
                <c:ptCount val="6"/>
                <c:pt idx="0">
                  <c:v>Motorna vozila</c:v>
                </c:pt>
                <c:pt idx="1">
                  <c:v>Gotovina</c:v>
                </c:pt>
                <c:pt idx="2">
                  <c:v>Vrednostni papirji</c:v>
                </c:pt>
                <c:pt idx="3">
                  <c:v>Trgovsko blago</c:v>
                </c:pt>
                <c:pt idx="4">
                  <c:v>Osnovna sredstva</c:v>
                </c:pt>
                <c:pt idx="5">
                  <c:v>Druge premičnine</c:v>
                </c:pt>
              </c:strCache>
            </c:strRef>
          </c:cat>
          <c:val>
            <c:numRef>
              <c:f>'rubeži graf'!$B$4:$B$9</c:f>
              <c:numCache>
                <c:formatCode>#,##0</c:formatCode>
                <c:ptCount val="6"/>
                <c:pt idx="0">
                  <c:v>1138</c:v>
                </c:pt>
                <c:pt idx="1">
                  <c:v>1156</c:v>
                </c:pt>
                <c:pt idx="2">
                  <c:v>0</c:v>
                </c:pt>
                <c:pt idx="3">
                  <c:v>99</c:v>
                </c:pt>
                <c:pt idx="4">
                  <c:v>432</c:v>
                </c:pt>
                <c:pt idx="5">
                  <c:v>27</c:v>
                </c:pt>
              </c:numCache>
            </c:numRef>
          </c:val>
          <c:extLst>
            <c:ext xmlns:c16="http://schemas.microsoft.com/office/drawing/2014/chart" uri="{C3380CC4-5D6E-409C-BE32-E72D297353CC}">
              <c16:uniqueId val="{0000000C-C5A6-4218-9FC8-1388F7326E7E}"/>
            </c:ext>
          </c:extLst>
        </c:ser>
        <c:dLbls>
          <c:dLblPos val="in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51a32cb-68d4-46e2-8990-209d00cbe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9012830C474E459D50EBCA3B3D6B63" ma:contentTypeVersion="9" ma:contentTypeDescription="Ustvari nov dokument." ma:contentTypeScope="" ma:versionID="fd664f5bf107ced33aa7595770fde875">
  <xsd:schema xmlns:xsd="http://www.w3.org/2001/XMLSchema" xmlns:xs="http://www.w3.org/2001/XMLSchema" xmlns:p="http://schemas.microsoft.com/office/2006/metadata/properties" xmlns:ns2="151a32cb-68d4-46e2-8990-209d00cbea1a" targetNamespace="http://schemas.microsoft.com/office/2006/metadata/properties" ma:root="true" ma:fieldsID="a3b2270566a2f69ad3c9649f02e6397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7A8D3E9-5823-46FC-9336-5BF1372B37BB}">
  <ds:schemaRefs>
    <ds:schemaRef ds:uri="http://schemas.microsoft.com/sharepoint/events"/>
  </ds:schemaRefs>
</ds:datastoreItem>
</file>

<file path=customXml/itemProps2.xml><?xml version="1.0" encoding="utf-8"?>
<ds:datastoreItem xmlns:ds="http://schemas.openxmlformats.org/officeDocument/2006/customXml" ds:itemID="{70B507E1-7810-41E8-960A-4500A5C63D3A}">
  <ds:schemaRefs>
    <ds:schemaRef ds:uri="http://schemas.openxmlformats.org/package/2006/metadata/core-properties"/>
    <ds:schemaRef ds:uri="151a32cb-68d4-46e2-8990-209d00cbea1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8A5998FA-E047-45A8-87EE-BAB3DB0D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F385C-8760-43AB-92A7-6110208CC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15411</Words>
  <Characters>87848</Characters>
  <Application>Microsoft Office Word</Application>
  <DocSecurity>0</DocSecurity>
  <Lines>732</Lines>
  <Paragraphs>206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Čibej</dc:creator>
  <cp:keywords/>
  <dc:description/>
  <cp:lastModifiedBy>Igor Bevc</cp:lastModifiedBy>
  <cp:revision>2</cp:revision>
  <cp:lastPrinted>2023-07-20T08:01:00Z</cp:lastPrinted>
  <dcterms:created xsi:type="dcterms:W3CDTF">2023-09-18T09:30:00Z</dcterms:created>
  <dcterms:modified xsi:type="dcterms:W3CDTF">2023-09-18T09:30:00Z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0x0101002C9012830C474E459D50EBCA3B3D6B63</vt:lpwstr>
  </property>
</Properties>
</file>