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9663" w14:textId="77777777" w:rsidR="00785488" w:rsidRDefault="00000000">
      <w:pPr>
        <w:spacing w:line="14" w:lineRule="exact"/>
      </w:pPr>
      <w:r>
        <w:rPr>
          <w:noProof/>
        </w:rPr>
        <w:drawing>
          <wp:anchor distT="33655" distB="0" distL="114300" distR="1400810" simplePos="0" relativeHeight="125829378" behindDoc="0" locked="0" layoutInCell="1" allowOverlap="1" wp14:anchorId="5CAEF6A0" wp14:editId="3F383736">
            <wp:simplePos x="0" y="0"/>
            <wp:positionH relativeFrom="page">
              <wp:posOffset>320040</wp:posOffset>
            </wp:positionH>
            <wp:positionV relativeFrom="paragraph">
              <wp:posOffset>46355</wp:posOffset>
            </wp:positionV>
            <wp:extent cx="567055" cy="37782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67055" cy="377825"/>
                    </a:xfrm>
                    <a:prstGeom prst="rect">
                      <a:avLst/>
                    </a:prstGeom>
                  </pic:spPr>
                </pic:pic>
              </a:graphicData>
            </a:graphic>
          </wp:anchor>
        </w:drawing>
      </w:r>
      <w:r>
        <w:rPr>
          <w:noProof/>
        </w:rPr>
        <mc:AlternateContent>
          <mc:Choice Requires="wps">
            <w:drawing>
              <wp:anchor distT="0" distB="6350" distL="775970" distR="114300" simplePos="0" relativeHeight="125829379" behindDoc="0" locked="0" layoutInCell="1" allowOverlap="1" wp14:anchorId="6AAAD959" wp14:editId="37611728">
                <wp:simplePos x="0" y="0"/>
                <wp:positionH relativeFrom="page">
                  <wp:posOffset>981710</wp:posOffset>
                </wp:positionH>
                <wp:positionV relativeFrom="paragraph">
                  <wp:posOffset>12700</wp:posOffset>
                </wp:positionV>
                <wp:extent cx="1191895" cy="4051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191895" cy="405130"/>
                        </a:xfrm>
                        <a:prstGeom prst="rect">
                          <a:avLst/>
                        </a:prstGeom>
                        <a:noFill/>
                      </wps:spPr>
                      <wps:txbx>
                        <w:txbxContent>
                          <w:p w14:paraId="3058ED5A" w14:textId="77777777" w:rsidR="00785488" w:rsidRDefault="00000000">
                            <w:pPr>
                              <w:pStyle w:val="Bodytext30"/>
                              <w:pBdr>
                                <w:top w:val="single" w:sz="0" w:space="0" w:color="00599F"/>
                                <w:left w:val="single" w:sz="0" w:space="0" w:color="00599F"/>
                                <w:bottom w:val="single" w:sz="0" w:space="0" w:color="00599F"/>
                                <w:right w:val="single" w:sz="0" w:space="0" w:color="00599F"/>
                              </w:pBdr>
                              <w:shd w:val="clear" w:color="auto" w:fill="00599F"/>
                            </w:pPr>
                            <w:proofErr w:type="spellStart"/>
                            <w:r>
                              <w:rPr>
                                <w:color w:val="FFFFFF"/>
                              </w:rPr>
                              <w:t>unesco</w:t>
                            </w:r>
                            <w:proofErr w:type="spellEnd"/>
                          </w:p>
                        </w:txbxContent>
                      </wps:txbx>
                      <wps:bodyPr lIns="0" tIns="0" rIns="0" bIns="0">
                        <a:spAutoFit/>
                      </wps:bodyPr>
                    </wps:wsp>
                  </a:graphicData>
                </a:graphic>
              </wp:anchor>
            </w:drawing>
          </mc:Choice>
          <mc:Fallback>
            <w:pict>
              <v:shapetype w14:anchorId="6AAAD959" id="_x0000_t202" coordsize="21600,21600" o:spt="202" path="m,l,21600r21600,l21600,xe">
                <v:stroke joinstyle="miter"/>
                <v:path gradientshapeok="t" o:connecttype="rect"/>
              </v:shapetype>
              <v:shape id="Shape 3" o:spid="_x0000_s1026" type="#_x0000_t202" style="position:absolute;margin-left:77.3pt;margin-top:1pt;width:93.85pt;height:31.9pt;z-index:125829379;visibility:visible;mso-wrap-style:square;mso-wrap-distance-left:61.1pt;mso-wrap-distance-top:0;mso-wrap-distance-right:9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" filled="f" stroked="f">
                <v:textbox style="mso-fit-shape-to-text:t" inset="0,0,0,0">
                  <w:txbxContent>
                    <w:p w14:paraId="3058ED5A" w14:textId="77777777" w:rsidR="00785488" w:rsidRDefault="00000000">
                      <w:pPr>
                        <w:pStyle w:val="Bodytext30"/>
                        <w:pBdr>
                          <w:top w:val="single" w:sz="0" w:space="0" w:color="00599F"/>
                          <w:left w:val="single" w:sz="0" w:space="0" w:color="00599F"/>
                          <w:bottom w:val="single" w:sz="0" w:space="0" w:color="00599F"/>
                          <w:right w:val="single" w:sz="0" w:space="0" w:color="00599F"/>
                        </w:pBdr>
                        <w:shd w:val="clear" w:color="auto" w:fill="00599F"/>
                      </w:pPr>
                      <w:proofErr w:type="spellStart"/>
                      <w:r>
                        <w:rPr>
                          <w:color w:val="FFFFFF"/>
                        </w:rPr>
                        <w:t>unesco</w:t>
                      </w:r>
                      <w:proofErr w:type="spellEnd"/>
                    </w:p>
                  </w:txbxContent>
                </v:textbox>
                <w10:wrap type="square" anchorx="page"/>
              </v:shape>
            </w:pict>
          </mc:Fallback>
        </mc:AlternateContent>
      </w:r>
      <w:r>
        <w:rPr>
          <w:noProof/>
        </w:rPr>
        <w:drawing>
          <wp:anchor distT="0" distB="0" distL="114300" distR="114300" simplePos="0" relativeHeight="125829381" behindDoc="0" locked="0" layoutInCell="1" allowOverlap="1" wp14:anchorId="22C21B9F" wp14:editId="0BAA5E2F">
            <wp:simplePos x="0" y="0"/>
            <wp:positionH relativeFrom="page">
              <wp:posOffset>6666230</wp:posOffset>
            </wp:positionH>
            <wp:positionV relativeFrom="paragraph">
              <wp:posOffset>725170</wp:posOffset>
            </wp:positionV>
            <wp:extent cx="1085215" cy="951230"/>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1085215" cy="951230"/>
                    </a:xfrm>
                    <a:prstGeom prst="rect">
                      <a:avLst/>
                    </a:prstGeom>
                  </pic:spPr>
                </pic:pic>
              </a:graphicData>
            </a:graphic>
          </wp:anchor>
        </w:drawing>
      </w:r>
    </w:p>
    <w:p w14:paraId="7A9B16B9" w14:textId="77777777" w:rsidR="00785488" w:rsidRDefault="00000000">
      <w:pPr>
        <w:pStyle w:val="Heading10"/>
        <w:keepNext/>
        <w:keepLines/>
        <w:pBdr>
          <w:top w:val="single" w:sz="0" w:space="0" w:color="00599F"/>
          <w:left w:val="single" w:sz="0" w:space="0" w:color="00599F"/>
          <w:bottom w:val="single" w:sz="0" w:space="0" w:color="00599F"/>
          <w:right w:val="single" w:sz="0" w:space="0" w:color="00599F"/>
        </w:pBdr>
        <w:shd w:val="clear" w:color="auto" w:fill="00599F"/>
      </w:pPr>
      <w:bookmarkStart w:id="0" w:name="bookmark0"/>
      <w:r>
        <w:rPr>
          <w:color w:val="FFFFFF"/>
        </w:rPr>
        <w:t>MONDIACULT 2025</w:t>
      </w:r>
      <w:bookmarkEnd w:id="0"/>
    </w:p>
    <w:p w14:paraId="2AC3B157" w14:textId="77777777" w:rsidR="00785488" w:rsidRDefault="00000000">
      <w:pPr>
        <w:pStyle w:val="Heading20"/>
        <w:keepNext/>
        <w:keepLines/>
        <w:pBdr>
          <w:top w:val="single" w:sz="0" w:space="0" w:color="00599F"/>
          <w:left w:val="single" w:sz="0" w:space="0" w:color="00599F"/>
          <w:bottom w:val="single" w:sz="0" w:space="0" w:color="00599F"/>
          <w:right w:val="single" w:sz="0" w:space="0" w:color="00599F"/>
        </w:pBdr>
        <w:shd w:val="clear" w:color="auto" w:fill="00599F"/>
      </w:pPr>
      <w:bookmarkStart w:id="1" w:name="bookmark1"/>
      <w:r>
        <w:rPr>
          <w:color w:val="FFFFFF"/>
        </w:rPr>
        <w:t>Dokument o rezultatih</w:t>
      </w:r>
      <w:bookmarkEnd w:id="1"/>
    </w:p>
    <w:p w14:paraId="30773371" w14:textId="77777777" w:rsidR="00785488" w:rsidRDefault="00000000">
      <w:pPr>
        <w:pStyle w:val="Heading30"/>
        <w:keepNext/>
        <w:keepLines/>
        <w:shd w:val="clear" w:color="auto" w:fill="auto"/>
        <w:spacing w:after="0"/>
      </w:pPr>
      <w:bookmarkStart w:id="2" w:name="bookmark2"/>
      <w:r>
        <w:t>Dokument o rezultatih MONDIACULT 2025</w:t>
      </w:r>
      <w:bookmarkEnd w:id="2"/>
    </w:p>
    <w:p w14:paraId="67FD51E9" w14:textId="77777777" w:rsidR="00785488" w:rsidRDefault="00000000">
      <w:pPr>
        <w:pStyle w:val="Heading30"/>
        <w:keepNext/>
        <w:keepLines/>
        <w:shd w:val="clear" w:color="auto" w:fill="auto"/>
        <w:spacing w:after="260"/>
      </w:pPr>
      <w:bookmarkStart w:id="3" w:name="bookmark3"/>
      <w:r>
        <w:t>Zaveze ministra za kulturo MONDIACULT 2025</w:t>
      </w:r>
      <w:bookmarkEnd w:id="3"/>
    </w:p>
    <w:p w14:paraId="7C3C4C01" w14:textId="77777777" w:rsidR="00785488" w:rsidRDefault="00000000">
      <w:pPr>
        <w:pStyle w:val="Bodytext20"/>
        <w:shd w:val="clear" w:color="auto" w:fill="auto"/>
      </w:pPr>
      <w:r>
        <w:t>MONDIACULT 2025 Svetovna konferenca o kulturnih politikah in trajnostnem razvoju</w:t>
      </w:r>
    </w:p>
    <w:p w14:paraId="303CC5F0" w14:textId="77777777" w:rsidR="00785488" w:rsidRDefault="00000000">
      <w:pPr>
        <w:pStyle w:val="Telobesedila"/>
        <w:shd w:val="clear" w:color="auto" w:fill="auto"/>
        <w:spacing w:after="260" w:line="240" w:lineRule="auto"/>
        <w:ind w:left="300"/>
      </w:pPr>
      <w:r>
        <w:t>29. september–1. oktober 2025, Barcelona, Španija</w:t>
      </w:r>
    </w:p>
    <w:p w14:paraId="26826088" w14:textId="77777777" w:rsidR="00785488" w:rsidRDefault="00000000">
      <w:pPr>
        <w:pStyle w:val="Telobesedila"/>
        <w:shd w:val="clear" w:color="auto" w:fill="auto"/>
        <w:spacing w:line="269" w:lineRule="auto"/>
        <w:ind w:left="300"/>
        <w:rPr>
          <w:sz w:val="19"/>
          <w:szCs w:val="19"/>
        </w:rPr>
      </w:pPr>
      <w:r>
        <w:rPr>
          <w:i/>
          <w:sz w:val="19"/>
        </w:rPr>
        <w:t>Mi, ministri in organi držav članic in pridruženih članic UNESCA, pristojni za kulturo, smo se sestali</w:t>
      </w:r>
    </w:p>
    <w:p w14:paraId="72BDFACC" w14:textId="77777777" w:rsidR="00785488" w:rsidRDefault="00000000">
      <w:pPr>
        <w:pStyle w:val="Telobesedila"/>
        <w:shd w:val="clear" w:color="auto" w:fill="auto"/>
        <w:spacing w:line="269" w:lineRule="auto"/>
        <w:ind w:left="300"/>
        <w:rPr>
          <w:sz w:val="19"/>
          <w:szCs w:val="19"/>
        </w:rPr>
      </w:pPr>
      <w:r>
        <w:rPr>
          <w:i/>
          <w:sz w:val="19"/>
        </w:rPr>
        <w:t>v Barceloni 29. in 30. septembra ter 1. oktobra 2025 v odziv na nujne in kompleksne izzive našega časa</w:t>
      </w:r>
    </w:p>
    <w:p w14:paraId="7D4B698E" w14:textId="77777777" w:rsidR="00785488" w:rsidRDefault="00000000">
      <w:pPr>
        <w:pStyle w:val="Telobesedila"/>
        <w:shd w:val="clear" w:color="auto" w:fill="auto"/>
        <w:spacing w:after="240" w:line="269" w:lineRule="auto"/>
        <w:ind w:left="300" w:right="180"/>
        <w:rPr>
          <w:sz w:val="19"/>
          <w:szCs w:val="19"/>
        </w:rPr>
      </w:pPr>
      <w:r>
        <w:rPr>
          <w:i/>
          <w:sz w:val="19"/>
        </w:rPr>
        <w:t>ter na podlagi skupne vizije, začrtane v sklepni deklaraciji MONDIACULT 2022, ponovno potrjujemo našo skupno zavezo, da bomo kulturo trdno zasidrali kot sestavni del in steber pravičnega, miroljubnega, vključujočega in trajnostnega razvoja, tako kot človekovo pravico vsakogar, da sodeluje v kulturnem življenju, kot svetovno javno dobro. Skupaj se zavezujemo, da bomo celovito krepili kulturne politike in ustanove ter kulturne in kreativne sektorje ter zagotovili njihovo povezanost z drugimi področji razvoja. Kultura prispeva k blaginji vseh, h kulturni raznolikosti in kulturnim izrazom, k ohranjanju znanja in dediščine ter k skupni skrbi za naš planet.</w:t>
      </w:r>
    </w:p>
    <w:p w14:paraId="511D59C1" w14:textId="77777777" w:rsidR="00785488" w:rsidRDefault="00000000">
      <w:pPr>
        <w:pStyle w:val="Heading40"/>
        <w:keepNext/>
        <w:keepLines/>
        <w:numPr>
          <w:ilvl w:val="0"/>
          <w:numId w:val="1"/>
        </w:numPr>
        <w:shd w:val="clear" w:color="auto" w:fill="auto"/>
        <w:tabs>
          <w:tab w:val="left" w:pos="324"/>
        </w:tabs>
        <w:ind w:left="0"/>
      </w:pPr>
      <w:bookmarkStart w:id="4" w:name="bookmark4"/>
      <w:r>
        <w:rPr>
          <w:color w:val="156082"/>
        </w:rPr>
        <w:t>Skupna vizija</w:t>
      </w:r>
      <w:bookmarkEnd w:id="4"/>
    </w:p>
    <w:p w14:paraId="6E0933FA" w14:textId="77777777" w:rsidR="00785488" w:rsidRDefault="00000000">
      <w:pPr>
        <w:pStyle w:val="Telobesedila"/>
        <w:shd w:val="clear" w:color="auto" w:fill="auto"/>
        <w:spacing w:after="220" w:line="283" w:lineRule="auto"/>
        <w:ind w:left="300" w:right="180"/>
      </w:pPr>
      <w:r>
        <w:t>Ponovno potrjujemo priznanje pravice do sodelovanja v kulturnem življenju kot človekove pravice, ki je neločljivo povezana z dostojanstvom in identiteto. Kultura prispeva k polnemu uveljavljanju človekovih pravic in temeljnih svoboščin, vzpostavljanju miru, vključujoči gospodarski rasti, podnebni odpornosti, blaginji in trajnostnemu razvoju. Je svetovno javno dobro z lastno vrednostjo, katerega preobrazbeno moč je treba v celoti izkoristiti za reševanje današnjih izzivov in oblikovanje pravičnejših, enakopravnejših, miroljubnejših, medkulturnih, vključujočih in trajnostnih družb.</w:t>
      </w:r>
    </w:p>
    <w:p w14:paraId="721BE91D" w14:textId="77777777" w:rsidR="00785488" w:rsidRDefault="00000000">
      <w:pPr>
        <w:pStyle w:val="Heading40"/>
        <w:keepNext/>
        <w:keepLines/>
        <w:numPr>
          <w:ilvl w:val="0"/>
          <w:numId w:val="1"/>
        </w:numPr>
        <w:shd w:val="clear" w:color="auto" w:fill="auto"/>
        <w:tabs>
          <w:tab w:val="left" w:pos="328"/>
        </w:tabs>
        <w:ind w:left="0"/>
      </w:pPr>
      <w:bookmarkStart w:id="5" w:name="bookmark5"/>
      <w:r>
        <w:rPr>
          <w:color w:val="155F81"/>
        </w:rPr>
        <w:t>Strateški temelji</w:t>
      </w:r>
      <w:bookmarkEnd w:id="5"/>
    </w:p>
    <w:p w14:paraId="33CB01EF" w14:textId="77777777" w:rsidR="00785488" w:rsidRDefault="00000000">
      <w:pPr>
        <w:pStyle w:val="Telobesedila"/>
        <w:shd w:val="clear" w:color="auto" w:fill="auto"/>
        <w:spacing w:after="220" w:line="283" w:lineRule="auto"/>
        <w:ind w:left="300" w:right="180"/>
      </w:pPr>
      <w:r>
        <w:t>Ta dokument temelji na vključujočem procesu, v katerem sodeluje več zainteresiranih strani, vključno z regionalnimi posvetovanji, svetovnimi raziskavami in prispevki več zainteresiranih strani ter razmišljanji, ki izhajajo iz šestih UNESCOVIH kulturnih konvencij. Temelji na šestih prednostnih področjih deklaracije MONDIACULT 2022 ter z etičnim pristopom, pristopom, ki temelji na človekovih pravicah in pristopom, osredinjenim na človeka, vključuje dve osrednji področji iz pripravljalnega procesa: kultura za mir ter umetna inteligenca in kultura. Ti stebri predstavljajo skupno podlago za skupno delovanje za vključitev kulture v razvojni okvir Združenih narodov (ZN) po letu 2030.</w:t>
      </w:r>
    </w:p>
    <w:p w14:paraId="0E16062B" w14:textId="77777777" w:rsidR="00785488" w:rsidRDefault="00000000">
      <w:pPr>
        <w:pStyle w:val="Heading40"/>
        <w:keepNext/>
        <w:keepLines/>
        <w:numPr>
          <w:ilvl w:val="0"/>
          <w:numId w:val="1"/>
        </w:numPr>
        <w:shd w:val="clear" w:color="auto" w:fill="auto"/>
        <w:tabs>
          <w:tab w:val="left" w:pos="328"/>
        </w:tabs>
        <w:spacing w:line="276" w:lineRule="auto"/>
        <w:ind w:left="0"/>
      </w:pPr>
      <w:bookmarkStart w:id="6" w:name="bookmark6"/>
      <w:r>
        <w:rPr>
          <w:color w:val="155F81"/>
        </w:rPr>
        <w:t>Kultura in trajnostni razvoj po letu 2030</w:t>
      </w:r>
      <w:bookmarkEnd w:id="6"/>
    </w:p>
    <w:p w14:paraId="7DF75903" w14:textId="77777777" w:rsidR="00785488" w:rsidRDefault="00000000">
      <w:pPr>
        <w:pStyle w:val="Telobesedila"/>
        <w:shd w:val="clear" w:color="auto" w:fill="auto"/>
        <w:spacing w:after="220"/>
        <w:ind w:left="300" w:right="180"/>
      </w:pPr>
      <w:r>
        <w:t>Potrjujemo, da mora biti kultura v prihodnji razvojni okvir, ki ga bodo države članice določile prek mehanizmov ZN, vključena kot samostojen cilj. Sledijo področja, ki so po našem mnenju prednostna za kulturne politike in prakse na vseh ravneh.</w:t>
      </w:r>
    </w:p>
    <w:p w14:paraId="151ECD8A" w14:textId="77777777" w:rsidR="00785488" w:rsidRDefault="00000000">
      <w:pPr>
        <w:pStyle w:val="Heading40"/>
        <w:keepNext/>
        <w:keepLines/>
        <w:numPr>
          <w:ilvl w:val="0"/>
          <w:numId w:val="2"/>
        </w:numPr>
        <w:shd w:val="clear" w:color="auto" w:fill="auto"/>
        <w:tabs>
          <w:tab w:val="left" w:pos="655"/>
        </w:tabs>
        <w:jc w:val="both"/>
      </w:pPr>
      <w:bookmarkStart w:id="7" w:name="bookmark7"/>
      <w:r>
        <w:t>Kulturne pravice kot človekove pravice</w:t>
      </w:r>
      <w:bookmarkEnd w:id="7"/>
    </w:p>
    <w:p w14:paraId="59BFEDF0" w14:textId="77777777" w:rsidR="00785488" w:rsidRDefault="00000000">
      <w:pPr>
        <w:pStyle w:val="Telobesedila"/>
        <w:numPr>
          <w:ilvl w:val="0"/>
          <w:numId w:val="3"/>
        </w:numPr>
        <w:shd w:val="clear" w:color="auto" w:fill="auto"/>
        <w:tabs>
          <w:tab w:val="left" w:pos="1030"/>
        </w:tabs>
        <w:ind w:left="1020" w:right="180" w:hanging="360"/>
      </w:pPr>
      <w:r>
        <w:t>Priznavanje, zaščita in spodbujanje človekove pravice do sodelovanja v kulturnem življenju ter podpiranje dostopa do kulture in kulturne dediščine, njuno uživanje ter uživanje koristi, ki izhajajo iz njiju, tudi v digitalnem okolju, kot etična, družbena in gospodarska nujnost.</w:t>
      </w:r>
    </w:p>
    <w:p w14:paraId="331802FB" w14:textId="77777777" w:rsidR="00785488" w:rsidRDefault="00000000">
      <w:pPr>
        <w:pStyle w:val="Telobesedila"/>
        <w:numPr>
          <w:ilvl w:val="0"/>
          <w:numId w:val="3"/>
        </w:numPr>
        <w:shd w:val="clear" w:color="auto" w:fill="auto"/>
        <w:tabs>
          <w:tab w:val="left" w:pos="1030"/>
        </w:tabs>
        <w:spacing w:line="269" w:lineRule="auto"/>
        <w:ind w:left="1020" w:hanging="360"/>
      </w:pPr>
      <w:r>
        <w:t>Zaščita, spodbujanje in varovanje umetniške svobode in svobode izražanja.</w:t>
      </w:r>
    </w:p>
    <w:p w14:paraId="3B371526" w14:textId="77777777" w:rsidR="00785488" w:rsidRDefault="00000000">
      <w:pPr>
        <w:pStyle w:val="Telobesedila"/>
        <w:numPr>
          <w:ilvl w:val="0"/>
          <w:numId w:val="3"/>
        </w:numPr>
        <w:shd w:val="clear" w:color="auto" w:fill="auto"/>
        <w:tabs>
          <w:tab w:val="left" w:pos="1030"/>
        </w:tabs>
        <w:ind w:left="1020" w:right="180" w:hanging="360"/>
      </w:pPr>
      <w:r>
        <w:t>Spodbujanje, ohranjanje in varovanje kulturne in jezikovne raznolikosti ter kulturnih izrazov s posebnim priznavanjem kultur in jezikov avtohtonih ljudstev, ljudi afriškega porekla ter pripadnikov lokalnih skupnosti, manjšin in ranljivih skupin.</w:t>
      </w:r>
    </w:p>
    <w:p w14:paraId="4B3334F6" w14:textId="77777777" w:rsidR="00785488" w:rsidRDefault="00000000">
      <w:pPr>
        <w:pStyle w:val="Telobesedila"/>
        <w:numPr>
          <w:ilvl w:val="0"/>
          <w:numId w:val="3"/>
        </w:numPr>
        <w:shd w:val="clear" w:color="auto" w:fill="auto"/>
        <w:tabs>
          <w:tab w:val="left" w:pos="1030"/>
        </w:tabs>
        <w:ind w:left="1020" w:right="180" w:hanging="360"/>
      </w:pPr>
      <w:r>
        <w:t>Krepitev prizadevanj za zagotavljanje pravične porazdelitve priložnosti za dostop do kulture, prispevanje k njej in izkoriščanje koristi, ki izhajajo iz nje, ob upoštevanju še vedno prisotnih neenakosti.</w:t>
      </w:r>
    </w:p>
    <w:p w14:paraId="06839943" w14:textId="77777777" w:rsidR="00785488" w:rsidRDefault="00000000">
      <w:pPr>
        <w:pStyle w:val="Telobesedila"/>
        <w:numPr>
          <w:ilvl w:val="0"/>
          <w:numId w:val="3"/>
        </w:numPr>
        <w:shd w:val="clear" w:color="auto" w:fill="auto"/>
        <w:tabs>
          <w:tab w:val="left" w:pos="1030"/>
        </w:tabs>
        <w:ind w:left="1020" w:right="180" w:hanging="360"/>
      </w:pPr>
      <w:r>
        <w:t>Spodbujanje učinkovitega in konstruktivnega bilateralnega in multilateralnega dialoga, sodelovanja in ukrepanje na področju vračanja in restitucije kulturnih dobrin, vključno s tistimi z duhovno, rodovno, zgodovinsko in kulturno vrednostjo, v države izvora, kot je primerno.</w:t>
      </w:r>
    </w:p>
    <w:p w14:paraId="019B554B" w14:textId="77777777" w:rsidR="00785488" w:rsidRDefault="00000000">
      <w:pPr>
        <w:pStyle w:val="Telobesedila"/>
        <w:numPr>
          <w:ilvl w:val="0"/>
          <w:numId w:val="3"/>
        </w:numPr>
        <w:shd w:val="clear" w:color="auto" w:fill="auto"/>
        <w:tabs>
          <w:tab w:val="left" w:pos="1030"/>
        </w:tabs>
        <w:spacing w:after="120"/>
        <w:ind w:left="1020" w:right="180" w:hanging="360"/>
        <w:sectPr w:rsidR="00785488">
          <w:pgSz w:w="12240" w:h="15840"/>
          <w:pgMar w:top="245" w:right="821" w:bottom="245" w:left="768" w:header="0" w:footer="3" w:gutter="0"/>
          <w:pgNumType w:start="1"/>
          <w:cols w:space="720"/>
          <w:noEndnote/>
          <w:docGrid w:linePitch="360"/>
        </w:sectPr>
      </w:pPr>
      <w:r>
        <w:t>Zagotavljanje plodnega sodelovanja zadevnih skupin v državah izvora, vključno z avtohtonimi ljudstvi, ljudmi afriškega porekla in lokalnimi skupnostmi, pri prizadevanjih, povezanih z zaščito, vračanjem in restitucijo njihovih kulturnih dobrin, tudi preko okrepljenega sodelovanja z muzeji.</w:t>
      </w:r>
    </w:p>
    <w:p w14:paraId="3F23C955" w14:textId="77777777" w:rsidR="00785488" w:rsidRDefault="00000000">
      <w:pPr>
        <w:pStyle w:val="Heading40"/>
        <w:keepNext/>
        <w:keepLines/>
        <w:numPr>
          <w:ilvl w:val="0"/>
          <w:numId w:val="2"/>
        </w:numPr>
        <w:shd w:val="clear" w:color="auto" w:fill="auto"/>
        <w:tabs>
          <w:tab w:val="left" w:pos="666"/>
        </w:tabs>
      </w:pPr>
      <w:bookmarkStart w:id="8" w:name="bookmark8"/>
      <w:r>
        <w:lastRenderedPageBreak/>
        <w:t>Kultura in izobraževanje</w:t>
      </w:r>
      <w:bookmarkEnd w:id="8"/>
    </w:p>
    <w:p w14:paraId="5AEF865D" w14:textId="77777777" w:rsidR="00785488" w:rsidRDefault="00000000">
      <w:pPr>
        <w:pStyle w:val="Telobesedila"/>
        <w:numPr>
          <w:ilvl w:val="0"/>
          <w:numId w:val="3"/>
        </w:numPr>
        <w:shd w:val="clear" w:color="auto" w:fill="auto"/>
        <w:tabs>
          <w:tab w:val="left" w:pos="1023"/>
        </w:tabs>
        <w:ind w:left="1020" w:right="180" w:hanging="360"/>
      </w:pPr>
      <w:r>
        <w:t>Sistematično vključevanje in krepitev kulture, kulturne in naravne dediščine, kulturnega izraza in umetnosti v vseh vrstah formalnih, neformalnih in priložnostnih izobraževalnih okolij, prek njih in z njimi.</w:t>
      </w:r>
    </w:p>
    <w:p w14:paraId="320283D7" w14:textId="77777777" w:rsidR="00785488" w:rsidRDefault="00000000">
      <w:pPr>
        <w:pStyle w:val="Telobesedila"/>
        <w:numPr>
          <w:ilvl w:val="0"/>
          <w:numId w:val="3"/>
        </w:numPr>
        <w:shd w:val="clear" w:color="auto" w:fill="auto"/>
        <w:tabs>
          <w:tab w:val="left" w:pos="1023"/>
        </w:tabs>
        <w:ind w:left="1020" w:right="180" w:hanging="360"/>
      </w:pPr>
      <w:r>
        <w:t>Spodbujanje pravičnega dostopa do vseživljenjskega in vseobsežnega učenja kot temeljnega orodja za stalno posodabljanje in nadaljnji razvoj kulturnega in umetniškega znanja in spretnosti.</w:t>
      </w:r>
    </w:p>
    <w:p w14:paraId="258891B8" w14:textId="77777777" w:rsidR="00785488" w:rsidRDefault="00000000">
      <w:pPr>
        <w:pStyle w:val="Telobesedila"/>
        <w:numPr>
          <w:ilvl w:val="0"/>
          <w:numId w:val="3"/>
        </w:numPr>
        <w:shd w:val="clear" w:color="auto" w:fill="auto"/>
        <w:tabs>
          <w:tab w:val="left" w:pos="1023"/>
        </w:tabs>
        <w:ind w:left="1020" w:right="180" w:hanging="360"/>
      </w:pPr>
      <w:r>
        <w:t xml:space="preserve">Podpiranje interdisciplinarnih in </w:t>
      </w:r>
      <w:proofErr w:type="spellStart"/>
      <w:r>
        <w:t>transdisciplinarnih</w:t>
      </w:r>
      <w:proofErr w:type="spellEnd"/>
      <w:r>
        <w:t xml:space="preserve"> pristopov za spodbujanje inovativnih sinergij med kulturo, umetnostjo, znanostjo in tehnologijo pri poučevanju, učenju in raziskovanju.</w:t>
      </w:r>
    </w:p>
    <w:p w14:paraId="034B05AE" w14:textId="77777777" w:rsidR="00785488" w:rsidRDefault="00000000">
      <w:pPr>
        <w:pStyle w:val="Telobesedila"/>
        <w:numPr>
          <w:ilvl w:val="0"/>
          <w:numId w:val="3"/>
        </w:numPr>
        <w:shd w:val="clear" w:color="auto" w:fill="auto"/>
        <w:tabs>
          <w:tab w:val="left" w:pos="1023"/>
        </w:tabs>
        <w:ind w:left="1020" w:right="180" w:hanging="360"/>
      </w:pPr>
      <w:r>
        <w:t>Ustvarjanje učnih izkušenj, ki prispevajo k uresničevanju človekovih pravic, spoštovanju tradicionalnih znanj in spodbujanju kulturne raznolikosti, hkrati pa krepijo jezikovne spretnosti, kritično in ustvarjalno mišljenje, medkulturno razumevanje ter ohranjanje in varovanje kulturne in naravne dediščine za sedanje in prihodnje generacije.</w:t>
      </w:r>
    </w:p>
    <w:p w14:paraId="7025A2C6" w14:textId="77777777" w:rsidR="00785488" w:rsidRDefault="00000000">
      <w:pPr>
        <w:pStyle w:val="Telobesedila"/>
        <w:numPr>
          <w:ilvl w:val="0"/>
          <w:numId w:val="3"/>
        </w:numPr>
        <w:shd w:val="clear" w:color="auto" w:fill="auto"/>
        <w:tabs>
          <w:tab w:val="left" w:pos="1023"/>
        </w:tabs>
        <w:ind w:left="1020" w:right="180" w:hanging="360"/>
      </w:pPr>
      <w:r>
        <w:t>Podpiranje tehničnega in poklicnega izobraževanja in usposabljanja ter izobraževanja odraslih v kulturnih in kreativnih sektorjih s strukturnimi naložbami v javne politike, da se spodbujajo relevantne spretnosti, karierne poti in ključne kulturne kompetence v hitro spreminjajočem se svetu.</w:t>
      </w:r>
    </w:p>
    <w:p w14:paraId="6EE27978" w14:textId="77777777" w:rsidR="00785488" w:rsidRDefault="00000000">
      <w:pPr>
        <w:pStyle w:val="Telobesedila"/>
        <w:numPr>
          <w:ilvl w:val="0"/>
          <w:numId w:val="3"/>
        </w:numPr>
        <w:shd w:val="clear" w:color="auto" w:fill="auto"/>
        <w:tabs>
          <w:tab w:val="left" w:pos="1023"/>
        </w:tabs>
        <w:spacing w:after="240"/>
        <w:ind w:left="1020" w:right="180" w:hanging="360"/>
      </w:pPr>
      <w:proofErr w:type="spellStart"/>
      <w:r>
        <w:t>Opolnomočenje</w:t>
      </w:r>
      <w:proofErr w:type="spellEnd"/>
      <w:r>
        <w:t xml:space="preserve"> ustanov, ki se ukvarjajo s kulturo, da postanejo dejavni izobraževalni prostori, ki spodbujajo učenje, sodelovanje skupnosti, blagostanje in dostop do vseh oblik kulture, vključno z umetnostjo, dediščino, znanjem in praksami.</w:t>
      </w:r>
    </w:p>
    <w:p w14:paraId="015AE4F6" w14:textId="77777777" w:rsidR="00785488" w:rsidRDefault="00000000">
      <w:pPr>
        <w:pStyle w:val="Heading40"/>
        <w:keepNext/>
        <w:keepLines/>
        <w:numPr>
          <w:ilvl w:val="0"/>
          <w:numId w:val="2"/>
        </w:numPr>
        <w:shd w:val="clear" w:color="auto" w:fill="auto"/>
        <w:tabs>
          <w:tab w:val="left" w:pos="666"/>
        </w:tabs>
      </w:pPr>
      <w:bookmarkStart w:id="9" w:name="bookmark9"/>
      <w:r>
        <w:t>Kulturna ekonomija in dostojno delo</w:t>
      </w:r>
      <w:bookmarkEnd w:id="9"/>
    </w:p>
    <w:p w14:paraId="170E684B" w14:textId="77777777" w:rsidR="00785488" w:rsidRDefault="00000000">
      <w:pPr>
        <w:pStyle w:val="Telobesedila"/>
        <w:numPr>
          <w:ilvl w:val="0"/>
          <w:numId w:val="3"/>
        </w:numPr>
        <w:shd w:val="clear" w:color="auto" w:fill="auto"/>
        <w:tabs>
          <w:tab w:val="left" w:pos="1023"/>
        </w:tabs>
        <w:ind w:left="1020" w:right="180" w:hanging="360"/>
      </w:pPr>
      <w:r>
        <w:t>Priznavanje kulturnih in kreativnih sektorjev in panog kot temeljnega dejavnika vključujočega in trajnostnega gospodarskega razvoja, ki omogoča inovacije ter pomembno prispeva k nacionalnim, regionalnim in svetovnim gospodarstvom.</w:t>
      </w:r>
    </w:p>
    <w:p w14:paraId="1EC3BE32" w14:textId="77777777" w:rsidR="00785488" w:rsidRDefault="00000000">
      <w:pPr>
        <w:pStyle w:val="Telobesedila"/>
        <w:numPr>
          <w:ilvl w:val="0"/>
          <w:numId w:val="3"/>
        </w:numPr>
        <w:shd w:val="clear" w:color="auto" w:fill="auto"/>
        <w:tabs>
          <w:tab w:val="left" w:pos="1023"/>
        </w:tabs>
        <w:ind w:left="1020" w:right="180" w:hanging="360"/>
      </w:pPr>
      <w:r>
        <w:t>Podpiranje dostojnega dela za umetnike, ustvarjalce in kulturne delavce, vključno s pravičnim plačilom in ustrezno socialno zaščito, ki temelji na ustreznih mednarodnih standardih dela, podpiranje njihovih ekonomskih in socialnih pravic, krepitev varstva intelektualne lastnine, podpiranje prehoda v formalno gospodarstvo, če je primerno, ter odpravljanje sistemskih neenakosti na podlagi spola in drugih neenakosti.</w:t>
      </w:r>
    </w:p>
    <w:p w14:paraId="566444F0" w14:textId="77777777" w:rsidR="00785488" w:rsidRDefault="00000000">
      <w:pPr>
        <w:pStyle w:val="Telobesedila"/>
        <w:numPr>
          <w:ilvl w:val="0"/>
          <w:numId w:val="3"/>
        </w:numPr>
        <w:shd w:val="clear" w:color="auto" w:fill="auto"/>
        <w:tabs>
          <w:tab w:val="left" w:pos="1023"/>
        </w:tabs>
        <w:ind w:left="1020" w:right="180" w:hanging="360"/>
      </w:pPr>
      <w:r>
        <w:t>Krepitev nacionalne, regionalne in mednarodne mobilnosti umetnikov in kulturnih delavcev, zlasti iz držav v razvoju, kolikor je to mogoče v nacionalnih in mednarodnih okvirih, ter spodbujanje priložnosti za strokovno rast, sodelovanje, kulturno izmenjavo in dostop do mednarodnih trgov.</w:t>
      </w:r>
    </w:p>
    <w:p w14:paraId="5FB5994B" w14:textId="77777777" w:rsidR="00785488" w:rsidRDefault="00000000">
      <w:pPr>
        <w:pStyle w:val="Telobesedila"/>
        <w:numPr>
          <w:ilvl w:val="0"/>
          <w:numId w:val="3"/>
        </w:numPr>
        <w:shd w:val="clear" w:color="auto" w:fill="auto"/>
        <w:tabs>
          <w:tab w:val="left" w:pos="1023"/>
        </w:tabs>
        <w:ind w:left="1020" w:right="180" w:hanging="360"/>
      </w:pPr>
      <w:r>
        <w:t>Podpiranje kulturnih ustanov in infrastrukture kot tistih, ki so ključni pri tem, da omogočajo kulturno ekonomijo, spodbujajo kreativne ekosisteme, inovacije in vključujoč razvoj skupnosti.</w:t>
      </w:r>
    </w:p>
    <w:p w14:paraId="54C6BC32" w14:textId="77777777" w:rsidR="00785488" w:rsidRDefault="00000000">
      <w:pPr>
        <w:pStyle w:val="Telobesedila"/>
        <w:numPr>
          <w:ilvl w:val="0"/>
          <w:numId w:val="3"/>
        </w:numPr>
        <w:shd w:val="clear" w:color="auto" w:fill="auto"/>
        <w:tabs>
          <w:tab w:val="left" w:pos="1023"/>
        </w:tabs>
        <w:spacing w:after="240"/>
        <w:ind w:left="1020" w:right="180" w:hanging="360"/>
      </w:pPr>
      <w:r>
        <w:t>Spodbujanje dostopa do kulturnih trgov in kulturnega podjetništva ter hkrati odpravljanje svetovnih in regionalnih neravnovesij pri kroženju kulturnih dobrin in storitev ter neenakopravne distribucije in vidnosti kulturnih vsebin na vseh platformah, vključno z digitalnimi platformami.</w:t>
      </w:r>
    </w:p>
    <w:p w14:paraId="672E9DDB" w14:textId="77777777" w:rsidR="00785488" w:rsidRDefault="00000000">
      <w:pPr>
        <w:pStyle w:val="Heading40"/>
        <w:keepNext/>
        <w:keepLines/>
        <w:numPr>
          <w:ilvl w:val="0"/>
          <w:numId w:val="2"/>
        </w:numPr>
        <w:shd w:val="clear" w:color="auto" w:fill="auto"/>
        <w:tabs>
          <w:tab w:val="left" w:pos="666"/>
        </w:tabs>
      </w:pPr>
      <w:bookmarkStart w:id="10" w:name="bookmark10"/>
      <w:r>
        <w:t>Kultura za mir</w:t>
      </w:r>
      <w:bookmarkEnd w:id="10"/>
    </w:p>
    <w:p w14:paraId="026AD6A5" w14:textId="77777777" w:rsidR="00785488" w:rsidRDefault="00000000">
      <w:pPr>
        <w:pStyle w:val="Telobesedila"/>
        <w:numPr>
          <w:ilvl w:val="0"/>
          <w:numId w:val="3"/>
        </w:numPr>
        <w:shd w:val="clear" w:color="auto" w:fill="auto"/>
        <w:tabs>
          <w:tab w:val="left" w:pos="1023"/>
        </w:tabs>
        <w:ind w:left="1020" w:right="180" w:hanging="360"/>
      </w:pPr>
      <w:r>
        <w:t>Spodbujanje kulture kot bistvenega elementa za medkulturni, medgeneracijski in medverski dialog, odpornost, preprečevanje in reševanje konfliktov ter okrevanje po krizah.</w:t>
      </w:r>
    </w:p>
    <w:p w14:paraId="57B923A0" w14:textId="77777777" w:rsidR="00785488" w:rsidRDefault="00000000">
      <w:pPr>
        <w:pStyle w:val="Telobesedila"/>
        <w:numPr>
          <w:ilvl w:val="0"/>
          <w:numId w:val="3"/>
        </w:numPr>
        <w:shd w:val="clear" w:color="auto" w:fill="auto"/>
        <w:tabs>
          <w:tab w:val="left" w:pos="1023"/>
        </w:tabs>
        <w:ind w:left="1020" w:right="180" w:hanging="360"/>
      </w:pPr>
      <w:r>
        <w:t>Boj proti vsem oblikam rasizma, diskriminacije in predsodkov, ki ogrožajo umetniško svobodo, svobodo izražanja ter kulturno raznolikost in dediščino.</w:t>
      </w:r>
    </w:p>
    <w:p w14:paraId="749886FE" w14:textId="77777777" w:rsidR="00785488" w:rsidRDefault="00000000">
      <w:pPr>
        <w:pStyle w:val="Telobesedila"/>
        <w:numPr>
          <w:ilvl w:val="0"/>
          <w:numId w:val="3"/>
        </w:numPr>
        <w:shd w:val="clear" w:color="auto" w:fill="auto"/>
        <w:tabs>
          <w:tab w:val="left" w:pos="1023"/>
        </w:tabs>
        <w:ind w:left="1020" w:right="180" w:hanging="360"/>
      </w:pPr>
      <w:r>
        <w:t>Prizadevanje, da je mednarodna kulturna politika, ki temelji na človekovih pravicah, orodje za spodbujanje mednarodne in čezmejne varnosti, mirnega sobivanja ter medsebojnega spoštovanja in razumevanja.</w:t>
      </w:r>
    </w:p>
    <w:p w14:paraId="1A7FB543" w14:textId="77777777" w:rsidR="00785488" w:rsidRDefault="00000000">
      <w:pPr>
        <w:pStyle w:val="Telobesedila"/>
        <w:numPr>
          <w:ilvl w:val="0"/>
          <w:numId w:val="3"/>
        </w:numPr>
        <w:shd w:val="clear" w:color="auto" w:fill="auto"/>
        <w:tabs>
          <w:tab w:val="left" w:pos="1023"/>
        </w:tabs>
        <w:ind w:left="1020" w:right="180" w:hanging="360"/>
      </w:pPr>
      <w:r>
        <w:t>Spodbujanje kulture ter naravne in kulturne dediščine, tako snovne kot nesnovne, kot nosilcev spomina, identitet, sprave in socialne kohezije, krepitve odpornosti in zavedanje človekovih pravic.</w:t>
      </w:r>
    </w:p>
    <w:p w14:paraId="30598FE7" w14:textId="77777777" w:rsidR="00785488" w:rsidRDefault="00000000">
      <w:pPr>
        <w:pStyle w:val="Telobesedila"/>
        <w:numPr>
          <w:ilvl w:val="0"/>
          <w:numId w:val="3"/>
        </w:numPr>
        <w:shd w:val="clear" w:color="auto" w:fill="auto"/>
        <w:tabs>
          <w:tab w:val="left" w:pos="1023"/>
        </w:tabs>
        <w:spacing w:after="240"/>
        <w:ind w:left="1020" w:right="180" w:hanging="360"/>
      </w:pPr>
      <w:r>
        <w:t>Zavzemanje za to, da so kulturni prostori varna in dostopna okolja, ki gojijo dialog, socialno kohezijo in občutek pripadnosti ter prispevajo k zmanjševanju nasilja in vzpostavljanju trajnega miru.</w:t>
      </w:r>
    </w:p>
    <w:p w14:paraId="76F24C1C" w14:textId="77777777" w:rsidR="00785488" w:rsidRDefault="00000000">
      <w:pPr>
        <w:pStyle w:val="Heading40"/>
        <w:keepNext/>
        <w:keepLines/>
        <w:numPr>
          <w:ilvl w:val="0"/>
          <w:numId w:val="2"/>
        </w:numPr>
        <w:shd w:val="clear" w:color="auto" w:fill="auto"/>
        <w:tabs>
          <w:tab w:val="left" w:pos="666"/>
        </w:tabs>
        <w:spacing w:line="286" w:lineRule="auto"/>
      </w:pPr>
      <w:bookmarkStart w:id="11" w:name="bookmark11"/>
      <w:r>
        <w:t>Kultura, dediščina in podnebni ukrepi</w:t>
      </w:r>
      <w:bookmarkEnd w:id="11"/>
    </w:p>
    <w:p w14:paraId="485EBB0B" w14:textId="77777777" w:rsidR="00785488" w:rsidRDefault="00000000">
      <w:pPr>
        <w:pStyle w:val="Telobesedila"/>
        <w:numPr>
          <w:ilvl w:val="0"/>
          <w:numId w:val="3"/>
        </w:numPr>
        <w:shd w:val="clear" w:color="auto" w:fill="auto"/>
        <w:tabs>
          <w:tab w:val="left" w:pos="1023"/>
        </w:tabs>
        <w:ind w:left="1020" w:right="180" w:hanging="360"/>
      </w:pPr>
      <w:r>
        <w:t>Vključevanje kulturnih vidikov v razprave o strategijah prilagajanja podnebnim spremembam in njihovega blaženja, da bi se spopadli z vplivi podnebnih sprememb in izgube biotske raznovrstnosti na kulturne in kreativne sektorje, panoge in dediščino ter pomagali oblikovati inovativne in pravične podnebne rešitve.</w:t>
      </w:r>
    </w:p>
    <w:p w14:paraId="753A6BFC" w14:textId="77777777" w:rsidR="00785488" w:rsidRDefault="00000000">
      <w:pPr>
        <w:pStyle w:val="Telobesedila"/>
        <w:numPr>
          <w:ilvl w:val="0"/>
          <w:numId w:val="3"/>
        </w:numPr>
        <w:shd w:val="clear" w:color="auto" w:fill="auto"/>
        <w:tabs>
          <w:tab w:val="left" w:pos="1023"/>
        </w:tabs>
        <w:ind w:left="1020" w:right="180" w:hanging="360"/>
      </w:pPr>
      <w:r>
        <w:t>Priznavanje, vrednotenje in varovanje znanja, znanosti, praks in načinov preživljanja avtohtonih ljudstev, lokalnih in tradicionalnih skupnosti ter ljudi afriškega porekla kot del podnebnih rešitev v sodelovanju z zadevnimi skupinami.</w:t>
      </w:r>
    </w:p>
    <w:p w14:paraId="5D4D9E54" w14:textId="77777777" w:rsidR="00785488" w:rsidRDefault="00000000">
      <w:pPr>
        <w:pStyle w:val="Telobesedila"/>
        <w:numPr>
          <w:ilvl w:val="0"/>
          <w:numId w:val="3"/>
        </w:numPr>
        <w:shd w:val="clear" w:color="auto" w:fill="auto"/>
        <w:tabs>
          <w:tab w:val="left" w:pos="1018"/>
        </w:tabs>
        <w:ind w:left="1020" w:right="180" w:hanging="360"/>
      </w:pPr>
      <w:r>
        <w:t>Razvoj rešitev za varovanje naravne in kulturne dediščine, tako snovne kot nesnovne, vključno z digitalnimi oblikami, ter varovanje raznolikosti kulturnih izrazov pred škodljivimi vplivi podnebnih sprememb, dezertifikacije, izgube biotske raznovrstnosti in nesreč, ob upoštevanju razlik v vplivih in zmogljivostih znotraj držav in med njimi.</w:t>
      </w:r>
    </w:p>
    <w:p w14:paraId="05BFD90E" w14:textId="77777777" w:rsidR="00785488" w:rsidRDefault="00000000">
      <w:pPr>
        <w:pStyle w:val="Telobesedila"/>
        <w:numPr>
          <w:ilvl w:val="0"/>
          <w:numId w:val="3"/>
        </w:numPr>
        <w:shd w:val="clear" w:color="auto" w:fill="auto"/>
        <w:tabs>
          <w:tab w:val="left" w:pos="1018"/>
        </w:tabs>
        <w:ind w:left="1020" w:right="180" w:hanging="360"/>
      </w:pPr>
      <w:r>
        <w:t xml:space="preserve">Izkoriščanje potenciala snovne in nesnovne kulturne dediščine ter medsebojne povezanosti kulturne in biološke </w:t>
      </w:r>
      <w:r>
        <w:lastRenderedPageBreak/>
        <w:t>raznolikosti kot virov za odpornost, prilagajanje in blažitev, vključno s pripravljenostjo na nesreče ter okrevanjem po njih in po krizah.</w:t>
      </w:r>
    </w:p>
    <w:p w14:paraId="2BF6AE14" w14:textId="77777777" w:rsidR="00785488" w:rsidRDefault="00000000">
      <w:pPr>
        <w:pStyle w:val="Telobesedila"/>
        <w:numPr>
          <w:ilvl w:val="0"/>
          <w:numId w:val="3"/>
        </w:numPr>
        <w:shd w:val="clear" w:color="auto" w:fill="auto"/>
        <w:tabs>
          <w:tab w:val="left" w:pos="1018"/>
        </w:tabs>
        <w:spacing w:after="240"/>
        <w:ind w:left="1020" w:right="180" w:hanging="360"/>
      </w:pPr>
      <w:r>
        <w:t xml:space="preserve">Mobilizacija </w:t>
      </w:r>
      <w:proofErr w:type="spellStart"/>
      <w:r>
        <w:t>transformativnih</w:t>
      </w:r>
      <w:proofErr w:type="spellEnd"/>
      <w:r>
        <w:t xml:space="preserve"> zmogljivosti kulturnih in ustvarjalnih sektorjev, panog in ustanov, da navdihujejo in opolnomočijo družbe za resno podnebno ukrepanje ter spodbujanje vseh zainteresiranih strani s področja kulture, da dejavno prispevajo k regionalnim, nacionalnim in lokalnim zavezam in prizadevanjem za reševanje svetovnih </w:t>
      </w:r>
      <w:proofErr w:type="spellStart"/>
      <w:r>
        <w:t>okoljskih</w:t>
      </w:r>
      <w:proofErr w:type="spellEnd"/>
      <w:r>
        <w:t xml:space="preserve"> izzivov in doseganje ciljev trajnostnega razvoja.</w:t>
      </w:r>
    </w:p>
    <w:p w14:paraId="3180ED63" w14:textId="77777777" w:rsidR="00785488" w:rsidRDefault="00000000">
      <w:pPr>
        <w:pStyle w:val="Heading40"/>
        <w:keepNext/>
        <w:keepLines/>
        <w:numPr>
          <w:ilvl w:val="0"/>
          <w:numId w:val="2"/>
        </w:numPr>
        <w:shd w:val="clear" w:color="auto" w:fill="auto"/>
        <w:tabs>
          <w:tab w:val="left" w:pos="700"/>
        </w:tabs>
      </w:pPr>
      <w:bookmarkStart w:id="12" w:name="bookmark12"/>
      <w:r>
        <w:t>Kultura, dediščina in krizne razmere</w:t>
      </w:r>
      <w:bookmarkEnd w:id="12"/>
    </w:p>
    <w:p w14:paraId="3A1FCAAE" w14:textId="77777777" w:rsidR="00785488" w:rsidRDefault="00000000">
      <w:pPr>
        <w:pStyle w:val="Telobesedila"/>
        <w:numPr>
          <w:ilvl w:val="0"/>
          <w:numId w:val="3"/>
        </w:numPr>
        <w:shd w:val="clear" w:color="auto" w:fill="auto"/>
        <w:tabs>
          <w:tab w:val="left" w:pos="1018"/>
        </w:tabs>
        <w:ind w:left="1020" w:right="180" w:hanging="360"/>
      </w:pPr>
      <w:r>
        <w:t>Varovanje naravne in kulturne dediščine, tako snovne kot nesnovne, vključno z digitalnimi oblikami, ter raznolikosti kulturnih izrazov v kriznih razmerah, povezanih zlasti z oboroženimi spopadi, v povezavi z UNESCOVO Haaško konvencijo iz leta 1954, nesrečami ali prisilnimi razselitvami.</w:t>
      </w:r>
    </w:p>
    <w:p w14:paraId="70AF3546" w14:textId="77777777" w:rsidR="00785488" w:rsidRDefault="00000000">
      <w:pPr>
        <w:pStyle w:val="Telobesedila"/>
        <w:numPr>
          <w:ilvl w:val="0"/>
          <w:numId w:val="3"/>
        </w:numPr>
        <w:shd w:val="clear" w:color="auto" w:fill="auto"/>
        <w:tabs>
          <w:tab w:val="left" w:pos="1018"/>
        </w:tabs>
        <w:ind w:left="1020" w:right="180" w:hanging="360"/>
      </w:pPr>
      <w:r>
        <w:t>Vključevanje določb, povezanih s kulturo in kulturno dediščino, v procese pripravljenosti na naravne nesreče, krizno upravljanje ter obnovo in okrevanje po krizah.</w:t>
      </w:r>
    </w:p>
    <w:p w14:paraId="0C9BA3E3" w14:textId="77777777" w:rsidR="00785488" w:rsidRDefault="00000000">
      <w:pPr>
        <w:pStyle w:val="Telobesedila"/>
        <w:numPr>
          <w:ilvl w:val="0"/>
          <w:numId w:val="3"/>
        </w:numPr>
        <w:shd w:val="clear" w:color="auto" w:fill="auto"/>
        <w:tabs>
          <w:tab w:val="left" w:pos="1018"/>
        </w:tabs>
        <w:ind w:left="1020" w:right="180" w:hanging="360"/>
      </w:pPr>
      <w:r>
        <w:t>Nadaljevanje boja proti nedovoljeni trgovini s kulturnimi dobrinami z integriranimi in primernimi politikami ter financiranjem, ob hkratnem spodbujanju sodelovanja ter podpiranju ratifikacije in učinkovitega izvajanja UNESCOVE konvencije iz leta 1970.</w:t>
      </w:r>
    </w:p>
    <w:p w14:paraId="49EAECD8" w14:textId="77777777" w:rsidR="00785488" w:rsidRDefault="00000000">
      <w:pPr>
        <w:pStyle w:val="Telobesedila"/>
        <w:numPr>
          <w:ilvl w:val="0"/>
          <w:numId w:val="3"/>
        </w:numPr>
        <w:shd w:val="clear" w:color="auto" w:fill="auto"/>
        <w:tabs>
          <w:tab w:val="left" w:pos="1018"/>
        </w:tabs>
        <w:ind w:left="1020" w:right="180" w:hanging="360"/>
      </w:pPr>
      <w:r>
        <w:t>Zaščita umetnikov, kulturnih delavcev in ustanov v času konfliktov, naravnih nesreč ali prisilnih razselitev z zagotavljanjem podpornih mehanizmov, ki varujejo njihovo varnost in zagotavljajo kontinuiteto kulturnega izražanja.</w:t>
      </w:r>
    </w:p>
    <w:p w14:paraId="548CE8D8" w14:textId="77777777" w:rsidR="00785488" w:rsidRDefault="00000000">
      <w:pPr>
        <w:pStyle w:val="Telobesedila"/>
        <w:numPr>
          <w:ilvl w:val="0"/>
          <w:numId w:val="3"/>
        </w:numPr>
        <w:shd w:val="clear" w:color="auto" w:fill="auto"/>
        <w:tabs>
          <w:tab w:val="left" w:pos="1018"/>
        </w:tabs>
        <w:spacing w:after="240"/>
        <w:ind w:left="1020" w:right="180" w:hanging="360"/>
      </w:pPr>
      <w:r>
        <w:t>Podpiranje razvijanja znanja in podatkov o kulturi v kriznih razmerah z vključevanjem akademskih in raziskovalnih ustanov ter mrež.</w:t>
      </w:r>
    </w:p>
    <w:p w14:paraId="3CCD8029" w14:textId="77777777" w:rsidR="00785488" w:rsidRDefault="00000000">
      <w:pPr>
        <w:pStyle w:val="Heading40"/>
        <w:keepNext/>
        <w:keepLines/>
        <w:numPr>
          <w:ilvl w:val="0"/>
          <w:numId w:val="2"/>
        </w:numPr>
        <w:shd w:val="clear" w:color="auto" w:fill="auto"/>
        <w:tabs>
          <w:tab w:val="left" w:pos="700"/>
        </w:tabs>
        <w:ind w:left="360"/>
      </w:pPr>
      <w:bookmarkStart w:id="13" w:name="bookmark13"/>
      <w:r>
        <w:t>Digitalna preobrazba in pravičen dostop</w:t>
      </w:r>
      <w:bookmarkEnd w:id="13"/>
    </w:p>
    <w:p w14:paraId="32BA68A1" w14:textId="77777777" w:rsidR="00785488" w:rsidRDefault="00000000">
      <w:pPr>
        <w:pStyle w:val="Telobesedila"/>
        <w:numPr>
          <w:ilvl w:val="0"/>
          <w:numId w:val="3"/>
        </w:numPr>
        <w:shd w:val="clear" w:color="auto" w:fill="auto"/>
        <w:tabs>
          <w:tab w:val="left" w:pos="1018"/>
        </w:tabs>
        <w:ind w:left="1020" w:right="180" w:hanging="360"/>
      </w:pPr>
      <w:r>
        <w:t>Spodbujanje na človeka osredinjenega in na človekovih pravicah temelječega pristopa k digitalnemu okolju, ki spoštuje kulturne pravice, spodbuja pravičnost in dostopnost, se zavzema za raznolikost kulturnih izrazov, tudi z možnostjo odkrivanja nacionalnih in lokalnih vsebin na digitalnih platformah, ter zagotavlja večjezične vsebine in sisteme.</w:t>
      </w:r>
    </w:p>
    <w:p w14:paraId="344CCA1F" w14:textId="77777777" w:rsidR="00785488" w:rsidRDefault="00000000">
      <w:pPr>
        <w:pStyle w:val="Telobesedila"/>
        <w:numPr>
          <w:ilvl w:val="0"/>
          <w:numId w:val="3"/>
        </w:numPr>
        <w:shd w:val="clear" w:color="auto" w:fill="auto"/>
        <w:tabs>
          <w:tab w:val="left" w:pos="1018"/>
        </w:tabs>
        <w:ind w:left="1020" w:right="180" w:hanging="360"/>
      </w:pPr>
      <w:r>
        <w:t>Prizadevanje za digitalno preobrazbo kulture s podpiranjem pravičnega dostopa do digitalnih tehnologij, vključno z infrastrukturo in povezljivostjo, financiranjem in krepitvijo spretnosti.</w:t>
      </w:r>
    </w:p>
    <w:p w14:paraId="00F2D4BE" w14:textId="77777777" w:rsidR="00785488" w:rsidRDefault="00000000">
      <w:pPr>
        <w:pStyle w:val="Telobesedila"/>
        <w:numPr>
          <w:ilvl w:val="0"/>
          <w:numId w:val="3"/>
        </w:numPr>
        <w:shd w:val="clear" w:color="auto" w:fill="auto"/>
        <w:tabs>
          <w:tab w:val="left" w:pos="1018"/>
        </w:tabs>
        <w:ind w:left="1020" w:right="180" w:hanging="360"/>
      </w:pPr>
      <w:r>
        <w:t>Razvoj integriranih politik, ki spodbujajo pravične naložbe v vključujočo digitalno infrastrukturo in dostop, da bi odpravili digitalne ločnice ter spodbujali digitalno vključenost, medijsko pismenost in svobodo izražanja.</w:t>
      </w:r>
    </w:p>
    <w:p w14:paraId="7ED82974" w14:textId="77777777" w:rsidR="00785488" w:rsidRDefault="00000000">
      <w:pPr>
        <w:pStyle w:val="Telobesedila"/>
        <w:numPr>
          <w:ilvl w:val="0"/>
          <w:numId w:val="3"/>
        </w:numPr>
        <w:shd w:val="clear" w:color="auto" w:fill="auto"/>
        <w:tabs>
          <w:tab w:val="left" w:pos="1018"/>
        </w:tabs>
        <w:ind w:left="1020" w:right="180" w:hanging="360"/>
      </w:pPr>
      <w:r>
        <w:t>Zaščita pravic umetnikov in ustvarjalcev, vključno z avtorji, izvajalci, interpreti in imetniki pravic v digitalnih okoljih, ter zaščita njihovih pravic intelektualne lastnine, kot so avtorske in sorodne pravice.</w:t>
      </w:r>
    </w:p>
    <w:p w14:paraId="45BB3C54" w14:textId="77777777" w:rsidR="00785488" w:rsidRDefault="00000000">
      <w:pPr>
        <w:pStyle w:val="Telobesedila"/>
        <w:numPr>
          <w:ilvl w:val="0"/>
          <w:numId w:val="3"/>
        </w:numPr>
        <w:shd w:val="clear" w:color="auto" w:fill="auto"/>
        <w:tabs>
          <w:tab w:val="left" w:pos="1018"/>
        </w:tabs>
        <w:spacing w:after="240"/>
        <w:ind w:left="1020" w:right="180" w:hanging="360"/>
      </w:pPr>
      <w:r>
        <w:t xml:space="preserve">Boj proti zlorabam v digitalnih okoljih, ki vplivajo na kulturo, vključno s kibernetskimi napadi, dezinformacijami, </w:t>
      </w:r>
      <w:proofErr w:type="spellStart"/>
      <w:r>
        <w:t>diskriminatornimi</w:t>
      </w:r>
      <w:proofErr w:type="spellEnd"/>
      <w:r>
        <w:t xml:space="preserve"> praksami in neetično uporabo umetne inteligence.</w:t>
      </w:r>
    </w:p>
    <w:p w14:paraId="3B064B31" w14:textId="77777777" w:rsidR="00785488" w:rsidRDefault="00000000">
      <w:pPr>
        <w:pStyle w:val="Heading40"/>
        <w:keepNext/>
        <w:keepLines/>
        <w:numPr>
          <w:ilvl w:val="0"/>
          <w:numId w:val="2"/>
        </w:numPr>
        <w:shd w:val="clear" w:color="auto" w:fill="auto"/>
        <w:tabs>
          <w:tab w:val="left" w:pos="700"/>
        </w:tabs>
        <w:spacing w:line="286" w:lineRule="auto"/>
        <w:ind w:left="360"/>
      </w:pPr>
      <w:bookmarkStart w:id="14" w:name="bookmark14"/>
      <w:r>
        <w:t>Umetna inteligenca in kultura</w:t>
      </w:r>
      <w:bookmarkEnd w:id="14"/>
    </w:p>
    <w:p w14:paraId="7B7F671F" w14:textId="77777777" w:rsidR="00785488" w:rsidRDefault="00000000">
      <w:pPr>
        <w:pStyle w:val="Telobesedila"/>
        <w:numPr>
          <w:ilvl w:val="0"/>
          <w:numId w:val="3"/>
        </w:numPr>
        <w:shd w:val="clear" w:color="auto" w:fill="auto"/>
        <w:tabs>
          <w:tab w:val="left" w:pos="1018"/>
        </w:tabs>
        <w:spacing w:line="269" w:lineRule="auto"/>
        <w:ind w:left="1020" w:hanging="360"/>
      </w:pPr>
      <w:r>
        <w:t>Uporaba umetne inteligence za podporo varovanju in razširjanju kulturne dediščine ter za širši dostop do kulture.</w:t>
      </w:r>
    </w:p>
    <w:p w14:paraId="61A405AC" w14:textId="77777777" w:rsidR="00785488" w:rsidRDefault="00000000">
      <w:pPr>
        <w:pStyle w:val="Telobesedila"/>
        <w:numPr>
          <w:ilvl w:val="0"/>
          <w:numId w:val="3"/>
        </w:numPr>
        <w:shd w:val="clear" w:color="auto" w:fill="auto"/>
        <w:tabs>
          <w:tab w:val="left" w:pos="1018"/>
        </w:tabs>
        <w:ind w:left="1020" w:right="180" w:hanging="360"/>
      </w:pPr>
      <w:r>
        <w:t>Spodbujanje odgovorne uporabe, razvoja in upravljanja sistemov umetne inteligence, ki temeljijo na človekovih pravicah, so zaupanja vredni, etični, pregledni, varni, trajnostni in obravnavajo pristranskost, vključno s tistimi, ki vplivajo na enakost spolov.</w:t>
      </w:r>
    </w:p>
    <w:p w14:paraId="6C7A8999" w14:textId="77777777" w:rsidR="00785488" w:rsidRDefault="00000000">
      <w:pPr>
        <w:pStyle w:val="Telobesedila"/>
        <w:numPr>
          <w:ilvl w:val="0"/>
          <w:numId w:val="3"/>
        </w:numPr>
        <w:shd w:val="clear" w:color="auto" w:fill="auto"/>
        <w:tabs>
          <w:tab w:val="left" w:pos="1018"/>
        </w:tabs>
        <w:ind w:left="1020" w:right="180" w:hanging="360"/>
      </w:pPr>
      <w:r>
        <w:t>Razvoj umetne inteligence za spodbujanje človeške ustvarjalnosti in podpiranje ustvarjanja, odkrivanja, razpoložljivosti, dostopnosti, kulturnega ohranjanja in izmenjave raznolikih in večjezičnih kulturnih vsebin človeškega ustvarjanja, vključno z digitalno kulturno dediščino.</w:t>
      </w:r>
    </w:p>
    <w:p w14:paraId="33FDA4EC" w14:textId="77777777" w:rsidR="00785488" w:rsidRDefault="00000000">
      <w:pPr>
        <w:pStyle w:val="Telobesedila"/>
        <w:numPr>
          <w:ilvl w:val="0"/>
          <w:numId w:val="3"/>
        </w:numPr>
        <w:shd w:val="clear" w:color="auto" w:fill="auto"/>
        <w:tabs>
          <w:tab w:val="left" w:pos="1018"/>
        </w:tabs>
        <w:ind w:left="1020" w:right="180" w:hanging="360"/>
      </w:pPr>
      <w:r>
        <w:t>Spodbujanje plodnega sodelovanja kulture pri razvoju politike in sistema umetne inteligence na nacionalni in mednarodni ravni.</w:t>
      </w:r>
    </w:p>
    <w:p w14:paraId="24ACD2C5" w14:textId="20A97B81" w:rsidR="00785488" w:rsidRDefault="00000000">
      <w:pPr>
        <w:pStyle w:val="Telobesedila"/>
        <w:numPr>
          <w:ilvl w:val="0"/>
          <w:numId w:val="3"/>
        </w:numPr>
        <w:shd w:val="clear" w:color="auto" w:fill="auto"/>
        <w:tabs>
          <w:tab w:val="left" w:pos="1018"/>
        </w:tabs>
        <w:ind w:left="1020" w:right="180" w:hanging="360"/>
      </w:pPr>
      <w:r>
        <w:t xml:space="preserve">Zagotavljanje </w:t>
      </w:r>
      <w:r w:rsidR="007E7A9F">
        <w:t>prepoznavanja</w:t>
      </w:r>
      <w:r>
        <w:t xml:space="preserve"> in ustreznega varstva pravic intelektualne lastnine, vključno z avtorskimi in sorodnimi pravicami, ob hkratnem varovanje kulturne raznolikosti in prispevkov umetnikov, ustvarjalcev, nosilcev, skupnosti in kulturnih delavcev v kontekstu umetne inteligence.</w:t>
      </w:r>
    </w:p>
    <w:p w14:paraId="151E8BA9" w14:textId="77777777" w:rsidR="00785488" w:rsidRDefault="00000000">
      <w:pPr>
        <w:pStyle w:val="Telobesedila"/>
        <w:shd w:val="clear" w:color="auto" w:fill="auto"/>
        <w:spacing w:after="240"/>
        <w:ind w:left="1000" w:right="180" w:hanging="340"/>
        <w:rPr>
          <w:sz w:val="17"/>
          <w:szCs w:val="17"/>
        </w:rPr>
      </w:pPr>
      <w:r>
        <w:t>Podpiranje pristopa k umetni inteligenci v kulturi, ki z izobraževanjem, raziskavami in inovacijami krepi človekovo delovanje, je pregleden in varuje človekovo pravico, da sodeluje v kulturnem življenju, vključno s pravicami avtohtonih ljudstev, ljudi afriškega porekla, lokalnih skupnosti, manjšin in ranljivih skupin</w:t>
      </w:r>
      <w:r>
        <w:rPr>
          <w:sz w:val="17"/>
        </w:rPr>
        <w:t>.</w:t>
      </w:r>
    </w:p>
    <w:p w14:paraId="4FE09FCB" w14:textId="77777777" w:rsidR="00785488" w:rsidRDefault="00000000">
      <w:pPr>
        <w:pStyle w:val="Heading40"/>
        <w:keepNext/>
        <w:keepLines/>
        <w:numPr>
          <w:ilvl w:val="0"/>
          <w:numId w:val="2"/>
        </w:numPr>
        <w:shd w:val="clear" w:color="auto" w:fill="auto"/>
        <w:tabs>
          <w:tab w:val="left" w:pos="860"/>
        </w:tabs>
        <w:ind w:left="500"/>
      </w:pPr>
      <w:bookmarkStart w:id="15" w:name="bookmark15"/>
      <w:r>
        <w:t>Kulturni podatki, dokazi in raziskave</w:t>
      </w:r>
      <w:bookmarkEnd w:id="15"/>
    </w:p>
    <w:p w14:paraId="775F20EF" w14:textId="77777777" w:rsidR="00785488" w:rsidRDefault="00000000">
      <w:pPr>
        <w:pStyle w:val="Telobesedila"/>
        <w:numPr>
          <w:ilvl w:val="0"/>
          <w:numId w:val="3"/>
        </w:numPr>
        <w:shd w:val="clear" w:color="auto" w:fill="auto"/>
        <w:tabs>
          <w:tab w:val="left" w:pos="1024"/>
        </w:tabs>
        <w:ind w:left="1000" w:right="180" w:hanging="340"/>
      </w:pPr>
      <w:r>
        <w:t xml:space="preserve">Krepitev vključujočih, </w:t>
      </w:r>
      <w:proofErr w:type="spellStart"/>
      <w:r>
        <w:t>transdisciplinarnih</w:t>
      </w:r>
      <w:proofErr w:type="spellEnd"/>
      <w:r>
        <w:t>, odprtih in suverenih sistemov za redno zbiranje, standardizacijo, analizo in primerjavo kakovostnih podatkov o kulturi, tako kvalitativnih kot kvantitativnih, za podporo razvoju in vrednotenju politik.</w:t>
      </w:r>
    </w:p>
    <w:p w14:paraId="177F6A23" w14:textId="77777777" w:rsidR="00785488" w:rsidRDefault="00000000">
      <w:pPr>
        <w:pStyle w:val="Telobesedila"/>
        <w:numPr>
          <w:ilvl w:val="0"/>
          <w:numId w:val="3"/>
        </w:numPr>
        <w:shd w:val="clear" w:color="auto" w:fill="auto"/>
        <w:tabs>
          <w:tab w:val="left" w:pos="1024"/>
        </w:tabs>
        <w:ind w:left="1000" w:right="180" w:hanging="340"/>
      </w:pPr>
      <w:r>
        <w:t xml:space="preserve">Spodbujanje svetovnega okvira kulturnih kazalnikov, ki bo temeljil na prejšnjih povezanih prizadevanjih za merjenje vpliva kulture, vključno z njenim prispevkom k trajnostnemu razvoju, in spodbujanje skupnih infrastruktur kulturnih </w:t>
      </w:r>
      <w:r>
        <w:lastRenderedPageBreak/>
        <w:t xml:space="preserve">podatkov, da bi omogočili </w:t>
      </w:r>
      <w:proofErr w:type="spellStart"/>
      <w:r>
        <w:t>interoperabilnost</w:t>
      </w:r>
      <w:proofErr w:type="spellEnd"/>
      <w:r>
        <w:t>, sodelovanje in inovacije po državah.</w:t>
      </w:r>
    </w:p>
    <w:p w14:paraId="0E177731" w14:textId="77777777" w:rsidR="00785488" w:rsidRDefault="00000000">
      <w:pPr>
        <w:pStyle w:val="Telobesedila"/>
        <w:numPr>
          <w:ilvl w:val="0"/>
          <w:numId w:val="3"/>
        </w:numPr>
        <w:shd w:val="clear" w:color="auto" w:fill="auto"/>
        <w:tabs>
          <w:tab w:val="left" w:pos="1024"/>
        </w:tabs>
        <w:ind w:left="1000" w:right="180" w:hanging="340"/>
      </w:pPr>
      <w:r>
        <w:t>Spodbujanje interdisciplinarnih raziskav in sodelovanja, nacionalnega in mednarodnega, med akterji kulturnih in kreativnih ekosistemov ter ustanovami, povezanimi z raziskavami.</w:t>
      </w:r>
    </w:p>
    <w:p w14:paraId="3544484D" w14:textId="77777777" w:rsidR="00785488" w:rsidRDefault="00000000">
      <w:pPr>
        <w:pStyle w:val="Telobesedila"/>
        <w:numPr>
          <w:ilvl w:val="0"/>
          <w:numId w:val="3"/>
        </w:numPr>
        <w:shd w:val="clear" w:color="auto" w:fill="auto"/>
        <w:tabs>
          <w:tab w:val="left" w:pos="1024"/>
        </w:tabs>
        <w:ind w:left="1000" w:right="180" w:hanging="340"/>
      </w:pPr>
      <w:r>
        <w:t>Zagotavljanje etične uporabe podatkov o kulturi, spoštovanje človekove pravice do uživanja kulture in uživanja koristi od kulture ter varovanje zasebnosti in osebnih podatkov ter tradicionalnega znanja.</w:t>
      </w:r>
    </w:p>
    <w:p w14:paraId="17967FFA" w14:textId="77777777" w:rsidR="00785488" w:rsidRDefault="00000000">
      <w:pPr>
        <w:pStyle w:val="Telobesedila"/>
        <w:numPr>
          <w:ilvl w:val="0"/>
          <w:numId w:val="3"/>
        </w:numPr>
        <w:shd w:val="clear" w:color="auto" w:fill="auto"/>
        <w:tabs>
          <w:tab w:val="left" w:pos="1024"/>
        </w:tabs>
        <w:spacing w:after="240"/>
        <w:ind w:left="1000" w:right="180" w:hanging="340"/>
        <w:rPr>
          <w:sz w:val="17"/>
          <w:szCs w:val="17"/>
        </w:rPr>
      </w:pPr>
      <w:r>
        <w:t>Izboljšanje znanja o stanju in razvoju pritiskov in kumulativnih vplivov na kulturo in dediščino, snovno, nesnovno in naravno, da bo bolje zaščitena pred svetovnimi izzivi</w:t>
      </w:r>
      <w:r>
        <w:rPr>
          <w:i/>
          <w:sz w:val="17"/>
        </w:rPr>
        <w:t>.</w:t>
      </w:r>
    </w:p>
    <w:p w14:paraId="03B850AC" w14:textId="77777777" w:rsidR="00785488" w:rsidRDefault="00000000">
      <w:pPr>
        <w:pStyle w:val="Telobesedila"/>
        <w:shd w:val="clear" w:color="auto" w:fill="auto"/>
        <w:spacing w:after="240" w:line="269" w:lineRule="auto"/>
        <w:ind w:left="300" w:right="180"/>
        <w:rPr>
          <w:sz w:val="19"/>
          <w:szCs w:val="19"/>
        </w:rPr>
      </w:pPr>
      <w:r>
        <w:rPr>
          <w:i/>
          <w:sz w:val="19"/>
        </w:rPr>
        <w:t>V razpravah, ki so potekale med konferencama MONDIACULT 2022 in 2025, je bilo poudarjeno, da je kultura nepogrešljiv dejavnik trajnostnega razvoja in tista, ki ga omogoča, ter da jo je treba vključiti vanj kot sestavni del in steber. To sporočilo prenašajo ustanove, strokovnjaki, skupnosti in civilna družba po vsem svetu. Brez kulture ni prihodnosti. Pozivamo k nujnemu ukrepanju, da se obravnavajo izzivi, ki so skupni vsem državam, pa tudi tisti, ki so si podobni, zlasti v multilateralnem okviru. Le s skupnim delovanjem lahko koherentno in učinkovito napredujemo pri oblikovanju bolj odporne in vključujoče prihodnosti, v kateri bo kultura sestavni del človekovega razvoja.</w:t>
      </w:r>
    </w:p>
    <w:p w14:paraId="50FB8876" w14:textId="77777777" w:rsidR="00785488" w:rsidRDefault="00000000">
      <w:pPr>
        <w:pStyle w:val="Telobesedila"/>
        <w:shd w:val="clear" w:color="auto" w:fill="auto"/>
        <w:spacing w:after="120" w:line="269" w:lineRule="auto"/>
        <w:ind w:left="300" w:right="180"/>
        <w:rPr>
          <w:sz w:val="19"/>
          <w:szCs w:val="19"/>
        </w:rPr>
      </w:pPr>
      <w:r>
        <w:rPr>
          <w:i/>
          <w:sz w:val="19"/>
        </w:rPr>
        <w:t xml:space="preserve">Mi, ministri in organi, pristojni za kulturo, zbrani v Barceloni, potrjujemo svojo zavezo k okrepljenemu </w:t>
      </w:r>
      <w:proofErr w:type="spellStart"/>
      <w:r>
        <w:rPr>
          <w:i/>
          <w:sz w:val="19"/>
        </w:rPr>
        <w:t>multilateralizmu</w:t>
      </w:r>
      <w:proofErr w:type="spellEnd"/>
      <w:r>
        <w:rPr>
          <w:i/>
          <w:sz w:val="19"/>
        </w:rPr>
        <w:t>, v katerem je kultura temelj svetovnega sodelovanja, solidarnosti in spoštovanja človekovih pravic. Zavezujemo se izvajanju ukrepov, politik, virov in mehanizmov, ki so potrebni, da kultura postane steber trajnostnega razvoja. Gradimo na temeljih deklaracije MONDIACULT 2022 in spodbujamo UNESCO, da si skupaj z državami članicami, pridruženimi članicami in zainteresiranimi stranmi še naprej prizadeva za krepitev in prilagajanje svojih kulturnih politik sodobnim izzivom ter se celovito vključi kulturo v miroljuben in trajnostni razvoj ter prihodnje agende.</w:t>
      </w:r>
    </w:p>
    <w:sectPr w:rsidR="00785488">
      <w:headerReference w:type="default" r:id="rId9"/>
      <w:footerReference w:type="default" r:id="rId10"/>
      <w:pgSz w:w="12240" w:h="15840"/>
      <w:pgMar w:top="1220" w:right="821" w:bottom="926" w:left="7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B0659" w14:textId="77777777" w:rsidR="00B9700D" w:rsidRDefault="00B9700D">
      <w:r>
        <w:separator/>
      </w:r>
    </w:p>
  </w:endnote>
  <w:endnote w:type="continuationSeparator" w:id="0">
    <w:p w14:paraId="5EAA0CF5" w14:textId="77777777" w:rsidR="00B9700D" w:rsidRDefault="00B9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43693" w14:textId="77777777" w:rsidR="00785488" w:rsidRDefault="00000000">
    <w:pPr>
      <w:spacing w:line="14" w:lineRule="exact"/>
    </w:pPr>
    <w:r>
      <w:rPr>
        <w:noProof/>
      </w:rPr>
      <mc:AlternateContent>
        <mc:Choice Requires="wps">
          <w:drawing>
            <wp:anchor distT="0" distB="0" distL="0" distR="0" simplePos="0" relativeHeight="62914694" behindDoc="1" locked="0" layoutInCell="1" allowOverlap="1" wp14:anchorId="242D5C7E" wp14:editId="7B420F7B">
              <wp:simplePos x="0" y="0"/>
              <wp:positionH relativeFrom="page">
                <wp:posOffset>3867785</wp:posOffset>
              </wp:positionH>
              <wp:positionV relativeFrom="page">
                <wp:posOffset>9533890</wp:posOffset>
              </wp:positionV>
              <wp:extent cx="73025" cy="128270"/>
              <wp:effectExtent l="0" t="0" r="0" b="0"/>
              <wp:wrapNone/>
              <wp:docPr id="13" name="Shape 13"/>
              <wp:cNvGraphicFramePr/>
              <a:graphic xmlns:a="http://schemas.openxmlformats.org/drawingml/2006/main">
                <a:graphicData uri="http://schemas.microsoft.com/office/word/2010/wordprocessingShape">
                  <wps:wsp>
                    <wps:cNvSpPr txBox="1"/>
                    <wps:spPr>
                      <a:xfrm>
                        <a:off x="0" y="0"/>
                        <a:ext cx="73025" cy="128270"/>
                      </a:xfrm>
                      <a:prstGeom prst="rect">
                        <a:avLst/>
                      </a:prstGeom>
                      <a:noFill/>
                    </wps:spPr>
                    <wps:txbx>
                      <w:txbxContent>
                        <w:p w14:paraId="6B40938E" w14:textId="77777777" w:rsidR="00785488" w:rsidRDefault="00000000">
                          <w:pPr>
                            <w:pStyle w:val="Headerorfooter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242D5C7E" id="_x0000_t202" coordsize="21600,21600" o:spt="202" path="m,l,21600r21600,l21600,xe">
              <v:stroke joinstyle="miter"/>
              <v:path gradientshapeok="t" o:connecttype="rect"/>
            </v:shapetype>
            <v:shape id="Shape 13" o:spid="_x0000_s1029" type="#_x0000_t202" style="position:absolute;margin-left:304.55pt;margin-top:750.7pt;width:5.75pt;height:10.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" filled="f" stroked="f">
              <v:textbox style="mso-fit-shape-to-text:t" inset="0,0,0,0">
                <w:txbxContent>
                  <w:p w14:paraId="6B40938E" w14:textId="77777777" w:rsidR="00785488" w:rsidRDefault="00000000">
                    <w:pPr>
                      <w:pStyle w:val="Headerorfooter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CF0C" w14:textId="77777777" w:rsidR="00B9700D" w:rsidRDefault="00B9700D"/>
  </w:footnote>
  <w:footnote w:type="continuationSeparator" w:id="0">
    <w:p w14:paraId="1D27AFDC" w14:textId="77777777" w:rsidR="00B9700D" w:rsidRDefault="00B97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989E" w14:textId="77777777" w:rsidR="00785488" w:rsidRDefault="00000000">
    <w:pPr>
      <w:spacing w:line="14" w:lineRule="exact"/>
    </w:pPr>
    <w:r>
      <w:rPr>
        <w:noProof/>
      </w:rPr>
      <mc:AlternateContent>
        <mc:Choice Requires="wps">
          <w:drawing>
            <wp:anchor distT="0" distB="0" distL="0" distR="0" simplePos="0" relativeHeight="62914690" behindDoc="1" locked="0" layoutInCell="1" allowOverlap="1" wp14:anchorId="4D847BA1" wp14:editId="6E87B011">
              <wp:simplePos x="0" y="0"/>
              <wp:positionH relativeFrom="page">
                <wp:posOffset>707390</wp:posOffset>
              </wp:positionH>
              <wp:positionV relativeFrom="page">
                <wp:posOffset>210820</wp:posOffset>
              </wp:positionV>
              <wp:extent cx="509270" cy="341630"/>
              <wp:effectExtent l="0" t="0" r="0" b="0"/>
              <wp:wrapNone/>
              <wp:docPr id="7" name="Shape 7"/>
              <wp:cNvGraphicFramePr/>
              <a:graphic xmlns:a="http://schemas.openxmlformats.org/drawingml/2006/main">
                <a:graphicData uri="http://schemas.microsoft.com/office/word/2010/wordprocessingShape">
                  <wps:wsp>
                    <wps:cNvSpPr txBox="1"/>
                    <wps:spPr>
                      <a:xfrm>
                        <a:off x="0" y="0"/>
                        <a:ext cx="509270" cy="341630"/>
                      </a:xfrm>
                      <a:prstGeom prst="rect">
                        <a:avLst/>
                      </a:prstGeom>
                      <a:noFill/>
                    </wps:spPr>
                    <wps:txbx>
                      <w:txbxContent>
                        <w:p w14:paraId="0317EC10" w14:textId="77777777" w:rsidR="00785488" w:rsidRDefault="00000000">
                          <w:pPr>
                            <w:rPr>
                              <w:sz w:val="2"/>
                              <w:szCs w:val="2"/>
                            </w:rPr>
                          </w:pPr>
                          <w:r>
                            <w:rPr>
                              <w:noProof/>
                            </w:rPr>
                            <w:drawing>
                              <wp:inline distT="0" distB="0" distL="0" distR="0" wp14:anchorId="53DFC208" wp14:editId="4A23A1DE">
                                <wp:extent cx="511810" cy="34163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511810" cy="341630"/>
                                        </a:xfrm>
                                        <a:prstGeom prst="rect">
                                          <a:avLst/>
                                        </a:prstGeom>
                                      </pic:spPr>
                                    </pic:pic>
                                  </a:graphicData>
                                </a:graphic>
                              </wp:inline>
                            </w:drawing>
                          </w:r>
                        </w:p>
                      </w:txbxContent>
                    </wps:txbx>
                    <wps:bodyPr lIns="0" tIns="0" rIns="0" bIns="0"/>
                  </wps:wsp>
                </a:graphicData>
              </a:graphic>
            </wp:anchor>
          </w:drawing>
        </mc:Choice>
        <mc:Fallback>
          <w:pict>
            <v:shapetype w14:anchorId="4D847BA1" id="_x0000_t202" coordsize="21600,21600" o:spt="202" path="m,l,21600r21600,l21600,xe">
              <v:stroke joinstyle="miter"/>
              <v:path gradientshapeok="t" o:connecttype="rect"/>
            </v:shapetype>
            <v:shape id="Shape 7" o:spid="_x0000_s1027" type="#_x0000_t202" style="position:absolute;margin-left:55.7pt;margin-top:16.6pt;width:40.1pt;height:26.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" filled="f" stroked="f">
              <v:textbox inset="0,0,0,0">
                <w:txbxContent>
                  <w:p w14:paraId="0317EC10" w14:textId="77777777" w:rsidR="00785488" w:rsidRDefault="00000000">
                    <w:pPr>
                      <w:rPr>
                        <w:sz w:val="2"/>
                        <w:szCs w:val="2"/>
                      </w:rPr>
                    </w:pPr>
                    <w:r>
                      <w:rPr>
                        <w:noProof/>
                      </w:rPr>
                      <w:drawing>
                        <wp:inline distT="0" distB="0" distL="0" distR="0" wp14:anchorId="53DFC208" wp14:editId="4A23A1DE">
                          <wp:extent cx="511810" cy="34163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511810" cy="3416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667A818C" wp14:editId="04C8BDFE">
              <wp:simplePos x="0" y="0"/>
              <wp:positionH relativeFrom="page">
                <wp:posOffset>1316990</wp:posOffset>
              </wp:positionH>
              <wp:positionV relativeFrom="page">
                <wp:posOffset>307975</wp:posOffset>
              </wp:positionV>
              <wp:extent cx="1042670" cy="164465"/>
              <wp:effectExtent l="0" t="0" r="0" b="0"/>
              <wp:wrapNone/>
              <wp:docPr id="11" name="Shape 11"/>
              <wp:cNvGraphicFramePr/>
              <a:graphic xmlns:a="http://schemas.openxmlformats.org/drawingml/2006/main">
                <a:graphicData uri="http://schemas.microsoft.com/office/word/2010/wordprocessingShape">
                  <wps:wsp>
                    <wps:cNvSpPr txBox="1"/>
                    <wps:spPr>
                      <a:xfrm>
                        <a:off x="0" y="0"/>
                        <a:ext cx="1042670" cy="164465"/>
                      </a:xfrm>
                      <a:prstGeom prst="rect">
                        <a:avLst/>
                      </a:prstGeom>
                      <a:noFill/>
                    </wps:spPr>
                    <wps:txbx>
                      <w:txbxContent>
                        <w:p w14:paraId="55EFC4D8" w14:textId="77777777" w:rsidR="00785488" w:rsidRDefault="00000000">
                          <w:pPr>
                            <w:pStyle w:val="Headerorfooter20"/>
                            <w:shd w:val="clear" w:color="auto" w:fill="auto"/>
                            <w:rPr>
                              <w:sz w:val="48"/>
                              <w:szCs w:val="48"/>
                            </w:rPr>
                          </w:pPr>
                          <w:proofErr w:type="spellStart"/>
                          <w:r>
                            <w:rPr>
                              <w:rFonts w:ascii="Arial" w:hAnsi="Arial"/>
                              <w:b/>
                              <w:color w:val="0368B2"/>
                              <w:sz w:val="48"/>
                            </w:rPr>
                            <w:t>unesco</w:t>
                          </w:r>
                          <w:proofErr w:type="spellEnd"/>
                        </w:p>
                      </w:txbxContent>
                    </wps:txbx>
                    <wps:bodyPr wrap="none" lIns="0" tIns="0" rIns="0" bIns="0">
                      <a:spAutoFit/>
                    </wps:bodyPr>
                  </wps:wsp>
                </a:graphicData>
              </a:graphic>
            </wp:anchor>
          </w:drawing>
        </mc:Choice>
        <mc:Fallback>
          <w:pict>
            <v:shape w14:anchorId="667A818C" id="Shape 11" o:spid="_x0000_s1028" type="#_x0000_t202" style="position:absolute;margin-left:103.7pt;margin-top:24.25pt;width:82.1pt;height:12.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" filled="f" stroked="f">
              <v:textbox style="mso-fit-shape-to-text:t" inset="0,0,0,0">
                <w:txbxContent>
                  <w:p w14:paraId="55EFC4D8" w14:textId="77777777" w:rsidR="00785488" w:rsidRDefault="00000000">
                    <w:pPr>
                      <w:pStyle w:val="Headerorfooter20"/>
                      <w:shd w:val="clear" w:color="auto" w:fill="auto"/>
                      <w:rPr>
                        <w:sz w:val="48"/>
                        <w:szCs w:val="48"/>
                      </w:rPr>
                    </w:pPr>
                    <w:proofErr w:type="spellStart"/>
                    <w:r>
                      <w:rPr>
                        <w:rFonts w:ascii="Arial" w:hAnsi="Arial"/>
                        <w:b/>
                        <w:color w:val="0368B2"/>
                        <w:sz w:val="48"/>
                      </w:rPr>
                      <w:t>unesco</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60F"/>
    <w:multiLevelType w:val="multilevel"/>
    <w:tmpl w:val="E65AAA9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F2227C"/>
    <w:multiLevelType w:val="multilevel"/>
    <w:tmpl w:val="355C5A30"/>
    <w:lvl w:ilvl="0">
      <w:start w:val="1"/>
      <w:numFmt w:val="decimal"/>
      <w:lvlText w:val="%1."/>
      <w:lvlJc w:val="left"/>
      <w:rPr>
        <w:rFonts w:ascii="Arial" w:eastAsia="Arial" w:hAnsi="Arial" w:cs="Arial"/>
        <w:b/>
        <w:bCs/>
        <w:i w:val="0"/>
        <w:iCs w:val="0"/>
        <w:smallCaps w:val="0"/>
        <w:strike w:val="0"/>
        <w:color w:val="156082"/>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FC7FCF"/>
    <w:multiLevelType w:val="multilevel"/>
    <w:tmpl w:val="0486C14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2485922">
    <w:abstractNumId w:val="1"/>
  </w:num>
  <w:num w:numId="2" w16cid:durableId="1515925406">
    <w:abstractNumId w:val="0"/>
  </w:num>
  <w:num w:numId="3" w16cid:durableId="578904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88"/>
    <w:rsid w:val="00785488"/>
    <w:rsid w:val="007E7A9F"/>
    <w:rsid w:val="009003AB"/>
    <w:rsid w:val="00B970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1841"/>
  <w15:docId w15:val="{AE99D60C-4597-4903-9E26-D6DB6EDB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sl-SI"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odytext3">
    <w:name w:val="Body text (3)_"/>
    <w:basedOn w:val="Privzetapisavaodstavka"/>
    <w:link w:val="Bodytext30"/>
    <w:rPr>
      <w:rFonts w:ascii="Arial" w:eastAsia="Arial" w:hAnsi="Arial" w:cs="Arial"/>
      <w:b/>
      <w:bCs/>
      <w:i w:val="0"/>
      <w:iCs w:val="0"/>
      <w:smallCaps w:val="0"/>
      <w:strike w:val="0"/>
      <w:color w:val="EBEBEB"/>
      <w:sz w:val="52"/>
      <w:szCs w:val="52"/>
      <w:u w:val="none"/>
      <w:lang w:val="sl-SI" w:eastAsia="sl-SI" w:bidi="sl-SI"/>
    </w:rPr>
  </w:style>
  <w:style w:type="character" w:customStyle="1" w:styleId="Heading1">
    <w:name w:val="Heading #1_"/>
    <w:basedOn w:val="Privzetapisavaodstavka"/>
    <w:link w:val="Heading10"/>
    <w:rPr>
      <w:rFonts w:ascii="Arial" w:eastAsia="Arial" w:hAnsi="Arial" w:cs="Arial"/>
      <w:b/>
      <w:bCs/>
      <w:i w:val="0"/>
      <w:iCs w:val="0"/>
      <w:smallCaps w:val="0"/>
      <w:strike w:val="0"/>
      <w:color w:val="EBEBEB"/>
      <w:sz w:val="36"/>
      <w:szCs w:val="36"/>
      <w:u w:val="none"/>
      <w:lang w:val="sl-SI" w:eastAsia="sl-SI" w:bidi="sl-SI"/>
    </w:rPr>
  </w:style>
  <w:style w:type="character" w:customStyle="1" w:styleId="Heading2">
    <w:name w:val="Heading #2_"/>
    <w:basedOn w:val="Privzetapisavaodstavka"/>
    <w:link w:val="Heading20"/>
    <w:rPr>
      <w:rFonts w:ascii="Arial" w:eastAsia="Arial" w:hAnsi="Arial" w:cs="Arial"/>
      <w:b w:val="0"/>
      <w:bCs w:val="0"/>
      <w:i w:val="0"/>
      <w:iCs w:val="0"/>
      <w:smallCaps w:val="0"/>
      <w:strike w:val="0"/>
      <w:color w:val="EBEBEB"/>
      <w:sz w:val="30"/>
      <w:szCs w:val="30"/>
      <w:u w:val="none"/>
      <w:lang w:val="sl-SI" w:eastAsia="sl-SI" w:bidi="sl-SI"/>
    </w:rPr>
  </w:style>
  <w:style w:type="character" w:customStyle="1" w:styleId="Heading3">
    <w:name w:val="Heading #3_"/>
    <w:basedOn w:val="Privzetapisavaodstavka"/>
    <w:link w:val="Heading30"/>
    <w:rPr>
      <w:rFonts w:ascii="Arial" w:eastAsia="Arial" w:hAnsi="Arial" w:cs="Arial"/>
      <w:b/>
      <w:bCs/>
      <w:i w:val="0"/>
      <w:iCs w:val="0"/>
      <w:smallCaps w:val="0"/>
      <w:strike w:val="0"/>
      <w:color w:val="215E99"/>
      <w:sz w:val="20"/>
      <w:szCs w:val="20"/>
      <w:u w:val="none"/>
      <w:lang w:val="sl-SI" w:eastAsia="sl-SI" w:bidi="sl-SI"/>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color w:val="215E99"/>
      <w:sz w:val="20"/>
      <w:szCs w:val="20"/>
      <w:u w:val="none"/>
      <w:lang w:val="sl-SI" w:eastAsia="sl-SI" w:bidi="sl-SI"/>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18"/>
      <w:szCs w:val="18"/>
      <w:u w:val="none"/>
    </w:rPr>
  </w:style>
  <w:style w:type="character" w:customStyle="1" w:styleId="Heading4">
    <w:name w:val="Heading #4_"/>
    <w:basedOn w:val="Privzetapisavaodstavka"/>
    <w:link w:val="Heading40"/>
    <w:rPr>
      <w:rFonts w:ascii="Arial" w:eastAsia="Arial" w:hAnsi="Arial" w:cs="Arial"/>
      <w:b/>
      <w:bCs/>
      <w:i w:val="0"/>
      <w:iCs w:val="0"/>
      <w:smallCaps w:val="0"/>
      <w:strike w:val="0"/>
      <w:sz w:val="18"/>
      <w:szCs w:val="18"/>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lang w:val="sl-SI" w:eastAsia="sl-SI" w:bidi="sl-SI"/>
    </w:rPr>
  </w:style>
  <w:style w:type="paragraph" w:customStyle="1" w:styleId="Bodytext30">
    <w:name w:val="Body text (3)"/>
    <w:basedOn w:val="Navaden"/>
    <w:link w:val="Bodytext3"/>
    <w:pPr>
      <w:shd w:val="clear" w:color="auto" w:fill="FFFFFF"/>
    </w:pPr>
    <w:rPr>
      <w:rFonts w:ascii="Arial" w:eastAsia="Arial" w:hAnsi="Arial" w:cs="Arial"/>
      <w:b/>
      <w:bCs/>
      <w:color w:val="EBEBEB"/>
      <w:sz w:val="52"/>
      <w:szCs w:val="52"/>
      <w:lang w:eastAsia="sl-SI" w:bidi="sl-SI"/>
    </w:rPr>
  </w:style>
  <w:style w:type="paragraph" w:customStyle="1" w:styleId="Heading10">
    <w:name w:val="Heading #1"/>
    <w:basedOn w:val="Navaden"/>
    <w:link w:val="Heading1"/>
    <w:pPr>
      <w:shd w:val="clear" w:color="auto" w:fill="FFFFFF"/>
      <w:jc w:val="right"/>
      <w:outlineLvl w:val="0"/>
    </w:pPr>
    <w:rPr>
      <w:rFonts w:ascii="Arial" w:eastAsia="Arial" w:hAnsi="Arial" w:cs="Arial"/>
      <w:b/>
      <w:bCs/>
      <w:color w:val="EBEBEB"/>
      <w:sz w:val="36"/>
      <w:szCs w:val="36"/>
      <w:lang w:eastAsia="sl-SI" w:bidi="sl-SI"/>
    </w:rPr>
  </w:style>
  <w:style w:type="paragraph" w:customStyle="1" w:styleId="Heading20">
    <w:name w:val="Heading #2"/>
    <w:basedOn w:val="Navaden"/>
    <w:link w:val="Heading2"/>
    <w:pPr>
      <w:shd w:val="clear" w:color="auto" w:fill="FFFFFF"/>
      <w:spacing w:after="560"/>
      <w:jc w:val="right"/>
      <w:outlineLvl w:val="1"/>
    </w:pPr>
    <w:rPr>
      <w:rFonts w:ascii="Arial" w:eastAsia="Arial" w:hAnsi="Arial" w:cs="Arial"/>
      <w:color w:val="EBEBEB"/>
      <w:sz w:val="30"/>
      <w:szCs w:val="30"/>
      <w:lang w:eastAsia="sl-SI" w:bidi="sl-SI"/>
    </w:rPr>
  </w:style>
  <w:style w:type="paragraph" w:customStyle="1" w:styleId="Heading30">
    <w:name w:val="Heading #3"/>
    <w:basedOn w:val="Navaden"/>
    <w:link w:val="Heading3"/>
    <w:pPr>
      <w:shd w:val="clear" w:color="auto" w:fill="FFFFFF"/>
      <w:spacing w:after="130"/>
      <w:ind w:left="300"/>
      <w:jc w:val="both"/>
      <w:outlineLvl w:val="2"/>
    </w:pPr>
    <w:rPr>
      <w:rFonts w:ascii="Arial" w:eastAsia="Arial" w:hAnsi="Arial" w:cs="Arial"/>
      <w:b/>
      <w:bCs/>
      <w:color w:val="215E99"/>
      <w:sz w:val="20"/>
      <w:szCs w:val="20"/>
      <w:lang w:eastAsia="sl-SI" w:bidi="sl-SI"/>
    </w:rPr>
  </w:style>
  <w:style w:type="paragraph" w:customStyle="1" w:styleId="Bodytext20">
    <w:name w:val="Body text (2)"/>
    <w:basedOn w:val="Navaden"/>
    <w:link w:val="Bodytext2"/>
    <w:pPr>
      <w:shd w:val="clear" w:color="auto" w:fill="FFFFFF"/>
      <w:ind w:left="300"/>
      <w:jc w:val="both"/>
    </w:pPr>
    <w:rPr>
      <w:rFonts w:ascii="Arial" w:eastAsia="Arial" w:hAnsi="Arial" w:cs="Arial"/>
      <w:color w:val="215E99"/>
      <w:sz w:val="20"/>
      <w:szCs w:val="20"/>
      <w:lang w:eastAsia="sl-SI" w:bidi="sl-SI"/>
    </w:rPr>
  </w:style>
  <w:style w:type="paragraph" w:styleId="Telobesedila">
    <w:name w:val="Body Text"/>
    <w:basedOn w:val="Navaden"/>
    <w:link w:val="TelobesedilaZnak"/>
    <w:qFormat/>
    <w:pPr>
      <w:shd w:val="clear" w:color="auto" w:fill="FFFFFF"/>
      <w:spacing w:line="276" w:lineRule="auto"/>
      <w:jc w:val="both"/>
    </w:pPr>
    <w:rPr>
      <w:rFonts w:ascii="Arial" w:eastAsia="Arial" w:hAnsi="Arial" w:cs="Arial"/>
      <w:sz w:val="18"/>
      <w:szCs w:val="18"/>
    </w:rPr>
  </w:style>
  <w:style w:type="paragraph" w:customStyle="1" w:styleId="Heading40">
    <w:name w:val="Heading #4"/>
    <w:basedOn w:val="Navaden"/>
    <w:link w:val="Heading4"/>
    <w:pPr>
      <w:shd w:val="clear" w:color="auto" w:fill="FFFFFF"/>
      <w:spacing w:line="283" w:lineRule="auto"/>
      <w:ind w:left="300"/>
      <w:outlineLvl w:val="3"/>
    </w:pPr>
    <w:rPr>
      <w:rFonts w:ascii="Arial" w:eastAsia="Arial" w:hAnsi="Arial" w:cs="Arial"/>
      <w:b/>
      <w:bCs/>
      <w:sz w:val="18"/>
      <w:szCs w:val="18"/>
    </w:rPr>
  </w:style>
  <w:style w:type="paragraph" w:customStyle="1" w:styleId="Headerorfooter20">
    <w:name w:val="Header or footer (2)"/>
    <w:basedOn w:val="Navaden"/>
    <w:link w:val="Headerorfooter2"/>
    <w:pPr>
      <w:shd w:val="clear" w:color="auto" w:fill="FFFFFF"/>
    </w:pPr>
    <w:rPr>
      <w:rFonts w:ascii="Times New Roman" w:eastAsia="Times New Roman" w:hAnsi="Times New Roman" w:cs="Times New Roman"/>
      <w:sz w:val="20"/>
      <w:szCs w:val="20"/>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2354</Words>
  <Characters>13419</Characters>
  <Application>Microsoft Office Word</Application>
  <DocSecurity>0</DocSecurity>
  <Lines>111</Lines>
  <Paragraphs>31</Paragraphs>
  <ScaleCrop>false</ScaleCrop>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SHŠ</cp:lastModifiedBy>
  <cp:revision>2</cp:revision>
  <dcterms:created xsi:type="dcterms:W3CDTF">2025-09-15T07:13:00Z</dcterms:created>
  <dcterms:modified xsi:type="dcterms:W3CDTF">2025-09-15T07:14:00Z</dcterms:modified>
</cp:coreProperties>
</file>