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FA" w:rsidRPr="00202A77" w:rsidRDefault="003702FA" w:rsidP="00F83304">
      <w:pPr>
        <w:pStyle w:val="datumtevilka"/>
      </w:pPr>
      <w:r>
        <w:rPr>
          <w:noProof/>
        </w:rPr>
        <mc:AlternateContent>
          <mc:Choice Requires="wps">
            <w:drawing>
              <wp:anchor distT="360045" distB="540385" distL="0" distR="0" simplePos="0" relativeHeight="251659264" behindDoc="0" locked="0" layoutInCell="1" allowOverlap="0" wp14:anchorId="440A4FFE" wp14:editId="5D875073">
                <wp:simplePos x="0" y="0"/>
                <wp:positionH relativeFrom="page">
                  <wp:posOffset>5520632</wp:posOffset>
                </wp:positionH>
                <wp:positionV relativeFrom="page">
                  <wp:posOffset>913939</wp:posOffset>
                </wp:positionV>
                <wp:extent cx="145069" cy="45719"/>
                <wp:effectExtent l="0" t="0" r="7620" b="12065"/>
                <wp:wrapTopAndBottom/>
                <wp:docPr id="2"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6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2FA" w:rsidRPr="003E1C74" w:rsidRDefault="003702FA" w:rsidP="003702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A4FFE" id="_x0000_t202" coordsize="21600,21600" o:spt="202" path="m,l,21600r21600,l21600,xe">
                <v:stroke joinstyle="miter"/>
                <v:path gradientshapeok="t" o:connecttype="rect"/>
              </v:shapetype>
              <v:shape id="Text Box 2" o:spid="_x0000_s1026" type="#_x0000_t202" style="position:absolute;margin-left:434.7pt;margin-top:71.95pt;width:11.4pt;height:3.6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" o:allowoverlap="f" filled="f" stroked="f">
                <v:textbox inset="0,0,0,0">
                  <w:txbxContent>
                    <w:p w:rsidR="003702FA" w:rsidRPr="003E1C74" w:rsidRDefault="003702FA" w:rsidP="003702FA"/>
                  </w:txbxContent>
                </v:textbox>
                <w10:wrap type="topAndBottom" anchorx="page" anchory="page"/>
              </v:shape>
            </w:pict>
          </mc:Fallback>
        </mc:AlternateContent>
      </w:r>
    </w:p>
    <w:tbl>
      <w:tblPr>
        <w:tblpPr w:leftFromText="141" w:rightFromText="141" w:vertAnchor="page" w:horzAnchor="margin" w:tblpY="3197"/>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118"/>
      </w:tblGrid>
      <w:tr w:rsidR="00C520CB" w:rsidRPr="00C520CB" w:rsidTr="00C273C2">
        <w:trPr>
          <w:gridAfter w:val="1"/>
          <w:wAfter w:w="3118" w:type="dxa"/>
        </w:trPr>
        <w:tc>
          <w:tcPr>
            <w:tcW w:w="6096" w:type="dxa"/>
            <w:tcBorders>
              <w:top w:val="single" w:sz="4" w:space="0" w:color="auto"/>
              <w:left w:val="single" w:sz="4" w:space="0" w:color="auto"/>
              <w:bottom w:val="single" w:sz="4" w:space="0" w:color="auto"/>
              <w:right w:val="single" w:sz="4" w:space="0" w:color="auto"/>
            </w:tcBorders>
          </w:tcPr>
          <w:p w:rsidR="00C273C2" w:rsidRPr="00C520CB" w:rsidRDefault="00C273C2" w:rsidP="007A6D6E">
            <w:pPr>
              <w:overflowPunct w:val="0"/>
              <w:autoSpaceDE w:val="0"/>
              <w:autoSpaceDN w:val="0"/>
              <w:adjustRightInd w:val="0"/>
              <w:spacing w:before="120" w:after="120" w:line="200" w:lineRule="exact"/>
              <w:textAlignment w:val="baseline"/>
              <w:rPr>
                <w:rFonts w:cs="Arial"/>
                <w:lang w:eastAsia="sl-SI"/>
              </w:rPr>
            </w:pPr>
            <w:r w:rsidRPr="00C520CB">
              <w:rPr>
                <w:rFonts w:cs="Arial"/>
                <w:lang w:eastAsia="sl-SI"/>
              </w:rPr>
              <w:t>Številka: 315</w:t>
            </w:r>
            <w:r w:rsidR="007A6D6E" w:rsidRPr="00C520CB">
              <w:rPr>
                <w:rFonts w:cs="Arial"/>
                <w:lang w:eastAsia="sl-SI"/>
              </w:rPr>
              <w:t>-</w:t>
            </w:r>
            <w:r w:rsidRPr="00C520CB">
              <w:rPr>
                <w:rFonts w:cs="Arial"/>
                <w:lang w:eastAsia="sl-SI"/>
              </w:rPr>
              <w:t>45/2022/</w:t>
            </w:r>
            <w:r w:rsidR="003C7B77">
              <w:rPr>
                <w:rFonts w:cs="Arial"/>
                <w:lang w:eastAsia="sl-SI"/>
              </w:rPr>
              <w:t>7</w:t>
            </w:r>
            <w:r w:rsidR="00F03C82">
              <w:rPr>
                <w:rFonts w:cs="Arial"/>
                <w:lang w:eastAsia="sl-SI"/>
              </w:rPr>
              <w:t>0</w:t>
            </w:r>
          </w:p>
        </w:tc>
      </w:tr>
      <w:tr w:rsidR="00C520CB" w:rsidRPr="00C520CB" w:rsidTr="00C273C2">
        <w:trPr>
          <w:gridAfter w:val="1"/>
          <w:wAfter w:w="3118" w:type="dxa"/>
        </w:trPr>
        <w:tc>
          <w:tcPr>
            <w:tcW w:w="6096" w:type="dxa"/>
            <w:tcBorders>
              <w:top w:val="single" w:sz="4" w:space="0" w:color="auto"/>
              <w:left w:val="single" w:sz="4" w:space="0" w:color="auto"/>
              <w:bottom w:val="single" w:sz="4" w:space="0" w:color="auto"/>
              <w:right w:val="single" w:sz="4" w:space="0" w:color="auto"/>
            </w:tcBorders>
          </w:tcPr>
          <w:p w:rsidR="00C273C2" w:rsidRPr="00C520CB" w:rsidRDefault="00C273C2" w:rsidP="00C273C2">
            <w:pPr>
              <w:overflowPunct w:val="0"/>
              <w:autoSpaceDE w:val="0"/>
              <w:autoSpaceDN w:val="0"/>
              <w:adjustRightInd w:val="0"/>
              <w:spacing w:before="120" w:after="120" w:line="200" w:lineRule="exact"/>
              <w:textAlignment w:val="baseline"/>
              <w:rPr>
                <w:rFonts w:cs="Arial"/>
                <w:lang w:eastAsia="sl-SI"/>
              </w:rPr>
            </w:pPr>
            <w:r w:rsidRPr="00C520CB">
              <w:rPr>
                <w:rFonts w:cs="Arial"/>
                <w:lang w:eastAsia="sl-SI"/>
              </w:rPr>
              <w:t xml:space="preserve">Ljubljana, </w:t>
            </w:r>
            <w:r w:rsidR="00041BCF">
              <w:rPr>
                <w:rFonts w:cs="Arial"/>
                <w:lang w:eastAsia="sl-SI"/>
              </w:rPr>
              <w:t>26. 5. 2023</w:t>
            </w:r>
          </w:p>
        </w:tc>
      </w:tr>
      <w:tr w:rsidR="00C520CB" w:rsidRPr="00C520CB" w:rsidTr="0021660E">
        <w:trPr>
          <w:gridAfter w:val="1"/>
          <w:wAfter w:w="3118" w:type="dxa"/>
          <w:trHeight w:val="1213"/>
        </w:trPr>
        <w:tc>
          <w:tcPr>
            <w:tcW w:w="6096" w:type="dxa"/>
            <w:tcBorders>
              <w:top w:val="single" w:sz="4" w:space="0" w:color="auto"/>
              <w:left w:val="single" w:sz="4" w:space="0" w:color="auto"/>
              <w:bottom w:val="single" w:sz="4" w:space="0" w:color="auto"/>
              <w:right w:val="single" w:sz="4" w:space="0" w:color="auto"/>
            </w:tcBorders>
          </w:tcPr>
          <w:p w:rsidR="00C273C2" w:rsidRPr="00C520CB" w:rsidRDefault="00C273C2" w:rsidP="00C273C2">
            <w:pPr>
              <w:spacing w:before="360" w:line="240" w:lineRule="auto"/>
              <w:rPr>
                <w:rFonts w:cs="Arial"/>
                <w:b/>
              </w:rPr>
            </w:pPr>
            <w:r w:rsidRPr="00C520CB">
              <w:rPr>
                <w:rFonts w:cs="Arial"/>
                <w:b/>
              </w:rPr>
              <w:t>GENERALNI SEKRETARIAT VLADE REPUBLIKE SLOVENIJE</w:t>
            </w:r>
          </w:p>
          <w:p w:rsidR="00C273C2" w:rsidRPr="00C520CB" w:rsidRDefault="00253FEC" w:rsidP="00C273C2">
            <w:pPr>
              <w:overflowPunct w:val="0"/>
              <w:autoSpaceDE w:val="0"/>
              <w:autoSpaceDN w:val="0"/>
              <w:adjustRightInd w:val="0"/>
              <w:spacing w:before="120" w:line="200" w:lineRule="exact"/>
              <w:textAlignment w:val="baseline"/>
              <w:rPr>
                <w:rFonts w:cs="Arial"/>
                <w:b/>
              </w:rPr>
            </w:pPr>
            <w:hyperlink r:id="rId7" w:history="1">
              <w:r w:rsidR="00C273C2" w:rsidRPr="00C520CB">
                <w:rPr>
                  <w:rStyle w:val="Hiperpovezava"/>
                  <w:rFonts w:cs="Arial"/>
                  <w:b/>
                  <w:color w:val="auto"/>
                </w:rPr>
                <w:t>gp.gs@gov.si</w:t>
              </w:r>
            </w:hyperlink>
          </w:p>
        </w:tc>
      </w:tr>
      <w:tr w:rsidR="00C520CB" w:rsidRPr="00C520CB" w:rsidTr="00C273C2">
        <w:trPr>
          <w:trHeight w:val="689"/>
        </w:trPr>
        <w:tc>
          <w:tcPr>
            <w:tcW w:w="9214" w:type="dxa"/>
            <w:gridSpan w:val="2"/>
          </w:tcPr>
          <w:p w:rsidR="00C273C2" w:rsidRPr="00C520CB" w:rsidRDefault="00C273C2" w:rsidP="00C273C2">
            <w:pPr>
              <w:suppressAutoHyphens/>
              <w:overflowPunct w:val="0"/>
              <w:autoSpaceDE w:val="0"/>
              <w:autoSpaceDN w:val="0"/>
              <w:adjustRightInd w:val="0"/>
              <w:ind w:left="1026" w:hanging="1026"/>
              <w:textAlignment w:val="baseline"/>
              <w:rPr>
                <w:rFonts w:cs="Arial"/>
                <w:b/>
                <w:lang w:eastAsia="sl-SI"/>
              </w:rPr>
            </w:pPr>
          </w:p>
          <w:p w:rsidR="00C273C2" w:rsidRPr="00C520CB" w:rsidRDefault="00C273C2" w:rsidP="00963362">
            <w:pPr>
              <w:suppressAutoHyphens/>
              <w:overflowPunct w:val="0"/>
              <w:autoSpaceDE w:val="0"/>
              <w:autoSpaceDN w:val="0"/>
              <w:adjustRightInd w:val="0"/>
              <w:ind w:left="1026" w:hanging="1026"/>
              <w:textAlignment w:val="baseline"/>
              <w:rPr>
                <w:rFonts w:cs="Arial"/>
                <w:b/>
                <w:lang w:eastAsia="sl-SI"/>
              </w:rPr>
            </w:pPr>
            <w:r w:rsidRPr="00C520CB">
              <w:rPr>
                <w:rFonts w:cs="Arial"/>
                <w:b/>
                <w:lang w:eastAsia="sl-SI"/>
              </w:rPr>
              <w:t xml:space="preserve">ZADEVA:  </w:t>
            </w:r>
            <w:r w:rsidR="00963362" w:rsidRPr="00C520CB">
              <w:rPr>
                <w:rFonts w:cs="Arial"/>
                <w:b/>
                <w:lang w:eastAsia="sl-SI"/>
              </w:rPr>
              <w:t>Sklep o razpolaganju s presežkom prihodkov nad odhodki Slovenskega inštituta za standardizacijo iz leta 2022 – predlog za obravnavo</w:t>
            </w:r>
          </w:p>
        </w:tc>
      </w:tr>
      <w:tr w:rsidR="00C520CB" w:rsidRPr="00C520CB" w:rsidTr="0021660E">
        <w:trPr>
          <w:trHeight w:val="618"/>
        </w:trPr>
        <w:tc>
          <w:tcPr>
            <w:tcW w:w="9214" w:type="dxa"/>
            <w:gridSpan w:val="2"/>
          </w:tcPr>
          <w:p w:rsidR="00C273C2" w:rsidRPr="00C520CB" w:rsidRDefault="00C273C2" w:rsidP="00C273C2">
            <w:pPr>
              <w:suppressAutoHyphens/>
              <w:overflowPunct w:val="0"/>
              <w:autoSpaceDE w:val="0"/>
              <w:autoSpaceDN w:val="0"/>
              <w:adjustRightInd w:val="0"/>
              <w:spacing w:before="240"/>
              <w:textAlignment w:val="baseline"/>
              <w:outlineLvl w:val="3"/>
              <w:rPr>
                <w:rFonts w:cs="Arial"/>
                <w:b/>
                <w:lang w:eastAsia="sl-SI"/>
              </w:rPr>
            </w:pPr>
            <w:r w:rsidRPr="00C520CB">
              <w:rPr>
                <w:rFonts w:cs="Arial"/>
                <w:b/>
                <w:lang w:eastAsia="sl-SI"/>
              </w:rPr>
              <w:t>1. Predlog sklepa vlade:</w:t>
            </w:r>
          </w:p>
        </w:tc>
      </w:tr>
      <w:tr w:rsidR="00C520CB" w:rsidRPr="00C520CB" w:rsidTr="00C273C2">
        <w:tc>
          <w:tcPr>
            <w:tcW w:w="9214" w:type="dxa"/>
            <w:gridSpan w:val="2"/>
          </w:tcPr>
          <w:p w:rsidR="00C273C2" w:rsidRPr="00C520CB" w:rsidRDefault="00C273C2" w:rsidP="00C273C2">
            <w:pPr>
              <w:spacing w:line="240" w:lineRule="auto"/>
              <w:jc w:val="both"/>
            </w:pPr>
            <w:r w:rsidRPr="00C520CB">
              <w:t xml:space="preserve">                                                                                                                                                                         </w:t>
            </w:r>
          </w:p>
          <w:p w:rsidR="00C315B8" w:rsidRPr="00C520CB" w:rsidRDefault="00C315B8" w:rsidP="00C315B8">
            <w:pPr>
              <w:jc w:val="both"/>
            </w:pPr>
            <w:r w:rsidRPr="00C520CB">
              <w:t>Na podlagi 6. člena Zakona o Vladi Republike Slovenije</w:t>
            </w:r>
            <w:r w:rsidR="008E55BF" w:rsidRPr="00C520CB">
              <w:t xml:space="preserve"> (Uradni list RS, št. </w:t>
            </w:r>
            <w:hyperlink r:id="rId8" w:tgtFrame="_blank" w:tooltip="Zakon o Vladi Republike Slovenije (uradno prečiščeno besedilo)" w:history="1">
              <w:r w:rsidR="008E55BF" w:rsidRPr="00C520CB">
                <w:t>24/05</w:t>
              </w:r>
            </w:hyperlink>
            <w:r w:rsidR="008E55BF" w:rsidRPr="00C520CB">
              <w:t> – uradno prečiščeno besedilo, </w:t>
            </w:r>
            <w:hyperlink r:id="rId9" w:tgtFrame="_blank" w:tooltip="Zakon o dopolnitvi Zakona o Vladi Republike Slovenije" w:history="1">
              <w:r w:rsidR="008E55BF" w:rsidRPr="00C520CB">
                <w:t>109/08</w:t>
              </w:r>
            </w:hyperlink>
            <w:r w:rsidR="008E55BF" w:rsidRPr="00C520CB">
              <w:t>, </w:t>
            </w:r>
            <w:hyperlink r:id="rId10" w:tgtFrame="_blank" w:tooltip="Zakon o upravljanju kapitalskih naložb Republike Slovenije" w:history="1">
              <w:r w:rsidR="008E55BF" w:rsidRPr="00C520CB">
                <w:t>38/10</w:t>
              </w:r>
            </w:hyperlink>
            <w:r w:rsidR="008E55BF" w:rsidRPr="00C520CB">
              <w:t> – ZUKN, </w:t>
            </w:r>
            <w:hyperlink r:id="rId11" w:tgtFrame="_blank" w:tooltip="Zakon o spremembah in dopolnitvah Zakona o Vladi Republike Slovenije" w:history="1">
              <w:r w:rsidR="008E55BF" w:rsidRPr="00C520CB">
                <w:t>8/12</w:t>
              </w:r>
            </w:hyperlink>
            <w:r w:rsidR="008E55BF" w:rsidRPr="00C520CB">
              <w:t>, </w:t>
            </w:r>
            <w:hyperlink r:id="rId12" w:tgtFrame="_blank" w:tooltip="Zakon o spremembah in dopolnitvah Zakona o Vladi Republike Slovenije" w:history="1">
              <w:r w:rsidR="008E55BF" w:rsidRPr="00C520CB">
                <w:t>21/13</w:t>
              </w:r>
            </w:hyperlink>
            <w:r w:rsidR="008E55BF" w:rsidRPr="00C520CB">
              <w:t>, </w:t>
            </w:r>
            <w:hyperlink r:id="rId13" w:tgtFrame="_blank" w:tooltip="Zakon o spremembah in dopolnitvah Zakona o državni upravi" w:history="1">
              <w:r w:rsidR="008E55BF" w:rsidRPr="00C520CB">
                <w:t>47/13</w:t>
              </w:r>
            </w:hyperlink>
            <w:r w:rsidR="008E55BF" w:rsidRPr="00C520CB">
              <w:t> – ZDU-1G, </w:t>
            </w:r>
            <w:hyperlink r:id="rId14" w:tgtFrame="_blank" w:tooltip="Zakon o spremembah in dopolnitvah Zakona o Vladi Republike Slovenije" w:history="1">
              <w:r w:rsidR="008E55BF" w:rsidRPr="00C520CB">
                <w:t>65/14</w:t>
              </w:r>
            </w:hyperlink>
            <w:r w:rsidR="008E55BF" w:rsidRPr="00C520CB">
              <w:t>, </w:t>
            </w:r>
            <w:hyperlink r:id="rId15" w:tgtFrame="_blank" w:tooltip="Zakon o spremembi Zakona o Vladi Republike Slovenije" w:history="1">
              <w:r w:rsidR="008E55BF" w:rsidRPr="00C520CB">
                <w:t>55/17</w:t>
              </w:r>
            </w:hyperlink>
            <w:r w:rsidR="008E55BF" w:rsidRPr="00C520CB">
              <w:t> in </w:t>
            </w:r>
            <w:hyperlink r:id="rId16" w:tgtFrame="_blank" w:tooltip="Zakon o spremembah Zakona o Vladi Republike Slovenije" w:history="1">
              <w:r w:rsidR="008E55BF" w:rsidRPr="00C520CB">
                <w:t>163/22</w:t>
              </w:r>
            </w:hyperlink>
            <w:r w:rsidR="008E55BF" w:rsidRPr="00C520CB">
              <w:t>)</w:t>
            </w:r>
            <w:r w:rsidR="00604AFB" w:rsidRPr="00C520CB">
              <w:t xml:space="preserve">, drugega odstavka </w:t>
            </w:r>
            <w:r w:rsidRPr="00C520CB">
              <w:t>48. člena Zakona o zavodih (Uradni list RS, št. 12/91, 8/96, 36/00 – ZPDZC in 127/06 – ZJZP) in tretjega odstavka 22. člena Sklepa o ustanovitvi Slovenskega inštituta za standardizacijo</w:t>
            </w:r>
            <w:r w:rsidR="002D4CF3" w:rsidRPr="00C520CB">
              <w:t xml:space="preserve"> (Uradni list RS, št. </w:t>
            </w:r>
            <w:hyperlink r:id="rId17" w:tgtFrame="_blank" w:tooltip="Sklep o ustanovitvi Slovenskega inštituta za standardizacijo" w:history="1">
              <w:r w:rsidR="002D4CF3" w:rsidRPr="00C520CB">
                <w:t>70/00</w:t>
              </w:r>
            </w:hyperlink>
            <w:r w:rsidR="002D4CF3" w:rsidRPr="00C520CB">
              <w:t>, </w:t>
            </w:r>
            <w:hyperlink r:id="rId18" w:tgtFrame="_blank" w:tooltip="Sklep o spremembi sklepa o ustanovitvi Slovenskega inštituta za standardizacijo" w:history="1">
              <w:r w:rsidR="002D4CF3" w:rsidRPr="00C520CB">
                <w:t>91/02</w:t>
              </w:r>
            </w:hyperlink>
            <w:r w:rsidR="002D4CF3" w:rsidRPr="00C520CB">
              <w:t>, </w:t>
            </w:r>
            <w:hyperlink r:id="rId19" w:tgtFrame="_blank" w:tooltip="Sklep o spremembah in dopolnitvah Sklepa o ustanovitvi Slovenskega inštituta za standardizacijo" w:history="1">
              <w:r w:rsidR="002D4CF3" w:rsidRPr="00C520CB">
                <w:t>131/21</w:t>
              </w:r>
            </w:hyperlink>
            <w:r w:rsidR="002D4CF3" w:rsidRPr="00C520CB">
              <w:t> in </w:t>
            </w:r>
            <w:hyperlink r:id="rId20" w:tgtFrame="_blank" w:tooltip="Sklep o dopolnitvi Sklepa o ustanovitvi Slovenskega inštituta za standardizacijo" w:history="1">
              <w:r w:rsidR="002D4CF3" w:rsidRPr="00C520CB">
                <w:t>128/22</w:t>
              </w:r>
            </w:hyperlink>
            <w:r w:rsidR="002D4CF3" w:rsidRPr="00C520CB">
              <w:t>)</w:t>
            </w:r>
            <w:r w:rsidRPr="00C520CB">
              <w:t xml:space="preserve"> je Vlada Republike Slovenije na........seji dne….sprejela naslednji sklep</w:t>
            </w:r>
          </w:p>
          <w:p w:rsidR="00C315B8" w:rsidRPr="00C520CB" w:rsidRDefault="00C315B8" w:rsidP="00C315B8">
            <w:pPr>
              <w:jc w:val="both"/>
            </w:pPr>
          </w:p>
          <w:p w:rsidR="00604AFB" w:rsidRPr="00C520CB" w:rsidRDefault="00C315B8" w:rsidP="00604AFB">
            <w:pPr>
              <w:jc w:val="both"/>
            </w:pPr>
            <w:r w:rsidRPr="00C520CB">
              <w:t>Vlada Republike Slovenije soglaša s predlogom Slovenskega inštituta za standardizacijo, da se presežek prihodkov nad odhodki Slovenskega inštituta za standardizacijo iz leta 202</w:t>
            </w:r>
            <w:r w:rsidR="00D357F4" w:rsidRPr="00C520CB">
              <w:t>2</w:t>
            </w:r>
            <w:r w:rsidRPr="00C520CB">
              <w:t xml:space="preserve">, v višini </w:t>
            </w:r>
            <w:r w:rsidR="00604AFB" w:rsidRPr="00C520CB">
              <w:t>251.341,65</w:t>
            </w:r>
            <w:r w:rsidRPr="00C520CB">
              <w:t xml:space="preserve"> EUR, ki je nastal pri izvajanju nalog 5.</w:t>
            </w:r>
            <w:r w:rsidR="002402DF">
              <w:t xml:space="preserve"> in 6.</w:t>
            </w:r>
            <w:r w:rsidRPr="00C520CB">
              <w:t xml:space="preserve"> člena Zakona o standardizaciji (Ur</w:t>
            </w:r>
            <w:r w:rsidR="00604AFB" w:rsidRPr="00C520CB">
              <w:t>ad</w:t>
            </w:r>
            <w:r w:rsidR="002402DF">
              <w:t xml:space="preserve">ni list RS, št. 59/99) nameni za opravljanje in razvoj dejavnosti v </w:t>
            </w:r>
            <w:r w:rsidR="00604AFB" w:rsidRPr="00C520CB">
              <w:t>višini 165.688,44 EUR in</w:t>
            </w:r>
            <w:r w:rsidR="003E71B7" w:rsidRPr="00C520CB">
              <w:t xml:space="preserve"> </w:t>
            </w:r>
            <w:r w:rsidR="00604AFB" w:rsidRPr="00C520CB">
              <w:t>kritje stroškov za razvoj informacijskega sistema Slovenske</w:t>
            </w:r>
            <w:r w:rsidR="00964382">
              <w:t>ga inštituta za standardizacijo</w:t>
            </w:r>
            <w:r w:rsidR="00604AFB" w:rsidRPr="00C520CB">
              <w:t xml:space="preserve"> v višini 85.653,21 EUR</w:t>
            </w:r>
            <w:r w:rsidR="00964382">
              <w:t>.</w:t>
            </w:r>
          </w:p>
          <w:p w:rsidR="00C273C2" w:rsidRPr="00C520CB" w:rsidRDefault="00C273C2" w:rsidP="005B65E5">
            <w:pPr>
              <w:spacing w:line="312" w:lineRule="auto"/>
              <w:jc w:val="both"/>
            </w:pPr>
          </w:p>
          <w:p w:rsidR="003E71B7" w:rsidRPr="00C520CB" w:rsidRDefault="003E71B7" w:rsidP="005B65E5">
            <w:pPr>
              <w:spacing w:line="312" w:lineRule="auto"/>
              <w:jc w:val="both"/>
            </w:pPr>
          </w:p>
          <w:p w:rsidR="00C273C2" w:rsidRPr="00C520CB" w:rsidRDefault="00C273C2" w:rsidP="005B65E5">
            <w:pPr>
              <w:spacing w:line="312" w:lineRule="auto"/>
              <w:jc w:val="center"/>
            </w:pPr>
            <w:r w:rsidRPr="00C520CB">
              <w:t>Barbara Kolenko Helbl</w:t>
            </w:r>
          </w:p>
          <w:p w:rsidR="00C273C2" w:rsidRPr="00C520CB" w:rsidRDefault="00C273C2" w:rsidP="005B65E5">
            <w:pPr>
              <w:spacing w:line="312" w:lineRule="auto"/>
              <w:jc w:val="center"/>
            </w:pPr>
            <w:r w:rsidRPr="00C520CB">
              <w:t>generalna sekretarka</w:t>
            </w:r>
          </w:p>
          <w:p w:rsidR="00693754" w:rsidRDefault="00693754" w:rsidP="00782DCE">
            <w:pPr>
              <w:overflowPunct w:val="0"/>
              <w:autoSpaceDE w:val="0"/>
              <w:autoSpaceDN w:val="0"/>
              <w:adjustRightInd w:val="0"/>
              <w:jc w:val="both"/>
              <w:textAlignment w:val="baseline"/>
            </w:pPr>
          </w:p>
          <w:p w:rsidR="003E71B7" w:rsidRPr="00C520CB" w:rsidRDefault="003E71B7" w:rsidP="00782DCE">
            <w:pPr>
              <w:overflowPunct w:val="0"/>
              <w:autoSpaceDE w:val="0"/>
              <w:autoSpaceDN w:val="0"/>
              <w:adjustRightInd w:val="0"/>
              <w:jc w:val="both"/>
              <w:textAlignment w:val="baseline"/>
            </w:pPr>
          </w:p>
          <w:p w:rsidR="00782DCE" w:rsidRPr="00C520CB" w:rsidRDefault="00782DCE" w:rsidP="00782DCE">
            <w:pPr>
              <w:overflowPunct w:val="0"/>
              <w:autoSpaceDE w:val="0"/>
              <w:autoSpaceDN w:val="0"/>
              <w:adjustRightInd w:val="0"/>
              <w:jc w:val="both"/>
              <w:textAlignment w:val="baseline"/>
            </w:pPr>
            <w:r w:rsidRPr="00C520CB">
              <w:t>Sklep prejmejo:</w:t>
            </w:r>
          </w:p>
          <w:p w:rsidR="00782DCE" w:rsidRPr="00C520CB" w:rsidRDefault="00782DCE" w:rsidP="00782DCE">
            <w:pPr>
              <w:numPr>
                <w:ilvl w:val="0"/>
                <w:numId w:val="3"/>
              </w:numPr>
              <w:overflowPunct w:val="0"/>
              <w:autoSpaceDE w:val="0"/>
              <w:autoSpaceDN w:val="0"/>
              <w:adjustRightInd w:val="0"/>
              <w:spacing w:line="276" w:lineRule="auto"/>
              <w:ind w:left="601" w:hanging="241"/>
              <w:jc w:val="both"/>
              <w:textAlignment w:val="baseline"/>
            </w:pPr>
            <w:r w:rsidRPr="00C520CB">
              <w:t>Slovenski inštitut za standardizacijo, Ulica gledališča BTC 2, Ljubljana,</w:t>
            </w:r>
          </w:p>
          <w:p w:rsidR="00782DCE" w:rsidRPr="00C520CB" w:rsidRDefault="00782DCE" w:rsidP="00782DCE">
            <w:pPr>
              <w:numPr>
                <w:ilvl w:val="0"/>
                <w:numId w:val="3"/>
              </w:numPr>
              <w:overflowPunct w:val="0"/>
              <w:autoSpaceDE w:val="0"/>
              <w:autoSpaceDN w:val="0"/>
              <w:adjustRightInd w:val="0"/>
              <w:spacing w:line="276" w:lineRule="auto"/>
              <w:ind w:left="601" w:hanging="241"/>
              <w:jc w:val="both"/>
              <w:textAlignment w:val="baseline"/>
            </w:pPr>
            <w:r w:rsidRPr="00C520CB">
              <w:t>Ministrstvo za gospodarstvo, turizem in šport,</w:t>
            </w:r>
          </w:p>
          <w:p w:rsidR="00782DCE" w:rsidRPr="00C520CB" w:rsidRDefault="00782DCE" w:rsidP="00782DCE">
            <w:pPr>
              <w:numPr>
                <w:ilvl w:val="0"/>
                <w:numId w:val="3"/>
              </w:numPr>
              <w:overflowPunct w:val="0"/>
              <w:autoSpaceDE w:val="0"/>
              <w:autoSpaceDN w:val="0"/>
              <w:adjustRightInd w:val="0"/>
              <w:spacing w:line="276" w:lineRule="auto"/>
              <w:ind w:left="601" w:hanging="241"/>
              <w:jc w:val="both"/>
              <w:textAlignment w:val="baseline"/>
            </w:pPr>
            <w:r w:rsidRPr="00C520CB">
              <w:t>Urad Vlade Republike Slovenije za komuniciranje,</w:t>
            </w:r>
          </w:p>
          <w:p w:rsidR="00C273C2" w:rsidRPr="00C520CB" w:rsidRDefault="00782DCE" w:rsidP="00782DCE">
            <w:pPr>
              <w:numPr>
                <w:ilvl w:val="0"/>
                <w:numId w:val="3"/>
              </w:numPr>
              <w:overflowPunct w:val="0"/>
              <w:autoSpaceDE w:val="0"/>
              <w:autoSpaceDN w:val="0"/>
              <w:adjustRightInd w:val="0"/>
              <w:spacing w:line="276" w:lineRule="auto"/>
              <w:ind w:left="601" w:hanging="241"/>
              <w:jc w:val="both"/>
              <w:textAlignment w:val="baseline"/>
            </w:pPr>
            <w:r w:rsidRPr="00C520CB">
              <w:t>Generalni sekretariat Vlade Republike Slovenije.</w:t>
            </w:r>
          </w:p>
        </w:tc>
      </w:tr>
      <w:tr w:rsidR="00C520CB" w:rsidRPr="00C520CB" w:rsidTr="00C273C2">
        <w:tc>
          <w:tcPr>
            <w:tcW w:w="9214" w:type="dxa"/>
            <w:gridSpan w:val="2"/>
          </w:tcPr>
          <w:p w:rsidR="00C273C2" w:rsidRPr="00C520CB" w:rsidRDefault="00C273C2" w:rsidP="00C273C2">
            <w:pPr>
              <w:suppressAutoHyphens/>
              <w:overflowPunct w:val="0"/>
              <w:autoSpaceDE w:val="0"/>
              <w:autoSpaceDN w:val="0"/>
              <w:adjustRightInd w:val="0"/>
              <w:textAlignment w:val="baseline"/>
              <w:outlineLvl w:val="3"/>
              <w:rPr>
                <w:rFonts w:cs="Arial"/>
                <w:b/>
                <w:lang w:eastAsia="sl-SI"/>
              </w:rPr>
            </w:pPr>
            <w:r w:rsidRPr="00C520CB">
              <w:rPr>
                <w:rFonts w:cs="Arial"/>
                <w:b/>
                <w:lang w:eastAsia="sl-SI"/>
              </w:rPr>
              <w:t>2. Predlog za obravnavo predloga zakona po nujnem ali skrajšanem postopku v državnem zboru z obrazložitvijo razlogov:</w:t>
            </w:r>
          </w:p>
        </w:tc>
      </w:tr>
      <w:tr w:rsidR="00C520CB" w:rsidRPr="00C520CB" w:rsidTr="00C273C2">
        <w:tc>
          <w:tcPr>
            <w:tcW w:w="9214" w:type="dxa"/>
            <w:gridSpan w:val="2"/>
          </w:tcPr>
          <w:p w:rsidR="00C273C2" w:rsidRPr="00C520CB" w:rsidRDefault="00C273C2" w:rsidP="00C273C2">
            <w:pPr>
              <w:suppressAutoHyphens/>
              <w:overflowPunct w:val="0"/>
              <w:autoSpaceDE w:val="0"/>
              <w:autoSpaceDN w:val="0"/>
              <w:adjustRightInd w:val="0"/>
              <w:textAlignment w:val="baseline"/>
              <w:outlineLvl w:val="3"/>
              <w:rPr>
                <w:rFonts w:cs="Arial"/>
                <w:sz w:val="24"/>
                <w:lang w:eastAsia="sl-SI"/>
              </w:rPr>
            </w:pPr>
            <w:r w:rsidRPr="00C520CB">
              <w:rPr>
                <w:rFonts w:cs="Arial"/>
                <w:sz w:val="24"/>
                <w:lang w:eastAsia="sl-SI"/>
              </w:rPr>
              <w:t>/</w:t>
            </w:r>
          </w:p>
        </w:tc>
      </w:tr>
    </w:tbl>
    <w:p w:rsidR="00EC5840" w:rsidRDefault="00EC5840" w:rsidP="00EC5840">
      <w:pPr>
        <w:rPr>
          <w:b/>
        </w:rPr>
      </w:pPr>
    </w:p>
    <w:p w:rsidR="00041BCF" w:rsidRDefault="00041BCF" w:rsidP="00EC5840">
      <w:pPr>
        <w:rPr>
          <w:b/>
        </w:rPr>
      </w:pPr>
    </w:p>
    <w:p w:rsidR="00041BCF" w:rsidRDefault="00041BCF" w:rsidP="00EC5840">
      <w:pPr>
        <w:rPr>
          <w:b/>
        </w:rPr>
      </w:pPr>
    </w:p>
    <w:p w:rsidR="00041BCF" w:rsidRDefault="00041BCF" w:rsidP="00EC5840">
      <w:pPr>
        <w:rPr>
          <w:b/>
        </w:rPr>
      </w:pPr>
    </w:p>
    <w:p w:rsidR="00041BCF" w:rsidRPr="00C520CB" w:rsidRDefault="00041BCF" w:rsidP="00EC5840">
      <w:pPr>
        <w:rPr>
          <w:b/>
        </w:rPr>
      </w:pPr>
      <w:bookmarkStart w:id="0" w:name="_GoBack"/>
      <w:bookmarkEnd w:id="0"/>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393"/>
        <w:gridCol w:w="560"/>
        <w:gridCol w:w="631"/>
        <w:gridCol w:w="1354"/>
      </w:tblGrid>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textAlignment w:val="baseline"/>
              <w:outlineLvl w:val="3"/>
              <w:rPr>
                <w:rFonts w:cs="Arial"/>
                <w:b/>
                <w:lang w:eastAsia="sl-SI"/>
              </w:rPr>
            </w:pPr>
            <w:r w:rsidRPr="00C520CB">
              <w:rPr>
                <w:rFonts w:cs="Arial"/>
                <w:b/>
                <w:lang w:eastAsia="sl-SI"/>
              </w:rPr>
              <w:lastRenderedPageBreak/>
              <w:t>3.a Osebe, odgovorne za strokovno pripravo in usklajenost gradiva:</w:t>
            </w:r>
          </w:p>
        </w:tc>
      </w:tr>
      <w:tr w:rsidR="00C520CB" w:rsidRPr="00C520CB" w:rsidTr="005B65E5">
        <w:trPr>
          <w:trHeight w:val="557"/>
        </w:trPr>
        <w:tc>
          <w:tcPr>
            <w:tcW w:w="9214" w:type="dxa"/>
            <w:gridSpan w:val="5"/>
          </w:tcPr>
          <w:p w:rsidR="006158DE" w:rsidRPr="00C520CB" w:rsidRDefault="006158DE" w:rsidP="005B65E5">
            <w:pPr>
              <w:numPr>
                <w:ilvl w:val="0"/>
                <w:numId w:val="3"/>
              </w:numPr>
              <w:overflowPunct w:val="0"/>
              <w:autoSpaceDE w:val="0"/>
              <w:autoSpaceDN w:val="0"/>
              <w:adjustRightInd w:val="0"/>
              <w:spacing w:line="312" w:lineRule="auto"/>
              <w:ind w:left="324" w:hanging="284"/>
              <w:jc w:val="both"/>
              <w:textAlignment w:val="baseline"/>
              <w:rPr>
                <w:rFonts w:cs="Arial"/>
                <w:iCs/>
                <w:lang w:eastAsia="sl-SI"/>
              </w:rPr>
            </w:pPr>
            <w:r w:rsidRPr="00C520CB">
              <w:rPr>
                <w:rFonts w:cs="Arial"/>
                <w:iCs/>
                <w:lang w:eastAsia="sl-SI"/>
              </w:rPr>
              <w:t>mag. Karla Pinter, generalna direktorica</w:t>
            </w:r>
            <w:r w:rsidRPr="00C520CB">
              <w:t xml:space="preserve"> </w:t>
            </w:r>
            <w:r w:rsidRPr="00C520CB">
              <w:rPr>
                <w:rFonts w:cs="Arial"/>
                <w:iCs/>
                <w:lang w:eastAsia="sl-SI"/>
              </w:rPr>
              <w:t>Direktorata za notranji trg, Ministrstvo za gospodarstvo, turizem in šport,</w:t>
            </w:r>
          </w:p>
          <w:p w:rsidR="006158DE" w:rsidRPr="00C520CB" w:rsidRDefault="006158DE" w:rsidP="005B65E5">
            <w:pPr>
              <w:numPr>
                <w:ilvl w:val="0"/>
                <w:numId w:val="3"/>
              </w:numPr>
              <w:overflowPunct w:val="0"/>
              <w:autoSpaceDE w:val="0"/>
              <w:autoSpaceDN w:val="0"/>
              <w:adjustRightInd w:val="0"/>
              <w:spacing w:line="312" w:lineRule="auto"/>
              <w:ind w:left="324" w:hanging="284"/>
              <w:jc w:val="both"/>
              <w:textAlignment w:val="baseline"/>
              <w:rPr>
                <w:rFonts w:cs="Arial"/>
                <w:iCs/>
                <w:lang w:eastAsia="sl-SI"/>
              </w:rPr>
            </w:pPr>
            <w:r w:rsidRPr="00C520CB">
              <w:rPr>
                <w:rFonts w:cs="Arial"/>
                <w:iCs/>
                <w:lang w:eastAsia="sl-SI"/>
              </w:rPr>
              <w:t>Breda Goršek, sekretarka, vodja Sektorja za prost pretok blaga in storitev, Ministrstvo za gospodarstvo, turizem in šport.</w:t>
            </w:r>
          </w:p>
        </w:tc>
      </w:tr>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textAlignment w:val="baseline"/>
              <w:outlineLvl w:val="3"/>
              <w:rPr>
                <w:rFonts w:cs="Arial"/>
                <w:b/>
                <w:lang w:eastAsia="sl-SI"/>
              </w:rPr>
            </w:pPr>
            <w:r w:rsidRPr="00C520CB">
              <w:rPr>
                <w:rFonts w:cs="Arial"/>
                <w:b/>
                <w:lang w:eastAsia="sl-SI"/>
              </w:rPr>
              <w:t>3.b Zunanji strokovnjaki, ki so sodelovali pri pripravi dela ali celotnega gradiva:</w:t>
            </w:r>
          </w:p>
        </w:tc>
      </w:tr>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textAlignment w:val="baseline"/>
              <w:outlineLvl w:val="3"/>
              <w:rPr>
                <w:rFonts w:cs="Arial"/>
                <w:sz w:val="24"/>
                <w:lang w:eastAsia="sl-SI"/>
              </w:rPr>
            </w:pPr>
            <w:r w:rsidRPr="00C520CB">
              <w:rPr>
                <w:rFonts w:cs="Arial"/>
                <w:sz w:val="24"/>
                <w:lang w:eastAsia="sl-SI"/>
              </w:rPr>
              <w:t>/</w:t>
            </w:r>
          </w:p>
        </w:tc>
      </w:tr>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textAlignment w:val="baseline"/>
              <w:outlineLvl w:val="3"/>
              <w:rPr>
                <w:rFonts w:cs="Arial"/>
                <w:b/>
                <w:lang w:eastAsia="sl-SI"/>
              </w:rPr>
            </w:pPr>
            <w:r w:rsidRPr="00C520CB">
              <w:rPr>
                <w:rFonts w:cs="Arial"/>
                <w:b/>
                <w:lang w:eastAsia="sl-SI"/>
              </w:rPr>
              <w:t>4. Predstavniki vlade, ki bodo sodelovali pri delu državnega zbora:</w:t>
            </w:r>
          </w:p>
        </w:tc>
      </w:tr>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textAlignment w:val="baseline"/>
              <w:outlineLvl w:val="3"/>
              <w:rPr>
                <w:rFonts w:cs="Arial"/>
                <w:sz w:val="24"/>
                <w:lang w:eastAsia="sl-SI"/>
              </w:rPr>
            </w:pPr>
            <w:r w:rsidRPr="00C520CB">
              <w:rPr>
                <w:rFonts w:cs="Arial"/>
                <w:sz w:val="24"/>
                <w:lang w:eastAsia="sl-SI"/>
              </w:rPr>
              <w:t>/</w:t>
            </w:r>
          </w:p>
        </w:tc>
      </w:tr>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textAlignment w:val="baseline"/>
              <w:outlineLvl w:val="3"/>
              <w:rPr>
                <w:rFonts w:cs="Arial"/>
                <w:b/>
                <w:lang w:eastAsia="sl-SI"/>
              </w:rPr>
            </w:pPr>
            <w:r w:rsidRPr="00C520CB">
              <w:rPr>
                <w:rFonts w:cs="Arial"/>
                <w:b/>
                <w:lang w:eastAsia="sl-SI"/>
              </w:rPr>
              <w:t>5. Kratek povzetek gradiva:</w:t>
            </w:r>
          </w:p>
        </w:tc>
      </w:tr>
      <w:tr w:rsidR="00C520CB" w:rsidRPr="00C520CB" w:rsidTr="00CC1EA9">
        <w:tc>
          <w:tcPr>
            <w:tcW w:w="9214" w:type="dxa"/>
            <w:gridSpan w:val="5"/>
          </w:tcPr>
          <w:p w:rsidR="00D44C99" w:rsidRPr="00C520CB" w:rsidRDefault="000A79A2" w:rsidP="00D44C99">
            <w:pPr>
              <w:spacing w:line="260" w:lineRule="atLeast"/>
              <w:jc w:val="both"/>
            </w:pPr>
            <w:r w:rsidRPr="00D90E2C">
              <w:rPr>
                <w:iCs/>
              </w:rPr>
              <w:t>Zakon o zavodih (Uradni list RS, št. 12/91, 8/96, 36/00 – ZPDZC in 127/06 – ZJZP) v drugem odstavku 48. člena določa, da sme zavod presežek prihodkov nad odhodki uporabiti le za opravljanje in razvoj dejavnosti, če ni z aktom o ustanovitvi drugače določeno.</w:t>
            </w:r>
            <w:r w:rsidRPr="00C520CB">
              <w:t xml:space="preserve"> </w:t>
            </w:r>
            <w:r w:rsidR="00D44C99" w:rsidRPr="00C520CB">
              <w:t>Sklep o ustanovitvi Slovenskega inštituta za standardizacijo (</w:t>
            </w:r>
            <w:r w:rsidR="00EF384C" w:rsidRPr="00C520CB">
              <w:t>Uradni list RS, št. </w:t>
            </w:r>
            <w:hyperlink r:id="rId21" w:tgtFrame="_blank" w:tooltip="Sklep o ustanovitvi Slovenskega inštituta za standardizacijo" w:history="1">
              <w:r w:rsidR="00EF384C" w:rsidRPr="00C520CB">
                <w:t>70/00</w:t>
              </w:r>
            </w:hyperlink>
            <w:r w:rsidR="00EF384C" w:rsidRPr="00C520CB">
              <w:t>, </w:t>
            </w:r>
            <w:hyperlink r:id="rId22" w:tgtFrame="_blank" w:tooltip="Sklep o spremembi sklepa o ustanovitvi Slovenskega inštituta za standardizacijo" w:history="1">
              <w:r w:rsidR="00EF384C" w:rsidRPr="00C520CB">
                <w:t>91/02</w:t>
              </w:r>
            </w:hyperlink>
            <w:r w:rsidR="00EF384C" w:rsidRPr="00C520CB">
              <w:t>, </w:t>
            </w:r>
            <w:hyperlink r:id="rId23" w:tgtFrame="_blank" w:tooltip="Sklep o spremembah in dopolnitvah Sklepa o ustanovitvi Slovenskega inštituta za standardizacijo" w:history="1">
              <w:r w:rsidR="00EF384C" w:rsidRPr="00C520CB">
                <w:t>131/21</w:t>
              </w:r>
            </w:hyperlink>
            <w:r w:rsidR="00EF384C" w:rsidRPr="00C520CB">
              <w:t> in </w:t>
            </w:r>
            <w:hyperlink r:id="rId24" w:tgtFrame="_blank" w:tooltip="Sklep o dopolnitvi Sklepa o ustanovitvi Slovenskega inštituta za standardizacijo" w:history="1">
              <w:r w:rsidR="00EF384C" w:rsidRPr="00C520CB">
                <w:t>128/22</w:t>
              </w:r>
            </w:hyperlink>
            <w:r w:rsidR="00D44C99" w:rsidRPr="00C520CB">
              <w:t>) v prvem in drugem odstavku 22. člena določa, da o kritju morebitnega presežka prihodkov nad odhodki in o kritju morebitnega primanjkljaja, ki nastane pri izvajanju nalog, ki se financirajo v skladu s prvim odstavkom 21. člena Zakona o standardizaciji (Uradni list RS, št. 59/99), odloča ustanovitelj. Tretji odstavek 22. člena Sklepa o ustanovitvi Slovenskega inštituta za standardizacijo določa, da sme S</w:t>
            </w:r>
            <w:r w:rsidR="00FB1B8F" w:rsidRPr="00C520CB">
              <w:t xml:space="preserve">lovenski inštitut za standardizacijo </w:t>
            </w:r>
            <w:r w:rsidR="00D44C99" w:rsidRPr="00C520CB">
              <w:t xml:space="preserve">presežek prihodkov nad odhodki, ki nastane pri izvajanju nalog iz drugega odstavka 5. člena zakona, v soglasju z ustanoviteljem uporabiti za razvoj svoje dejavnosti. </w:t>
            </w:r>
          </w:p>
          <w:p w:rsidR="00D44C99" w:rsidRPr="00C520CB" w:rsidRDefault="00D44C99" w:rsidP="00D44C99">
            <w:pPr>
              <w:spacing w:line="260" w:lineRule="atLeast"/>
              <w:jc w:val="both"/>
              <w:rPr>
                <w:highlight w:val="yellow"/>
              </w:rPr>
            </w:pPr>
          </w:p>
          <w:p w:rsidR="00693754" w:rsidRPr="00C520CB" w:rsidRDefault="00693754" w:rsidP="00693754">
            <w:pPr>
              <w:jc w:val="both"/>
            </w:pPr>
            <w:r w:rsidRPr="00C520CB">
              <w:t>Vlada Republike Slovenije soglaša s predlogom Slovenskega inštituta za standardizacijo, da se presežek prihodkov nad odhodki Slovenskega inštituta za standardizacijo iz leta 2022, v višini 251.341,65 EUR, ki je nastal pri izvajanju nalog 5.</w:t>
            </w:r>
            <w:r>
              <w:t xml:space="preserve"> in 6.</w:t>
            </w:r>
            <w:r w:rsidRPr="00C520CB">
              <w:t xml:space="preserve"> člena Zakona o standardizaciji (Urad</w:t>
            </w:r>
            <w:r>
              <w:t xml:space="preserve">ni list RS, št. 59/99) nameni za opravljanje in razvoj dejavnosti v </w:t>
            </w:r>
            <w:r w:rsidRPr="00C520CB">
              <w:t>višini 165.688,44 EUR in kritje stroškov za razvoj informacijskega sistema Slovenske</w:t>
            </w:r>
            <w:r>
              <w:t>ga inštituta za standardizacijo</w:t>
            </w:r>
            <w:r w:rsidRPr="00C520CB">
              <w:t xml:space="preserve"> v višini 85.653,21 EUR</w:t>
            </w:r>
            <w:r>
              <w:t>.</w:t>
            </w:r>
          </w:p>
          <w:p w:rsidR="00D44C99" w:rsidRPr="00C520CB" w:rsidRDefault="00D44C99" w:rsidP="00EE31AA">
            <w:pPr>
              <w:jc w:val="both"/>
              <w:rPr>
                <w:rFonts w:cs="Arial"/>
                <w:szCs w:val="20"/>
                <w:highlight w:val="yellow"/>
              </w:rPr>
            </w:pPr>
          </w:p>
        </w:tc>
      </w:tr>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textAlignment w:val="baseline"/>
              <w:outlineLvl w:val="3"/>
              <w:rPr>
                <w:rFonts w:cs="Arial"/>
                <w:b/>
                <w:lang w:eastAsia="sl-SI"/>
              </w:rPr>
            </w:pPr>
            <w:r w:rsidRPr="00C520CB">
              <w:rPr>
                <w:rFonts w:cs="Arial"/>
                <w:b/>
                <w:lang w:eastAsia="sl-SI"/>
              </w:rPr>
              <w:t>6. Presoja posledic za:</w:t>
            </w:r>
          </w:p>
        </w:tc>
      </w:tr>
      <w:tr w:rsidR="00C520CB" w:rsidRPr="00C520CB" w:rsidTr="00CC1EA9">
        <w:tc>
          <w:tcPr>
            <w:tcW w:w="1276" w:type="dxa"/>
          </w:tcPr>
          <w:p w:rsidR="006158DE" w:rsidRPr="00C520CB"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C520CB">
              <w:rPr>
                <w:rFonts w:cs="Arial"/>
                <w:iCs/>
                <w:lang w:eastAsia="sl-SI"/>
              </w:rPr>
              <w:t>a)</w:t>
            </w:r>
          </w:p>
        </w:tc>
        <w:tc>
          <w:tcPr>
            <w:tcW w:w="5953" w:type="dxa"/>
            <w:gridSpan w:val="2"/>
          </w:tcPr>
          <w:p w:rsidR="006158DE" w:rsidRPr="00C520CB" w:rsidRDefault="006158DE" w:rsidP="00CC1EA9">
            <w:pPr>
              <w:overflowPunct w:val="0"/>
              <w:autoSpaceDE w:val="0"/>
              <w:autoSpaceDN w:val="0"/>
              <w:adjustRightInd w:val="0"/>
              <w:spacing w:before="60" w:after="60" w:line="200" w:lineRule="exact"/>
              <w:textAlignment w:val="baseline"/>
              <w:rPr>
                <w:rFonts w:cs="Arial"/>
                <w:lang w:eastAsia="sl-SI"/>
              </w:rPr>
            </w:pPr>
            <w:r w:rsidRPr="00C520CB">
              <w:rPr>
                <w:rFonts w:cs="Arial"/>
                <w:lang w:eastAsia="sl-SI"/>
              </w:rPr>
              <w:t>javnofinančna sredstva v višini, večji od 40.000 EUR v tekočem in naslednjih treh letih</w:t>
            </w:r>
          </w:p>
        </w:tc>
        <w:tc>
          <w:tcPr>
            <w:tcW w:w="1985" w:type="dxa"/>
            <w:gridSpan w:val="2"/>
          </w:tcPr>
          <w:p w:rsidR="006158DE" w:rsidRPr="00C520CB" w:rsidRDefault="00D44C99" w:rsidP="00CC1EA9">
            <w:pPr>
              <w:overflowPunct w:val="0"/>
              <w:autoSpaceDE w:val="0"/>
              <w:autoSpaceDN w:val="0"/>
              <w:adjustRightInd w:val="0"/>
              <w:spacing w:before="60" w:after="60" w:line="200" w:lineRule="exact"/>
              <w:jc w:val="center"/>
              <w:textAlignment w:val="baseline"/>
              <w:rPr>
                <w:rFonts w:cs="Arial"/>
                <w:iCs/>
                <w:lang w:eastAsia="sl-SI"/>
              </w:rPr>
            </w:pPr>
            <w:r w:rsidRPr="00C520CB">
              <w:rPr>
                <w:rFonts w:cs="Arial"/>
                <w:lang w:eastAsia="sl-SI"/>
              </w:rPr>
              <w:t>NE</w:t>
            </w:r>
          </w:p>
        </w:tc>
      </w:tr>
      <w:tr w:rsidR="00C520CB" w:rsidRPr="00C520CB" w:rsidTr="00CC1EA9">
        <w:tc>
          <w:tcPr>
            <w:tcW w:w="1276" w:type="dxa"/>
          </w:tcPr>
          <w:p w:rsidR="006158DE" w:rsidRPr="00C520CB"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C520CB">
              <w:rPr>
                <w:rFonts w:cs="Arial"/>
                <w:iCs/>
                <w:lang w:eastAsia="sl-SI"/>
              </w:rPr>
              <w:t>b)</w:t>
            </w:r>
          </w:p>
        </w:tc>
        <w:tc>
          <w:tcPr>
            <w:tcW w:w="5953" w:type="dxa"/>
            <w:gridSpan w:val="2"/>
          </w:tcPr>
          <w:p w:rsidR="006158DE" w:rsidRPr="00C520CB" w:rsidRDefault="006158DE" w:rsidP="00CC1EA9">
            <w:pPr>
              <w:overflowPunct w:val="0"/>
              <w:autoSpaceDE w:val="0"/>
              <w:autoSpaceDN w:val="0"/>
              <w:adjustRightInd w:val="0"/>
              <w:spacing w:before="60" w:after="60" w:line="200" w:lineRule="exact"/>
              <w:textAlignment w:val="baseline"/>
              <w:rPr>
                <w:rFonts w:cs="Arial"/>
                <w:iCs/>
                <w:lang w:eastAsia="sl-SI"/>
              </w:rPr>
            </w:pPr>
            <w:r w:rsidRPr="00C520CB">
              <w:rPr>
                <w:rFonts w:cs="Arial"/>
                <w:bCs/>
                <w:lang w:eastAsia="sl-SI"/>
              </w:rPr>
              <w:t>usklajenost slovenskega pravnega reda s pravnim redom Evropske unije</w:t>
            </w:r>
          </w:p>
        </w:tc>
        <w:tc>
          <w:tcPr>
            <w:tcW w:w="1985" w:type="dxa"/>
            <w:gridSpan w:val="2"/>
          </w:tcPr>
          <w:p w:rsidR="006158DE" w:rsidRPr="00C520CB"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C520CB">
              <w:rPr>
                <w:rFonts w:cs="Arial"/>
                <w:lang w:eastAsia="sl-SI"/>
              </w:rPr>
              <w:t>NE</w:t>
            </w:r>
          </w:p>
        </w:tc>
      </w:tr>
      <w:tr w:rsidR="00C520CB" w:rsidRPr="00C520CB" w:rsidTr="00CC1EA9">
        <w:tc>
          <w:tcPr>
            <w:tcW w:w="1276" w:type="dxa"/>
          </w:tcPr>
          <w:p w:rsidR="006158DE" w:rsidRPr="00C520CB"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C520CB">
              <w:rPr>
                <w:rFonts w:cs="Arial"/>
                <w:iCs/>
                <w:lang w:eastAsia="sl-SI"/>
              </w:rPr>
              <w:t>c)</w:t>
            </w:r>
          </w:p>
        </w:tc>
        <w:tc>
          <w:tcPr>
            <w:tcW w:w="5953" w:type="dxa"/>
            <w:gridSpan w:val="2"/>
          </w:tcPr>
          <w:p w:rsidR="006158DE" w:rsidRPr="00C520CB" w:rsidRDefault="006158DE" w:rsidP="00CC1EA9">
            <w:pPr>
              <w:overflowPunct w:val="0"/>
              <w:autoSpaceDE w:val="0"/>
              <w:autoSpaceDN w:val="0"/>
              <w:adjustRightInd w:val="0"/>
              <w:spacing w:before="60" w:after="60" w:line="200" w:lineRule="exact"/>
              <w:textAlignment w:val="baseline"/>
              <w:rPr>
                <w:rFonts w:cs="Arial"/>
                <w:iCs/>
                <w:lang w:eastAsia="sl-SI"/>
              </w:rPr>
            </w:pPr>
            <w:r w:rsidRPr="00C520CB">
              <w:rPr>
                <w:rFonts w:cs="Arial"/>
                <w:lang w:eastAsia="sl-SI"/>
              </w:rPr>
              <w:t>administrativne posledice</w:t>
            </w:r>
          </w:p>
        </w:tc>
        <w:tc>
          <w:tcPr>
            <w:tcW w:w="1985" w:type="dxa"/>
            <w:gridSpan w:val="2"/>
          </w:tcPr>
          <w:p w:rsidR="006158DE" w:rsidRPr="00C520CB"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C520CB">
              <w:rPr>
                <w:rFonts w:cs="Arial"/>
                <w:lang w:eastAsia="sl-SI"/>
              </w:rPr>
              <w:t>NE</w:t>
            </w:r>
          </w:p>
        </w:tc>
      </w:tr>
      <w:tr w:rsidR="00C520CB" w:rsidRPr="00C520CB" w:rsidTr="00CC1EA9">
        <w:tc>
          <w:tcPr>
            <w:tcW w:w="1276" w:type="dxa"/>
          </w:tcPr>
          <w:p w:rsidR="006158DE" w:rsidRPr="00C520CB"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C520CB">
              <w:rPr>
                <w:rFonts w:cs="Arial"/>
                <w:iCs/>
                <w:lang w:eastAsia="sl-SI"/>
              </w:rPr>
              <w:t>č)</w:t>
            </w:r>
          </w:p>
        </w:tc>
        <w:tc>
          <w:tcPr>
            <w:tcW w:w="5953" w:type="dxa"/>
            <w:gridSpan w:val="2"/>
          </w:tcPr>
          <w:p w:rsidR="006158DE" w:rsidRPr="00C520CB" w:rsidRDefault="006158DE" w:rsidP="00CC1EA9">
            <w:pPr>
              <w:overflowPunct w:val="0"/>
              <w:autoSpaceDE w:val="0"/>
              <w:autoSpaceDN w:val="0"/>
              <w:adjustRightInd w:val="0"/>
              <w:spacing w:before="60" w:after="60" w:line="200" w:lineRule="exact"/>
              <w:textAlignment w:val="baseline"/>
              <w:rPr>
                <w:rFonts w:cs="Arial"/>
                <w:bCs/>
                <w:lang w:eastAsia="sl-SI"/>
              </w:rPr>
            </w:pPr>
            <w:r w:rsidRPr="00C520CB">
              <w:rPr>
                <w:rFonts w:cs="Arial"/>
                <w:lang w:eastAsia="sl-SI"/>
              </w:rPr>
              <w:t xml:space="preserve">na gospodarstvo, posebej </w:t>
            </w:r>
            <w:r w:rsidRPr="00C520CB">
              <w:rPr>
                <w:rFonts w:cs="Arial"/>
                <w:bCs/>
                <w:lang w:eastAsia="sl-SI"/>
              </w:rPr>
              <w:t>mala in srednja podjetja ter konkurenčnost podjetij</w:t>
            </w:r>
          </w:p>
        </w:tc>
        <w:tc>
          <w:tcPr>
            <w:tcW w:w="1985" w:type="dxa"/>
            <w:gridSpan w:val="2"/>
          </w:tcPr>
          <w:p w:rsidR="006158DE" w:rsidRPr="00C520CB" w:rsidRDefault="00D44C99" w:rsidP="00CC1EA9">
            <w:pPr>
              <w:overflowPunct w:val="0"/>
              <w:autoSpaceDE w:val="0"/>
              <w:autoSpaceDN w:val="0"/>
              <w:adjustRightInd w:val="0"/>
              <w:spacing w:before="60" w:after="60" w:line="200" w:lineRule="exact"/>
              <w:jc w:val="center"/>
              <w:textAlignment w:val="baseline"/>
              <w:rPr>
                <w:rFonts w:cs="Arial"/>
                <w:iCs/>
                <w:lang w:eastAsia="sl-SI"/>
              </w:rPr>
            </w:pPr>
            <w:r w:rsidRPr="00C520CB">
              <w:rPr>
                <w:rFonts w:cs="Arial"/>
                <w:lang w:eastAsia="sl-SI"/>
              </w:rPr>
              <w:t>NE</w:t>
            </w:r>
          </w:p>
        </w:tc>
      </w:tr>
      <w:tr w:rsidR="00C520CB" w:rsidRPr="00C520CB" w:rsidTr="00CC1EA9">
        <w:tc>
          <w:tcPr>
            <w:tcW w:w="1276" w:type="dxa"/>
          </w:tcPr>
          <w:p w:rsidR="006158DE" w:rsidRPr="00C520CB"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C520CB">
              <w:rPr>
                <w:rFonts w:cs="Arial"/>
                <w:iCs/>
                <w:lang w:eastAsia="sl-SI"/>
              </w:rPr>
              <w:t>d)</w:t>
            </w:r>
          </w:p>
        </w:tc>
        <w:tc>
          <w:tcPr>
            <w:tcW w:w="5953" w:type="dxa"/>
            <w:gridSpan w:val="2"/>
          </w:tcPr>
          <w:p w:rsidR="006158DE" w:rsidRPr="00C520CB" w:rsidRDefault="006158DE" w:rsidP="00CC1EA9">
            <w:pPr>
              <w:overflowPunct w:val="0"/>
              <w:autoSpaceDE w:val="0"/>
              <w:autoSpaceDN w:val="0"/>
              <w:adjustRightInd w:val="0"/>
              <w:spacing w:before="60" w:after="60" w:line="200" w:lineRule="exact"/>
              <w:textAlignment w:val="baseline"/>
              <w:rPr>
                <w:rFonts w:cs="Arial"/>
                <w:bCs/>
                <w:lang w:eastAsia="sl-SI"/>
              </w:rPr>
            </w:pPr>
            <w:r w:rsidRPr="00C520CB">
              <w:rPr>
                <w:rFonts w:cs="Arial"/>
                <w:bCs/>
                <w:lang w:eastAsia="sl-SI"/>
              </w:rPr>
              <w:t>okolje, vključno s prostorskimi in varstvenimi vidiki</w:t>
            </w:r>
          </w:p>
        </w:tc>
        <w:tc>
          <w:tcPr>
            <w:tcW w:w="1985" w:type="dxa"/>
            <w:gridSpan w:val="2"/>
          </w:tcPr>
          <w:p w:rsidR="006158DE" w:rsidRPr="00C520CB"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C520CB">
              <w:rPr>
                <w:rFonts w:cs="Arial"/>
                <w:lang w:eastAsia="sl-SI"/>
              </w:rPr>
              <w:t>NE</w:t>
            </w:r>
          </w:p>
        </w:tc>
      </w:tr>
      <w:tr w:rsidR="00C520CB" w:rsidRPr="00C520CB" w:rsidTr="00CC1EA9">
        <w:tc>
          <w:tcPr>
            <w:tcW w:w="1276" w:type="dxa"/>
          </w:tcPr>
          <w:p w:rsidR="006158DE" w:rsidRPr="00C520CB"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C520CB">
              <w:rPr>
                <w:rFonts w:cs="Arial"/>
                <w:iCs/>
                <w:lang w:eastAsia="sl-SI"/>
              </w:rPr>
              <w:t>e)</w:t>
            </w:r>
          </w:p>
        </w:tc>
        <w:tc>
          <w:tcPr>
            <w:tcW w:w="5953" w:type="dxa"/>
            <w:gridSpan w:val="2"/>
          </w:tcPr>
          <w:p w:rsidR="006158DE" w:rsidRPr="00C520CB" w:rsidRDefault="006158DE" w:rsidP="00CC1EA9">
            <w:pPr>
              <w:overflowPunct w:val="0"/>
              <w:autoSpaceDE w:val="0"/>
              <w:autoSpaceDN w:val="0"/>
              <w:adjustRightInd w:val="0"/>
              <w:spacing w:before="60" w:after="60" w:line="200" w:lineRule="exact"/>
              <w:textAlignment w:val="baseline"/>
              <w:rPr>
                <w:rFonts w:cs="Arial"/>
                <w:bCs/>
                <w:lang w:eastAsia="sl-SI"/>
              </w:rPr>
            </w:pPr>
            <w:r w:rsidRPr="00C520CB">
              <w:rPr>
                <w:rFonts w:cs="Arial"/>
                <w:bCs/>
                <w:lang w:eastAsia="sl-SI"/>
              </w:rPr>
              <w:t>socialno področje</w:t>
            </w:r>
          </w:p>
        </w:tc>
        <w:tc>
          <w:tcPr>
            <w:tcW w:w="1985" w:type="dxa"/>
            <w:gridSpan w:val="2"/>
          </w:tcPr>
          <w:p w:rsidR="006158DE" w:rsidRPr="00C520CB"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C520CB">
              <w:rPr>
                <w:rFonts w:cs="Arial"/>
                <w:lang w:eastAsia="sl-SI"/>
              </w:rPr>
              <w:t>NE</w:t>
            </w:r>
          </w:p>
        </w:tc>
      </w:tr>
      <w:tr w:rsidR="00C520CB" w:rsidRPr="00C520CB" w:rsidTr="00CC1EA9">
        <w:tc>
          <w:tcPr>
            <w:tcW w:w="1276" w:type="dxa"/>
          </w:tcPr>
          <w:p w:rsidR="006158DE" w:rsidRPr="00C520CB" w:rsidRDefault="006158DE" w:rsidP="00CC1EA9">
            <w:pPr>
              <w:overflowPunct w:val="0"/>
              <w:autoSpaceDE w:val="0"/>
              <w:autoSpaceDN w:val="0"/>
              <w:adjustRightInd w:val="0"/>
              <w:spacing w:before="60" w:after="60" w:line="200" w:lineRule="exact"/>
              <w:ind w:left="360"/>
              <w:jc w:val="both"/>
              <w:textAlignment w:val="baseline"/>
              <w:rPr>
                <w:rFonts w:cs="Arial"/>
                <w:iCs/>
                <w:lang w:eastAsia="sl-SI"/>
              </w:rPr>
            </w:pPr>
            <w:r w:rsidRPr="00C520CB">
              <w:rPr>
                <w:rFonts w:cs="Arial"/>
                <w:iCs/>
                <w:lang w:eastAsia="sl-SI"/>
              </w:rPr>
              <w:t>f)</w:t>
            </w:r>
          </w:p>
        </w:tc>
        <w:tc>
          <w:tcPr>
            <w:tcW w:w="5953" w:type="dxa"/>
            <w:gridSpan w:val="2"/>
          </w:tcPr>
          <w:p w:rsidR="006158DE" w:rsidRPr="00C520CB" w:rsidRDefault="006158DE" w:rsidP="00CC1EA9">
            <w:pPr>
              <w:overflowPunct w:val="0"/>
              <w:autoSpaceDE w:val="0"/>
              <w:autoSpaceDN w:val="0"/>
              <w:adjustRightInd w:val="0"/>
              <w:spacing w:before="60" w:after="60" w:line="200" w:lineRule="exact"/>
              <w:textAlignment w:val="baseline"/>
              <w:rPr>
                <w:rFonts w:cs="Arial"/>
                <w:bCs/>
                <w:lang w:eastAsia="sl-SI"/>
              </w:rPr>
            </w:pPr>
            <w:r w:rsidRPr="00C520CB">
              <w:rPr>
                <w:rFonts w:cs="Arial"/>
                <w:bCs/>
                <w:lang w:eastAsia="sl-SI"/>
              </w:rPr>
              <w:t>dokumente razvojnega načrtovanja:</w:t>
            </w:r>
          </w:p>
          <w:p w:rsidR="006158DE" w:rsidRPr="00C520CB"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C520CB">
              <w:rPr>
                <w:rFonts w:cs="Arial"/>
                <w:bCs/>
                <w:lang w:eastAsia="sl-SI"/>
              </w:rPr>
              <w:t>nacionalne dokumente razvojnega načrtovanja,</w:t>
            </w:r>
          </w:p>
          <w:p w:rsidR="006158DE" w:rsidRPr="00C520CB"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C520CB">
              <w:rPr>
                <w:rFonts w:cs="Arial"/>
                <w:bCs/>
                <w:lang w:eastAsia="sl-SI"/>
              </w:rPr>
              <w:t>razvojne politike na ravni programov po strukturi razvojne klasifikacije programskega proračuna</w:t>
            </w:r>
          </w:p>
          <w:p w:rsidR="006158DE" w:rsidRPr="00C520CB" w:rsidRDefault="006158DE" w:rsidP="006158DE">
            <w:pPr>
              <w:numPr>
                <w:ilvl w:val="0"/>
                <w:numId w:val="2"/>
              </w:numPr>
              <w:overflowPunct w:val="0"/>
              <w:autoSpaceDE w:val="0"/>
              <w:autoSpaceDN w:val="0"/>
              <w:adjustRightInd w:val="0"/>
              <w:spacing w:before="60" w:after="60" w:line="200" w:lineRule="exact"/>
              <w:textAlignment w:val="baseline"/>
              <w:rPr>
                <w:rFonts w:cs="Arial"/>
                <w:bCs/>
                <w:lang w:eastAsia="sl-SI"/>
              </w:rPr>
            </w:pPr>
            <w:r w:rsidRPr="00C520CB">
              <w:rPr>
                <w:rFonts w:cs="Arial"/>
                <w:bCs/>
                <w:lang w:eastAsia="sl-SI"/>
              </w:rPr>
              <w:t>razvojne dokumente Evropske unije in mednarodnih organizacij</w:t>
            </w:r>
          </w:p>
          <w:p w:rsidR="006158DE" w:rsidRPr="00C520CB" w:rsidRDefault="006158DE" w:rsidP="00CC1EA9">
            <w:pPr>
              <w:overflowPunct w:val="0"/>
              <w:autoSpaceDE w:val="0"/>
              <w:autoSpaceDN w:val="0"/>
              <w:adjustRightInd w:val="0"/>
              <w:spacing w:before="60" w:after="60" w:line="200" w:lineRule="exact"/>
              <w:ind w:left="720"/>
              <w:textAlignment w:val="baseline"/>
              <w:rPr>
                <w:rFonts w:cs="Arial"/>
                <w:bCs/>
                <w:lang w:eastAsia="sl-SI"/>
              </w:rPr>
            </w:pPr>
          </w:p>
        </w:tc>
        <w:tc>
          <w:tcPr>
            <w:tcW w:w="1985" w:type="dxa"/>
            <w:gridSpan w:val="2"/>
          </w:tcPr>
          <w:p w:rsidR="006158DE" w:rsidRPr="00C520CB" w:rsidRDefault="006158DE" w:rsidP="00CC1EA9">
            <w:pPr>
              <w:overflowPunct w:val="0"/>
              <w:autoSpaceDE w:val="0"/>
              <w:autoSpaceDN w:val="0"/>
              <w:adjustRightInd w:val="0"/>
              <w:spacing w:before="60" w:after="60" w:line="200" w:lineRule="exact"/>
              <w:jc w:val="center"/>
              <w:textAlignment w:val="baseline"/>
              <w:rPr>
                <w:rFonts w:cs="Arial"/>
                <w:iCs/>
                <w:lang w:eastAsia="sl-SI"/>
              </w:rPr>
            </w:pPr>
            <w:r w:rsidRPr="00C520CB">
              <w:rPr>
                <w:rFonts w:cs="Arial"/>
                <w:lang w:eastAsia="sl-SI"/>
              </w:rPr>
              <w:t>NE</w:t>
            </w:r>
          </w:p>
        </w:tc>
      </w:tr>
      <w:tr w:rsidR="00C520CB" w:rsidRPr="00C520CB" w:rsidTr="00CC1EA9">
        <w:tc>
          <w:tcPr>
            <w:tcW w:w="9214" w:type="dxa"/>
            <w:gridSpan w:val="5"/>
            <w:tcBorders>
              <w:bottom w:val="single" w:sz="4" w:space="0" w:color="000000"/>
            </w:tcBorders>
          </w:tcPr>
          <w:p w:rsidR="006158DE" w:rsidRPr="00C520CB" w:rsidRDefault="006158DE" w:rsidP="00CC1EA9">
            <w:pPr>
              <w:pStyle w:val="Oddelek"/>
              <w:numPr>
                <w:ilvl w:val="0"/>
                <w:numId w:val="0"/>
              </w:numPr>
              <w:spacing w:before="0" w:line="276" w:lineRule="auto"/>
              <w:jc w:val="left"/>
              <w:rPr>
                <w:rFonts w:cs="Times New Roman"/>
                <w:sz w:val="20"/>
                <w:szCs w:val="24"/>
                <w:lang w:eastAsia="en-US"/>
              </w:rPr>
            </w:pPr>
            <w:r w:rsidRPr="00C520CB">
              <w:rPr>
                <w:rFonts w:cs="Times New Roman"/>
                <w:sz w:val="20"/>
                <w:szCs w:val="24"/>
                <w:lang w:eastAsia="en-US"/>
              </w:rPr>
              <w:t xml:space="preserve">7.a Predstavitev ocene finančnih posledic nad 40.000 EUR: </w:t>
            </w:r>
          </w:p>
          <w:p w:rsidR="00156E1B" w:rsidRPr="00C520CB" w:rsidRDefault="00156E1B" w:rsidP="00CC1EA9">
            <w:pPr>
              <w:pStyle w:val="Oddelek"/>
              <w:numPr>
                <w:ilvl w:val="0"/>
                <w:numId w:val="0"/>
              </w:numPr>
              <w:spacing w:before="0" w:line="276" w:lineRule="auto"/>
              <w:jc w:val="left"/>
              <w:rPr>
                <w:rFonts w:cs="Times New Roman"/>
                <w:sz w:val="20"/>
                <w:szCs w:val="24"/>
                <w:lang w:eastAsia="en-US"/>
              </w:rPr>
            </w:pPr>
            <w:r w:rsidRPr="00C520CB">
              <w:rPr>
                <w:rFonts w:cs="Times New Roman"/>
                <w:sz w:val="20"/>
                <w:szCs w:val="24"/>
                <w:lang w:eastAsia="en-US"/>
              </w:rPr>
              <w:t>/</w:t>
            </w:r>
          </w:p>
        </w:tc>
      </w:tr>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spacing w:after="60"/>
              <w:textAlignment w:val="baseline"/>
              <w:outlineLvl w:val="3"/>
              <w:rPr>
                <w:rFonts w:cs="Arial"/>
                <w:lang w:eastAsia="sl-SI"/>
              </w:rPr>
            </w:pPr>
            <w:r w:rsidRPr="00C520CB">
              <w:rPr>
                <w:rFonts w:cs="Arial"/>
                <w:b/>
                <w:lang w:eastAsia="sl-SI"/>
              </w:rPr>
              <w:t xml:space="preserve">7.b Predstavitev ocene finančnih posledic pod 40.000 EUR: </w:t>
            </w:r>
          </w:p>
          <w:p w:rsidR="00156E1B" w:rsidRPr="00C520CB" w:rsidRDefault="00156E1B" w:rsidP="00CC1EA9">
            <w:pPr>
              <w:suppressAutoHyphens/>
              <w:overflowPunct w:val="0"/>
              <w:autoSpaceDE w:val="0"/>
              <w:autoSpaceDN w:val="0"/>
              <w:adjustRightInd w:val="0"/>
              <w:spacing w:after="60"/>
              <w:textAlignment w:val="baseline"/>
              <w:outlineLvl w:val="3"/>
              <w:rPr>
                <w:rFonts w:cs="Arial"/>
                <w:b/>
                <w:lang w:eastAsia="sl-SI"/>
              </w:rPr>
            </w:pPr>
            <w:r w:rsidRPr="00C520CB">
              <w:rPr>
                <w:rFonts w:cs="Arial"/>
                <w:lang w:eastAsia="sl-SI"/>
              </w:rPr>
              <w:t>Gradivo nima finančnih posledic.</w:t>
            </w:r>
          </w:p>
        </w:tc>
      </w:tr>
      <w:tr w:rsidR="00C520CB" w:rsidRPr="00C520CB" w:rsidTr="00CC1EA9">
        <w:tc>
          <w:tcPr>
            <w:tcW w:w="9214" w:type="dxa"/>
            <w:gridSpan w:val="5"/>
            <w:tcBorders>
              <w:top w:val="single" w:sz="4" w:space="0" w:color="000000"/>
              <w:left w:val="single" w:sz="4" w:space="0" w:color="000000"/>
              <w:bottom w:val="single" w:sz="4" w:space="0" w:color="000000"/>
              <w:right w:val="single" w:sz="4" w:space="0" w:color="000000"/>
            </w:tcBorders>
          </w:tcPr>
          <w:p w:rsidR="006158DE" w:rsidRPr="00C520CB" w:rsidRDefault="006158DE" w:rsidP="00CC1EA9">
            <w:pPr>
              <w:rPr>
                <w:rFonts w:cs="Arial"/>
                <w:b/>
                <w:lang w:eastAsia="sl-SI"/>
              </w:rPr>
            </w:pPr>
            <w:r w:rsidRPr="00C520CB">
              <w:rPr>
                <w:rFonts w:cs="Arial"/>
                <w:b/>
                <w:lang w:eastAsia="sl-SI"/>
              </w:rPr>
              <w:t>8. Predstavitev sodelovanja z združenji občin:</w:t>
            </w:r>
          </w:p>
        </w:tc>
      </w:tr>
      <w:tr w:rsidR="00C520CB" w:rsidRPr="00C520CB" w:rsidTr="00CC1EA9">
        <w:tc>
          <w:tcPr>
            <w:tcW w:w="6669" w:type="dxa"/>
            <w:gridSpan w:val="2"/>
          </w:tcPr>
          <w:p w:rsidR="006158DE" w:rsidRPr="00C520CB" w:rsidRDefault="006158DE" w:rsidP="00CC1EA9">
            <w:pPr>
              <w:pStyle w:val="Neotevilenodstavek"/>
              <w:widowControl w:val="0"/>
              <w:spacing w:before="0" w:after="0" w:line="260" w:lineRule="exact"/>
              <w:rPr>
                <w:iCs/>
                <w:sz w:val="20"/>
                <w:szCs w:val="20"/>
              </w:rPr>
            </w:pPr>
            <w:r w:rsidRPr="00C520CB">
              <w:rPr>
                <w:iCs/>
                <w:sz w:val="20"/>
                <w:szCs w:val="20"/>
              </w:rPr>
              <w:t>Vsebina predloženega gradiva (predpisa) vpliva na:</w:t>
            </w:r>
          </w:p>
          <w:p w:rsidR="006158DE" w:rsidRPr="00C520CB" w:rsidRDefault="006158DE" w:rsidP="006158DE">
            <w:pPr>
              <w:pStyle w:val="Neotevilenodstavek"/>
              <w:widowControl w:val="0"/>
              <w:numPr>
                <w:ilvl w:val="0"/>
                <w:numId w:val="5"/>
              </w:numPr>
              <w:spacing w:before="0" w:after="0" w:line="260" w:lineRule="exact"/>
              <w:rPr>
                <w:iCs/>
                <w:sz w:val="20"/>
                <w:szCs w:val="20"/>
              </w:rPr>
            </w:pPr>
            <w:r w:rsidRPr="00C520CB">
              <w:rPr>
                <w:iCs/>
                <w:sz w:val="20"/>
                <w:szCs w:val="20"/>
              </w:rPr>
              <w:t>pristojnosti občin,</w:t>
            </w:r>
          </w:p>
          <w:p w:rsidR="006158DE" w:rsidRPr="00C520CB" w:rsidRDefault="006158DE" w:rsidP="006158DE">
            <w:pPr>
              <w:pStyle w:val="Neotevilenodstavek"/>
              <w:widowControl w:val="0"/>
              <w:numPr>
                <w:ilvl w:val="0"/>
                <w:numId w:val="5"/>
              </w:numPr>
              <w:spacing w:before="0" w:after="0" w:line="260" w:lineRule="exact"/>
              <w:rPr>
                <w:iCs/>
                <w:sz w:val="20"/>
                <w:szCs w:val="20"/>
              </w:rPr>
            </w:pPr>
            <w:r w:rsidRPr="00C520CB">
              <w:rPr>
                <w:iCs/>
                <w:sz w:val="20"/>
                <w:szCs w:val="20"/>
              </w:rPr>
              <w:t>delovanje občin,</w:t>
            </w:r>
          </w:p>
          <w:p w:rsidR="006158DE" w:rsidRPr="00C520CB" w:rsidRDefault="006158DE" w:rsidP="006158DE">
            <w:pPr>
              <w:pStyle w:val="Neotevilenodstavek"/>
              <w:widowControl w:val="0"/>
              <w:numPr>
                <w:ilvl w:val="0"/>
                <w:numId w:val="5"/>
              </w:numPr>
              <w:spacing w:before="0" w:after="0" w:line="260" w:lineRule="exact"/>
              <w:rPr>
                <w:iCs/>
                <w:sz w:val="20"/>
                <w:szCs w:val="20"/>
              </w:rPr>
            </w:pPr>
            <w:r w:rsidRPr="00C520CB">
              <w:rPr>
                <w:iCs/>
                <w:sz w:val="20"/>
                <w:szCs w:val="20"/>
              </w:rPr>
              <w:t>financiranje občin.</w:t>
            </w:r>
          </w:p>
        </w:tc>
        <w:tc>
          <w:tcPr>
            <w:tcW w:w="2545" w:type="dxa"/>
            <w:gridSpan w:val="3"/>
          </w:tcPr>
          <w:p w:rsidR="006158DE" w:rsidRPr="00C520CB" w:rsidRDefault="006158DE" w:rsidP="00CC1EA9">
            <w:pPr>
              <w:pStyle w:val="Neotevilenodstavek"/>
              <w:widowControl w:val="0"/>
              <w:spacing w:before="0" w:after="0" w:line="260" w:lineRule="exact"/>
              <w:jc w:val="center"/>
              <w:rPr>
                <w:sz w:val="20"/>
                <w:szCs w:val="20"/>
              </w:rPr>
            </w:pPr>
            <w:r w:rsidRPr="00C520CB">
              <w:rPr>
                <w:sz w:val="20"/>
                <w:szCs w:val="20"/>
              </w:rPr>
              <w:t>NE</w:t>
            </w:r>
          </w:p>
        </w:tc>
      </w:tr>
      <w:tr w:rsidR="00C520CB" w:rsidRPr="00C520CB" w:rsidTr="00CC1EA9">
        <w:trPr>
          <w:trHeight w:val="274"/>
        </w:trPr>
        <w:tc>
          <w:tcPr>
            <w:tcW w:w="9214" w:type="dxa"/>
            <w:gridSpan w:val="5"/>
          </w:tcPr>
          <w:p w:rsidR="006158DE" w:rsidRPr="00C520CB" w:rsidRDefault="006158DE" w:rsidP="00CC1EA9">
            <w:pPr>
              <w:pStyle w:val="Neotevilenodstavek"/>
              <w:widowControl w:val="0"/>
              <w:spacing w:before="0" w:after="0" w:line="260" w:lineRule="exact"/>
              <w:rPr>
                <w:iCs/>
                <w:sz w:val="20"/>
                <w:szCs w:val="20"/>
              </w:rPr>
            </w:pPr>
            <w:r w:rsidRPr="00C520CB">
              <w:rPr>
                <w:iCs/>
                <w:sz w:val="20"/>
                <w:szCs w:val="20"/>
              </w:rPr>
              <w:t xml:space="preserve">Gradivo (predpis) je bilo poslano v mnenje: </w:t>
            </w:r>
          </w:p>
          <w:p w:rsidR="006158DE" w:rsidRPr="00C520CB" w:rsidRDefault="006158DE" w:rsidP="006158DE">
            <w:pPr>
              <w:pStyle w:val="Neotevilenodstavek"/>
              <w:widowControl w:val="0"/>
              <w:numPr>
                <w:ilvl w:val="0"/>
                <w:numId w:val="5"/>
              </w:numPr>
              <w:spacing w:before="0" w:after="0" w:line="260" w:lineRule="exact"/>
              <w:rPr>
                <w:iCs/>
                <w:sz w:val="20"/>
                <w:szCs w:val="20"/>
              </w:rPr>
            </w:pPr>
            <w:r w:rsidRPr="00C520CB">
              <w:rPr>
                <w:iCs/>
                <w:sz w:val="20"/>
                <w:szCs w:val="20"/>
              </w:rPr>
              <w:t>Skupnosti občin Slovenije - SOS: NE</w:t>
            </w:r>
          </w:p>
          <w:p w:rsidR="006158DE" w:rsidRPr="00C520CB" w:rsidRDefault="006158DE" w:rsidP="006158DE">
            <w:pPr>
              <w:pStyle w:val="Neotevilenodstavek"/>
              <w:widowControl w:val="0"/>
              <w:numPr>
                <w:ilvl w:val="0"/>
                <w:numId w:val="5"/>
              </w:numPr>
              <w:spacing w:before="0" w:after="0" w:line="260" w:lineRule="exact"/>
              <w:rPr>
                <w:iCs/>
                <w:sz w:val="20"/>
                <w:szCs w:val="20"/>
              </w:rPr>
            </w:pPr>
            <w:r w:rsidRPr="00C520CB">
              <w:rPr>
                <w:iCs/>
                <w:sz w:val="20"/>
                <w:szCs w:val="20"/>
              </w:rPr>
              <w:t>Združenju občin Slovenije - ZOS: NE</w:t>
            </w:r>
          </w:p>
          <w:p w:rsidR="006158DE" w:rsidRPr="00C520CB" w:rsidRDefault="006158DE" w:rsidP="006158DE">
            <w:pPr>
              <w:pStyle w:val="Neotevilenodstavek"/>
              <w:widowControl w:val="0"/>
              <w:numPr>
                <w:ilvl w:val="0"/>
                <w:numId w:val="5"/>
              </w:numPr>
              <w:spacing w:before="0" w:after="0" w:line="260" w:lineRule="exact"/>
              <w:rPr>
                <w:iCs/>
                <w:sz w:val="20"/>
                <w:szCs w:val="20"/>
              </w:rPr>
            </w:pPr>
            <w:r w:rsidRPr="00C520CB">
              <w:rPr>
                <w:iCs/>
                <w:sz w:val="20"/>
                <w:szCs w:val="20"/>
              </w:rPr>
              <w:t>Združenju mestnih občin Slovenije - ZMOS: NE</w:t>
            </w:r>
          </w:p>
          <w:p w:rsidR="006158DE" w:rsidRPr="00C520CB" w:rsidRDefault="006158DE" w:rsidP="00CC1EA9">
            <w:pPr>
              <w:pStyle w:val="Neotevilenodstavek"/>
              <w:widowControl w:val="0"/>
              <w:spacing w:before="0" w:after="0" w:line="260" w:lineRule="exact"/>
              <w:rPr>
                <w:iCs/>
                <w:sz w:val="20"/>
                <w:szCs w:val="20"/>
              </w:rPr>
            </w:pPr>
          </w:p>
          <w:p w:rsidR="006158DE" w:rsidRPr="00C520CB" w:rsidRDefault="006158DE" w:rsidP="00CC1EA9">
            <w:pPr>
              <w:pStyle w:val="Neotevilenodstavek"/>
              <w:widowControl w:val="0"/>
              <w:spacing w:before="0" w:after="0" w:line="260" w:lineRule="exact"/>
              <w:rPr>
                <w:iCs/>
                <w:sz w:val="20"/>
                <w:szCs w:val="20"/>
              </w:rPr>
            </w:pPr>
            <w:r w:rsidRPr="00C520CB">
              <w:rPr>
                <w:iCs/>
                <w:sz w:val="20"/>
                <w:szCs w:val="20"/>
              </w:rPr>
              <w:t>Predlogi in pripombe združenj so bili upoštevani:</w:t>
            </w:r>
          </w:p>
          <w:p w:rsidR="006158DE" w:rsidRPr="00C520CB" w:rsidRDefault="006158DE" w:rsidP="006158DE">
            <w:pPr>
              <w:pStyle w:val="Neotevilenodstavek"/>
              <w:widowControl w:val="0"/>
              <w:numPr>
                <w:ilvl w:val="0"/>
                <w:numId w:val="6"/>
              </w:numPr>
              <w:spacing w:before="0" w:after="0" w:line="260" w:lineRule="exact"/>
              <w:rPr>
                <w:iCs/>
                <w:sz w:val="20"/>
                <w:szCs w:val="20"/>
              </w:rPr>
            </w:pPr>
            <w:r w:rsidRPr="00C520CB">
              <w:rPr>
                <w:iCs/>
                <w:sz w:val="20"/>
                <w:szCs w:val="20"/>
              </w:rPr>
              <w:t>v celoti,</w:t>
            </w:r>
          </w:p>
          <w:p w:rsidR="006158DE" w:rsidRPr="00C520CB" w:rsidRDefault="006158DE" w:rsidP="006158DE">
            <w:pPr>
              <w:pStyle w:val="Neotevilenodstavek"/>
              <w:widowControl w:val="0"/>
              <w:numPr>
                <w:ilvl w:val="0"/>
                <w:numId w:val="6"/>
              </w:numPr>
              <w:spacing w:before="0" w:after="0" w:line="260" w:lineRule="exact"/>
              <w:rPr>
                <w:iCs/>
                <w:sz w:val="20"/>
                <w:szCs w:val="20"/>
              </w:rPr>
            </w:pPr>
            <w:r w:rsidRPr="00C520CB">
              <w:rPr>
                <w:iCs/>
                <w:sz w:val="20"/>
                <w:szCs w:val="20"/>
              </w:rPr>
              <w:t>večinoma,</w:t>
            </w:r>
          </w:p>
          <w:p w:rsidR="006158DE" w:rsidRPr="00C520CB" w:rsidRDefault="006158DE" w:rsidP="006158DE">
            <w:pPr>
              <w:pStyle w:val="Neotevilenodstavek"/>
              <w:widowControl w:val="0"/>
              <w:numPr>
                <w:ilvl w:val="0"/>
                <w:numId w:val="6"/>
              </w:numPr>
              <w:spacing w:before="0" w:after="0" w:line="260" w:lineRule="exact"/>
              <w:rPr>
                <w:iCs/>
                <w:sz w:val="20"/>
                <w:szCs w:val="20"/>
              </w:rPr>
            </w:pPr>
            <w:r w:rsidRPr="00C520CB">
              <w:rPr>
                <w:iCs/>
                <w:sz w:val="20"/>
                <w:szCs w:val="20"/>
              </w:rPr>
              <w:t>delno,</w:t>
            </w:r>
          </w:p>
          <w:p w:rsidR="006158DE" w:rsidRPr="00C520CB" w:rsidRDefault="006158DE" w:rsidP="006158DE">
            <w:pPr>
              <w:pStyle w:val="Neotevilenodstavek"/>
              <w:widowControl w:val="0"/>
              <w:numPr>
                <w:ilvl w:val="0"/>
                <w:numId w:val="6"/>
              </w:numPr>
              <w:spacing w:before="0" w:after="0" w:line="260" w:lineRule="exact"/>
              <w:rPr>
                <w:iCs/>
                <w:sz w:val="20"/>
                <w:szCs w:val="20"/>
              </w:rPr>
            </w:pPr>
            <w:r w:rsidRPr="00C520CB">
              <w:rPr>
                <w:iCs/>
                <w:sz w:val="20"/>
                <w:szCs w:val="20"/>
              </w:rPr>
              <w:t>niso bili upoštevani.</w:t>
            </w:r>
          </w:p>
          <w:p w:rsidR="006158DE" w:rsidRPr="00C520CB" w:rsidRDefault="006158DE" w:rsidP="00CC1EA9">
            <w:pPr>
              <w:pStyle w:val="Neotevilenodstavek"/>
              <w:widowControl w:val="0"/>
              <w:spacing w:before="0" w:after="0" w:line="260" w:lineRule="exact"/>
              <w:ind w:left="360"/>
              <w:rPr>
                <w:iCs/>
                <w:sz w:val="20"/>
                <w:szCs w:val="20"/>
              </w:rPr>
            </w:pPr>
          </w:p>
          <w:p w:rsidR="006158DE" w:rsidRPr="00C520CB" w:rsidRDefault="006158DE" w:rsidP="00CC1EA9">
            <w:pPr>
              <w:pStyle w:val="Neotevilenodstavek"/>
              <w:widowControl w:val="0"/>
              <w:spacing w:before="0" w:after="0" w:line="260" w:lineRule="exact"/>
              <w:rPr>
                <w:iCs/>
                <w:sz w:val="20"/>
                <w:szCs w:val="20"/>
              </w:rPr>
            </w:pPr>
            <w:r w:rsidRPr="00C520CB">
              <w:rPr>
                <w:iCs/>
                <w:sz w:val="20"/>
                <w:szCs w:val="20"/>
              </w:rPr>
              <w:t>Bistveni predlogi in pripombe, ki niso bili upoštevani.</w:t>
            </w:r>
          </w:p>
          <w:p w:rsidR="006158DE" w:rsidRPr="00C520CB" w:rsidRDefault="006158DE" w:rsidP="00CC1EA9">
            <w:pPr>
              <w:pStyle w:val="Neotevilenodstavek"/>
              <w:widowControl w:val="0"/>
              <w:spacing w:before="0" w:after="0" w:line="260" w:lineRule="exact"/>
              <w:rPr>
                <w:iCs/>
                <w:sz w:val="20"/>
                <w:szCs w:val="20"/>
              </w:rPr>
            </w:pPr>
          </w:p>
        </w:tc>
      </w:tr>
      <w:tr w:rsidR="00C520CB" w:rsidRPr="00C520CB" w:rsidTr="00CC1EA9">
        <w:tc>
          <w:tcPr>
            <w:tcW w:w="9214" w:type="dxa"/>
            <w:gridSpan w:val="5"/>
          </w:tcPr>
          <w:p w:rsidR="006158DE" w:rsidRPr="00C520CB" w:rsidRDefault="006158DE" w:rsidP="00CC1EA9">
            <w:pPr>
              <w:suppressAutoHyphens/>
              <w:overflowPunct w:val="0"/>
              <w:autoSpaceDE w:val="0"/>
              <w:autoSpaceDN w:val="0"/>
              <w:adjustRightInd w:val="0"/>
              <w:textAlignment w:val="baseline"/>
              <w:outlineLvl w:val="3"/>
              <w:rPr>
                <w:rFonts w:cs="Arial"/>
                <w:b/>
                <w:lang w:eastAsia="sl-SI"/>
              </w:rPr>
            </w:pPr>
            <w:r w:rsidRPr="00C520CB">
              <w:rPr>
                <w:rFonts w:cs="Arial"/>
                <w:b/>
                <w:lang w:eastAsia="sl-SI"/>
              </w:rPr>
              <w:t>9. Predstavitev sodelovanja javnosti:</w:t>
            </w:r>
          </w:p>
        </w:tc>
      </w:tr>
      <w:tr w:rsidR="00C520CB" w:rsidRPr="00C520CB" w:rsidTr="00CC1EA9">
        <w:tc>
          <w:tcPr>
            <w:tcW w:w="7860" w:type="dxa"/>
            <w:gridSpan w:val="4"/>
          </w:tcPr>
          <w:p w:rsidR="006158DE" w:rsidRPr="00C520CB" w:rsidRDefault="006158DE" w:rsidP="00CC1EA9">
            <w:pPr>
              <w:overflowPunct w:val="0"/>
              <w:autoSpaceDE w:val="0"/>
              <w:autoSpaceDN w:val="0"/>
              <w:adjustRightInd w:val="0"/>
              <w:spacing w:before="60" w:after="60" w:line="200" w:lineRule="exact"/>
              <w:jc w:val="both"/>
              <w:textAlignment w:val="baseline"/>
              <w:rPr>
                <w:rFonts w:cs="Arial"/>
                <w:lang w:eastAsia="sl-SI"/>
              </w:rPr>
            </w:pPr>
            <w:r w:rsidRPr="00C520CB">
              <w:rPr>
                <w:rFonts w:cs="Arial"/>
                <w:iCs/>
                <w:lang w:eastAsia="sl-SI"/>
              </w:rPr>
              <w:t>Gradivo je bilo predhodno objavljeno na spletni strani predlagatelja:</w:t>
            </w:r>
          </w:p>
        </w:tc>
        <w:tc>
          <w:tcPr>
            <w:tcW w:w="1354" w:type="dxa"/>
          </w:tcPr>
          <w:p w:rsidR="006158DE" w:rsidRPr="00C520CB" w:rsidRDefault="00156E1B" w:rsidP="00CC1EA9">
            <w:pPr>
              <w:overflowPunct w:val="0"/>
              <w:autoSpaceDE w:val="0"/>
              <w:autoSpaceDN w:val="0"/>
              <w:adjustRightInd w:val="0"/>
              <w:spacing w:before="60" w:after="60" w:line="200" w:lineRule="exact"/>
              <w:jc w:val="center"/>
              <w:textAlignment w:val="baseline"/>
              <w:rPr>
                <w:rFonts w:cs="Arial"/>
                <w:iCs/>
                <w:lang w:eastAsia="sl-SI"/>
              </w:rPr>
            </w:pPr>
            <w:r w:rsidRPr="00C520CB">
              <w:rPr>
                <w:rFonts w:cs="Arial"/>
                <w:lang w:eastAsia="sl-SI"/>
              </w:rPr>
              <w:t>NE</w:t>
            </w:r>
          </w:p>
        </w:tc>
      </w:tr>
      <w:tr w:rsidR="00C520CB" w:rsidRPr="00C520CB" w:rsidTr="00CC1EA9">
        <w:tc>
          <w:tcPr>
            <w:tcW w:w="9214" w:type="dxa"/>
            <w:gridSpan w:val="5"/>
          </w:tcPr>
          <w:p w:rsidR="006158DE" w:rsidRPr="00C520CB" w:rsidRDefault="00156E1B" w:rsidP="00CC1EA9">
            <w:pPr>
              <w:spacing w:line="260" w:lineRule="atLeast"/>
              <w:jc w:val="both"/>
              <w:rPr>
                <w:rFonts w:cs="Arial"/>
              </w:rPr>
            </w:pPr>
            <w:r w:rsidRPr="00C520CB">
              <w:rPr>
                <w:rFonts w:cs="Arial"/>
              </w:rPr>
              <w:t>Gradivo ni take narave, da bi se zahtevalo sodelovanje javnosti.</w:t>
            </w:r>
          </w:p>
        </w:tc>
      </w:tr>
      <w:tr w:rsidR="00C520CB" w:rsidRPr="00C520CB" w:rsidTr="00CC1EA9">
        <w:tc>
          <w:tcPr>
            <w:tcW w:w="7860" w:type="dxa"/>
            <w:gridSpan w:val="4"/>
            <w:tcBorders>
              <w:top w:val="single" w:sz="4" w:space="0" w:color="000000"/>
              <w:left w:val="single" w:sz="4" w:space="0" w:color="000000"/>
              <w:bottom w:val="single" w:sz="4" w:space="0" w:color="000000"/>
              <w:right w:val="single" w:sz="4" w:space="0" w:color="000000"/>
            </w:tcBorders>
          </w:tcPr>
          <w:p w:rsidR="006158DE" w:rsidRPr="00C520CB" w:rsidRDefault="006158DE" w:rsidP="00CC1EA9">
            <w:pPr>
              <w:suppressAutoHyphens/>
              <w:overflowPunct w:val="0"/>
              <w:autoSpaceDE w:val="0"/>
              <w:autoSpaceDN w:val="0"/>
              <w:adjustRightInd w:val="0"/>
              <w:ind w:left="300" w:hanging="300"/>
              <w:textAlignment w:val="baseline"/>
              <w:outlineLvl w:val="3"/>
              <w:rPr>
                <w:rFonts w:cs="Arial"/>
                <w:b/>
                <w:lang w:eastAsia="sl-SI"/>
              </w:rPr>
            </w:pPr>
            <w:r w:rsidRPr="00C520CB">
              <w:rPr>
                <w:rFonts w:cs="Arial"/>
                <w:b/>
                <w:lang w:eastAsia="sl-SI"/>
              </w:rPr>
              <w:t>10. Pri pripravi gradiva so bile upoštevane zahteve iz Resolucije o normativni dejavnosti:</w:t>
            </w:r>
          </w:p>
        </w:tc>
        <w:tc>
          <w:tcPr>
            <w:tcW w:w="1354" w:type="dxa"/>
            <w:tcBorders>
              <w:top w:val="single" w:sz="4" w:space="0" w:color="000000"/>
              <w:left w:val="single" w:sz="4" w:space="0" w:color="000000"/>
              <w:bottom w:val="single" w:sz="4" w:space="0" w:color="000000"/>
              <w:right w:val="single" w:sz="4" w:space="0" w:color="000000"/>
            </w:tcBorders>
          </w:tcPr>
          <w:p w:rsidR="006158DE" w:rsidRPr="00C520CB" w:rsidRDefault="006158DE" w:rsidP="00CC1EA9">
            <w:pPr>
              <w:overflowPunct w:val="0"/>
              <w:autoSpaceDE w:val="0"/>
              <w:autoSpaceDN w:val="0"/>
              <w:adjustRightInd w:val="0"/>
              <w:ind w:left="709" w:hanging="284"/>
              <w:jc w:val="both"/>
              <w:textAlignment w:val="baseline"/>
              <w:rPr>
                <w:rFonts w:cs="Arial"/>
                <w:b/>
                <w:bCs/>
                <w:lang w:eastAsia="sl-SI"/>
              </w:rPr>
            </w:pPr>
            <w:r w:rsidRPr="00C520CB">
              <w:rPr>
                <w:rFonts w:cs="Arial"/>
                <w:lang w:eastAsia="sl-SI"/>
              </w:rPr>
              <w:t>NE</w:t>
            </w:r>
          </w:p>
        </w:tc>
      </w:tr>
      <w:tr w:rsidR="006158DE" w:rsidRPr="00C520CB" w:rsidTr="00CC1EA9">
        <w:tc>
          <w:tcPr>
            <w:tcW w:w="7860" w:type="dxa"/>
            <w:gridSpan w:val="4"/>
            <w:tcBorders>
              <w:top w:val="single" w:sz="4" w:space="0" w:color="000000"/>
              <w:left w:val="single" w:sz="4" w:space="0" w:color="000000"/>
              <w:bottom w:val="single" w:sz="4" w:space="0" w:color="000000"/>
              <w:right w:val="single" w:sz="4" w:space="0" w:color="000000"/>
            </w:tcBorders>
          </w:tcPr>
          <w:p w:rsidR="006158DE" w:rsidRPr="00C520CB" w:rsidRDefault="006158DE" w:rsidP="00CC1EA9">
            <w:pPr>
              <w:suppressAutoHyphens/>
              <w:overflowPunct w:val="0"/>
              <w:autoSpaceDE w:val="0"/>
              <w:autoSpaceDN w:val="0"/>
              <w:adjustRightInd w:val="0"/>
              <w:textAlignment w:val="baseline"/>
              <w:outlineLvl w:val="3"/>
              <w:rPr>
                <w:rFonts w:cs="Arial"/>
                <w:b/>
                <w:lang w:eastAsia="sl-SI"/>
              </w:rPr>
            </w:pPr>
            <w:r w:rsidRPr="00C520CB">
              <w:rPr>
                <w:rFonts w:cs="Arial"/>
                <w:b/>
                <w:lang w:eastAsia="sl-SI"/>
              </w:rPr>
              <w:t>11. Gradivo je uvrščeno v delovni program vlade:</w:t>
            </w:r>
          </w:p>
        </w:tc>
        <w:tc>
          <w:tcPr>
            <w:tcW w:w="1354" w:type="dxa"/>
            <w:tcBorders>
              <w:top w:val="single" w:sz="4" w:space="0" w:color="000000"/>
              <w:left w:val="single" w:sz="4" w:space="0" w:color="000000"/>
              <w:bottom w:val="single" w:sz="4" w:space="0" w:color="000000"/>
              <w:right w:val="single" w:sz="4" w:space="0" w:color="000000"/>
            </w:tcBorders>
          </w:tcPr>
          <w:p w:rsidR="006158DE" w:rsidRPr="00C520CB" w:rsidRDefault="006158DE" w:rsidP="00CC1EA9">
            <w:pPr>
              <w:overflowPunct w:val="0"/>
              <w:autoSpaceDE w:val="0"/>
              <w:autoSpaceDN w:val="0"/>
              <w:adjustRightInd w:val="0"/>
              <w:jc w:val="center"/>
              <w:textAlignment w:val="baseline"/>
              <w:rPr>
                <w:rFonts w:cs="Arial"/>
                <w:lang w:eastAsia="sl-SI"/>
              </w:rPr>
            </w:pPr>
            <w:r w:rsidRPr="00C520CB">
              <w:rPr>
                <w:rFonts w:cs="Arial"/>
                <w:lang w:eastAsia="sl-SI"/>
              </w:rPr>
              <w:t>NE</w:t>
            </w:r>
          </w:p>
        </w:tc>
      </w:tr>
    </w:tbl>
    <w:p w:rsidR="005042AD" w:rsidRPr="00C520CB" w:rsidRDefault="005042AD" w:rsidP="00EC5840">
      <w:pPr>
        <w:ind w:left="4248" w:firstLine="708"/>
        <w:jc w:val="center"/>
        <w:rPr>
          <w:b/>
        </w:rPr>
      </w:pPr>
    </w:p>
    <w:p w:rsidR="005042AD" w:rsidRPr="00C520CB" w:rsidRDefault="005042AD" w:rsidP="00EC5840">
      <w:pPr>
        <w:ind w:left="4248" w:firstLine="708"/>
        <w:jc w:val="center"/>
        <w:rPr>
          <w:b/>
        </w:rPr>
      </w:pPr>
    </w:p>
    <w:p w:rsidR="00EC5840" w:rsidRPr="00C520CB" w:rsidRDefault="00EC5840" w:rsidP="00EC5840">
      <w:pPr>
        <w:ind w:left="4248" w:firstLine="708"/>
        <w:jc w:val="center"/>
        <w:rPr>
          <w:b/>
        </w:rPr>
      </w:pPr>
      <w:r w:rsidRPr="00C520CB">
        <w:rPr>
          <w:b/>
        </w:rPr>
        <w:t>Matjaž Han</w:t>
      </w:r>
    </w:p>
    <w:p w:rsidR="00EC5840" w:rsidRPr="00C520CB" w:rsidRDefault="00EC5840" w:rsidP="00EC5840">
      <w:pPr>
        <w:ind w:left="4248" w:firstLine="708"/>
        <w:jc w:val="center"/>
        <w:rPr>
          <w:b/>
        </w:rPr>
      </w:pPr>
      <w:r w:rsidRPr="00C520CB">
        <w:rPr>
          <w:b/>
        </w:rPr>
        <w:t>minister</w:t>
      </w:r>
    </w:p>
    <w:p w:rsidR="008A4089" w:rsidRPr="00C520CB" w:rsidRDefault="008A4089" w:rsidP="008A4089">
      <w:pPr>
        <w:spacing w:line="276" w:lineRule="auto"/>
        <w:rPr>
          <w:rFonts w:cs="Arial"/>
          <w:szCs w:val="20"/>
        </w:rPr>
      </w:pPr>
    </w:p>
    <w:p w:rsidR="001B0AF5" w:rsidRPr="00C520CB" w:rsidRDefault="001B0AF5" w:rsidP="008A4089">
      <w:pPr>
        <w:spacing w:line="276" w:lineRule="auto"/>
        <w:rPr>
          <w:rFonts w:cs="Arial"/>
          <w:szCs w:val="20"/>
        </w:rPr>
      </w:pPr>
    </w:p>
    <w:p w:rsidR="001B0AF5" w:rsidRPr="00C520CB" w:rsidRDefault="001B0AF5" w:rsidP="008A4089">
      <w:pPr>
        <w:spacing w:line="276" w:lineRule="auto"/>
        <w:rPr>
          <w:rFonts w:cs="Arial"/>
          <w:szCs w:val="20"/>
        </w:rPr>
      </w:pPr>
    </w:p>
    <w:p w:rsidR="00904A6C" w:rsidRPr="00C520CB" w:rsidRDefault="00904A6C" w:rsidP="008A4089">
      <w:pPr>
        <w:spacing w:line="276" w:lineRule="auto"/>
        <w:rPr>
          <w:rFonts w:cs="Arial"/>
          <w:szCs w:val="20"/>
        </w:rPr>
      </w:pPr>
    </w:p>
    <w:p w:rsidR="00904A6C" w:rsidRPr="00C520CB" w:rsidRDefault="00904A6C" w:rsidP="008A4089">
      <w:pPr>
        <w:spacing w:line="276" w:lineRule="auto"/>
        <w:rPr>
          <w:rFonts w:cs="Arial"/>
          <w:szCs w:val="20"/>
        </w:rPr>
      </w:pPr>
    </w:p>
    <w:p w:rsidR="00904A6C" w:rsidRPr="00C520CB" w:rsidRDefault="00904A6C" w:rsidP="008A4089">
      <w:pPr>
        <w:spacing w:line="276" w:lineRule="auto"/>
        <w:rPr>
          <w:rFonts w:cs="Arial"/>
          <w:szCs w:val="20"/>
        </w:rPr>
      </w:pPr>
    </w:p>
    <w:p w:rsidR="00D02578" w:rsidRPr="00C520CB" w:rsidRDefault="00D02578" w:rsidP="008A4089">
      <w:pPr>
        <w:spacing w:line="276" w:lineRule="auto"/>
        <w:rPr>
          <w:rFonts w:cs="Arial"/>
          <w:szCs w:val="20"/>
        </w:rPr>
      </w:pPr>
    </w:p>
    <w:p w:rsidR="00D02578" w:rsidRPr="00C520CB" w:rsidRDefault="00D02578" w:rsidP="008A4089">
      <w:pPr>
        <w:spacing w:line="276" w:lineRule="auto"/>
        <w:rPr>
          <w:rFonts w:cs="Arial"/>
          <w:szCs w:val="20"/>
        </w:rPr>
      </w:pPr>
    </w:p>
    <w:p w:rsidR="00D02578" w:rsidRPr="00C520CB" w:rsidRDefault="00D02578" w:rsidP="008A4089">
      <w:pPr>
        <w:spacing w:line="276" w:lineRule="auto"/>
        <w:rPr>
          <w:rFonts w:cs="Arial"/>
          <w:szCs w:val="20"/>
        </w:rPr>
      </w:pPr>
    </w:p>
    <w:p w:rsidR="00904A6C" w:rsidRPr="00C520CB" w:rsidRDefault="00904A6C" w:rsidP="008A4089">
      <w:pPr>
        <w:spacing w:line="276" w:lineRule="auto"/>
        <w:rPr>
          <w:rFonts w:cs="Arial"/>
          <w:szCs w:val="20"/>
        </w:rPr>
      </w:pPr>
    </w:p>
    <w:p w:rsidR="00904A6C" w:rsidRDefault="00904A6C" w:rsidP="008A4089">
      <w:pPr>
        <w:spacing w:line="276" w:lineRule="auto"/>
        <w:rPr>
          <w:rFonts w:cs="Arial"/>
          <w:szCs w:val="20"/>
        </w:rPr>
      </w:pPr>
    </w:p>
    <w:p w:rsidR="00E93A8B" w:rsidRDefault="00E93A8B" w:rsidP="008A4089">
      <w:pPr>
        <w:spacing w:line="276" w:lineRule="auto"/>
        <w:rPr>
          <w:rFonts w:cs="Arial"/>
          <w:szCs w:val="20"/>
        </w:rPr>
      </w:pPr>
    </w:p>
    <w:p w:rsidR="00E93A8B" w:rsidRPr="00C520CB" w:rsidRDefault="00E93A8B" w:rsidP="008A4089">
      <w:pPr>
        <w:spacing w:line="276" w:lineRule="auto"/>
        <w:rPr>
          <w:rFonts w:cs="Arial"/>
          <w:szCs w:val="20"/>
        </w:rPr>
      </w:pPr>
    </w:p>
    <w:p w:rsidR="0069772B" w:rsidRPr="00C520CB" w:rsidRDefault="0069772B" w:rsidP="008A4089">
      <w:pPr>
        <w:spacing w:line="276" w:lineRule="auto"/>
        <w:rPr>
          <w:rFonts w:cs="Arial"/>
          <w:szCs w:val="20"/>
        </w:rPr>
      </w:pPr>
    </w:p>
    <w:p w:rsidR="00156E1B" w:rsidRPr="00C520CB" w:rsidRDefault="00156E1B" w:rsidP="00156E1B">
      <w:pPr>
        <w:spacing w:line="260" w:lineRule="atLeast"/>
        <w:jc w:val="both"/>
        <w:rPr>
          <w:b/>
        </w:rPr>
      </w:pPr>
      <w:r w:rsidRPr="00C520CB">
        <w:rPr>
          <w:b/>
        </w:rPr>
        <w:t xml:space="preserve">Priloge:    </w:t>
      </w:r>
    </w:p>
    <w:p w:rsidR="00156E1B" w:rsidRPr="00C520CB" w:rsidRDefault="00156E1B" w:rsidP="00156E1B">
      <w:pPr>
        <w:numPr>
          <w:ilvl w:val="0"/>
          <w:numId w:val="11"/>
        </w:numPr>
        <w:spacing w:line="276" w:lineRule="auto"/>
        <w:jc w:val="both"/>
      </w:pPr>
      <w:r w:rsidRPr="00C520CB">
        <w:t>obrazložitev,</w:t>
      </w:r>
    </w:p>
    <w:p w:rsidR="00156E1B" w:rsidRPr="00C520CB" w:rsidRDefault="00156E1B" w:rsidP="00156E1B">
      <w:pPr>
        <w:numPr>
          <w:ilvl w:val="0"/>
          <w:numId w:val="11"/>
        </w:numPr>
        <w:overflowPunct w:val="0"/>
        <w:autoSpaceDE w:val="0"/>
        <w:autoSpaceDN w:val="0"/>
        <w:adjustRightInd w:val="0"/>
        <w:spacing w:line="276" w:lineRule="auto"/>
        <w:jc w:val="both"/>
        <w:textAlignment w:val="baseline"/>
        <w:rPr>
          <w:rFonts w:cs="Arial"/>
          <w:iCs/>
          <w:lang w:eastAsia="sl-SI"/>
        </w:rPr>
      </w:pPr>
      <w:r w:rsidRPr="00C520CB">
        <w:rPr>
          <w:rFonts w:cs="Arial"/>
          <w:iCs/>
          <w:lang w:eastAsia="sl-SI"/>
        </w:rPr>
        <w:t xml:space="preserve">soglasje Ministrstva za </w:t>
      </w:r>
      <w:r w:rsidR="00627B48" w:rsidRPr="00C520CB">
        <w:rPr>
          <w:rFonts w:cs="Arial"/>
          <w:iCs/>
          <w:lang w:eastAsia="sl-SI"/>
        </w:rPr>
        <w:t>gospodarstvo, turizem in šport</w:t>
      </w:r>
      <w:r w:rsidRPr="00C520CB">
        <w:rPr>
          <w:rFonts w:cs="Arial"/>
          <w:iCs/>
          <w:lang w:eastAsia="sl-SI"/>
        </w:rPr>
        <w:t xml:space="preserve"> k </w:t>
      </w:r>
      <w:r w:rsidR="00627B48" w:rsidRPr="00C520CB">
        <w:rPr>
          <w:rFonts w:cs="Arial"/>
          <w:iCs/>
          <w:lang w:eastAsia="sl-SI"/>
        </w:rPr>
        <w:t>l</w:t>
      </w:r>
      <w:r w:rsidRPr="00C520CB">
        <w:rPr>
          <w:rFonts w:cs="Arial"/>
          <w:iCs/>
          <w:lang w:eastAsia="sl-SI"/>
        </w:rPr>
        <w:t>etnemu poročilu Slovenskega inštituta za standardizacijo za leto 202</w:t>
      </w:r>
      <w:r w:rsidR="00627B48" w:rsidRPr="00C520CB">
        <w:rPr>
          <w:rFonts w:cs="Arial"/>
          <w:iCs/>
          <w:lang w:eastAsia="sl-SI"/>
        </w:rPr>
        <w:t>2</w:t>
      </w:r>
      <w:r w:rsidRPr="00C520CB">
        <w:rPr>
          <w:rFonts w:cs="Arial"/>
          <w:iCs/>
          <w:lang w:eastAsia="sl-SI"/>
        </w:rPr>
        <w:t>, št. 315-</w:t>
      </w:r>
      <w:r w:rsidR="00627B48" w:rsidRPr="00C520CB">
        <w:rPr>
          <w:rFonts w:cs="Arial"/>
          <w:iCs/>
          <w:lang w:eastAsia="sl-SI"/>
        </w:rPr>
        <w:t>45</w:t>
      </w:r>
      <w:r w:rsidRPr="00C520CB">
        <w:rPr>
          <w:rFonts w:cs="Arial"/>
          <w:iCs/>
          <w:lang w:eastAsia="sl-SI"/>
        </w:rPr>
        <w:t>/202</w:t>
      </w:r>
      <w:r w:rsidR="00627B48" w:rsidRPr="00C520CB">
        <w:rPr>
          <w:rFonts w:cs="Arial"/>
          <w:iCs/>
          <w:lang w:eastAsia="sl-SI"/>
        </w:rPr>
        <w:t>2</w:t>
      </w:r>
      <w:r w:rsidRPr="00C520CB">
        <w:rPr>
          <w:rFonts w:cs="Arial"/>
          <w:iCs/>
          <w:lang w:eastAsia="sl-SI"/>
        </w:rPr>
        <w:t>/</w:t>
      </w:r>
      <w:r w:rsidR="00627B48" w:rsidRPr="00C520CB">
        <w:rPr>
          <w:rFonts w:cs="Arial"/>
          <w:iCs/>
          <w:lang w:eastAsia="sl-SI"/>
        </w:rPr>
        <w:t>45</w:t>
      </w:r>
      <w:r w:rsidRPr="00C520CB">
        <w:rPr>
          <w:rFonts w:cs="Arial"/>
          <w:iCs/>
          <w:lang w:eastAsia="sl-SI"/>
        </w:rPr>
        <w:t xml:space="preserve"> z dne 1</w:t>
      </w:r>
      <w:r w:rsidR="00627B48" w:rsidRPr="00C520CB">
        <w:rPr>
          <w:rFonts w:cs="Arial"/>
          <w:iCs/>
          <w:lang w:eastAsia="sl-SI"/>
        </w:rPr>
        <w:t>6</w:t>
      </w:r>
      <w:r w:rsidRPr="00C520CB">
        <w:rPr>
          <w:rFonts w:cs="Arial"/>
          <w:iCs/>
          <w:lang w:eastAsia="sl-SI"/>
        </w:rPr>
        <w:t xml:space="preserve">. </w:t>
      </w:r>
      <w:r w:rsidR="00627B48" w:rsidRPr="00C520CB">
        <w:rPr>
          <w:rFonts w:cs="Arial"/>
          <w:iCs/>
          <w:lang w:eastAsia="sl-SI"/>
        </w:rPr>
        <w:t>3</w:t>
      </w:r>
      <w:r w:rsidRPr="00C520CB">
        <w:rPr>
          <w:rFonts w:cs="Arial"/>
          <w:iCs/>
          <w:lang w:eastAsia="sl-SI"/>
        </w:rPr>
        <w:t>. 202</w:t>
      </w:r>
      <w:r w:rsidR="00627B48" w:rsidRPr="00C520CB">
        <w:rPr>
          <w:rFonts w:cs="Arial"/>
          <w:iCs/>
          <w:lang w:eastAsia="sl-SI"/>
        </w:rPr>
        <w:t>3</w:t>
      </w:r>
      <w:r w:rsidRPr="00C520CB">
        <w:rPr>
          <w:rFonts w:cs="Arial"/>
          <w:iCs/>
          <w:lang w:eastAsia="sl-SI"/>
        </w:rPr>
        <w:t>,</w:t>
      </w:r>
    </w:p>
    <w:p w:rsidR="00156E1B" w:rsidRPr="00C520CB" w:rsidRDefault="00156E1B" w:rsidP="00156E1B">
      <w:pPr>
        <w:numPr>
          <w:ilvl w:val="0"/>
          <w:numId w:val="11"/>
        </w:numPr>
        <w:overflowPunct w:val="0"/>
        <w:autoSpaceDE w:val="0"/>
        <w:autoSpaceDN w:val="0"/>
        <w:adjustRightInd w:val="0"/>
        <w:spacing w:line="276" w:lineRule="auto"/>
        <w:jc w:val="both"/>
        <w:textAlignment w:val="baseline"/>
        <w:rPr>
          <w:rFonts w:cs="Arial"/>
          <w:iCs/>
          <w:lang w:eastAsia="sl-SI"/>
        </w:rPr>
      </w:pPr>
      <w:r w:rsidRPr="00C520CB">
        <w:rPr>
          <w:rFonts w:cs="Arial"/>
          <w:iCs/>
          <w:lang w:eastAsia="sl-SI"/>
        </w:rPr>
        <w:t>izvleček sklepov 10</w:t>
      </w:r>
      <w:r w:rsidR="007E66F6" w:rsidRPr="00C520CB">
        <w:rPr>
          <w:rFonts w:cs="Arial"/>
          <w:iCs/>
          <w:lang w:eastAsia="sl-SI"/>
        </w:rPr>
        <w:t>6</w:t>
      </w:r>
      <w:r w:rsidRPr="00C520CB">
        <w:rPr>
          <w:rFonts w:cs="Arial"/>
          <w:iCs/>
          <w:lang w:eastAsia="sl-SI"/>
        </w:rPr>
        <w:t xml:space="preserve">. seje </w:t>
      </w:r>
      <w:r w:rsidR="007E66F6" w:rsidRPr="00C520CB">
        <w:rPr>
          <w:rFonts w:cs="Arial"/>
          <w:iCs/>
          <w:lang w:eastAsia="sl-SI"/>
        </w:rPr>
        <w:t>u</w:t>
      </w:r>
      <w:r w:rsidRPr="00C520CB">
        <w:rPr>
          <w:rFonts w:cs="Arial"/>
          <w:iCs/>
          <w:lang w:eastAsia="sl-SI"/>
        </w:rPr>
        <w:t>pravnega odbora Slovenskega inštituta za standardizacijo,</w:t>
      </w:r>
    </w:p>
    <w:p w:rsidR="00156E1B" w:rsidRPr="00C520CB" w:rsidRDefault="007E66F6" w:rsidP="00156E1B">
      <w:pPr>
        <w:numPr>
          <w:ilvl w:val="0"/>
          <w:numId w:val="11"/>
        </w:numPr>
        <w:overflowPunct w:val="0"/>
        <w:autoSpaceDE w:val="0"/>
        <w:autoSpaceDN w:val="0"/>
        <w:adjustRightInd w:val="0"/>
        <w:spacing w:line="276" w:lineRule="auto"/>
        <w:jc w:val="both"/>
        <w:textAlignment w:val="baseline"/>
        <w:rPr>
          <w:rFonts w:cs="Arial"/>
          <w:iCs/>
          <w:lang w:eastAsia="sl-SI"/>
        </w:rPr>
      </w:pPr>
      <w:r w:rsidRPr="00C520CB">
        <w:rPr>
          <w:rFonts w:cs="Arial"/>
          <w:iCs/>
          <w:lang w:eastAsia="sl-SI"/>
        </w:rPr>
        <w:t>l</w:t>
      </w:r>
      <w:r w:rsidR="00156E1B" w:rsidRPr="00C520CB">
        <w:rPr>
          <w:rFonts w:cs="Arial"/>
          <w:iCs/>
          <w:lang w:eastAsia="sl-SI"/>
        </w:rPr>
        <w:t>etno poročilo Slovenskega inštituta</w:t>
      </w:r>
      <w:r w:rsidRPr="00C520CB">
        <w:rPr>
          <w:rFonts w:cs="Arial"/>
          <w:iCs/>
          <w:lang w:eastAsia="sl-SI"/>
        </w:rPr>
        <w:t xml:space="preserve"> za standardizacijo za leto 2022</w:t>
      </w:r>
      <w:r w:rsidR="00156E1B" w:rsidRPr="00C520CB">
        <w:rPr>
          <w:rFonts w:cs="Arial"/>
          <w:iCs/>
          <w:lang w:eastAsia="sl-SI"/>
        </w:rPr>
        <w:t xml:space="preserve"> (</w:t>
      </w:r>
      <w:r w:rsidRPr="00C520CB">
        <w:rPr>
          <w:rFonts w:cs="Arial"/>
          <w:iCs/>
          <w:lang w:eastAsia="sl-SI"/>
        </w:rPr>
        <w:t xml:space="preserve">dokument št. 1412-106/2023/4 z dne 14. 2. 2023 – Poslovno poročilo in </w:t>
      </w:r>
      <w:r w:rsidR="00D07475" w:rsidRPr="00C520CB">
        <w:rPr>
          <w:rFonts w:cs="Arial"/>
          <w:iCs/>
          <w:lang w:eastAsia="sl-SI"/>
        </w:rPr>
        <w:t xml:space="preserve">dokument </w:t>
      </w:r>
      <w:r w:rsidRPr="00C520CB">
        <w:rPr>
          <w:rFonts w:cs="Arial"/>
          <w:iCs/>
          <w:lang w:eastAsia="sl-SI"/>
        </w:rPr>
        <w:t>št. 1414-106/2023/5 z dne 14. 2. 2023 – Računovodsko poročilo</w:t>
      </w:r>
      <w:r w:rsidR="00156E1B" w:rsidRPr="00C520CB">
        <w:rPr>
          <w:rFonts w:cs="Arial"/>
          <w:iCs/>
          <w:lang w:eastAsia="sl-SI"/>
        </w:rPr>
        <w:t>),</w:t>
      </w:r>
    </w:p>
    <w:p w:rsidR="00156E1B" w:rsidRPr="00C520CB" w:rsidRDefault="00EE31AA" w:rsidP="00156E1B">
      <w:pPr>
        <w:numPr>
          <w:ilvl w:val="0"/>
          <w:numId w:val="11"/>
        </w:numPr>
        <w:overflowPunct w:val="0"/>
        <w:autoSpaceDE w:val="0"/>
        <w:autoSpaceDN w:val="0"/>
        <w:adjustRightInd w:val="0"/>
        <w:spacing w:line="276" w:lineRule="auto"/>
        <w:jc w:val="both"/>
        <w:textAlignment w:val="baseline"/>
        <w:rPr>
          <w:rFonts w:cs="Arial"/>
          <w:iCs/>
          <w:lang w:eastAsia="sl-SI"/>
        </w:rPr>
      </w:pPr>
      <w:r w:rsidRPr="00C520CB">
        <w:t>p</w:t>
      </w:r>
      <w:r w:rsidR="00156E1B" w:rsidRPr="00C520CB">
        <w:t xml:space="preserve">redlog porabe </w:t>
      </w:r>
      <w:r w:rsidR="007E66F6" w:rsidRPr="00C520CB">
        <w:t xml:space="preserve">izkazanega </w:t>
      </w:r>
      <w:r w:rsidR="00156E1B" w:rsidRPr="00C520CB">
        <w:t>presežka prihodkov nad odhodki S</w:t>
      </w:r>
      <w:r w:rsidR="007E66F6" w:rsidRPr="00C520CB">
        <w:t xml:space="preserve">lovenskega inštituta za standardizacijo </w:t>
      </w:r>
      <w:r w:rsidR="00156E1B" w:rsidRPr="00C520CB">
        <w:t>v letu 202</w:t>
      </w:r>
      <w:r w:rsidR="007E66F6" w:rsidRPr="00C520CB">
        <w:t>2</w:t>
      </w:r>
      <w:r w:rsidR="00156E1B" w:rsidRPr="00C520CB">
        <w:t xml:space="preserve"> (dokument št. 1412-10</w:t>
      </w:r>
      <w:r w:rsidR="007E66F6" w:rsidRPr="00C520CB">
        <w:t>6</w:t>
      </w:r>
      <w:r w:rsidR="00156E1B" w:rsidRPr="00C520CB">
        <w:t>/202</w:t>
      </w:r>
      <w:r w:rsidR="00303A6E" w:rsidRPr="00C520CB">
        <w:t>3</w:t>
      </w:r>
      <w:r w:rsidR="00156E1B" w:rsidRPr="00C520CB">
        <w:t>/</w:t>
      </w:r>
      <w:r w:rsidR="00303A6E" w:rsidRPr="00C520CB">
        <w:t>6 z dne 14. 2. 2023</w:t>
      </w:r>
      <w:r w:rsidR="00156E1B" w:rsidRPr="00C520CB">
        <w:t>).</w:t>
      </w:r>
    </w:p>
    <w:p w:rsidR="00156E1B" w:rsidRPr="00C520CB" w:rsidRDefault="00156E1B" w:rsidP="00156E1B">
      <w:pPr>
        <w:overflowPunct w:val="0"/>
        <w:autoSpaceDE w:val="0"/>
        <w:autoSpaceDN w:val="0"/>
        <w:adjustRightInd w:val="0"/>
        <w:ind w:left="720"/>
        <w:jc w:val="center"/>
        <w:textAlignment w:val="baseline"/>
        <w:rPr>
          <w:b/>
          <w:szCs w:val="20"/>
        </w:rPr>
      </w:pPr>
      <w:r w:rsidRPr="00C520CB">
        <w:rPr>
          <w:rFonts w:cs="Arial"/>
          <w:iCs/>
          <w:lang w:eastAsia="sl-SI"/>
        </w:rPr>
        <w:br w:type="page"/>
      </w:r>
      <w:r w:rsidRPr="00C520CB">
        <w:rPr>
          <w:b/>
          <w:szCs w:val="20"/>
        </w:rPr>
        <w:t>OBRAZLOŽITEV</w:t>
      </w:r>
    </w:p>
    <w:p w:rsidR="00156E1B" w:rsidRPr="00C520CB" w:rsidRDefault="00156E1B" w:rsidP="00156E1B">
      <w:pPr>
        <w:spacing w:line="260" w:lineRule="atLeast"/>
        <w:jc w:val="center"/>
        <w:rPr>
          <w:b/>
          <w:szCs w:val="20"/>
        </w:rPr>
      </w:pPr>
    </w:p>
    <w:p w:rsidR="00156E1B" w:rsidRPr="00C520CB" w:rsidRDefault="00156E1B" w:rsidP="00156E1B">
      <w:pPr>
        <w:spacing w:line="260" w:lineRule="atLeast"/>
        <w:jc w:val="both"/>
        <w:rPr>
          <w:szCs w:val="20"/>
        </w:rPr>
      </w:pPr>
      <w:r w:rsidRPr="00C520CB">
        <w:rPr>
          <w:szCs w:val="20"/>
        </w:rPr>
        <w:t xml:space="preserve">Slovenski inštitut za standardizacijo (v nadaljevanju: SIST) je ustanovila Republika Slovenija na podlagi Zakona o standardizaciji (Uradni list RS, št. 59/99; v nadaljevanju: ZSta-1) in Sklepa o ustanovitvi Slovenskega inštituta za standardizacijo </w:t>
      </w:r>
      <w:r w:rsidR="00C53831" w:rsidRPr="00C520CB">
        <w:t>(Uradni list RS, št.</w:t>
      </w:r>
      <w:r w:rsidR="00E64FDF" w:rsidRPr="00C520CB">
        <w:t xml:space="preserve"> 70/00</w:t>
      </w:r>
      <w:r w:rsidR="00C53831" w:rsidRPr="00C520CB">
        <w:t>,</w:t>
      </w:r>
      <w:r w:rsidR="00E64FDF" w:rsidRPr="00C520CB">
        <w:t xml:space="preserve"> 91/02</w:t>
      </w:r>
      <w:r w:rsidR="00C53831" w:rsidRPr="00C520CB">
        <w:t>,</w:t>
      </w:r>
      <w:r w:rsidR="00E64FDF" w:rsidRPr="00C520CB">
        <w:t xml:space="preserve"> 131/21 in 128/22</w:t>
      </w:r>
      <w:r w:rsidRPr="00C520CB">
        <w:rPr>
          <w:szCs w:val="20"/>
        </w:rPr>
        <w:t xml:space="preserve">; v nadaljevanju: Sklep o ustanovitvi SIST). </w:t>
      </w:r>
    </w:p>
    <w:p w:rsidR="00156E1B" w:rsidRPr="00C520CB" w:rsidRDefault="00156E1B" w:rsidP="00156E1B">
      <w:pPr>
        <w:spacing w:line="260" w:lineRule="atLeast"/>
        <w:jc w:val="both"/>
        <w:rPr>
          <w:szCs w:val="20"/>
        </w:rPr>
      </w:pPr>
    </w:p>
    <w:p w:rsidR="00156E1B" w:rsidRPr="00C520CB" w:rsidRDefault="00156E1B" w:rsidP="00156E1B">
      <w:pPr>
        <w:spacing w:line="260" w:lineRule="atLeast"/>
        <w:jc w:val="both"/>
        <w:rPr>
          <w:szCs w:val="20"/>
        </w:rPr>
      </w:pPr>
      <w:r w:rsidRPr="00C520CB">
        <w:rPr>
          <w:szCs w:val="20"/>
        </w:rPr>
        <w:t>V skladu s četrto alinejo četrtega odstavka 12. člena Sklepa o ustanovitvi SIST, upravni odbor v soglasju z ustanoviteljem, sprejme letno poročilo o delu, finančni načrt in zaključni račun inštituta. Zakon o izvrševanju proračunov Republike Slovenije za leti 202</w:t>
      </w:r>
      <w:r w:rsidR="0064374E" w:rsidRPr="00C520CB">
        <w:rPr>
          <w:szCs w:val="20"/>
        </w:rPr>
        <w:t>3</w:t>
      </w:r>
      <w:r w:rsidRPr="00C520CB">
        <w:rPr>
          <w:szCs w:val="20"/>
        </w:rPr>
        <w:t xml:space="preserve"> in 202</w:t>
      </w:r>
      <w:r w:rsidR="0064374E" w:rsidRPr="00C520CB">
        <w:rPr>
          <w:szCs w:val="20"/>
        </w:rPr>
        <w:t>4</w:t>
      </w:r>
      <w:r w:rsidRPr="00C520CB">
        <w:rPr>
          <w:szCs w:val="20"/>
        </w:rPr>
        <w:t xml:space="preserve"> </w:t>
      </w:r>
      <w:r w:rsidR="0064374E" w:rsidRPr="00C520CB">
        <w:rPr>
          <w:szCs w:val="20"/>
        </w:rPr>
        <w:t>(Uradni list RS, št. </w:t>
      </w:r>
      <w:hyperlink r:id="rId25" w:tgtFrame="_blank" w:tooltip="Zakon o izvrševanju proračunov Republike Slovenije za leti 2023 in 2024 (ZIPRS2324)" w:history="1">
        <w:r w:rsidR="0064374E" w:rsidRPr="00C520CB">
          <w:rPr>
            <w:szCs w:val="20"/>
          </w:rPr>
          <w:t>150/22</w:t>
        </w:r>
      </w:hyperlink>
      <w:r w:rsidRPr="00C520CB">
        <w:rPr>
          <w:szCs w:val="20"/>
        </w:rPr>
        <w:t>; v nadaljevanju ZIPRS2</w:t>
      </w:r>
      <w:r w:rsidR="0064374E" w:rsidRPr="00C520CB">
        <w:rPr>
          <w:szCs w:val="20"/>
        </w:rPr>
        <w:t>324</w:t>
      </w:r>
      <w:r w:rsidRPr="00C520CB">
        <w:rPr>
          <w:szCs w:val="20"/>
        </w:rPr>
        <w:t>) v devetem odstavku, v povezavi s šestim odstavkom 6</w:t>
      </w:r>
      <w:r w:rsidR="00CB0467" w:rsidRPr="00C520CB">
        <w:rPr>
          <w:szCs w:val="20"/>
        </w:rPr>
        <w:t>2</w:t>
      </w:r>
      <w:r w:rsidRPr="00C520CB">
        <w:rPr>
          <w:szCs w:val="20"/>
        </w:rPr>
        <w:t xml:space="preserve">. člena določa, da morajo posredni uporabniki državnega proračuna, ne glede na določbe drugih zakonov in predpisov, posredovati sprejeta letna poročila o delu v soglasje organu, pristojnemu za izdajo soglasja k njihovemu finančnemu načrtu in programu dela. Soglasje na letno poročilo torej poda Ministrstvo za </w:t>
      </w:r>
      <w:r w:rsidR="00CB0467" w:rsidRPr="00C520CB">
        <w:rPr>
          <w:szCs w:val="20"/>
        </w:rPr>
        <w:t>gospodarstvo, turizem in šport.</w:t>
      </w:r>
    </w:p>
    <w:p w:rsidR="00156E1B" w:rsidRPr="00C520CB" w:rsidRDefault="00156E1B" w:rsidP="00156E1B">
      <w:pPr>
        <w:ind w:left="720"/>
        <w:jc w:val="both"/>
        <w:rPr>
          <w:b/>
          <w:szCs w:val="20"/>
        </w:rPr>
      </w:pPr>
    </w:p>
    <w:p w:rsidR="00156E1B" w:rsidRPr="00C520CB" w:rsidRDefault="00156E1B" w:rsidP="00156E1B">
      <w:pPr>
        <w:spacing w:line="260" w:lineRule="atLeast"/>
        <w:jc w:val="both"/>
        <w:rPr>
          <w:szCs w:val="20"/>
        </w:rPr>
      </w:pPr>
      <w:r w:rsidRPr="00C520CB">
        <w:rPr>
          <w:szCs w:val="20"/>
        </w:rPr>
        <w:t xml:space="preserve">Ministrstvo je </w:t>
      </w:r>
      <w:r w:rsidR="00AC20E1" w:rsidRPr="00C520CB">
        <w:rPr>
          <w:szCs w:val="20"/>
        </w:rPr>
        <w:t>8</w:t>
      </w:r>
      <w:r w:rsidRPr="00C520CB">
        <w:rPr>
          <w:szCs w:val="20"/>
        </w:rPr>
        <w:t>. 3. 202</w:t>
      </w:r>
      <w:r w:rsidR="00AC20E1" w:rsidRPr="00C520CB">
        <w:rPr>
          <w:szCs w:val="20"/>
        </w:rPr>
        <w:t>3</w:t>
      </w:r>
      <w:r w:rsidRPr="00C520CB">
        <w:rPr>
          <w:szCs w:val="20"/>
        </w:rPr>
        <w:t xml:space="preserve"> v soglasje prejelo </w:t>
      </w:r>
      <w:r w:rsidR="00AC20E1" w:rsidRPr="00C520CB">
        <w:rPr>
          <w:szCs w:val="20"/>
        </w:rPr>
        <w:t>l</w:t>
      </w:r>
      <w:r w:rsidRPr="00C520CB">
        <w:rPr>
          <w:szCs w:val="20"/>
        </w:rPr>
        <w:t xml:space="preserve">etno poročilo </w:t>
      </w:r>
      <w:r w:rsidRPr="00C520CB">
        <w:rPr>
          <w:iCs/>
          <w:szCs w:val="20"/>
        </w:rPr>
        <w:t>Slovenskega inštituta za standardizacijo za leto 202</w:t>
      </w:r>
      <w:r w:rsidR="00AC20E1" w:rsidRPr="00C520CB">
        <w:rPr>
          <w:iCs/>
          <w:szCs w:val="20"/>
        </w:rPr>
        <w:t>2</w:t>
      </w:r>
      <w:r w:rsidRPr="00C520CB">
        <w:rPr>
          <w:iCs/>
          <w:szCs w:val="20"/>
        </w:rPr>
        <w:t xml:space="preserve"> </w:t>
      </w:r>
      <w:r w:rsidRPr="00C520CB">
        <w:rPr>
          <w:szCs w:val="20"/>
        </w:rPr>
        <w:t>(v nadaljevanju: LP SIST 202</w:t>
      </w:r>
      <w:r w:rsidR="00AC20E1" w:rsidRPr="00C520CB">
        <w:rPr>
          <w:szCs w:val="20"/>
        </w:rPr>
        <w:t>2</w:t>
      </w:r>
      <w:r w:rsidRPr="00C520CB">
        <w:rPr>
          <w:szCs w:val="20"/>
        </w:rPr>
        <w:t>), in sicer:</w:t>
      </w:r>
    </w:p>
    <w:p w:rsidR="00156E1B" w:rsidRPr="00C520CB" w:rsidRDefault="00156E1B" w:rsidP="00156E1B">
      <w:pPr>
        <w:numPr>
          <w:ilvl w:val="0"/>
          <w:numId w:val="12"/>
        </w:numPr>
        <w:spacing w:line="260" w:lineRule="atLeast"/>
        <w:jc w:val="both"/>
        <w:rPr>
          <w:szCs w:val="20"/>
        </w:rPr>
      </w:pPr>
      <w:r w:rsidRPr="00C520CB">
        <w:rPr>
          <w:szCs w:val="20"/>
        </w:rPr>
        <w:t>Poročilo o delu in finančno poročilo (Poslovno poročilo) SIST za obdobje od 1. 1. 202</w:t>
      </w:r>
      <w:r w:rsidR="00AC20E1" w:rsidRPr="00C520CB">
        <w:rPr>
          <w:szCs w:val="20"/>
        </w:rPr>
        <w:t>2</w:t>
      </w:r>
      <w:r w:rsidRPr="00C520CB">
        <w:rPr>
          <w:szCs w:val="20"/>
        </w:rPr>
        <w:t xml:space="preserve"> do 31. 12. 202</w:t>
      </w:r>
      <w:r w:rsidR="00AC20E1" w:rsidRPr="00C520CB">
        <w:rPr>
          <w:szCs w:val="20"/>
        </w:rPr>
        <w:t>2</w:t>
      </w:r>
      <w:r w:rsidRPr="00C520CB">
        <w:rPr>
          <w:szCs w:val="20"/>
        </w:rPr>
        <w:t>, dok</w:t>
      </w:r>
      <w:r w:rsidR="008C529C" w:rsidRPr="00C520CB">
        <w:rPr>
          <w:szCs w:val="20"/>
        </w:rPr>
        <w:t>ument</w:t>
      </w:r>
      <w:r w:rsidRPr="00C520CB">
        <w:rPr>
          <w:szCs w:val="20"/>
        </w:rPr>
        <w:t xml:space="preserve"> št. 1412-10</w:t>
      </w:r>
      <w:r w:rsidR="00AC20E1" w:rsidRPr="00C520CB">
        <w:rPr>
          <w:szCs w:val="20"/>
        </w:rPr>
        <w:t>6/2023</w:t>
      </w:r>
      <w:r w:rsidRPr="00C520CB">
        <w:rPr>
          <w:szCs w:val="20"/>
        </w:rPr>
        <w:t>/</w:t>
      </w:r>
      <w:r w:rsidR="00AC20E1" w:rsidRPr="00C520CB">
        <w:rPr>
          <w:szCs w:val="20"/>
        </w:rPr>
        <w:t>4</w:t>
      </w:r>
      <w:r w:rsidRPr="00C520CB">
        <w:rPr>
          <w:szCs w:val="20"/>
        </w:rPr>
        <w:t xml:space="preserve"> z dne </w:t>
      </w:r>
      <w:r w:rsidR="00AC20E1" w:rsidRPr="00C520CB">
        <w:rPr>
          <w:szCs w:val="20"/>
        </w:rPr>
        <w:t>14</w:t>
      </w:r>
      <w:r w:rsidRPr="00C520CB">
        <w:rPr>
          <w:szCs w:val="20"/>
        </w:rPr>
        <w:t>. 2. 202</w:t>
      </w:r>
      <w:r w:rsidR="00AC20E1" w:rsidRPr="00C520CB">
        <w:rPr>
          <w:szCs w:val="20"/>
        </w:rPr>
        <w:t>3</w:t>
      </w:r>
      <w:r w:rsidRPr="00C520CB">
        <w:rPr>
          <w:szCs w:val="20"/>
        </w:rPr>
        <w:t xml:space="preserve">, in </w:t>
      </w:r>
    </w:p>
    <w:p w:rsidR="00156E1B" w:rsidRPr="00C520CB" w:rsidRDefault="00156E1B" w:rsidP="00156E1B">
      <w:pPr>
        <w:numPr>
          <w:ilvl w:val="0"/>
          <w:numId w:val="12"/>
        </w:numPr>
        <w:spacing w:line="260" w:lineRule="atLeast"/>
        <w:jc w:val="both"/>
        <w:rPr>
          <w:szCs w:val="20"/>
        </w:rPr>
      </w:pPr>
      <w:r w:rsidRPr="00C520CB">
        <w:rPr>
          <w:szCs w:val="20"/>
        </w:rPr>
        <w:t>Zaključni račun (Računovodsko poročilo) SIST za leto 202</w:t>
      </w:r>
      <w:r w:rsidR="001B4037" w:rsidRPr="00C520CB">
        <w:rPr>
          <w:szCs w:val="20"/>
        </w:rPr>
        <w:t>2</w:t>
      </w:r>
      <w:r w:rsidRPr="00C520CB">
        <w:rPr>
          <w:szCs w:val="20"/>
        </w:rPr>
        <w:t>, dok</w:t>
      </w:r>
      <w:r w:rsidR="008C529C" w:rsidRPr="00C520CB">
        <w:rPr>
          <w:szCs w:val="20"/>
        </w:rPr>
        <w:t>ument</w:t>
      </w:r>
      <w:r w:rsidRPr="00C520CB">
        <w:rPr>
          <w:szCs w:val="20"/>
        </w:rPr>
        <w:t xml:space="preserve"> št. 1412-10</w:t>
      </w:r>
      <w:r w:rsidR="001B4037" w:rsidRPr="00C520CB">
        <w:rPr>
          <w:szCs w:val="20"/>
        </w:rPr>
        <w:t>6</w:t>
      </w:r>
      <w:r w:rsidRPr="00C520CB">
        <w:rPr>
          <w:szCs w:val="20"/>
        </w:rPr>
        <w:t>/202</w:t>
      </w:r>
      <w:r w:rsidR="001B4037" w:rsidRPr="00C520CB">
        <w:rPr>
          <w:szCs w:val="20"/>
        </w:rPr>
        <w:t>3/5</w:t>
      </w:r>
      <w:r w:rsidRPr="00C520CB">
        <w:rPr>
          <w:szCs w:val="20"/>
        </w:rPr>
        <w:t xml:space="preserve"> z dne </w:t>
      </w:r>
      <w:r w:rsidR="001B4037" w:rsidRPr="00C520CB">
        <w:rPr>
          <w:szCs w:val="20"/>
        </w:rPr>
        <w:t>14</w:t>
      </w:r>
      <w:r w:rsidRPr="00C520CB">
        <w:rPr>
          <w:szCs w:val="20"/>
        </w:rPr>
        <w:t>. 2. 202</w:t>
      </w:r>
      <w:r w:rsidR="001B4037" w:rsidRPr="00C520CB">
        <w:rPr>
          <w:szCs w:val="20"/>
        </w:rPr>
        <w:t>3</w:t>
      </w:r>
      <w:r w:rsidRPr="00C520CB">
        <w:rPr>
          <w:szCs w:val="20"/>
        </w:rPr>
        <w:t>.</w:t>
      </w:r>
    </w:p>
    <w:p w:rsidR="00156E1B" w:rsidRPr="00C520CB" w:rsidRDefault="00156E1B" w:rsidP="00156E1B">
      <w:pPr>
        <w:spacing w:line="260" w:lineRule="atLeast"/>
        <w:jc w:val="both"/>
        <w:rPr>
          <w:szCs w:val="20"/>
        </w:rPr>
      </w:pPr>
      <w:r w:rsidRPr="00C520CB">
        <w:rPr>
          <w:szCs w:val="20"/>
        </w:rPr>
        <w:t>LP SIST 202</w:t>
      </w:r>
      <w:r w:rsidR="001B4037" w:rsidRPr="00C520CB">
        <w:rPr>
          <w:szCs w:val="20"/>
        </w:rPr>
        <w:t>2</w:t>
      </w:r>
      <w:r w:rsidRPr="00C520CB">
        <w:rPr>
          <w:szCs w:val="20"/>
        </w:rPr>
        <w:t xml:space="preserve"> je sprejel </w:t>
      </w:r>
      <w:r w:rsidRPr="00C520CB">
        <w:rPr>
          <w:bCs/>
          <w:iCs/>
          <w:szCs w:val="20"/>
        </w:rPr>
        <w:t>Upravni odbor SIST na 10</w:t>
      </w:r>
      <w:r w:rsidR="001B4037" w:rsidRPr="00C520CB">
        <w:rPr>
          <w:bCs/>
          <w:iCs/>
          <w:szCs w:val="20"/>
        </w:rPr>
        <w:t>6</w:t>
      </w:r>
      <w:r w:rsidRPr="00C520CB">
        <w:rPr>
          <w:bCs/>
          <w:iCs/>
          <w:szCs w:val="20"/>
        </w:rPr>
        <w:t xml:space="preserve">. </w:t>
      </w:r>
      <w:r w:rsidR="001B4037" w:rsidRPr="00C520CB">
        <w:rPr>
          <w:bCs/>
          <w:iCs/>
          <w:szCs w:val="20"/>
        </w:rPr>
        <w:t xml:space="preserve">dopisni </w:t>
      </w:r>
      <w:r w:rsidRPr="00C520CB">
        <w:rPr>
          <w:bCs/>
          <w:iCs/>
          <w:szCs w:val="20"/>
        </w:rPr>
        <w:t>seji</w:t>
      </w:r>
      <w:r w:rsidR="001B4037" w:rsidRPr="00C520CB">
        <w:rPr>
          <w:bCs/>
          <w:iCs/>
          <w:szCs w:val="20"/>
        </w:rPr>
        <w:t>, ki je potekala v času od 17. 2. do 28. 2. 2023.</w:t>
      </w:r>
      <w:r w:rsidRPr="00C520CB">
        <w:rPr>
          <w:szCs w:val="20"/>
        </w:rPr>
        <w:t xml:space="preserve"> </w:t>
      </w:r>
    </w:p>
    <w:p w:rsidR="00156E1B" w:rsidRPr="00C520CB" w:rsidRDefault="00156E1B" w:rsidP="00156E1B">
      <w:pPr>
        <w:spacing w:line="260" w:lineRule="atLeast"/>
        <w:jc w:val="both"/>
        <w:rPr>
          <w:szCs w:val="20"/>
        </w:rPr>
      </w:pPr>
    </w:p>
    <w:p w:rsidR="00597AAE" w:rsidRPr="00C520CB" w:rsidRDefault="00597AAE" w:rsidP="00597AAE">
      <w:pPr>
        <w:spacing w:line="260" w:lineRule="atLeast"/>
        <w:jc w:val="both"/>
        <w:rPr>
          <w:rFonts w:cs="Arial"/>
          <w:iCs/>
        </w:rPr>
      </w:pPr>
      <w:r w:rsidRPr="00C520CB">
        <w:rPr>
          <w:rFonts w:cs="Arial"/>
          <w:iCs/>
        </w:rPr>
        <w:t>Iz poslovnega poročila je razvidno, da je SIST v letu 2022 izpolnil vse zastavljene cilje iz Programa dela in finančnega načrta za leto 2022 ter opravil vse naloge v skladu s 5. in 6. členom Zakona o standardizaciji (Uradni list RS, št. 59/99) in Uredbi o evropski standardizaciji, in sicer je SIST:</w:t>
      </w:r>
    </w:p>
    <w:p w:rsidR="00597AAE" w:rsidRPr="00E93A8B" w:rsidRDefault="00597AAE" w:rsidP="00E93A8B">
      <w:pPr>
        <w:pStyle w:val="Odstavekseznama"/>
        <w:numPr>
          <w:ilvl w:val="0"/>
          <w:numId w:val="12"/>
        </w:numPr>
        <w:spacing w:line="260" w:lineRule="atLeast"/>
        <w:jc w:val="both"/>
        <w:rPr>
          <w:rFonts w:cs="Arial"/>
          <w:iCs/>
        </w:rPr>
      </w:pPr>
      <w:r w:rsidRPr="00E93A8B">
        <w:rPr>
          <w:rFonts w:cs="Arial"/>
          <w:iCs/>
        </w:rPr>
        <w:t>izpolnil vse naloge vezane na področje sprejemanja, izdajanja in vzdrževanja slovenskih nacionalnih standardov in standardizacijskih dokumentov, ter s tem zagotavljal kakovostno podporo slovenskemu gospodarstvu, potrošnikom in državi,</w:t>
      </w:r>
    </w:p>
    <w:p w:rsidR="00597AAE" w:rsidRPr="00E93A8B" w:rsidRDefault="00597AAE" w:rsidP="00E93A8B">
      <w:pPr>
        <w:pStyle w:val="Odstavekseznama"/>
        <w:numPr>
          <w:ilvl w:val="0"/>
          <w:numId w:val="12"/>
        </w:numPr>
        <w:spacing w:line="260" w:lineRule="atLeast"/>
        <w:jc w:val="both"/>
        <w:rPr>
          <w:rFonts w:cs="Arial"/>
          <w:iCs/>
        </w:rPr>
      </w:pPr>
      <w:r w:rsidRPr="00E93A8B">
        <w:rPr>
          <w:rFonts w:cs="Arial"/>
          <w:iCs/>
        </w:rPr>
        <w:t>zainteresiranim omogočil aktivno sodelovanje na evropski in mednarodni ravni, na vseh stopnjah razvoja evropskih in mednarodnih standardov,</w:t>
      </w:r>
    </w:p>
    <w:p w:rsidR="00597AAE" w:rsidRPr="00E93A8B" w:rsidRDefault="00597AAE" w:rsidP="00E93A8B">
      <w:pPr>
        <w:pStyle w:val="Odstavekseznama"/>
        <w:numPr>
          <w:ilvl w:val="0"/>
          <w:numId w:val="12"/>
        </w:numPr>
        <w:spacing w:line="260" w:lineRule="atLeast"/>
        <w:jc w:val="both"/>
        <w:rPr>
          <w:rFonts w:cs="Arial"/>
          <w:iCs/>
        </w:rPr>
      </w:pPr>
      <w:r w:rsidRPr="00E93A8B">
        <w:rPr>
          <w:rFonts w:cs="Arial"/>
          <w:iCs/>
        </w:rPr>
        <w:t xml:space="preserve">izvedel vse naloge na področju dela kontaktne točke po pooblastilu države (WTO/TBT, Direktive 98/34/ES, Uredbe ES št. 764/2008 o medsebojnem priznavanju, Uredbe ES št. 305/2011 o določitvi usklajenih pogojev za trženje gradbenih proizvodov, Uredbe ES št. 1025/2012 o evropski standardizaciji in Zakona o storitvah na notranjem trgu), </w:t>
      </w:r>
    </w:p>
    <w:p w:rsidR="00597AAE" w:rsidRPr="00E93A8B" w:rsidRDefault="00597AAE" w:rsidP="00E93A8B">
      <w:pPr>
        <w:pStyle w:val="Odstavekseznama"/>
        <w:numPr>
          <w:ilvl w:val="0"/>
          <w:numId w:val="12"/>
        </w:numPr>
        <w:spacing w:line="260" w:lineRule="atLeast"/>
        <w:jc w:val="both"/>
        <w:rPr>
          <w:rFonts w:cs="Arial"/>
          <w:iCs/>
        </w:rPr>
      </w:pPr>
      <w:r w:rsidRPr="00E93A8B">
        <w:rPr>
          <w:rFonts w:cs="Arial"/>
          <w:iCs/>
        </w:rPr>
        <w:t xml:space="preserve">promoviral uporabo standardizacije in standardov kot podporo razvoju slovenskega gospodarstva. </w:t>
      </w:r>
    </w:p>
    <w:p w:rsidR="00597AAE" w:rsidRPr="00C520CB" w:rsidRDefault="00597AAE" w:rsidP="00597AAE">
      <w:pPr>
        <w:spacing w:line="260" w:lineRule="atLeast"/>
        <w:jc w:val="both"/>
        <w:rPr>
          <w:rFonts w:cs="Arial"/>
          <w:iCs/>
        </w:rPr>
      </w:pPr>
    </w:p>
    <w:p w:rsidR="00597AAE" w:rsidRPr="00C520CB" w:rsidRDefault="00597AAE" w:rsidP="00597AAE">
      <w:pPr>
        <w:spacing w:line="260" w:lineRule="atLeast"/>
        <w:jc w:val="both"/>
        <w:rPr>
          <w:rFonts w:cs="Arial"/>
          <w:iCs/>
        </w:rPr>
      </w:pPr>
      <w:r w:rsidRPr="00C520CB">
        <w:rPr>
          <w:rFonts w:cs="Arial"/>
          <w:iCs/>
        </w:rPr>
        <w:t>SIST je vzdrževal vse zahteve za polnopravno članstvo v evropskih (CEN, CENELEC, ETSI) in mednarodnih (ISO, IEC, ITU-T) organizacijah za standardizacijo, kot podpora delovanju notranjega trga, katerega temelj je področje tehnične harmonizacije.</w:t>
      </w:r>
    </w:p>
    <w:p w:rsidR="00597AAE" w:rsidRPr="00C520CB" w:rsidRDefault="00597AAE" w:rsidP="00156E1B">
      <w:pPr>
        <w:spacing w:line="260" w:lineRule="atLeast"/>
        <w:jc w:val="both"/>
        <w:rPr>
          <w:iCs/>
          <w:szCs w:val="20"/>
        </w:rPr>
      </w:pPr>
    </w:p>
    <w:p w:rsidR="00156E1B" w:rsidRPr="00C520CB" w:rsidRDefault="00156E1B" w:rsidP="00156E1B">
      <w:pPr>
        <w:spacing w:line="260" w:lineRule="atLeast"/>
        <w:jc w:val="both"/>
        <w:rPr>
          <w:rFonts w:cs="Arial"/>
          <w:iCs/>
          <w:szCs w:val="20"/>
          <w:lang w:eastAsia="sl-SI"/>
        </w:rPr>
      </w:pPr>
      <w:r w:rsidRPr="00C520CB">
        <w:rPr>
          <w:rFonts w:cs="Arial"/>
          <w:iCs/>
          <w:szCs w:val="20"/>
          <w:lang w:eastAsia="sl-SI"/>
        </w:rPr>
        <w:t xml:space="preserve">Ministrstvo za </w:t>
      </w:r>
      <w:r w:rsidR="00DA48DD" w:rsidRPr="00C520CB">
        <w:rPr>
          <w:rFonts w:cs="Arial"/>
          <w:iCs/>
          <w:szCs w:val="20"/>
          <w:lang w:eastAsia="sl-SI"/>
        </w:rPr>
        <w:t>gospodarstvo, turizem in šport</w:t>
      </w:r>
      <w:r w:rsidRPr="00C520CB">
        <w:rPr>
          <w:rFonts w:cs="Arial"/>
          <w:iCs/>
          <w:szCs w:val="20"/>
          <w:lang w:eastAsia="sl-SI"/>
        </w:rPr>
        <w:t xml:space="preserve"> je dne </w:t>
      </w:r>
      <w:r w:rsidR="00DA48DD" w:rsidRPr="00C520CB">
        <w:rPr>
          <w:rFonts w:cs="Arial"/>
          <w:iCs/>
          <w:szCs w:val="20"/>
          <w:lang w:eastAsia="sl-SI"/>
        </w:rPr>
        <w:t>16. 3. 2023</w:t>
      </w:r>
      <w:r w:rsidRPr="00C520CB">
        <w:rPr>
          <w:rFonts w:cs="Arial"/>
          <w:iCs/>
          <w:szCs w:val="20"/>
          <w:lang w:eastAsia="sl-SI"/>
        </w:rPr>
        <w:t xml:space="preserve"> k LP SIST 202</w:t>
      </w:r>
      <w:r w:rsidR="00DA48DD" w:rsidRPr="00C520CB">
        <w:rPr>
          <w:rFonts w:cs="Arial"/>
          <w:iCs/>
          <w:szCs w:val="20"/>
          <w:lang w:eastAsia="sl-SI"/>
        </w:rPr>
        <w:t>2</w:t>
      </w:r>
      <w:r w:rsidRPr="00C520CB">
        <w:rPr>
          <w:rFonts w:cs="Arial"/>
          <w:iCs/>
          <w:szCs w:val="20"/>
          <w:lang w:eastAsia="sl-SI"/>
        </w:rPr>
        <w:t xml:space="preserve"> izdalo soglasje št. 315-</w:t>
      </w:r>
      <w:r w:rsidR="00DA48DD" w:rsidRPr="00C520CB">
        <w:rPr>
          <w:rFonts w:cs="Arial"/>
          <w:iCs/>
          <w:szCs w:val="20"/>
          <w:lang w:eastAsia="sl-SI"/>
        </w:rPr>
        <w:t>45</w:t>
      </w:r>
      <w:r w:rsidRPr="00C520CB">
        <w:rPr>
          <w:rFonts w:cs="Arial"/>
          <w:iCs/>
          <w:szCs w:val="20"/>
          <w:lang w:eastAsia="sl-SI"/>
        </w:rPr>
        <w:t>/202</w:t>
      </w:r>
      <w:r w:rsidR="00DA48DD" w:rsidRPr="00C520CB">
        <w:rPr>
          <w:rFonts w:cs="Arial"/>
          <w:iCs/>
          <w:szCs w:val="20"/>
          <w:lang w:eastAsia="sl-SI"/>
        </w:rPr>
        <w:t>2</w:t>
      </w:r>
      <w:r w:rsidRPr="00C520CB">
        <w:rPr>
          <w:rFonts w:cs="Arial"/>
          <w:iCs/>
          <w:szCs w:val="20"/>
          <w:lang w:eastAsia="sl-SI"/>
        </w:rPr>
        <w:t>/</w:t>
      </w:r>
      <w:r w:rsidR="00DA48DD" w:rsidRPr="00C520CB">
        <w:rPr>
          <w:rFonts w:cs="Arial"/>
          <w:iCs/>
          <w:szCs w:val="20"/>
          <w:lang w:eastAsia="sl-SI"/>
        </w:rPr>
        <w:t>45</w:t>
      </w:r>
      <w:r w:rsidRPr="00C520CB">
        <w:rPr>
          <w:rFonts w:cs="Arial"/>
          <w:iCs/>
          <w:szCs w:val="20"/>
          <w:lang w:eastAsia="sl-SI"/>
        </w:rPr>
        <w:t>.</w:t>
      </w:r>
    </w:p>
    <w:p w:rsidR="00156E1B" w:rsidRPr="00C520CB" w:rsidRDefault="00156E1B" w:rsidP="00156E1B">
      <w:pPr>
        <w:spacing w:line="260" w:lineRule="atLeast"/>
        <w:jc w:val="both"/>
        <w:rPr>
          <w:rFonts w:cs="Arial"/>
          <w:iCs/>
          <w:szCs w:val="20"/>
          <w:highlight w:val="yellow"/>
          <w:lang w:eastAsia="sl-SI"/>
        </w:rPr>
      </w:pPr>
    </w:p>
    <w:p w:rsidR="00156E1B" w:rsidRPr="00C520CB" w:rsidRDefault="00D1542A" w:rsidP="00156E1B">
      <w:pPr>
        <w:spacing w:line="260" w:lineRule="atLeast"/>
        <w:jc w:val="both"/>
        <w:rPr>
          <w:rFonts w:cs="Arial"/>
          <w:iCs/>
          <w:szCs w:val="20"/>
          <w:lang w:eastAsia="sl-SI"/>
        </w:rPr>
      </w:pPr>
      <w:r w:rsidRPr="00D90E2C">
        <w:rPr>
          <w:iCs/>
        </w:rPr>
        <w:t xml:space="preserve">Zakon o zavodih (Uradni list RS, št. 12/91, 8/96, 36/00 – ZPDZC in 127/06 – ZJZP) v drugem odstavku 48. člena določa, da sme zavod presežek prihodkov nad odhodki uporabiti le za opravljanje in razvoj dejavnosti, če ni z aktom o ustanovitvi drugače določeno. </w:t>
      </w:r>
      <w:r w:rsidR="00156E1B" w:rsidRPr="00C520CB">
        <w:rPr>
          <w:rFonts w:cs="Arial"/>
          <w:iCs/>
          <w:szCs w:val="20"/>
          <w:lang w:eastAsia="sl-SI"/>
        </w:rPr>
        <w:t>V skladu s prvim odstavkom 22. člena Sklepa o ustanovitvi SIST o razpolaganju presežka prihodkov nad odhodki, ki nastane pri izvajanju nalog, ki se financirajo v skladu s prvim odstavkom 21. člena ZSta-1, odloča ustanovitelj. V skladu z drugim odstavkom 22. člena Sklepa o ustanovitvi SIST, o kritju morebitnega primanjkljaja, ki nastane pri izvajanju nalog, ki se financirajo v skladu s prvim odstavkom 21. člena ZSta-1, odloča ustanovitelj. Tretji odstavek 22. člena Sklepa o ustanovitvi SIST določa, da se sme SIST presežek prihodkov nad odhodki, ki nastane pri izvajanju nalog iz drugega odstavka 5. člena ZSta-1, v soglasju z ustanoviteljem uporabiti za razvoj svoje dejavnosti. V skladu s četrtim odstavkom 22. člena Sklepa o ustanovitvi SIST, primanjkljaja, ki nastane pri izvajanju nalog iz drugega odstavka 21. člena ZSta-1, ustanovitelj ne krije.</w:t>
      </w:r>
    </w:p>
    <w:p w:rsidR="00156E1B" w:rsidRPr="00C520CB" w:rsidRDefault="00156E1B" w:rsidP="00156E1B">
      <w:pPr>
        <w:spacing w:line="260" w:lineRule="atLeast"/>
        <w:jc w:val="both"/>
        <w:rPr>
          <w:iCs/>
          <w:szCs w:val="20"/>
        </w:rPr>
      </w:pPr>
    </w:p>
    <w:p w:rsidR="00156E1B" w:rsidRPr="00C520CB" w:rsidRDefault="00156E1B" w:rsidP="00156E1B">
      <w:pPr>
        <w:spacing w:line="260" w:lineRule="atLeast"/>
        <w:jc w:val="both"/>
        <w:rPr>
          <w:szCs w:val="20"/>
        </w:rPr>
      </w:pPr>
      <w:r w:rsidRPr="00C520CB">
        <w:rPr>
          <w:szCs w:val="20"/>
        </w:rPr>
        <w:t>SIST je v letu 202</w:t>
      </w:r>
      <w:r w:rsidR="004920EE" w:rsidRPr="00C520CB">
        <w:rPr>
          <w:szCs w:val="20"/>
        </w:rPr>
        <w:t>2</w:t>
      </w:r>
      <w:r w:rsidRPr="00C520CB">
        <w:rPr>
          <w:szCs w:val="20"/>
        </w:rPr>
        <w:t xml:space="preserve"> iz proračuna prejel sredstva v višini 1.</w:t>
      </w:r>
      <w:r w:rsidR="008B74F5" w:rsidRPr="00C520CB">
        <w:rPr>
          <w:szCs w:val="20"/>
        </w:rPr>
        <w:t>644.633</w:t>
      </w:r>
      <w:r w:rsidRPr="00C520CB">
        <w:rPr>
          <w:szCs w:val="20"/>
        </w:rPr>
        <w:t xml:space="preserve"> EUR in sicer za tekočo porabo 1.</w:t>
      </w:r>
      <w:r w:rsidR="008B74F5" w:rsidRPr="00C520CB">
        <w:rPr>
          <w:szCs w:val="20"/>
        </w:rPr>
        <w:t>428</w:t>
      </w:r>
      <w:r w:rsidRPr="00C520CB">
        <w:rPr>
          <w:szCs w:val="20"/>
        </w:rPr>
        <w:t>.</w:t>
      </w:r>
      <w:r w:rsidR="008B74F5" w:rsidRPr="00C520CB">
        <w:rPr>
          <w:szCs w:val="20"/>
        </w:rPr>
        <w:t>406</w:t>
      </w:r>
      <w:r w:rsidRPr="00C520CB">
        <w:rPr>
          <w:szCs w:val="20"/>
        </w:rPr>
        <w:t xml:space="preserve"> EUR in za investicije </w:t>
      </w:r>
      <w:r w:rsidR="008B74F5" w:rsidRPr="00C520CB">
        <w:rPr>
          <w:szCs w:val="20"/>
        </w:rPr>
        <w:t>15</w:t>
      </w:r>
      <w:r w:rsidRPr="00C520CB">
        <w:rPr>
          <w:szCs w:val="20"/>
        </w:rPr>
        <w:t>.</w:t>
      </w:r>
      <w:r w:rsidR="008B74F5" w:rsidRPr="00C520CB">
        <w:rPr>
          <w:szCs w:val="20"/>
        </w:rPr>
        <w:t xml:space="preserve">500 </w:t>
      </w:r>
      <w:r w:rsidRPr="00C520CB">
        <w:rPr>
          <w:szCs w:val="20"/>
        </w:rPr>
        <w:t>EUR. Iz računovodskega poročila SIST za leto 202</w:t>
      </w:r>
      <w:r w:rsidR="008B74F5" w:rsidRPr="00C520CB">
        <w:rPr>
          <w:szCs w:val="20"/>
        </w:rPr>
        <w:t>2</w:t>
      </w:r>
      <w:r w:rsidRPr="00C520CB">
        <w:rPr>
          <w:szCs w:val="20"/>
        </w:rPr>
        <w:t xml:space="preserve"> (dokument št. 1412-10</w:t>
      </w:r>
      <w:r w:rsidR="008B74F5" w:rsidRPr="00C520CB">
        <w:rPr>
          <w:szCs w:val="20"/>
        </w:rPr>
        <w:t>6</w:t>
      </w:r>
      <w:r w:rsidRPr="00C520CB">
        <w:rPr>
          <w:szCs w:val="20"/>
        </w:rPr>
        <w:t>/202</w:t>
      </w:r>
      <w:r w:rsidR="008B74F5" w:rsidRPr="00C520CB">
        <w:rPr>
          <w:szCs w:val="20"/>
        </w:rPr>
        <w:t>3</w:t>
      </w:r>
      <w:r w:rsidRPr="00C520CB">
        <w:rPr>
          <w:szCs w:val="20"/>
        </w:rPr>
        <w:t>/</w:t>
      </w:r>
      <w:r w:rsidR="008B74F5" w:rsidRPr="00C520CB">
        <w:rPr>
          <w:szCs w:val="20"/>
        </w:rPr>
        <w:t>5</w:t>
      </w:r>
      <w:r w:rsidRPr="00C520CB">
        <w:rPr>
          <w:szCs w:val="20"/>
        </w:rPr>
        <w:t>) je razvidno, da je SIST v letu 202</w:t>
      </w:r>
      <w:r w:rsidR="008B74F5" w:rsidRPr="00C520CB">
        <w:rPr>
          <w:szCs w:val="20"/>
        </w:rPr>
        <w:t>2</w:t>
      </w:r>
      <w:r w:rsidRPr="00C520CB">
        <w:rPr>
          <w:szCs w:val="20"/>
        </w:rPr>
        <w:t xml:space="preserve"> pri izvajanju dejavnosti ustvaril skupno </w:t>
      </w:r>
      <w:r w:rsidR="008B74F5" w:rsidRPr="00C520CB">
        <w:rPr>
          <w:szCs w:val="20"/>
        </w:rPr>
        <w:t>2</w:t>
      </w:r>
      <w:r w:rsidRPr="00C520CB">
        <w:rPr>
          <w:szCs w:val="20"/>
        </w:rPr>
        <w:t>.</w:t>
      </w:r>
      <w:r w:rsidR="008B74F5" w:rsidRPr="00C520CB">
        <w:rPr>
          <w:szCs w:val="20"/>
        </w:rPr>
        <w:t>077</w:t>
      </w:r>
      <w:r w:rsidRPr="00C520CB">
        <w:rPr>
          <w:szCs w:val="20"/>
        </w:rPr>
        <w:t>.</w:t>
      </w:r>
      <w:r w:rsidR="008B74F5" w:rsidRPr="00C520CB">
        <w:rPr>
          <w:szCs w:val="20"/>
        </w:rPr>
        <w:t>902</w:t>
      </w:r>
      <w:r w:rsidRPr="00C520CB">
        <w:rPr>
          <w:szCs w:val="20"/>
        </w:rPr>
        <w:t xml:space="preserve"> EUR prihodkov in skupno 1.8</w:t>
      </w:r>
      <w:r w:rsidR="008B74F5" w:rsidRPr="00C520CB">
        <w:rPr>
          <w:szCs w:val="20"/>
        </w:rPr>
        <w:t>11</w:t>
      </w:r>
      <w:r w:rsidRPr="00C520CB">
        <w:rPr>
          <w:szCs w:val="20"/>
        </w:rPr>
        <w:t>.</w:t>
      </w:r>
      <w:r w:rsidR="008B74F5" w:rsidRPr="00C520CB">
        <w:rPr>
          <w:szCs w:val="20"/>
        </w:rPr>
        <w:t>334</w:t>
      </w:r>
      <w:r w:rsidRPr="00C520CB">
        <w:rPr>
          <w:szCs w:val="20"/>
        </w:rPr>
        <w:t xml:space="preserve"> EUR odhodkov. SIST je poslovno leto 202</w:t>
      </w:r>
      <w:r w:rsidR="008B74F5" w:rsidRPr="00C520CB">
        <w:rPr>
          <w:szCs w:val="20"/>
        </w:rPr>
        <w:t>2</w:t>
      </w:r>
      <w:r w:rsidRPr="00C520CB">
        <w:rPr>
          <w:szCs w:val="20"/>
        </w:rPr>
        <w:t xml:space="preserve"> zaključil s presežkom prihodkov nad odhodki v višini </w:t>
      </w:r>
      <w:r w:rsidR="008B74F5" w:rsidRPr="00C520CB">
        <w:rPr>
          <w:szCs w:val="20"/>
        </w:rPr>
        <w:t>251</w:t>
      </w:r>
      <w:r w:rsidRPr="00C520CB">
        <w:rPr>
          <w:szCs w:val="20"/>
        </w:rPr>
        <w:t>.</w:t>
      </w:r>
      <w:r w:rsidR="008B74F5" w:rsidRPr="00C520CB">
        <w:rPr>
          <w:szCs w:val="20"/>
        </w:rPr>
        <w:t>342</w:t>
      </w:r>
      <w:r w:rsidRPr="00C520CB">
        <w:rPr>
          <w:szCs w:val="20"/>
        </w:rPr>
        <w:t xml:space="preserve"> EUR. </w:t>
      </w:r>
    </w:p>
    <w:p w:rsidR="00156E1B" w:rsidRPr="00C520CB" w:rsidRDefault="00156E1B" w:rsidP="00156E1B">
      <w:pPr>
        <w:spacing w:line="260" w:lineRule="atLeast"/>
        <w:jc w:val="both"/>
        <w:rPr>
          <w:szCs w:val="20"/>
        </w:rPr>
      </w:pPr>
      <w:r w:rsidRPr="00C520CB">
        <w:rPr>
          <w:szCs w:val="20"/>
        </w:rPr>
        <w:t xml:space="preserve"> </w:t>
      </w:r>
    </w:p>
    <w:p w:rsidR="00156E1B" w:rsidRPr="00C520CB" w:rsidRDefault="00156E1B" w:rsidP="00156E1B">
      <w:pPr>
        <w:spacing w:line="260" w:lineRule="atLeast"/>
        <w:jc w:val="both"/>
        <w:rPr>
          <w:szCs w:val="20"/>
        </w:rPr>
      </w:pPr>
      <w:r w:rsidRPr="00C520CB">
        <w:rPr>
          <w:szCs w:val="20"/>
        </w:rPr>
        <w:t>SIST je v letu 202</w:t>
      </w:r>
      <w:r w:rsidR="00392FF9" w:rsidRPr="00C520CB">
        <w:rPr>
          <w:szCs w:val="20"/>
        </w:rPr>
        <w:t>2</w:t>
      </w:r>
      <w:r w:rsidRPr="00C520CB">
        <w:rPr>
          <w:szCs w:val="20"/>
        </w:rPr>
        <w:t xml:space="preserve"> z izvajanjem dejavnosti v javnem interesu (nalog iz prvega odstavka 5. člena in 6. člena ZSta-1) ustvaril 1.</w:t>
      </w:r>
      <w:r w:rsidR="00392FF9" w:rsidRPr="00C520CB">
        <w:rPr>
          <w:szCs w:val="20"/>
        </w:rPr>
        <w:t>933.235</w:t>
      </w:r>
      <w:r w:rsidRPr="00C520CB">
        <w:rPr>
          <w:szCs w:val="20"/>
        </w:rPr>
        <w:t xml:space="preserve"> EUR prihodkov in 1.7</w:t>
      </w:r>
      <w:r w:rsidR="00392FF9" w:rsidRPr="00C520CB">
        <w:rPr>
          <w:szCs w:val="20"/>
        </w:rPr>
        <w:t>56</w:t>
      </w:r>
      <w:r w:rsidRPr="00C520CB">
        <w:rPr>
          <w:szCs w:val="20"/>
        </w:rPr>
        <w:t>.0</w:t>
      </w:r>
      <w:r w:rsidR="00392FF9" w:rsidRPr="00C520CB">
        <w:rPr>
          <w:szCs w:val="20"/>
        </w:rPr>
        <w:t>66</w:t>
      </w:r>
      <w:r w:rsidRPr="00C520CB">
        <w:rPr>
          <w:szCs w:val="20"/>
        </w:rPr>
        <w:t xml:space="preserve"> EUR odhodkov in tako ustvaril presežek </w:t>
      </w:r>
      <w:r w:rsidR="00392FF9" w:rsidRPr="00C520CB">
        <w:rPr>
          <w:szCs w:val="20"/>
        </w:rPr>
        <w:t>prihodkov</w:t>
      </w:r>
      <w:r w:rsidRPr="00C520CB">
        <w:rPr>
          <w:szCs w:val="20"/>
        </w:rPr>
        <w:t xml:space="preserve"> </w:t>
      </w:r>
      <w:r w:rsidR="00392FF9" w:rsidRPr="00C520CB">
        <w:rPr>
          <w:szCs w:val="20"/>
        </w:rPr>
        <w:t xml:space="preserve">(z upoštevanjem davka od dohodka pravnih oseb) </w:t>
      </w:r>
      <w:r w:rsidRPr="00C520CB">
        <w:rPr>
          <w:szCs w:val="20"/>
        </w:rPr>
        <w:t xml:space="preserve">v višini </w:t>
      </w:r>
      <w:r w:rsidR="00392FF9" w:rsidRPr="00C520CB">
        <w:rPr>
          <w:szCs w:val="20"/>
        </w:rPr>
        <w:t>+</w:t>
      </w:r>
      <w:r w:rsidRPr="00C520CB">
        <w:rPr>
          <w:szCs w:val="20"/>
        </w:rPr>
        <w:t>1</w:t>
      </w:r>
      <w:r w:rsidR="00392FF9" w:rsidRPr="00C520CB">
        <w:rPr>
          <w:szCs w:val="20"/>
        </w:rPr>
        <w:t>77</w:t>
      </w:r>
      <w:r w:rsidRPr="00C520CB">
        <w:rPr>
          <w:szCs w:val="20"/>
        </w:rPr>
        <w:t>.</w:t>
      </w:r>
      <w:r w:rsidR="00392FF9" w:rsidRPr="00C520CB">
        <w:rPr>
          <w:szCs w:val="20"/>
        </w:rPr>
        <w:t>169</w:t>
      </w:r>
      <w:r w:rsidRPr="00C520CB">
        <w:rPr>
          <w:szCs w:val="20"/>
        </w:rPr>
        <w:t xml:space="preserve"> EUR. Z izvajanjem tržne dejavnosti (izvajanje nalog iz drugega odstavka 5. člena ZSta-1) je SIST ustvaril prihodke v višini </w:t>
      </w:r>
      <w:r w:rsidR="00392FF9" w:rsidRPr="00C520CB">
        <w:rPr>
          <w:szCs w:val="20"/>
        </w:rPr>
        <w:t>144</w:t>
      </w:r>
      <w:r w:rsidRPr="00C520CB">
        <w:rPr>
          <w:szCs w:val="20"/>
        </w:rPr>
        <w:t>.</w:t>
      </w:r>
      <w:r w:rsidR="00392FF9" w:rsidRPr="00C520CB">
        <w:rPr>
          <w:szCs w:val="20"/>
        </w:rPr>
        <w:t>666</w:t>
      </w:r>
      <w:r w:rsidRPr="00C520CB">
        <w:rPr>
          <w:szCs w:val="20"/>
        </w:rPr>
        <w:t xml:space="preserve"> EUR in odhodke v višini 5</w:t>
      </w:r>
      <w:r w:rsidR="00392FF9" w:rsidRPr="00C520CB">
        <w:rPr>
          <w:szCs w:val="20"/>
        </w:rPr>
        <w:t>5</w:t>
      </w:r>
      <w:r w:rsidRPr="00C520CB">
        <w:rPr>
          <w:szCs w:val="20"/>
        </w:rPr>
        <w:t>.</w:t>
      </w:r>
      <w:r w:rsidR="00392FF9" w:rsidRPr="00C520CB">
        <w:rPr>
          <w:szCs w:val="20"/>
        </w:rPr>
        <w:t>267</w:t>
      </w:r>
      <w:r w:rsidRPr="00C520CB">
        <w:rPr>
          <w:szCs w:val="20"/>
        </w:rPr>
        <w:t xml:space="preserve"> EUR ter ustvaril presežek prihodkov (z upoštevanjem davka od dohodka pravnih oseb) v višini +</w:t>
      </w:r>
      <w:r w:rsidR="00392FF9" w:rsidRPr="00C520CB">
        <w:rPr>
          <w:szCs w:val="20"/>
        </w:rPr>
        <w:t>85</w:t>
      </w:r>
      <w:r w:rsidRPr="00C520CB">
        <w:rPr>
          <w:szCs w:val="20"/>
        </w:rPr>
        <w:t>.</w:t>
      </w:r>
      <w:r w:rsidR="00392FF9" w:rsidRPr="00C520CB">
        <w:rPr>
          <w:szCs w:val="20"/>
        </w:rPr>
        <w:t>653</w:t>
      </w:r>
      <w:r w:rsidRPr="00C520CB">
        <w:rPr>
          <w:szCs w:val="20"/>
        </w:rPr>
        <w:t xml:space="preserve"> EUR. SIST je poslovno leto 202</w:t>
      </w:r>
      <w:r w:rsidR="00314BDD" w:rsidRPr="00C520CB">
        <w:rPr>
          <w:szCs w:val="20"/>
        </w:rPr>
        <w:t>2</w:t>
      </w:r>
      <w:r w:rsidRPr="00C520CB">
        <w:rPr>
          <w:szCs w:val="20"/>
        </w:rPr>
        <w:t xml:space="preserve"> tako zaključil s </w:t>
      </w:r>
      <w:r w:rsidR="00D02578" w:rsidRPr="00C520CB">
        <w:rPr>
          <w:szCs w:val="20"/>
        </w:rPr>
        <w:t>presežkom prihodkov nad odhodki</w:t>
      </w:r>
      <w:r w:rsidR="00314BDD" w:rsidRPr="00C520CB">
        <w:rPr>
          <w:szCs w:val="20"/>
        </w:rPr>
        <w:t xml:space="preserve"> </w:t>
      </w:r>
      <w:r w:rsidRPr="00C520CB">
        <w:rPr>
          <w:szCs w:val="20"/>
        </w:rPr>
        <w:t xml:space="preserve">v višini </w:t>
      </w:r>
      <w:r w:rsidR="00314BDD" w:rsidRPr="00C520CB">
        <w:rPr>
          <w:szCs w:val="20"/>
        </w:rPr>
        <w:t>251</w:t>
      </w:r>
      <w:r w:rsidRPr="00C520CB">
        <w:rPr>
          <w:szCs w:val="20"/>
        </w:rPr>
        <w:t>.</w:t>
      </w:r>
      <w:r w:rsidR="00314BDD" w:rsidRPr="00C520CB">
        <w:rPr>
          <w:szCs w:val="20"/>
        </w:rPr>
        <w:t>341</w:t>
      </w:r>
      <w:r w:rsidRPr="00C520CB">
        <w:rPr>
          <w:szCs w:val="20"/>
        </w:rPr>
        <w:t>,</w:t>
      </w:r>
      <w:r w:rsidR="00314BDD" w:rsidRPr="00C520CB">
        <w:rPr>
          <w:szCs w:val="20"/>
        </w:rPr>
        <w:t>65</w:t>
      </w:r>
      <w:r w:rsidRPr="00C520CB">
        <w:rPr>
          <w:szCs w:val="20"/>
        </w:rPr>
        <w:t xml:space="preserve"> EUR. </w:t>
      </w:r>
    </w:p>
    <w:p w:rsidR="00156E1B" w:rsidRPr="00C520CB" w:rsidRDefault="00156E1B" w:rsidP="00156E1B">
      <w:pPr>
        <w:spacing w:line="260" w:lineRule="atLeast"/>
        <w:jc w:val="both"/>
        <w:rPr>
          <w:szCs w:val="20"/>
        </w:rPr>
      </w:pPr>
    </w:p>
    <w:p w:rsidR="00156E1B" w:rsidRPr="00C520CB" w:rsidRDefault="00156E1B" w:rsidP="00156E1B">
      <w:pPr>
        <w:jc w:val="both"/>
        <w:rPr>
          <w:szCs w:val="20"/>
        </w:rPr>
      </w:pPr>
      <w:r w:rsidRPr="00C520CB">
        <w:rPr>
          <w:szCs w:val="20"/>
        </w:rPr>
        <w:t>Tabela 2: Struktura presežka iz leta 202</w:t>
      </w:r>
      <w:r w:rsidR="004E73B2" w:rsidRPr="00C520CB">
        <w:rPr>
          <w:szCs w:val="20"/>
        </w:rPr>
        <w:t>2</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gridCol w:w="2977"/>
      </w:tblGrid>
      <w:tr w:rsidR="007B2685" w:rsidRPr="00C520CB" w:rsidTr="007B2685">
        <w:trPr>
          <w:trHeight w:val="2436"/>
        </w:trPr>
        <w:tc>
          <w:tcPr>
            <w:tcW w:w="2405" w:type="dxa"/>
            <w:shd w:val="clear" w:color="auto" w:fill="auto"/>
          </w:tcPr>
          <w:p w:rsidR="00156E1B" w:rsidRPr="00C520CB" w:rsidRDefault="00156E1B" w:rsidP="00892F95">
            <w:pPr>
              <w:spacing w:line="260" w:lineRule="atLeast"/>
              <w:jc w:val="center"/>
              <w:rPr>
                <w:b/>
                <w:szCs w:val="20"/>
              </w:rPr>
            </w:pPr>
            <w:r w:rsidRPr="00C520CB">
              <w:rPr>
                <w:b/>
                <w:szCs w:val="20"/>
              </w:rPr>
              <w:t>SKUPNI PRESEŽEK</w:t>
            </w:r>
          </w:p>
          <w:p w:rsidR="00156E1B" w:rsidRPr="00C520CB" w:rsidRDefault="00156E1B" w:rsidP="00892F95">
            <w:pPr>
              <w:spacing w:line="260" w:lineRule="atLeast"/>
              <w:jc w:val="center"/>
              <w:rPr>
                <w:b/>
                <w:szCs w:val="20"/>
              </w:rPr>
            </w:pPr>
            <w:r w:rsidRPr="00C520CB">
              <w:rPr>
                <w:b/>
                <w:szCs w:val="20"/>
              </w:rPr>
              <w:t>(presežek prihodkov nad odhodki)</w:t>
            </w:r>
          </w:p>
          <w:p w:rsidR="00156E1B" w:rsidRPr="00C520CB" w:rsidRDefault="00156E1B" w:rsidP="00892F95">
            <w:pPr>
              <w:spacing w:line="260" w:lineRule="atLeast"/>
              <w:jc w:val="center"/>
              <w:rPr>
                <w:b/>
                <w:szCs w:val="20"/>
              </w:rPr>
            </w:pPr>
            <w:r w:rsidRPr="00C520CB">
              <w:rPr>
                <w:b/>
                <w:szCs w:val="20"/>
              </w:rPr>
              <w:t>iz leta 202</w:t>
            </w:r>
            <w:r w:rsidR="00314BDD" w:rsidRPr="00C520CB">
              <w:rPr>
                <w:b/>
                <w:szCs w:val="20"/>
              </w:rPr>
              <w:t>2</w:t>
            </w:r>
          </w:p>
          <w:p w:rsidR="00156E1B" w:rsidRPr="00C520CB" w:rsidRDefault="00156E1B" w:rsidP="00892F95">
            <w:pPr>
              <w:spacing w:line="260" w:lineRule="atLeast"/>
              <w:jc w:val="center"/>
              <w:rPr>
                <w:b/>
                <w:szCs w:val="20"/>
              </w:rPr>
            </w:pPr>
          </w:p>
          <w:p w:rsidR="00156E1B" w:rsidRPr="00C520CB" w:rsidRDefault="00156E1B" w:rsidP="00892F95">
            <w:pPr>
              <w:spacing w:line="260" w:lineRule="atLeast"/>
              <w:rPr>
                <w:b/>
                <w:szCs w:val="20"/>
              </w:rPr>
            </w:pPr>
          </w:p>
          <w:p w:rsidR="00960F75" w:rsidRPr="00C520CB" w:rsidRDefault="00960F75" w:rsidP="00314BDD">
            <w:pPr>
              <w:spacing w:line="260" w:lineRule="atLeast"/>
              <w:jc w:val="center"/>
              <w:rPr>
                <w:b/>
                <w:szCs w:val="20"/>
              </w:rPr>
            </w:pPr>
          </w:p>
          <w:p w:rsidR="00156E1B" w:rsidRPr="00C520CB" w:rsidRDefault="00156E1B" w:rsidP="00314BDD">
            <w:pPr>
              <w:spacing w:line="260" w:lineRule="atLeast"/>
              <w:jc w:val="center"/>
              <w:rPr>
                <w:szCs w:val="20"/>
              </w:rPr>
            </w:pPr>
            <w:r w:rsidRPr="00C520CB">
              <w:rPr>
                <w:b/>
                <w:szCs w:val="20"/>
              </w:rPr>
              <w:t>+</w:t>
            </w:r>
            <w:r w:rsidR="00314BDD" w:rsidRPr="00C520CB">
              <w:rPr>
                <w:b/>
                <w:szCs w:val="20"/>
              </w:rPr>
              <w:t>251</w:t>
            </w:r>
            <w:r w:rsidRPr="00C520CB">
              <w:rPr>
                <w:b/>
                <w:bCs/>
                <w:iCs/>
                <w:szCs w:val="20"/>
              </w:rPr>
              <w:t>.</w:t>
            </w:r>
            <w:r w:rsidR="00314BDD" w:rsidRPr="00C520CB">
              <w:rPr>
                <w:b/>
                <w:bCs/>
                <w:iCs/>
                <w:szCs w:val="20"/>
              </w:rPr>
              <w:t>341,65</w:t>
            </w:r>
            <w:r w:rsidRPr="00C520CB">
              <w:rPr>
                <w:b/>
                <w:bCs/>
                <w:iCs/>
                <w:szCs w:val="20"/>
              </w:rPr>
              <w:t xml:space="preserve"> </w:t>
            </w:r>
            <w:r w:rsidRPr="00C520CB">
              <w:rPr>
                <w:b/>
                <w:szCs w:val="20"/>
              </w:rPr>
              <w:t>EUR</w:t>
            </w:r>
          </w:p>
        </w:tc>
        <w:tc>
          <w:tcPr>
            <w:tcW w:w="2977" w:type="dxa"/>
            <w:shd w:val="clear" w:color="auto" w:fill="auto"/>
          </w:tcPr>
          <w:p w:rsidR="00156E1B" w:rsidRPr="00C520CB" w:rsidRDefault="00156E1B" w:rsidP="00892F95">
            <w:pPr>
              <w:spacing w:line="260" w:lineRule="atLeast"/>
              <w:jc w:val="center"/>
              <w:rPr>
                <w:b/>
                <w:szCs w:val="20"/>
              </w:rPr>
            </w:pPr>
            <w:r w:rsidRPr="00C520CB">
              <w:rPr>
                <w:b/>
                <w:szCs w:val="20"/>
              </w:rPr>
              <w:t>Od tega, pr</w:t>
            </w:r>
            <w:r w:rsidR="001825E5" w:rsidRPr="00C520CB">
              <w:rPr>
                <w:b/>
                <w:szCs w:val="20"/>
              </w:rPr>
              <w:t>esežek</w:t>
            </w:r>
            <w:r w:rsidRPr="00C520CB">
              <w:rPr>
                <w:b/>
                <w:szCs w:val="20"/>
              </w:rPr>
              <w:t xml:space="preserve"> pri izvajanju</w:t>
            </w:r>
          </w:p>
          <w:p w:rsidR="00156E1B" w:rsidRPr="00C520CB" w:rsidRDefault="00156E1B" w:rsidP="00892F95">
            <w:pPr>
              <w:spacing w:line="260" w:lineRule="atLeast"/>
              <w:jc w:val="center"/>
              <w:rPr>
                <w:b/>
                <w:szCs w:val="20"/>
              </w:rPr>
            </w:pPr>
            <w:r w:rsidRPr="00C520CB">
              <w:rPr>
                <w:b/>
                <w:szCs w:val="20"/>
              </w:rPr>
              <w:t>dejavnosti v javnem interesu</w:t>
            </w:r>
          </w:p>
          <w:p w:rsidR="00156E1B" w:rsidRPr="00C520CB" w:rsidRDefault="00156E1B" w:rsidP="00892F95">
            <w:pPr>
              <w:spacing w:line="260" w:lineRule="atLeast"/>
              <w:jc w:val="center"/>
              <w:rPr>
                <w:szCs w:val="20"/>
              </w:rPr>
            </w:pPr>
            <w:r w:rsidRPr="00C520CB">
              <w:rPr>
                <w:szCs w:val="20"/>
              </w:rPr>
              <w:t xml:space="preserve">(izvajanje nalog iz prvega odstavka </w:t>
            </w:r>
          </w:p>
          <w:p w:rsidR="00156E1B" w:rsidRPr="00C520CB" w:rsidRDefault="00156E1B" w:rsidP="00892F95">
            <w:pPr>
              <w:spacing w:line="260" w:lineRule="atLeast"/>
              <w:jc w:val="center"/>
              <w:rPr>
                <w:szCs w:val="20"/>
              </w:rPr>
            </w:pPr>
            <w:r w:rsidRPr="00C520CB">
              <w:rPr>
                <w:szCs w:val="20"/>
              </w:rPr>
              <w:t>5. člena in iz 6. člena ZSta-1)</w:t>
            </w:r>
          </w:p>
          <w:p w:rsidR="00156E1B" w:rsidRPr="00C520CB" w:rsidRDefault="00156E1B" w:rsidP="00892F95">
            <w:pPr>
              <w:spacing w:line="260" w:lineRule="atLeast"/>
              <w:rPr>
                <w:szCs w:val="20"/>
              </w:rPr>
            </w:pPr>
          </w:p>
          <w:p w:rsidR="00156E1B" w:rsidRPr="00C520CB" w:rsidRDefault="004E73B2" w:rsidP="00960F75">
            <w:pPr>
              <w:spacing w:line="260" w:lineRule="atLeast"/>
              <w:jc w:val="center"/>
              <w:rPr>
                <w:b/>
                <w:szCs w:val="20"/>
              </w:rPr>
            </w:pPr>
            <w:r w:rsidRPr="00C520CB">
              <w:rPr>
                <w:b/>
                <w:szCs w:val="20"/>
              </w:rPr>
              <w:t>+165.688,44</w:t>
            </w:r>
            <w:r w:rsidR="00156E1B" w:rsidRPr="00C520CB">
              <w:rPr>
                <w:b/>
                <w:szCs w:val="20"/>
              </w:rPr>
              <w:t xml:space="preserve"> EUR</w:t>
            </w:r>
          </w:p>
          <w:p w:rsidR="00156E1B" w:rsidRPr="00C520CB" w:rsidRDefault="00156E1B" w:rsidP="00892F95">
            <w:pPr>
              <w:tabs>
                <w:tab w:val="left" w:pos="34"/>
                <w:tab w:val="left" w:pos="318"/>
              </w:tabs>
              <w:spacing w:line="260" w:lineRule="atLeast"/>
              <w:ind w:left="33"/>
              <w:rPr>
                <w:szCs w:val="20"/>
              </w:rPr>
            </w:pPr>
            <w:r w:rsidRPr="00C520CB">
              <w:rPr>
                <w:szCs w:val="20"/>
              </w:rPr>
              <w:t xml:space="preserve"> </w:t>
            </w:r>
          </w:p>
        </w:tc>
        <w:tc>
          <w:tcPr>
            <w:tcW w:w="2977" w:type="dxa"/>
            <w:shd w:val="clear" w:color="auto" w:fill="auto"/>
          </w:tcPr>
          <w:p w:rsidR="00156E1B" w:rsidRPr="00C520CB" w:rsidRDefault="00156E1B" w:rsidP="00892F95">
            <w:pPr>
              <w:spacing w:line="260" w:lineRule="atLeast"/>
              <w:jc w:val="center"/>
              <w:rPr>
                <w:b/>
                <w:szCs w:val="20"/>
              </w:rPr>
            </w:pPr>
            <w:r w:rsidRPr="00C520CB">
              <w:rPr>
                <w:b/>
                <w:szCs w:val="20"/>
              </w:rPr>
              <w:t>Od tega, presežek pri izvajanju</w:t>
            </w:r>
          </w:p>
          <w:p w:rsidR="00156E1B" w:rsidRPr="00C520CB" w:rsidRDefault="00156E1B" w:rsidP="00892F95">
            <w:pPr>
              <w:spacing w:line="260" w:lineRule="atLeast"/>
              <w:jc w:val="center"/>
              <w:rPr>
                <w:b/>
                <w:szCs w:val="20"/>
              </w:rPr>
            </w:pPr>
            <w:r w:rsidRPr="00C520CB">
              <w:rPr>
                <w:b/>
                <w:szCs w:val="20"/>
              </w:rPr>
              <w:t>tržne dejavnosti</w:t>
            </w:r>
          </w:p>
          <w:p w:rsidR="00156E1B" w:rsidRPr="00C520CB" w:rsidRDefault="00156E1B" w:rsidP="00892F95">
            <w:pPr>
              <w:spacing w:line="260" w:lineRule="atLeast"/>
              <w:jc w:val="center"/>
              <w:rPr>
                <w:szCs w:val="20"/>
              </w:rPr>
            </w:pPr>
            <w:r w:rsidRPr="00C520CB">
              <w:rPr>
                <w:szCs w:val="20"/>
              </w:rPr>
              <w:t xml:space="preserve">(izvajanje nalog iz drugega odstavka </w:t>
            </w:r>
          </w:p>
          <w:p w:rsidR="00156E1B" w:rsidRPr="00C520CB" w:rsidRDefault="00156E1B" w:rsidP="00892F95">
            <w:pPr>
              <w:spacing w:line="260" w:lineRule="atLeast"/>
              <w:jc w:val="center"/>
              <w:rPr>
                <w:szCs w:val="20"/>
              </w:rPr>
            </w:pPr>
            <w:r w:rsidRPr="00C520CB">
              <w:rPr>
                <w:szCs w:val="20"/>
              </w:rPr>
              <w:t>5. člena ZSta-1)</w:t>
            </w:r>
          </w:p>
          <w:p w:rsidR="00156E1B" w:rsidRPr="00C520CB" w:rsidRDefault="00156E1B" w:rsidP="00892F95">
            <w:pPr>
              <w:spacing w:line="260" w:lineRule="atLeast"/>
              <w:jc w:val="center"/>
              <w:rPr>
                <w:szCs w:val="20"/>
              </w:rPr>
            </w:pPr>
          </w:p>
          <w:p w:rsidR="00156E1B" w:rsidRPr="00C520CB" w:rsidRDefault="00156E1B" w:rsidP="00892F95">
            <w:pPr>
              <w:spacing w:line="260" w:lineRule="atLeast"/>
              <w:jc w:val="center"/>
              <w:rPr>
                <w:b/>
                <w:szCs w:val="20"/>
              </w:rPr>
            </w:pPr>
            <w:r w:rsidRPr="00C520CB">
              <w:rPr>
                <w:b/>
                <w:szCs w:val="20"/>
              </w:rPr>
              <w:t>+</w:t>
            </w:r>
            <w:r w:rsidR="004E73B2" w:rsidRPr="00C520CB">
              <w:rPr>
                <w:b/>
                <w:szCs w:val="20"/>
              </w:rPr>
              <w:t>85.653,21</w:t>
            </w:r>
            <w:r w:rsidRPr="00C520CB">
              <w:rPr>
                <w:b/>
                <w:szCs w:val="20"/>
              </w:rPr>
              <w:t xml:space="preserve"> EUR</w:t>
            </w:r>
          </w:p>
          <w:p w:rsidR="00156E1B" w:rsidRPr="00C520CB" w:rsidRDefault="00156E1B" w:rsidP="00892F95">
            <w:pPr>
              <w:tabs>
                <w:tab w:val="left" w:pos="175"/>
              </w:tabs>
              <w:spacing w:line="260" w:lineRule="atLeast"/>
              <w:rPr>
                <w:szCs w:val="20"/>
              </w:rPr>
            </w:pPr>
          </w:p>
        </w:tc>
      </w:tr>
    </w:tbl>
    <w:p w:rsidR="00156E1B" w:rsidRPr="00C520CB" w:rsidRDefault="00156E1B" w:rsidP="00156E1B">
      <w:pPr>
        <w:jc w:val="both"/>
        <w:rPr>
          <w:b/>
          <w:szCs w:val="20"/>
        </w:rPr>
      </w:pPr>
    </w:p>
    <w:p w:rsidR="00156E1B" w:rsidRPr="00C520CB" w:rsidRDefault="00156E1B" w:rsidP="00156E1B">
      <w:pPr>
        <w:spacing w:line="260" w:lineRule="atLeast"/>
        <w:jc w:val="both"/>
        <w:rPr>
          <w:bCs/>
          <w:szCs w:val="20"/>
        </w:rPr>
      </w:pPr>
      <w:r w:rsidRPr="00C520CB">
        <w:rPr>
          <w:bCs/>
          <w:szCs w:val="20"/>
        </w:rPr>
        <w:t xml:space="preserve">Glede na vrsto dejavnosti je struktura skupnega presežka v višini </w:t>
      </w:r>
      <w:r w:rsidR="006C1522" w:rsidRPr="00C520CB">
        <w:rPr>
          <w:bCs/>
          <w:szCs w:val="20"/>
        </w:rPr>
        <w:t>251</w:t>
      </w:r>
      <w:r w:rsidRPr="00C520CB">
        <w:rPr>
          <w:bCs/>
          <w:szCs w:val="20"/>
        </w:rPr>
        <w:t>.</w:t>
      </w:r>
      <w:r w:rsidR="006C1522" w:rsidRPr="00C520CB">
        <w:rPr>
          <w:bCs/>
          <w:szCs w:val="20"/>
        </w:rPr>
        <w:t>341</w:t>
      </w:r>
      <w:r w:rsidRPr="00C520CB">
        <w:rPr>
          <w:bCs/>
          <w:szCs w:val="20"/>
        </w:rPr>
        <w:t>,</w:t>
      </w:r>
      <w:r w:rsidR="006C1522" w:rsidRPr="00C520CB">
        <w:rPr>
          <w:bCs/>
          <w:szCs w:val="20"/>
        </w:rPr>
        <w:t>65</w:t>
      </w:r>
      <w:r w:rsidRPr="00C520CB">
        <w:rPr>
          <w:bCs/>
          <w:szCs w:val="20"/>
        </w:rPr>
        <w:t xml:space="preserve"> EUR za leto 202</w:t>
      </w:r>
      <w:r w:rsidR="006C1522" w:rsidRPr="00C520CB">
        <w:rPr>
          <w:bCs/>
          <w:szCs w:val="20"/>
        </w:rPr>
        <w:t>2</w:t>
      </w:r>
      <w:r w:rsidRPr="00C520CB">
        <w:rPr>
          <w:bCs/>
          <w:szCs w:val="20"/>
        </w:rPr>
        <w:t xml:space="preserve"> naslednja:</w:t>
      </w:r>
    </w:p>
    <w:p w:rsidR="00156E1B" w:rsidRPr="00C520CB" w:rsidRDefault="007F6C14" w:rsidP="00156E1B">
      <w:pPr>
        <w:numPr>
          <w:ilvl w:val="0"/>
          <w:numId w:val="14"/>
        </w:numPr>
        <w:spacing w:line="260" w:lineRule="atLeast"/>
        <w:jc w:val="both"/>
        <w:rPr>
          <w:bCs/>
          <w:szCs w:val="20"/>
        </w:rPr>
      </w:pPr>
      <w:r w:rsidRPr="00C520CB">
        <w:rPr>
          <w:bCs/>
          <w:szCs w:val="20"/>
        </w:rPr>
        <w:t>presežek</w:t>
      </w:r>
      <w:r w:rsidR="00156E1B" w:rsidRPr="00C520CB">
        <w:rPr>
          <w:bCs/>
          <w:szCs w:val="20"/>
        </w:rPr>
        <w:t xml:space="preserve"> </w:t>
      </w:r>
      <w:r w:rsidR="006C1522" w:rsidRPr="00C520CB">
        <w:rPr>
          <w:bCs/>
          <w:szCs w:val="20"/>
        </w:rPr>
        <w:t>+165.688,44</w:t>
      </w:r>
      <w:r w:rsidR="00156E1B" w:rsidRPr="00C520CB">
        <w:rPr>
          <w:bCs/>
          <w:szCs w:val="20"/>
        </w:rPr>
        <w:t xml:space="preserve"> EUR iz izvajanja dejavnosti v javnem interesu (iz prvega odstavka </w:t>
      </w:r>
      <w:r w:rsidR="006C1522" w:rsidRPr="00C520CB">
        <w:rPr>
          <w:bCs/>
          <w:szCs w:val="20"/>
        </w:rPr>
        <w:t>5. člena in iz 6. člena ZSta-1) in</w:t>
      </w:r>
    </w:p>
    <w:p w:rsidR="006C1522" w:rsidRPr="00C520CB" w:rsidRDefault="006C1522" w:rsidP="006C1522">
      <w:pPr>
        <w:numPr>
          <w:ilvl w:val="0"/>
          <w:numId w:val="14"/>
        </w:numPr>
        <w:spacing w:line="260" w:lineRule="atLeast"/>
        <w:jc w:val="both"/>
        <w:rPr>
          <w:bCs/>
          <w:szCs w:val="20"/>
        </w:rPr>
      </w:pPr>
      <w:r w:rsidRPr="00C520CB">
        <w:rPr>
          <w:bCs/>
          <w:szCs w:val="20"/>
        </w:rPr>
        <w:t>presežek +85. EUR pri izvajanju tržne dejavnosti (izvajanje nalog iz drugega odstavka 5. člena ZSta-1).</w:t>
      </w:r>
    </w:p>
    <w:p w:rsidR="00156E1B" w:rsidRPr="00C520CB" w:rsidRDefault="00156E1B" w:rsidP="00156E1B">
      <w:pPr>
        <w:jc w:val="both"/>
        <w:rPr>
          <w:szCs w:val="20"/>
        </w:rPr>
      </w:pPr>
    </w:p>
    <w:p w:rsidR="007F6C14" w:rsidRPr="00C520CB" w:rsidRDefault="00156E1B" w:rsidP="007F6C14">
      <w:pPr>
        <w:spacing w:line="260" w:lineRule="atLeast"/>
        <w:jc w:val="both"/>
        <w:rPr>
          <w:bCs/>
          <w:szCs w:val="20"/>
        </w:rPr>
      </w:pPr>
      <w:r w:rsidRPr="00C520CB">
        <w:rPr>
          <w:bCs/>
          <w:szCs w:val="20"/>
        </w:rPr>
        <w:t>Upravni odbor SIST je na 10</w:t>
      </w:r>
      <w:r w:rsidR="007F6C14" w:rsidRPr="00C520CB">
        <w:rPr>
          <w:bCs/>
          <w:szCs w:val="20"/>
        </w:rPr>
        <w:t xml:space="preserve">6. </w:t>
      </w:r>
      <w:r w:rsidR="007F6C14" w:rsidRPr="00C520CB">
        <w:rPr>
          <w:bCs/>
          <w:iCs/>
          <w:szCs w:val="20"/>
        </w:rPr>
        <w:t>dopisni seji, ki je potekala v času od 17. 2. do 28. 2. 2023,</w:t>
      </w:r>
      <w:r w:rsidRPr="00C520CB">
        <w:rPr>
          <w:bCs/>
          <w:szCs w:val="20"/>
        </w:rPr>
        <w:t xml:space="preserve"> sprejel </w:t>
      </w:r>
      <w:r w:rsidR="007F6C14" w:rsidRPr="00C520CB">
        <w:rPr>
          <w:bCs/>
          <w:szCs w:val="20"/>
        </w:rPr>
        <w:t>p</w:t>
      </w:r>
      <w:r w:rsidRPr="00C520CB">
        <w:rPr>
          <w:bCs/>
          <w:szCs w:val="20"/>
        </w:rPr>
        <w:t>redlog porabe presežka prihodkov nad odhodki SIST iz leta 202</w:t>
      </w:r>
      <w:r w:rsidR="007F6C14" w:rsidRPr="00C520CB">
        <w:rPr>
          <w:bCs/>
          <w:szCs w:val="20"/>
        </w:rPr>
        <w:t>2</w:t>
      </w:r>
      <w:r w:rsidRPr="00C520CB">
        <w:rPr>
          <w:bCs/>
          <w:szCs w:val="20"/>
        </w:rPr>
        <w:t xml:space="preserve"> (dokument </w:t>
      </w:r>
      <w:r w:rsidR="007F6C14" w:rsidRPr="00C520CB">
        <w:rPr>
          <w:bCs/>
          <w:szCs w:val="20"/>
        </w:rPr>
        <w:t>št.</w:t>
      </w:r>
      <w:r w:rsidRPr="00C520CB">
        <w:rPr>
          <w:bCs/>
          <w:szCs w:val="20"/>
        </w:rPr>
        <w:t xml:space="preserve"> 1412-10</w:t>
      </w:r>
      <w:r w:rsidR="007F6C14" w:rsidRPr="00C520CB">
        <w:rPr>
          <w:bCs/>
          <w:szCs w:val="20"/>
        </w:rPr>
        <w:t>6</w:t>
      </w:r>
      <w:r w:rsidRPr="00C520CB">
        <w:rPr>
          <w:bCs/>
          <w:szCs w:val="20"/>
        </w:rPr>
        <w:t>/202</w:t>
      </w:r>
      <w:r w:rsidR="007F6C14" w:rsidRPr="00C520CB">
        <w:rPr>
          <w:bCs/>
          <w:szCs w:val="20"/>
        </w:rPr>
        <w:t>3</w:t>
      </w:r>
      <w:r w:rsidRPr="00C520CB">
        <w:rPr>
          <w:bCs/>
          <w:szCs w:val="20"/>
        </w:rPr>
        <w:t>/</w:t>
      </w:r>
      <w:r w:rsidR="007F6C14" w:rsidRPr="00C520CB">
        <w:rPr>
          <w:bCs/>
          <w:szCs w:val="20"/>
        </w:rPr>
        <w:t>6</w:t>
      </w:r>
      <w:r w:rsidRPr="00C520CB">
        <w:rPr>
          <w:bCs/>
          <w:szCs w:val="20"/>
        </w:rPr>
        <w:t xml:space="preserve"> z dne 1</w:t>
      </w:r>
      <w:r w:rsidR="007F6C14" w:rsidRPr="00C520CB">
        <w:rPr>
          <w:bCs/>
          <w:szCs w:val="20"/>
        </w:rPr>
        <w:t>4</w:t>
      </w:r>
      <w:r w:rsidRPr="00C520CB">
        <w:rPr>
          <w:bCs/>
          <w:szCs w:val="20"/>
        </w:rPr>
        <w:t>. 2. 202</w:t>
      </w:r>
      <w:r w:rsidR="007F6C14" w:rsidRPr="00C520CB">
        <w:rPr>
          <w:bCs/>
          <w:szCs w:val="20"/>
        </w:rPr>
        <w:t>3</w:t>
      </w:r>
      <w:r w:rsidRPr="00C520CB">
        <w:rPr>
          <w:bCs/>
          <w:szCs w:val="20"/>
        </w:rPr>
        <w:t>), iz katerega izhaja predlog, da se nastali</w:t>
      </w:r>
      <w:r w:rsidR="007F6C14" w:rsidRPr="00C520CB">
        <w:rPr>
          <w:bCs/>
          <w:szCs w:val="20"/>
        </w:rPr>
        <w:t xml:space="preserve"> </w:t>
      </w:r>
      <w:r w:rsidR="007F6C14" w:rsidRPr="00C520CB">
        <w:t xml:space="preserve">presežek prihodkov nad odhodki SIST iz leta 2022, v višini 251.341,65 EUR, ki je nastal pri izvajanju nalog iz drugega odstavka 5. člena </w:t>
      </w:r>
      <w:r w:rsidR="007F6C14" w:rsidRPr="00C520CB">
        <w:rPr>
          <w:szCs w:val="20"/>
        </w:rPr>
        <w:t>ZSta-1</w:t>
      </w:r>
      <w:r w:rsidR="007F6C14" w:rsidRPr="00C520CB">
        <w:t xml:space="preserve"> nameni za razvoj dejavnosti in sicer za kritje stroškov povišanja plač zaposlenih pri izvajanju službe v javnem interesu v višini 165.688,44 EUR in kritje stroškov za razvoj informacijskega sistema SIST, kot je načrtovano v Programu dela in finančnem načrtu SIST za leto 2023, v višini 85.653,21 EUR iz naslova presežka prihodkov nad odhodki iz leta 2022 pri izvajanju tržne dejavnosti.</w:t>
      </w:r>
    </w:p>
    <w:p w:rsidR="007F6C14" w:rsidRPr="00C520CB" w:rsidRDefault="007F6C14" w:rsidP="00156E1B">
      <w:pPr>
        <w:spacing w:line="260" w:lineRule="atLeast"/>
        <w:jc w:val="both"/>
        <w:rPr>
          <w:bCs/>
          <w:szCs w:val="20"/>
        </w:rPr>
      </w:pPr>
    </w:p>
    <w:p w:rsidR="00156E1B" w:rsidRPr="00C520CB" w:rsidRDefault="00156E1B" w:rsidP="00156E1B">
      <w:pPr>
        <w:spacing w:line="260" w:lineRule="atLeast"/>
        <w:jc w:val="both"/>
      </w:pPr>
      <w:r w:rsidRPr="00C520CB">
        <w:t>V skladu s 5. točko 9.i člena Zakona o javnih financah</w:t>
      </w:r>
      <w:r w:rsidR="00360CAE" w:rsidRPr="00C520CB">
        <w:t xml:space="preserve"> (Uradni list RS, št. </w:t>
      </w:r>
      <w:hyperlink r:id="rId26" w:tgtFrame="_blank" w:tooltip="Zakon o javnih financah (uradno prečiščeno besedilo)" w:history="1">
        <w:r w:rsidR="00360CAE" w:rsidRPr="00C520CB">
          <w:t>11/11</w:t>
        </w:r>
      </w:hyperlink>
      <w:r w:rsidR="00360CAE" w:rsidRPr="00C520CB">
        <w:t> – uradno prečiščeno besedilo, </w:t>
      </w:r>
      <w:hyperlink r:id="rId27" w:tgtFrame="_blank" w:tooltip="Popravek Uradnega prečiščenega besedila Zakona  o javnih financah (ZJF-UPB4p)" w:history="1">
        <w:r w:rsidR="00360CAE" w:rsidRPr="00C520CB">
          <w:t>14/13 – popr.</w:t>
        </w:r>
      </w:hyperlink>
      <w:r w:rsidR="00360CAE" w:rsidRPr="00C520CB">
        <w:t>, </w:t>
      </w:r>
      <w:hyperlink r:id="rId28" w:tgtFrame="_blank" w:tooltip="Zakon o dopolnitvi Zakona o javnih financah" w:history="1">
        <w:r w:rsidR="00360CAE" w:rsidRPr="00C520CB">
          <w:t>101/13</w:t>
        </w:r>
      </w:hyperlink>
      <w:r w:rsidR="00360CAE" w:rsidRPr="00C520CB">
        <w:t>, </w:t>
      </w:r>
      <w:hyperlink r:id="rId29" w:tgtFrame="_blank" w:tooltip="Zakon o fiskalnem pravilu" w:history="1">
        <w:r w:rsidR="00360CAE" w:rsidRPr="00C520CB">
          <w:t>55/15</w:t>
        </w:r>
      </w:hyperlink>
      <w:r w:rsidR="00360CAE" w:rsidRPr="00C520CB">
        <w:t> – ZFisP, </w:t>
      </w:r>
      <w:hyperlink r:id="rId30" w:tgtFrame="_blank" w:tooltip="Zakon o izvrševanju proračunov Republike Slovenije za leti 2016 in 2017" w:history="1">
        <w:r w:rsidR="00360CAE" w:rsidRPr="00C520CB">
          <w:t>96/15</w:t>
        </w:r>
      </w:hyperlink>
      <w:r w:rsidR="00360CAE" w:rsidRPr="00C520CB">
        <w:t> – ZIPRS1617, </w:t>
      </w:r>
      <w:hyperlink r:id="rId31" w:tgtFrame="_blank" w:tooltip="Zakon o spremembah in dopolnitvah Zakona o javnih financah" w:history="1">
        <w:r w:rsidR="00360CAE" w:rsidRPr="00C520CB">
          <w:t>13/18</w:t>
        </w:r>
      </w:hyperlink>
      <w:r w:rsidR="00360CAE" w:rsidRPr="00C520CB">
        <w:t>, </w:t>
      </w:r>
      <w:hyperlink r:id="rId32"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360CAE" w:rsidRPr="00C520CB">
          <w:t>195/20</w:t>
        </w:r>
      </w:hyperlink>
      <w:r w:rsidR="00360CAE" w:rsidRPr="00C520CB">
        <w:t> – odl. US in </w:t>
      </w:r>
      <w:hyperlink r:id="rId33" w:tgtFrame="_blank" w:tooltip="Zakon o spremembah in dopolnitvah Zakona o državni upravi" w:history="1">
        <w:r w:rsidR="00360CAE" w:rsidRPr="00C520CB">
          <w:t>18/23</w:t>
        </w:r>
      </w:hyperlink>
      <w:r w:rsidR="00360CAE" w:rsidRPr="00C520CB">
        <w:t> – ZDU-1O)</w:t>
      </w:r>
      <w:r w:rsidRPr="00C520CB">
        <w:t xml:space="preserve"> javni zavod SIST za obdobje od 1. 1. 202</w:t>
      </w:r>
      <w:r w:rsidR="00360CAE" w:rsidRPr="00C520CB">
        <w:t>2</w:t>
      </w:r>
      <w:r w:rsidRPr="00C520CB">
        <w:t xml:space="preserve"> do 31. 12. 202</w:t>
      </w:r>
      <w:r w:rsidR="00360CAE" w:rsidRPr="00C520CB">
        <w:t>2</w:t>
      </w:r>
      <w:r w:rsidRPr="00C520CB">
        <w:t xml:space="preserve"> izkazuje -1</w:t>
      </w:r>
      <w:r w:rsidR="004900B0" w:rsidRPr="00C520CB">
        <w:t>4.686</w:t>
      </w:r>
      <w:r w:rsidRPr="00C520CB">
        <w:t xml:space="preserve"> EUR </w:t>
      </w:r>
      <w:r w:rsidR="007E74B6" w:rsidRPr="00C520CB">
        <w:t>primanjkljaja</w:t>
      </w:r>
      <w:r w:rsidRPr="00C520CB">
        <w:t xml:space="preserve"> izračunanega po fiskalnem pravilu.</w:t>
      </w:r>
    </w:p>
    <w:p w:rsidR="00156E1B" w:rsidRPr="00C520CB" w:rsidRDefault="00156E1B" w:rsidP="00156E1B">
      <w:pPr>
        <w:spacing w:line="260" w:lineRule="atLeast"/>
        <w:jc w:val="both"/>
      </w:pPr>
    </w:p>
    <w:p w:rsidR="00156E1B" w:rsidRPr="00C520CB" w:rsidRDefault="00156E1B" w:rsidP="00156E1B">
      <w:pPr>
        <w:spacing w:line="260" w:lineRule="atLeast"/>
        <w:jc w:val="both"/>
        <w:rPr>
          <w:szCs w:val="20"/>
        </w:rPr>
      </w:pPr>
      <w:r w:rsidRPr="00C520CB">
        <w:rPr>
          <w:szCs w:val="20"/>
        </w:rPr>
        <w:t>Tabela 3: Izračun presežka prihodkov nad odhodki v skladu s 5. točko 9.i člena Zakona o javnih financah</w:t>
      </w:r>
    </w:p>
    <w:tbl>
      <w:tblPr>
        <w:tblStyle w:val="Tabelamrea"/>
        <w:tblW w:w="0" w:type="auto"/>
        <w:tblLook w:val="04A0" w:firstRow="1" w:lastRow="0" w:firstColumn="1" w:lastColumn="0" w:noHBand="0" w:noVBand="1"/>
      </w:tblPr>
      <w:tblGrid>
        <w:gridCol w:w="6941"/>
        <w:gridCol w:w="1547"/>
      </w:tblGrid>
      <w:tr w:rsidR="00C520CB" w:rsidRPr="00C520CB" w:rsidTr="002E7AA3">
        <w:tc>
          <w:tcPr>
            <w:tcW w:w="6941" w:type="dxa"/>
          </w:tcPr>
          <w:p w:rsidR="004900B0" w:rsidRPr="00C520CB" w:rsidRDefault="004900B0" w:rsidP="001D03DA">
            <w:pPr>
              <w:spacing w:line="260" w:lineRule="atLeast"/>
              <w:jc w:val="both"/>
              <w:rPr>
                <w:sz w:val="18"/>
                <w:szCs w:val="20"/>
              </w:rPr>
            </w:pPr>
            <w:r w:rsidRPr="00C520CB">
              <w:rPr>
                <w:sz w:val="18"/>
                <w:szCs w:val="20"/>
              </w:rPr>
              <w:t>Izračun presežkov po</w:t>
            </w:r>
            <w:r w:rsidR="00977E10" w:rsidRPr="00C520CB">
              <w:rPr>
                <w:sz w:val="18"/>
                <w:szCs w:val="20"/>
              </w:rPr>
              <w:t xml:space="preserve"> fi</w:t>
            </w:r>
            <w:r w:rsidR="001D03DA">
              <w:rPr>
                <w:sz w:val="18"/>
                <w:szCs w:val="20"/>
              </w:rPr>
              <w:t>sk</w:t>
            </w:r>
            <w:r w:rsidR="00977E10" w:rsidRPr="00C520CB">
              <w:rPr>
                <w:sz w:val="18"/>
                <w:szCs w:val="20"/>
              </w:rPr>
              <w:t>alnem pravilu na dan 31.12.2022</w:t>
            </w:r>
            <w:r w:rsidRPr="00C520CB">
              <w:rPr>
                <w:sz w:val="18"/>
                <w:szCs w:val="20"/>
              </w:rPr>
              <w:t xml:space="preserve"> </w:t>
            </w:r>
          </w:p>
        </w:tc>
        <w:tc>
          <w:tcPr>
            <w:tcW w:w="1547" w:type="dxa"/>
          </w:tcPr>
          <w:p w:rsidR="004900B0" w:rsidRPr="00C520CB" w:rsidRDefault="004900B0" w:rsidP="00156E1B">
            <w:pPr>
              <w:spacing w:line="260" w:lineRule="atLeast"/>
              <w:jc w:val="both"/>
              <w:rPr>
                <w:sz w:val="18"/>
                <w:szCs w:val="20"/>
              </w:rPr>
            </w:pPr>
          </w:p>
        </w:tc>
      </w:tr>
      <w:tr w:rsidR="00C520CB" w:rsidRPr="00C520CB" w:rsidTr="002E7AA3">
        <w:tc>
          <w:tcPr>
            <w:tcW w:w="6941" w:type="dxa"/>
          </w:tcPr>
          <w:p w:rsidR="004900B0" w:rsidRPr="00C520CB" w:rsidRDefault="00977E10" w:rsidP="00156E1B">
            <w:pPr>
              <w:spacing w:line="260" w:lineRule="atLeast"/>
              <w:jc w:val="both"/>
              <w:rPr>
                <w:sz w:val="18"/>
                <w:szCs w:val="20"/>
              </w:rPr>
            </w:pPr>
            <w:r w:rsidRPr="00C520CB">
              <w:rPr>
                <w:sz w:val="18"/>
                <w:szCs w:val="20"/>
              </w:rPr>
              <w:t>presežek prihodkov nad odhodki po načelu denarnega toka</w:t>
            </w:r>
          </w:p>
        </w:tc>
        <w:tc>
          <w:tcPr>
            <w:tcW w:w="1547" w:type="dxa"/>
          </w:tcPr>
          <w:p w:rsidR="004900B0" w:rsidRPr="00C520CB" w:rsidRDefault="00977E10" w:rsidP="00977E10">
            <w:pPr>
              <w:spacing w:line="260" w:lineRule="atLeast"/>
              <w:jc w:val="right"/>
              <w:rPr>
                <w:sz w:val="18"/>
                <w:szCs w:val="20"/>
              </w:rPr>
            </w:pPr>
            <w:r w:rsidRPr="00C520CB">
              <w:rPr>
                <w:sz w:val="18"/>
                <w:szCs w:val="20"/>
              </w:rPr>
              <w:t>173.115</w:t>
            </w:r>
          </w:p>
        </w:tc>
      </w:tr>
      <w:tr w:rsidR="00C520CB" w:rsidRPr="00C520CB" w:rsidTr="002E7AA3">
        <w:tc>
          <w:tcPr>
            <w:tcW w:w="6941" w:type="dxa"/>
          </w:tcPr>
          <w:p w:rsidR="004900B0" w:rsidRPr="00C520CB" w:rsidRDefault="00977E10" w:rsidP="00977E10">
            <w:pPr>
              <w:spacing w:line="260" w:lineRule="atLeast"/>
              <w:jc w:val="both"/>
              <w:rPr>
                <w:sz w:val="18"/>
                <w:szCs w:val="20"/>
              </w:rPr>
            </w:pPr>
            <w:r w:rsidRPr="00C520CB">
              <w:rPr>
                <w:sz w:val="18"/>
                <w:szCs w:val="20"/>
              </w:rPr>
              <w:t>neplačane kratkoročne obveznosti do dobaviteljev</w:t>
            </w:r>
          </w:p>
        </w:tc>
        <w:tc>
          <w:tcPr>
            <w:tcW w:w="1547" w:type="dxa"/>
          </w:tcPr>
          <w:p w:rsidR="004900B0" w:rsidRPr="00C520CB" w:rsidRDefault="00977E10" w:rsidP="00977E10">
            <w:pPr>
              <w:pStyle w:val="Odstavekseznama"/>
              <w:numPr>
                <w:ilvl w:val="0"/>
                <w:numId w:val="14"/>
              </w:numPr>
              <w:spacing w:line="260" w:lineRule="atLeast"/>
              <w:jc w:val="right"/>
              <w:rPr>
                <w:sz w:val="18"/>
                <w:szCs w:val="20"/>
              </w:rPr>
            </w:pPr>
            <w:r w:rsidRPr="00C520CB">
              <w:rPr>
                <w:sz w:val="18"/>
                <w:szCs w:val="20"/>
              </w:rPr>
              <w:t>71.432</w:t>
            </w:r>
          </w:p>
        </w:tc>
      </w:tr>
      <w:tr w:rsidR="00C520CB" w:rsidRPr="00C520CB" w:rsidTr="002E7AA3">
        <w:tc>
          <w:tcPr>
            <w:tcW w:w="6941" w:type="dxa"/>
          </w:tcPr>
          <w:p w:rsidR="00977E10" w:rsidRPr="00C520CB" w:rsidRDefault="00977E10" w:rsidP="00977E10">
            <w:pPr>
              <w:spacing w:line="260" w:lineRule="atLeast"/>
              <w:jc w:val="both"/>
              <w:rPr>
                <w:sz w:val="18"/>
                <w:szCs w:val="20"/>
              </w:rPr>
            </w:pPr>
            <w:r w:rsidRPr="00C520CB">
              <w:rPr>
                <w:sz w:val="18"/>
                <w:szCs w:val="20"/>
              </w:rPr>
              <w:t>neplačane obveznosti do zaposlenih</w:t>
            </w:r>
          </w:p>
        </w:tc>
        <w:tc>
          <w:tcPr>
            <w:tcW w:w="1547" w:type="dxa"/>
          </w:tcPr>
          <w:p w:rsidR="00977E10" w:rsidRPr="00C520CB" w:rsidRDefault="00977E10" w:rsidP="00977E10">
            <w:pPr>
              <w:pStyle w:val="Odstavekseznama"/>
              <w:numPr>
                <w:ilvl w:val="0"/>
                <w:numId w:val="14"/>
              </w:numPr>
              <w:spacing w:line="260" w:lineRule="atLeast"/>
              <w:jc w:val="right"/>
              <w:rPr>
                <w:sz w:val="18"/>
                <w:szCs w:val="20"/>
              </w:rPr>
            </w:pPr>
            <w:r w:rsidRPr="00C520CB">
              <w:rPr>
                <w:sz w:val="18"/>
                <w:szCs w:val="20"/>
              </w:rPr>
              <w:t>88.469</w:t>
            </w:r>
          </w:p>
        </w:tc>
      </w:tr>
      <w:tr w:rsidR="00C520CB" w:rsidRPr="00C520CB" w:rsidTr="002E7AA3">
        <w:tc>
          <w:tcPr>
            <w:tcW w:w="6941" w:type="dxa"/>
          </w:tcPr>
          <w:p w:rsidR="00977E10" w:rsidRPr="00C520CB" w:rsidRDefault="00977E10" w:rsidP="00977E10">
            <w:pPr>
              <w:spacing w:line="260" w:lineRule="atLeast"/>
              <w:jc w:val="both"/>
              <w:rPr>
                <w:sz w:val="18"/>
                <w:szCs w:val="20"/>
              </w:rPr>
            </w:pPr>
            <w:r w:rsidRPr="00C520CB">
              <w:rPr>
                <w:sz w:val="18"/>
                <w:szCs w:val="20"/>
              </w:rPr>
              <w:t>druge neplačane kratkoročne obveznosti</w:t>
            </w:r>
          </w:p>
        </w:tc>
        <w:tc>
          <w:tcPr>
            <w:tcW w:w="1547" w:type="dxa"/>
          </w:tcPr>
          <w:p w:rsidR="00977E10" w:rsidRPr="00C520CB" w:rsidRDefault="00977E10" w:rsidP="00977E10">
            <w:pPr>
              <w:pStyle w:val="Odstavekseznama"/>
              <w:numPr>
                <w:ilvl w:val="0"/>
                <w:numId w:val="14"/>
              </w:numPr>
              <w:jc w:val="right"/>
              <w:rPr>
                <w:sz w:val="18"/>
              </w:rPr>
            </w:pPr>
            <w:r w:rsidRPr="00C520CB">
              <w:rPr>
                <w:sz w:val="18"/>
              </w:rPr>
              <w:t>16.496</w:t>
            </w:r>
          </w:p>
        </w:tc>
      </w:tr>
      <w:tr w:rsidR="00C520CB" w:rsidRPr="00C520CB" w:rsidTr="002E7AA3">
        <w:tc>
          <w:tcPr>
            <w:tcW w:w="6941" w:type="dxa"/>
          </w:tcPr>
          <w:p w:rsidR="00977E10" w:rsidRPr="00C520CB" w:rsidRDefault="00304BB0" w:rsidP="00977E10">
            <w:pPr>
              <w:spacing w:line="260" w:lineRule="atLeast"/>
              <w:jc w:val="both"/>
              <w:rPr>
                <w:sz w:val="18"/>
                <w:szCs w:val="20"/>
              </w:rPr>
            </w:pPr>
            <w:r w:rsidRPr="00C520CB">
              <w:rPr>
                <w:sz w:val="18"/>
                <w:szCs w:val="20"/>
              </w:rPr>
              <w:t>kratkoročne obveznosti do uporabnikov enotnega kontnega načrta</w:t>
            </w:r>
          </w:p>
        </w:tc>
        <w:tc>
          <w:tcPr>
            <w:tcW w:w="1547" w:type="dxa"/>
          </w:tcPr>
          <w:p w:rsidR="00977E10" w:rsidRPr="00C520CB" w:rsidRDefault="004D4DF4" w:rsidP="00304BB0">
            <w:pPr>
              <w:pStyle w:val="Odstavekseznama"/>
              <w:numPr>
                <w:ilvl w:val="0"/>
                <w:numId w:val="14"/>
              </w:numPr>
              <w:jc w:val="right"/>
              <w:rPr>
                <w:sz w:val="18"/>
              </w:rPr>
            </w:pPr>
            <w:r w:rsidRPr="00C520CB">
              <w:rPr>
                <w:sz w:val="18"/>
              </w:rPr>
              <w:t xml:space="preserve">     </w:t>
            </w:r>
            <w:r w:rsidR="00304BB0" w:rsidRPr="00C520CB">
              <w:rPr>
                <w:sz w:val="18"/>
              </w:rPr>
              <w:t>112</w:t>
            </w:r>
          </w:p>
        </w:tc>
      </w:tr>
      <w:tr w:rsidR="00C520CB" w:rsidRPr="00C520CB" w:rsidTr="002E7AA3">
        <w:tc>
          <w:tcPr>
            <w:tcW w:w="6941" w:type="dxa"/>
          </w:tcPr>
          <w:p w:rsidR="00977E10" w:rsidRPr="00C520CB" w:rsidRDefault="00304BB0" w:rsidP="00977E10">
            <w:pPr>
              <w:spacing w:line="260" w:lineRule="atLeast"/>
              <w:jc w:val="both"/>
              <w:rPr>
                <w:sz w:val="18"/>
                <w:szCs w:val="20"/>
              </w:rPr>
            </w:pPr>
            <w:r w:rsidRPr="00C520CB">
              <w:rPr>
                <w:sz w:val="18"/>
                <w:szCs w:val="20"/>
              </w:rPr>
              <w:t>pasivne časovne razmejitve</w:t>
            </w:r>
          </w:p>
        </w:tc>
        <w:tc>
          <w:tcPr>
            <w:tcW w:w="1547" w:type="dxa"/>
          </w:tcPr>
          <w:p w:rsidR="00977E10" w:rsidRPr="00C520CB" w:rsidRDefault="00304BB0" w:rsidP="00304BB0">
            <w:pPr>
              <w:pStyle w:val="Odstavekseznama"/>
              <w:numPr>
                <w:ilvl w:val="0"/>
                <w:numId w:val="14"/>
              </w:numPr>
              <w:jc w:val="right"/>
              <w:rPr>
                <w:sz w:val="18"/>
              </w:rPr>
            </w:pPr>
            <w:r w:rsidRPr="00C520CB">
              <w:rPr>
                <w:sz w:val="18"/>
              </w:rPr>
              <w:t>11.292</w:t>
            </w:r>
          </w:p>
        </w:tc>
      </w:tr>
      <w:tr w:rsidR="00C520CB" w:rsidRPr="00C520CB" w:rsidTr="002E7AA3">
        <w:tc>
          <w:tcPr>
            <w:tcW w:w="6941" w:type="dxa"/>
          </w:tcPr>
          <w:p w:rsidR="00977E10" w:rsidRPr="00C520CB" w:rsidRDefault="00304BB0" w:rsidP="00977E10">
            <w:pPr>
              <w:spacing w:line="260" w:lineRule="atLeast"/>
              <w:jc w:val="both"/>
              <w:rPr>
                <w:sz w:val="18"/>
                <w:szCs w:val="20"/>
              </w:rPr>
            </w:pPr>
            <w:r w:rsidRPr="00C520CB">
              <w:rPr>
                <w:sz w:val="18"/>
                <w:szCs w:val="20"/>
              </w:rPr>
              <w:t>neuporabljena namenska sredstva, ki so namenjena financiranju izdatkov v prihodnjem obdobju in so evidentirana na kontih časovnih razmejitev</w:t>
            </w:r>
          </w:p>
        </w:tc>
        <w:tc>
          <w:tcPr>
            <w:tcW w:w="1547" w:type="dxa"/>
          </w:tcPr>
          <w:p w:rsidR="00977E10" w:rsidRPr="00C520CB" w:rsidRDefault="00304BB0" w:rsidP="00304BB0">
            <w:pPr>
              <w:spacing w:line="260" w:lineRule="atLeast"/>
              <w:jc w:val="right"/>
              <w:rPr>
                <w:sz w:val="18"/>
                <w:szCs w:val="20"/>
              </w:rPr>
            </w:pPr>
            <w:r w:rsidRPr="00C520CB">
              <w:rPr>
                <w:sz w:val="18"/>
                <w:szCs w:val="20"/>
              </w:rPr>
              <w:t>0</w:t>
            </w:r>
          </w:p>
          <w:p w:rsidR="00304BB0" w:rsidRPr="00C520CB" w:rsidRDefault="00304BB0" w:rsidP="00304BB0">
            <w:pPr>
              <w:spacing w:line="260" w:lineRule="atLeast"/>
              <w:jc w:val="right"/>
              <w:rPr>
                <w:sz w:val="18"/>
                <w:szCs w:val="20"/>
              </w:rPr>
            </w:pPr>
          </w:p>
        </w:tc>
      </w:tr>
      <w:tr w:rsidR="00C520CB" w:rsidRPr="00C520CB" w:rsidTr="002E7AA3">
        <w:tc>
          <w:tcPr>
            <w:tcW w:w="6941" w:type="dxa"/>
          </w:tcPr>
          <w:p w:rsidR="00304BB0" w:rsidRPr="00C520CB" w:rsidRDefault="00304BB0" w:rsidP="00304BB0">
            <w:pPr>
              <w:spacing w:line="260" w:lineRule="atLeast"/>
              <w:jc w:val="both"/>
              <w:rPr>
                <w:sz w:val="18"/>
                <w:szCs w:val="20"/>
              </w:rPr>
            </w:pPr>
            <w:r w:rsidRPr="00C520CB">
              <w:rPr>
                <w:sz w:val="18"/>
                <w:szCs w:val="20"/>
              </w:rPr>
              <w:t>neuporabljena sredstva za investicije</w:t>
            </w:r>
          </w:p>
        </w:tc>
        <w:tc>
          <w:tcPr>
            <w:tcW w:w="1547" w:type="dxa"/>
          </w:tcPr>
          <w:p w:rsidR="00304BB0" w:rsidRPr="00C520CB" w:rsidRDefault="00304BB0" w:rsidP="00304BB0">
            <w:pPr>
              <w:spacing w:line="260" w:lineRule="atLeast"/>
              <w:jc w:val="right"/>
              <w:rPr>
                <w:sz w:val="18"/>
                <w:szCs w:val="20"/>
              </w:rPr>
            </w:pPr>
            <w:r w:rsidRPr="00C520CB">
              <w:rPr>
                <w:sz w:val="18"/>
                <w:szCs w:val="20"/>
              </w:rPr>
              <w:t>0</w:t>
            </w:r>
          </w:p>
        </w:tc>
      </w:tr>
      <w:tr w:rsidR="00C520CB" w:rsidRPr="00C520CB" w:rsidTr="00BD6E26">
        <w:trPr>
          <w:trHeight w:val="309"/>
        </w:trPr>
        <w:tc>
          <w:tcPr>
            <w:tcW w:w="6941" w:type="dxa"/>
          </w:tcPr>
          <w:p w:rsidR="00304BB0" w:rsidRPr="00C520CB" w:rsidRDefault="00304BB0" w:rsidP="00304BB0">
            <w:pPr>
              <w:spacing w:line="260" w:lineRule="atLeast"/>
              <w:jc w:val="both"/>
              <w:rPr>
                <w:sz w:val="18"/>
                <w:szCs w:val="20"/>
              </w:rPr>
            </w:pPr>
            <w:r w:rsidRPr="00C520CB">
              <w:rPr>
                <w:sz w:val="18"/>
                <w:szCs w:val="20"/>
              </w:rPr>
              <w:t>končno stanje</w:t>
            </w:r>
          </w:p>
        </w:tc>
        <w:tc>
          <w:tcPr>
            <w:tcW w:w="1547" w:type="dxa"/>
          </w:tcPr>
          <w:p w:rsidR="00304BB0" w:rsidRPr="00C520CB" w:rsidRDefault="00304BB0" w:rsidP="00304BB0">
            <w:pPr>
              <w:pStyle w:val="Odstavekseznama"/>
              <w:numPr>
                <w:ilvl w:val="0"/>
                <w:numId w:val="14"/>
              </w:numPr>
              <w:spacing w:line="260" w:lineRule="atLeast"/>
              <w:jc w:val="right"/>
              <w:rPr>
                <w:sz w:val="18"/>
                <w:szCs w:val="20"/>
              </w:rPr>
            </w:pPr>
            <w:r w:rsidRPr="00C520CB">
              <w:rPr>
                <w:sz w:val="18"/>
                <w:szCs w:val="20"/>
              </w:rPr>
              <w:t>14.686</w:t>
            </w:r>
          </w:p>
        </w:tc>
      </w:tr>
    </w:tbl>
    <w:p w:rsidR="00156E1B" w:rsidRDefault="00156E1B" w:rsidP="00156E1B">
      <w:pPr>
        <w:spacing w:line="260" w:lineRule="atLeast"/>
        <w:jc w:val="both"/>
        <w:rPr>
          <w:iCs/>
          <w:szCs w:val="20"/>
        </w:rPr>
      </w:pPr>
    </w:p>
    <w:p w:rsidR="005E4F2A" w:rsidRDefault="00A63012" w:rsidP="00156E1B">
      <w:pPr>
        <w:spacing w:line="260" w:lineRule="atLeast"/>
        <w:jc w:val="both"/>
        <w:rPr>
          <w:iCs/>
          <w:szCs w:val="20"/>
        </w:rPr>
      </w:pPr>
      <w:r>
        <w:rPr>
          <w:iCs/>
          <w:szCs w:val="20"/>
        </w:rPr>
        <w:t>Slovenski inštitut za standardizacijo je v letu 2022 prejel iz proračuna 1.644.633,00 EUR in porabil 1.443.906,29 EUR.</w:t>
      </w:r>
      <w:r w:rsidR="005E4F2A">
        <w:rPr>
          <w:iCs/>
          <w:szCs w:val="20"/>
        </w:rPr>
        <w:t xml:space="preserve"> Nastal je presežek prihodkov nad odhodki v vrednosti 251.341,65 EUR. </w:t>
      </w:r>
      <w:r>
        <w:rPr>
          <w:iCs/>
          <w:szCs w:val="20"/>
        </w:rPr>
        <w:t xml:space="preserve"> </w:t>
      </w:r>
      <w:r w:rsidR="005E4F2A">
        <w:rPr>
          <w:iCs/>
          <w:szCs w:val="20"/>
        </w:rPr>
        <w:t xml:space="preserve">Proračunska sredstva v vrednosti 1.644.633,00 EUR, ki jih bo inštitut prejel v letu 2023 ne zadostujejo za pokritje vseh stroškov poslovanja inštituta. </w:t>
      </w:r>
      <w:r w:rsidR="008A5F4A">
        <w:rPr>
          <w:iCs/>
          <w:szCs w:val="20"/>
        </w:rPr>
        <w:t xml:space="preserve">Nastali presežek iz leta 2022 bodo porabili za </w:t>
      </w:r>
      <w:r w:rsidR="005E4F2A">
        <w:rPr>
          <w:iCs/>
          <w:szCs w:val="20"/>
        </w:rPr>
        <w:t>kritje strošk</w:t>
      </w:r>
      <w:r w:rsidR="008A5F4A">
        <w:rPr>
          <w:iCs/>
          <w:szCs w:val="20"/>
        </w:rPr>
        <w:t>ov</w:t>
      </w:r>
      <w:r w:rsidR="005E4F2A">
        <w:rPr>
          <w:iCs/>
          <w:szCs w:val="20"/>
        </w:rPr>
        <w:t xml:space="preserve"> povišanja plač</w:t>
      </w:r>
      <w:r w:rsidR="008A5F4A">
        <w:rPr>
          <w:iCs/>
          <w:szCs w:val="20"/>
        </w:rPr>
        <w:t xml:space="preserve"> v vrednosti 101.034,27 EUR</w:t>
      </w:r>
      <w:r w:rsidR="005E4F2A">
        <w:rPr>
          <w:iCs/>
          <w:szCs w:val="20"/>
        </w:rPr>
        <w:t xml:space="preserve">, za kritje višjih stroškov </w:t>
      </w:r>
      <w:r w:rsidR="008A5F4A">
        <w:rPr>
          <w:iCs/>
          <w:szCs w:val="20"/>
        </w:rPr>
        <w:t xml:space="preserve">udeležbe </w:t>
      </w:r>
      <w:r w:rsidR="005E4F2A">
        <w:rPr>
          <w:iCs/>
          <w:szCs w:val="20"/>
        </w:rPr>
        <w:t>sestankov tehničnih delovnih teles</w:t>
      </w:r>
      <w:r w:rsidR="008A5F4A">
        <w:rPr>
          <w:iCs/>
          <w:szCs w:val="20"/>
        </w:rPr>
        <w:t>, ki bodo potekala v živo</w:t>
      </w:r>
      <w:r w:rsidR="005E4F2A">
        <w:rPr>
          <w:iCs/>
          <w:szCs w:val="20"/>
        </w:rPr>
        <w:t>, za nadgradnjo informacijskega sistema, za dokončanje projektov, ki so bili začeti v letu 202</w:t>
      </w:r>
      <w:r w:rsidR="008A5F4A">
        <w:rPr>
          <w:iCs/>
          <w:szCs w:val="20"/>
        </w:rPr>
        <w:t>2</w:t>
      </w:r>
      <w:r w:rsidR="005E4F2A">
        <w:rPr>
          <w:iCs/>
          <w:szCs w:val="20"/>
        </w:rPr>
        <w:t xml:space="preserve">, </w:t>
      </w:r>
      <w:r w:rsidR="008A5F4A">
        <w:rPr>
          <w:iCs/>
          <w:szCs w:val="20"/>
        </w:rPr>
        <w:t>končani</w:t>
      </w:r>
      <w:r w:rsidR="005E4F2A">
        <w:rPr>
          <w:iCs/>
          <w:szCs w:val="20"/>
        </w:rPr>
        <w:t xml:space="preserve"> pa bodo v letu 2023.</w:t>
      </w:r>
      <w:r w:rsidR="008A5F4A">
        <w:rPr>
          <w:iCs/>
          <w:szCs w:val="20"/>
        </w:rPr>
        <w:t xml:space="preserve"> </w:t>
      </w:r>
    </w:p>
    <w:p w:rsidR="005E4F2A" w:rsidRDefault="005E4F2A" w:rsidP="00156E1B">
      <w:pPr>
        <w:spacing w:line="260" w:lineRule="atLeast"/>
        <w:jc w:val="both"/>
        <w:rPr>
          <w:iCs/>
          <w:szCs w:val="20"/>
        </w:rPr>
      </w:pPr>
    </w:p>
    <w:p w:rsidR="00E563A0" w:rsidRDefault="00E563A0" w:rsidP="00156E1B">
      <w:pPr>
        <w:spacing w:line="260" w:lineRule="atLeast"/>
        <w:jc w:val="both"/>
        <w:rPr>
          <w:iCs/>
          <w:szCs w:val="20"/>
        </w:rPr>
      </w:pPr>
      <w:r>
        <w:rPr>
          <w:iCs/>
          <w:szCs w:val="20"/>
        </w:rPr>
        <w:t xml:space="preserve">Vzroki za nastanek presežka prihodkov nad odhodki Slovenskega inštituta za standardizacijo iz leta 2022 so naslednji: </w:t>
      </w:r>
    </w:p>
    <w:p w:rsidR="00E563A0" w:rsidRDefault="00E563A0" w:rsidP="00E563A0">
      <w:pPr>
        <w:pStyle w:val="Odstavekseznama"/>
        <w:numPr>
          <w:ilvl w:val="0"/>
          <w:numId w:val="14"/>
        </w:numPr>
        <w:spacing w:line="260" w:lineRule="atLeast"/>
        <w:jc w:val="both"/>
        <w:rPr>
          <w:iCs/>
          <w:szCs w:val="20"/>
        </w:rPr>
      </w:pPr>
      <w:r>
        <w:rPr>
          <w:iCs/>
          <w:szCs w:val="20"/>
        </w:rPr>
        <w:t>V letu 2022 so se vse mednarodne in evropske organizacije (ISO, IEC, ITU, CEN, CENELEC in ETSI), kjer je Slovenski inštitut za standardizacijo polnopravni član, odločile za spletno organizacijo sestankov tehničnih delovnih teles (TC, SC in WG)</w:t>
      </w:r>
      <w:r w:rsidR="00F3311F">
        <w:rPr>
          <w:iCs/>
          <w:szCs w:val="20"/>
        </w:rPr>
        <w:t xml:space="preserve"> in </w:t>
      </w:r>
      <w:r>
        <w:rPr>
          <w:iCs/>
          <w:szCs w:val="20"/>
        </w:rPr>
        <w:t>sestankov organov</w:t>
      </w:r>
      <w:r w:rsidR="00F3311F">
        <w:rPr>
          <w:iCs/>
          <w:szCs w:val="20"/>
        </w:rPr>
        <w:t xml:space="preserve">. Tako sestankov v živo </w:t>
      </w:r>
      <w:r w:rsidR="004060D0">
        <w:rPr>
          <w:iCs/>
          <w:szCs w:val="20"/>
        </w:rPr>
        <w:t xml:space="preserve">zaradi bojazni pred ponovno epidemijo covid 19 </w:t>
      </w:r>
      <w:r w:rsidR="00F3311F">
        <w:rPr>
          <w:iCs/>
          <w:szCs w:val="20"/>
        </w:rPr>
        <w:t>praktično ni bilo</w:t>
      </w:r>
      <w:r>
        <w:rPr>
          <w:iCs/>
          <w:szCs w:val="20"/>
        </w:rPr>
        <w:t xml:space="preserve">. </w:t>
      </w:r>
    </w:p>
    <w:p w:rsidR="00E563A0" w:rsidRDefault="00E563A0" w:rsidP="00E563A0">
      <w:pPr>
        <w:pStyle w:val="Odstavekseznama"/>
        <w:numPr>
          <w:ilvl w:val="0"/>
          <w:numId w:val="14"/>
        </w:numPr>
        <w:spacing w:line="260" w:lineRule="atLeast"/>
        <w:jc w:val="both"/>
        <w:rPr>
          <w:iCs/>
          <w:szCs w:val="20"/>
        </w:rPr>
      </w:pPr>
      <w:r>
        <w:rPr>
          <w:iCs/>
          <w:szCs w:val="20"/>
        </w:rPr>
        <w:t xml:space="preserve">Slovenski inštitut za standardizacijo je večino usposabljanj uporabnikov </w:t>
      </w:r>
      <w:r w:rsidR="00F3311F">
        <w:rPr>
          <w:iCs/>
          <w:szCs w:val="20"/>
        </w:rPr>
        <w:t>zaradi bojazni pred ponovno epidemijo</w:t>
      </w:r>
      <w:r w:rsidR="00CA5DD5">
        <w:rPr>
          <w:iCs/>
          <w:szCs w:val="20"/>
        </w:rPr>
        <w:t xml:space="preserve"> prav tako</w:t>
      </w:r>
      <w:r w:rsidR="00F3311F">
        <w:rPr>
          <w:iCs/>
          <w:szCs w:val="20"/>
        </w:rPr>
        <w:t xml:space="preserve"> izvedel preko spleta in </w:t>
      </w:r>
      <w:r w:rsidR="004060D0">
        <w:rPr>
          <w:iCs/>
          <w:szCs w:val="20"/>
        </w:rPr>
        <w:t>zato</w:t>
      </w:r>
      <w:r w:rsidR="00F3311F">
        <w:rPr>
          <w:iCs/>
          <w:szCs w:val="20"/>
        </w:rPr>
        <w:t xml:space="preserve"> ni imel stroškov.</w:t>
      </w:r>
    </w:p>
    <w:p w:rsidR="00F3311F" w:rsidRPr="00E563A0" w:rsidRDefault="00F3311F" w:rsidP="00E563A0">
      <w:pPr>
        <w:pStyle w:val="Odstavekseznama"/>
        <w:numPr>
          <w:ilvl w:val="0"/>
          <w:numId w:val="14"/>
        </w:numPr>
        <w:spacing w:line="260" w:lineRule="atLeast"/>
        <w:jc w:val="both"/>
        <w:rPr>
          <w:iCs/>
          <w:szCs w:val="20"/>
        </w:rPr>
      </w:pPr>
      <w:r>
        <w:rPr>
          <w:iCs/>
          <w:szCs w:val="20"/>
        </w:rPr>
        <w:t>Inštitut je v letu 2022 začel z izvajanjem novih dejavnosti, kjer je bilo potrebno predhodno izpeljati postopke javnega naročanja za izbiro dobaviteljev. Vse aktivnosti niso bile zaključene v letu 2022 in se bodo nadaljevale v letu 2023. Med njimi je tudi izdajanje glasila Sporočil v elektronski obliki, izdajanje neharmoniziranih in temeljnih standardov v slovenskem jeziku in promocija uporabe standardov pri podjetjih, ki se ukvarjajo z novimi digitalnimi te</w:t>
      </w:r>
      <w:r w:rsidR="00F93B5F">
        <w:rPr>
          <w:iCs/>
          <w:szCs w:val="20"/>
        </w:rPr>
        <w:t>hnologijami in zelenim prehodom</w:t>
      </w:r>
      <w:r w:rsidR="00530D3F">
        <w:rPr>
          <w:iCs/>
          <w:szCs w:val="20"/>
        </w:rPr>
        <w:t>.</w:t>
      </w:r>
      <w:r>
        <w:rPr>
          <w:iCs/>
          <w:szCs w:val="20"/>
        </w:rPr>
        <w:t xml:space="preserve"> </w:t>
      </w:r>
    </w:p>
    <w:p w:rsidR="009A0F07" w:rsidRDefault="009A0F07" w:rsidP="00091A96">
      <w:pPr>
        <w:spacing w:line="260" w:lineRule="atLeast"/>
        <w:jc w:val="both"/>
        <w:rPr>
          <w:szCs w:val="20"/>
        </w:rPr>
      </w:pPr>
    </w:p>
    <w:p w:rsidR="00E563A0" w:rsidRDefault="009A0F07" w:rsidP="00091A96">
      <w:pPr>
        <w:spacing w:line="260" w:lineRule="atLeast"/>
        <w:jc w:val="both"/>
        <w:rPr>
          <w:szCs w:val="20"/>
        </w:rPr>
      </w:pPr>
      <w:r>
        <w:rPr>
          <w:szCs w:val="20"/>
        </w:rPr>
        <w:t>V letu 2023 bo inštitut nadaljeval z nedokončanimi dejavnostmi in nastali presežek namenil za:</w:t>
      </w:r>
    </w:p>
    <w:p w:rsidR="009A0F07" w:rsidRDefault="004060D0" w:rsidP="009A0F07">
      <w:pPr>
        <w:pStyle w:val="Odstavekseznama"/>
        <w:numPr>
          <w:ilvl w:val="0"/>
          <w:numId w:val="14"/>
        </w:numPr>
        <w:spacing w:line="260" w:lineRule="atLeast"/>
        <w:jc w:val="both"/>
        <w:rPr>
          <w:szCs w:val="20"/>
        </w:rPr>
      </w:pPr>
      <w:r>
        <w:rPr>
          <w:szCs w:val="20"/>
        </w:rPr>
        <w:t>i</w:t>
      </w:r>
      <w:r w:rsidR="009A0F07">
        <w:rPr>
          <w:szCs w:val="20"/>
        </w:rPr>
        <w:t>mplementacijo programa Evropske komisije, privzemanje in pripravo harmoniziranih evropskih standardov, v skladu s strategijo evropske standardizacije COM(2022) 31, za pripravljanje, sprejemanje in vzdrževanje harmoniziranih evropskih standardov na področjih, kjer je potrebno še ustanoviti tehnične odbore ter za ponatis o</w:t>
      </w:r>
      <w:r>
        <w:rPr>
          <w:szCs w:val="20"/>
        </w:rPr>
        <w:t>koli 2000 slovenskih standardov,</w:t>
      </w:r>
    </w:p>
    <w:p w:rsidR="009A0F07" w:rsidRDefault="004060D0" w:rsidP="009A0F07">
      <w:pPr>
        <w:pStyle w:val="Odstavekseznama"/>
        <w:numPr>
          <w:ilvl w:val="0"/>
          <w:numId w:val="14"/>
        </w:numPr>
        <w:spacing w:line="260" w:lineRule="atLeast"/>
        <w:jc w:val="both"/>
        <w:rPr>
          <w:szCs w:val="20"/>
        </w:rPr>
      </w:pPr>
      <w:r>
        <w:rPr>
          <w:szCs w:val="20"/>
        </w:rPr>
        <w:t>p</w:t>
      </w:r>
      <w:r w:rsidR="009A0F07">
        <w:rPr>
          <w:szCs w:val="20"/>
        </w:rPr>
        <w:t>rivzemanje standardov s prevodom celotnega besedila</w:t>
      </w:r>
      <w:r>
        <w:rPr>
          <w:szCs w:val="20"/>
        </w:rPr>
        <w:t xml:space="preserve"> (okoli 1600 strani),</w:t>
      </w:r>
    </w:p>
    <w:p w:rsidR="004060D0" w:rsidRDefault="004060D0" w:rsidP="009A0F07">
      <w:pPr>
        <w:pStyle w:val="Odstavekseznama"/>
        <w:numPr>
          <w:ilvl w:val="0"/>
          <w:numId w:val="14"/>
        </w:numPr>
        <w:spacing w:line="260" w:lineRule="atLeast"/>
        <w:jc w:val="both"/>
        <w:rPr>
          <w:szCs w:val="20"/>
        </w:rPr>
      </w:pPr>
      <w:r>
        <w:rPr>
          <w:szCs w:val="20"/>
        </w:rPr>
        <w:t>izvajanje aktivnosti za promocijo uporabe standardov v šolskih sistemih in izvajanje jesenske šole standardizacije,</w:t>
      </w:r>
    </w:p>
    <w:p w:rsidR="004060D0" w:rsidRDefault="004060D0" w:rsidP="009A0F07">
      <w:pPr>
        <w:pStyle w:val="Odstavekseznama"/>
        <w:numPr>
          <w:ilvl w:val="0"/>
          <w:numId w:val="14"/>
        </w:numPr>
        <w:spacing w:line="260" w:lineRule="atLeast"/>
        <w:jc w:val="both"/>
        <w:rPr>
          <w:szCs w:val="20"/>
        </w:rPr>
      </w:pPr>
      <w:r>
        <w:rPr>
          <w:szCs w:val="20"/>
        </w:rPr>
        <w:t>pripravo video produkcij, dogodkov za osveščanje potrebnosti sodelovanja</w:t>
      </w:r>
      <w:r w:rsidR="00F61FFC">
        <w:rPr>
          <w:szCs w:val="20"/>
        </w:rPr>
        <w:t xml:space="preserve"> </w:t>
      </w:r>
      <w:r>
        <w:rPr>
          <w:szCs w:val="20"/>
        </w:rPr>
        <w:t>podjetij na začetnih fazah razvoja evropskih in mednarodnih standardov, ki se ukvarjajo z novimi tehnologijami in zelenim prehodom,</w:t>
      </w:r>
    </w:p>
    <w:p w:rsidR="004060D0" w:rsidRPr="009A0F07" w:rsidRDefault="004060D0" w:rsidP="009A0F07">
      <w:pPr>
        <w:pStyle w:val="Odstavekseznama"/>
        <w:numPr>
          <w:ilvl w:val="0"/>
          <w:numId w:val="14"/>
        </w:numPr>
        <w:spacing w:line="260" w:lineRule="atLeast"/>
        <w:jc w:val="both"/>
        <w:rPr>
          <w:szCs w:val="20"/>
        </w:rPr>
      </w:pPr>
      <w:r>
        <w:rPr>
          <w:szCs w:val="20"/>
        </w:rPr>
        <w:t>administrativno podporo predstavljanju interesov slovenske nacionalne standardizacije v mednarodnih in evropskih organizacijah za standardizacijo.</w:t>
      </w:r>
    </w:p>
    <w:p w:rsidR="009A0F07" w:rsidRDefault="009A0F07" w:rsidP="00091A96">
      <w:pPr>
        <w:spacing w:line="260" w:lineRule="atLeast"/>
        <w:jc w:val="both"/>
        <w:rPr>
          <w:szCs w:val="20"/>
        </w:rPr>
      </w:pPr>
    </w:p>
    <w:p w:rsidR="00091A96" w:rsidRPr="00C520CB" w:rsidRDefault="00156E1B" w:rsidP="00091A96">
      <w:pPr>
        <w:spacing w:line="260" w:lineRule="atLeast"/>
        <w:jc w:val="both"/>
      </w:pPr>
      <w:r w:rsidRPr="00C520CB">
        <w:rPr>
          <w:szCs w:val="20"/>
        </w:rPr>
        <w:t xml:space="preserve">Predlagamo, da </w:t>
      </w:r>
      <w:r w:rsidR="00091A96" w:rsidRPr="00C520CB">
        <w:t>Vlada Republike Slovenije soglaša s predlogom Slovenskega inštituta za standardizacijo, da se presežek prihodkov nad odhodki Slovenskega inštituta za standardizacijo iz leta 2022, v višini 251.341,65 EUR, ki je nastal pri izvajanju nalog 5.</w:t>
      </w:r>
      <w:r w:rsidR="00091A96">
        <w:t xml:space="preserve"> in 6.</w:t>
      </w:r>
      <w:r w:rsidR="00091A96" w:rsidRPr="00C520CB">
        <w:t xml:space="preserve"> člena Zakona o standardizaciji (Urad</w:t>
      </w:r>
      <w:r w:rsidR="00091A96">
        <w:t xml:space="preserve">ni list RS, št. 59/99) nameni za opravljanje in razvoj dejavnosti v </w:t>
      </w:r>
      <w:r w:rsidR="00091A96" w:rsidRPr="00C520CB">
        <w:t>višini 165.688,44 EUR in kritje stroškov za razvoj informacijskega sistema Slovenske</w:t>
      </w:r>
      <w:r w:rsidR="00091A96">
        <w:t>ga inštituta za standardizacijo</w:t>
      </w:r>
      <w:r w:rsidR="00091A96" w:rsidRPr="00C520CB">
        <w:t xml:space="preserve"> v višini 85.653,21 EUR</w:t>
      </w:r>
      <w:r w:rsidR="00091A96">
        <w:t>.</w:t>
      </w:r>
    </w:p>
    <w:p w:rsidR="00156E1B" w:rsidRDefault="00156E1B" w:rsidP="00156E1B">
      <w:pPr>
        <w:spacing w:line="260" w:lineRule="atLeast"/>
        <w:jc w:val="both"/>
        <w:rPr>
          <w:iCs/>
          <w:szCs w:val="20"/>
        </w:rPr>
      </w:pPr>
    </w:p>
    <w:sectPr w:rsidR="00156E1B" w:rsidSect="00783310">
      <w:headerReference w:type="default" r:id="rId34"/>
      <w:footerReference w:type="even" r:id="rId35"/>
      <w:footerReference w:type="default" r:id="rId36"/>
      <w:headerReference w:type="first" r:id="rId3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EC" w:rsidRDefault="00253FEC" w:rsidP="008A4089">
      <w:pPr>
        <w:spacing w:line="240" w:lineRule="auto"/>
      </w:pPr>
      <w:r>
        <w:separator/>
      </w:r>
    </w:p>
  </w:endnote>
  <w:endnote w:type="continuationSeparator" w:id="0">
    <w:p w:rsidR="00253FEC" w:rsidRDefault="00253FEC"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04B14" w:rsidRDefault="00253F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41BCF">
      <w:rPr>
        <w:rStyle w:val="tevilkastrani"/>
        <w:noProof/>
      </w:rPr>
      <w:t>4</w:t>
    </w:r>
    <w:r>
      <w:rPr>
        <w:rStyle w:val="tevilkastrani"/>
      </w:rPr>
      <w:fldChar w:fldCharType="end"/>
    </w:r>
  </w:p>
  <w:p w:rsidR="00F04B14" w:rsidRDefault="00253F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EC" w:rsidRDefault="00253FEC" w:rsidP="008A4089">
      <w:pPr>
        <w:spacing w:line="240" w:lineRule="auto"/>
      </w:pPr>
      <w:r>
        <w:separator/>
      </w:r>
    </w:p>
  </w:footnote>
  <w:footnote w:type="continuationSeparator" w:id="0">
    <w:p w:rsidR="00253FEC" w:rsidRDefault="00253FEC"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Pr="00110CBD" w:rsidRDefault="00253FE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rsidTr="00CA6DCC">
      <w:trPr>
        <w:trHeight w:hRule="exact" w:val="847"/>
      </w:trPr>
      <w:tc>
        <w:tcPr>
          <w:tcW w:w="649" w:type="dxa"/>
        </w:tcPr>
        <w:p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p w:rsidR="007A37F8" w:rsidRPr="006D42D9" w:rsidRDefault="00253FE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F04B14" w:rsidRPr="006D42D9" w:rsidRDefault="00253FEC" w:rsidP="006D42D9">
          <w:pPr>
            <w:rPr>
              <w:rFonts w:ascii="Republika" w:hAnsi="Republika"/>
              <w:sz w:val="60"/>
              <w:szCs w:val="60"/>
            </w:rPr>
          </w:pPr>
        </w:p>
      </w:tc>
    </w:tr>
  </w:tbl>
  <w:p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1D64AF75">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D8E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rsidR="00F83304" w:rsidRDefault="00F83304" w:rsidP="009F1DF3">
    <w:pPr>
      <w:pStyle w:val="Glava"/>
      <w:tabs>
        <w:tab w:val="clear" w:pos="4320"/>
        <w:tab w:val="clear" w:pos="8640"/>
        <w:tab w:val="left" w:pos="5112"/>
      </w:tabs>
      <w:spacing w:before="240" w:line="240" w:lineRule="exact"/>
      <w:rPr>
        <w:rFonts w:cs="Arial"/>
        <w:sz w:val="16"/>
      </w:rPr>
    </w:pPr>
  </w:p>
  <w:p w:rsidR="00D66869" w:rsidRPr="008F3500" w:rsidRDefault="00D66869" w:rsidP="009F1DF3">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3</w:t>
    </w:r>
    <w:r w:rsidR="008144C9">
      <w:rPr>
        <w:rFonts w:cs="Arial"/>
        <w:sz w:val="16"/>
      </w:rPr>
      <w:t>5</w:t>
    </w:r>
    <w:r w:rsidR="003702FA">
      <w:rPr>
        <w:rFonts w:cs="Arial"/>
        <w:sz w:val="16"/>
      </w:rPr>
      <w:t xml:space="preserve"> </w:t>
    </w:r>
    <w:r w:rsidR="008144C9">
      <w:rPr>
        <w:rFonts w:cs="Arial"/>
        <w:sz w:val="16"/>
      </w:rPr>
      <w:t>64</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rsidR="00F04B14" w:rsidRPr="008F3500" w:rsidRDefault="00253FE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ED3"/>
    <w:multiLevelType w:val="hybridMultilevel"/>
    <w:tmpl w:val="18ACE6E2"/>
    <w:lvl w:ilvl="0" w:tplc="FFFFFFFF">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52CE3"/>
    <w:multiLevelType w:val="hybridMultilevel"/>
    <w:tmpl w:val="569033A6"/>
    <w:lvl w:ilvl="0" w:tplc="E2C08A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7B609EF"/>
    <w:multiLevelType w:val="hybridMultilevel"/>
    <w:tmpl w:val="8648EA14"/>
    <w:lvl w:ilvl="0" w:tplc="A7FA95DA">
      <w:start w:val="1"/>
      <w:numFmt w:val="decimal"/>
      <w:pStyle w:val="NavadenStetje"/>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7A126C0"/>
    <w:multiLevelType w:val="hybridMultilevel"/>
    <w:tmpl w:val="16AC49B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B64E7C"/>
    <w:multiLevelType w:val="hybridMultilevel"/>
    <w:tmpl w:val="5D2E484A"/>
    <w:lvl w:ilvl="0" w:tplc="AC4430B4">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0B4154"/>
    <w:multiLevelType w:val="hybridMultilevel"/>
    <w:tmpl w:val="B5F069E6"/>
    <w:lvl w:ilvl="0" w:tplc="D55EF2B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7E1AC2"/>
    <w:multiLevelType w:val="hybridMultilevel"/>
    <w:tmpl w:val="2062D5D6"/>
    <w:lvl w:ilvl="0" w:tplc="76889BD0">
      <w:start w:val="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1A7758"/>
    <w:multiLevelType w:val="hybridMultilevel"/>
    <w:tmpl w:val="B788790A"/>
    <w:lvl w:ilvl="0" w:tplc="46F23F22">
      <w:start w:val="4"/>
      <w:numFmt w:val="bullet"/>
      <w:pStyle w:val="NavadenAlineje2"/>
      <w:lvlText w:val=""/>
      <w:lvlJc w:val="left"/>
      <w:pPr>
        <w:tabs>
          <w:tab w:val="num" w:pos="757"/>
        </w:tabs>
        <w:ind w:left="757" w:hanging="360"/>
      </w:pPr>
      <w:rPr>
        <w:rFonts w:ascii="Symbol" w:eastAsia="Times New Roman" w:hAnsi="Symbol" w:cs="Times New Roman" w:hint="default"/>
        <w:color w:val="auto"/>
      </w:rPr>
    </w:lvl>
    <w:lvl w:ilvl="1" w:tplc="04240001">
      <w:start w:val="1"/>
      <w:numFmt w:val="bullet"/>
      <w:lvlText w:val=""/>
      <w:lvlJc w:val="left"/>
      <w:pPr>
        <w:tabs>
          <w:tab w:val="num" w:pos="1837"/>
        </w:tabs>
        <w:ind w:left="1837" w:hanging="360"/>
      </w:pPr>
      <w:rPr>
        <w:rFonts w:ascii="Symbol" w:hAnsi="Symbol" w:hint="default"/>
        <w:color w:val="auto"/>
      </w:r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abstractNum w:abstractNumId="13" w15:restartNumberingAfterBreak="0">
    <w:nsid w:val="7C7B59D5"/>
    <w:multiLevelType w:val="hybridMultilevel"/>
    <w:tmpl w:val="28824ED2"/>
    <w:lvl w:ilvl="0" w:tplc="0C4874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5"/>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2"/>
  </w:num>
  <w:num w:numId="11">
    <w:abstractNumId w:val="10"/>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7E"/>
    <w:rsid w:val="000150D5"/>
    <w:rsid w:val="000363A4"/>
    <w:rsid w:val="00041BCF"/>
    <w:rsid w:val="00054C5D"/>
    <w:rsid w:val="00091A96"/>
    <w:rsid w:val="000A79A2"/>
    <w:rsid w:val="000F717B"/>
    <w:rsid w:val="00111F14"/>
    <w:rsid w:val="00156E1B"/>
    <w:rsid w:val="00180B19"/>
    <w:rsid w:val="001825E5"/>
    <w:rsid w:val="001916E6"/>
    <w:rsid w:val="001A4AAD"/>
    <w:rsid w:val="001B0AF5"/>
    <w:rsid w:val="001B4037"/>
    <w:rsid w:val="001C0AE2"/>
    <w:rsid w:val="001D03DA"/>
    <w:rsid w:val="001F606B"/>
    <w:rsid w:val="002005CF"/>
    <w:rsid w:val="0021660E"/>
    <w:rsid w:val="002402DF"/>
    <w:rsid w:val="00253FEC"/>
    <w:rsid w:val="00291EE2"/>
    <w:rsid w:val="002D4CF3"/>
    <w:rsid w:val="002E7AA3"/>
    <w:rsid w:val="002E7E3B"/>
    <w:rsid w:val="002F421E"/>
    <w:rsid w:val="00301118"/>
    <w:rsid w:val="0030316C"/>
    <w:rsid w:val="00303A6E"/>
    <w:rsid w:val="00304BB0"/>
    <w:rsid w:val="00314BDD"/>
    <w:rsid w:val="003312AA"/>
    <w:rsid w:val="00343473"/>
    <w:rsid w:val="00360CAE"/>
    <w:rsid w:val="003702FA"/>
    <w:rsid w:val="00392FF9"/>
    <w:rsid w:val="003C7B77"/>
    <w:rsid w:val="003D5684"/>
    <w:rsid w:val="003E71B7"/>
    <w:rsid w:val="003F0B0D"/>
    <w:rsid w:val="004060D0"/>
    <w:rsid w:val="00406643"/>
    <w:rsid w:val="00407D88"/>
    <w:rsid w:val="00480083"/>
    <w:rsid w:val="004900B0"/>
    <w:rsid w:val="004920EE"/>
    <w:rsid w:val="004941CD"/>
    <w:rsid w:val="004A2ED1"/>
    <w:rsid w:val="004A50A9"/>
    <w:rsid w:val="004B398A"/>
    <w:rsid w:val="004D4DF4"/>
    <w:rsid w:val="004E73B2"/>
    <w:rsid w:val="005042AD"/>
    <w:rsid w:val="005141A8"/>
    <w:rsid w:val="00530D3F"/>
    <w:rsid w:val="005402B0"/>
    <w:rsid w:val="00564FB0"/>
    <w:rsid w:val="00586B4E"/>
    <w:rsid w:val="00597AAE"/>
    <w:rsid w:val="005B65E5"/>
    <w:rsid w:val="005E4F2A"/>
    <w:rsid w:val="006041BA"/>
    <w:rsid w:val="00604AFB"/>
    <w:rsid w:val="006158DE"/>
    <w:rsid w:val="00627B48"/>
    <w:rsid w:val="00631DA0"/>
    <w:rsid w:val="00636875"/>
    <w:rsid w:val="0064374E"/>
    <w:rsid w:val="006559FC"/>
    <w:rsid w:val="00693754"/>
    <w:rsid w:val="0069772B"/>
    <w:rsid w:val="006A5184"/>
    <w:rsid w:val="006C1522"/>
    <w:rsid w:val="006D5E65"/>
    <w:rsid w:val="00700B5D"/>
    <w:rsid w:val="00702CB0"/>
    <w:rsid w:val="00722E8D"/>
    <w:rsid w:val="00782DCE"/>
    <w:rsid w:val="0079510C"/>
    <w:rsid w:val="007A64F5"/>
    <w:rsid w:val="007A6D6E"/>
    <w:rsid w:val="007B2685"/>
    <w:rsid w:val="007E66F6"/>
    <w:rsid w:val="007E74B6"/>
    <w:rsid w:val="007F2290"/>
    <w:rsid w:val="007F6C14"/>
    <w:rsid w:val="008144C9"/>
    <w:rsid w:val="0085221A"/>
    <w:rsid w:val="00863AA6"/>
    <w:rsid w:val="00896C46"/>
    <w:rsid w:val="008A4089"/>
    <w:rsid w:val="008A5F4A"/>
    <w:rsid w:val="008B74F5"/>
    <w:rsid w:val="008C529C"/>
    <w:rsid w:val="008E55BF"/>
    <w:rsid w:val="00904A6C"/>
    <w:rsid w:val="0095717D"/>
    <w:rsid w:val="00960F75"/>
    <w:rsid w:val="00963362"/>
    <w:rsid w:val="00964382"/>
    <w:rsid w:val="00977E10"/>
    <w:rsid w:val="009A0F07"/>
    <w:rsid w:val="009D0A1C"/>
    <w:rsid w:val="009D1F7E"/>
    <w:rsid w:val="009E1C95"/>
    <w:rsid w:val="009F1DF3"/>
    <w:rsid w:val="009F7D89"/>
    <w:rsid w:val="00A263D2"/>
    <w:rsid w:val="00A328D9"/>
    <w:rsid w:val="00A477E0"/>
    <w:rsid w:val="00A63012"/>
    <w:rsid w:val="00A766E2"/>
    <w:rsid w:val="00A92198"/>
    <w:rsid w:val="00AA6B00"/>
    <w:rsid w:val="00AB660A"/>
    <w:rsid w:val="00AC20E1"/>
    <w:rsid w:val="00AD723B"/>
    <w:rsid w:val="00AE3BC8"/>
    <w:rsid w:val="00AF7331"/>
    <w:rsid w:val="00B007A1"/>
    <w:rsid w:val="00B12EE4"/>
    <w:rsid w:val="00B12F1A"/>
    <w:rsid w:val="00B829F4"/>
    <w:rsid w:val="00B85ACD"/>
    <w:rsid w:val="00B92ADB"/>
    <w:rsid w:val="00BA1BBF"/>
    <w:rsid w:val="00BB1132"/>
    <w:rsid w:val="00BD6E26"/>
    <w:rsid w:val="00BE7C56"/>
    <w:rsid w:val="00C21AC8"/>
    <w:rsid w:val="00C273C2"/>
    <w:rsid w:val="00C3025A"/>
    <w:rsid w:val="00C315B8"/>
    <w:rsid w:val="00C44879"/>
    <w:rsid w:val="00C520CB"/>
    <w:rsid w:val="00C53831"/>
    <w:rsid w:val="00C541D9"/>
    <w:rsid w:val="00CA5DD5"/>
    <w:rsid w:val="00CB0467"/>
    <w:rsid w:val="00D02578"/>
    <w:rsid w:val="00D07475"/>
    <w:rsid w:val="00D1542A"/>
    <w:rsid w:val="00D357F4"/>
    <w:rsid w:val="00D44C99"/>
    <w:rsid w:val="00D54D05"/>
    <w:rsid w:val="00D66869"/>
    <w:rsid w:val="00DA48DD"/>
    <w:rsid w:val="00E563A0"/>
    <w:rsid w:val="00E64FDF"/>
    <w:rsid w:val="00E81E84"/>
    <w:rsid w:val="00E93A8B"/>
    <w:rsid w:val="00EA17E4"/>
    <w:rsid w:val="00EC0E3A"/>
    <w:rsid w:val="00EC49A7"/>
    <w:rsid w:val="00EC5840"/>
    <w:rsid w:val="00EE31AA"/>
    <w:rsid w:val="00EF384C"/>
    <w:rsid w:val="00F03C82"/>
    <w:rsid w:val="00F13FDD"/>
    <w:rsid w:val="00F17F85"/>
    <w:rsid w:val="00F3311F"/>
    <w:rsid w:val="00F445D9"/>
    <w:rsid w:val="00F61FFC"/>
    <w:rsid w:val="00F724C0"/>
    <w:rsid w:val="00F82258"/>
    <w:rsid w:val="00F83304"/>
    <w:rsid w:val="00F93B5F"/>
    <w:rsid w:val="00FA7FF9"/>
    <w:rsid w:val="00FB1B8F"/>
    <w:rsid w:val="00FC3DFB"/>
    <w:rsid w:val="00FC6A27"/>
    <w:rsid w:val="00FD2735"/>
    <w:rsid w:val="00FD78DB"/>
    <w:rsid w:val="00FE7C73"/>
    <w:rsid w:val="00FF19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A1861"/>
  <w15:chartTrackingRefBased/>
  <w15:docId w15:val="{E0D7C3EB-5A17-43FF-9672-950E2780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unhideWhenUsed/>
    <w:rsid w:val="00F83304"/>
    <w:rPr>
      <w:color w:val="0000FF"/>
      <w:u w:val="single"/>
    </w:rPr>
  </w:style>
  <w:style w:type="paragraph" w:customStyle="1" w:styleId="Vsebinaokvira">
    <w:name w:val="Vsebina okvira"/>
    <w:basedOn w:val="Navaden"/>
    <w:qFormat/>
    <w:rsid w:val="00F83304"/>
    <w:pPr>
      <w:suppressAutoHyphens/>
      <w:spacing w:line="260" w:lineRule="atLeast"/>
    </w:pPr>
  </w:style>
  <w:style w:type="paragraph" w:customStyle="1" w:styleId="Oddelek">
    <w:name w:val="Oddelek"/>
    <w:basedOn w:val="Navaden"/>
    <w:link w:val="OddelekZnak1"/>
    <w:qFormat/>
    <w:rsid w:val="00EC5840"/>
    <w:pPr>
      <w:numPr>
        <w:numId w:val="4"/>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EC5840"/>
    <w:rPr>
      <w:rFonts w:ascii="Arial" w:eastAsia="Times New Roman" w:hAnsi="Arial" w:cs="Arial"/>
      <w:b/>
      <w:lang w:eastAsia="sl-SI"/>
    </w:rPr>
  </w:style>
  <w:style w:type="paragraph" w:customStyle="1" w:styleId="Neotevilenodstavek">
    <w:name w:val="Neoštevilčen odstavek"/>
    <w:basedOn w:val="Navaden"/>
    <w:link w:val="NeotevilenodstavekZnak"/>
    <w:qFormat/>
    <w:rsid w:val="00EC584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EC5840"/>
    <w:rPr>
      <w:rFonts w:ascii="Arial" w:eastAsia="Times New Roman" w:hAnsi="Arial" w:cs="Arial"/>
      <w:lang w:eastAsia="sl-SI"/>
    </w:rPr>
  </w:style>
  <w:style w:type="paragraph" w:customStyle="1" w:styleId="NavadenStetje">
    <w:name w:val="NavadenStetje"/>
    <w:basedOn w:val="Navaden"/>
    <w:rsid w:val="006158DE"/>
    <w:pPr>
      <w:numPr>
        <w:numId w:val="9"/>
      </w:numPr>
      <w:spacing w:line="288" w:lineRule="auto"/>
    </w:pPr>
    <w:rPr>
      <w:sz w:val="22"/>
    </w:rPr>
  </w:style>
  <w:style w:type="paragraph" w:customStyle="1" w:styleId="NavadenAlineje2">
    <w:name w:val="NavadenAlineje2"/>
    <w:basedOn w:val="Navaden"/>
    <w:rsid w:val="00782DCE"/>
    <w:pPr>
      <w:numPr>
        <w:numId w:val="10"/>
      </w:numPr>
      <w:tabs>
        <w:tab w:val="left" w:pos="680"/>
      </w:tabs>
      <w:spacing w:line="288" w:lineRule="auto"/>
    </w:pPr>
    <w:rPr>
      <w:sz w:val="22"/>
    </w:rPr>
  </w:style>
  <w:style w:type="table" w:styleId="Tabelamrea">
    <w:name w:val="Table Grid"/>
    <w:basedOn w:val="Navadnatabela"/>
    <w:uiPriority w:val="39"/>
    <w:rsid w:val="0049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7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0823" TargetMode="External"/><Relationship Id="rId13" Type="http://schemas.openxmlformats.org/officeDocument/2006/relationships/hyperlink" Target="http://www.uradni-list.si/1/objava.jsp?sop=2013-01-1783" TargetMode="External"/><Relationship Id="rId18" Type="http://schemas.openxmlformats.org/officeDocument/2006/relationships/hyperlink" Target="http://www.uradni-list.si/1/objava.jsp?sop=2002-01-4591" TargetMode="External"/><Relationship Id="rId26" Type="http://schemas.openxmlformats.org/officeDocument/2006/relationships/hyperlink" Target="http://www.uradni-list.si/1/objava.jsp?sop=2011-01-044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radni-list.si/1/objava.jsp?sop=2000-01-3343" TargetMode="External"/><Relationship Id="rId34" Type="http://schemas.openxmlformats.org/officeDocument/2006/relationships/header" Target="header1.xml"/><Relationship Id="rId7" Type="http://schemas.openxmlformats.org/officeDocument/2006/relationships/hyperlink" Target="mailto:gp.gs@gov.si" TargetMode="External"/><Relationship Id="rId12" Type="http://schemas.openxmlformats.org/officeDocument/2006/relationships/hyperlink" Target="http://www.uradni-list.si/1/objava.jsp?sop=2013-01-0787" TargetMode="External"/><Relationship Id="rId17" Type="http://schemas.openxmlformats.org/officeDocument/2006/relationships/hyperlink" Target="http://www.uradni-list.si/1/objava.jsp?sop=2000-01-3343" TargetMode="External"/><Relationship Id="rId25" Type="http://schemas.openxmlformats.org/officeDocument/2006/relationships/hyperlink" Target="http://www.uradni-list.si/1/objava.jsp?sop=2022-01-3736" TargetMode="External"/><Relationship Id="rId33" Type="http://schemas.openxmlformats.org/officeDocument/2006/relationships/hyperlink" Target="http://www.uradni-list.si/1/objava.jsp?sop=2023-01-034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4191" TargetMode="External"/><Relationship Id="rId20" Type="http://schemas.openxmlformats.org/officeDocument/2006/relationships/hyperlink" Target="http://www.uradni-list.si/1/objava.jsp?sop=2022-01-3008" TargetMode="External"/><Relationship Id="rId29" Type="http://schemas.openxmlformats.org/officeDocument/2006/relationships/hyperlink" Target="http://www.uradni-list.si/1/objava.jsp?sop=2015-01-22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0268" TargetMode="External"/><Relationship Id="rId24" Type="http://schemas.openxmlformats.org/officeDocument/2006/relationships/hyperlink" Target="http://www.uradni-list.si/1/objava.jsp?sop=2022-01-3008" TargetMode="External"/><Relationship Id="rId32" Type="http://schemas.openxmlformats.org/officeDocument/2006/relationships/hyperlink" Target="http://www.uradni-list.si/1/objava.jsp?sop=2020-01-3501"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17-01-2521" TargetMode="External"/><Relationship Id="rId23" Type="http://schemas.openxmlformats.org/officeDocument/2006/relationships/hyperlink" Target="http://www.uradni-list.si/1/objava.jsp?sop=2021-01-2731" TargetMode="External"/><Relationship Id="rId28" Type="http://schemas.openxmlformats.org/officeDocument/2006/relationships/hyperlink" Target="http://www.uradni-list.si/1/objava.jsp?sop=2013-01-3677" TargetMode="External"/><Relationship Id="rId36" Type="http://schemas.openxmlformats.org/officeDocument/2006/relationships/footer" Target="footer2.xml"/><Relationship Id="rId10" Type="http://schemas.openxmlformats.org/officeDocument/2006/relationships/hyperlink" Target="http://www.uradni-list.si/1/objava.jsp?sop=2010-01-1847" TargetMode="External"/><Relationship Id="rId19" Type="http://schemas.openxmlformats.org/officeDocument/2006/relationships/hyperlink" Target="http://www.uradni-list.si/1/objava.jsp?sop=2021-01-2731" TargetMode="External"/><Relationship Id="rId31" Type="http://schemas.openxmlformats.org/officeDocument/2006/relationships/hyperlink" Target="http://www.uradni-list.si/1/objava.jsp?sop=2018-01-0544" TargetMode="External"/><Relationship Id="rId4" Type="http://schemas.openxmlformats.org/officeDocument/2006/relationships/webSettings" Target="webSettings.xml"/><Relationship Id="rId9" Type="http://schemas.openxmlformats.org/officeDocument/2006/relationships/hyperlink" Target="http://www.uradni-list.si/1/objava.jsp?sop=2008-01-4694" TargetMode="External"/><Relationship Id="rId14" Type="http://schemas.openxmlformats.org/officeDocument/2006/relationships/hyperlink" Target="http://www.uradni-list.si/1/objava.jsp?sop=2014-01-2739" TargetMode="External"/><Relationship Id="rId22" Type="http://schemas.openxmlformats.org/officeDocument/2006/relationships/hyperlink" Target="http://www.uradni-list.si/1/objava.jsp?sop=2002-01-4591" TargetMode="External"/><Relationship Id="rId27" Type="http://schemas.openxmlformats.org/officeDocument/2006/relationships/hyperlink" Target="http://www.uradni-list.si/1/objava.jsp?sop=2013-21-0433" TargetMode="External"/><Relationship Id="rId30" Type="http://schemas.openxmlformats.org/officeDocument/2006/relationships/hyperlink" Target="http://www.uradni-list.si/1/objava.jsp?sop=2015-01-3772"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DNT_SPPB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DNT_SPPBS_SI</Template>
  <TotalTime>445</TotalTime>
  <Pages>7</Pages>
  <Words>3219</Words>
  <Characters>18349</Characters>
  <Application>Microsoft Office Word</Application>
  <DocSecurity>0</DocSecurity>
  <Lines>152</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Marija-Judita Samsa</dc:creator>
  <cp:keywords/>
  <dc:description/>
  <cp:lastModifiedBy>Ksenija Mavrič</cp:lastModifiedBy>
  <cp:revision>140</cp:revision>
  <cp:lastPrinted>2022-04-20T12:17:00Z</cp:lastPrinted>
  <dcterms:created xsi:type="dcterms:W3CDTF">2023-01-27T07:01:00Z</dcterms:created>
  <dcterms:modified xsi:type="dcterms:W3CDTF">2023-05-26T06:15:00Z</dcterms:modified>
</cp:coreProperties>
</file>