
<file path=[Content_Types].xml><?xml version="1.0" encoding="utf-8"?>
<Types xmlns="http://schemas.openxmlformats.org/package/2006/content-types">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6.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7.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8.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9.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1.xml" ContentType="application/vnd.openxmlformats-officedocument.themeOverride+xml"/>
  <Override PartName="/word/charts/chart10.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1.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2.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3.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4.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5.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6.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7.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8.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9.xml" ContentType="application/vnd.openxmlformats-officedocument.drawingml.chart+xml"/>
  <Override PartName="/word/charts/style18.xml" ContentType="application/vnd.ms-office.chartstyle+xml"/>
  <Override PartName="/word/charts/colors18.xml" ContentType="application/vnd.ms-office.chartcolorstyle+xml"/>
  <Override PartName="/word/drawings/drawing1.xml" ContentType="application/vnd.openxmlformats-officedocument.drawingml.chartshapes+xml"/>
  <Override PartName="/word/charts/chart20.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1.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2.xml" ContentType="application/vnd.openxmlformats-officedocument.drawingml.chart+xml"/>
  <Override PartName="/word/charts/chart23.xml" ContentType="application/vnd.openxmlformats-officedocument.drawingml.chart+xml"/>
  <Override PartName="/word/drawings/drawing2.xml" ContentType="application/vnd.openxmlformats-officedocument.drawingml.chartshapes+xml"/>
  <Override PartName="/word/charts/chart24.xml" ContentType="application/vnd.openxmlformats-officedocument.drawingml.chart+xml"/>
  <Override PartName="/word/charts/chart25.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45B896C" w14:textId="4735557D" w:rsidR="00607AC3" w:rsidRPr="00F97F17" w:rsidRDefault="00E0059B" w:rsidP="00B52159">
      <w:pPr>
        <w:spacing w:after="200"/>
        <w:jc w:val="center"/>
        <w:rPr>
          <w:rFonts w:ascii="Arial" w:hAnsi="Arial" w:cs="Arial"/>
          <w:b/>
          <w:color w:val="44546A" w:themeColor="text2"/>
        </w:rPr>
      </w:pPr>
      <w:bookmarkStart w:id="0" w:name="_Hlk83712214"/>
      <w:r w:rsidRPr="00F97F17">
        <w:rPr>
          <w:rFonts w:ascii="Arial" w:hAnsi="Arial" w:cs="Arial"/>
          <w:noProof/>
          <w:lang w:eastAsia="sl-SI"/>
        </w:rPr>
        <w:drawing>
          <wp:inline distT="0" distB="0" distL="0" distR="0" wp14:anchorId="244A8409" wp14:editId="167CCF3E">
            <wp:extent cx="640080" cy="786765"/>
            <wp:effectExtent l="0" t="0" r="7620" b="0"/>
            <wp:docPr id="6" name="Picture 6" descr="Grb Republike Sloveni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Grb Republike Slovenij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0080" cy="786765"/>
                    </a:xfrm>
                    <a:prstGeom prst="rect">
                      <a:avLst/>
                    </a:prstGeom>
                    <a:noFill/>
                  </pic:spPr>
                </pic:pic>
              </a:graphicData>
            </a:graphic>
          </wp:inline>
        </w:drawing>
      </w:r>
    </w:p>
    <w:p w14:paraId="39EFF11F" w14:textId="050733FA" w:rsidR="00D912A5" w:rsidRPr="00F97F17" w:rsidRDefault="00D912A5" w:rsidP="00B52159">
      <w:pPr>
        <w:spacing w:after="2720"/>
        <w:jc w:val="center"/>
        <w:rPr>
          <w:rFonts w:ascii="Arial" w:hAnsi="Arial" w:cs="Arial"/>
          <w:b/>
          <w:color w:val="44546A" w:themeColor="text2"/>
        </w:rPr>
      </w:pPr>
      <w:r w:rsidRPr="00F97F17">
        <w:rPr>
          <w:rFonts w:ascii="Arial" w:hAnsi="Arial" w:cs="Arial"/>
          <w:b/>
          <w:color w:val="44546A" w:themeColor="text2"/>
        </w:rPr>
        <w:t>VLADA REPUBLIKE SLOVENIJE</w:t>
      </w:r>
    </w:p>
    <w:p w14:paraId="1A5487D2" w14:textId="552CA9BD" w:rsidR="00E0059B" w:rsidRPr="00F97F17" w:rsidRDefault="00E0059B" w:rsidP="00ED0433">
      <w:pPr>
        <w:spacing w:line="276" w:lineRule="auto"/>
        <w:jc w:val="center"/>
        <w:rPr>
          <w:rFonts w:ascii="Arial" w:hAnsi="Arial" w:cs="Arial"/>
          <w:b/>
          <w:color w:val="44546A" w:themeColor="text2"/>
          <w:sz w:val="44"/>
          <w:szCs w:val="44"/>
        </w:rPr>
      </w:pPr>
      <w:r w:rsidRPr="00F97F17">
        <w:rPr>
          <w:rFonts w:ascii="Arial" w:hAnsi="Arial" w:cs="Arial"/>
          <w:b/>
          <w:color w:val="44546A" w:themeColor="text2"/>
          <w:sz w:val="44"/>
          <w:szCs w:val="44"/>
        </w:rPr>
        <w:t>Osnut</w:t>
      </w:r>
      <w:r w:rsidR="00852FF3" w:rsidRPr="00F97F17">
        <w:rPr>
          <w:rFonts w:ascii="Arial" w:hAnsi="Arial" w:cs="Arial"/>
          <w:b/>
          <w:color w:val="44546A" w:themeColor="text2"/>
          <w:sz w:val="44"/>
          <w:szCs w:val="44"/>
        </w:rPr>
        <w:t>e</w:t>
      </w:r>
      <w:r w:rsidRPr="00F97F17">
        <w:rPr>
          <w:rFonts w:ascii="Arial" w:hAnsi="Arial" w:cs="Arial"/>
          <w:b/>
          <w:color w:val="44546A" w:themeColor="text2"/>
          <w:sz w:val="44"/>
          <w:szCs w:val="44"/>
        </w:rPr>
        <w:t>k proračunskega načrta</w:t>
      </w:r>
    </w:p>
    <w:p w14:paraId="2D789DA4" w14:textId="06551180" w:rsidR="005157F8" w:rsidRPr="00F97F17" w:rsidRDefault="005157F8" w:rsidP="00ED0433">
      <w:pPr>
        <w:spacing w:line="276" w:lineRule="auto"/>
        <w:jc w:val="center"/>
        <w:rPr>
          <w:rFonts w:ascii="Arial" w:hAnsi="Arial" w:cs="Arial"/>
          <w:b/>
          <w:color w:val="44546A" w:themeColor="text2"/>
          <w:sz w:val="44"/>
          <w:szCs w:val="44"/>
        </w:rPr>
      </w:pPr>
      <w:r w:rsidRPr="00F97F17">
        <w:rPr>
          <w:rFonts w:ascii="Arial" w:hAnsi="Arial" w:cs="Arial"/>
          <w:b/>
          <w:color w:val="44546A" w:themeColor="text2"/>
          <w:sz w:val="44"/>
          <w:szCs w:val="44"/>
        </w:rPr>
        <w:t>sektorja država</w:t>
      </w:r>
    </w:p>
    <w:p w14:paraId="7CB2FB08" w14:textId="07C7E94F" w:rsidR="00607AC3" w:rsidRPr="00F97F17" w:rsidRDefault="00E0059B" w:rsidP="00ED0433">
      <w:pPr>
        <w:spacing w:after="7000" w:line="276" w:lineRule="auto"/>
        <w:jc w:val="center"/>
        <w:rPr>
          <w:rFonts w:ascii="Arial" w:hAnsi="Arial" w:cs="Arial"/>
          <w:b/>
          <w:color w:val="44546A" w:themeColor="text2"/>
          <w:sz w:val="44"/>
          <w:szCs w:val="44"/>
        </w:rPr>
      </w:pPr>
      <w:r w:rsidRPr="00F97F17">
        <w:rPr>
          <w:rFonts w:ascii="Arial" w:hAnsi="Arial" w:cs="Arial"/>
          <w:b/>
          <w:color w:val="44546A" w:themeColor="text2"/>
          <w:sz w:val="44"/>
          <w:szCs w:val="44"/>
        </w:rPr>
        <w:t>202</w:t>
      </w:r>
      <w:r w:rsidR="00330D2E">
        <w:rPr>
          <w:rFonts w:ascii="Arial" w:hAnsi="Arial" w:cs="Arial"/>
          <w:b/>
          <w:color w:val="44546A" w:themeColor="text2"/>
          <w:sz w:val="44"/>
          <w:szCs w:val="44"/>
        </w:rPr>
        <w:t>4</w:t>
      </w:r>
      <w:r w:rsidR="005D61AA" w:rsidRPr="00F97F17">
        <w:rPr>
          <w:rFonts w:ascii="Arial" w:hAnsi="Arial" w:cs="Arial"/>
          <w:b/>
          <w:color w:val="44546A" w:themeColor="text2"/>
          <w:sz w:val="44"/>
          <w:szCs w:val="44"/>
        </w:rPr>
        <w:t xml:space="preserve"> </w:t>
      </w:r>
    </w:p>
    <w:p w14:paraId="58E15DAD" w14:textId="1E8163FC" w:rsidR="00E0059B" w:rsidRPr="00F97F17" w:rsidRDefault="001D5B3E" w:rsidP="00ED0433">
      <w:pPr>
        <w:spacing w:after="1320" w:line="276" w:lineRule="auto"/>
        <w:jc w:val="center"/>
        <w:rPr>
          <w:rFonts w:ascii="Arial" w:eastAsia="Times New Roman" w:hAnsi="Arial" w:cs="Arial"/>
          <w:i/>
          <w:color w:val="44546A" w:themeColor="text2"/>
          <w:sz w:val="24"/>
          <w:szCs w:val="24"/>
        </w:rPr>
      </w:pPr>
      <w:r>
        <w:rPr>
          <w:rFonts w:ascii="Arial" w:eastAsia="Times New Roman" w:hAnsi="Arial" w:cs="Arial"/>
          <w:i/>
          <w:color w:val="44546A" w:themeColor="text2"/>
          <w:sz w:val="24"/>
          <w:szCs w:val="24"/>
        </w:rPr>
        <w:t>Oktober</w:t>
      </w:r>
      <w:r w:rsidR="00607AC3" w:rsidRPr="00F97F17">
        <w:rPr>
          <w:rFonts w:ascii="Arial" w:eastAsia="Times New Roman" w:hAnsi="Arial" w:cs="Arial"/>
          <w:i/>
          <w:color w:val="44546A" w:themeColor="text2"/>
          <w:sz w:val="24"/>
          <w:szCs w:val="24"/>
        </w:rPr>
        <w:t xml:space="preserve"> 202</w:t>
      </w:r>
      <w:r w:rsidR="002E7D2A" w:rsidRPr="00F97F17">
        <w:rPr>
          <w:rFonts w:ascii="Arial" w:eastAsia="Times New Roman" w:hAnsi="Arial" w:cs="Arial"/>
          <w:i/>
          <w:color w:val="44546A" w:themeColor="text2"/>
          <w:sz w:val="24"/>
          <w:szCs w:val="24"/>
        </w:rPr>
        <w:t>3</w:t>
      </w:r>
    </w:p>
    <w:p w14:paraId="557BA053" w14:textId="77777777" w:rsidR="00B57B42" w:rsidRPr="00B57B42" w:rsidRDefault="00B57B42" w:rsidP="0080489B">
      <w:pPr>
        <w:pStyle w:val="naslov1"/>
        <w:numPr>
          <w:ilvl w:val="0"/>
          <w:numId w:val="0"/>
        </w:numPr>
        <w:rPr>
          <w:sz w:val="28"/>
          <w:szCs w:val="28"/>
        </w:rPr>
      </w:pPr>
      <w:bookmarkStart w:id="1" w:name="_Toc52268119"/>
      <w:bookmarkStart w:id="2" w:name="_Toc52264457"/>
      <w:bookmarkEnd w:id="0"/>
      <w:r w:rsidRPr="00B57B42">
        <w:rPr>
          <w:sz w:val="28"/>
          <w:szCs w:val="28"/>
        </w:rPr>
        <w:lastRenderedPageBreak/>
        <w:t>Kazalo</w:t>
      </w:r>
    </w:p>
    <w:p w14:paraId="791DF349" w14:textId="77777777" w:rsidR="00B57B42" w:rsidRDefault="00B57B42" w:rsidP="0080489B">
      <w:pPr>
        <w:pStyle w:val="naslov1"/>
        <w:numPr>
          <w:ilvl w:val="0"/>
          <w:numId w:val="0"/>
        </w:numPr>
      </w:pPr>
    </w:p>
    <w:sdt>
      <w:sdtPr>
        <w:rPr>
          <w:rFonts w:asciiTheme="minorHAnsi" w:eastAsiaTheme="minorHAnsi" w:hAnsiTheme="minorHAnsi" w:cstheme="minorBidi"/>
          <w:b w:val="0"/>
          <w:sz w:val="22"/>
          <w:szCs w:val="22"/>
          <w:lang w:val="sl-SI"/>
        </w:rPr>
        <w:id w:val="1141705778"/>
        <w:docPartObj>
          <w:docPartGallery w:val="Table of Contents"/>
          <w:docPartUnique/>
        </w:docPartObj>
      </w:sdtPr>
      <w:sdtEndPr>
        <w:rPr>
          <w:bCs/>
        </w:rPr>
      </w:sdtEndPr>
      <w:sdtContent>
        <w:p w14:paraId="5D1264AF" w14:textId="79A069DB" w:rsidR="00B57B42" w:rsidRDefault="00B57B42">
          <w:pPr>
            <w:pStyle w:val="TOCHeading"/>
          </w:pPr>
        </w:p>
        <w:p w14:paraId="6DC354AD" w14:textId="750FF74B" w:rsidR="00B33972" w:rsidRPr="00B33972" w:rsidRDefault="00B57B42">
          <w:pPr>
            <w:pStyle w:val="TOC1"/>
            <w:tabs>
              <w:tab w:val="right" w:leader="dot" w:pos="9062"/>
            </w:tabs>
            <w:rPr>
              <w:rFonts w:ascii="Arial" w:eastAsiaTheme="minorEastAsia" w:hAnsi="Arial" w:cs="Arial"/>
              <w:noProof/>
              <w:lang w:eastAsia="sl-SI"/>
            </w:rPr>
          </w:pPr>
          <w:r>
            <w:fldChar w:fldCharType="begin"/>
          </w:r>
          <w:r>
            <w:instrText xml:space="preserve"> TOC \o "1-3" \h \z \u </w:instrText>
          </w:r>
          <w:r>
            <w:fldChar w:fldCharType="separate"/>
          </w:r>
          <w:hyperlink w:anchor="_Toc147494519" w:history="1">
            <w:r w:rsidR="00B33972" w:rsidRPr="00B33972">
              <w:rPr>
                <w:rStyle w:val="Hyperlink"/>
                <w:rFonts w:ascii="Arial" w:hAnsi="Arial" w:cs="Arial"/>
                <w:noProof/>
              </w:rPr>
              <w:t>1 UVOD</w:t>
            </w:r>
            <w:r w:rsidR="00B33972" w:rsidRPr="00B33972">
              <w:rPr>
                <w:rFonts w:ascii="Arial" w:hAnsi="Arial" w:cs="Arial"/>
                <w:noProof/>
                <w:webHidden/>
              </w:rPr>
              <w:tab/>
            </w:r>
            <w:r w:rsidR="00B33972" w:rsidRPr="00B33972">
              <w:rPr>
                <w:rFonts w:ascii="Arial" w:hAnsi="Arial" w:cs="Arial"/>
                <w:noProof/>
                <w:webHidden/>
              </w:rPr>
              <w:fldChar w:fldCharType="begin"/>
            </w:r>
            <w:r w:rsidR="00B33972" w:rsidRPr="00B33972">
              <w:rPr>
                <w:rFonts w:ascii="Arial" w:hAnsi="Arial" w:cs="Arial"/>
                <w:noProof/>
                <w:webHidden/>
              </w:rPr>
              <w:instrText xml:space="preserve"> PAGEREF _Toc147494519 \h </w:instrText>
            </w:r>
            <w:r w:rsidR="00B33972" w:rsidRPr="00B33972">
              <w:rPr>
                <w:rFonts w:ascii="Arial" w:hAnsi="Arial" w:cs="Arial"/>
                <w:noProof/>
                <w:webHidden/>
              </w:rPr>
            </w:r>
            <w:r w:rsidR="00B33972" w:rsidRPr="00B33972">
              <w:rPr>
                <w:rFonts w:ascii="Arial" w:hAnsi="Arial" w:cs="Arial"/>
                <w:noProof/>
                <w:webHidden/>
              </w:rPr>
              <w:fldChar w:fldCharType="separate"/>
            </w:r>
            <w:r w:rsidR="00E4660B">
              <w:rPr>
                <w:rFonts w:ascii="Arial" w:hAnsi="Arial" w:cs="Arial"/>
                <w:noProof/>
                <w:webHidden/>
              </w:rPr>
              <w:t>3</w:t>
            </w:r>
            <w:r w:rsidR="00B33972" w:rsidRPr="00B33972">
              <w:rPr>
                <w:rFonts w:ascii="Arial" w:hAnsi="Arial" w:cs="Arial"/>
                <w:noProof/>
                <w:webHidden/>
              </w:rPr>
              <w:fldChar w:fldCharType="end"/>
            </w:r>
          </w:hyperlink>
        </w:p>
        <w:p w14:paraId="799465A8" w14:textId="4595797E" w:rsidR="00B33972" w:rsidRPr="00B33972" w:rsidRDefault="001C6FA5">
          <w:pPr>
            <w:pStyle w:val="TOC1"/>
            <w:tabs>
              <w:tab w:val="right" w:leader="dot" w:pos="9062"/>
            </w:tabs>
            <w:rPr>
              <w:rFonts w:ascii="Arial" w:eastAsiaTheme="minorEastAsia" w:hAnsi="Arial" w:cs="Arial"/>
              <w:noProof/>
              <w:lang w:eastAsia="sl-SI"/>
            </w:rPr>
          </w:pPr>
          <w:hyperlink w:anchor="_Toc147494520" w:history="1">
            <w:r w:rsidR="00B33972" w:rsidRPr="00B33972">
              <w:rPr>
                <w:rStyle w:val="Hyperlink"/>
                <w:rFonts w:ascii="Arial" w:hAnsi="Arial" w:cs="Arial"/>
                <w:noProof/>
              </w:rPr>
              <w:t>2 EKONOMSKI IZGLEDI IN PRIČAKOVANJA</w:t>
            </w:r>
            <w:r w:rsidR="00B33972" w:rsidRPr="00B33972">
              <w:rPr>
                <w:rFonts w:ascii="Arial" w:hAnsi="Arial" w:cs="Arial"/>
                <w:noProof/>
                <w:webHidden/>
              </w:rPr>
              <w:tab/>
            </w:r>
            <w:r w:rsidR="00B33972" w:rsidRPr="00B33972">
              <w:rPr>
                <w:rFonts w:ascii="Arial" w:hAnsi="Arial" w:cs="Arial"/>
                <w:noProof/>
                <w:webHidden/>
              </w:rPr>
              <w:fldChar w:fldCharType="begin"/>
            </w:r>
            <w:r w:rsidR="00B33972" w:rsidRPr="00B33972">
              <w:rPr>
                <w:rFonts w:ascii="Arial" w:hAnsi="Arial" w:cs="Arial"/>
                <w:noProof/>
                <w:webHidden/>
              </w:rPr>
              <w:instrText xml:space="preserve"> PAGEREF _Toc147494520 \h </w:instrText>
            </w:r>
            <w:r w:rsidR="00B33972" w:rsidRPr="00B33972">
              <w:rPr>
                <w:rFonts w:ascii="Arial" w:hAnsi="Arial" w:cs="Arial"/>
                <w:noProof/>
                <w:webHidden/>
              </w:rPr>
            </w:r>
            <w:r w:rsidR="00B33972" w:rsidRPr="00B33972">
              <w:rPr>
                <w:rFonts w:ascii="Arial" w:hAnsi="Arial" w:cs="Arial"/>
                <w:noProof/>
                <w:webHidden/>
              </w:rPr>
              <w:fldChar w:fldCharType="separate"/>
            </w:r>
            <w:r w:rsidR="00E4660B">
              <w:rPr>
                <w:rFonts w:ascii="Arial" w:hAnsi="Arial" w:cs="Arial"/>
                <w:noProof/>
                <w:webHidden/>
              </w:rPr>
              <w:t>4</w:t>
            </w:r>
            <w:r w:rsidR="00B33972" w:rsidRPr="00B33972">
              <w:rPr>
                <w:rFonts w:ascii="Arial" w:hAnsi="Arial" w:cs="Arial"/>
                <w:noProof/>
                <w:webHidden/>
              </w:rPr>
              <w:fldChar w:fldCharType="end"/>
            </w:r>
          </w:hyperlink>
        </w:p>
        <w:p w14:paraId="4D0CE520" w14:textId="7082B8AB" w:rsidR="00B33972" w:rsidRPr="00B33972" w:rsidRDefault="001C6FA5">
          <w:pPr>
            <w:pStyle w:val="TOC1"/>
            <w:tabs>
              <w:tab w:val="right" w:leader="dot" w:pos="9062"/>
            </w:tabs>
            <w:rPr>
              <w:rFonts w:ascii="Arial" w:eastAsiaTheme="minorEastAsia" w:hAnsi="Arial" w:cs="Arial"/>
              <w:noProof/>
              <w:lang w:eastAsia="sl-SI"/>
            </w:rPr>
          </w:pPr>
          <w:hyperlink w:anchor="_Toc147494521" w:history="1">
            <w:r w:rsidR="00B33972" w:rsidRPr="00B33972">
              <w:rPr>
                <w:rStyle w:val="Hyperlink"/>
                <w:rFonts w:ascii="Arial" w:hAnsi="Arial" w:cs="Arial"/>
                <w:noProof/>
              </w:rPr>
              <w:t>3 FISKALNI SCENARIJ IN UKREPI</w:t>
            </w:r>
            <w:r w:rsidR="00B33972" w:rsidRPr="00B33972">
              <w:rPr>
                <w:rFonts w:ascii="Arial" w:hAnsi="Arial" w:cs="Arial"/>
                <w:noProof/>
                <w:webHidden/>
              </w:rPr>
              <w:tab/>
            </w:r>
            <w:r w:rsidR="00B33972" w:rsidRPr="00B33972">
              <w:rPr>
                <w:rFonts w:ascii="Arial" w:hAnsi="Arial" w:cs="Arial"/>
                <w:noProof/>
                <w:webHidden/>
              </w:rPr>
              <w:fldChar w:fldCharType="begin"/>
            </w:r>
            <w:r w:rsidR="00B33972" w:rsidRPr="00B33972">
              <w:rPr>
                <w:rFonts w:ascii="Arial" w:hAnsi="Arial" w:cs="Arial"/>
                <w:noProof/>
                <w:webHidden/>
              </w:rPr>
              <w:instrText xml:space="preserve"> PAGEREF _Toc147494521 \h </w:instrText>
            </w:r>
            <w:r w:rsidR="00B33972" w:rsidRPr="00B33972">
              <w:rPr>
                <w:rFonts w:ascii="Arial" w:hAnsi="Arial" w:cs="Arial"/>
                <w:noProof/>
                <w:webHidden/>
              </w:rPr>
            </w:r>
            <w:r w:rsidR="00B33972" w:rsidRPr="00B33972">
              <w:rPr>
                <w:rFonts w:ascii="Arial" w:hAnsi="Arial" w:cs="Arial"/>
                <w:noProof/>
                <w:webHidden/>
              </w:rPr>
              <w:fldChar w:fldCharType="separate"/>
            </w:r>
            <w:r w:rsidR="00E4660B">
              <w:rPr>
                <w:rFonts w:ascii="Arial" w:hAnsi="Arial" w:cs="Arial"/>
                <w:noProof/>
                <w:webHidden/>
              </w:rPr>
              <w:t>13</w:t>
            </w:r>
            <w:r w:rsidR="00B33972" w:rsidRPr="00B33972">
              <w:rPr>
                <w:rFonts w:ascii="Arial" w:hAnsi="Arial" w:cs="Arial"/>
                <w:noProof/>
                <w:webHidden/>
              </w:rPr>
              <w:fldChar w:fldCharType="end"/>
            </w:r>
          </w:hyperlink>
        </w:p>
        <w:p w14:paraId="02BEE9A6" w14:textId="52732FE2" w:rsidR="00B33972" w:rsidRPr="00B33972" w:rsidRDefault="001C6FA5">
          <w:pPr>
            <w:pStyle w:val="TOC1"/>
            <w:tabs>
              <w:tab w:val="right" w:leader="dot" w:pos="9062"/>
            </w:tabs>
            <w:rPr>
              <w:rFonts w:ascii="Arial" w:eastAsiaTheme="minorEastAsia" w:hAnsi="Arial" w:cs="Arial"/>
              <w:noProof/>
              <w:lang w:eastAsia="sl-SI"/>
            </w:rPr>
          </w:pPr>
          <w:hyperlink w:anchor="_Toc147494522" w:history="1">
            <w:r w:rsidR="00B33972" w:rsidRPr="00B33972">
              <w:rPr>
                <w:rStyle w:val="Hyperlink"/>
                <w:rFonts w:ascii="Arial" w:hAnsi="Arial" w:cs="Arial"/>
                <w:noProof/>
              </w:rPr>
              <w:t>4 PRIHODKI IN IZDATKI SEKTORJA DRŽAVA 2023 - 2024</w:t>
            </w:r>
            <w:r w:rsidR="00B33972" w:rsidRPr="00B33972">
              <w:rPr>
                <w:rFonts w:ascii="Arial" w:hAnsi="Arial" w:cs="Arial"/>
                <w:noProof/>
                <w:webHidden/>
              </w:rPr>
              <w:tab/>
            </w:r>
            <w:r w:rsidR="00B33972" w:rsidRPr="00B33972">
              <w:rPr>
                <w:rFonts w:ascii="Arial" w:hAnsi="Arial" w:cs="Arial"/>
                <w:noProof/>
                <w:webHidden/>
              </w:rPr>
              <w:fldChar w:fldCharType="begin"/>
            </w:r>
            <w:r w:rsidR="00B33972" w:rsidRPr="00B33972">
              <w:rPr>
                <w:rFonts w:ascii="Arial" w:hAnsi="Arial" w:cs="Arial"/>
                <w:noProof/>
                <w:webHidden/>
              </w:rPr>
              <w:instrText xml:space="preserve"> PAGEREF _Toc147494522 \h </w:instrText>
            </w:r>
            <w:r w:rsidR="00B33972" w:rsidRPr="00B33972">
              <w:rPr>
                <w:rFonts w:ascii="Arial" w:hAnsi="Arial" w:cs="Arial"/>
                <w:noProof/>
                <w:webHidden/>
              </w:rPr>
            </w:r>
            <w:r w:rsidR="00B33972" w:rsidRPr="00B33972">
              <w:rPr>
                <w:rFonts w:ascii="Arial" w:hAnsi="Arial" w:cs="Arial"/>
                <w:noProof/>
                <w:webHidden/>
              </w:rPr>
              <w:fldChar w:fldCharType="separate"/>
            </w:r>
            <w:r w:rsidR="00E4660B">
              <w:rPr>
                <w:rFonts w:ascii="Arial" w:hAnsi="Arial" w:cs="Arial"/>
                <w:noProof/>
                <w:webHidden/>
              </w:rPr>
              <w:t>26</w:t>
            </w:r>
            <w:r w:rsidR="00B33972" w:rsidRPr="00B33972">
              <w:rPr>
                <w:rFonts w:ascii="Arial" w:hAnsi="Arial" w:cs="Arial"/>
                <w:noProof/>
                <w:webHidden/>
              </w:rPr>
              <w:fldChar w:fldCharType="end"/>
            </w:r>
          </w:hyperlink>
        </w:p>
        <w:p w14:paraId="711643CB" w14:textId="43F194A4" w:rsidR="00B33972" w:rsidRPr="00B33972" w:rsidRDefault="001C6FA5">
          <w:pPr>
            <w:pStyle w:val="TOC1"/>
            <w:tabs>
              <w:tab w:val="right" w:leader="dot" w:pos="9062"/>
            </w:tabs>
            <w:rPr>
              <w:rFonts w:ascii="Arial" w:eastAsiaTheme="minorEastAsia" w:hAnsi="Arial" w:cs="Arial"/>
              <w:noProof/>
              <w:lang w:eastAsia="sl-SI"/>
            </w:rPr>
          </w:pPr>
          <w:hyperlink w:anchor="_Toc147494523" w:history="1">
            <w:r w:rsidR="00B33972" w:rsidRPr="00B33972">
              <w:rPr>
                <w:rStyle w:val="Hyperlink"/>
                <w:rFonts w:ascii="Arial" w:hAnsi="Arial" w:cs="Arial"/>
                <w:noProof/>
              </w:rPr>
              <w:t>5 STRUKTURNE SPREMEMBE IN INVESTICIJE</w:t>
            </w:r>
            <w:r w:rsidR="00B33972" w:rsidRPr="00B33972">
              <w:rPr>
                <w:rFonts w:ascii="Arial" w:hAnsi="Arial" w:cs="Arial"/>
                <w:noProof/>
                <w:webHidden/>
              </w:rPr>
              <w:tab/>
            </w:r>
            <w:r w:rsidR="00B33972" w:rsidRPr="00B33972">
              <w:rPr>
                <w:rFonts w:ascii="Arial" w:hAnsi="Arial" w:cs="Arial"/>
                <w:noProof/>
                <w:webHidden/>
              </w:rPr>
              <w:fldChar w:fldCharType="begin"/>
            </w:r>
            <w:r w:rsidR="00B33972" w:rsidRPr="00B33972">
              <w:rPr>
                <w:rFonts w:ascii="Arial" w:hAnsi="Arial" w:cs="Arial"/>
                <w:noProof/>
                <w:webHidden/>
              </w:rPr>
              <w:instrText xml:space="preserve"> PAGEREF _Toc147494523 \h </w:instrText>
            </w:r>
            <w:r w:rsidR="00B33972" w:rsidRPr="00B33972">
              <w:rPr>
                <w:rFonts w:ascii="Arial" w:hAnsi="Arial" w:cs="Arial"/>
                <w:noProof/>
                <w:webHidden/>
              </w:rPr>
            </w:r>
            <w:r w:rsidR="00B33972" w:rsidRPr="00B33972">
              <w:rPr>
                <w:rFonts w:ascii="Arial" w:hAnsi="Arial" w:cs="Arial"/>
                <w:noProof/>
                <w:webHidden/>
              </w:rPr>
              <w:fldChar w:fldCharType="separate"/>
            </w:r>
            <w:r w:rsidR="00E4660B">
              <w:rPr>
                <w:rFonts w:ascii="Arial" w:hAnsi="Arial" w:cs="Arial"/>
                <w:noProof/>
                <w:webHidden/>
              </w:rPr>
              <w:t>31</w:t>
            </w:r>
            <w:r w:rsidR="00B33972" w:rsidRPr="00B33972">
              <w:rPr>
                <w:rFonts w:ascii="Arial" w:hAnsi="Arial" w:cs="Arial"/>
                <w:noProof/>
                <w:webHidden/>
              </w:rPr>
              <w:fldChar w:fldCharType="end"/>
            </w:r>
          </w:hyperlink>
        </w:p>
        <w:p w14:paraId="7E33AF51" w14:textId="2641B71F" w:rsidR="00B33972" w:rsidRPr="00B33972" w:rsidRDefault="001C6FA5">
          <w:pPr>
            <w:pStyle w:val="TOC1"/>
            <w:tabs>
              <w:tab w:val="right" w:leader="dot" w:pos="9062"/>
            </w:tabs>
            <w:rPr>
              <w:rFonts w:ascii="Arial" w:eastAsiaTheme="minorEastAsia" w:hAnsi="Arial" w:cs="Arial"/>
              <w:noProof/>
              <w:lang w:eastAsia="sl-SI"/>
            </w:rPr>
          </w:pPr>
          <w:hyperlink w:anchor="_Toc147494524" w:history="1">
            <w:r w:rsidR="00B33972" w:rsidRPr="00B33972">
              <w:rPr>
                <w:rStyle w:val="Hyperlink"/>
                <w:rFonts w:ascii="Arial" w:hAnsi="Arial" w:cs="Arial"/>
                <w:noProof/>
              </w:rPr>
              <w:t>6 JAVNI DOLG IN POTENCIALNE OBVEZNOSTI</w:t>
            </w:r>
            <w:r w:rsidR="00B33972" w:rsidRPr="00B33972">
              <w:rPr>
                <w:rFonts w:ascii="Arial" w:hAnsi="Arial" w:cs="Arial"/>
                <w:noProof/>
                <w:webHidden/>
              </w:rPr>
              <w:tab/>
            </w:r>
            <w:r w:rsidR="00B33972" w:rsidRPr="00B33972">
              <w:rPr>
                <w:rFonts w:ascii="Arial" w:hAnsi="Arial" w:cs="Arial"/>
                <w:noProof/>
                <w:webHidden/>
              </w:rPr>
              <w:fldChar w:fldCharType="begin"/>
            </w:r>
            <w:r w:rsidR="00B33972" w:rsidRPr="00B33972">
              <w:rPr>
                <w:rFonts w:ascii="Arial" w:hAnsi="Arial" w:cs="Arial"/>
                <w:noProof/>
                <w:webHidden/>
              </w:rPr>
              <w:instrText xml:space="preserve"> PAGEREF _Toc147494524 \h </w:instrText>
            </w:r>
            <w:r w:rsidR="00B33972" w:rsidRPr="00B33972">
              <w:rPr>
                <w:rFonts w:ascii="Arial" w:hAnsi="Arial" w:cs="Arial"/>
                <w:noProof/>
                <w:webHidden/>
              </w:rPr>
            </w:r>
            <w:r w:rsidR="00B33972" w:rsidRPr="00B33972">
              <w:rPr>
                <w:rFonts w:ascii="Arial" w:hAnsi="Arial" w:cs="Arial"/>
                <w:noProof/>
                <w:webHidden/>
              </w:rPr>
              <w:fldChar w:fldCharType="separate"/>
            </w:r>
            <w:r w:rsidR="00E4660B">
              <w:rPr>
                <w:rFonts w:ascii="Arial" w:hAnsi="Arial" w:cs="Arial"/>
                <w:noProof/>
                <w:webHidden/>
              </w:rPr>
              <w:t>36</w:t>
            </w:r>
            <w:r w:rsidR="00B33972" w:rsidRPr="00B33972">
              <w:rPr>
                <w:rFonts w:ascii="Arial" w:hAnsi="Arial" w:cs="Arial"/>
                <w:noProof/>
                <w:webHidden/>
              </w:rPr>
              <w:fldChar w:fldCharType="end"/>
            </w:r>
          </w:hyperlink>
        </w:p>
        <w:p w14:paraId="1FD9AED6" w14:textId="1C369472" w:rsidR="00B33972" w:rsidRPr="00B33972" w:rsidRDefault="001C6FA5">
          <w:pPr>
            <w:pStyle w:val="TOC1"/>
            <w:tabs>
              <w:tab w:val="right" w:leader="dot" w:pos="9062"/>
            </w:tabs>
            <w:rPr>
              <w:rFonts w:ascii="Arial" w:eastAsiaTheme="minorEastAsia" w:hAnsi="Arial" w:cs="Arial"/>
              <w:noProof/>
              <w:lang w:eastAsia="sl-SI"/>
            </w:rPr>
          </w:pPr>
          <w:hyperlink w:anchor="_Toc147494525" w:history="1">
            <w:r w:rsidR="00B33972" w:rsidRPr="00B33972">
              <w:rPr>
                <w:rStyle w:val="Hyperlink"/>
                <w:rFonts w:ascii="Arial" w:hAnsi="Arial" w:cs="Arial"/>
                <w:noProof/>
              </w:rPr>
              <w:t>PRILOGA</w:t>
            </w:r>
            <w:r w:rsidR="00B33972" w:rsidRPr="00B33972">
              <w:rPr>
                <w:rFonts w:ascii="Arial" w:hAnsi="Arial" w:cs="Arial"/>
                <w:noProof/>
                <w:webHidden/>
              </w:rPr>
              <w:tab/>
            </w:r>
            <w:r w:rsidR="00B33972" w:rsidRPr="00B33972">
              <w:rPr>
                <w:rFonts w:ascii="Arial" w:hAnsi="Arial" w:cs="Arial"/>
                <w:noProof/>
                <w:webHidden/>
              </w:rPr>
              <w:fldChar w:fldCharType="begin"/>
            </w:r>
            <w:r w:rsidR="00B33972" w:rsidRPr="00B33972">
              <w:rPr>
                <w:rFonts w:ascii="Arial" w:hAnsi="Arial" w:cs="Arial"/>
                <w:noProof/>
                <w:webHidden/>
              </w:rPr>
              <w:instrText xml:space="preserve"> PAGEREF _Toc147494525 \h </w:instrText>
            </w:r>
            <w:r w:rsidR="00B33972" w:rsidRPr="00B33972">
              <w:rPr>
                <w:rFonts w:ascii="Arial" w:hAnsi="Arial" w:cs="Arial"/>
                <w:noProof/>
                <w:webHidden/>
              </w:rPr>
            </w:r>
            <w:r w:rsidR="00B33972" w:rsidRPr="00B33972">
              <w:rPr>
                <w:rFonts w:ascii="Arial" w:hAnsi="Arial" w:cs="Arial"/>
                <w:noProof/>
                <w:webHidden/>
              </w:rPr>
              <w:fldChar w:fldCharType="separate"/>
            </w:r>
            <w:r w:rsidR="00E4660B">
              <w:rPr>
                <w:rFonts w:ascii="Arial" w:hAnsi="Arial" w:cs="Arial"/>
                <w:noProof/>
                <w:webHidden/>
              </w:rPr>
              <w:t>42</w:t>
            </w:r>
            <w:r w:rsidR="00B33972" w:rsidRPr="00B33972">
              <w:rPr>
                <w:rFonts w:ascii="Arial" w:hAnsi="Arial" w:cs="Arial"/>
                <w:noProof/>
                <w:webHidden/>
              </w:rPr>
              <w:fldChar w:fldCharType="end"/>
            </w:r>
          </w:hyperlink>
        </w:p>
        <w:p w14:paraId="25AD6EFC" w14:textId="7D151DAE" w:rsidR="00B57B42" w:rsidRDefault="00B57B42">
          <w:r>
            <w:rPr>
              <w:b/>
              <w:bCs/>
            </w:rPr>
            <w:fldChar w:fldCharType="end"/>
          </w:r>
        </w:p>
      </w:sdtContent>
    </w:sdt>
    <w:p w14:paraId="3EF5E57E" w14:textId="58FBFF9C" w:rsidR="005C6F54" w:rsidRPr="00CF3B24" w:rsidRDefault="005B6F8D" w:rsidP="00CF3B24">
      <w:pPr>
        <w:pStyle w:val="naslov1"/>
        <w:numPr>
          <w:ilvl w:val="0"/>
          <w:numId w:val="0"/>
        </w:numPr>
      </w:pPr>
      <w:r w:rsidRPr="00F97F17">
        <w:br w:type="page"/>
      </w:r>
      <w:bookmarkStart w:id="3" w:name="_Hlk146272485"/>
    </w:p>
    <w:p w14:paraId="1172DAB7" w14:textId="4BDF109F" w:rsidR="005C6F54" w:rsidRPr="00B57B42" w:rsidRDefault="00B57B42" w:rsidP="00B57B42">
      <w:pPr>
        <w:pStyle w:val="Heading1"/>
        <w:rPr>
          <w:rFonts w:cs="Arial"/>
          <w:sz w:val="28"/>
          <w:szCs w:val="36"/>
        </w:rPr>
      </w:pPr>
      <w:bookmarkStart w:id="4" w:name="_Hlk83712225"/>
      <w:bookmarkStart w:id="5" w:name="_Toc147494519"/>
      <w:r w:rsidRPr="00B57B42">
        <w:rPr>
          <w:rFonts w:cs="Arial"/>
          <w:sz w:val="28"/>
          <w:szCs w:val="36"/>
        </w:rPr>
        <w:lastRenderedPageBreak/>
        <w:t xml:space="preserve">1 </w:t>
      </w:r>
      <w:r w:rsidR="0080489B" w:rsidRPr="00B57B42">
        <w:rPr>
          <w:rFonts w:cs="Arial"/>
          <w:sz w:val="28"/>
          <w:szCs w:val="36"/>
        </w:rPr>
        <w:t>UVO</w:t>
      </w:r>
      <w:bookmarkStart w:id="6" w:name="_Toc52264458"/>
      <w:bookmarkStart w:id="7" w:name="_Toc52268120"/>
      <w:bookmarkStart w:id="8" w:name="_Hlk83712331"/>
      <w:bookmarkEnd w:id="1"/>
      <w:bookmarkEnd w:id="2"/>
      <w:bookmarkEnd w:id="4"/>
      <w:r w:rsidR="0080489B" w:rsidRPr="00B57B42">
        <w:rPr>
          <w:rFonts w:cs="Arial"/>
          <w:sz w:val="28"/>
          <w:szCs w:val="36"/>
        </w:rPr>
        <w:t>D</w:t>
      </w:r>
      <w:bookmarkEnd w:id="5"/>
    </w:p>
    <w:p w14:paraId="0934657B" w14:textId="6220BA14" w:rsidR="00DC0ACB" w:rsidRDefault="00DC0ACB" w:rsidP="00DC0ACB">
      <w:pPr>
        <w:rPr>
          <w:rFonts w:ascii="Arial" w:hAnsi="Arial" w:cs="Arial"/>
        </w:rPr>
      </w:pPr>
    </w:p>
    <w:p w14:paraId="1DF48930" w14:textId="77777777" w:rsidR="00DA12BA" w:rsidRDefault="00DA12BA" w:rsidP="00DA12BA">
      <w:pPr>
        <w:jc w:val="both"/>
        <w:rPr>
          <w:rFonts w:ascii="Arial" w:hAnsi="Arial" w:cs="Arial"/>
        </w:rPr>
      </w:pPr>
      <w:r w:rsidRPr="007E136B">
        <w:rPr>
          <w:rFonts w:ascii="Arial" w:hAnsi="Arial" w:cs="Arial"/>
        </w:rPr>
        <w:t>Fiskaln</w:t>
      </w:r>
      <w:r>
        <w:rPr>
          <w:rFonts w:ascii="Arial" w:hAnsi="Arial" w:cs="Arial"/>
        </w:rPr>
        <w:t>o</w:t>
      </w:r>
      <w:r w:rsidRPr="007E136B">
        <w:rPr>
          <w:rFonts w:ascii="Arial" w:hAnsi="Arial" w:cs="Arial"/>
        </w:rPr>
        <w:t xml:space="preserve"> politik</w:t>
      </w:r>
      <w:r>
        <w:rPr>
          <w:rFonts w:ascii="Arial" w:hAnsi="Arial" w:cs="Arial"/>
        </w:rPr>
        <w:t>o bo</w:t>
      </w:r>
      <w:r w:rsidRPr="007E136B">
        <w:rPr>
          <w:rFonts w:ascii="Arial" w:hAnsi="Arial" w:cs="Arial"/>
        </w:rPr>
        <w:t xml:space="preserve"> v prihodnjem letu</w:t>
      </w:r>
      <w:r>
        <w:rPr>
          <w:rFonts w:ascii="Arial" w:hAnsi="Arial" w:cs="Arial"/>
        </w:rPr>
        <w:t xml:space="preserve"> zaznamovala zahteva po vnovičnem spoštovanju fiskalnih pravil in odprava posledic naravnih nesreč, ki so Slovenjo prizadele v juliju in avgustu 2023</w:t>
      </w:r>
      <w:r w:rsidRPr="007E136B">
        <w:rPr>
          <w:rFonts w:ascii="Arial" w:hAnsi="Arial" w:cs="Arial"/>
        </w:rPr>
        <w:t xml:space="preserve">. </w:t>
      </w:r>
      <w:r>
        <w:rPr>
          <w:rFonts w:ascii="Arial" w:hAnsi="Arial" w:cs="Arial"/>
        </w:rPr>
        <w:t>Po skoraj štirih letih se bo na ravni EU prenehala uporabljati splošna odstopna klavzula, hkrati pa se predvideva, da ne bodo več izpolnjeni tudi pogoji iz Zakona o fiskalnem pravilu, ki so omogočali uveljavljanje izjemnih okoliščin na nacionalni ravni. To pomeni, da je v naslednjih letih treba zagotoviti postopno zniževanje strukturnega primanjkljaja, pri čemer je pomembno da konsolidacija ne ogrozi gospodarske rasti. Ker pa so fiskalna pravila na ravni EU v fazi prenove, podrobne kvantitativne usmeritve za fiskalno politiko v srednjeročnem obdobju še niso dokončno znane.</w:t>
      </w:r>
    </w:p>
    <w:p w14:paraId="493FB035" w14:textId="6C187657" w:rsidR="00DA12BA" w:rsidRPr="007E136B" w:rsidRDefault="00DA12BA" w:rsidP="00DA12BA">
      <w:pPr>
        <w:jc w:val="both"/>
        <w:rPr>
          <w:rFonts w:ascii="Arial" w:hAnsi="Arial" w:cs="Arial"/>
        </w:rPr>
      </w:pPr>
      <w:r>
        <w:rPr>
          <w:rFonts w:ascii="Arial" w:hAnsi="Arial" w:cs="Arial"/>
        </w:rPr>
        <w:t xml:space="preserve">Po drugi strani pa bodo imeli v naslednjih letih pomembno vlogo ukrepi za </w:t>
      </w:r>
      <w:r w:rsidRPr="00B802F3">
        <w:rPr>
          <w:rFonts w:ascii="Arial" w:hAnsi="Arial" w:cs="Arial"/>
        </w:rPr>
        <w:t xml:space="preserve">sanacijo območij prizadetih ob </w:t>
      </w:r>
      <w:r>
        <w:rPr>
          <w:rFonts w:ascii="Arial" w:hAnsi="Arial" w:cs="Arial"/>
        </w:rPr>
        <w:t xml:space="preserve">naravnih nesrečah. Ti ukrepi bodo zaradi obsežnosti škode imeli pomembne finančne posledice za javnofinančno stanje. </w:t>
      </w:r>
      <w:r w:rsidRPr="00DD77B2">
        <w:rPr>
          <w:rFonts w:ascii="Arial" w:hAnsi="Arial" w:cs="Arial"/>
        </w:rPr>
        <w:t xml:space="preserve">V začetku oktobra se je </w:t>
      </w:r>
      <w:r>
        <w:rPr>
          <w:rFonts w:ascii="Arial" w:hAnsi="Arial" w:cs="Arial"/>
        </w:rPr>
        <w:t xml:space="preserve">namreč </w:t>
      </w:r>
      <w:r w:rsidRPr="00DD77B2">
        <w:rPr>
          <w:rFonts w:ascii="Arial" w:hAnsi="Arial" w:cs="Arial"/>
        </w:rPr>
        <w:t>vlada seznanila z Oceno neposredne škode po naravni nesreči, ki je prizadela Slovenijo 4. avgusta 2023, ki znaša okoli 9,9 mrd EUR. Škoda je ocenjena z uporabo mednarodno priznane metodologije PDNA (»Post–Disaster Needs Assessment«).</w:t>
      </w:r>
      <w:r>
        <w:rPr>
          <w:rFonts w:ascii="Arial" w:hAnsi="Arial" w:cs="Arial"/>
        </w:rPr>
        <w:t xml:space="preserve"> Sredstva za ukrepe bodo zagotovljena tako iz novih virov (Solidarnostni sklad EU, obvezen solidarnostni prispevek) kot tudi s prioritizacijo izdatkov v državnem proračunu ter znižanjem zgornjih mej izdatkov v finančnih načrtih resorjev. </w:t>
      </w:r>
      <w:r w:rsidRPr="003605E8">
        <w:rPr>
          <w:rFonts w:ascii="Arial" w:hAnsi="Arial" w:cs="Arial"/>
        </w:rPr>
        <w:t>Z</w:t>
      </w:r>
      <w:r w:rsidR="00C35DBD">
        <w:rPr>
          <w:rFonts w:ascii="Arial" w:hAnsi="Arial" w:cs="Arial"/>
        </w:rPr>
        <w:t xml:space="preserve"> novim</w:t>
      </w:r>
      <w:r w:rsidRPr="003605E8">
        <w:rPr>
          <w:rFonts w:ascii="Arial" w:hAnsi="Arial" w:cs="Arial"/>
        </w:rPr>
        <w:t xml:space="preserve"> </w:t>
      </w:r>
      <w:bookmarkStart w:id="9" w:name="_Hlk146194602"/>
      <w:r w:rsidR="00C35DBD">
        <w:rPr>
          <w:rFonts w:ascii="Arial" w:hAnsi="Arial" w:cs="Arial"/>
        </w:rPr>
        <w:t>z</w:t>
      </w:r>
      <w:r w:rsidRPr="003605E8">
        <w:rPr>
          <w:rFonts w:ascii="Arial" w:hAnsi="Arial" w:cs="Arial"/>
        </w:rPr>
        <w:t>akonom o obnovi</w:t>
      </w:r>
      <w:r w:rsidR="00620A85" w:rsidRPr="003605E8">
        <w:rPr>
          <w:rFonts w:ascii="Arial" w:hAnsi="Arial" w:cs="Arial"/>
        </w:rPr>
        <w:t xml:space="preserve">, </w:t>
      </w:r>
      <w:r w:rsidRPr="003605E8">
        <w:rPr>
          <w:rFonts w:ascii="Arial" w:hAnsi="Arial" w:cs="Arial"/>
        </w:rPr>
        <w:t>razvoju in ukrepih za zagotovitev sredstev za odpravo posledic poplav</w:t>
      </w:r>
      <w:r w:rsidR="00C35DBD">
        <w:rPr>
          <w:rStyle w:val="FootnoteReference"/>
          <w:rFonts w:ascii="Arial" w:hAnsi="Arial" w:cs="Arial"/>
        </w:rPr>
        <w:footnoteReference w:id="2"/>
      </w:r>
      <w:r w:rsidRPr="003605E8">
        <w:rPr>
          <w:rFonts w:ascii="Arial" w:hAnsi="Arial" w:cs="Arial"/>
        </w:rPr>
        <w:t xml:space="preserve"> se predvidevajo</w:t>
      </w:r>
      <w:r>
        <w:rPr>
          <w:rFonts w:ascii="Arial" w:hAnsi="Arial" w:cs="Arial"/>
        </w:rPr>
        <w:t xml:space="preserve"> tudi dodatni ukrepi, ki nakazujejo na preusmerjanje sredstev na poplave, zajezila se bo rast odhodkov (tudi zamik plačne reforme). </w:t>
      </w:r>
      <w:bookmarkEnd w:id="9"/>
      <w:r>
        <w:rPr>
          <w:rFonts w:ascii="Arial" w:hAnsi="Arial" w:cs="Arial"/>
        </w:rPr>
        <w:t>Investicije se bodo še naprej ohranjale na visoki ravni. Prihodnja fiskalna politika pa bo nadalje močno pod vplivom negotovosti glede gibanja inflacije in</w:t>
      </w:r>
      <w:r w:rsidRPr="00E11F54">
        <w:rPr>
          <w:rFonts w:ascii="Arial" w:hAnsi="Arial" w:cs="Arial"/>
        </w:rPr>
        <w:t xml:space="preserve"> s tem poveza</w:t>
      </w:r>
      <w:r>
        <w:rPr>
          <w:rFonts w:ascii="Arial" w:hAnsi="Arial" w:cs="Arial"/>
        </w:rPr>
        <w:t>nimi odzivi</w:t>
      </w:r>
      <w:r w:rsidRPr="00E11F54">
        <w:rPr>
          <w:rFonts w:ascii="Arial" w:hAnsi="Arial" w:cs="Arial"/>
        </w:rPr>
        <w:t xml:space="preserve"> monetarne politike, </w:t>
      </w:r>
      <w:r>
        <w:rPr>
          <w:rFonts w:ascii="Arial" w:hAnsi="Arial" w:cs="Arial"/>
        </w:rPr>
        <w:t xml:space="preserve">višine </w:t>
      </w:r>
      <w:r w:rsidRPr="00E11F54">
        <w:rPr>
          <w:rFonts w:ascii="Arial" w:hAnsi="Arial" w:cs="Arial"/>
        </w:rPr>
        <w:t>globalne rasti, geopolitičnega položaja</w:t>
      </w:r>
      <w:r>
        <w:rPr>
          <w:rFonts w:ascii="Arial" w:hAnsi="Arial" w:cs="Arial"/>
        </w:rPr>
        <w:t xml:space="preserve"> in stanja na</w:t>
      </w:r>
      <w:r w:rsidRPr="00E11F54">
        <w:rPr>
          <w:rFonts w:ascii="Arial" w:hAnsi="Arial" w:cs="Arial"/>
        </w:rPr>
        <w:t xml:space="preserve"> energetskih trg</w:t>
      </w:r>
      <w:r>
        <w:rPr>
          <w:rFonts w:ascii="Arial" w:hAnsi="Arial" w:cs="Arial"/>
        </w:rPr>
        <w:t>ih</w:t>
      </w:r>
      <w:r w:rsidRPr="00E11F54">
        <w:rPr>
          <w:rFonts w:ascii="Arial" w:hAnsi="Arial" w:cs="Arial"/>
        </w:rPr>
        <w:t>.</w:t>
      </w:r>
    </w:p>
    <w:p w14:paraId="2B57BCD1" w14:textId="2CD6891B" w:rsidR="00DA12BA" w:rsidRPr="007E136B" w:rsidRDefault="00DA12BA" w:rsidP="00DA12BA">
      <w:pPr>
        <w:jc w:val="both"/>
        <w:rPr>
          <w:rFonts w:ascii="Arial" w:hAnsi="Arial" w:cs="Arial"/>
        </w:rPr>
      </w:pPr>
      <w:r>
        <w:rPr>
          <w:rFonts w:ascii="Arial" w:hAnsi="Arial" w:cs="Arial"/>
        </w:rPr>
        <w:t xml:space="preserve">V luči ukrepov za sanacijo naravnih nesreč </w:t>
      </w:r>
      <w:r w:rsidRPr="007E136B">
        <w:rPr>
          <w:rFonts w:ascii="Arial" w:hAnsi="Arial" w:cs="Arial"/>
        </w:rPr>
        <w:t xml:space="preserve">vlada v letu 2024 načrtuje </w:t>
      </w:r>
      <w:r>
        <w:rPr>
          <w:rFonts w:ascii="Arial" w:hAnsi="Arial" w:cs="Arial"/>
        </w:rPr>
        <w:t xml:space="preserve">nekoliko višji </w:t>
      </w:r>
      <w:r w:rsidRPr="007E136B">
        <w:rPr>
          <w:rFonts w:ascii="Arial" w:hAnsi="Arial" w:cs="Arial"/>
        </w:rPr>
        <w:t>javnofinančn</w:t>
      </w:r>
      <w:r>
        <w:rPr>
          <w:rFonts w:ascii="Arial" w:hAnsi="Arial" w:cs="Arial"/>
        </w:rPr>
        <w:t>i</w:t>
      </w:r>
      <w:r w:rsidRPr="007E136B">
        <w:rPr>
          <w:rFonts w:ascii="Arial" w:hAnsi="Arial" w:cs="Arial"/>
        </w:rPr>
        <w:t xml:space="preserve"> primanjklj</w:t>
      </w:r>
      <w:r>
        <w:rPr>
          <w:rFonts w:ascii="Arial" w:hAnsi="Arial" w:cs="Arial"/>
        </w:rPr>
        <w:t>aj kot predvideno pri pripravi Programa stabilnosti 2023, in sicer v višini  3,8 % BDP. V luči fiskalnih pravil pa</w:t>
      </w:r>
      <w:r w:rsidR="00A9516A">
        <w:rPr>
          <w:rFonts w:ascii="Arial" w:hAnsi="Arial" w:cs="Arial"/>
        </w:rPr>
        <w:t xml:space="preserve"> je</w:t>
      </w:r>
      <w:r>
        <w:rPr>
          <w:rFonts w:ascii="Arial" w:hAnsi="Arial" w:cs="Arial"/>
        </w:rPr>
        <w:t xml:space="preserve"> </w:t>
      </w:r>
      <w:r w:rsidR="00A9516A">
        <w:rPr>
          <w:rFonts w:ascii="Arial" w:hAnsi="Arial" w:cs="Arial"/>
        </w:rPr>
        <w:t>o</w:t>
      </w:r>
      <w:r>
        <w:rPr>
          <w:rFonts w:ascii="Arial" w:hAnsi="Arial" w:cs="Arial"/>
        </w:rPr>
        <w:t xml:space="preserve">b tem pomembno, da primanjkljaj brez upoštevanja ukrepov za sanacijo poplav v letu 2024 </w:t>
      </w:r>
      <w:r w:rsidR="00687649">
        <w:rPr>
          <w:rFonts w:ascii="Arial" w:hAnsi="Arial" w:cs="Arial"/>
        </w:rPr>
        <w:t xml:space="preserve">pod referenčno vrednostjo - 3 </w:t>
      </w:r>
      <w:r>
        <w:rPr>
          <w:rFonts w:ascii="Arial" w:hAnsi="Arial" w:cs="Arial"/>
        </w:rPr>
        <w:t xml:space="preserve"> % BDP. Javnofinančni cilji po letu 2024 se v času priprave Osnutka proračunskega načrta ne spreminjajo in je še naprej predvidena postopna odprava </w:t>
      </w:r>
      <w:r w:rsidRPr="007E136B">
        <w:rPr>
          <w:rFonts w:ascii="Arial" w:hAnsi="Arial" w:cs="Arial"/>
        </w:rPr>
        <w:t xml:space="preserve">strukturne neuravnoteženosti </w:t>
      </w:r>
      <w:r>
        <w:rPr>
          <w:rFonts w:ascii="Arial" w:hAnsi="Arial" w:cs="Arial"/>
        </w:rPr>
        <w:t>na način, da ta ne ogrozi</w:t>
      </w:r>
      <w:r w:rsidRPr="007E136B">
        <w:rPr>
          <w:rFonts w:ascii="Arial" w:hAnsi="Arial" w:cs="Arial"/>
        </w:rPr>
        <w:t xml:space="preserve"> </w:t>
      </w:r>
      <w:r>
        <w:rPr>
          <w:rFonts w:ascii="Arial" w:hAnsi="Arial" w:cs="Arial"/>
        </w:rPr>
        <w:t>gospodarske aktivnosti</w:t>
      </w:r>
      <w:r w:rsidRPr="007E136B">
        <w:rPr>
          <w:rFonts w:ascii="Arial" w:hAnsi="Arial" w:cs="Arial"/>
        </w:rPr>
        <w:t>.</w:t>
      </w:r>
      <w:r>
        <w:rPr>
          <w:rFonts w:ascii="Arial" w:hAnsi="Arial" w:cs="Arial"/>
        </w:rPr>
        <w:t xml:space="preserve"> Srednjeročni fiskalni cilji bodo dodatno prilagojeni, ko bo več jasnosti glede prihodnjih fiskalnih pravil EU. Takrat bo pripravljena tudi </w:t>
      </w:r>
      <w:r w:rsidRPr="007E136B">
        <w:rPr>
          <w:rFonts w:ascii="Arial" w:hAnsi="Arial" w:cs="Arial"/>
        </w:rPr>
        <w:t>srednjeročn</w:t>
      </w:r>
      <w:r>
        <w:rPr>
          <w:rFonts w:ascii="Arial" w:hAnsi="Arial" w:cs="Arial"/>
        </w:rPr>
        <w:t>a</w:t>
      </w:r>
      <w:r w:rsidRPr="007E136B">
        <w:rPr>
          <w:rFonts w:ascii="Arial" w:hAnsi="Arial" w:cs="Arial"/>
        </w:rPr>
        <w:t xml:space="preserve"> fiskaln</w:t>
      </w:r>
      <w:r>
        <w:rPr>
          <w:rFonts w:ascii="Arial" w:hAnsi="Arial" w:cs="Arial"/>
        </w:rPr>
        <w:t>a</w:t>
      </w:r>
      <w:r w:rsidRPr="007E136B">
        <w:rPr>
          <w:rFonts w:ascii="Arial" w:hAnsi="Arial" w:cs="Arial"/>
        </w:rPr>
        <w:t xml:space="preserve"> strategij</w:t>
      </w:r>
      <w:r>
        <w:rPr>
          <w:rFonts w:ascii="Arial" w:hAnsi="Arial" w:cs="Arial"/>
        </w:rPr>
        <w:t xml:space="preserve">a </w:t>
      </w:r>
      <w:r w:rsidRPr="007E136B">
        <w:rPr>
          <w:rFonts w:ascii="Arial" w:hAnsi="Arial" w:cs="Arial"/>
        </w:rPr>
        <w:t>za doseganje uravnoteženosti javnih financ, vključno s programom ukrepov za doseganje javnofinančnih ciljev</w:t>
      </w:r>
      <w:r>
        <w:rPr>
          <w:rFonts w:ascii="Arial" w:hAnsi="Arial" w:cs="Arial"/>
        </w:rPr>
        <w:t>, kot jo p</w:t>
      </w:r>
      <w:r w:rsidRPr="007E136B">
        <w:rPr>
          <w:rFonts w:ascii="Arial" w:hAnsi="Arial" w:cs="Arial"/>
        </w:rPr>
        <w:t xml:space="preserve">o prenehanju izjemnih okoliščin </w:t>
      </w:r>
      <w:r>
        <w:rPr>
          <w:rFonts w:ascii="Arial" w:hAnsi="Arial" w:cs="Arial"/>
        </w:rPr>
        <w:t>zahteva 14. člen</w:t>
      </w:r>
      <w:r w:rsidRPr="007E136B">
        <w:rPr>
          <w:rFonts w:ascii="Arial" w:hAnsi="Arial" w:cs="Arial"/>
        </w:rPr>
        <w:t xml:space="preserve"> </w:t>
      </w:r>
      <w:r>
        <w:rPr>
          <w:rFonts w:ascii="Arial" w:hAnsi="Arial" w:cs="Arial"/>
        </w:rPr>
        <w:t>Z</w:t>
      </w:r>
      <w:r w:rsidRPr="007E136B">
        <w:rPr>
          <w:rFonts w:ascii="Arial" w:hAnsi="Arial" w:cs="Arial"/>
        </w:rPr>
        <w:t>akon</w:t>
      </w:r>
      <w:r>
        <w:rPr>
          <w:rFonts w:ascii="Arial" w:hAnsi="Arial" w:cs="Arial"/>
        </w:rPr>
        <w:t>a</w:t>
      </w:r>
      <w:r w:rsidRPr="007E136B">
        <w:rPr>
          <w:rFonts w:ascii="Arial" w:hAnsi="Arial" w:cs="Arial"/>
        </w:rPr>
        <w:t xml:space="preserve"> o fiskalnem pravilu</w:t>
      </w:r>
      <w:r>
        <w:rPr>
          <w:rFonts w:ascii="Arial" w:hAnsi="Arial" w:cs="Arial"/>
        </w:rPr>
        <w:t>.</w:t>
      </w:r>
    </w:p>
    <w:p w14:paraId="5FF3766A" w14:textId="77777777" w:rsidR="00DA12BA" w:rsidRDefault="00DA12BA" w:rsidP="00DA12BA">
      <w:pPr>
        <w:jc w:val="both"/>
        <w:rPr>
          <w:rFonts w:ascii="Arial" w:hAnsi="Arial" w:cs="Arial"/>
        </w:rPr>
      </w:pPr>
      <w:r>
        <w:rPr>
          <w:rFonts w:ascii="Arial" w:hAnsi="Arial" w:cs="Arial"/>
        </w:rPr>
        <w:t>Spremembe javnofinančnih ciljev za leto 2024 se odražajo v predlogu spremembe Odloka o o</w:t>
      </w:r>
      <w:r w:rsidRPr="003965D7">
        <w:rPr>
          <w:rFonts w:ascii="Arial" w:hAnsi="Arial" w:cs="Arial"/>
        </w:rPr>
        <w:t>kvir</w:t>
      </w:r>
      <w:r>
        <w:rPr>
          <w:rFonts w:ascii="Arial" w:hAnsi="Arial" w:cs="Arial"/>
        </w:rPr>
        <w:t>u</w:t>
      </w:r>
      <w:r w:rsidRPr="003965D7">
        <w:rPr>
          <w:rFonts w:ascii="Arial" w:hAnsi="Arial" w:cs="Arial"/>
        </w:rPr>
        <w:t xml:space="preserve"> za pripravo proračunov sektorja država za obdobje 2024</w:t>
      </w:r>
      <w:r>
        <w:rPr>
          <w:rFonts w:ascii="Arial" w:hAnsi="Arial" w:cs="Arial"/>
        </w:rPr>
        <w:t>–2026</w:t>
      </w:r>
      <w:r>
        <w:rPr>
          <w:rStyle w:val="FootnoteReference"/>
          <w:rFonts w:ascii="Arial" w:hAnsi="Arial" w:cs="Arial"/>
        </w:rPr>
        <w:footnoteReference w:id="3"/>
      </w:r>
      <w:r>
        <w:rPr>
          <w:rFonts w:ascii="Arial" w:hAnsi="Arial" w:cs="Arial"/>
        </w:rPr>
        <w:t>, ki je bil</w:t>
      </w:r>
      <w:r w:rsidRPr="003965D7">
        <w:rPr>
          <w:rFonts w:ascii="Arial" w:hAnsi="Arial" w:cs="Arial"/>
        </w:rPr>
        <w:t xml:space="preserve"> v </w:t>
      </w:r>
      <w:r>
        <w:rPr>
          <w:rFonts w:ascii="Arial" w:hAnsi="Arial" w:cs="Arial"/>
        </w:rPr>
        <w:t>pripravljen</w:t>
      </w:r>
      <w:r w:rsidRPr="003965D7">
        <w:rPr>
          <w:rFonts w:ascii="Arial" w:hAnsi="Arial" w:cs="Arial"/>
        </w:rPr>
        <w:t xml:space="preserve"> skupaj s proračunskimi dokumenti za prihodnji dve leti</w:t>
      </w:r>
      <w:r>
        <w:rPr>
          <w:rFonts w:ascii="Arial" w:hAnsi="Arial" w:cs="Arial"/>
        </w:rPr>
        <w:t xml:space="preserve"> konec septembra 2023. </w:t>
      </w:r>
    </w:p>
    <w:p w14:paraId="1C8F8A21" w14:textId="354A58B3" w:rsidR="007B0DFA" w:rsidRDefault="007B0DFA" w:rsidP="00DC0ACB">
      <w:pPr>
        <w:rPr>
          <w:rFonts w:ascii="Arial" w:hAnsi="Arial" w:cs="Arial"/>
        </w:rPr>
      </w:pPr>
    </w:p>
    <w:p w14:paraId="0039AAA4" w14:textId="77777777" w:rsidR="00DA12BA" w:rsidRPr="00B57B42" w:rsidRDefault="00DA12BA" w:rsidP="00DC0ACB">
      <w:pPr>
        <w:rPr>
          <w:rFonts w:ascii="Arial" w:hAnsi="Arial" w:cs="Arial"/>
        </w:rPr>
      </w:pPr>
    </w:p>
    <w:p w14:paraId="11D69456" w14:textId="7B05D075" w:rsidR="0003546E" w:rsidRPr="00B57B42" w:rsidRDefault="00B57B42" w:rsidP="00B57B42">
      <w:pPr>
        <w:pStyle w:val="Heading1"/>
        <w:rPr>
          <w:rFonts w:cs="Arial"/>
          <w:sz w:val="28"/>
          <w:szCs w:val="36"/>
        </w:rPr>
      </w:pPr>
      <w:bookmarkStart w:id="10" w:name="_Toc147494520"/>
      <w:r w:rsidRPr="00B57B42">
        <w:rPr>
          <w:rFonts w:cs="Arial"/>
          <w:sz w:val="28"/>
          <w:szCs w:val="36"/>
        </w:rPr>
        <w:lastRenderedPageBreak/>
        <w:t xml:space="preserve">2 </w:t>
      </w:r>
      <w:r w:rsidR="0080489B" w:rsidRPr="00B57B42">
        <w:rPr>
          <w:rFonts w:cs="Arial"/>
          <w:sz w:val="28"/>
          <w:szCs w:val="36"/>
        </w:rPr>
        <w:t>EKONOMSKI IZGLEDI IN PRIČAKOVANJA</w:t>
      </w:r>
      <w:bookmarkEnd w:id="6"/>
      <w:bookmarkEnd w:id="7"/>
      <w:bookmarkEnd w:id="10"/>
    </w:p>
    <w:p w14:paraId="291B0274" w14:textId="77777777" w:rsidR="00B57B42" w:rsidRPr="00B57B42" w:rsidRDefault="00B57B42" w:rsidP="00B57B42"/>
    <w:p w14:paraId="1913735A" w14:textId="42A137DE" w:rsidR="00912D45" w:rsidRPr="00F97F17" w:rsidRDefault="00F21317" w:rsidP="00912D45">
      <w:pPr>
        <w:autoSpaceDE w:val="0"/>
        <w:autoSpaceDN w:val="0"/>
        <w:adjustRightInd w:val="0"/>
        <w:jc w:val="both"/>
        <w:rPr>
          <w:rFonts w:ascii="Arial" w:hAnsi="Arial" w:cs="Arial"/>
          <w:color w:val="000000" w:themeColor="text1"/>
        </w:rPr>
      </w:pPr>
      <w:r w:rsidRPr="00F97F17">
        <w:rPr>
          <w:rFonts w:ascii="Arial" w:hAnsi="Arial" w:cs="Arial"/>
          <w:color w:val="000000" w:themeColor="text1"/>
        </w:rPr>
        <w:t>R</w:t>
      </w:r>
      <w:r w:rsidR="00912D45" w:rsidRPr="00F97F17">
        <w:rPr>
          <w:rFonts w:ascii="Arial" w:hAnsi="Arial" w:cs="Arial"/>
          <w:color w:val="000000" w:themeColor="text1"/>
        </w:rPr>
        <w:t>ast gospodarske aktivnosti v prve</w:t>
      </w:r>
      <w:r w:rsidRPr="00F97F17">
        <w:rPr>
          <w:rFonts w:ascii="Arial" w:hAnsi="Arial" w:cs="Arial"/>
          <w:color w:val="000000" w:themeColor="text1"/>
        </w:rPr>
        <w:t>m</w:t>
      </w:r>
      <w:r w:rsidR="00912D45" w:rsidRPr="00F97F17">
        <w:rPr>
          <w:rFonts w:ascii="Arial" w:hAnsi="Arial" w:cs="Arial"/>
          <w:color w:val="000000" w:themeColor="text1"/>
        </w:rPr>
        <w:t xml:space="preserve"> in drugem četrtletju leta 2022</w:t>
      </w:r>
      <w:r w:rsidRPr="00F97F17">
        <w:rPr>
          <w:rFonts w:ascii="Arial" w:hAnsi="Arial" w:cs="Arial"/>
          <w:color w:val="000000" w:themeColor="text1"/>
        </w:rPr>
        <w:t xml:space="preserve"> se je v evroobmočju</w:t>
      </w:r>
      <w:r w:rsidR="00912D45" w:rsidRPr="00F97F17">
        <w:rPr>
          <w:rFonts w:ascii="Arial" w:hAnsi="Arial" w:cs="Arial"/>
          <w:color w:val="000000" w:themeColor="text1"/>
        </w:rPr>
        <w:t xml:space="preserve"> </w:t>
      </w:r>
      <w:bookmarkStart w:id="11" w:name="_Hlk145592080"/>
      <w:r w:rsidR="00912D45" w:rsidRPr="00F97F17">
        <w:rPr>
          <w:rFonts w:ascii="Arial" w:hAnsi="Arial" w:cs="Arial"/>
          <w:color w:val="000000" w:themeColor="text1"/>
        </w:rPr>
        <w:t xml:space="preserve">medletno povečala za 1,1 % oz. 0,5 %. </w:t>
      </w:r>
      <w:bookmarkEnd w:id="11"/>
      <w:r w:rsidR="00912D45" w:rsidRPr="00F97F17">
        <w:rPr>
          <w:rFonts w:ascii="Arial" w:hAnsi="Arial" w:cs="Arial"/>
          <w:color w:val="000000" w:themeColor="text1"/>
        </w:rPr>
        <w:t>Umirjanje v prvi polovici leta je bilo predvsem povezano s šibkim povpraševanjem in zaostrovanjem pogojev financiranja.</w:t>
      </w:r>
      <w:r w:rsidR="00912D45" w:rsidRPr="00F97F17">
        <w:rPr>
          <w:rFonts w:ascii="Arial" w:eastAsia="Times New Roman" w:hAnsi="Arial" w:cs="Arial"/>
          <w:color w:val="000000" w:themeColor="text1"/>
          <w:lang w:eastAsia="sl-SI"/>
        </w:rPr>
        <w:t xml:space="preserve"> </w:t>
      </w:r>
      <w:r w:rsidR="00912D45" w:rsidRPr="00F97F17">
        <w:rPr>
          <w:rFonts w:ascii="Arial" w:hAnsi="Arial" w:cs="Arial"/>
          <w:color w:val="000000" w:themeColor="text1"/>
        </w:rPr>
        <w:t>Razpoložljivi kazalniki kažejo na možen upad aktivnosti evrskega območja v tretjem četrtletju, predvsem zaradi nadaljnjega krčenja aktivnosti v predelovalnih dejavnostih, avgusta pa je upadla tudi aktivnost v storitvenih dejavnostih.</w:t>
      </w:r>
      <w:r w:rsidR="00912D45" w:rsidRPr="00F97F17">
        <w:rPr>
          <w:rFonts w:ascii="Arial" w:eastAsia="Times New Roman" w:hAnsi="Arial" w:cs="Arial"/>
          <w:color w:val="000000" w:themeColor="text1"/>
          <w:lang w:eastAsia="sl-SI"/>
        </w:rPr>
        <w:t xml:space="preserve"> </w:t>
      </w:r>
      <w:r w:rsidR="00912D45" w:rsidRPr="00F97F17">
        <w:rPr>
          <w:rFonts w:ascii="Arial" w:hAnsi="Arial" w:cs="Arial"/>
          <w:color w:val="000000" w:themeColor="text1"/>
        </w:rPr>
        <w:t>Za evrsko območje UMAR na podlagi napovedi tujih institucij predpostavlja 0,7</w:t>
      </w:r>
      <w:r w:rsidRPr="00F97F17">
        <w:rPr>
          <w:rFonts w:ascii="Arial" w:hAnsi="Arial" w:cs="Arial"/>
          <w:color w:val="000000" w:themeColor="text1"/>
        </w:rPr>
        <w:t xml:space="preserve"> %</w:t>
      </w:r>
      <w:r w:rsidR="00912D45" w:rsidRPr="00F97F17">
        <w:rPr>
          <w:rFonts w:ascii="Arial" w:hAnsi="Arial" w:cs="Arial"/>
          <w:color w:val="000000" w:themeColor="text1"/>
        </w:rPr>
        <w:t xml:space="preserve"> gospodarsko rast v letu 2023, ki naj bi se v letih 2024 okrepila na 1,4 %</w:t>
      </w:r>
      <w:r w:rsidR="00F808B5">
        <w:rPr>
          <w:rFonts w:ascii="Arial" w:hAnsi="Arial" w:cs="Arial"/>
          <w:color w:val="000000" w:themeColor="text1"/>
        </w:rPr>
        <w:t>.</w:t>
      </w:r>
    </w:p>
    <w:p w14:paraId="1A3CFE24" w14:textId="016A2D0F" w:rsidR="00912D45" w:rsidRDefault="00F21317" w:rsidP="002C23DB">
      <w:pPr>
        <w:autoSpaceDE w:val="0"/>
        <w:autoSpaceDN w:val="0"/>
        <w:adjustRightInd w:val="0"/>
        <w:spacing w:after="0"/>
        <w:jc w:val="both"/>
        <w:rPr>
          <w:rFonts w:ascii="Arial" w:hAnsi="Arial" w:cs="Arial"/>
          <w:bCs/>
          <w:color w:val="000000" w:themeColor="text1"/>
        </w:rPr>
      </w:pPr>
      <w:r w:rsidRPr="00F97F17">
        <w:rPr>
          <w:rFonts w:ascii="Arial" w:hAnsi="Arial" w:cs="Arial"/>
          <w:color w:val="000000" w:themeColor="text1"/>
        </w:rPr>
        <w:t>V Sloveniji se je v</w:t>
      </w:r>
      <w:r w:rsidR="00912D45" w:rsidRPr="00F97F17">
        <w:rPr>
          <w:rFonts w:ascii="Arial" w:hAnsi="Arial" w:cs="Arial"/>
          <w:color w:val="000000" w:themeColor="text1"/>
        </w:rPr>
        <w:t xml:space="preserve"> letu 2022 gospodarska aktivnost povečala za 2,5 %, kar je </w:t>
      </w:r>
      <w:r w:rsidRPr="00F97F17">
        <w:rPr>
          <w:rFonts w:ascii="Arial" w:hAnsi="Arial" w:cs="Arial"/>
          <w:color w:val="000000" w:themeColor="text1"/>
        </w:rPr>
        <w:t xml:space="preserve">sicer </w:t>
      </w:r>
      <w:r w:rsidR="00912D45" w:rsidRPr="00F97F17">
        <w:rPr>
          <w:rFonts w:ascii="Arial" w:hAnsi="Arial" w:cs="Arial"/>
          <w:color w:val="000000" w:themeColor="text1"/>
        </w:rPr>
        <w:t>za 2,9 o. t. nižje od prve ocene</w:t>
      </w:r>
      <w:r w:rsidRPr="00F97F17">
        <w:rPr>
          <w:rFonts w:ascii="Arial" w:hAnsi="Arial" w:cs="Arial"/>
          <w:color w:val="000000" w:themeColor="text1"/>
        </w:rPr>
        <w:t xml:space="preserve"> gospodarske rasti spomladi</w:t>
      </w:r>
      <w:r w:rsidR="00912D45" w:rsidRPr="00F97F17">
        <w:rPr>
          <w:rFonts w:ascii="Arial" w:hAnsi="Arial" w:cs="Arial"/>
          <w:color w:val="000000" w:themeColor="text1"/>
        </w:rPr>
        <w:t xml:space="preserve"> </w:t>
      </w:r>
      <w:r w:rsidRPr="00F97F17">
        <w:rPr>
          <w:rFonts w:ascii="Arial" w:hAnsi="Arial" w:cs="Arial"/>
          <w:color w:val="000000" w:themeColor="text1"/>
        </w:rPr>
        <w:t>(</w:t>
      </w:r>
      <w:r w:rsidR="00912D45" w:rsidRPr="00F97F17">
        <w:rPr>
          <w:rFonts w:ascii="Arial" w:hAnsi="Arial" w:cs="Arial"/>
          <w:color w:val="000000" w:themeColor="text1"/>
        </w:rPr>
        <w:t>oziroma v tekočih cenah za 1.951 mio EUR manj</w:t>
      </w:r>
      <w:r w:rsidRPr="00F97F17">
        <w:rPr>
          <w:rFonts w:ascii="Arial" w:hAnsi="Arial" w:cs="Arial"/>
          <w:color w:val="000000" w:themeColor="text1"/>
        </w:rPr>
        <w:t>)</w:t>
      </w:r>
      <w:r w:rsidR="00912D45" w:rsidRPr="00F97F17">
        <w:rPr>
          <w:rFonts w:ascii="Arial" w:hAnsi="Arial" w:cs="Arial"/>
          <w:color w:val="000000" w:themeColor="text1"/>
        </w:rPr>
        <w:t xml:space="preserve">, s čimer se je spremenilo izhodišče za pripravo jesenske napovedi. V prvem polletju 2023 je rast znašala 1,1 %. V drugem polletju 2023 se pričakuje, da se bo gospodarska aktivnost umirila. UMAR v svoji Jesenski napovedi za leto 2023 predvideva 1,6 % rast BDP, kar je za 0,2 o. t. nižje kot v Pomladanski napovedi, vendar je zaradi spremenjenega izhodišča nova napoved za leto 2023 nominalno nižja kar za 1.753 mio EUR. </w:t>
      </w:r>
      <w:r w:rsidR="00912D45" w:rsidRPr="00F97F17">
        <w:rPr>
          <w:rFonts w:ascii="Arial" w:hAnsi="Arial" w:cs="Arial"/>
          <w:bCs/>
          <w:color w:val="000000" w:themeColor="text1"/>
        </w:rPr>
        <w:t xml:space="preserve">Ob umirjanju cenovnih in stroškovnih pritiskov ter okrepljeni rasti investicij UMAR </w:t>
      </w:r>
      <w:r w:rsidR="00F808B5">
        <w:rPr>
          <w:rFonts w:ascii="Arial" w:hAnsi="Arial" w:cs="Arial"/>
          <w:bCs/>
          <w:color w:val="000000" w:themeColor="text1"/>
        </w:rPr>
        <w:t>naslednje leto</w:t>
      </w:r>
      <w:r w:rsidR="00912D45" w:rsidRPr="00F97F17">
        <w:rPr>
          <w:rFonts w:ascii="Arial" w:hAnsi="Arial" w:cs="Arial"/>
          <w:bCs/>
          <w:color w:val="000000" w:themeColor="text1"/>
        </w:rPr>
        <w:t xml:space="preserve"> predvideva ponovno nekoliko višjo rast BDP in sicer 2,8 %.</w:t>
      </w:r>
    </w:p>
    <w:p w14:paraId="4D999F55" w14:textId="77777777" w:rsidR="002C23DB" w:rsidRPr="00F97F17" w:rsidRDefault="002C23DB" w:rsidP="002C23DB">
      <w:pPr>
        <w:autoSpaceDE w:val="0"/>
        <w:autoSpaceDN w:val="0"/>
        <w:adjustRightInd w:val="0"/>
        <w:spacing w:after="0"/>
        <w:jc w:val="both"/>
        <w:rPr>
          <w:rFonts w:ascii="Arial" w:hAnsi="Arial" w:cs="Arial"/>
          <w:color w:val="000000" w:themeColor="text1"/>
        </w:rPr>
      </w:pPr>
    </w:p>
    <w:p w14:paraId="30EE78A1" w14:textId="27E836F7" w:rsidR="00912D45" w:rsidRPr="00F97F17" w:rsidRDefault="00912D45" w:rsidP="00887B31">
      <w:pPr>
        <w:keepNext/>
        <w:keepLines/>
        <w:autoSpaceDE w:val="0"/>
        <w:autoSpaceDN w:val="0"/>
        <w:adjustRightInd w:val="0"/>
        <w:spacing w:after="120" w:line="240" w:lineRule="auto"/>
        <w:jc w:val="both"/>
        <w:rPr>
          <w:rFonts w:ascii="Arial" w:hAnsi="Arial" w:cs="Arial"/>
        </w:rPr>
      </w:pPr>
      <w:r w:rsidRPr="00F97F17">
        <w:rPr>
          <w:rFonts w:ascii="Arial" w:hAnsi="Arial" w:cs="Arial"/>
        </w:rPr>
        <w:t xml:space="preserve">Slika </w:t>
      </w:r>
      <w:r w:rsidR="002E7D2A" w:rsidRPr="00F97F17">
        <w:rPr>
          <w:rFonts w:ascii="Arial" w:hAnsi="Arial" w:cs="Arial"/>
        </w:rPr>
        <w:fldChar w:fldCharType="begin"/>
      </w:r>
      <w:r w:rsidR="002E7D2A" w:rsidRPr="00F97F17">
        <w:rPr>
          <w:rFonts w:ascii="Arial" w:hAnsi="Arial" w:cs="Arial"/>
        </w:rPr>
        <w:instrText xml:space="preserve"> SEQ Slika \* ARABIC </w:instrText>
      </w:r>
      <w:r w:rsidR="002E7D2A" w:rsidRPr="00F97F17">
        <w:rPr>
          <w:rFonts w:ascii="Arial" w:hAnsi="Arial" w:cs="Arial"/>
        </w:rPr>
        <w:fldChar w:fldCharType="separate"/>
      </w:r>
      <w:r w:rsidR="00E4660B">
        <w:rPr>
          <w:rFonts w:ascii="Arial" w:hAnsi="Arial" w:cs="Arial"/>
          <w:noProof/>
        </w:rPr>
        <w:t>1</w:t>
      </w:r>
      <w:r w:rsidR="002E7D2A" w:rsidRPr="00F97F17">
        <w:rPr>
          <w:rFonts w:ascii="Arial" w:hAnsi="Arial" w:cs="Arial"/>
        </w:rPr>
        <w:fldChar w:fldCharType="end"/>
      </w:r>
      <w:r w:rsidRPr="00F97F17">
        <w:rPr>
          <w:rFonts w:ascii="Arial" w:hAnsi="Arial" w:cs="Arial"/>
        </w:rPr>
        <w:t>: Rast bruto investicij, državne in zasebne potrošnje, evroobmočje in Slovenija glede na enako obdobje predhodnega leta, 2021Q3- 2023Q2</w:t>
      </w:r>
    </w:p>
    <w:p w14:paraId="47969241" w14:textId="6CB3F624" w:rsidR="00912D45" w:rsidRPr="00F97F17" w:rsidRDefault="00275BBE" w:rsidP="00912D45">
      <w:pPr>
        <w:keepNext/>
        <w:keepLines/>
        <w:spacing w:after="0"/>
        <w:rPr>
          <w:rFonts w:ascii="Arial" w:hAnsi="Arial" w:cs="Arial"/>
        </w:rPr>
      </w:pPr>
      <w:r w:rsidRPr="00F97F17">
        <w:rPr>
          <w:rFonts w:ascii="Arial" w:hAnsi="Arial" w:cs="Arial"/>
          <w:noProof/>
        </w:rPr>
        <w:drawing>
          <wp:inline distT="0" distB="0" distL="0" distR="0" wp14:anchorId="4EF6B8A4" wp14:editId="1D6D9512">
            <wp:extent cx="5181600" cy="2781300"/>
            <wp:effectExtent l="0" t="0" r="0" b="0"/>
            <wp:docPr id="8" name="Chart 8">
              <a:extLst xmlns:a="http://schemas.openxmlformats.org/drawingml/2006/main">
                <a:ext uri="{FF2B5EF4-FFF2-40B4-BE49-F238E27FC236}">
                  <a16:creationId xmlns:a16="http://schemas.microsoft.com/office/drawing/2014/main" id="{9517E58B-0160-4A2A-8C34-F497D20850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76759250" w14:textId="77777777" w:rsidR="00912D45" w:rsidRPr="00F97F17" w:rsidRDefault="00912D45" w:rsidP="00912D45">
      <w:pPr>
        <w:keepNext/>
        <w:keepLines/>
        <w:autoSpaceDE w:val="0"/>
        <w:autoSpaceDN w:val="0"/>
        <w:adjustRightInd w:val="0"/>
        <w:spacing w:after="0" w:line="240" w:lineRule="auto"/>
        <w:jc w:val="both"/>
        <w:rPr>
          <w:rFonts w:ascii="Arial" w:hAnsi="Arial" w:cs="Arial"/>
          <w:sz w:val="20"/>
          <w:szCs w:val="20"/>
        </w:rPr>
      </w:pPr>
      <w:r w:rsidRPr="00F97F17">
        <w:rPr>
          <w:rFonts w:ascii="Arial" w:hAnsi="Arial" w:cs="Arial"/>
          <w:sz w:val="20"/>
          <w:szCs w:val="20"/>
        </w:rPr>
        <w:t>Vir: Eurostat.</w:t>
      </w:r>
    </w:p>
    <w:p w14:paraId="177B0AF0" w14:textId="77777777" w:rsidR="00912D45" w:rsidRPr="00F97F17" w:rsidRDefault="00912D45" w:rsidP="00912D45">
      <w:pPr>
        <w:autoSpaceDE w:val="0"/>
        <w:autoSpaceDN w:val="0"/>
        <w:adjustRightInd w:val="0"/>
        <w:jc w:val="both"/>
        <w:rPr>
          <w:rFonts w:ascii="Arial" w:hAnsi="Arial" w:cs="Arial"/>
          <w:color w:val="FF0000"/>
        </w:rPr>
      </w:pPr>
    </w:p>
    <w:p w14:paraId="665F6709" w14:textId="006F7F76" w:rsidR="00912D45" w:rsidRPr="00F97F17" w:rsidRDefault="00912D45" w:rsidP="00912D45">
      <w:pPr>
        <w:autoSpaceDE w:val="0"/>
        <w:autoSpaceDN w:val="0"/>
        <w:adjustRightInd w:val="0"/>
        <w:jc w:val="both"/>
        <w:rPr>
          <w:rFonts w:ascii="Arial" w:hAnsi="Arial" w:cs="Arial"/>
          <w:color w:val="000000" w:themeColor="text1"/>
        </w:rPr>
      </w:pPr>
      <w:r w:rsidRPr="00F97F17">
        <w:rPr>
          <w:rFonts w:ascii="Arial" w:hAnsi="Arial" w:cs="Arial"/>
          <w:color w:val="000000" w:themeColor="text1"/>
        </w:rPr>
        <w:t>Zasebna potrošnja je bila po rasti v prvem četrtletju 2023, v drugem četrtletju  medletno nižja, na kar je vplivala tudi visoka lanska osnova ob zaključevanju unovčevanja turističnih bonov. Gospodinjstva so v prvi polovici leta glede na enako lansko obdobje več trošila za turistične storitve v tujini in nakupe avtomobilov, manj pa za hrano, neživila in prenočitve doma. UMAR v svoji napovedi predvideva, da bo zasebna potrošnja v drugi polovici leta zmerno naraščala, na kar bodo vplivale tudi nadomestitve poškodovanih proizvodov v avgustovskih poplavah ter bo dosegla 0,9 % rast v letu 2023. Ob okrepljeni realni rasti dohodkov UMAR predvideva, da bo zasebna potrošnja v let</w:t>
      </w:r>
      <w:r w:rsidR="00F808B5">
        <w:rPr>
          <w:rFonts w:ascii="Arial" w:hAnsi="Arial" w:cs="Arial"/>
          <w:color w:val="000000" w:themeColor="text1"/>
        </w:rPr>
        <w:t>u</w:t>
      </w:r>
      <w:r w:rsidRPr="00F97F17">
        <w:rPr>
          <w:rFonts w:ascii="Arial" w:hAnsi="Arial" w:cs="Arial"/>
          <w:color w:val="000000" w:themeColor="text1"/>
        </w:rPr>
        <w:t xml:space="preserve"> 2024 višja za 2,3 %. Nagnjenost k varčevanju se bo ohranjala na nekoliko višji ravni kot pred epidemijo.</w:t>
      </w:r>
    </w:p>
    <w:p w14:paraId="7500B9E7" w14:textId="5DDA118B" w:rsidR="00912D45" w:rsidRPr="00F97F17" w:rsidRDefault="00912D45" w:rsidP="00912D45">
      <w:pPr>
        <w:pStyle w:val="BesediloNAPOVED"/>
        <w:rPr>
          <w:sz w:val="22"/>
        </w:rPr>
      </w:pPr>
      <w:r w:rsidRPr="00F97F17">
        <w:rPr>
          <w:bCs/>
          <w:sz w:val="22"/>
        </w:rPr>
        <w:lastRenderedPageBreak/>
        <w:t xml:space="preserve">Državna potrošnja se je v prvem četrtletju 2023 znižala, predvsem zaradi </w:t>
      </w:r>
      <w:r w:rsidRPr="00F97F17">
        <w:rPr>
          <w:sz w:val="22"/>
        </w:rPr>
        <w:t xml:space="preserve">zmanjšanja izdatkov povezanih z epidemijo </w:t>
      </w:r>
      <w:r w:rsidR="008A59D4">
        <w:rPr>
          <w:sz w:val="22"/>
        </w:rPr>
        <w:t>COVID</w:t>
      </w:r>
      <w:r w:rsidRPr="00F97F17">
        <w:rPr>
          <w:sz w:val="22"/>
        </w:rPr>
        <w:t>-19, v drugem četrtletju pa se je znova okrepila. Za let</w:t>
      </w:r>
      <w:r w:rsidR="00642390">
        <w:rPr>
          <w:sz w:val="22"/>
        </w:rPr>
        <w:t>o</w:t>
      </w:r>
      <w:r w:rsidRPr="00F97F17">
        <w:rPr>
          <w:sz w:val="22"/>
        </w:rPr>
        <w:t xml:space="preserve"> 2023 se tako pričakuje 1,4 % rast, ki bo izhajala predvsem iz rasti zaposlenosti (1,0 %), krepitve izdatkov v zdravstvu in povečanja izdatkov za blago in storitve v povezavi z odpravo posledic poplav v drugi polovici leta. </w:t>
      </w:r>
      <w:r w:rsidR="00F808B5">
        <w:rPr>
          <w:sz w:val="22"/>
        </w:rPr>
        <w:t>Naslednje leto</w:t>
      </w:r>
      <w:r w:rsidRPr="00F97F17">
        <w:rPr>
          <w:sz w:val="22"/>
        </w:rPr>
        <w:t xml:space="preserve"> se pričakuje 1,9 % rast državne potrošnje.</w:t>
      </w:r>
    </w:p>
    <w:p w14:paraId="37E8D9DD" w14:textId="77777777" w:rsidR="00912D45" w:rsidRPr="00F97F17" w:rsidRDefault="00912D45" w:rsidP="00912D45">
      <w:pPr>
        <w:pStyle w:val="BesediloNAPOVED"/>
        <w:rPr>
          <w:sz w:val="22"/>
        </w:rPr>
      </w:pPr>
    </w:p>
    <w:p w14:paraId="7AFAD25E" w14:textId="3C4B2647" w:rsidR="00912D45" w:rsidRPr="00F97F17" w:rsidRDefault="00912D45" w:rsidP="0045119A">
      <w:pPr>
        <w:autoSpaceDE w:val="0"/>
        <w:autoSpaceDN w:val="0"/>
        <w:adjustRightInd w:val="0"/>
        <w:spacing w:line="276" w:lineRule="auto"/>
        <w:jc w:val="both"/>
        <w:rPr>
          <w:rFonts w:ascii="Arial" w:hAnsi="Arial" w:cs="Arial"/>
          <w:color w:val="000000" w:themeColor="text1"/>
        </w:rPr>
      </w:pPr>
      <w:r w:rsidRPr="00F97F17">
        <w:rPr>
          <w:rFonts w:ascii="Arial" w:hAnsi="Arial" w:cs="Arial"/>
        </w:rPr>
        <w:t xml:space="preserve">Investicije v osnovna sredstva so bile v prvi polovici leta višje za 10 %. V drugi polovici leta se pričakuje nadaljnjo rast investicij v zgradbe in objekte, ki pa se bo umirjala. Ob umirjanju aktivnosti v mednarodnem okolju in višjih obrestnih merah naj bi se investicije v opremo in stroje v drugi polovici leta znižale. Nasprotno pa bo odpravljanje posledic avgustovskih poplav na aktivnost v gradbeništvu vplivalo spodbudno. V letu 2023 UMAR napoveduje 4,5-odstotno rast bruto investicij v osnovna sredstva. Višja aktivnost v mednarodnem okolju bo vzpodbudno delovala na zasebni sektor in njihove investicije, kar se bo pokazalo v ponovni </w:t>
      </w:r>
      <w:r w:rsidRPr="00F97F17">
        <w:rPr>
          <w:rFonts w:ascii="Arial" w:hAnsi="Arial" w:cs="Arial"/>
          <w:color w:val="000000" w:themeColor="text1"/>
        </w:rPr>
        <w:t>rasti investicij.  V letu 2024 UMAR predvideva 5,5%  rast investicij.</w:t>
      </w:r>
    </w:p>
    <w:p w14:paraId="03654D40" w14:textId="3DAAF2E2" w:rsidR="00912D45" w:rsidRDefault="00912D45" w:rsidP="002C23DB">
      <w:pPr>
        <w:autoSpaceDE w:val="0"/>
        <w:autoSpaceDN w:val="0"/>
        <w:adjustRightInd w:val="0"/>
        <w:spacing w:after="0" w:line="276" w:lineRule="auto"/>
        <w:jc w:val="both"/>
        <w:rPr>
          <w:rFonts w:ascii="Arial" w:hAnsi="Arial" w:cs="Arial"/>
        </w:rPr>
      </w:pPr>
      <w:r w:rsidRPr="00F97F17">
        <w:rPr>
          <w:rFonts w:ascii="Arial" w:hAnsi="Arial" w:cs="Arial"/>
          <w:color w:val="000000" w:themeColor="text1"/>
        </w:rPr>
        <w:t xml:space="preserve">UMAR napoveduje, da bo dodana vrednost v večini dejavnosti v 2023 višja kot v letu 2022, razen v Finančnih in zavarovalniških dejavnosti (K), Kmetijstvu (A) in dejavnostih Trgovine, prometa in gostinstva (GHI). Največje povečanje dodane vrednosti v 2023 pa se pričakuje v </w:t>
      </w:r>
      <w:r w:rsidR="00642390">
        <w:rPr>
          <w:rFonts w:ascii="Arial" w:hAnsi="Arial" w:cs="Arial"/>
          <w:color w:val="000000" w:themeColor="text1"/>
        </w:rPr>
        <w:t>d</w:t>
      </w:r>
      <w:r w:rsidRPr="00F97F17">
        <w:rPr>
          <w:rFonts w:ascii="Arial" w:hAnsi="Arial" w:cs="Arial"/>
          <w:color w:val="000000" w:themeColor="text1"/>
        </w:rPr>
        <w:t xml:space="preserve">rugih storitvenih dejavnostih (RST) in </w:t>
      </w:r>
      <w:r w:rsidR="00642390">
        <w:rPr>
          <w:rFonts w:ascii="Arial" w:hAnsi="Arial" w:cs="Arial"/>
          <w:color w:val="000000" w:themeColor="text1"/>
        </w:rPr>
        <w:t>g</w:t>
      </w:r>
      <w:r w:rsidRPr="00F97F17">
        <w:rPr>
          <w:rFonts w:ascii="Arial" w:hAnsi="Arial" w:cs="Arial"/>
          <w:color w:val="000000" w:themeColor="text1"/>
        </w:rPr>
        <w:t xml:space="preserve">radbeništvu (F). Po podatkih o poslovnih tendencah v gradbeništvu se sicer kazalnik novih naročil znižuje, tudi podatki o gradbenih dovoljenjih nakazujejo na umirjanje aktivnosti. Nasprotno bo odpravljanje posledic avgustovskih poplav </w:t>
      </w:r>
      <w:r w:rsidRPr="00F97F17">
        <w:rPr>
          <w:rFonts w:ascii="Arial" w:hAnsi="Arial" w:cs="Arial"/>
        </w:rPr>
        <w:t xml:space="preserve">na aktivnost v gradbeništvu vplivalo spodbudno. Dodana vrednost v gradbeništvu bo ostala visoka tudi v </w:t>
      </w:r>
      <w:r w:rsidR="00F808B5">
        <w:rPr>
          <w:rFonts w:ascii="Arial" w:hAnsi="Arial" w:cs="Arial"/>
        </w:rPr>
        <w:t>letu</w:t>
      </w:r>
      <w:r w:rsidRPr="00F97F17">
        <w:rPr>
          <w:rFonts w:ascii="Arial" w:hAnsi="Arial" w:cs="Arial"/>
        </w:rPr>
        <w:t xml:space="preserve"> 2024. Visoko rast dodane vrednosti bodo beležile tudi dejavnosti </w:t>
      </w:r>
      <w:r w:rsidR="00CF672F">
        <w:rPr>
          <w:rFonts w:ascii="Arial" w:hAnsi="Arial" w:cs="Arial"/>
        </w:rPr>
        <w:t>i</w:t>
      </w:r>
      <w:r w:rsidRPr="00F97F17">
        <w:rPr>
          <w:rFonts w:ascii="Arial" w:hAnsi="Arial" w:cs="Arial"/>
        </w:rPr>
        <w:t xml:space="preserve">nformacijske in komunikacijske tehnologije (IKT). </w:t>
      </w:r>
    </w:p>
    <w:p w14:paraId="53507A54" w14:textId="77777777" w:rsidR="002C23DB" w:rsidRPr="00F97F17" w:rsidRDefault="002C23DB" w:rsidP="002C23DB">
      <w:pPr>
        <w:autoSpaceDE w:val="0"/>
        <w:autoSpaceDN w:val="0"/>
        <w:adjustRightInd w:val="0"/>
        <w:spacing w:after="0" w:line="276" w:lineRule="auto"/>
        <w:jc w:val="both"/>
        <w:rPr>
          <w:rFonts w:ascii="Arial" w:hAnsi="Arial" w:cs="Arial"/>
          <w:color w:val="FF0000"/>
        </w:rPr>
      </w:pPr>
    </w:p>
    <w:p w14:paraId="60512F58" w14:textId="54FE9AD1" w:rsidR="00912D45" w:rsidRPr="00F97F17" w:rsidRDefault="00912D45" w:rsidP="00887B31">
      <w:pPr>
        <w:keepNext/>
        <w:keepLines/>
        <w:spacing w:after="120"/>
        <w:jc w:val="both"/>
        <w:rPr>
          <w:rFonts w:ascii="Arial" w:hAnsi="Arial" w:cs="Arial"/>
        </w:rPr>
      </w:pPr>
      <w:r w:rsidRPr="00F97F17">
        <w:rPr>
          <w:rFonts w:ascii="Arial" w:hAnsi="Arial" w:cs="Arial"/>
        </w:rPr>
        <w:t xml:space="preserve">Slika </w:t>
      </w:r>
      <w:r w:rsidR="002E7D2A" w:rsidRPr="00F97F17">
        <w:rPr>
          <w:rFonts w:ascii="Arial" w:hAnsi="Arial" w:cs="Arial"/>
        </w:rPr>
        <w:fldChar w:fldCharType="begin"/>
      </w:r>
      <w:r w:rsidR="002E7D2A" w:rsidRPr="00F97F17">
        <w:rPr>
          <w:rFonts w:ascii="Arial" w:hAnsi="Arial" w:cs="Arial"/>
        </w:rPr>
        <w:instrText xml:space="preserve"> SEQ Slika \* ARABIC </w:instrText>
      </w:r>
      <w:r w:rsidR="002E7D2A" w:rsidRPr="00F97F17">
        <w:rPr>
          <w:rFonts w:ascii="Arial" w:hAnsi="Arial" w:cs="Arial"/>
        </w:rPr>
        <w:fldChar w:fldCharType="separate"/>
      </w:r>
      <w:r w:rsidR="00E4660B">
        <w:rPr>
          <w:rFonts w:ascii="Arial" w:hAnsi="Arial" w:cs="Arial"/>
          <w:noProof/>
        </w:rPr>
        <w:t>2</w:t>
      </w:r>
      <w:r w:rsidR="002E7D2A" w:rsidRPr="00F97F17">
        <w:rPr>
          <w:rFonts w:ascii="Arial" w:hAnsi="Arial" w:cs="Arial"/>
        </w:rPr>
        <w:fldChar w:fldCharType="end"/>
      </w:r>
      <w:r w:rsidRPr="00F97F17">
        <w:rPr>
          <w:rFonts w:ascii="Arial" w:hAnsi="Arial" w:cs="Arial"/>
        </w:rPr>
        <w:t>: Napoved rasti dodane vrednosti po dejavnostih (realne stopnje rasti v %)</w:t>
      </w:r>
    </w:p>
    <w:p w14:paraId="25922B6C" w14:textId="60E34B42" w:rsidR="00912D45" w:rsidRPr="00F97F17" w:rsidRDefault="00912D45" w:rsidP="006870C8">
      <w:pPr>
        <w:spacing w:after="0"/>
        <w:rPr>
          <w:rFonts w:ascii="Arial" w:hAnsi="Arial" w:cs="Arial"/>
        </w:rPr>
      </w:pPr>
      <w:r w:rsidRPr="00F97F17">
        <w:rPr>
          <w:rFonts w:ascii="Arial" w:hAnsi="Arial" w:cs="Arial"/>
          <w:noProof/>
        </w:rPr>
        <w:drawing>
          <wp:inline distT="0" distB="0" distL="0" distR="0" wp14:anchorId="5AE9F875" wp14:editId="66A9C068">
            <wp:extent cx="5772150" cy="2790825"/>
            <wp:effectExtent l="0" t="0" r="0" b="0"/>
            <wp:docPr id="24" name="Chart 24">
              <a:extLst xmlns:a="http://schemas.openxmlformats.org/drawingml/2006/main">
                <a:ext uri="{FF2B5EF4-FFF2-40B4-BE49-F238E27FC236}">
                  <a16:creationId xmlns:a16="http://schemas.microsoft.com/office/drawing/2014/main" id="{3A830D9F-BC35-4FBF-B6C2-5B3A72E24E3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739889A6" w14:textId="77777777" w:rsidR="00912D45" w:rsidRPr="00F97F17" w:rsidRDefault="00912D45" w:rsidP="00912D45">
      <w:pPr>
        <w:keepNext/>
        <w:keepLines/>
        <w:jc w:val="both"/>
        <w:rPr>
          <w:rFonts w:ascii="Arial" w:hAnsi="Arial" w:cs="Arial"/>
          <w:sz w:val="20"/>
          <w:szCs w:val="20"/>
        </w:rPr>
      </w:pPr>
      <w:r w:rsidRPr="00F97F17">
        <w:rPr>
          <w:rFonts w:ascii="Arial" w:hAnsi="Arial" w:cs="Arial"/>
          <w:sz w:val="20"/>
          <w:szCs w:val="20"/>
        </w:rPr>
        <w:t>Vir: Jesenska napoved gospodarskih gibanj UMAR, 2023.</w:t>
      </w:r>
    </w:p>
    <w:p w14:paraId="21A951DC" w14:textId="77777777" w:rsidR="00887B31" w:rsidRDefault="00887B31" w:rsidP="0045119A">
      <w:pPr>
        <w:pStyle w:val="BesediloNAPOVED"/>
        <w:spacing w:line="259" w:lineRule="auto"/>
        <w:rPr>
          <w:sz w:val="22"/>
        </w:rPr>
      </w:pPr>
    </w:p>
    <w:p w14:paraId="2E479B2F" w14:textId="5CD7671C" w:rsidR="00912D45" w:rsidRDefault="00912D45" w:rsidP="0045119A">
      <w:pPr>
        <w:pStyle w:val="BesediloNAPOVED"/>
        <w:spacing w:line="259" w:lineRule="auto"/>
        <w:rPr>
          <w:sz w:val="22"/>
        </w:rPr>
      </w:pPr>
      <w:r w:rsidRPr="00F97F17">
        <w:rPr>
          <w:sz w:val="22"/>
        </w:rPr>
        <w:t xml:space="preserve">Rast zaposlenosti se postopoma umirja, predvsem zaradi umirjanja gospodarske rasti ob še vedno visokem pomanjkanju razpoložljive delovne sile. V drugi polovici letošnjega leta se pričakuje nadaljnje umirjanje zaposlovanja, na kar kaže tudi kratkoročni kazalnik pričakovanj o zaposlovanju. V povprečju leta se bo zaposlenost povečala za 1,2 %. V </w:t>
      </w:r>
      <w:r w:rsidR="00EE628E">
        <w:rPr>
          <w:sz w:val="22"/>
        </w:rPr>
        <w:t>letu 2024</w:t>
      </w:r>
      <w:r w:rsidRPr="00F97F17">
        <w:rPr>
          <w:sz w:val="22"/>
        </w:rPr>
        <w:t xml:space="preserve"> se zaposlenost, kljub predvideni višji gospodarski rasti, ne bo bistveno povečala zaradi visoke </w:t>
      </w:r>
      <w:r w:rsidRPr="00F97F17">
        <w:rPr>
          <w:sz w:val="22"/>
        </w:rPr>
        <w:lastRenderedPageBreak/>
        <w:t xml:space="preserve">ravni in omejitev na strani ponudbe delovne sile. </w:t>
      </w:r>
      <w:r w:rsidR="009F1410" w:rsidRPr="0084232E">
        <w:rPr>
          <w:sz w:val="22"/>
        </w:rPr>
        <w:t>Demografska gibanja bodo postajala vedno večji omejitveni dejavnik rasti dodane vrednosti</w:t>
      </w:r>
      <w:r w:rsidR="009F1410" w:rsidRPr="00187D6C">
        <w:rPr>
          <w:sz w:val="22"/>
        </w:rPr>
        <w:t>, sicer pa se število prebivalcev, starih 20−64 let, že od leta 2012 zmanjšuje</w:t>
      </w:r>
      <w:r w:rsidR="009F1410">
        <w:rPr>
          <w:sz w:val="22"/>
        </w:rPr>
        <w:t>.</w:t>
      </w:r>
    </w:p>
    <w:p w14:paraId="4E9B94C2" w14:textId="77777777" w:rsidR="009F1410" w:rsidRPr="00F97F17" w:rsidRDefault="009F1410" w:rsidP="0045119A">
      <w:pPr>
        <w:pStyle w:val="BesediloNAPOVED"/>
        <w:spacing w:line="259" w:lineRule="auto"/>
        <w:rPr>
          <w:sz w:val="22"/>
        </w:rPr>
      </w:pPr>
    </w:p>
    <w:p w14:paraId="0C1929A7" w14:textId="4F2FDD20" w:rsidR="00912D45" w:rsidRPr="00F97F17" w:rsidRDefault="00912D45" w:rsidP="0045119A">
      <w:pPr>
        <w:pStyle w:val="BesediloNAPOVED"/>
        <w:spacing w:line="259" w:lineRule="auto"/>
        <w:rPr>
          <w:sz w:val="22"/>
        </w:rPr>
      </w:pPr>
      <w:r w:rsidRPr="00F97F17">
        <w:rPr>
          <w:sz w:val="22"/>
        </w:rPr>
        <w:t>Letos se nadaljuje tudi upadanje števila registriranih brezposelnih, a počasneje kot lani. Konec avgusta je bilo 47.383 brezposelnih, kar je za 12,1 % manj kot pred letom in za dobro tretjino manj kot pred epidemijo (avgusta 2019).</w:t>
      </w:r>
    </w:p>
    <w:p w14:paraId="7A42E9AA" w14:textId="77777777" w:rsidR="00065BDF" w:rsidRPr="00F97F17" w:rsidRDefault="00065BDF" w:rsidP="00912D45">
      <w:pPr>
        <w:pStyle w:val="BesediloNAPOVED"/>
        <w:rPr>
          <w:sz w:val="22"/>
        </w:rPr>
      </w:pPr>
    </w:p>
    <w:p w14:paraId="3C5F9B66" w14:textId="22A3D68D" w:rsidR="00912D45" w:rsidRPr="00F97F17" w:rsidRDefault="00912D45" w:rsidP="00887B31">
      <w:pPr>
        <w:keepNext/>
        <w:keepLines/>
        <w:autoSpaceDE w:val="0"/>
        <w:autoSpaceDN w:val="0"/>
        <w:adjustRightInd w:val="0"/>
        <w:spacing w:after="120" w:line="240" w:lineRule="auto"/>
        <w:jc w:val="both"/>
        <w:rPr>
          <w:rFonts w:ascii="Arial" w:hAnsi="Arial" w:cs="Arial"/>
        </w:rPr>
      </w:pPr>
      <w:r w:rsidRPr="00F97F17">
        <w:rPr>
          <w:rFonts w:ascii="Arial" w:hAnsi="Arial" w:cs="Arial"/>
        </w:rPr>
        <w:t xml:space="preserve">Slika </w:t>
      </w:r>
      <w:r w:rsidR="002E7D2A" w:rsidRPr="00F97F17">
        <w:rPr>
          <w:rFonts w:ascii="Arial" w:hAnsi="Arial" w:cs="Arial"/>
        </w:rPr>
        <w:fldChar w:fldCharType="begin"/>
      </w:r>
      <w:r w:rsidR="002E7D2A" w:rsidRPr="00F97F17">
        <w:rPr>
          <w:rFonts w:ascii="Arial" w:hAnsi="Arial" w:cs="Arial"/>
        </w:rPr>
        <w:instrText xml:space="preserve"> SEQ Slika \* ARABIC </w:instrText>
      </w:r>
      <w:r w:rsidR="002E7D2A" w:rsidRPr="00F97F17">
        <w:rPr>
          <w:rFonts w:ascii="Arial" w:hAnsi="Arial" w:cs="Arial"/>
        </w:rPr>
        <w:fldChar w:fldCharType="separate"/>
      </w:r>
      <w:r w:rsidR="00E4660B">
        <w:rPr>
          <w:rFonts w:ascii="Arial" w:hAnsi="Arial" w:cs="Arial"/>
          <w:noProof/>
        </w:rPr>
        <w:t>3</w:t>
      </w:r>
      <w:r w:rsidR="002E7D2A" w:rsidRPr="00F97F17">
        <w:rPr>
          <w:rFonts w:ascii="Arial" w:hAnsi="Arial" w:cs="Arial"/>
        </w:rPr>
        <w:fldChar w:fldCharType="end"/>
      </w:r>
      <w:r w:rsidRPr="00F97F17">
        <w:rPr>
          <w:rFonts w:ascii="Arial" w:hAnsi="Arial" w:cs="Arial"/>
        </w:rPr>
        <w:t>: Dinamika števila brezposelnih oseb v tisoč (levo) in stopnja brezposelnosti po  anketi o delovni sili (ADS) v % aktivnih, četrtletno (desno)</w:t>
      </w:r>
    </w:p>
    <w:p w14:paraId="3AD96695" w14:textId="34709F0D" w:rsidR="00912D45" w:rsidRPr="00F97F17" w:rsidRDefault="00912D45" w:rsidP="006870C8">
      <w:pPr>
        <w:spacing w:after="0"/>
        <w:rPr>
          <w:rFonts w:ascii="Arial" w:hAnsi="Arial" w:cs="Arial"/>
          <w:noProof/>
        </w:rPr>
      </w:pPr>
      <w:r w:rsidRPr="00F97F17">
        <w:rPr>
          <w:rFonts w:ascii="Arial" w:hAnsi="Arial" w:cs="Arial"/>
          <w:noProof/>
        </w:rPr>
        <w:drawing>
          <wp:inline distT="0" distB="0" distL="0" distR="0" wp14:anchorId="5CED85BB" wp14:editId="6F8F46D6">
            <wp:extent cx="2520000" cy="2700000"/>
            <wp:effectExtent l="0" t="0" r="0" b="5715"/>
            <wp:docPr id="19" name="Chart 19">
              <a:extLst xmlns:a="http://schemas.openxmlformats.org/drawingml/2006/main">
                <a:ext uri="{FF2B5EF4-FFF2-40B4-BE49-F238E27FC236}">
                  <a16:creationId xmlns:a16="http://schemas.microsoft.com/office/drawing/2014/main" id="{70480028-D095-4C7C-B100-25AF1298F8F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r w:rsidRPr="00F97F17">
        <w:rPr>
          <w:rFonts w:ascii="Arial" w:hAnsi="Arial" w:cs="Arial"/>
          <w:noProof/>
        </w:rPr>
        <w:t xml:space="preserve"> </w:t>
      </w:r>
      <w:r w:rsidR="009142E6">
        <w:rPr>
          <w:noProof/>
        </w:rPr>
        <w:drawing>
          <wp:inline distT="0" distB="0" distL="0" distR="0" wp14:anchorId="5F9292A2" wp14:editId="4D050ACE">
            <wp:extent cx="2520000" cy="2700000"/>
            <wp:effectExtent l="0" t="0" r="0" b="5715"/>
            <wp:docPr id="11" name="Chart 11">
              <a:extLst xmlns:a="http://schemas.openxmlformats.org/drawingml/2006/main">
                <a:ext uri="{FF2B5EF4-FFF2-40B4-BE49-F238E27FC236}">
                  <a16:creationId xmlns:a16="http://schemas.microsoft.com/office/drawing/2014/main" id="{6F51F8EB-73F5-4C90-AFAB-7ED90F5B1C2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41412364" w14:textId="77777777" w:rsidR="00912D45" w:rsidRPr="00F97F17" w:rsidRDefault="00912D45" w:rsidP="00912D45">
      <w:pPr>
        <w:keepNext/>
        <w:keepLines/>
        <w:jc w:val="both"/>
        <w:rPr>
          <w:rFonts w:ascii="Arial" w:hAnsi="Arial" w:cs="Arial"/>
          <w:sz w:val="20"/>
          <w:szCs w:val="20"/>
        </w:rPr>
      </w:pPr>
      <w:r w:rsidRPr="00F97F17">
        <w:rPr>
          <w:rFonts w:ascii="Arial" w:hAnsi="Arial" w:cs="Arial"/>
          <w:sz w:val="20"/>
          <w:szCs w:val="20"/>
        </w:rPr>
        <w:t>Vir: Jesenska napoved gospodarskih gibanj UMAR, 2023.</w:t>
      </w:r>
    </w:p>
    <w:p w14:paraId="67DBAA82" w14:textId="77777777" w:rsidR="00887B31" w:rsidRDefault="00887B31" w:rsidP="0045119A">
      <w:pPr>
        <w:pStyle w:val="BesediloNAPOVED"/>
        <w:spacing w:line="259" w:lineRule="auto"/>
        <w:rPr>
          <w:sz w:val="22"/>
        </w:rPr>
      </w:pPr>
    </w:p>
    <w:p w14:paraId="11D1E9F6" w14:textId="5CA40557" w:rsidR="00912D45" w:rsidRPr="00F97F17" w:rsidRDefault="00912D45" w:rsidP="0045119A">
      <w:pPr>
        <w:pStyle w:val="BesediloNAPOVED"/>
        <w:spacing w:line="259" w:lineRule="auto"/>
        <w:rPr>
          <w:sz w:val="22"/>
        </w:rPr>
      </w:pPr>
      <w:r w:rsidRPr="00F97F17">
        <w:rPr>
          <w:sz w:val="22"/>
        </w:rPr>
        <w:t>Rast povprečne plače se je začela krepiti v drugi polovici lanskega leta in se nadaljuje tudi v letu 2023. Na krepitev v zasebnem sektorju vplivajo naraščajoči pritiski s trga dela zaradi pomanjkanja delovne sile, dvig minimalne plače in težnje zaposlenih po ohranjanju rasti dohodka v okolju visoke inflacije. V javnem sektorju na krepitev rasti povprečne plače vpliva tudi lanski oktobrski dogovor s sindikati javnega sektorja. Nominalna rast povprečne bruto plače bo letos 8,6-odstotna, a bo zaradi še vedno povišane inflacije realno znašala 1,0 %.</w:t>
      </w:r>
      <w:r w:rsidRPr="00F97F17">
        <w:rPr>
          <w:b/>
          <w:bCs/>
          <w:sz w:val="22"/>
        </w:rPr>
        <w:t xml:space="preserve"> </w:t>
      </w:r>
      <w:r w:rsidR="00EE628E">
        <w:rPr>
          <w:sz w:val="22"/>
        </w:rPr>
        <w:t xml:space="preserve">V letu 2024 </w:t>
      </w:r>
      <w:r w:rsidRPr="00F97F17">
        <w:rPr>
          <w:sz w:val="22"/>
        </w:rPr>
        <w:t>se bo ob nižjih cenovnih pritiskih nominalna rast plač nekoliko umirila, a bo ostala razmeroma visoka zaradi pritiskov s trga dela.</w:t>
      </w:r>
    </w:p>
    <w:p w14:paraId="10CBA302" w14:textId="77777777" w:rsidR="00F21317" w:rsidRPr="00F97F17" w:rsidRDefault="00F21317" w:rsidP="0045119A">
      <w:pPr>
        <w:pStyle w:val="BesediloNAPOVED"/>
        <w:spacing w:line="259" w:lineRule="auto"/>
        <w:rPr>
          <w:b/>
          <w:bCs/>
          <w:sz w:val="22"/>
        </w:rPr>
      </w:pPr>
    </w:p>
    <w:p w14:paraId="0951C444" w14:textId="6D46B100" w:rsidR="007C174D" w:rsidRDefault="007C174D" w:rsidP="0045119A">
      <w:pPr>
        <w:spacing w:after="0"/>
        <w:jc w:val="both"/>
        <w:rPr>
          <w:rFonts w:ascii="Arial" w:hAnsi="Arial" w:cs="Arial"/>
        </w:rPr>
      </w:pPr>
      <w:r w:rsidRPr="00F97F17">
        <w:rPr>
          <w:rFonts w:ascii="Arial" w:hAnsi="Arial" w:cs="Arial"/>
        </w:rPr>
        <w:t>Kot navaja tudi Banka Slovenije je finančni položaj nefinančnih družb v letu 2022 ostal dober, kljub povečanju njihovega dolga za 5,5 %. Slovenski sektor nefinančnih družb se po razmerju med dolgom in BDP namreč še vedno uvršča med najmanj zadolžene v evroobmočju, ob robustni rasti bruto poslovnega presežka v letu 2022 (za 21,2 %) pa se je tudi razmerje med dolgom in bruto poslovnim presežkom zmanjšalo iz 235 % v 2021 na 245 % v 2022 (Banka Slovenije, Poročilo o finančni stabilnosti, maj 2023)</w:t>
      </w:r>
      <w:r w:rsidRPr="00F97F17">
        <w:rPr>
          <w:rStyle w:val="FootnoteReference"/>
          <w:rFonts w:ascii="Arial" w:hAnsi="Arial" w:cs="Arial"/>
        </w:rPr>
        <w:t xml:space="preserve"> </w:t>
      </w:r>
      <w:r w:rsidRPr="00F97F17">
        <w:rPr>
          <w:rStyle w:val="FootnoteReference"/>
          <w:rFonts w:ascii="Arial" w:hAnsi="Arial" w:cs="Arial"/>
        </w:rPr>
        <w:footnoteReference w:id="4"/>
      </w:r>
      <w:r w:rsidRPr="00F97F17">
        <w:rPr>
          <w:rFonts w:ascii="Arial" w:hAnsi="Arial" w:cs="Arial"/>
        </w:rPr>
        <w:t>.</w:t>
      </w:r>
    </w:p>
    <w:p w14:paraId="4C0139B8" w14:textId="77777777" w:rsidR="0045119A" w:rsidRPr="00F97F17" w:rsidRDefault="0045119A" w:rsidP="0045119A">
      <w:pPr>
        <w:spacing w:after="0"/>
        <w:jc w:val="both"/>
        <w:rPr>
          <w:rFonts w:ascii="Arial" w:hAnsi="Arial" w:cs="Arial"/>
        </w:rPr>
      </w:pPr>
    </w:p>
    <w:p w14:paraId="6648662B" w14:textId="27481B58" w:rsidR="004B4010" w:rsidRDefault="007C174D" w:rsidP="006C1409">
      <w:pPr>
        <w:spacing w:after="0"/>
        <w:jc w:val="both"/>
        <w:rPr>
          <w:rFonts w:ascii="Arial" w:hAnsi="Arial" w:cs="Arial"/>
        </w:rPr>
      </w:pPr>
      <w:r w:rsidRPr="00F97F17">
        <w:rPr>
          <w:rFonts w:ascii="Arial" w:hAnsi="Arial" w:cs="Arial"/>
        </w:rPr>
        <w:t>Finančni položaj gospodinjstev je v letu 2022 kljub poslabšanju ostal stabilen</w:t>
      </w:r>
      <w:r w:rsidR="004B4010">
        <w:rPr>
          <w:rFonts w:ascii="Arial" w:hAnsi="Arial" w:cs="Arial"/>
        </w:rPr>
        <w:t xml:space="preserve"> (Slika 4)</w:t>
      </w:r>
      <w:r w:rsidRPr="00F97F17">
        <w:rPr>
          <w:rFonts w:ascii="Arial" w:hAnsi="Arial" w:cs="Arial"/>
        </w:rPr>
        <w:t xml:space="preserve">. Z ozirom na visoko inflacijo v letu 2022 je sicer nominalni povprečni ekvivalentni dohodek na člana gospodinjstva nadaljeval z robustno rastjo, realno gledano pa se je obdržal na približno enaki ravni kot leto prej. </w:t>
      </w:r>
      <w:r w:rsidRPr="0006060B">
        <w:rPr>
          <w:rFonts w:ascii="Arial" w:hAnsi="Arial" w:cs="Arial"/>
        </w:rPr>
        <w:t xml:space="preserve">Poleg tega so gospodinjstva v letu 2022 namenila velik del </w:t>
      </w:r>
      <w:r w:rsidRPr="0006060B">
        <w:rPr>
          <w:rFonts w:ascii="Arial" w:hAnsi="Arial" w:cs="Arial"/>
        </w:rPr>
        <w:lastRenderedPageBreak/>
        <w:t xml:space="preserve">razpoložljivega dohodka končni potrošnji, zaradi česar </w:t>
      </w:r>
      <w:r w:rsidR="002C23DB" w:rsidRPr="0006060B">
        <w:rPr>
          <w:rFonts w:ascii="Arial" w:hAnsi="Arial" w:cs="Arial"/>
        </w:rPr>
        <w:t xml:space="preserve">se </w:t>
      </w:r>
      <w:r w:rsidRPr="0006060B">
        <w:rPr>
          <w:rFonts w:ascii="Arial" w:hAnsi="Arial" w:cs="Arial"/>
        </w:rPr>
        <w:t xml:space="preserve">je stopnja bruto varčevanja </w:t>
      </w:r>
      <w:r w:rsidR="002C23DB" w:rsidRPr="0006060B">
        <w:rPr>
          <w:rFonts w:ascii="Arial" w:hAnsi="Arial" w:cs="Arial"/>
        </w:rPr>
        <w:t>približala ravni iz leta 2012</w:t>
      </w:r>
      <w:r w:rsidRPr="0006060B">
        <w:rPr>
          <w:rFonts w:ascii="Arial" w:hAnsi="Arial" w:cs="Arial"/>
        </w:rPr>
        <w:t>.</w:t>
      </w:r>
    </w:p>
    <w:p w14:paraId="144DB705" w14:textId="77777777" w:rsidR="006C1409" w:rsidRPr="00F97F17" w:rsidRDefault="006C1409" w:rsidP="006C1409">
      <w:pPr>
        <w:spacing w:after="0"/>
        <w:jc w:val="both"/>
        <w:rPr>
          <w:rFonts w:ascii="Arial" w:hAnsi="Arial" w:cs="Arial"/>
        </w:rPr>
      </w:pPr>
    </w:p>
    <w:p w14:paraId="7C8D61B3" w14:textId="6BA32F07" w:rsidR="002E7D2A" w:rsidRPr="00F97F17" w:rsidRDefault="002E7D2A" w:rsidP="00887B31">
      <w:pPr>
        <w:spacing w:after="120"/>
        <w:jc w:val="both"/>
        <w:rPr>
          <w:rFonts w:ascii="Arial" w:hAnsi="Arial" w:cs="Arial"/>
        </w:rPr>
      </w:pPr>
      <w:r w:rsidRPr="00F97F17">
        <w:rPr>
          <w:rFonts w:ascii="Arial" w:hAnsi="Arial" w:cs="Arial"/>
        </w:rPr>
        <w:t xml:space="preserve">Slika </w:t>
      </w:r>
      <w:r w:rsidRPr="00F97F17">
        <w:rPr>
          <w:rFonts w:ascii="Arial" w:hAnsi="Arial" w:cs="Arial"/>
        </w:rPr>
        <w:fldChar w:fldCharType="begin"/>
      </w:r>
      <w:r w:rsidRPr="00F97F17">
        <w:rPr>
          <w:rFonts w:ascii="Arial" w:hAnsi="Arial" w:cs="Arial"/>
        </w:rPr>
        <w:instrText xml:space="preserve"> SEQ Slika \* ARABIC </w:instrText>
      </w:r>
      <w:r w:rsidRPr="00F97F17">
        <w:rPr>
          <w:rFonts w:ascii="Arial" w:hAnsi="Arial" w:cs="Arial"/>
        </w:rPr>
        <w:fldChar w:fldCharType="separate"/>
      </w:r>
      <w:r w:rsidR="00E4660B">
        <w:rPr>
          <w:rFonts w:ascii="Arial" w:hAnsi="Arial" w:cs="Arial"/>
          <w:noProof/>
        </w:rPr>
        <w:t>4</w:t>
      </w:r>
      <w:r w:rsidRPr="00F97F17">
        <w:rPr>
          <w:rFonts w:ascii="Arial" w:hAnsi="Arial" w:cs="Arial"/>
        </w:rPr>
        <w:fldChar w:fldCharType="end"/>
      </w:r>
      <w:r w:rsidRPr="00F97F17">
        <w:rPr>
          <w:rFonts w:ascii="Arial" w:hAnsi="Arial" w:cs="Arial"/>
        </w:rPr>
        <w:t>: Nominalni in realni povprečni ekvivalentni dohodek na člana gospodinjstva</w:t>
      </w:r>
      <w:r w:rsidR="00C52B8B" w:rsidRPr="00F97F17">
        <w:rPr>
          <w:rStyle w:val="FootnoteReference"/>
          <w:rFonts w:ascii="Arial" w:hAnsi="Arial" w:cs="Arial"/>
        </w:rPr>
        <w:footnoteReference w:id="5"/>
      </w:r>
      <w:r w:rsidRPr="00F97F17">
        <w:rPr>
          <w:rFonts w:ascii="Arial" w:hAnsi="Arial" w:cs="Arial"/>
        </w:rPr>
        <w:t xml:space="preserve"> (levo) in povprečna letna stopnja bruto varčevanja gospodinjstev</w:t>
      </w:r>
      <w:r w:rsidR="00C52B8B" w:rsidRPr="00F97F17">
        <w:rPr>
          <w:rStyle w:val="FootnoteReference"/>
          <w:rFonts w:ascii="Arial" w:hAnsi="Arial" w:cs="Arial"/>
        </w:rPr>
        <w:footnoteReference w:id="6"/>
      </w:r>
      <w:r w:rsidRPr="00F97F17">
        <w:rPr>
          <w:rFonts w:ascii="Arial" w:hAnsi="Arial" w:cs="Arial"/>
        </w:rPr>
        <w:t xml:space="preserve"> (desno)</w:t>
      </w:r>
    </w:p>
    <w:p w14:paraId="31F84160" w14:textId="77777777" w:rsidR="007C174D" w:rsidRPr="00F97F17" w:rsidRDefault="007C174D" w:rsidP="007C174D">
      <w:pPr>
        <w:spacing w:after="0"/>
        <w:rPr>
          <w:rFonts w:ascii="Arial" w:hAnsi="Arial" w:cs="Arial"/>
          <w:lang w:val="en-US"/>
        </w:rPr>
      </w:pPr>
      <w:r w:rsidRPr="00F97F17">
        <w:rPr>
          <w:rFonts w:ascii="Arial" w:hAnsi="Arial" w:cs="Arial"/>
          <w:noProof/>
        </w:rPr>
        <w:drawing>
          <wp:inline distT="0" distB="0" distL="0" distR="0" wp14:anchorId="6678625E" wp14:editId="386FDF68">
            <wp:extent cx="4572000" cy="2913321"/>
            <wp:effectExtent l="0" t="0" r="0" b="1905"/>
            <wp:docPr id="2" name="Chart 2">
              <a:extLst xmlns:a="http://schemas.openxmlformats.org/drawingml/2006/main">
                <a:ext uri="{FF2B5EF4-FFF2-40B4-BE49-F238E27FC236}">
                  <a16:creationId xmlns:a16="http://schemas.microsoft.com/office/drawing/2014/main" id="{807A8A50-8ECA-FE2D-9085-FC1FE791C83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5BD0C296" w14:textId="36DA6668" w:rsidR="00912D45" w:rsidRDefault="007C174D" w:rsidP="004B4010">
      <w:pPr>
        <w:spacing w:after="0"/>
        <w:rPr>
          <w:rFonts w:ascii="Arial" w:hAnsi="Arial" w:cs="Arial"/>
          <w:sz w:val="20"/>
          <w:szCs w:val="20"/>
        </w:rPr>
      </w:pPr>
      <w:r w:rsidRPr="00F97F17">
        <w:rPr>
          <w:rFonts w:ascii="Arial" w:hAnsi="Arial" w:cs="Arial"/>
          <w:sz w:val="20"/>
          <w:szCs w:val="20"/>
        </w:rPr>
        <w:t>Vir: SURS, lastni izračuni.</w:t>
      </w:r>
    </w:p>
    <w:p w14:paraId="73978483" w14:textId="77777777" w:rsidR="0045119A" w:rsidRPr="004B4010" w:rsidRDefault="0045119A" w:rsidP="004B4010">
      <w:pPr>
        <w:spacing w:after="0"/>
        <w:rPr>
          <w:rFonts w:ascii="Arial" w:hAnsi="Arial" w:cs="Arial"/>
          <w:sz w:val="20"/>
          <w:szCs w:val="20"/>
        </w:rPr>
      </w:pPr>
    </w:p>
    <w:p w14:paraId="7E6F471B" w14:textId="2822EED4" w:rsidR="007C174D" w:rsidRPr="00F97F17" w:rsidRDefault="007C174D" w:rsidP="0045119A">
      <w:pPr>
        <w:jc w:val="both"/>
        <w:rPr>
          <w:rFonts w:ascii="Arial" w:hAnsi="Arial" w:cs="Arial"/>
        </w:rPr>
      </w:pPr>
      <w:r w:rsidRPr="00F97F17">
        <w:rPr>
          <w:rFonts w:ascii="Arial" w:hAnsi="Arial" w:cs="Arial"/>
        </w:rPr>
        <w:t>Kazalniki relativne precenjenosti stanovanjskih nepremičnin so že v letu 2021 nakazovali, da so cene stanovanjskih nepremičnin postale precenjene. Razmerje med cenami stanovanjskih nepremičnin in razpoložljivim dohodkom je namreč v letu 2021 preseglo svoje dolgoročno povprečje (2008-2022) za 3,8 %, razmerje med cenami nepremičnin in najemnin pa za kar 12,6 %. V letu 2022 se je odstopanje razmerja med cenami nepremičnin in razpoložljivim dohodkom od dolgoročnega povprečja še povečalo (na 11,5 %), razmerje med cenami stanovanj in najemnin pa zmanjšalo, a ostalo za 8,7 % višje od svoje povprečne vrednosti v obdobju 2008-2022.</w:t>
      </w:r>
    </w:p>
    <w:p w14:paraId="58E57848" w14:textId="77777777" w:rsidR="00A00B56" w:rsidRDefault="00A00B56">
      <w:pPr>
        <w:rPr>
          <w:rFonts w:ascii="Arial" w:hAnsi="Arial" w:cs="Arial"/>
        </w:rPr>
      </w:pPr>
      <w:r>
        <w:rPr>
          <w:rFonts w:ascii="Arial" w:hAnsi="Arial" w:cs="Arial"/>
        </w:rPr>
        <w:br w:type="page"/>
      </w:r>
    </w:p>
    <w:p w14:paraId="6FD12ED1" w14:textId="0FA71E43" w:rsidR="002E7D2A" w:rsidRPr="00F97F17" w:rsidRDefault="002E7D2A" w:rsidP="00A00B56">
      <w:pPr>
        <w:spacing w:after="0"/>
        <w:jc w:val="both"/>
        <w:rPr>
          <w:rFonts w:ascii="Arial" w:hAnsi="Arial" w:cs="Arial"/>
        </w:rPr>
      </w:pPr>
      <w:r w:rsidRPr="00F97F17">
        <w:rPr>
          <w:rFonts w:ascii="Arial" w:hAnsi="Arial" w:cs="Arial"/>
        </w:rPr>
        <w:lastRenderedPageBreak/>
        <w:t xml:space="preserve">Slika </w:t>
      </w:r>
      <w:r w:rsidRPr="00F97F17">
        <w:rPr>
          <w:rFonts w:ascii="Arial" w:hAnsi="Arial" w:cs="Arial"/>
        </w:rPr>
        <w:fldChar w:fldCharType="begin"/>
      </w:r>
      <w:r w:rsidRPr="00F97F17">
        <w:rPr>
          <w:rFonts w:ascii="Arial" w:hAnsi="Arial" w:cs="Arial"/>
        </w:rPr>
        <w:instrText xml:space="preserve"> SEQ Slika \* ARABIC </w:instrText>
      </w:r>
      <w:r w:rsidRPr="00F97F17">
        <w:rPr>
          <w:rFonts w:ascii="Arial" w:hAnsi="Arial" w:cs="Arial"/>
        </w:rPr>
        <w:fldChar w:fldCharType="separate"/>
      </w:r>
      <w:r w:rsidR="00E4660B">
        <w:rPr>
          <w:rFonts w:ascii="Arial" w:hAnsi="Arial" w:cs="Arial"/>
          <w:noProof/>
        </w:rPr>
        <w:t>5</w:t>
      </w:r>
      <w:r w:rsidRPr="00F97F17">
        <w:rPr>
          <w:rFonts w:ascii="Arial" w:hAnsi="Arial" w:cs="Arial"/>
        </w:rPr>
        <w:fldChar w:fldCharType="end"/>
      </w:r>
      <w:r w:rsidRPr="00F97F17">
        <w:rPr>
          <w:rFonts w:ascii="Arial" w:hAnsi="Arial" w:cs="Arial"/>
        </w:rPr>
        <w:t>: Razmerje med cenami stanovanjskih nepremičnin in razpoložljivim dohodkom ter razmerje med cenami stanovanjskih nepremičnin in najemninami, % odmik od povprečja 2008-2022</w:t>
      </w:r>
    </w:p>
    <w:p w14:paraId="5CC7EBBC" w14:textId="77777777" w:rsidR="007C174D" w:rsidRPr="00F97F17" w:rsidRDefault="007C174D" w:rsidP="007C174D">
      <w:pPr>
        <w:spacing w:after="0"/>
        <w:jc w:val="both"/>
        <w:rPr>
          <w:rFonts w:ascii="Arial" w:hAnsi="Arial" w:cs="Arial"/>
        </w:rPr>
      </w:pPr>
      <w:r w:rsidRPr="00F97F17">
        <w:rPr>
          <w:rFonts w:ascii="Arial" w:hAnsi="Arial" w:cs="Arial"/>
          <w:noProof/>
        </w:rPr>
        <w:drawing>
          <wp:inline distT="0" distB="0" distL="0" distR="0" wp14:anchorId="079BF77B" wp14:editId="2A3F4854">
            <wp:extent cx="4975225" cy="2838893"/>
            <wp:effectExtent l="0" t="0" r="0" b="0"/>
            <wp:docPr id="3" name="Chart 3">
              <a:extLst xmlns:a="http://schemas.openxmlformats.org/drawingml/2006/main">
                <a:ext uri="{FF2B5EF4-FFF2-40B4-BE49-F238E27FC236}">
                  <a16:creationId xmlns:a16="http://schemas.microsoft.com/office/drawing/2014/main" id="{2079C491-BE39-41A8-BCD1-66E0DAFA1D5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56A15DE5" w14:textId="3BD8BA00" w:rsidR="007C174D" w:rsidRDefault="007C174D" w:rsidP="007C174D">
      <w:pPr>
        <w:spacing w:after="0"/>
        <w:rPr>
          <w:rFonts w:ascii="Arial" w:hAnsi="Arial" w:cs="Arial"/>
          <w:sz w:val="20"/>
          <w:szCs w:val="20"/>
        </w:rPr>
      </w:pPr>
      <w:r w:rsidRPr="00A00B56">
        <w:rPr>
          <w:rFonts w:ascii="Arial" w:hAnsi="Arial" w:cs="Arial"/>
          <w:i/>
          <w:iCs/>
          <w:sz w:val="20"/>
          <w:szCs w:val="20"/>
        </w:rPr>
        <w:t>Opomba</w:t>
      </w:r>
      <w:r w:rsidRPr="00F97F17">
        <w:rPr>
          <w:rFonts w:ascii="Arial" w:hAnsi="Arial" w:cs="Arial"/>
          <w:sz w:val="20"/>
          <w:szCs w:val="20"/>
        </w:rPr>
        <w:t>: Pozitiven odklon kazalnika od dolgoročnega povprečja (0) prikazuje precenjenost, negativen pa podcenjenost cen stanovanjskih nepremičnin.</w:t>
      </w:r>
    </w:p>
    <w:p w14:paraId="04645A62" w14:textId="77777777" w:rsidR="00A00B56" w:rsidRDefault="00A00B56" w:rsidP="007C174D">
      <w:pPr>
        <w:spacing w:after="0"/>
        <w:rPr>
          <w:rFonts w:ascii="Arial" w:hAnsi="Arial" w:cs="Arial"/>
          <w:sz w:val="20"/>
          <w:szCs w:val="20"/>
        </w:rPr>
      </w:pPr>
    </w:p>
    <w:p w14:paraId="2A59387C" w14:textId="77777777" w:rsidR="00A00B56" w:rsidRPr="00F97F17" w:rsidRDefault="00A00B56" w:rsidP="00A00B56">
      <w:pPr>
        <w:spacing w:after="0"/>
        <w:rPr>
          <w:rFonts w:ascii="Arial" w:hAnsi="Arial" w:cs="Arial"/>
          <w:sz w:val="20"/>
          <w:szCs w:val="20"/>
        </w:rPr>
      </w:pPr>
      <w:r w:rsidRPr="00F97F17">
        <w:rPr>
          <w:rFonts w:ascii="Arial" w:hAnsi="Arial" w:cs="Arial"/>
          <w:sz w:val="20"/>
          <w:szCs w:val="20"/>
        </w:rPr>
        <w:t xml:space="preserve">Vir: SURS; Ministrstvo za finance, lastni preračuni. </w:t>
      </w:r>
    </w:p>
    <w:p w14:paraId="369D9329" w14:textId="77777777" w:rsidR="00A00B56" w:rsidRDefault="00A00B56" w:rsidP="00A00B56">
      <w:pPr>
        <w:spacing w:after="0"/>
        <w:jc w:val="both"/>
        <w:rPr>
          <w:rFonts w:ascii="Arial" w:hAnsi="Arial" w:cs="Arial"/>
        </w:rPr>
      </w:pPr>
    </w:p>
    <w:p w14:paraId="4B9009C4" w14:textId="40BF9846" w:rsidR="00065BDF" w:rsidRDefault="00065BDF" w:rsidP="00A00B56">
      <w:pPr>
        <w:spacing w:after="0"/>
        <w:jc w:val="both"/>
        <w:rPr>
          <w:rFonts w:ascii="Arial" w:hAnsi="Arial" w:cs="Arial"/>
        </w:rPr>
      </w:pPr>
      <w:r w:rsidRPr="00F97F17">
        <w:rPr>
          <w:rFonts w:ascii="Arial" w:hAnsi="Arial" w:cs="Arial"/>
        </w:rPr>
        <w:t>Rast cen življenjskih potrebščin se je v letu 2023 znižala in naj bi se do konca leta še postopoma zniževala. Ob predpostavki umirjanja cenovnih pritiskov (in odsotnosti šokov na cene energentov) se pričakuje, da se bo inflacija še naprej umirjala in proti 2 % znižala do konca leta 2025. V povprečju bo tako v letu 2023 rast cen življenjskih potrebščin znašala 7,6 %, v letu 2024 3,9 % v letu 2025 pa 2,7 %. V letih 2023 in 2024 se po najnovejših napovedih pričakuje, da bo inflacija v Sloveniji (merjena kot HICP) ostala na višji ravni kot pa v povprečju EU in EA.</w:t>
      </w:r>
    </w:p>
    <w:p w14:paraId="7ABC1DDE" w14:textId="77777777" w:rsidR="00A00B56" w:rsidRPr="00F97F17" w:rsidRDefault="00A00B56" w:rsidP="00A00B56">
      <w:pPr>
        <w:spacing w:after="0"/>
        <w:jc w:val="both"/>
        <w:rPr>
          <w:rFonts w:ascii="Arial" w:hAnsi="Arial" w:cs="Arial"/>
        </w:rPr>
      </w:pPr>
    </w:p>
    <w:p w14:paraId="6FD37918" w14:textId="0734744A" w:rsidR="00065BDF" w:rsidRPr="004E5775" w:rsidRDefault="00065BDF" w:rsidP="00887B31">
      <w:pPr>
        <w:pStyle w:val="Caption"/>
        <w:spacing w:before="0" w:line="259" w:lineRule="auto"/>
        <w:ind w:left="0" w:firstLine="0"/>
        <w:jc w:val="left"/>
        <w:rPr>
          <w:rFonts w:ascii="Arial" w:hAnsi="Arial" w:cs="Arial"/>
          <w:b w:val="0"/>
          <w:bCs/>
          <w:i w:val="0"/>
          <w:iCs/>
          <w:sz w:val="22"/>
          <w:szCs w:val="22"/>
        </w:rPr>
      </w:pPr>
      <w:r w:rsidRPr="004E5775">
        <w:rPr>
          <w:rFonts w:ascii="Arial" w:hAnsi="Arial" w:cs="Arial"/>
          <w:b w:val="0"/>
          <w:bCs/>
          <w:i w:val="0"/>
          <w:iCs/>
          <w:sz w:val="22"/>
          <w:szCs w:val="22"/>
        </w:rPr>
        <w:t xml:space="preserve">Tabela </w:t>
      </w:r>
      <w:r w:rsidRPr="004E5775">
        <w:rPr>
          <w:rFonts w:ascii="Arial" w:hAnsi="Arial" w:cs="Arial"/>
          <w:b w:val="0"/>
          <w:bCs/>
          <w:i w:val="0"/>
          <w:iCs/>
          <w:sz w:val="22"/>
          <w:szCs w:val="22"/>
        </w:rPr>
        <w:fldChar w:fldCharType="begin"/>
      </w:r>
      <w:r w:rsidRPr="004E5775">
        <w:rPr>
          <w:rFonts w:ascii="Arial" w:hAnsi="Arial" w:cs="Arial"/>
          <w:b w:val="0"/>
          <w:bCs/>
          <w:i w:val="0"/>
          <w:iCs/>
          <w:sz w:val="22"/>
          <w:szCs w:val="22"/>
        </w:rPr>
        <w:instrText xml:space="preserve"> SEQ Tabela \* ARABIC </w:instrText>
      </w:r>
      <w:r w:rsidRPr="004E5775">
        <w:rPr>
          <w:rFonts w:ascii="Arial" w:hAnsi="Arial" w:cs="Arial"/>
          <w:b w:val="0"/>
          <w:bCs/>
          <w:i w:val="0"/>
          <w:iCs/>
          <w:sz w:val="22"/>
          <w:szCs w:val="22"/>
        </w:rPr>
        <w:fldChar w:fldCharType="separate"/>
      </w:r>
      <w:r w:rsidR="00E4660B">
        <w:rPr>
          <w:rFonts w:ascii="Arial" w:hAnsi="Arial" w:cs="Arial"/>
          <w:b w:val="0"/>
          <w:bCs/>
          <w:i w:val="0"/>
          <w:iCs/>
          <w:noProof/>
          <w:sz w:val="22"/>
          <w:szCs w:val="22"/>
        </w:rPr>
        <w:t>1</w:t>
      </w:r>
      <w:r w:rsidRPr="004E5775">
        <w:rPr>
          <w:rFonts w:ascii="Arial" w:hAnsi="Arial" w:cs="Arial"/>
          <w:b w:val="0"/>
          <w:bCs/>
          <w:i w:val="0"/>
          <w:iCs/>
          <w:sz w:val="22"/>
          <w:szCs w:val="22"/>
        </w:rPr>
        <w:fldChar w:fldCharType="end"/>
      </w:r>
      <w:r w:rsidRPr="004E5775">
        <w:rPr>
          <w:rFonts w:ascii="Arial" w:hAnsi="Arial" w:cs="Arial"/>
          <w:b w:val="0"/>
          <w:bCs/>
          <w:i w:val="0"/>
          <w:iCs/>
          <w:sz w:val="22"/>
          <w:szCs w:val="22"/>
        </w:rPr>
        <w:t>: Inflacijska gibanja in napovedi za Slovenijo, EU in EA</w:t>
      </w:r>
      <w:r w:rsidR="00B63631">
        <w:rPr>
          <w:rFonts w:ascii="Arial" w:hAnsi="Arial" w:cs="Arial"/>
          <w:b w:val="0"/>
          <w:bCs/>
          <w:i w:val="0"/>
          <w:iCs/>
          <w:sz w:val="22"/>
          <w:szCs w:val="22"/>
        </w:rPr>
        <w:t xml:space="preserve"> (letna sprememba v %, povprečje leta)</w:t>
      </w:r>
    </w:p>
    <w:tbl>
      <w:tblPr>
        <w:tblStyle w:val="TableGrid"/>
        <w:tblW w:w="5912" w:type="dxa"/>
        <w:tblLayout w:type="fixed"/>
        <w:tblLook w:val="04A0" w:firstRow="1" w:lastRow="0" w:firstColumn="1" w:lastColumn="0" w:noHBand="0" w:noVBand="1"/>
      </w:tblPr>
      <w:tblGrid>
        <w:gridCol w:w="935"/>
        <w:gridCol w:w="1163"/>
        <w:gridCol w:w="1183"/>
        <w:gridCol w:w="1314"/>
        <w:gridCol w:w="1317"/>
      </w:tblGrid>
      <w:tr w:rsidR="009F1410" w:rsidRPr="00F97F17" w14:paraId="0FA87BB4" w14:textId="77777777" w:rsidTr="009F1410">
        <w:trPr>
          <w:cantSplit/>
          <w:trHeight w:val="221"/>
        </w:trPr>
        <w:tc>
          <w:tcPr>
            <w:tcW w:w="935" w:type="dxa"/>
            <w:noWrap/>
            <w:hideMark/>
          </w:tcPr>
          <w:p w14:paraId="0C0C7574" w14:textId="77777777" w:rsidR="009F1410" w:rsidRPr="00F97F17" w:rsidRDefault="009F1410" w:rsidP="00F97F17">
            <w:pPr>
              <w:jc w:val="center"/>
              <w:rPr>
                <w:rFonts w:ascii="Arial" w:eastAsia="Times New Roman" w:hAnsi="Arial" w:cs="Arial"/>
                <w:color w:val="000000"/>
                <w:lang w:eastAsia="sl-SI"/>
              </w:rPr>
            </w:pPr>
          </w:p>
        </w:tc>
        <w:tc>
          <w:tcPr>
            <w:tcW w:w="1163" w:type="dxa"/>
            <w:noWrap/>
            <w:hideMark/>
          </w:tcPr>
          <w:p w14:paraId="5502A334" w14:textId="77777777" w:rsidR="009F1410" w:rsidRPr="00F97F17" w:rsidRDefault="009F1410" w:rsidP="00F97F17">
            <w:pPr>
              <w:rPr>
                <w:rFonts w:ascii="Arial" w:eastAsia="Times New Roman" w:hAnsi="Arial" w:cs="Arial"/>
                <w:lang w:eastAsia="sl-SI"/>
              </w:rPr>
            </w:pPr>
          </w:p>
        </w:tc>
        <w:tc>
          <w:tcPr>
            <w:tcW w:w="1183" w:type="dxa"/>
            <w:noWrap/>
            <w:hideMark/>
          </w:tcPr>
          <w:p w14:paraId="5E582DAE" w14:textId="77777777" w:rsidR="009F1410" w:rsidRPr="00F97F17" w:rsidRDefault="009F1410" w:rsidP="00F97F17">
            <w:pPr>
              <w:jc w:val="right"/>
              <w:rPr>
                <w:rFonts w:ascii="Arial" w:eastAsia="Times New Roman" w:hAnsi="Arial" w:cs="Arial"/>
                <w:b/>
                <w:bCs/>
                <w:lang w:eastAsia="sl-SI"/>
              </w:rPr>
            </w:pPr>
            <w:r w:rsidRPr="00F97F17">
              <w:rPr>
                <w:rFonts w:ascii="Arial" w:eastAsia="Times New Roman" w:hAnsi="Arial" w:cs="Arial"/>
                <w:b/>
                <w:bCs/>
                <w:lang w:eastAsia="sl-SI"/>
              </w:rPr>
              <w:t>2022</w:t>
            </w:r>
          </w:p>
        </w:tc>
        <w:tc>
          <w:tcPr>
            <w:tcW w:w="1314" w:type="dxa"/>
            <w:noWrap/>
            <w:hideMark/>
          </w:tcPr>
          <w:p w14:paraId="77DD558F" w14:textId="77777777" w:rsidR="009F1410" w:rsidRPr="00F97F17" w:rsidRDefault="009F1410" w:rsidP="00F97F17">
            <w:pPr>
              <w:jc w:val="right"/>
              <w:rPr>
                <w:rFonts w:ascii="Arial" w:eastAsia="Times New Roman" w:hAnsi="Arial" w:cs="Arial"/>
                <w:b/>
                <w:bCs/>
                <w:color w:val="000000"/>
                <w:lang w:eastAsia="sl-SI"/>
              </w:rPr>
            </w:pPr>
            <w:r w:rsidRPr="00F97F17">
              <w:rPr>
                <w:rFonts w:ascii="Arial" w:eastAsia="Times New Roman" w:hAnsi="Arial" w:cs="Arial"/>
                <w:b/>
                <w:bCs/>
                <w:color w:val="000000"/>
                <w:lang w:eastAsia="sl-SI"/>
              </w:rPr>
              <w:t>2023</w:t>
            </w:r>
          </w:p>
        </w:tc>
        <w:tc>
          <w:tcPr>
            <w:tcW w:w="1317" w:type="dxa"/>
            <w:noWrap/>
            <w:hideMark/>
          </w:tcPr>
          <w:p w14:paraId="012837A1" w14:textId="77777777" w:rsidR="009F1410" w:rsidRPr="00F97F17" w:rsidRDefault="009F1410" w:rsidP="00F97F17">
            <w:pPr>
              <w:jc w:val="right"/>
              <w:rPr>
                <w:rFonts w:ascii="Arial" w:eastAsia="Times New Roman" w:hAnsi="Arial" w:cs="Arial"/>
                <w:b/>
                <w:bCs/>
                <w:color w:val="000000"/>
                <w:lang w:eastAsia="sl-SI"/>
              </w:rPr>
            </w:pPr>
            <w:r w:rsidRPr="00F97F17">
              <w:rPr>
                <w:rFonts w:ascii="Arial" w:eastAsia="Times New Roman" w:hAnsi="Arial" w:cs="Arial"/>
                <w:b/>
                <w:bCs/>
                <w:color w:val="000000"/>
                <w:lang w:eastAsia="sl-SI"/>
              </w:rPr>
              <w:t>2024</w:t>
            </w:r>
          </w:p>
          <w:p w14:paraId="7EEAC585" w14:textId="77777777" w:rsidR="009F1410" w:rsidRPr="00F97F17" w:rsidRDefault="009F1410" w:rsidP="00F97F17">
            <w:pPr>
              <w:jc w:val="right"/>
              <w:rPr>
                <w:rFonts w:ascii="Arial" w:eastAsia="Times New Roman" w:hAnsi="Arial" w:cs="Arial"/>
                <w:b/>
                <w:bCs/>
                <w:color w:val="000000"/>
                <w:lang w:eastAsia="sl-SI"/>
              </w:rPr>
            </w:pPr>
          </w:p>
        </w:tc>
      </w:tr>
      <w:tr w:rsidR="009F1410" w:rsidRPr="00F97F17" w14:paraId="46C11D4A" w14:textId="77777777" w:rsidTr="009F1410">
        <w:trPr>
          <w:trHeight w:val="301"/>
        </w:trPr>
        <w:tc>
          <w:tcPr>
            <w:tcW w:w="935" w:type="dxa"/>
            <w:vMerge w:val="restart"/>
            <w:noWrap/>
            <w:vAlign w:val="center"/>
            <w:hideMark/>
          </w:tcPr>
          <w:p w14:paraId="4D9E551F" w14:textId="77777777" w:rsidR="009F1410" w:rsidRPr="00F97F17" w:rsidRDefault="009F1410" w:rsidP="00F97F17">
            <w:pPr>
              <w:jc w:val="center"/>
              <w:rPr>
                <w:rFonts w:ascii="Arial" w:eastAsia="Times New Roman" w:hAnsi="Arial" w:cs="Arial"/>
                <w:b/>
                <w:bCs/>
                <w:color w:val="000000"/>
                <w:lang w:eastAsia="sl-SI"/>
              </w:rPr>
            </w:pPr>
            <w:r w:rsidRPr="00F97F17">
              <w:rPr>
                <w:rFonts w:ascii="Arial" w:eastAsia="Times New Roman" w:hAnsi="Arial" w:cs="Arial"/>
                <w:b/>
                <w:bCs/>
                <w:color w:val="000000"/>
                <w:lang w:eastAsia="sl-SI"/>
              </w:rPr>
              <w:t>HICP</w:t>
            </w:r>
          </w:p>
        </w:tc>
        <w:tc>
          <w:tcPr>
            <w:tcW w:w="1163" w:type="dxa"/>
            <w:noWrap/>
            <w:hideMark/>
          </w:tcPr>
          <w:p w14:paraId="4E3470F6" w14:textId="77777777" w:rsidR="009F1410" w:rsidRPr="00F97F17" w:rsidRDefault="009F1410" w:rsidP="00F97F17">
            <w:pPr>
              <w:rPr>
                <w:rFonts w:ascii="Arial" w:eastAsia="Times New Roman" w:hAnsi="Arial" w:cs="Arial"/>
                <w:color w:val="000000"/>
                <w:lang w:eastAsia="sl-SI"/>
              </w:rPr>
            </w:pPr>
            <w:r w:rsidRPr="00F97F17">
              <w:rPr>
                <w:rFonts w:ascii="Arial" w:eastAsia="Times New Roman" w:hAnsi="Arial" w:cs="Arial"/>
                <w:color w:val="000000"/>
                <w:lang w:eastAsia="sl-SI"/>
              </w:rPr>
              <w:t>SI</w:t>
            </w:r>
          </w:p>
        </w:tc>
        <w:tc>
          <w:tcPr>
            <w:tcW w:w="1183" w:type="dxa"/>
            <w:noWrap/>
            <w:hideMark/>
          </w:tcPr>
          <w:p w14:paraId="5F5E83F2" w14:textId="77777777" w:rsidR="009F1410" w:rsidRPr="00F97F17" w:rsidRDefault="009F1410" w:rsidP="00F97F17">
            <w:pPr>
              <w:jc w:val="right"/>
              <w:rPr>
                <w:rFonts w:ascii="Arial" w:eastAsia="Times New Roman" w:hAnsi="Arial" w:cs="Arial"/>
                <w:lang w:eastAsia="sl-SI"/>
              </w:rPr>
            </w:pPr>
            <w:r w:rsidRPr="00F97F17">
              <w:rPr>
                <w:rFonts w:ascii="Arial" w:eastAsia="Times New Roman" w:hAnsi="Arial" w:cs="Arial"/>
                <w:lang w:eastAsia="sl-SI"/>
              </w:rPr>
              <w:t>9,3</w:t>
            </w:r>
          </w:p>
        </w:tc>
        <w:tc>
          <w:tcPr>
            <w:tcW w:w="1314" w:type="dxa"/>
            <w:noWrap/>
            <w:hideMark/>
          </w:tcPr>
          <w:p w14:paraId="47F8D306" w14:textId="77777777" w:rsidR="009F1410" w:rsidRPr="00F97F17" w:rsidRDefault="009F1410" w:rsidP="00F97F17">
            <w:pPr>
              <w:jc w:val="right"/>
              <w:rPr>
                <w:rFonts w:ascii="Arial" w:eastAsia="Times New Roman" w:hAnsi="Arial" w:cs="Arial"/>
                <w:color w:val="000000"/>
                <w:lang w:eastAsia="sl-SI"/>
              </w:rPr>
            </w:pPr>
            <w:r w:rsidRPr="00F97F17">
              <w:rPr>
                <w:rFonts w:ascii="Arial" w:eastAsia="Times New Roman" w:hAnsi="Arial" w:cs="Arial"/>
                <w:color w:val="000000"/>
                <w:lang w:eastAsia="sl-SI"/>
              </w:rPr>
              <w:t>7,0</w:t>
            </w:r>
          </w:p>
        </w:tc>
        <w:tc>
          <w:tcPr>
            <w:tcW w:w="1317" w:type="dxa"/>
            <w:noWrap/>
            <w:hideMark/>
          </w:tcPr>
          <w:p w14:paraId="2FC46D8A" w14:textId="77777777" w:rsidR="009F1410" w:rsidRPr="00F97F17" w:rsidRDefault="009F1410" w:rsidP="00F97F17">
            <w:pPr>
              <w:jc w:val="right"/>
              <w:rPr>
                <w:rFonts w:ascii="Arial" w:eastAsia="Times New Roman" w:hAnsi="Arial" w:cs="Arial"/>
                <w:color w:val="000000"/>
                <w:lang w:eastAsia="sl-SI"/>
              </w:rPr>
            </w:pPr>
            <w:r w:rsidRPr="00F97F17">
              <w:rPr>
                <w:rFonts w:ascii="Arial" w:eastAsia="Times New Roman" w:hAnsi="Arial" w:cs="Arial"/>
                <w:color w:val="000000"/>
                <w:lang w:eastAsia="sl-SI"/>
              </w:rPr>
              <w:t>3,8</w:t>
            </w:r>
          </w:p>
          <w:p w14:paraId="1DAB113D" w14:textId="77777777" w:rsidR="009F1410" w:rsidRPr="00F97F17" w:rsidRDefault="009F1410" w:rsidP="00F97F17">
            <w:pPr>
              <w:jc w:val="right"/>
              <w:rPr>
                <w:rFonts w:ascii="Arial" w:eastAsia="Times New Roman" w:hAnsi="Arial" w:cs="Arial"/>
                <w:color w:val="000000"/>
                <w:lang w:eastAsia="sl-SI"/>
              </w:rPr>
            </w:pPr>
          </w:p>
        </w:tc>
      </w:tr>
      <w:tr w:rsidR="009F1410" w:rsidRPr="00F97F17" w14:paraId="5619A78F" w14:textId="77777777" w:rsidTr="009F1410">
        <w:trPr>
          <w:trHeight w:val="301"/>
        </w:trPr>
        <w:tc>
          <w:tcPr>
            <w:tcW w:w="935" w:type="dxa"/>
            <w:vMerge/>
            <w:vAlign w:val="center"/>
            <w:hideMark/>
          </w:tcPr>
          <w:p w14:paraId="798D6856" w14:textId="77777777" w:rsidR="009F1410" w:rsidRPr="00F97F17" w:rsidRDefault="009F1410" w:rsidP="00F97F17">
            <w:pPr>
              <w:jc w:val="center"/>
              <w:rPr>
                <w:rFonts w:ascii="Arial" w:eastAsia="Times New Roman" w:hAnsi="Arial" w:cs="Arial"/>
                <w:b/>
                <w:bCs/>
                <w:color w:val="000000"/>
                <w:lang w:eastAsia="sl-SI"/>
              </w:rPr>
            </w:pPr>
          </w:p>
        </w:tc>
        <w:tc>
          <w:tcPr>
            <w:tcW w:w="1163" w:type="dxa"/>
            <w:noWrap/>
            <w:hideMark/>
          </w:tcPr>
          <w:p w14:paraId="40E89DE2" w14:textId="77777777" w:rsidR="009F1410" w:rsidRPr="00F97F17" w:rsidRDefault="009F1410" w:rsidP="00F97F17">
            <w:pPr>
              <w:rPr>
                <w:rFonts w:ascii="Arial" w:eastAsia="Times New Roman" w:hAnsi="Arial" w:cs="Arial"/>
                <w:color w:val="000000"/>
                <w:lang w:eastAsia="sl-SI"/>
              </w:rPr>
            </w:pPr>
            <w:r w:rsidRPr="00F97F17">
              <w:rPr>
                <w:rFonts w:ascii="Arial" w:eastAsia="Times New Roman" w:hAnsi="Arial" w:cs="Arial"/>
                <w:color w:val="000000"/>
                <w:lang w:eastAsia="sl-SI"/>
              </w:rPr>
              <w:t>EA20</w:t>
            </w:r>
          </w:p>
        </w:tc>
        <w:tc>
          <w:tcPr>
            <w:tcW w:w="1183" w:type="dxa"/>
            <w:noWrap/>
            <w:hideMark/>
          </w:tcPr>
          <w:p w14:paraId="69637F62" w14:textId="77777777" w:rsidR="009F1410" w:rsidRPr="00F97F17" w:rsidRDefault="009F1410" w:rsidP="00F97F17">
            <w:pPr>
              <w:jc w:val="right"/>
              <w:rPr>
                <w:rFonts w:ascii="Arial" w:eastAsia="Times New Roman" w:hAnsi="Arial" w:cs="Arial"/>
                <w:lang w:eastAsia="sl-SI"/>
              </w:rPr>
            </w:pPr>
            <w:r w:rsidRPr="00F97F17">
              <w:rPr>
                <w:rFonts w:ascii="Arial" w:eastAsia="Times New Roman" w:hAnsi="Arial" w:cs="Arial"/>
                <w:lang w:eastAsia="sl-SI"/>
              </w:rPr>
              <w:t>8,4</w:t>
            </w:r>
          </w:p>
        </w:tc>
        <w:tc>
          <w:tcPr>
            <w:tcW w:w="1314" w:type="dxa"/>
            <w:noWrap/>
            <w:hideMark/>
          </w:tcPr>
          <w:p w14:paraId="291AC638" w14:textId="77777777" w:rsidR="009F1410" w:rsidRPr="00F97F17" w:rsidRDefault="009F1410" w:rsidP="00F97F17">
            <w:pPr>
              <w:jc w:val="right"/>
              <w:rPr>
                <w:rFonts w:ascii="Arial" w:eastAsia="Times New Roman" w:hAnsi="Arial" w:cs="Arial"/>
                <w:color w:val="000000"/>
                <w:lang w:eastAsia="sl-SI"/>
              </w:rPr>
            </w:pPr>
            <w:r w:rsidRPr="00F97F17">
              <w:rPr>
                <w:rFonts w:ascii="Arial" w:eastAsia="Times New Roman" w:hAnsi="Arial" w:cs="Arial"/>
                <w:color w:val="000000"/>
                <w:lang w:eastAsia="sl-SI"/>
              </w:rPr>
              <w:t>5,6</w:t>
            </w:r>
          </w:p>
        </w:tc>
        <w:tc>
          <w:tcPr>
            <w:tcW w:w="1317" w:type="dxa"/>
            <w:noWrap/>
            <w:hideMark/>
          </w:tcPr>
          <w:p w14:paraId="0333103D" w14:textId="77777777" w:rsidR="009F1410" w:rsidRPr="00F97F17" w:rsidRDefault="009F1410" w:rsidP="00F97F17">
            <w:pPr>
              <w:jc w:val="right"/>
              <w:rPr>
                <w:rFonts w:ascii="Arial" w:eastAsia="Times New Roman" w:hAnsi="Arial" w:cs="Arial"/>
                <w:color w:val="000000"/>
                <w:lang w:eastAsia="sl-SI"/>
              </w:rPr>
            </w:pPr>
            <w:r w:rsidRPr="00F97F17">
              <w:rPr>
                <w:rFonts w:ascii="Arial" w:eastAsia="Times New Roman" w:hAnsi="Arial" w:cs="Arial"/>
                <w:color w:val="000000"/>
                <w:lang w:eastAsia="sl-SI"/>
              </w:rPr>
              <w:t>2,9</w:t>
            </w:r>
          </w:p>
          <w:p w14:paraId="5902A8FC" w14:textId="77777777" w:rsidR="009F1410" w:rsidRPr="00F97F17" w:rsidRDefault="009F1410" w:rsidP="00F97F17">
            <w:pPr>
              <w:jc w:val="right"/>
              <w:rPr>
                <w:rFonts w:ascii="Arial" w:eastAsia="Times New Roman" w:hAnsi="Arial" w:cs="Arial"/>
                <w:color w:val="000000"/>
                <w:lang w:eastAsia="sl-SI"/>
              </w:rPr>
            </w:pPr>
          </w:p>
        </w:tc>
      </w:tr>
      <w:tr w:rsidR="009F1410" w:rsidRPr="00F97F17" w14:paraId="6E574484" w14:textId="77777777" w:rsidTr="009F1410">
        <w:trPr>
          <w:trHeight w:val="301"/>
        </w:trPr>
        <w:tc>
          <w:tcPr>
            <w:tcW w:w="935" w:type="dxa"/>
            <w:vMerge/>
            <w:vAlign w:val="center"/>
            <w:hideMark/>
          </w:tcPr>
          <w:p w14:paraId="313E0BE4" w14:textId="77777777" w:rsidR="009F1410" w:rsidRPr="00F97F17" w:rsidRDefault="009F1410" w:rsidP="00F97F17">
            <w:pPr>
              <w:jc w:val="center"/>
              <w:rPr>
                <w:rFonts w:ascii="Arial" w:eastAsia="Times New Roman" w:hAnsi="Arial" w:cs="Arial"/>
                <w:b/>
                <w:bCs/>
                <w:color w:val="000000"/>
                <w:lang w:eastAsia="sl-SI"/>
              </w:rPr>
            </w:pPr>
          </w:p>
        </w:tc>
        <w:tc>
          <w:tcPr>
            <w:tcW w:w="1163" w:type="dxa"/>
            <w:noWrap/>
            <w:hideMark/>
          </w:tcPr>
          <w:p w14:paraId="345AF5BB" w14:textId="77777777" w:rsidR="009F1410" w:rsidRPr="00F97F17" w:rsidRDefault="009F1410" w:rsidP="00F97F17">
            <w:pPr>
              <w:rPr>
                <w:rFonts w:ascii="Arial" w:eastAsia="Times New Roman" w:hAnsi="Arial" w:cs="Arial"/>
                <w:color w:val="000000"/>
                <w:lang w:eastAsia="sl-SI"/>
              </w:rPr>
            </w:pPr>
            <w:r w:rsidRPr="00F97F17">
              <w:rPr>
                <w:rFonts w:ascii="Arial" w:eastAsia="Times New Roman" w:hAnsi="Arial" w:cs="Arial"/>
                <w:color w:val="000000"/>
                <w:lang w:eastAsia="sl-SI"/>
              </w:rPr>
              <w:t>EU27</w:t>
            </w:r>
          </w:p>
        </w:tc>
        <w:tc>
          <w:tcPr>
            <w:tcW w:w="1183" w:type="dxa"/>
            <w:noWrap/>
            <w:hideMark/>
          </w:tcPr>
          <w:p w14:paraId="7F1F9FAB" w14:textId="77777777" w:rsidR="009F1410" w:rsidRPr="00F97F17" w:rsidRDefault="009F1410" w:rsidP="00F97F17">
            <w:pPr>
              <w:jc w:val="right"/>
              <w:rPr>
                <w:rFonts w:ascii="Arial" w:eastAsia="Times New Roman" w:hAnsi="Arial" w:cs="Arial"/>
                <w:lang w:eastAsia="sl-SI"/>
              </w:rPr>
            </w:pPr>
            <w:r w:rsidRPr="00F97F17">
              <w:rPr>
                <w:rFonts w:ascii="Arial" w:eastAsia="Times New Roman" w:hAnsi="Arial" w:cs="Arial"/>
                <w:lang w:eastAsia="sl-SI"/>
              </w:rPr>
              <w:t>9,2</w:t>
            </w:r>
          </w:p>
        </w:tc>
        <w:tc>
          <w:tcPr>
            <w:tcW w:w="1314" w:type="dxa"/>
            <w:noWrap/>
            <w:hideMark/>
          </w:tcPr>
          <w:p w14:paraId="7B3D51B6" w14:textId="77777777" w:rsidR="009F1410" w:rsidRPr="00F97F17" w:rsidRDefault="009F1410" w:rsidP="00F97F17">
            <w:pPr>
              <w:jc w:val="right"/>
              <w:rPr>
                <w:rFonts w:ascii="Arial" w:eastAsia="Times New Roman" w:hAnsi="Arial" w:cs="Arial"/>
                <w:color w:val="000000"/>
                <w:lang w:eastAsia="sl-SI"/>
              </w:rPr>
            </w:pPr>
            <w:r w:rsidRPr="00F97F17">
              <w:rPr>
                <w:rFonts w:ascii="Arial" w:eastAsia="Times New Roman" w:hAnsi="Arial" w:cs="Arial"/>
                <w:color w:val="000000"/>
                <w:lang w:eastAsia="sl-SI"/>
              </w:rPr>
              <w:t>6,5</w:t>
            </w:r>
          </w:p>
        </w:tc>
        <w:tc>
          <w:tcPr>
            <w:tcW w:w="1317" w:type="dxa"/>
            <w:noWrap/>
            <w:hideMark/>
          </w:tcPr>
          <w:p w14:paraId="7A74B736" w14:textId="77777777" w:rsidR="009F1410" w:rsidRPr="00F97F17" w:rsidRDefault="009F1410" w:rsidP="00F97F17">
            <w:pPr>
              <w:jc w:val="right"/>
              <w:rPr>
                <w:rFonts w:ascii="Arial" w:eastAsia="Times New Roman" w:hAnsi="Arial" w:cs="Arial"/>
                <w:color w:val="000000"/>
                <w:lang w:eastAsia="sl-SI"/>
              </w:rPr>
            </w:pPr>
            <w:r w:rsidRPr="00F97F17">
              <w:rPr>
                <w:rFonts w:ascii="Arial" w:eastAsia="Times New Roman" w:hAnsi="Arial" w:cs="Arial"/>
                <w:color w:val="000000"/>
                <w:lang w:eastAsia="sl-SI"/>
              </w:rPr>
              <w:t>3,2</w:t>
            </w:r>
          </w:p>
          <w:p w14:paraId="6AA59BCF" w14:textId="77777777" w:rsidR="009F1410" w:rsidRPr="00F97F17" w:rsidRDefault="009F1410" w:rsidP="00F97F17">
            <w:pPr>
              <w:jc w:val="right"/>
              <w:rPr>
                <w:rFonts w:ascii="Arial" w:eastAsia="Times New Roman" w:hAnsi="Arial" w:cs="Arial"/>
                <w:color w:val="000000"/>
                <w:lang w:eastAsia="sl-SI"/>
              </w:rPr>
            </w:pPr>
          </w:p>
        </w:tc>
      </w:tr>
      <w:tr w:rsidR="009F1410" w:rsidRPr="00F97F17" w14:paraId="587E7807" w14:textId="77777777" w:rsidTr="009F1410">
        <w:trPr>
          <w:trHeight w:val="301"/>
        </w:trPr>
        <w:tc>
          <w:tcPr>
            <w:tcW w:w="935" w:type="dxa"/>
            <w:noWrap/>
            <w:vAlign w:val="center"/>
            <w:hideMark/>
          </w:tcPr>
          <w:p w14:paraId="24EC6082" w14:textId="77777777" w:rsidR="009F1410" w:rsidRPr="00F97F17" w:rsidRDefault="009F1410" w:rsidP="00F97F17">
            <w:pPr>
              <w:jc w:val="center"/>
              <w:rPr>
                <w:rFonts w:ascii="Arial" w:eastAsia="Times New Roman" w:hAnsi="Arial" w:cs="Arial"/>
                <w:b/>
                <w:bCs/>
                <w:lang w:eastAsia="sl-SI"/>
              </w:rPr>
            </w:pPr>
            <w:r w:rsidRPr="00F97F17">
              <w:rPr>
                <w:rFonts w:ascii="Arial" w:eastAsia="Times New Roman" w:hAnsi="Arial" w:cs="Arial"/>
                <w:b/>
                <w:bCs/>
                <w:lang w:eastAsia="sl-SI"/>
              </w:rPr>
              <w:t>CPI</w:t>
            </w:r>
          </w:p>
        </w:tc>
        <w:tc>
          <w:tcPr>
            <w:tcW w:w="1163" w:type="dxa"/>
            <w:noWrap/>
            <w:hideMark/>
          </w:tcPr>
          <w:p w14:paraId="1B3F2C14" w14:textId="77777777" w:rsidR="009F1410" w:rsidRPr="00F97F17" w:rsidRDefault="009F1410" w:rsidP="00F97F17">
            <w:pPr>
              <w:rPr>
                <w:rFonts w:ascii="Arial" w:eastAsia="Times New Roman" w:hAnsi="Arial" w:cs="Arial"/>
                <w:lang w:eastAsia="sl-SI"/>
              </w:rPr>
            </w:pPr>
            <w:r w:rsidRPr="00F97F17">
              <w:rPr>
                <w:rFonts w:ascii="Arial" w:eastAsia="Times New Roman" w:hAnsi="Arial" w:cs="Arial"/>
                <w:lang w:eastAsia="sl-SI"/>
              </w:rPr>
              <w:t>SI</w:t>
            </w:r>
          </w:p>
        </w:tc>
        <w:tc>
          <w:tcPr>
            <w:tcW w:w="1183" w:type="dxa"/>
            <w:noWrap/>
            <w:hideMark/>
          </w:tcPr>
          <w:p w14:paraId="7483844B" w14:textId="77777777" w:rsidR="009F1410" w:rsidRPr="00F97F17" w:rsidRDefault="009F1410" w:rsidP="00F97F17">
            <w:pPr>
              <w:jc w:val="right"/>
              <w:rPr>
                <w:rFonts w:ascii="Arial" w:eastAsia="Times New Roman" w:hAnsi="Arial" w:cs="Arial"/>
                <w:lang w:eastAsia="sl-SI"/>
              </w:rPr>
            </w:pPr>
            <w:r w:rsidRPr="00F97F17">
              <w:rPr>
                <w:rFonts w:ascii="Arial" w:eastAsia="Times New Roman" w:hAnsi="Arial" w:cs="Arial"/>
                <w:lang w:eastAsia="sl-SI"/>
              </w:rPr>
              <w:t>8,8</w:t>
            </w:r>
          </w:p>
        </w:tc>
        <w:tc>
          <w:tcPr>
            <w:tcW w:w="1314" w:type="dxa"/>
            <w:noWrap/>
            <w:hideMark/>
          </w:tcPr>
          <w:p w14:paraId="747734F8" w14:textId="77777777" w:rsidR="009F1410" w:rsidRPr="00F97F17" w:rsidRDefault="009F1410" w:rsidP="00F97F17">
            <w:pPr>
              <w:jc w:val="right"/>
              <w:rPr>
                <w:rFonts w:ascii="Arial" w:eastAsia="Times New Roman" w:hAnsi="Arial" w:cs="Arial"/>
                <w:lang w:eastAsia="sl-SI"/>
              </w:rPr>
            </w:pPr>
            <w:r w:rsidRPr="00F97F17">
              <w:rPr>
                <w:rFonts w:ascii="Arial" w:eastAsia="Times New Roman" w:hAnsi="Arial" w:cs="Arial"/>
                <w:lang w:eastAsia="sl-SI"/>
              </w:rPr>
              <w:t>7,6</w:t>
            </w:r>
          </w:p>
        </w:tc>
        <w:tc>
          <w:tcPr>
            <w:tcW w:w="1317" w:type="dxa"/>
            <w:noWrap/>
            <w:hideMark/>
          </w:tcPr>
          <w:p w14:paraId="1C37F486" w14:textId="77777777" w:rsidR="009F1410" w:rsidRPr="00F97F17" w:rsidRDefault="009F1410" w:rsidP="00F97F17">
            <w:pPr>
              <w:jc w:val="right"/>
              <w:rPr>
                <w:rFonts w:ascii="Arial" w:eastAsia="Times New Roman" w:hAnsi="Arial" w:cs="Arial"/>
                <w:lang w:eastAsia="sl-SI"/>
              </w:rPr>
            </w:pPr>
            <w:r w:rsidRPr="00F97F17">
              <w:rPr>
                <w:rFonts w:ascii="Arial" w:eastAsia="Times New Roman" w:hAnsi="Arial" w:cs="Arial"/>
                <w:lang w:eastAsia="sl-SI"/>
              </w:rPr>
              <w:t>3,9</w:t>
            </w:r>
          </w:p>
          <w:p w14:paraId="29AC77D9" w14:textId="77777777" w:rsidR="009F1410" w:rsidRPr="00F97F17" w:rsidRDefault="009F1410" w:rsidP="00F97F17">
            <w:pPr>
              <w:jc w:val="right"/>
              <w:rPr>
                <w:rFonts w:ascii="Arial" w:eastAsia="Times New Roman" w:hAnsi="Arial" w:cs="Arial"/>
                <w:lang w:eastAsia="sl-SI"/>
              </w:rPr>
            </w:pPr>
          </w:p>
        </w:tc>
      </w:tr>
    </w:tbl>
    <w:p w14:paraId="166027A1" w14:textId="1B0DADF9" w:rsidR="00312CC7" w:rsidRDefault="00065BDF" w:rsidP="00312CC7">
      <w:pPr>
        <w:spacing w:after="0"/>
        <w:jc w:val="both"/>
        <w:rPr>
          <w:rFonts w:ascii="Arial" w:hAnsi="Arial" w:cs="Arial"/>
          <w:sz w:val="20"/>
          <w:szCs w:val="20"/>
        </w:rPr>
      </w:pPr>
      <w:r w:rsidRPr="00F97F17">
        <w:rPr>
          <w:rFonts w:ascii="Arial" w:hAnsi="Arial" w:cs="Arial"/>
          <w:sz w:val="20"/>
          <w:szCs w:val="20"/>
        </w:rPr>
        <w:t>Vir: Eurostat in SURS, *za SI HICP je Spomladanska napoved EK 2023, za EA20 in EU27 HICP je Poletna napoved EK 2023, za SI CPI je Jesenska napoved UMAR 2023.</w:t>
      </w:r>
    </w:p>
    <w:p w14:paraId="76D7F8F4" w14:textId="77777777" w:rsidR="00312CC7" w:rsidRPr="00312CC7" w:rsidRDefault="00312CC7" w:rsidP="00312CC7">
      <w:pPr>
        <w:spacing w:after="0"/>
        <w:jc w:val="both"/>
        <w:rPr>
          <w:rFonts w:ascii="Arial" w:hAnsi="Arial" w:cs="Arial"/>
          <w:sz w:val="20"/>
          <w:szCs w:val="20"/>
        </w:rPr>
      </w:pPr>
    </w:p>
    <w:p w14:paraId="01DA9A40" w14:textId="1F9D2AA3" w:rsidR="007B0DFA" w:rsidRPr="00771B84" w:rsidRDefault="007B0DFA" w:rsidP="001C3396">
      <w:pPr>
        <w:jc w:val="both"/>
        <w:rPr>
          <w:rFonts w:ascii="Arial" w:hAnsi="Arial" w:cs="Arial"/>
          <w:noProof/>
        </w:rPr>
      </w:pPr>
      <w:r w:rsidRPr="00440178">
        <w:rPr>
          <w:rFonts w:ascii="Arial" w:hAnsi="Arial" w:cs="Arial"/>
          <w:noProof/>
        </w:rPr>
        <w:t xml:space="preserve">Iz Slike </w:t>
      </w:r>
      <w:r w:rsidR="00312CC7">
        <w:rPr>
          <w:rFonts w:ascii="Arial" w:hAnsi="Arial" w:cs="Arial"/>
          <w:noProof/>
        </w:rPr>
        <w:t>6</w:t>
      </w:r>
      <w:r w:rsidRPr="00440178">
        <w:rPr>
          <w:rFonts w:ascii="Arial" w:hAnsi="Arial" w:cs="Arial"/>
          <w:noProof/>
        </w:rPr>
        <w:t xml:space="preserve"> je razvidno, da so v letu 2022 cenovni pritiski izhajali v večji meri iz zunanjega kot </w:t>
      </w:r>
      <w:r w:rsidRPr="00771B84">
        <w:rPr>
          <w:rFonts w:ascii="Arial" w:hAnsi="Arial" w:cs="Arial"/>
          <w:noProof/>
        </w:rPr>
        <w:t xml:space="preserve">domačega okolja. Letna sprememba deflatorja uvoza je namreč znašala 18 %, medtem ko je letna sprememba BDP deflatorja, ki odraža domače cenovne pritiske, znašala 6,5 %. </w:t>
      </w:r>
    </w:p>
    <w:p w14:paraId="3A5C3E13" w14:textId="0CECD0E9" w:rsidR="007B0DFA" w:rsidRPr="00771B84" w:rsidRDefault="007B0DFA" w:rsidP="001C3396">
      <w:pPr>
        <w:jc w:val="both"/>
        <w:rPr>
          <w:rFonts w:ascii="Arial" w:hAnsi="Arial" w:cs="Arial"/>
          <w:noProof/>
        </w:rPr>
      </w:pPr>
      <w:r w:rsidRPr="00771B84">
        <w:rPr>
          <w:rFonts w:ascii="Arial" w:hAnsi="Arial" w:cs="Arial"/>
          <w:noProof/>
        </w:rPr>
        <w:lastRenderedPageBreak/>
        <w:t>Domači cenovni pritiski so v Sloveniji v letu 2022, podobno kot v evroobmočju (ECB, 2023)</w:t>
      </w:r>
      <w:r w:rsidRPr="00771B84">
        <w:rPr>
          <w:rStyle w:val="FootnoteReference"/>
          <w:rFonts w:ascii="Arial" w:hAnsi="Arial" w:cs="Arial"/>
          <w:noProof/>
        </w:rPr>
        <w:footnoteReference w:id="7"/>
      </w:r>
      <w:r w:rsidRPr="00771B84">
        <w:rPr>
          <w:rFonts w:ascii="Arial" w:hAnsi="Arial" w:cs="Arial"/>
          <w:noProof/>
        </w:rPr>
        <w:t xml:space="preserve">, izhajali tako iz pospešene rasti stroškov dela na enoto proizvoda kot tudi iz rasti </w:t>
      </w:r>
      <w:r w:rsidR="00B47920">
        <w:rPr>
          <w:rFonts w:ascii="Arial" w:hAnsi="Arial" w:cs="Arial"/>
          <w:noProof/>
        </w:rPr>
        <w:t>poslovnega presežka</w:t>
      </w:r>
      <w:r w:rsidRPr="00771B84">
        <w:rPr>
          <w:rFonts w:ascii="Arial" w:hAnsi="Arial" w:cs="Arial"/>
          <w:noProof/>
        </w:rPr>
        <w:t xml:space="preserve"> na enoto proizvoda ter davkov na enoto proizvoda</w:t>
      </w:r>
      <w:r w:rsidRPr="00771B84">
        <w:rPr>
          <w:rStyle w:val="FootnoteReference"/>
          <w:rFonts w:ascii="Arial" w:hAnsi="Arial" w:cs="Arial"/>
          <w:noProof/>
        </w:rPr>
        <w:footnoteReference w:id="8"/>
      </w:r>
      <w:r w:rsidRPr="00771B84">
        <w:rPr>
          <w:rFonts w:ascii="Arial" w:hAnsi="Arial" w:cs="Arial"/>
          <w:noProof/>
        </w:rPr>
        <w:t>. V letu 2022 se je bruto poslovni presežek in raznovrstni dohodek na enoto proizvoda (</w:t>
      </w:r>
      <w:r w:rsidRPr="00440178">
        <w:rPr>
          <w:rFonts w:ascii="Arial" w:hAnsi="Arial" w:cs="Arial"/>
          <w:noProof/>
        </w:rPr>
        <w:t xml:space="preserve">na Sliki </w:t>
      </w:r>
      <w:r w:rsidR="00DD4683">
        <w:rPr>
          <w:rFonts w:ascii="Arial" w:hAnsi="Arial" w:cs="Arial"/>
          <w:noProof/>
        </w:rPr>
        <w:t>6</w:t>
      </w:r>
      <w:r w:rsidRPr="00440178">
        <w:rPr>
          <w:rFonts w:ascii="Arial" w:hAnsi="Arial" w:cs="Arial"/>
          <w:noProof/>
        </w:rPr>
        <w:t xml:space="preserve"> imenovan Poslovni presežek) povečal za 4,8 %, posledično se je tudi znatno okrepil njegov prispevek k domačim cenovnim pritiskom (na okoli tretjino). Sredstva za zaposlene na enoto proizvoda (na Sliki </w:t>
      </w:r>
      <w:r w:rsidR="00DD4683">
        <w:rPr>
          <w:rFonts w:ascii="Arial" w:hAnsi="Arial" w:cs="Arial"/>
          <w:noProof/>
        </w:rPr>
        <w:t>6</w:t>
      </w:r>
      <w:r w:rsidRPr="00440178">
        <w:rPr>
          <w:rFonts w:ascii="Arial" w:hAnsi="Arial" w:cs="Arial"/>
          <w:noProof/>
        </w:rPr>
        <w:t xml:space="preserve"> imenovana </w:t>
      </w:r>
      <w:r w:rsidRPr="00771B84">
        <w:rPr>
          <w:rFonts w:ascii="Arial" w:hAnsi="Arial" w:cs="Arial"/>
          <w:noProof/>
        </w:rPr>
        <w:t>Stroški dela) so se v letu 2022 povečala za 5,5 % in skupaj z davki na enoto proizvoda prispevala preostali dve trjetini povečanja BDP deflatorja.</w:t>
      </w:r>
    </w:p>
    <w:p w14:paraId="7FC63AEA" w14:textId="4BDFA787" w:rsidR="007B0DFA" w:rsidRDefault="007B0DFA" w:rsidP="00E4660B">
      <w:pPr>
        <w:spacing w:after="0"/>
        <w:jc w:val="both"/>
        <w:rPr>
          <w:rFonts w:ascii="Arial" w:hAnsi="Arial" w:cs="Arial"/>
          <w:noProof/>
        </w:rPr>
      </w:pPr>
      <w:r w:rsidRPr="00771B84">
        <w:rPr>
          <w:rFonts w:ascii="Arial" w:hAnsi="Arial" w:cs="Arial"/>
          <w:noProof/>
        </w:rPr>
        <w:t xml:space="preserve">V skladu z UMAR Jesensko napovedjo 2023, se bodo domači cenovni pritiski v tem letu še povečali, zunanji pa znatno upadli </w:t>
      </w:r>
      <w:r w:rsidRPr="001C3396">
        <w:rPr>
          <w:rFonts w:ascii="Arial" w:hAnsi="Arial" w:cs="Arial"/>
          <w:noProof/>
        </w:rPr>
        <w:t xml:space="preserve">(Slika </w:t>
      </w:r>
      <w:r w:rsidR="00DD4683">
        <w:rPr>
          <w:rFonts w:ascii="Arial" w:hAnsi="Arial" w:cs="Arial"/>
          <w:noProof/>
        </w:rPr>
        <w:t>6</w:t>
      </w:r>
      <w:r w:rsidRPr="001C3396">
        <w:rPr>
          <w:rFonts w:ascii="Arial" w:hAnsi="Arial" w:cs="Arial"/>
          <w:noProof/>
        </w:rPr>
        <w:t xml:space="preserve">). </w:t>
      </w:r>
      <w:r w:rsidR="00741CD0" w:rsidRPr="00741CD0">
        <w:rPr>
          <w:rFonts w:ascii="Arial" w:hAnsi="Arial" w:cs="Arial"/>
          <w:noProof/>
        </w:rPr>
        <w:t>V tem letu naj bi se tako prispevek bruto poslovnega presežka še okrepil in prispeval skoraj polovico domačih cenovnih pritiskov, preostalo polovico rasti BDP deflatorja pa bo pojasnevala rast stroškov dela na enoto proizvoda.</w:t>
      </w:r>
      <w:r w:rsidR="00741CD0">
        <w:rPr>
          <w:rFonts w:ascii="Arial" w:hAnsi="Arial" w:cs="Arial"/>
          <w:noProof/>
        </w:rPr>
        <w:t xml:space="preserve"> </w:t>
      </w:r>
      <w:r w:rsidRPr="00771B84">
        <w:rPr>
          <w:rFonts w:ascii="Arial" w:hAnsi="Arial" w:cs="Arial"/>
          <w:noProof/>
        </w:rPr>
        <w:t>Za leto 2024 se pričakuje umiritev domačih cenovnih pritiskov, pri</w:t>
      </w:r>
      <w:r w:rsidR="00741CD0">
        <w:rPr>
          <w:rFonts w:ascii="Arial" w:hAnsi="Arial" w:cs="Arial"/>
          <w:noProof/>
        </w:rPr>
        <w:t>s</w:t>
      </w:r>
      <w:r w:rsidRPr="00771B84">
        <w:rPr>
          <w:rFonts w:ascii="Arial" w:hAnsi="Arial" w:cs="Arial"/>
          <w:noProof/>
        </w:rPr>
        <w:t xml:space="preserve">pevek </w:t>
      </w:r>
      <w:r w:rsidR="00B47920">
        <w:rPr>
          <w:rFonts w:ascii="Arial" w:hAnsi="Arial" w:cs="Arial"/>
          <w:noProof/>
        </w:rPr>
        <w:t>poslovnega presežka</w:t>
      </w:r>
      <w:r w:rsidRPr="00771B84">
        <w:rPr>
          <w:rFonts w:ascii="Arial" w:hAnsi="Arial" w:cs="Arial"/>
          <w:noProof/>
        </w:rPr>
        <w:t xml:space="preserve"> naj bi postal negativen, prispevek rasti stroškov dela pa se vrnil na nekoliko nižjo raven kot v letu 2022.</w:t>
      </w:r>
    </w:p>
    <w:p w14:paraId="5E2AB8D6" w14:textId="77777777" w:rsidR="00E4660B" w:rsidRDefault="00E4660B" w:rsidP="00E4660B">
      <w:pPr>
        <w:spacing w:after="0"/>
        <w:jc w:val="both"/>
        <w:rPr>
          <w:rFonts w:ascii="Arial" w:hAnsi="Arial" w:cs="Arial"/>
          <w:noProof/>
        </w:rPr>
      </w:pPr>
    </w:p>
    <w:p w14:paraId="3C747A4E" w14:textId="0F3BD254" w:rsidR="00440178" w:rsidRPr="00440178" w:rsidRDefault="00440178" w:rsidP="00887B31">
      <w:pPr>
        <w:pStyle w:val="Caption"/>
        <w:keepNext/>
        <w:ind w:left="0" w:firstLine="0"/>
        <w:jc w:val="left"/>
        <w:rPr>
          <w:rFonts w:ascii="Arial" w:hAnsi="Arial" w:cs="Arial"/>
          <w:b w:val="0"/>
          <w:bCs/>
          <w:i w:val="0"/>
          <w:iCs/>
          <w:sz w:val="22"/>
          <w:szCs w:val="22"/>
        </w:rPr>
      </w:pPr>
      <w:r w:rsidRPr="00440178">
        <w:rPr>
          <w:rFonts w:ascii="Arial" w:hAnsi="Arial" w:cs="Arial"/>
          <w:b w:val="0"/>
          <w:bCs/>
          <w:i w:val="0"/>
          <w:iCs/>
          <w:sz w:val="22"/>
          <w:szCs w:val="22"/>
        </w:rPr>
        <w:t xml:space="preserve">Slika </w:t>
      </w:r>
      <w:r w:rsidRPr="00440178">
        <w:rPr>
          <w:rFonts w:ascii="Arial" w:hAnsi="Arial" w:cs="Arial"/>
          <w:b w:val="0"/>
          <w:bCs/>
          <w:i w:val="0"/>
          <w:iCs/>
          <w:sz w:val="22"/>
          <w:szCs w:val="22"/>
        </w:rPr>
        <w:fldChar w:fldCharType="begin"/>
      </w:r>
      <w:r w:rsidRPr="00440178">
        <w:rPr>
          <w:rFonts w:ascii="Arial" w:hAnsi="Arial" w:cs="Arial"/>
          <w:b w:val="0"/>
          <w:bCs/>
          <w:i w:val="0"/>
          <w:iCs/>
          <w:sz w:val="22"/>
          <w:szCs w:val="22"/>
        </w:rPr>
        <w:instrText xml:space="preserve"> SEQ Slika \* ARABIC </w:instrText>
      </w:r>
      <w:r w:rsidRPr="00440178">
        <w:rPr>
          <w:rFonts w:ascii="Arial" w:hAnsi="Arial" w:cs="Arial"/>
          <w:b w:val="0"/>
          <w:bCs/>
          <w:i w:val="0"/>
          <w:iCs/>
          <w:sz w:val="22"/>
          <w:szCs w:val="22"/>
        </w:rPr>
        <w:fldChar w:fldCharType="separate"/>
      </w:r>
      <w:r w:rsidR="00E4660B">
        <w:rPr>
          <w:rFonts w:ascii="Arial" w:hAnsi="Arial" w:cs="Arial"/>
          <w:b w:val="0"/>
          <w:bCs/>
          <w:i w:val="0"/>
          <w:iCs/>
          <w:noProof/>
          <w:sz w:val="22"/>
          <w:szCs w:val="22"/>
        </w:rPr>
        <w:t>6</w:t>
      </w:r>
      <w:r w:rsidRPr="00440178">
        <w:rPr>
          <w:rFonts w:ascii="Arial" w:hAnsi="Arial" w:cs="Arial"/>
          <w:b w:val="0"/>
          <w:bCs/>
          <w:i w:val="0"/>
          <w:iCs/>
          <w:sz w:val="22"/>
          <w:szCs w:val="22"/>
        </w:rPr>
        <w:fldChar w:fldCharType="end"/>
      </w:r>
      <w:r w:rsidRPr="00440178">
        <w:rPr>
          <w:rFonts w:ascii="Arial" w:hAnsi="Arial" w:cs="Arial"/>
          <w:b w:val="0"/>
          <w:bCs/>
          <w:i w:val="0"/>
          <w:iCs/>
          <w:sz w:val="22"/>
          <w:szCs w:val="22"/>
        </w:rPr>
        <w:t xml:space="preserve">: </w:t>
      </w:r>
      <w:r w:rsidRPr="00440178">
        <w:rPr>
          <w:rFonts w:ascii="Arial" w:hAnsi="Arial" w:cs="Arial"/>
          <w:b w:val="0"/>
          <w:bCs/>
          <w:i w:val="0"/>
          <w:iCs/>
          <w:noProof/>
          <w:sz w:val="22"/>
          <w:szCs w:val="22"/>
        </w:rPr>
        <w:t>Rast BDP deflatorja, deflatorja uvoza in deflatorja domače potrošnje</w:t>
      </w:r>
      <w:r w:rsidRPr="00440178">
        <w:rPr>
          <w:rStyle w:val="FootnoteReference"/>
          <w:rFonts w:ascii="Arial" w:hAnsi="Arial" w:cs="Arial"/>
          <w:b w:val="0"/>
          <w:bCs/>
          <w:i w:val="0"/>
          <w:iCs/>
          <w:noProof/>
          <w:sz w:val="22"/>
          <w:szCs w:val="22"/>
        </w:rPr>
        <w:footnoteReference w:id="9"/>
      </w:r>
      <w:r w:rsidRPr="00440178">
        <w:rPr>
          <w:rFonts w:ascii="Arial" w:hAnsi="Arial" w:cs="Arial"/>
          <w:b w:val="0"/>
          <w:bCs/>
          <w:i w:val="0"/>
          <w:iCs/>
          <w:noProof/>
          <w:sz w:val="22"/>
          <w:szCs w:val="22"/>
        </w:rPr>
        <w:t xml:space="preserve"> (indeks) – graf levo ter Rast BDP deflatorja (%) in njegovih prispevkov (izraženih v realnem BDP, v o.t.)</w:t>
      </w:r>
      <w:r w:rsidR="001C3396">
        <w:rPr>
          <w:rFonts w:ascii="Arial" w:hAnsi="Arial" w:cs="Arial"/>
          <w:b w:val="0"/>
          <w:bCs/>
          <w:i w:val="0"/>
          <w:iCs/>
          <w:noProof/>
          <w:sz w:val="22"/>
          <w:szCs w:val="22"/>
        </w:rPr>
        <w:t xml:space="preserve"> </w:t>
      </w:r>
      <w:r w:rsidR="00DD2AFA" w:rsidRPr="00440178">
        <w:rPr>
          <w:rFonts w:ascii="Arial" w:hAnsi="Arial" w:cs="Arial"/>
          <w:b w:val="0"/>
          <w:bCs/>
          <w:i w:val="0"/>
          <w:iCs/>
          <w:noProof/>
          <w:sz w:val="22"/>
          <w:szCs w:val="22"/>
        </w:rPr>
        <w:t>–</w:t>
      </w:r>
      <w:r w:rsidR="001C3396">
        <w:rPr>
          <w:rFonts w:ascii="Arial" w:hAnsi="Arial" w:cs="Arial"/>
          <w:b w:val="0"/>
          <w:bCs/>
          <w:i w:val="0"/>
          <w:iCs/>
          <w:noProof/>
          <w:sz w:val="22"/>
          <w:szCs w:val="22"/>
        </w:rPr>
        <w:t>desno</w:t>
      </w:r>
    </w:p>
    <w:p w14:paraId="0D89D755" w14:textId="77777777" w:rsidR="007B0DFA" w:rsidRPr="00771B84" w:rsidRDefault="007B0DFA" w:rsidP="007B0DFA">
      <w:pPr>
        <w:spacing w:after="0"/>
        <w:rPr>
          <w:rFonts w:ascii="Arial" w:hAnsi="Arial" w:cs="Arial"/>
          <w:sz w:val="20"/>
          <w:szCs w:val="20"/>
        </w:rPr>
      </w:pPr>
      <w:r w:rsidRPr="00771B84">
        <w:rPr>
          <w:rFonts w:ascii="Arial" w:hAnsi="Arial" w:cs="Arial"/>
          <w:noProof/>
          <w:sz w:val="20"/>
          <w:szCs w:val="20"/>
        </w:rPr>
        <w:drawing>
          <wp:inline distT="0" distB="0" distL="0" distR="0" wp14:anchorId="0A095B6C" wp14:editId="4D79CA31">
            <wp:extent cx="2724150" cy="2880995"/>
            <wp:effectExtent l="0" t="0" r="0" b="0"/>
            <wp:docPr id="9" name="Chart 9">
              <a:extLst xmlns:a="http://schemas.openxmlformats.org/drawingml/2006/main">
                <a:ext uri="{FF2B5EF4-FFF2-40B4-BE49-F238E27FC236}">
                  <a16:creationId xmlns:a16="http://schemas.microsoft.com/office/drawing/2014/main" id="{66CC0453-AB31-4423-A30C-44EBAE7B7A5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r w:rsidRPr="00771B84">
        <w:rPr>
          <w:rFonts w:ascii="Arial" w:hAnsi="Arial" w:cs="Arial"/>
          <w:noProof/>
          <w:sz w:val="20"/>
          <w:szCs w:val="20"/>
        </w:rPr>
        <w:drawing>
          <wp:inline distT="0" distB="0" distL="0" distR="0" wp14:anchorId="6B8EB23D" wp14:editId="58C6797C">
            <wp:extent cx="2847975" cy="2928620"/>
            <wp:effectExtent l="0" t="0" r="0" b="5080"/>
            <wp:docPr id="10" name="Chart 10">
              <a:extLst xmlns:a="http://schemas.openxmlformats.org/drawingml/2006/main">
                <a:ext uri="{FF2B5EF4-FFF2-40B4-BE49-F238E27FC236}">
                  <a16:creationId xmlns:a16="http://schemas.microsoft.com/office/drawing/2014/main" id="{7F4D1FA0-AB8D-473F-A749-70A4418B5C2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7C169970" w14:textId="77777777" w:rsidR="007B0DFA" w:rsidRPr="00771B84" w:rsidRDefault="007B0DFA" w:rsidP="007B0DFA">
      <w:pPr>
        <w:rPr>
          <w:rFonts w:ascii="Arial" w:hAnsi="Arial" w:cs="Arial"/>
          <w:sz w:val="20"/>
          <w:szCs w:val="20"/>
        </w:rPr>
      </w:pPr>
      <w:r w:rsidRPr="00771B84">
        <w:rPr>
          <w:rFonts w:ascii="Arial" w:hAnsi="Arial" w:cs="Arial"/>
          <w:sz w:val="20"/>
          <w:szCs w:val="20"/>
        </w:rPr>
        <w:t>Vir: UMAR Jesenska napoved 2023; lastni preračuni.</w:t>
      </w:r>
    </w:p>
    <w:p w14:paraId="47397216" w14:textId="77777777" w:rsidR="007B0DFA" w:rsidRPr="00F97F17" w:rsidRDefault="007B0DFA" w:rsidP="00912D45">
      <w:pPr>
        <w:rPr>
          <w:rFonts w:ascii="Arial" w:hAnsi="Arial" w:cs="Arial"/>
        </w:rPr>
      </w:pPr>
    </w:p>
    <w:p w14:paraId="29516753" w14:textId="77777777" w:rsidR="00312CC7" w:rsidRDefault="00312CC7" w:rsidP="002335D7">
      <w:pPr>
        <w:spacing w:after="0"/>
        <w:rPr>
          <w:rFonts w:ascii="Arial" w:hAnsi="Arial" w:cs="Arial"/>
          <w:b/>
          <w:bCs/>
          <w:u w:val="single"/>
        </w:rPr>
      </w:pPr>
    </w:p>
    <w:p w14:paraId="34876900" w14:textId="32F5AE8C" w:rsidR="007C174D" w:rsidRPr="002335D7" w:rsidRDefault="007C174D" w:rsidP="002335D7">
      <w:pPr>
        <w:spacing w:after="0"/>
        <w:rPr>
          <w:rFonts w:ascii="Arial" w:hAnsi="Arial" w:cs="Arial"/>
          <w:b/>
          <w:bCs/>
          <w:u w:val="single"/>
        </w:rPr>
      </w:pPr>
      <w:r w:rsidRPr="002335D7">
        <w:rPr>
          <w:rFonts w:ascii="Arial" w:hAnsi="Arial" w:cs="Arial"/>
          <w:b/>
          <w:bCs/>
          <w:u w:val="single"/>
        </w:rPr>
        <w:lastRenderedPageBreak/>
        <w:t>Položaj v ciklu</w:t>
      </w:r>
    </w:p>
    <w:p w14:paraId="1D2346B2" w14:textId="77777777" w:rsidR="002335D7" w:rsidRDefault="002335D7" w:rsidP="002335D7">
      <w:pPr>
        <w:spacing w:after="0"/>
        <w:jc w:val="both"/>
        <w:rPr>
          <w:rFonts w:ascii="Arial" w:hAnsi="Arial" w:cs="Arial"/>
        </w:rPr>
      </w:pPr>
    </w:p>
    <w:p w14:paraId="49D3FDA4" w14:textId="7DB4D383" w:rsidR="007C174D" w:rsidRPr="00F97F17" w:rsidRDefault="007C174D" w:rsidP="007C174D">
      <w:pPr>
        <w:jc w:val="both"/>
        <w:rPr>
          <w:rFonts w:ascii="Arial" w:hAnsi="Arial" w:cs="Arial"/>
        </w:rPr>
      </w:pPr>
      <w:r w:rsidRPr="00F97F17">
        <w:rPr>
          <w:rFonts w:ascii="Arial" w:hAnsi="Arial" w:cs="Arial"/>
        </w:rPr>
        <w:t>Ocena proizvodne vrzeli se uporablja za določitev faze poslovnega cikla, v katerem se določeno gospodarstvo nahaja, in je v normalnih razmerah osnova za vodenje fiskalne politike. Opredelitev gibanja gospodarskega cikla v dejanskem času je zahtevno zaradi negotovosti ocen proizvodne vrzeli, še posebej okoli tistih na koncu vzorca (Orphanides in Van Norden, 2002)</w:t>
      </w:r>
      <w:r w:rsidRPr="00F97F17">
        <w:rPr>
          <w:rFonts w:ascii="Arial" w:hAnsi="Arial" w:cs="Arial"/>
          <w:vertAlign w:val="superscript"/>
        </w:rPr>
        <w:footnoteReference w:id="10"/>
      </w:r>
      <w:r w:rsidRPr="00F97F17">
        <w:rPr>
          <w:rFonts w:ascii="Arial" w:hAnsi="Arial" w:cs="Arial"/>
        </w:rPr>
        <w:t xml:space="preserve">. K negotovosti ocen poleg uporabljene metode izračunavanja proizvodne vrzeli vplivajo tudi metoda izračuna potencialnega proizvoda, revizije makroekonomskih podatkov, dolžina vključenih serij in spremembe v makroekonomskih napovedih. Pogoste in občutne revizije makroekonomskih podatkov in spremembe v napovedih gospodarskih gibanj, ki so prisotne ob pojavu eksogenega šoka (kot je kriza COVID-19 in invazija Rusije na Ukrajino), so tako eden izmed ključnih dejavnikov morebitnih razlik med ciljnimi in doseženimi vrednosti fiskalnih agregatov in s tem ocen usklajenosti s fiskalnimi pravili. </w:t>
      </w:r>
    </w:p>
    <w:p w14:paraId="64B651D8" w14:textId="179B835A" w:rsidR="007C174D" w:rsidRDefault="007C174D" w:rsidP="00887B31">
      <w:pPr>
        <w:spacing w:after="0"/>
        <w:jc w:val="both"/>
        <w:rPr>
          <w:rFonts w:ascii="Arial" w:hAnsi="Arial" w:cs="Arial"/>
        </w:rPr>
      </w:pPr>
      <w:r w:rsidRPr="00F97F17">
        <w:rPr>
          <w:rFonts w:ascii="Arial" w:hAnsi="Arial" w:cs="Arial"/>
        </w:rPr>
        <w:t>Pristranskost ocen proizvodne vrzeli v realnem času je razvidna tudi iz močne variabilnosti njenih ocen, pripravljenih na podlagi različnih napovedi gospodarskih gibanj. Pomladanske ocene Ministrstva za finance so nakazovale, da je v letu 2022 proizvodna vrzel Slovenije dosegla ciklični vrh in znašala 3,1 % potencialnega BDP. Ob znatni reviziji realne gospodarske rasti za leto 2022 (</w:t>
      </w:r>
      <w:r w:rsidR="00AC4760">
        <w:rPr>
          <w:rFonts w:ascii="Arial" w:hAnsi="Arial" w:cs="Arial"/>
        </w:rPr>
        <w:t>s</w:t>
      </w:r>
      <w:r w:rsidRPr="00F97F17">
        <w:rPr>
          <w:rFonts w:ascii="Arial" w:hAnsi="Arial" w:cs="Arial"/>
        </w:rPr>
        <w:t xml:space="preserve"> 5,4 % na 2,5 %) pa trenutne ocene Ministrstva za finance nakazujejo, da je bil ciklični vrh dosežen že v letu 2021, ko naj bi realni BDP presegel potencialnega za 2,0 %. Po najnovejših ocenah Ministrstva za finance naj bi tako proizvodna vrzel v letu 2022 znašala 1,9 % potencialnega BDP in se</w:t>
      </w:r>
      <w:r w:rsidR="008629DF">
        <w:rPr>
          <w:rFonts w:ascii="Arial" w:hAnsi="Arial" w:cs="Arial"/>
        </w:rPr>
        <w:t xml:space="preserve"> </w:t>
      </w:r>
      <w:r w:rsidRPr="00F97F17">
        <w:rPr>
          <w:rFonts w:ascii="Arial" w:hAnsi="Arial" w:cs="Arial"/>
        </w:rPr>
        <w:t xml:space="preserve">v letu 2023 znižala na 0,7 % potencialnega BDP </w:t>
      </w:r>
      <w:r w:rsidRPr="001C3396">
        <w:rPr>
          <w:rFonts w:ascii="Arial" w:hAnsi="Arial" w:cs="Arial"/>
        </w:rPr>
        <w:t xml:space="preserve">(Slika </w:t>
      </w:r>
      <w:r w:rsidR="00DD4683">
        <w:rPr>
          <w:rFonts w:ascii="Arial" w:hAnsi="Arial" w:cs="Arial"/>
        </w:rPr>
        <w:t>7</w:t>
      </w:r>
      <w:r w:rsidRPr="001C3396">
        <w:rPr>
          <w:rFonts w:ascii="Arial" w:hAnsi="Arial" w:cs="Arial"/>
        </w:rPr>
        <w:t xml:space="preserve">). </w:t>
      </w:r>
      <w:r w:rsidR="00396B15">
        <w:rPr>
          <w:rFonts w:ascii="Arial" w:hAnsi="Arial" w:cs="Arial"/>
        </w:rPr>
        <w:t xml:space="preserve">Tako se </w:t>
      </w:r>
      <w:r w:rsidRPr="001C3396">
        <w:rPr>
          <w:rFonts w:ascii="Arial" w:hAnsi="Arial" w:cs="Arial"/>
        </w:rPr>
        <w:t xml:space="preserve">slovensko gospodarstvo v tem letu </w:t>
      </w:r>
      <w:r w:rsidR="00396B15">
        <w:rPr>
          <w:rFonts w:ascii="Arial" w:hAnsi="Arial" w:cs="Arial"/>
        </w:rPr>
        <w:t xml:space="preserve">nahaja </w:t>
      </w:r>
      <w:r w:rsidRPr="00F97F17">
        <w:rPr>
          <w:rFonts w:ascii="Arial" w:hAnsi="Arial" w:cs="Arial"/>
        </w:rPr>
        <w:t>v območju normalnega obdobja poslovnega cikla. Evropska komisija namreč definira normalne čase kot obdobje, v katerem ocena proizvodne vrzeli znaša med -1,5 in 1,5 % potencialnega BDP, dobre čase pa kot obdobje, v katerem se ocena proizvodne vrzeli nahaja nad 1,5 % potencialnega BDP (Evropska komisija, 2019)</w:t>
      </w:r>
      <w:r w:rsidRPr="00F97F17">
        <w:rPr>
          <w:rStyle w:val="FootnoteReference"/>
          <w:rFonts w:ascii="Arial" w:hAnsi="Arial" w:cs="Arial"/>
        </w:rPr>
        <w:footnoteReference w:id="11"/>
      </w:r>
      <w:r w:rsidRPr="00F97F17">
        <w:rPr>
          <w:rFonts w:ascii="Arial" w:hAnsi="Arial" w:cs="Arial"/>
        </w:rPr>
        <w:t xml:space="preserve">. Trenutne ocene Ministrstva za finance predvidevajo, da bo v prihodnjih štirih letih proizvodna vrzel ostala pozitivna, vendar se </w:t>
      </w:r>
      <w:r w:rsidR="008629DF">
        <w:rPr>
          <w:rFonts w:ascii="Arial" w:hAnsi="Arial" w:cs="Arial"/>
        </w:rPr>
        <w:t>ohranjala</w:t>
      </w:r>
      <w:r w:rsidRPr="00F97F17">
        <w:rPr>
          <w:rFonts w:ascii="Arial" w:hAnsi="Arial" w:cs="Arial"/>
        </w:rPr>
        <w:t xml:space="preserve"> okoli 0,7 % potencialnega BDP, saj bo rast gospodarskega potenciala v povprečju obdobja 2023-2028 predvidoma presegala rast realnega BDP za 0,2 o.t. na leto.</w:t>
      </w:r>
    </w:p>
    <w:p w14:paraId="7253182D" w14:textId="77777777" w:rsidR="00887B31" w:rsidRPr="00F97F17" w:rsidRDefault="00887B31" w:rsidP="00887B31">
      <w:pPr>
        <w:spacing w:after="0"/>
        <w:jc w:val="both"/>
        <w:rPr>
          <w:rFonts w:ascii="Arial" w:hAnsi="Arial" w:cs="Arial"/>
        </w:rPr>
      </w:pPr>
    </w:p>
    <w:p w14:paraId="58E49C6F" w14:textId="77777777" w:rsidR="00E4660B" w:rsidRDefault="00E4660B">
      <w:pPr>
        <w:rPr>
          <w:rFonts w:ascii="Arial" w:eastAsia="Times New Roman" w:hAnsi="Arial" w:cs="Arial"/>
          <w:bCs/>
          <w:iCs/>
          <w:lang w:eastAsia="sl-SI"/>
        </w:rPr>
      </w:pPr>
      <w:r>
        <w:rPr>
          <w:rFonts w:ascii="Arial" w:hAnsi="Arial" w:cs="Arial"/>
          <w:b/>
          <w:bCs/>
          <w:i/>
          <w:iCs/>
        </w:rPr>
        <w:br w:type="page"/>
      </w:r>
    </w:p>
    <w:p w14:paraId="21B2AD6A" w14:textId="4B8F70BB" w:rsidR="002E7D2A" w:rsidRPr="00F97F17" w:rsidRDefault="002E7D2A" w:rsidP="00887B31">
      <w:pPr>
        <w:pStyle w:val="Caption"/>
        <w:keepNext/>
        <w:spacing w:before="0" w:after="0" w:line="259" w:lineRule="auto"/>
        <w:ind w:left="0" w:firstLine="0"/>
        <w:rPr>
          <w:rFonts w:ascii="Arial" w:hAnsi="Arial" w:cs="Arial"/>
          <w:b w:val="0"/>
          <w:bCs/>
          <w:i w:val="0"/>
          <w:iCs/>
          <w:noProof/>
          <w:sz w:val="22"/>
          <w:szCs w:val="22"/>
        </w:rPr>
      </w:pPr>
      <w:r w:rsidRPr="00F97F17">
        <w:rPr>
          <w:rFonts w:ascii="Arial" w:hAnsi="Arial" w:cs="Arial"/>
          <w:b w:val="0"/>
          <w:bCs/>
          <w:i w:val="0"/>
          <w:iCs/>
          <w:sz w:val="22"/>
          <w:szCs w:val="22"/>
        </w:rPr>
        <w:lastRenderedPageBreak/>
        <w:t xml:space="preserve">Slika </w:t>
      </w:r>
      <w:r w:rsidRPr="00F97F17">
        <w:rPr>
          <w:rFonts w:ascii="Arial" w:hAnsi="Arial" w:cs="Arial"/>
          <w:b w:val="0"/>
          <w:bCs/>
          <w:i w:val="0"/>
          <w:iCs/>
          <w:sz w:val="22"/>
          <w:szCs w:val="22"/>
        </w:rPr>
        <w:fldChar w:fldCharType="begin"/>
      </w:r>
      <w:r w:rsidRPr="00F97F17">
        <w:rPr>
          <w:rFonts w:ascii="Arial" w:hAnsi="Arial" w:cs="Arial"/>
          <w:b w:val="0"/>
          <w:bCs/>
          <w:i w:val="0"/>
          <w:iCs/>
          <w:sz w:val="22"/>
          <w:szCs w:val="22"/>
        </w:rPr>
        <w:instrText xml:space="preserve"> SEQ Slika \* ARABIC </w:instrText>
      </w:r>
      <w:r w:rsidRPr="00F97F17">
        <w:rPr>
          <w:rFonts w:ascii="Arial" w:hAnsi="Arial" w:cs="Arial"/>
          <w:b w:val="0"/>
          <w:bCs/>
          <w:i w:val="0"/>
          <w:iCs/>
          <w:sz w:val="22"/>
          <w:szCs w:val="22"/>
        </w:rPr>
        <w:fldChar w:fldCharType="separate"/>
      </w:r>
      <w:r w:rsidR="00E4660B">
        <w:rPr>
          <w:rFonts w:ascii="Arial" w:hAnsi="Arial" w:cs="Arial"/>
          <w:b w:val="0"/>
          <w:bCs/>
          <w:i w:val="0"/>
          <w:iCs/>
          <w:noProof/>
          <w:sz w:val="22"/>
          <w:szCs w:val="22"/>
        </w:rPr>
        <w:t>7</w:t>
      </w:r>
      <w:r w:rsidRPr="00F97F17">
        <w:rPr>
          <w:rFonts w:ascii="Arial" w:hAnsi="Arial" w:cs="Arial"/>
          <w:b w:val="0"/>
          <w:bCs/>
          <w:i w:val="0"/>
          <w:iCs/>
          <w:sz w:val="22"/>
          <w:szCs w:val="22"/>
        </w:rPr>
        <w:fldChar w:fldCharType="end"/>
      </w:r>
      <w:r w:rsidRPr="00F97F17">
        <w:rPr>
          <w:rFonts w:ascii="Arial" w:hAnsi="Arial" w:cs="Arial"/>
          <w:b w:val="0"/>
          <w:bCs/>
          <w:i w:val="0"/>
          <w:iCs/>
          <w:sz w:val="22"/>
          <w:szCs w:val="22"/>
        </w:rPr>
        <w:t>: Proizvodna vrzel (v % potencialnega BDP), izračun Ministrstva za finance na podlagi</w:t>
      </w:r>
      <w:r w:rsidRPr="00F97F17">
        <w:rPr>
          <w:rFonts w:ascii="Arial" w:hAnsi="Arial" w:cs="Arial"/>
          <w:b w:val="0"/>
          <w:bCs/>
          <w:i w:val="0"/>
          <w:sz w:val="22"/>
          <w:szCs w:val="22"/>
        </w:rPr>
        <w:t xml:space="preserve"> UMAR Jesenske napovedi gospodarskih gibanj 2023 (MF OPN 2024) in UMAR Pomladanske napovedi gospodarskih gibanj 2023 (MF PS 2023) ter realna rast BDP (v %)</w:t>
      </w:r>
    </w:p>
    <w:p w14:paraId="50D92A8E" w14:textId="77777777" w:rsidR="007C174D" w:rsidRPr="00F97F17" w:rsidRDefault="007C174D" w:rsidP="007C174D">
      <w:pPr>
        <w:spacing w:after="0"/>
        <w:rPr>
          <w:rFonts w:ascii="Arial" w:hAnsi="Arial" w:cs="Arial"/>
        </w:rPr>
      </w:pPr>
      <w:r w:rsidRPr="00F97F17">
        <w:rPr>
          <w:rFonts w:ascii="Arial" w:hAnsi="Arial" w:cs="Arial"/>
          <w:noProof/>
        </w:rPr>
        <w:drawing>
          <wp:inline distT="0" distB="0" distL="0" distR="0" wp14:anchorId="41E33F24" wp14:editId="29621A2B">
            <wp:extent cx="4572000" cy="3328988"/>
            <wp:effectExtent l="0" t="0" r="0" b="5080"/>
            <wp:docPr id="5" name="Chart 5">
              <a:extLst xmlns:a="http://schemas.openxmlformats.org/drawingml/2006/main">
                <a:ext uri="{FF2B5EF4-FFF2-40B4-BE49-F238E27FC236}">
                  <a16:creationId xmlns:a16="http://schemas.microsoft.com/office/drawing/2014/main" id="{B691142C-5D84-6519-9AD5-36B425E3EBA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436791DE" w14:textId="050293A6" w:rsidR="003B3338" w:rsidRDefault="007C174D" w:rsidP="00E4660B">
      <w:pPr>
        <w:spacing w:after="0"/>
        <w:rPr>
          <w:rFonts w:ascii="Arial" w:hAnsi="Arial" w:cs="Arial"/>
          <w:sz w:val="20"/>
          <w:szCs w:val="20"/>
        </w:rPr>
      </w:pPr>
      <w:r w:rsidRPr="00F97F17">
        <w:rPr>
          <w:rFonts w:ascii="Arial" w:hAnsi="Arial" w:cs="Arial"/>
          <w:sz w:val="20"/>
          <w:szCs w:val="20"/>
        </w:rPr>
        <w:t>Vir: AMECO; Ministrstvo za finance, lastni izračuni; UMAR Jesenska napoved 2023.</w:t>
      </w:r>
    </w:p>
    <w:p w14:paraId="4EE709EA" w14:textId="77777777" w:rsidR="00E4660B" w:rsidRPr="00E4660B" w:rsidRDefault="00E4660B" w:rsidP="00E4660B">
      <w:pPr>
        <w:spacing w:after="0"/>
        <w:rPr>
          <w:rFonts w:ascii="Arial" w:hAnsi="Arial" w:cs="Arial"/>
          <w:sz w:val="20"/>
          <w:szCs w:val="20"/>
        </w:rPr>
      </w:pPr>
    </w:p>
    <w:p w14:paraId="58D0C5E6" w14:textId="65FDCB43" w:rsidR="00A00B56" w:rsidRDefault="007C174D" w:rsidP="00E4660B">
      <w:pPr>
        <w:spacing w:after="0"/>
        <w:jc w:val="both"/>
        <w:rPr>
          <w:rFonts w:ascii="Arial" w:hAnsi="Arial" w:cs="Arial"/>
        </w:rPr>
      </w:pPr>
      <w:r w:rsidRPr="001C3396">
        <w:rPr>
          <w:rFonts w:ascii="Arial" w:hAnsi="Arial" w:cs="Arial"/>
        </w:rPr>
        <w:t xml:space="preserve">Letna rast ponudbenega potenciala bo v povprečju obdobja 2023-2028 predvidoma znašala 2,6 %. Ob predvideni krepitvi investicij v osnovna sredstva se bo najbolj okrepil prispevek kapitala,  sicer pa bo k rasti potencialnega BDP Slovenije še naprej največ prispeval tehnični napredek (na Sliki </w:t>
      </w:r>
      <w:r w:rsidR="00DD4683">
        <w:rPr>
          <w:rFonts w:ascii="Arial" w:hAnsi="Arial" w:cs="Arial"/>
        </w:rPr>
        <w:t>8</w:t>
      </w:r>
      <w:r w:rsidR="001C3396" w:rsidRPr="001C3396">
        <w:rPr>
          <w:rFonts w:ascii="Arial" w:hAnsi="Arial" w:cs="Arial"/>
        </w:rPr>
        <w:t xml:space="preserve"> </w:t>
      </w:r>
      <w:r w:rsidRPr="001C3396">
        <w:rPr>
          <w:rFonts w:ascii="Arial" w:hAnsi="Arial" w:cs="Arial"/>
        </w:rPr>
        <w:t xml:space="preserve">TFP). Prispevek proizvodnega dejavnika dela naj bi se okrepil predvsem v tem in prihodnjih dveh letih in za tem upadel, vendar ostal nad svojim dolgoročnim povprečjem. </w:t>
      </w:r>
    </w:p>
    <w:p w14:paraId="546BBBFB" w14:textId="77777777" w:rsidR="00E4660B" w:rsidRDefault="00E4660B" w:rsidP="00E4660B">
      <w:pPr>
        <w:spacing w:after="0"/>
        <w:jc w:val="both"/>
        <w:rPr>
          <w:rFonts w:ascii="Arial" w:hAnsi="Arial" w:cs="Arial"/>
        </w:rPr>
      </w:pPr>
    </w:p>
    <w:p w14:paraId="483DA555" w14:textId="1C2DF857" w:rsidR="002E7D2A" w:rsidRPr="00E4660B" w:rsidRDefault="002E7D2A" w:rsidP="00E4660B">
      <w:pPr>
        <w:rPr>
          <w:rFonts w:ascii="Arial" w:eastAsia="Times New Roman" w:hAnsi="Arial" w:cs="Arial"/>
          <w:bCs/>
          <w:iCs/>
          <w:lang w:eastAsia="sl-SI"/>
        </w:rPr>
      </w:pPr>
      <w:r w:rsidRPr="00E4660B">
        <w:rPr>
          <w:rFonts w:ascii="Arial" w:hAnsi="Arial" w:cs="Arial"/>
          <w:bCs/>
          <w:iCs/>
        </w:rPr>
        <w:t xml:space="preserve">Slika </w:t>
      </w:r>
      <w:r w:rsidRPr="00E4660B">
        <w:rPr>
          <w:rFonts w:ascii="Arial" w:hAnsi="Arial" w:cs="Arial"/>
          <w:bCs/>
          <w:iCs/>
        </w:rPr>
        <w:fldChar w:fldCharType="begin"/>
      </w:r>
      <w:r w:rsidRPr="00E4660B">
        <w:rPr>
          <w:rFonts w:ascii="Arial" w:hAnsi="Arial" w:cs="Arial"/>
          <w:bCs/>
          <w:iCs/>
        </w:rPr>
        <w:instrText xml:space="preserve"> SEQ Slika \* ARABIC </w:instrText>
      </w:r>
      <w:r w:rsidRPr="00E4660B">
        <w:rPr>
          <w:rFonts w:ascii="Arial" w:hAnsi="Arial" w:cs="Arial"/>
          <w:bCs/>
          <w:iCs/>
        </w:rPr>
        <w:fldChar w:fldCharType="separate"/>
      </w:r>
      <w:r w:rsidR="00E4660B" w:rsidRPr="00E4660B">
        <w:rPr>
          <w:rFonts w:ascii="Arial" w:hAnsi="Arial" w:cs="Arial"/>
          <w:bCs/>
          <w:iCs/>
          <w:noProof/>
        </w:rPr>
        <w:t>8</w:t>
      </w:r>
      <w:r w:rsidRPr="00E4660B">
        <w:rPr>
          <w:rFonts w:ascii="Arial" w:hAnsi="Arial" w:cs="Arial"/>
          <w:bCs/>
          <w:iCs/>
        </w:rPr>
        <w:fldChar w:fldCharType="end"/>
      </w:r>
      <w:r w:rsidRPr="00E4660B">
        <w:rPr>
          <w:rFonts w:ascii="Arial" w:hAnsi="Arial" w:cs="Arial"/>
          <w:bCs/>
          <w:iCs/>
        </w:rPr>
        <w:t>: Rast potencialnega BDP Slovenije (v %) in prispevki k njegovi rasti (v o.t.</w:t>
      </w:r>
      <w:r w:rsidRPr="00F97F17">
        <w:rPr>
          <w:rFonts w:ascii="Arial" w:hAnsi="Arial" w:cs="Arial"/>
          <w:bCs/>
          <w:iCs/>
        </w:rPr>
        <w:t xml:space="preserve"> potencialnega BDP)</w:t>
      </w:r>
    </w:p>
    <w:p w14:paraId="575414DF" w14:textId="68A09E2F" w:rsidR="007C174D" w:rsidRPr="00F97F17" w:rsidRDefault="007C174D" w:rsidP="00A00B56">
      <w:pPr>
        <w:spacing w:after="0"/>
        <w:jc w:val="both"/>
        <w:rPr>
          <w:rFonts w:ascii="Arial" w:hAnsi="Arial" w:cs="Arial"/>
          <w:sz w:val="20"/>
          <w:szCs w:val="20"/>
        </w:rPr>
      </w:pPr>
      <w:r w:rsidRPr="00F97F17">
        <w:rPr>
          <w:rFonts w:ascii="Arial" w:hAnsi="Arial" w:cs="Arial"/>
          <w:noProof/>
        </w:rPr>
        <w:drawing>
          <wp:anchor distT="0" distB="0" distL="114300" distR="114300" simplePos="0" relativeHeight="251659264" behindDoc="1" locked="0" layoutInCell="1" allowOverlap="1" wp14:anchorId="2561C3A9" wp14:editId="59935A78">
            <wp:simplePos x="901700" y="6153150"/>
            <wp:positionH relativeFrom="margin">
              <wp:align>left</wp:align>
            </wp:positionH>
            <wp:positionV relativeFrom="paragraph">
              <wp:align>top</wp:align>
            </wp:positionV>
            <wp:extent cx="5343525" cy="2867025"/>
            <wp:effectExtent l="0" t="0" r="0" b="0"/>
            <wp:wrapSquare wrapText="bothSides"/>
            <wp:docPr id="7" name="Chart 7">
              <a:extLst xmlns:a="http://schemas.openxmlformats.org/drawingml/2006/main">
                <a:ext uri="{FF2B5EF4-FFF2-40B4-BE49-F238E27FC236}">
                  <a16:creationId xmlns:a16="http://schemas.microsoft.com/office/drawing/2014/main" id="{6B0E8FDB-970F-D1E8-7311-57B027948DB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margin">
              <wp14:pctWidth>0</wp14:pctWidth>
            </wp14:sizeRelH>
            <wp14:sizeRelV relativeFrom="margin">
              <wp14:pctHeight>0</wp14:pctHeight>
            </wp14:sizeRelV>
          </wp:anchor>
        </w:drawing>
      </w:r>
      <w:r w:rsidRPr="00F97F17">
        <w:rPr>
          <w:rFonts w:ascii="Arial" w:hAnsi="Arial" w:cs="Arial"/>
          <w:highlight w:val="cyan"/>
          <w:lang w:val="it-IT"/>
        </w:rPr>
        <w:br w:type="textWrapping" w:clear="all"/>
      </w:r>
      <w:r w:rsidRPr="00F97F17">
        <w:rPr>
          <w:rFonts w:ascii="Arial" w:hAnsi="Arial" w:cs="Arial"/>
          <w:sz w:val="20"/>
          <w:szCs w:val="20"/>
        </w:rPr>
        <w:t>Vir: AMECO; Ministrstvo za finance, lastni izračuni; UMAR Jesenska napoved 2023.</w:t>
      </w:r>
    </w:p>
    <w:p w14:paraId="4FB1A420" w14:textId="74E16570" w:rsidR="007C174D" w:rsidRPr="001C3396" w:rsidRDefault="007C174D" w:rsidP="007C174D">
      <w:pPr>
        <w:jc w:val="both"/>
        <w:rPr>
          <w:rFonts w:ascii="Arial" w:hAnsi="Arial" w:cs="Arial"/>
        </w:rPr>
      </w:pPr>
      <w:r w:rsidRPr="001C3396">
        <w:rPr>
          <w:rFonts w:ascii="Arial" w:hAnsi="Arial" w:cs="Arial"/>
        </w:rPr>
        <w:lastRenderedPageBreak/>
        <w:t>Ocene proizvodne vrzeli so poleg na revizijo vhodnih podatkov močno občutljive tudi na uporabljeno metodologijo njenega izračuna ter predpostavke o strukturnih parametrih. Posledično so si tudi ocene mednarodnih inštitucij</w:t>
      </w:r>
      <w:r w:rsidRPr="001C3396">
        <w:rPr>
          <w:rStyle w:val="FootnoteReference"/>
          <w:rFonts w:ascii="Arial" w:hAnsi="Arial" w:cs="Arial"/>
        </w:rPr>
        <w:footnoteReference w:id="12"/>
      </w:r>
      <w:r w:rsidRPr="001C3396">
        <w:rPr>
          <w:rFonts w:ascii="Arial" w:hAnsi="Arial" w:cs="Arial"/>
        </w:rPr>
        <w:t xml:space="preserve"> zelo različne.</w:t>
      </w:r>
    </w:p>
    <w:p w14:paraId="6CF235CA" w14:textId="56B2A44C" w:rsidR="007C174D" w:rsidRPr="001C3396" w:rsidRDefault="007C174D" w:rsidP="007C174D">
      <w:pPr>
        <w:jc w:val="both"/>
        <w:rPr>
          <w:rFonts w:ascii="Arial" w:hAnsi="Arial" w:cs="Arial"/>
        </w:rPr>
      </w:pPr>
      <w:r w:rsidRPr="001C3396">
        <w:rPr>
          <w:rFonts w:ascii="Arial" w:hAnsi="Arial" w:cs="Arial"/>
        </w:rPr>
        <w:t>UMAR, ki sicer tako kot Ministrstvo za finance ocenjuje proizvodno vrzel na podlagi skupne metodologije EU (EUCAM) (Blondeau, Planas in Rossi, 2021)</w:t>
      </w:r>
      <w:r w:rsidRPr="001C3396">
        <w:rPr>
          <w:rFonts w:ascii="Arial" w:hAnsi="Arial" w:cs="Arial"/>
          <w:vertAlign w:val="superscript"/>
        </w:rPr>
        <w:footnoteReference w:id="13"/>
      </w:r>
      <w:r w:rsidRPr="001C3396">
        <w:rPr>
          <w:rFonts w:ascii="Arial" w:hAnsi="Arial" w:cs="Arial"/>
        </w:rPr>
        <w:t xml:space="preserve">, je v Jesenski napovedi gospodarskih gibanj 2023 prav tako revidiral oceno proizvodne vrzeli za leto 2022 navzdol (iz 3,6 % na 2,7 % potencialnega BDP), za leto 2023 pa predvideva 1,3-odstotno proizvodno vrzel, ki naj bi se v letu 2024 znižala na 1,1 % in do leta 2028 </w:t>
      </w:r>
      <w:r w:rsidR="00CD7EB9">
        <w:rPr>
          <w:rFonts w:ascii="Arial" w:hAnsi="Arial" w:cs="Arial"/>
        </w:rPr>
        <w:t>obdržala</w:t>
      </w:r>
      <w:r w:rsidRPr="001C3396">
        <w:rPr>
          <w:rFonts w:ascii="Arial" w:hAnsi="Arial" w:cs="Arial"/>
        </w:rPr>
        <w:t xml:space="preserve"> na </w:t>
      </w:r>
      <w:r w:rsidR="00CD7EB9">
        <w:rPr>
          <w:rFonts w:ascii="Arial" w:hAnsi="Arial" w:cs="Arial"/>
        </w:rPr>
        <w:t>0,8</w:t>
      </w:r>
      <w:r w:rsidRPr="001C3396">
        <w:rPr>
          <w:rFonts w:ascii="Arial" w:hAnsi="Arial" w:cs="Arial"/>
        </w:rPr>
        <w:t xml:space="preserve"> % potencialnega BDP.</w:t>
      </w:r>
    </w:p>
    <w:p w14:paraId="2306823E" w14:textId="6B39A726" w:rsidR="007C174D" w:rsidRDefault="007C174D" w:rsidP="00E4660B">
      <w:pPr>
        <w:spacing w:after="0"/>
        <w:jc w:val="both"/>
        <w:rPr>
          <w:rFonts w:ascii="Arial" w:hAnsi="Arial" w:cs="Arial"/>
        </w:rPr>
      </w:pPr>
      <w:r w:rsidRPr="001C3396">
        <w:rPr>
          <w:rFonts w:ascii="Arial" w:hAnsi="Arial" w:cs="Arial"/>
        </w:rPr>
        <w:t xml:space="preserve">Sicer so pomladanske ocene 2023 (pred revizijo nacionalnih računov septembra 2023) mednarodnih inštitucij za proizvodno vrzel Slovenije v letu 2022 variirale med 1,0 % potencialnega BDP (OECD) in 4,3 % potencialnega BDP (Evropska komisija). Za leto 2023 je razpon ocen proizvodne vrzeli znašal med 0,4 % potencialnega BDP (OECD) in 2,6 % potencialnega BDP (Evropska komisija), za leto 2024 pa med 0,4 % potencialnega BDP (IMF) in 1,8 % potencialnega BDP (UMAR) – Slika </w:t>
      </w:r>
      <w:r w:rsidR="00DD4683">
        <w:rPr>
          <w:rFonts w:ascii="Arial" w:hAnsi="Arial" w:cs="Arial"/>
        </w:rPr>
        <w:t>9</w:t>
      </w:r>
      <w:r w:rsidRPr="001C3396">
        <w:rPr>
          <w:rFonts w:ascii="Arial" w:hAnsi="Arial" w:cs="Arial"/>
        </w:rPr>
        <w:t>.</w:t>
      </w:r>
    </w:p>
    <w:p w14:paraId="1DCE5644" w14:textId="77777777" w:rsidR="00E4660B" w:rsidRPr="001C3396" w:rsidRDefault="00E4660B" w:rsidP="00E4660B">
      <w:pPr>
        <w:spacing w:after="0"/>
        <w:jc w:val="both"/>
        <w:rPr>
          <w:rFonts w:ascii="Arial" w:hAnsi="Arial" w:cs="Arial"/>
        </w:rPr>
      </w:pPr>
    </w:p>
    <w:p w14:paraId="0062ADDB" w14:textId="18EC808F" w:rsidR="002E7D2A" w:rsidRPr="001C3396" w:rsidRDefault="002E7D2A" w:rsidP="00E4660B">
      <w:pPr>
        <w:pStyle w:val="Caption"/>
        <w:keepNext/>
        <w:spacing w:before="0"/>
        <w:ind w:left="0" w:firstLine="0"/>
        <w:jc w:val="left"/>
        <w:rPr>
          <w:rFonts w:ascii="Arial" w:hAnsi="Arial" w:cs="Arial"/>
          <w:b w:val="0"/>
          <w:bCs/>
          <w:i w:val="0"/>
          <w:iCs/>
          <w:sz w:val="22"/>
          <w:szCs w:val="22"/>
        </w:rPr>
      </w:pPr>
      <w:r w:rsidRPr="001C3396">
        <w:rPr>
          <w:rFonts w:ascii="Arial" w:hAnsi="Arial" w:cs="Arial"/>
          <w:b w:val="0"/>
          <w:bCs/>
          <w:i w:val="0"/>
          <w:iCs/>
          <w:sz w:val="22"/>
          <w:szCs w:val="22"/>
        </w:rPr>
        <w:t xml:space="preserve">Slika </w:t>
      </w:r>
      <w:r w:rsidRPr="001C3396">
        <w:rPr>
          <w:rFonts w:ascii="Arial" w:hAnsi="Arial" w:cs="Arial"/>
          <w:b w:val="0"/>
          <w:bCs/>
          <w:i w:val="0"/>
          <w:iCs/>
          <w:sz w:val="22"/>
          <w:szCs w:val="22"/>
        </w:rPr>
        <w:fldChar w:fldCharType="begin"/>
      </w:r>
      <w:r w:rsidRPr="001C3396">
        <w:rPr>
          <w:rFonts w:ascii="Arial" w:hAnsi="Arial" w:cs="Arial"/>
          <w:b w:val="0"/>
          <w:bCs/>
          <w:i w:val="0"/>
          <w:iCs/>
          <w:sz w:val="22"/>
          <w:szCs w:val="22"/>
        </w:rPr>
        <w:instrText xml:space="preserve"> SEQ Slika \* ARABIC </w:instrText>
      </w:r>
      <w:r w:rsidRPr="001C3396">
        <w:rPr>
          <w:rFonts w:ascii="Arial" w:hAnsi="Arial" w:cs="Arial"/>
          <w:b w:val="0"/>
          <w:bCs/>
          <w:i w:val="0"/>
          <w:iCs/>
          <w:sz w:val="22"/>
          <w:szCs w:val="22"/>
        </w:rPr>
        <w:fldChar w:fldCharType="separate"/>
      </w:r>
      <w:r w:rsidR="00E4660B">
        <w:rPr>
          <w:rFonts w:ascii="Arial" w:hAnsi="Arial" w:cs="Arial"/>
          <w:b w:val="0"/>
          <w:bCs/>
          <w:i w:val="0"/>
          <w:iCs/>
          <w:noProof/>
          <w:sz w:val="22"/>
          <w:szCs w:val="22"/>
        </w:rPr>
        <w:t>9</w:t>
      </w:r>
      <w:r w:rsidRPr="001C3396">
        <w:rPr>
          <w:rFonts w:ascii="Arial" w:hAnsi="Arial" w:cs="Arial"/>
          <w:b w:val="0"/>
          <w:bCs/>
          <w:i w:val="0"/>
          <w:iCs/>
          <w:sz w:val="22"/>
          <w:szCs w:val="22"/>
        </w:rPr>
        <w:fldChar w:fldCharType="end"/>
      </w:r>
      <w:r w:rsidRPr="001C3396">
        <w:rPr>
          <w:rFonts w:ascii="Arial" w:hAnsi="Arial" w:cs="Arial"/>
          <w:b w:val="0"/>
          <w:bCs/>
          <w:i w:val="0"/>
          <w:iCs/>
          <w:sz w:val="22"/>
          <w:szCs w:val="22"/>
        </w:rPr>
        <w:t>: Ocene proizvodne vrzeli različnih institucij, pomlad 2023</w:t>
      </w:r>
    </w:p>
    <w:p w14:paraId="0349D8DD" w14:textId="77777777" w:rsidR="007C174D" w:rsidRPr="00F97F17" w:rsidRDefault="007C174D" w:rsidP="007C174D">
      <w:pPr>
        <w:spacing w:after="0"/>
        <w:jc w:val="both"/>
        <w:rPr>
          <w:rFonts w:ascii="Arial" w:hAnsi="Arial" w:cs="Arial"/>
        </w:rPr>
      </w:pPr>
      <w:r w:rsidRPr="00F97F17">
        <w:rPr>
          <w:rFonts w:ascii="Arial" w:hAnsi="Arial" w:cs="Arial"/>
          <w:noProof/>
        </w:rPr>
        <w:drawing>
          <wp:inline distT="0" distB="0" distL="0" distR="0" wp14:anchorId="23FCBEC2" wp14:editId="3F85A1B8">
            <wp:extent cx="4572000" cy="2329132"/>
            <wp:effectExtent l="0" t="0" r="0" b="0"/>
            <wp:docPr id="4" name="Chart 4">
              <a:extLst xmlns:a="http://schemas.openxmlformats.org/drawingml/2006/main">
                <a:ext uri="{FF2B5EF4-FFF2-40B4-BE49-F238E27FC236}">
                  <a16:creationId xmlns:a16="http://schemas.microsoft.com/office/drawing/2014/main" id="{6DB79462-D826-4B09-ACB4-D8AAE8A5A59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43114AA9" w14:textId="77777777" w:rsidR="007C174D" w:rsidRPr="00F97F17" w:rsidRDefault="007C174D" w:rsidP="007C174D">
      <w:pPr>
        <w:jc w:val="both"/>
        <w:rPr>
          <w:rFonts w:ascii="Arial" w:hAnsi="Arial" w:cs="Arial"/>
          <w:sz w:val="20"/>
          <w:szCs w:val="20"/>
        </w:rPr>
      </w:pPr>
      <w:r w:rsidRPr="00F97F17">
        <w:rPr>
          <w:rFonts w:ascii="Arial" w:hAnsi="Arial" w:cs="Arial"/>
          <w:sz w:val="20"/>
          <w:szCs w:val="20"/>
        </w:rPr>
        <w:t>Vir: UMAR Pomladanska napoved 2023; IMF World Economic Outlook April 2023; OECD Economic Outlook June 2023; Pomladanska napoved 2023 Evropske komisije; Ministrstvo za finance Program stabilnosti 2023.</w:t>
      </w:r>
    </w:p>
    <w:p w14:paraId="0A79BB61" w14:textId="7117FF62" w:rsidR="007C174D" w:rsidRDefault="007C174D" w:rsidP="007C174D">
      <w:pPr>
        <w:jc w:val="both"/>
        <w:rPr>
          <w:rFonts w:ascii="Arial" w:hAnsi="Arial" w:cs="Arial"/>
        </w:rPr>
      </w:pPr>
      <w:r w:rsidRPr="00F97F17">
        <w:rPr>
          <w:rFonts w:ascii="Arial" w:hAnsi="Arial" w:cs="Arial"/>
        </w:rPr>
        <w:t>Močna občutljivost ocene proizvodne vrzeli na uporabljeno metodologijo izračuna je še posebej relevantna za Slovenijo, saj je primernost metodologije EUCAM za modeliranje slovenskega gospodarskega cikla vprašljiva. »Plausability tool« namreč nakazuje, da EUCAM podcenjuje velikost proizvodne vrzeli v času gospodarskega zatona (Hristov, Raciborski in Vandermeulen, 2017)</w:t>
      </w:r>
      <w:r w:rsidRPr="00F97F17">
        <w:rPr>
          <w:rFonts w:ascii="Arial" w:hAnsi="Arial" w:cs="Arial"/>
          <w:vertAlign w:val="superscript"/>
        </w:rPr>
        <w:footnoteReference w:id="14"/>
      </w:r>
      <w:r w:rsidRPr="00F97F17">
        <w:rPr>
          <w:rFonts w:ascii="Arial" w:hAnsi="Arial" w:cs="Arial"/>
        </w:rPr>
        <w:t xml:space="preserve">. Nepristranskost ocen proizvodne vrzeli v realnem času, zlasti med gospodarsko kontrakcijo, je izredno pomembna, saj predpostavljanje krajšega (daljšega) cikla </w:t>
      </w:r>
      <w:r w:rsidRPr="00F97F17">
        <w:rPr>
          <w:rFonts w:ascii="Arial" w:hAnsi="Arial" w:cs="Arial"/>
        </w:rPr>
        <w:lastRenderedPageBreak/>
        <w:t>od dejanskega lahko vodi v ciklično restriktivno (ekspanzivno) vodenje fiskalne politike, ki lahko ogrozi gospodarsko okrevanje oziroma celo vodi v permanentno znižanje dolgoročne gospodarske rasti.</w:t>
      </w:r>
    </w:p>
    <w:p w14:paraId="40AD411F" w14:textId="77777777" w:rsidR="008646FA" w:rsidRPr="00F97F17" w:rsidRDefault="008646FA" w:rsidP="007C174D">
      <w:pPr>
        <w:jc w:val="both"/>
        <w:rPr>
          <w:rFonts w:ascii="Arial" w:hAnsi="Arial" w:cs="Arial"/>
        </w:rPr>
      </w:pPr>
    </w:p>
    <w:p w14:paraId="0AD28E9B" w14:textId="0BB9A3AD" w:rsidR="00E0059B" w:rsidRPr="00B57B42" w:rsidRDefault="008646FA" w:rsidP="00B57B42">
      <w:pPr>
        <w:pStyle w:val="Heading1"/>
        <w:rPr>
          <w:sz w:val="28"/>
          <w:szCs w:val="36"/>
        </w:rPr>
      </w:pPr>
      <w:bookmarkStart w:id="12" w:name="_Toc147494521"/>
      <w:bookmarkStart w:id="13" w:name="_Toc52264459"/>
      <w:bookmarkStart w:id="14" w:name="_Toc52268121"/>
      <w:bookmarkEnd w:id="8"/>
      <w:r w:rsidRPr="00B57B42">
        <w:rPr>
          <w:sz w:val="28"/>
          <w:szCs w:val="36"/>
        </w:rPr>
        <w:t>3</w:t>
      </w:r>
      <w:r w:rsidR="00B57B42">
        <w:rPr>
          <w:sz w:val="28"/>
          <w:szCs w:val="36"/>
        </w:rPr>
        <w:t xml:space="preserve"> </w:t>
      </w:r>
      <w:r w:rsidRPr="00B57B42">
        <w:rPr>
          <w:sz w:val="28"/>
          <w:szCs w:val="36"/>
        </w:rPr>
        <w:t>FISKALNI SCENARIJ IN UKREPI</w:t>
      </w:r>
      <w:bookmarkEnd w:id="12"/>
      <w:r w:rsidRPr="00B57B42">
        <w:rPr>
          <w:sz w:val="28"/>
          <w:szCs w:val="36"/>
        </w:rPr>
        <w:t xml:space="preserve"> </w:t>
      </w:r>
      <w:bookmarkEnd w:id="13"/>
      <w:bookmarkEnd w:id="14"/>
    </w:p>
    <w:p w14:paraId="71AC738A" w14:textId="77777777" w:rsidR="008646FA" w:rsidRPr="008646FA" w:rsidRDefault="008646FA" w:rsidP="00467047">
      <w:pPr>
        <w:jc w:val="both"/>
        <w:rPr>
          <w:rFonts w:ascii="Arial" w:hAnsi="Arial" w:cs="Arial"/>
          <w:color w:val="70AD47" w:themeColor="accent6"/>
        </w:rPr>
      </w:pPr>
    </w:p>
    <w:p w14:paraId="1275D15E" w14:textId="27D1A603" w:rsidR="000F4178" w:rsidRPr="00157806" w:rsidRDefault="00F4228C" w:rsidP="000F4178">
      <w:pPr>
        <w:jc w:val="both"/>
        <w:rPr>
          <w:rFonts w:ascii="Arial" w:hAnsi="Arial" w:cs="Arial"/>
        </w:rPr>
      </w:pPr>
      <w:r w:rsidRPr="00F4228C">
        <w:rPr>
          <w:rFonts w:ascii="Arial" w:hAnsi="Arial" w:cs="Arial"/>
        </w:rPr>
        <w:t>V letu 2024 bo fiskalna politika, ob spodbujanju rasti in ob postopni konsolidaciji, usmerjena na obnovo od poplav prizadetih območij. V letu 2024</w:t>
      </w:r>
      <w:r w:rsidR="00DF2161">
        <w:rPr>
          <w:rFonts w:ascii="Arial" w:hAnsi="Arial" w:cs="Arial"/>
        </w:rPr>
        <w:t>,</w:t>
      </w:r>
      <w:r w:rsidRPr="00F4228C">
        <w:rPr>
          <w:rFonts w:ascii="Arial" w:hAnsi="Arial" w:cs="Arial"/>
        </w:rPr>
        <w:t xml:space="preserve"> </w:t>
      </w:r>
      <w:r w:rsidR="00DF2161">
        <w:rPr>
          <w:rFonts w:ascii="Arial" w:hAnsi="Arial" w:cs="Arial"/>
        </w:rPr>
        <w:t>ob</w:t>
      </w:r>
      <w:r w:rsidR="00DF2161" w:rsidRPr="00F4228C">
        <w:rPr>
          <w:rFonts w:ascii="Arial" w:hAnsi="Arial" w:cs="Arial"/>
        </w:rPr>
        <w:t xml:space="preserve"> </w:t>
      </w:r>
      <w:r w:rsidRPr="00F4228C">
        <w:rPr>
          <w:rFonts w:ascii="Arial" w:hAnsi="Arial" w:cs="Arial"/>
        </w:rPr>
        <w:t>pripravi Osnutka proračunskega načrta niso več</w:t>
      </w:r>
      <w:r w:rsidR="00687649">
        <w:rPr>
          <w:rFonts w:ascii="Arial" w:hAnsi="Arial" w:cs="Arial"/>
        </w:rPr>
        <w:t xml:space="preserve"> visoki</w:t>
      </w:r>
      <w:r w:rsidRPr="00F4228C">
        <w:rPr>
          <w:rFonts w:ascii="Arial" w:hAnsi="Arial" w:cs="Arial"/>
        </w:rPr>
        <w:t xml:space="preserve"> predvideni ukrepi povezani z energetsko krizo in draginjo,  v letu 2023 pa se iztekajo tudi ukrepi za lajšanje posledic COVID-19 epidemije. V letu 2023 sicer še vedno velja splošna odstopna klavzula na ravni EU, na nacionalni ravni pa so izpolnjeni pogoji za uveljavljanje izjemnih okoliščin, kar omogoča začasno odstopanje od fiskalnih pravil. Zaradi ukrepov za sanacijo območij prizadetih ob poplavah, ukrepov proti energetski draginji, urgentnih ukrepov in ukrepov proti COVID-19 je ocenjen javnofinančni primanjkljaj v letu 2023 na 4,5 % BDP. V letu 2024 pa je ciljni javnofinančni primanjkljaj 3,8 % BDP. Brez ukrepov za sanacijo prizadetih ob poplavah bi </w:t>
      </w:r>
      <w:r w:rsidR="00687649">
        <w:rPr>
          <w:rFonts w:ascii="Arial" w:hAnsi="Arial" w:cs="Arial"/>
        </w:rPr>
        <w:t xml:space="preserve">bil </w:t>
      </w:r>
      <w:r w:rsidRPr="00F4228C">
        <w:rPr>
          <w:rFonts w:ascii="Arial" w:hAnsi="Arial" w:cs="Arial"/>
        </w:rPr>
        <w:t>primanjkljaj sektorja države v letu 2024</w:t>
      </w:r>
      <w:r w:rsidR="00687649">
        <w:rPr>
          <w:rFonts w:ascii="Arial" w:hAnsi="Arial" w:cs="Arial"/>
        </w:rPr>
        <w:t xml:space="preserve"> pod referenčno vrednostjo -3 </w:t>
      </w:r>
      <w:r w:rsidRPr="00F4228C">
        <w:rPr>
          <w:rFonts w:ascii="Arial" w:hAnsi="Arial" w:cs="Arial"/>
        </w:rPr>
        <w:t xml:space="preserve"> </w:t>
      </w:r>
      <w:r w:rsidR="00687649">
        <w:rPr>
          <w:rFonts w:ascii="Arial" w:hAnsi="Arial" w:cs="Arial"/>
        </w:rPr>
        <w:t xml:space="preserve">% </w:t>
      </w:r>
      <w:r w:rsidRPr="00F4228C">
        <w:rPr>
          <w:rFonts w:ascii="Arial" w:hAnsi="Arial" w:cs="Arial"/>
        </w:rPr>
        <w:t>BDP.</w:t>
      </w:r>
    </w:p>
    <w:p w14:paraId="61E619AF" w14:textId="7E51B251" w:rsidR="000F4178" w:rsidRPr="00157806" w:rsidRDefault="000F4178" w:rsidP="00887B31">
      <w:pPr>
        <w:spacing w:after="0" w:line="264" w:lineRule="auto"/>
        <w:jc w:val="both"/>
        <w:rPr>
          <w:rFonts w:ascii="Arial" w:hAnsi="Arial" w:cs="Arial"/>
          <w:lang w:eastAsia="en-GB"/>
        </w:rPr>
      </w:pPr>
      <w:r w:rsidRPr="00157806">
        <w:rPr>
          <w:rFonts w:ascii="Arial" w:hAnsi="Arial" w:cs="Arial"/>
          <w:lang w:eastAsia="en-GB"/>
        </w:rPr>
        <w:t>Ob pripravi fiskalnih ciljev še vedno obstajajo negotovosti, ki izhajajo iz nad</w:t>
      </w:r>
      <w:r>
        <w:rPr>
          <w:rFonts w:ascii="Arial" w:hAnsi="Arial" w:cs="Arial"/>
          <w:lang w:eastAsia="en-GB"/>
        </w:rPr>
        <w:t>al</w:t>
      </w:r>
      <w:r w:rsidRPr="00157806">
        <w:rPr>
          <w:rFonts w:ascii="Arial" w:hAnsi="Arial" w:cs="Arial"/>
          <w:lang w:eastAsia="en-GB"/>
        </w:rPr>
        <w:t>jn</w:t>
      </w:r>
      <w:r>
        <w:rPr>
          <w:rFonts w:ascii="Arial" w:hAnsi="Arial" w:cs="Arial"/>
          <w:lang w:eastAsia="en-GB"/>
        </w:rPr>
        <w:t>j</w:t>
      </w:r>
      <w:r w:rsidRPr="00157806">
        <w:rPr>
          <w:rFonts w:ascii="Arial" w:hAnsi="Arial" w:cs="Arial"/>
          <w:lang w:eastAsia="en-GB"/>
        </w:rPr>
        <w:t>ega gibanja inflacije in s tem povezan</w:t>
      </w:r>
      <w:r w:rsidR="00986B70">
        <w:rPr>
          <w:rFonts w:ascii="Arial" w:hAnsi="Arial" w:cs="Arial"/>
          <w:lang w:eastAsia="en-GB"/>
        </w:rPr>
        <w:t>ih ukrepov</w:t>
      </w:r>
      <w:r w:rsidRPr="00157806">
        <w:rPr>
          <w:rFonts w:ascii="Arial" w:hAnsi="Arial" w:cs="Arial"/>
          <w:lang w:eastAsia="en-GB"/>
        </w:rPr>
        <w:t xml:space="preserve"> monetarne politike, globalne </w:t>
      </w:r>
      <w:r w:rsidR="00986B70">
        <w:rPr>
          <w:rFonts w:ascii="Arial" w:hAnsi="Arial" w:cs="Arial"/>
          <w:lang w:eastAsia="en-GB"/>
        </w:rPr>
        <w:t xml:space="preserve">gospodarske </w:t>
      </w:r>
      <w:r w:rsidRPr="00157806">
        <w:rPr>
          <w:rFonts w:ascii="Arial" w:hAnsi="Arial" w:cs="Arial"/>
          <w:lang w:eastAsia="en-GB"/>
        </w:rPr>
        <w:t xml:space="preserve">rasti, geopolitičnega položaja, </w:t>
      </w:r>
      <w:r w:rsidR="00986B70">
        <w:rPr>
          <w:rFonts w:ascii="Arial" w:hAnsi="Arial" w:cs="Arial"/>
          <w:lang w:eastAsia="en-GB"/>
        </w:rPr>
        <w:t xml:space="preserve">dogajanj na </w:t>
      </w:r>
      <w:r w:rsidRPr="00157806">
        <w:rPr>
          <w:rFonts w:ascii="Arial" w:hAnsi="Arial" w:cs="Arial"/>
          <w:lang w:eastAsia="en-GB"/>
        </w:rPr>
        <w:t>energetskih trg</w:t>
      </w:r>
      <w:r w:rsidR="00986B70">
        <w:rPr>
          <w:rFonts w:ascii="Arial" w:hAnsi="Arial" w:cs="Arial"/>
          <w:lang w:eastAsia="en-GB"/>
        </w:rPr>
        <w:t>ih</w:t>
      </w:r>
      <w:r w:rsidRPr="00157806">
        <w:rPr>
          <w:rFonts w:ascii="Arial" w:hAnsi="Arial" w:cs="Arial"/>
          <w:lang w:eastAsia="en-GB"/>
        </w:rPr>
        <w:t xml:space="preserve"> in dokončn</w:t>
      </w:r>
      <w:r w:rsidR="001D16CF">
        <w:rPr>
          <w:rFonts w:ascii="Arial" w:hAnsi="Arial" w:cs="Arial"/>
          <w:lang w:eastAsia="en-GB"/>
        </w:rPr>
        <w:t xml:space="preserve">ih </w:t>
      </w:r>
      <w:r w:rsidRPr="00157806">
        <w:rPr>
          <w:rFonts w:ascii="Arial" w:hAnsi="Arial" w:cs="Arial"/>
          <w:lang w:eastAsia="en-GB"/>
        </w:rPr>
        <w:t>posledic n</w:t>
      </w:r>
      <w:r>
        <w:rPr>
          <w:rFonts w:ascii="Arial" w:hAnsi="Arial" w:cs="Arial"/>
          <w:lang w:eastAsia="en-GB"/>
        </w:rPr>
        <w:t>a</w:t>
      </w:r>
      <w:r w:rsidRPr="00157806">
        <w:rPr>
          <w:rFonts w:ascii="Arial" w:hAnsi="Arial" w:cs="Arial"/>
          <w:lang w:eastAsia="en-GB"/>
        </w:rPr>
        <w:t>ravn</w:t>
      </w:r>
      <w:r>
        <w:rPr>
          <w:rFonts w:ascii="Arial" w:hAnsi="Arial" w:cs="Arial"/>
          <w:lang w:eastAsia="en-GB"/>
        </w:rPr>
        <w:t>e</w:t>
      </w:r>
      <w:r w:rsidRPr="00157806">
        <w:rPr>
          <w:rFonts w:ascii="Arial" w:hAnsi="Arial" w:cs="Arial"/>
          <w:lang w:eastAsia="en-GB"/>
        </w:rPr>
        <w:t xml:space="preserve"> nesreč</w:t>
      </w:r>
      <w:r>
        <w:rPr>
          <w:rFonts w:ascii="Arial" w:hAnsi="Arial" w:cs="Arial"/>
          <w:lang w:eastAsia="en-GB"/>
        </w:rPr>
        <w:t>e</w:t>
      </w:r>
      <w:r w:rsidRPr="00157806">
        <w:rPr>
          <w:rFonts w:ascii="Arial" w:hAnsi="Arial" w:cs="Arial"/>
          <w:lang w:eastAsia="en-GB"/>
        </w:rPr>
        <w:t xml:space="preserve"> v letu 2023</w:t>
      </w:r>
      <w:r w:rsidR="00687649">
        <w:rPr>
          <w:rFonts w:ascii="Arial" w:hAnsi="Arial" w:cs="Arial"/>
          <w:lang w:eastAsia="en-GB"/>
        </w:rPr>
        <w:t>, 2024</w:t>
      </w:r>
      <w:r w:rsidRPr="00157806">
        <w:rPr>
          <w:rFonts w:ascii="Arial" w:hAnsi="Arial" w:cs="Arial"/>
          <w:lang w:eastAsia="en-GB"/>
        </w:rPr>
        <w:t xml:space="preserve">. </w:t>
      </w:r>
    </w:p>
    <w:p w14:paraId="7D3AA452" w14:textId="77777777" w:rsidR="00E4660B" w:rsidRPr="00157806" w:rsidRDefault="00E4660B" w:rsidP="000F4178">
      <w:pPr>
        <w:spacing w:line="264" w:lineRule="auto"/>
        <w:jc w:val="both"/>
        <w:rPr>
          <w:rFonts w:ascii="Arial" w:hAnsi="Arial" w:cs="Arial"/>
          <w:lang w:eastAsia="en-GB"/>
        </w:rPr>
      </w:pPr>
    </w:p>
    <w:tbl>
      <w:tblPr>
        <w:tblStyle w:val="TableGrid"/>
        <w:tblW w:w="0" w:type="auto"/>
        <w:tblLook w:val="04A0" w:firstRow="1" w:lastRow="0" w:firstColumn="1" w:lastColumn="0" w:noHBand="0" w:noVBand="1"/>
      </w:tblPr>
      <w:tblGrid>
        <w:gridCol w:w="9062"/>
      </w:tblGrid>
      <w:tr w:rsidR="000F4178" w:rsidRPr="00157806" w14:paraId="3A36CD48" w14:textId="77777777" w:rsidTr="00DF159D">
        <w:tc>
          <w:tcPr>
            <w:tcW w:w="9062" w:type="dxa"/>
            <w:tcBorders>
              <w:top w:val="single" w:sz="4" w:space="0" w:color="auto"/>
              <w:left w:val="single" w:sz="4" w:space="0" w:color="auto"/>
              <w:bottom w:val="single" w:sz="4" w:space="0" w:color="auto"/>
              <w:right w:val="single" w:sz="4" w:space="0" w:color="auto"/>
            </w:tcBorders>
          </w:tcPr>
          <w:p w14:paraId="27DDF21D" w14:textId="77777777" w:rsidR="00F4228C" w:rsidRPr="00157806" w:rsidRDefault="00F4228C" w:rsidP="00F4228C">
            <w:pPr>
              <w:spacing w:after="160" w:line="264" w:lineRule="auto"/>
              <w:jc w:val="both"/>
              <w:rPr>
                <w:rFonts w:ascii="Arial" w:hAnsi="Arial" w:cs="Arial"/>
                <w:lang w:eastAsia="en-GB"/>
              </w:rPr>
            </w:pPr>
            <w:r w:rsidRPr="00157806">
              <w:rPr>
                <w:rFonts w:ascii="Arial" w:hAnsi="Arial" w:cs="Arial"/>
                <w:lang w:eastAsia="en-GB"/>
              </w:rPr>
              <w:t>Usmeritve Evropske komisije za fiskalno politiko 2024 z dne 8. 3. 2023</w:t>
            </w:r>
            <w:r w:rsidRPr="00157806">
              <w:rPr>
                <w:rStyle w:val="FootnoteReference"/>
                <w:rFonts w:ascii="Arial" w:hAnsi="Arial" w:cs="Arial"/>
                <w:lang w:eastAsia="en-GB"/>
              </w:rPr>
              <w:footnoteReference w:id="15"/>
            </w:r>
            <w:r w:rsidRPr="00157806">
              <w:rPr>
                <w:rFonts w:ascii="Arial" w:hAnsi="Arial" w:cs="Arial"/>
                <w:lang w:eastAsia="en-GB"/>
              </w:rPr>
              <w:t xml:space="preserve"> in specifična priporočila </w:t>
            </w:r>
            <w:r>
              <w:rPr>
                <w:rFonts w:ascii="Arial" w:hAnsi="Arial" w:cs="Arial"/>
                <w:lang w:eastAsia="en-GB"/>
              </w:rPr>
              <w:t xml:space="preserve">Sveta EU za leto </w:t>
            </w:r>
            <w:r w:rsidRPr="00157806">
              <w:rPr>
                <w:rFonts w:ascii="Arial" w:hAnsi="Arial" w:cs="Arial"/>
                <w:lang w:eastAsia="en-GB"/>
              </w:rPr>
              <w:t>2024 za Slovenijo</w:t>
            </w:r>
            <w:r>
              <w:rPr>
                <w:rStyle w:val="FootnoteReference"/>
                <w:rFonts w:ascii="Arial" w:hAnsi="Arial" w:cs="Arial"/>
                <w:lang w:eastAsia="en-GB"/>
              </w:rPr>
              <w:footnoteReference w:id="16"/>
            </w:r>
            <w:r w:rsidRPr="00157806">
              <w:rPr>
                <w:rFonts w:ascii="Arial" w:hAnsi="Arial" w:cs="Arial"/>
                <w:lang w:eastAsia="en-GB"/>
              </w:rPr>
              <w:t>:</w:t>
            </w:r>
          </w:p>
          <w:p w14:paraId="089E00CE" w14:textId="77777777" w:rsidR="00F4228C" w:rsidRPr="00157806" w:rsidRDefault="00F4228C" w:rsidP="00F4228C">
            <w:pPr>
              <w:pStyle w:val="ListParagraph"/>
              <w:numPr>
                <w:ilvl w:val="0"/>
                <w:numId w:val="20"/>
              </w:numPr>
              <w:spacing w:line="264" w:lineRule="auto"/>
              <w:ind w:left="360"/>
              <w:rPr>
                <w:rFonts w:cs="Arial"/>
                <w:lang w:eastAsia="en-GB"/>
              </w:rPr>
            </w:pPr>
            <w:r w:rsidRPr="00157806">
              <w:rPr>
                <w:rFonts w:cs="Arial"/>
                <w:lang w:eastAsia="en-GB"/>
              </w:rPr>
              <w:t xml:space="preserve">deaktivacija splošne odstopne klavzule, ki je v veljavi že od leta 2020; </w:t>
            </w:r>
          </w:p>
          <w:p w14:paraId="30919024" w14:textId="77777777" w:rsidR="00F4228C" w:rsidRPr="00157806" w:rsidRDefault="00F4228C" w:rsidP="00F4228C">
            <w:pPr>
              <w:pStyle w:val="ListParagraph"/>
              <w:numPr>
                <w:ilvl w:val="0"/>
                <w:numId w:val="20"/>
              </w:numPr>
              <w:spacing w:line="264" w:lineRule="auto"/>
              <w:ind w:left="360"/>
              <w:rPr>
                <w:rFonts w:cs="Arial"/>
                <w:lang w:eastAsia="en-GB"/>
              </w:rPr>
            </w:pPr>
            <w:r w:rsidRPr="00157806">
              <w:rPr>
                <w:rFonts w:cs="Arial"/>
                <w:lang w:eastAsia="en-GB"/>
              </w:rPr>
              <w:t xml:space="preserve">države članice </w:t>
            </w:r>
            <w:r>
              <w:rPr>
                <w:rFonts w:cs="Arial"/>
                <w:lang w:eastAsia="en-GB"/>
              </w:rPr>
              <w:t xml:space="preserve">naj </w:t>
            </w:r>
            <w:r w:rsidRPr="00157806">
              <w:rPr>
                <w:rFonts w:cs="Arial"/>
                <w:lang w:eastAsia="en-GB"/>
              </w:rPr>
              <w:t xml:space="preserve">postavijo fiskalne cilje na način, da bo spoštovana referenčna vrednost za javnofinančne primanjkljaje v višini 3 % BDP oziroma, da primanjkljaj </w:t>
            </w:r>
            <w:r>
              <w:rPr>
                <w:rFonts w:cs="Arial"/>
                <w:lang w:eastAsia="en-GB"/>
              </w:rPr>
              <w:t xml:space="preserve">v </w:t>
            </w:r>
            <w:r w:rsidRPr="00157806">
              <w:rPr>
                <w:rFonts w:cs="Arial"/>
                <w:lang w:eastAsia="en-GB"/>
              </w:rPr>
              <w:t>obdobj</w:t>
            </w:r>
            <w:r>
              <w:rPr>
                <w:rFonts w:cs="Arial"/>
                <w:lang w:eastAsia="en-GB"/>
              </w:rPr>
              <w:t>u večletnega fiskalnega načrta</w:t>
            </w:r>
            <w:r w:rsidRPr="00157806">
              <w:rPr>
                <w:rFonts w:cs="Arial"/>
                <w:lang w:eastAsia="en-GB"/>
              </w:rPr>
              <w:t xml:space="preserve"> pade pod to vrednost; </w:t>
            </w:r>
          </w:p>
          <w:p w14:paraId="5B537C7C" w14:textId="77777777" w:rsidR="00F4228C" w:rsidRPr="00157806" w:rsidRDefault="00F4228C" w:rsidP="00F4228C">
            <w:pPr>
              <w:pStyle w:val="ListParagraph"/>
              <w:numPr>
                <w:ilvl w:val="0"/>
                <w:numId w:val="20"/>
              </w:numPr>
              <w:spacing w:line="264" w:lineRule="auto"/>
              <w:ind w:left="360"/>
              <w:rPr>
                <w:rFonts w:cs="Arial"/>
                <w:lang w:eastAsia="en-GB"/>
              </w:rPr>
            </w:pPr>
            <w:r w:rsidRPr="00157806">
              <w:rPr>
                <w:rFonts w:cs="Arial"/>
                <w:lang w:eastAsia="en-GB"/>
              </w:rPr>
              <w:t xml:space="preserve">primanjkljaj naj ob nespremenjenih politikah po koncu </w:t>
            </w:r>
            <w:r>
              <w:rPr>
                <w:rFonts w:cs="Arial"/>
                <w:lang w:eastAsia="en-GB"/>
              </w:rPr>
              <w:t>večletnega fiskalnega načrta</w:t>
            </w:r>
            <w:r w:rsidRPr="00157806">
              <w:rPr>
                <w:rFonts w:cs="Arial"/>
                <w:lang w:eastAsia="en-GB"/>
              </w:rPr>
              <w:t xml:space="preserve"> na srednji rok ne preseže te referenčne vrednosti; </w:t>
            </w:r>
          </w:p>
          <w:p w14:paraId="2CDB7EDC" w14:textId="77777777" w:rsidR="00F4228C" w:rsidRPr="00157806" w:rsidRDefault="00F4228C" w:rsidP="00F4228C">
            <w:pPr>
              <w:pStyle w:val="ListParagraph"/>
              <w:numPr>
                <w:ilvl w:val="0"/>
                <w:numId w:val="20"/>
              </w:numPr>
              <w:spacing w:line="264" w:lineRule="auto"/>
              <w:ind w:left="360"/>
              <w:rPr>
                <w:rFonts w:cs="Arial"/>
                <w:lang w:eastAsia="en-GB"/>
              </w:rPr>
            </w:pPr>
            <w:r w:rsidRPr="00157806">
              <w:rPr>
                <w:rFonts w:cs="Arial"/>
                <w:lang w:eastAsia="en-GB"/>
              </w:rPr>
              <w:t>delež dolga sektorja država naj se na srednji rok zmanjšuje ali ostane na preudarni ravni;</w:t>
            </w:r>
          </w:p>
          <w:p w14:paraId="7B9E8147" w14:textId="77777777" w:rsidR="00F4228C" w:rsidRPr="00157806" w:rsidRDefault="00F4228C" w:rsidP="00F4228C">
            <w:pPr>
              <w:pStyle w:val="ListParagraph"/>
              <w:numPr>
                <w:ilvl w:val="0"/>
                <w:numId w:val="20"/>
              </w:numPr>
              <w:spacing w:line="264" w:lineRule="auto"/>
              <w:ind w:left="360"/>
              <w:rPr>
                <w:rFonts w:cs="Arial"/>
                <w:lang w:eastAsia="en-GB"/>
              </w:rPr>
            </w:pPr>
            <w:r w:rsidRPr="00157806">
              <w:rPr>
                <w:rFonts w:cs="Arial"/>
                <w:lang w:eastAsia="en-GB"/>
              </w:rPr>
              <w:t xml:space="preserve">države članice naj ohranijo delež nacionalnih investicij v BDP visok in zagotovijo učinkovito rabo EU sredstev; </w:t>
            </w:r>
          </w:p>
          <w:p w14:paraId="0AD28C50" w14:textId="77777777" w:rsidR="00F4228C" w:rsidRPr="00157806" w:rsidRDefault="00F4228C" w:rsidP="00F4228C">
            <w:pPr>
              <w:pStyle w:val="ListParagraph"/>
              <w:numPr>
                <w:ilvl w:val="0"/>
                <w:numId w:val="20"/>
              </w:numPr>
              <w:spacing w:line="264" w:lineRule="auto"/>
              <w:ind w:left="360"/>
              <w:rPr>
                <w:rFonts w:cs="Arial"/>
                <w:lang w:eastAsia="en-GB"/>
              </w:rPr>
            </w:pPr>
            <w:r w:rsidRPr="00157806">
              <w:rPr>
                <w:rFonts w:cs="Arial"/>
                <w:lang w:eastAsia="en-GB"/>
              </w:rPr>
              <w:t>rast neto nacionalnih tekočih izdatkov naj se omeji v primerjavi s srednjeročno rastjo potencialnega BDP</w:t>
            </w:r>
            <w:r>
              <w:rPr>
                <w:rFonts w:cs="Arial"/>
                <w:lang w:eastAsia="en-GB"/>
              </w:rPr>
              <w:t xml:space="preserve"> (</w:t>
            </w:r>
            <w:r w:rsidRPr="00B82506">
              <w:rPr>
                <w:rFonts w:cs="Arial"/>
                <w:lang w:eastAsia="en-GB"/>
              </w:rPr>
              <w:t>povečanj</w:t>
            </w:r>
            <w:r>
              <w:rPr>
                <w:rFonts w:cs="Arial"/>
                <w:lang w:eastAsia="en-GB"/>
              </w:rPr>
              <w:t>e</w:t>
            </w:r>
            <w:r w:rsidRPr="00B82506">
              <w:rPr>
                <w:rFonts w:cs="Arial"/>
                <w:lang w:eastAsia="en-GB"/>
              </w:rPr>
              <w:t xml:space="preserve"> nacionalno financiranih neto primarnih odhodkov v letu 2024 </w:t>
            </w:r>
            <w:r>
              <w:rPr>
                <w:rFonts w:cs="Arial"/>
                <w:lang w:eastAsia="en-GB"/>
              </w:rPr>
              <w:t>naj ne presega</w:t>
            </w:r>
            <w:r w:rsidRPr="00B82506">
              <w:rPr>
                <w:rFonts w:cs="Arial"/>
                <w:lang w:eastAsia="en-GB"/>
              </w:rPr>
              <w:t xml:space="preserve"> 5,5 %</w:t>
            </w:r>
            <w:r>
              <w:rPr>
                <w:rFonts w:cs="Arial"/>
                <w:lang w:eastAsia="en-GB"/>
              </w:rPr>
              <w:t>)</w:t>
            </w:r>
            <w:r w:rsidRPr="00157806">
              <w:rPr>
                <w:rFonts w:cs="Arial"/>
                <w:lang w:eastAsia="en-GB"/>
              </w:rPr>
              <w:t>;</w:t>
            </w:r>
          </w:p>
          <w:p w14:paraId="079A0176" w14:textId="63C705E0" w:rsidR="000F4178" w:rsidRPr="0006060B" w:rsidRDefault="00F4228C" w:rsidP="00DF159D">
            <w:pPr>
              <w:pStyle w:val="ListParagraph"/>
              <w:numPr>
                <w:ilvl w:val="0"/>
                <w:numId w:val="20"/>
              </w:numPr>
              <w:spacing w:line="264" w:lineRule="auto"/>
              <w:ind w:left="360"/>
              <w:rPr>
                <w:rFonts w:cs="Arial"/>
                <w:lang w:eastAsia="en-GB"/>
              </w:rPr>
            </w:pPr>
            <w:r w:rsidRPr="00157806">
              <w:rPr>
                <w:rFonts w:cs="Arial"/>
                <w:lang w:eastAsia="en-GB"/>
              </w:rPr>
              <w:t>ukrepi, ki naslavljajo energetsko kriz</w:t>
            </w:r>
            <w:r>
              <w:rPr>
                <w:rFonts w:cs="Arial"/>
                <w:lang w:eastAsia="en-GB"/>
              </w:rPr>
              <w:t>o</w:t>
            </w:r>
            <w:r w:rsidRPr="00157806">
              <w:rPr>
                <w:rFonts w:cs="Arial"/>
                <w:lang w:eastAsia="en-GB"/>
              </w:rPr>
              <w:t xml:space="preserve">, naj se postopoma odpravijo, če pa to ni mogoče, naj bodo ukrepi usmerjeni na ranljivejše skupine.  </w:t>
            </w:r>
            <w:r w:rsidR="000F4178" w:rsidRPr="00157806">
              <w:rPr>
                <w:rFonts w:cs="Arial"/>
                <w:lang w:eastAsia="en-GB"/>
              </w:rPr>
              <w:t xml:space="preserve">  </w:t>
            </w:r>
          </w:p>
        </w:tc>
      </w:tr>
    </w:tbl>
    <w:p w14:paraId="636E0C96" w14:textId="77777777" w:rsidR="000F4178" w:rsidRPr="00157806" w:rsidRDefault="000F4178" w:rsidP="000F4178">
      <w:pPr>
        <w:jc w:val="both"/>
        <w:rPr>
          <w:rFonts w:ascii="Arial" w:hAnsi="Arial" w:cs="Arial"/>
        </w:rPr>
      </w:pPr>
    </w:p>
    <w:p w14:paraId="4EF566DA" w14:textId="3108F13C" w:rsidR="00F4228C" w:rsidRDefault="00F4228C" w:rsidP="00E52F40">
      <w:pPr>
        <w:spacing w:after="0"/>
        <w:jc w:val="both"/>
        <w:rPr>
          <w:rFonts w:ascii="Arial" w:hAnsi="Arial" w:cs="Arial"/>
          <w:color w:val="000000"/>
          <w:shd w:val="clear" w:color="auto" w:fill="FFFFFF"/>
          <w:lang w:eastAsia="sl-SI"/>
        </w:rPr>
      </w:pPr>
      <w:bookmarkStart w:id="15" w:name="_Hlk100319931"/>
      <w:r w:rsidRPr="00157806">
        <w:rPr>
          <w:rFonts w:ascii="Arial" w:hAnsi="Arial" w:cs="Arial"/>
          <w:lang w:eastAsia="en-GB"/>
        </w:rPr>
        <w:t>V letu 202</w:t>
      </w:r>
      <w:r w:rsidR="001D16CF">
        <w:rPr>
          <w:rFonts w:ascii="Arial" w:hAnsi="Arial" w:cs="Arial"/>
          <w:lang w:eastAsia="en-GB"/>
        </w:rPr>
        <w:t>4</w:t>
      </w:r>
      <w:r w:rsidRPr="00157806">
        <w:rPr>
          <w:rFonts w:ascii="Arial" w:hAnsi="Arial" w:cs="Arial"/>
          <w:lang w:eastAsia="en-GB"/>
        </w:rPr>
        <w:t xml:space="preserve"> bomo pripravili srednjeročni okvir z </w:t>
      </w:r>
      <w:r w:rsidR="00687649">
        <w:rPr>
          <w:rFonts w:ascii="Arial" w:hAnsi="Arial" w:cs="Arial"/>
          <w:lang w:eastAsia="en-GB"/>
        </w:rPr>
        <w:t>usrezno</w:t>
      </w:r>
      <w:r w:rsidRPr="00157806">
        <w:rPr>
          <w:rFonts w:ascii="Arial" w:hAnsi="Arial" w:cs="Arial"/>
          <w:lang w:eastAsia="en-GB"/>
        </w:rPr>
        <w:t xml:space="preserve"> konsolidacijo, ki bo spodbujala tudi rast in razvoj. Konec letošnjega leta bo več znanega o</w:t>
      </w:r>
      <w:r>
        <w:rPr>
          <w:rFonts w:ascii="Arial" w:hAnsi="Arial" w:cs="Arial"/>
          <w:lang w:eastAsia="en-GB"/>
        </w:rPr>
        <w:t xml:space="preserve"> morebitni spremembi</w:t>
      </w:r>
      <w:r w:rsidRPr="00157806">
        <w:rPr>
          <w:rFonts w:ascii="Arial" w:hAnsi="Arial" w:cs="Arial"/>
          <w:lang w:eastAsia="en-GB"/>
        </w:rPr>
        <w:t xml:space="preserve"> fiskalnih pravilih na EU ravni, kar bo tudi vodilo za pripravo fiskalne politike na srednji rok. Na dolgi rok je pomembno</w:t>
      </w:r>
      <w:r>
        <w:rPr>
          <w:rFonts w:ascii="Arial" w:hAnsi="Arial" w:cs="Arial"/>
          <w:lang w:eastAsia="en-GB"/>
        </w:rPr>
        <w:t>,</w:t>
      </w:r>
      <w:r w:rsidRPr="00157806">
        <w:rPr>
          <w:rFonts w:ascii="Arial" w:hAnsi="Arial" w:cs="Arial"/>
          <w:lang w:eastAsia="en-GB"/>
        </w:rPr>
        <w:t xml:space="preserve"> da tekoči izdatki ne rastejo hitreje kot proizvodne zmogljivosti gospodarstva </w:t>
      </w:r>
      <w:r w:rsidRPr="00157806">
        <w:rPr>
          <w:rFonts w:ascii="Arial" w:hAnsi="Arial" w:cs="Arial"/>
          <w:lang w:eastAsia="en-GB"/>
        </w:rPr>
        <w:lastRenderedPageBreak/>
        <w:t>oziroma potencialni BDP. Z načrti za leto 2024 bo</w:t>
      </w:r>
      <w:r w:rsidR="00986B70">
        <w:rPr>
          <w:rFonts w:ascii="Arial" w:hAnsi="Arial" w:cs="Arial"/>
          <w:lang w:eastAsia="en-GB"/>
        </w:rPr>
        <w:t>sta</w:t>
      </w:r>
      <w:r w:rsidRPr="00157806">
        <w:rPr>
          <w:rFonts w:ascii="Arial" w:hAnsi="Arial" w:cs="Arial"/>
          <w:lang w:eastAsia="en-GB"/>
        </w:rPr>
        <w:t xml:space="preserve"> rast tekočih izdatkov (vsi izdatki razen investicij in kapitalskih transferjev) </w:t>
      </w:r>
      <w:r>
        <w:rPr>
          <w:rFonts w:ascii="Arial" w:hAnsi="Arial" w:cs="Arial"/>
          <w:lang w:eastAsia="en-GB"/>
        </w:rPr>
        <w:t xml:space="preserve">in rast </w:t>
      </w:r>
      <w:r w:rsidR="00FA78BA">
        <w:rPr>
          <w:rFonts w:ascii="Arial" w:hAnsi="Arial" w:cs="Arial"/>
          <w:lang w:eastAsia="en-GB"/>
        </w:rPr>
        <w:t>neto</w:t>
      </w:r>
      <w:r>
        <w:rPr>
          <w:rFonts w:ascii="Arial" w:hAnsi="Arial" w:cs="Arial"/>
          <w:lang w:eastAsia="en-GB"/>
        </w:rPr>
        <w:t xml:space="preserve"> tekočih izdatkov (tekoči izdatki brez izdatkov za obresti, cikličnih izdatkov za brezposelnost, EU sredstev za financiranje tekočih izdatkov in brez COVID-19 ukrepov) </w:t>
      </w:r>
      <w:r w:rsidRPr="00157806">
        <w:rPr>
          <w:rFonts w:ascii="Arial" w:hAnsi="Arial" w:cs="Arial"/>
          <w:lang w:eastAsia="en-GB"/>
        </w:rPr>
        <w:t>nižj</w:t>
      </w:r>
      <w:r w:rsidR="00986B70">
        <w:rPr>
          <w:rFonts w:ascii="Arial" w:hAnsi="Arial" w:cs="Arial"/>
          <w:lang w:eastAsia="en-GB"/>
        </w:rPr>
        <w:t>i</w:t>
      </w:r>
      <w:r w:rsidRPr="00157806">
        <w:rPr>
          <w:rFonts w:ascii="Arial" w:hAnsi="Arial" w:cs="Arial"/>
          <w:lang w:eastAsia="en-GB"/>
        </w:rPr>
        <w:t xml:space="preserve"> od srednjeročne rasti nominalnega potencialnega BDP (</w:t>
      </w:r>
      <w:r w:rsidR="00986B70">
        <w:rPr>
          <w:rFonts w:ascii="Arial" w:hAnsi="Arial" w:cs="Arial"/>
          <w:lang w:eastAsia="en-GB"/>
        </w:rPr>
        <w:t>S</w:t>
      </w:r>
      <w:r w:rsidRPr="00157806">
        <w:rPr>
          <w:rFonts w:ascii="Arial" w:hAnsi="Arial" w:cs="Arial"/>
          <w:lang w:eastAsia="en-GB"/>
        </w:rPr>
        <w:t xml:space="preserve">lika </w:t>
      </w:r>
      <w:r>
        <w:rPr>
          <w:rFonts w:ascii="Arial" w:hAnsi="Arial" w:cs="Arial"/>
          <w:lang w:eastAsia="en-GB"/>
        </w:rPr>
        <w:t>1</w:t>
      </w:r>
      <w:r w:rsidR="0032268A">
        <w:rPr>
          <w:rFonts w:ascii="Arial" w:hAnsi="Arial" w:cs="Arial"/>
          <w:lang w:eastAsia="en-GB"/>
        </w:rPr>
        <w:t>0</w:t>
      </w:r>
      <w:r w:rsidRPr="00157806">
        <w:rPr>
          <w:rFonts w:ascii="Arial" w:hAnsi="Arial" w:cs="Arial"/>
          <w:lang w:eastAsia="en-GB"/>
        </w:rPr>
        <w:t xml:space="preserve">). </w:t>
      </w:r>
      <w:r>
        <w:rPr>
          <w:rFonts w:ascii="Arial" w:hAnsi="Arial" w:cs="Arial"/>
          <w:lang w:eastAsia="en-GB"/>
        </w:rPr>
        <w:t xml:space="preserve">Ob tem ni nepomembno, da </w:t>
      </w:r>
      <w:r>
        <w:rPr>
          <w:rFonts w:ascii="Arial" w:hAnsi="Arial" w:cs="Arial"/>
          <w:color w:val="000000"/>
          <w:shd w:val="clear" w:color="auto" w:fill="FFFFFF"/>
          <w:lang w:eastAsia="sl-SI"/>
        </w:rPr>
        <w:t>trenutne ocene potencialnega BDP ostajajo negotove, na nominalno rast pa zelo vpliva tudi inflacija.</w:t>
      </w:r>
    </w:p>
    <w:p w14:paraId="0B168620" w14:textId="77777777" w:rsidR="00786217" w:rsidRPr="00157806" w:rsidRDefault="00786217" w:rsidP="000F4178">
      <w:pPr>
        <w:keepNext/>
        <w:keepLines/>
        <w:autoSpaceDE w:val="0"/>
        <w:autoSpaceDN w:val="0"/>
        <w:adjustRightInd w:val="0"/>
        <w:spacing w:after="0" w:line="240" w:lineRule="auto"/>
        <w:jc w:val="both"/>
        <w:rPr>
          <w:rFonts w:ascii="Arial" w:hAnsi="Arial" w:cs="Arial"/>
        </w:rPr>
      </w:pPr>
    </w:p>
    <w:bookmarkEnd w:id="15"/>
    <w:p w14:paraId="55DF682C" w14:textId="3D11A9D5" w:rsidR="000F4178" w:rsidRPr="00157806" w:rsidRDefault="000F4178" w:rsidP="00887B31">
      <w:pPr>
        <w:keepNext/>
        <w:keepLines/>
        <w:autoSpaceDE w:val="0"/>
        <w:autoSpaceDN w:val="0"/>
        <w:adjustRightInd w:val="0"/>
        <w:spacing w:after="120" w:line="240" w:lineRule="auto"/>
        <w:jc w:val="both"/>
        <w:rPr>
          <w:rFonts w:ascii="Arial" w:hAnsi="Arial" w:cs="Arial"/>
        </w:rPr>
      </w:pPr>
      <w:r w:rsidRPr="00157806">
        <w:rPr>
          <w:rFonts w:ascii="Arial" w:hAnsi="Arial" w:cs="Arial"/>
        </w:rPr>
        <w:t xml:space="preserve">Slika </w:t>
      </w:r>
      <w:r w:rsidRPr="00157806">
        <w:rPr>
          <w:rFonts w:ascii="Arial" w:hAnsi="Arial" w:cs="Arial"/>
        </w:rPr>
        <w:fldChar w:fldCharType="begin"/>
      </w:r>
      <w:r w:rsidRPr="00157806">
        <w:rPr>
          <w:rFonts w:ascii="Arial" w:hAnsi="Arial" w:cs="Arial"/>
        </w:rPr>
        <w:instrText xml:space="preserve"> SEQ Slika \* ARABIC </w:instrText>
      </w:r>
      <w:r w:rsidRPr="00157806">
        <w:rPr>
          <w:rFonts w:ascii="Arial" w:hAnsi="Arial" w:cs="Arial"/>
        </w:rPr>
        <w:fldChar w:fldCharType="separate"/>
      </w:r>
      <w:r w:rsidR="0032268A">
        <w:rPr>
          <w:rFonts w:ascii="Arial" w:hAnsi="Arial" w:cs="Arial"/>
          <w:noProof/>
        </w:rPr>
        <w:t>10</w:t>
      </w:r>
      <w:r w:rsidRPr="00157806">
        <w:rPr>
          <w:rFonts w:ascii="Arial" w:hAnsi="Arial" w:cs="Arial"/>
        </w:rPr>
        <w:fldChar w:fldCharType="end"/>
      </w:r>
      <w:r w:rsidRPr="00157806">
        <w:rPr>
          <w:rFonts w:ascii="Arial" w:hAnsi="Arial" w:cs="Arial"/>
        </w:rPr>
        <w:t>: Rast tekočih izdatkov ter gibanje srednjeročne potencialne rasti nominalnega BDP</w:t>
      </w:r>
    </w:p>
    <w:p w14:paraId="76AC5625" w14:textId="2D5A40D3" w:rsidR="000F4178" w:rsidRPr="00157806" w:rsidRDefault="002715A4" w:rsidP="0006060B">
      <w:pPr>
        <w:spacing w:after="0"/>
        <w:jc w:val="both"/>
        <w:rPr>
          <w:rFonts w:ascii="Arial" w:hAnsi="Arial" w:cs="Arial"/>
        </w:rPr>
      </w:pPr>
      <w:r>
        <w:rPr>
          <w:noProof/>
        </w:rPr>
        <w:drawing>
          <wp:inline distT="0" distB="0" distL="0" distR="0" wp14:anchorId="7A75BA10" wp14:editId="44A21639">
            <wp:extent cx="5114925" cy="2286000"/>
            <wp:effectExtent l="0" t="0" r="0" b="0"/>
            <wp:docPr id="16" name="Chart 16">
              <a:extLst xmlns:a="http://schemas.openxmlformats.org/drawingml/2006/main">
                <a:ext uri="{FF2B5EF4-FFF2-40B4-BE49-F238E27FC236}">
                  <a16:creationId xmlns:a16="http://schemas.microsoft.com/office/drawing/2014/main" id="{12151394-CADF-A2D4-72F1-58D57E8F327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1F73DB24" w14:textId="16DE09C6" w:rsidR="0006060B" w:rsidRDefault="000F4178" w:rsidP="0006060B">
      <w:pPr>
        <w:spacing w:after="0"/>
        <w:jc w:val="both"/>
        <w:rPr>
          <w:rFonts w:ascii="Arial" w:hAnsi="Arial" w:cs="Arial"/>
          <w:sz w:val="20"/>
          <w:szCs w:val="20"/>
        </w:rPr>
      </w:pPr>
      <w:r w:rsidRPr="00157806">
        <w:rPr>
          <w:rFonts w:ascii="Arial" w:hAnsi="Arial" w:cs="Arial"/>
          <w:sz w:val="20"/>
          <w:szCs w:val="20"/>
        </w:rPr>
        <w:t xml:space="preserve">Vir: SURS, Ministrstvo za finance, 2023. </w:t>
      </w:r>
      <w:bookmarkStart w:id="16" w:name="_Hlk131419298"/>
    </w:p>
    <w:p w14:paraId="5F29B1AB" w14:textId="77777777" w:rsidR="00E4660B" w:rsidRDefault="00E4660B" w:rsidP="0006060B">
      <w:pPr>
        <w:spacing w:after="0"/>
        <w:jc w:val="both"/>
        <w:rPr>
          <w:rFonts w:ascii="Arial" w:hAnsi="Arial" w:cs="Arial"/>
          <w:sz w:val="20"/>
          <w:szCs w:val="20"/>
        </w:rPr>
      </w:pPr>
    </w:p>
    <w:p w14:paraId="4BEA1873" w14:textId="5C3B33FE" w:rsidR="00786217" w:rsidRDefault="00786217" w:rsidP="0006060B">
      <w:pPr>
        <w:spacing w:after="0"/>
        <w:jc w:val="both"/>
        <w:rPr>
          <w:rFonts w:ascii="Arial" w:hAnsi="Arial" w:cs="Arial"/>
          <w:shd w:val="clear" w:color="auto" w:fill="FFFFFF"/>
          <w:lang w:eastAsia="sl-SI"/>
        </w:rPr>
      </w:pPr>
      <w:r w:rsidRPr="00157806">
        <w:rPr>
          <w:rFonts w:ascii="Arial" w:hAnsi="Arial" w:cs="Arial"/>
          <w:shd w:val="clear" w:color="auto" w:fill="FFFFFF"/>
          <w:lang w:eastAsia="sl-SI"/>
        </w:rPr>
        <w:t xml:space="preserve">V letu 2024 se delež </w:t>
      </w:r>
      <w:r>
        <w:rPr>
          <w:rFonts w:ascii="Arial" w:hAnsi="Arial" w:cs="Arial"/>
        </w:rPr>
        <w:t>b</w:t>
      </w:r>
      <w:r w:rsidRPr="00157806">
        <w:rPr>
          <w:rFonts w:ascii="Arial" w:hAnsi="Arial" w:cs="Arial"/>
        </w:rPr>
        <w:t>ruto investicij v osnovna sredstva</w:t>
      </w:r>
      <w:r w:rsidRPr="00C9790D">
        <w:rPr>
          <w:rFonts w:ascii="Arial" w:hAnsi="Arial" w:cs="Arial"/>
        </w:rPr>
        <w:t xml:space="preserve"> sektorja država </w:t>
      </w:r>
      <w:r w:rsidRPr="00157806">
        <w:rPr>
          <w:rFonts w:ascii="Arial" w:hAnsi="Arial" w:cs="Arial"/>
          <w:shd w:val="clear" w:color="auto" w:fill="FFFFFF"/>
          <w:lang w:eastAsia="sl-SI"/>
        </w:rPr>
        <w:t>v % BDP ohranja na visoki ravni in nad</w:t>
      </w:r>
      <w:r>
        <w:rPr>
          <w:rFonts w:ascii="Arial" w:hAnsi="Arial" w:cs="Arial"/>
          <w:shd w:val="clear" w:color="auto" w:fill="FFFFFF"/>
          <w:lang w:eastAsia="sl-SI"/>
        </w:rPr>
        <w:t xml:space="preserve"> večletnim povprečjem. V skladu s priporočili se na visoki ravni ohranjajo </w:t>
      </w:r>
      <w:r w:rsidR="00687649">
        <w:rPr>
          <w:rFonts w:ascii="Arial" w:hAnsi="Arial" w:cs="Arial"/>
          <w:shd w:val="clear" w:color="auto" w:fill="FFFFFF"/>
          <w:lang w:eastAsia="sl-SI"/>
        </w:rPr>
        <w:t>tudi</w:t>
      </w:r>
      <w:r>
        <w:rPr>
          <w:rFonts w:ascii="Arial" w:hAnsi="Arial" w:cs="Arial"/>
          <w:shd w:val="clear" w:color="auto" w:fill="FFFFFF"/>
          <w:lang w:eastAsia="sl-SI"/>
        </w:rPr>
        <w:t xml:space="preserve"> investicije financirane iz nacionalnih virov (Slika 1</w:t>
      </w:r>
      <w:r w:rsidR="0032268A">
        <w:rPr>
          <w:rFonts w:ascii="Arial" w:hAnsi="Arial" w:cs="Arial"/>
          <w:shd w:val="clear" w:color="auto" w:fill="FFFFFF"/>
          <w:lang w:eastAsia="sl-SI"/>
        </w:rPr>
        <w:t>1</w:t>
      </w:r>
      <w:r>
        <w:rPr>
          <w:rFonts w:ascii="Arial" w:hAnsi="Arial" w:cs="Arial"/>
          <w:shd w:val="clear" w:color="auto" w:fill="FFFFFF"/>
          <w:lang w:eastAsia="sl-SI"/>
        </w:rPr>
        <w:t>).</w:t>
      </w:r>
    </w:p>
    <w:p w14:paraId="79DC78AF" w14:textId="77777777" w:rsidR="00687649" w:rsidRDefault="00687649" w:rsidP="0006060B">
      <w:pPr>
        <w:spacing w:after="0"/>
        <w:jc w:val="both"/>
        <w:rPr>
          <w:rFonts w:ascii="Arial" w:hAnsi="Arial" w:cs="Arial"/>
          <w:shd w:val="clear" w:color="auto" w:fill="FFFFFF"/>
          <w:lang w:eastAsia="sl-SI"/>
        </w:rPr>
      </w:pPr>
    </w:p>
    <w:p w14:paraId="77C8D242" w14:textId="21D83418" w:rsidR="00786217" w:rsidRDefault="00786217" w:rsidP="00786217">
      <w:pPr>
        <w:keepNext/>
        <w:keepLines/>
        <w:autoSpaceDE w:val="0"/>
        <w:autoSpaceDN w:val="0"/>
        <w:adjustRightInd w:val="0"/>
        <w:spacing w:after="0"/>
        <w:jc w:val="both"/>
        <w:rPr>
          <w:rFonts w:ascii="Arial" w:hAnsi="Arial" w:cs="Arial"/>
        </w:rPr>
      </w:pPr>
      <w:r w:rsidRPr="00157806">
        <w:rPr>
          <w:rFonts w:ascii="Arial" w:hAnsi="Arial" w:cs="Arial"/>
        </w:rPr>
        <w:t xml:space="preserve">Slika </w:t>
      </w:r>
      <w:r w:rsidRPr="00157806">
        <w:rPr>
          <w:rFonts w:ascii="Arial" w:hAnsi="Arial" w:cs="Arial"/>
        </w:rPr>
        <w:fldChar w:fldCharType="begin"/>
      </w:r>
      <w:r w:rsidRPr="00157806">
        <w:rPr>
          <w:rFonts w:ascii="Arial" w:hAnsi="Arial" w:cs="Arial"/>
        </w:rPr>
        <w:instrText xml:space="preserve"> SEQ Slika \* ARABIC </w:instrText>
      </w:r>
      <w:r w:rsidRPr="00157806">
        <w:rPr>
          <w:rFonts w:ascii="Arial" w:hAnsi="Arial" w:cs="Arial"/>
        </w:rPr>
        <w:fldChar w:fldCharType="separate"/>
      </w:r>
      <w:r w:rsidR="0032268A">
        <w:rPr>
          <w:rFonts w:ascii="Arial" w:hAnsi="Arial" w:cs="Arial"/>
          <w:noProof/>
        </w:rPr>
        <w:t>11</w:t>
      </w:r>
      <w:r w:rsidRPr="00157806">
        <w:rPr>
          <w:rFonts w:ascii="Arial" w:hAnsi="Arial" w:cs="Arial"/>
        </w:rPr>
        <w:fldChar w:fldCharType="end"/>
      </w:r>
      <w:r w:rsidRPr="00157806">
        <w:rPr>
          <w:rFonts w:ascii="Arial" w:hAnsi="Arial" w:cs="Arial"/>
        </w:rPr>
        <w:t>: Bruto investicije v osnovna sredstva</w:t>
      </w:r>
      <w:r w:rsidRPr="00C9790D">
        <w:rPr>
          <w:rFonts w:ascii="Arial" w:hAnsi="Arial" w:cs="Arial"/>
        </w:rPr>
        <w:t xml:space="preserve"> sektorja država po virih sredstev</w:t>
      </w:r>
      <w:r w:rsidRPr="00157806">
        <w:rPr>
          <w:rFonts w:ascii="Arial" w:hAnsi="Arial" w:cs="Arial"/>
        </w:rPr>
        <w:t>, % BDP</w:t>
      </w:r>
    </w:p>
    <w:p w14:paraId="6E372BDB" w14:textId="77777777" w:rsidR="00786217" w:rsidRPr="00157806" w:rsidRDefault="00786217" w:rsidP="0006060B">
      <w:pPr>
        <w:spacing w:after="0" w:line="288" w:lineRule="auto"/>
        <w:jc w:val="both"/>
        <w:rPr>
          <w:rFonts w:ascii="Arial" w:hAnsi="Arial" w:cs="Arial"/>
        </w:rPr>
      </w:pPr>
      <w:r w:rsidRPr="00157806">
        <w:rPr>
          <w:rFonts w:ascii="Arial" w:hAnsi="Arial" w:cs="Arial"/>
        </w:rPr>
        <w:t xml:space="preserve"> </w:t>
      </w:r>
      <w:r>
        <w:rPr>
          <w:noProof/>
        </w:rPr>
        <w:drawing>
          <wp:inline distT="0" distB="0" distL="0" distR="0" wp14:anchorId="1C0AF275" wp14:editId="7B2CF8DA">
            <wp:extent cx="5314950" cy="2714625"/>
            <wp:effectExtent l="0" t="0" r="0" b="0"/>
            <wp:docPr id="29" name="Chart 29">
              <a:extLst xmlns:a="http://schemas.openxmlformats.org/drawingml/2006/main">
                <a:ext uri="{FF2B5EF4-FFF2-40B4-BE49-F238E27FC236}">
                  <a16:creationId xmlns:a16="http://schemas.microsoft.com/office/drawing/2014/main" id="{1AAC3818-4DAD-4711-9C31-528288D8369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170D642D" w14:textId="60F652D4" w:rsidR="00786217" w:rsidRDefault="00786217" w:rsidP="00786217">
      <w:pPr>
        <w:keepNext/>
        <w:keepLines/>
        <w:autoSpaceDE w:val="0"/>
        <w:autoSpaceDN w:val="0"/>
        <w:adjustRightInd w:val="0"/>
        <w:spacing w:after="0"/>
        <w:jc w:val="both"/>
        <w:rPr>
          <w:rFonts w:ascii="Arial" w:hAnsi="Arial" w:cs="Arial"/>
          <w:sz w:val="20"/>
          <w:szCs w:val="20"/>
        </w:rPr>
      </w:pPr>
      <w:r w:rsidRPr="00157806">
        <w:rPr>
          <w:rFonts w:ascii="Arial" w:hAnsi="Arial" w:cs="Arial"/>
          <w:sz w:val="20"/>
          <w:szCs w:val="20"/>
        </w:rPr>
        <w:t>Vir: SURS, Ministrstvo za finance, 2023.</w:t>
      </w:r>
    </w:p>
    <w:p w14:paraId="3BB72DE6" w14:textId="77777777" w:rsidR="0006060B" w:rsidRDefault="0006060B" w:rsidP="0070090D">
      <w:pPr>
        <w:spacing w:after="0"/>
        <w:jc w:val="both"/>
        <w:rPr>
          <w:rFonts w:ascii="Arial" w:hAnsi="Arial" w:cs="Arial"/>
        </w:rPr>
      </w:pPr>
    </w:p>
    <w:p w14:paraId="6F2925D2" w14:textId="76CE0792" w:rsidR="00786217" w:rsidRDefault="00F4228C" w:rsidP="00E4660B">
      <w:pPr>
        <w:spacing w:after="0"/>
        <w:jc w:val="both"/>
        <w:rPr>
          <w:rFonts w:ascii="Arial" w:hAnsi="Arial" w:cs="Arial"/>
          <w:shd w:val="clear" w:color="auto" w:fill="FFFFFF"/>
          <w:lang w:eastAsia="sl-SI"/>
        </w:rPr>
      </w:pPr>
      <w:r w:rsidRPr="00157806">
        <w:rPr>
          <w:rFonts w:ascii="Arial" w:hAnsi="Arial" w:cs="Arial"/>
        </w:rPr>
        <w:t>V letu 2024 po skoraj štirih letih ne bo več veljala splošna odstopna klavzula</w:t>
      </w:r>
      <w:r>
        <w:rPr>
          <w:rFonts w:ascii="Arial" w:hAnsi="Arial" w:cs="Arial"/>
        </w:rPr>
        <w:t xml:space="preserve">  na ravni EU, na nacionalni ravni pa predvidoma ne bodo več izpolnjeni pogoji za uveljavljanje izjemnih okoliščin</w:t>
      </w:r>
      <w:r w:rsidRPr="00157806">
        <w:rPr>
          <w:rFonts w:ascii="Arial" w:hAnsi="Arial" w:cs="Arial"/>
        </w:rPr>
        <w:t xml:space="preserve">, zato bo skladno z veljavnimi fiskalni pravili ponovno pomemben </w:t>
      </w:r>
      <w:r>
        <w:rPr>
          <w:rFonts w:ascii="Arial" w:hAnsi="Arial" w:cs="Arial"/>
        </w:rPr>
        <w:t xml:space="preserve">kazalnik </w:t>
      </w:r>
      <w:r w:rsidRPr="00157806">
        <w:rPr>
          <w:rFonts w:ascii="Arial" w:hAnsi="Arial" w:cs="Arial"/>
        </w:rPr>
        <w:t>ciljni strukturni sald</w:t>
      </w:r>
      <w:r>
        <w:rPr>
          <w:rFonts w:ascii="Arial" w:hAnsi="Arial" w:cs="Arial"/>
        </w:rPr>
        <w:t>o</w:t>
      </w:r>
      <w:r w:rsidRPr="00157806">
        <w:rPr>
          <w:rFonts w:ascii="Arial" w:hAnsi="Arial" w:cs="Arial"/>
        </w:rPr>
        <w:t xml:space="preserve"> (ciklično prilagojeni saldo brez enkratnih </w:t>
      </w:r>
      <w:r>
        <w:rPr>
          <w:rFonts w:ascii="Arial" w:hAnsi="Arial" w:cs="Arial"/>
        </w:rPr>
        <w:t>ukrepov). Ocenjev</w:t>
      </w:r>
      <w:r w:rsidRPr="00157806">
        <w:rPr>
          <w:rFonts w:ascii="Arial" w:hAnsi="Arial" w:cs="Arial"/>
        </w:rPr>
        <w:t xml:space="preserve">anje strukturnega salda je v negotovih časih kot tudi v normalnih časih za Slovenijo kot malo odprto gospodarstvo </w:t>
      </w:r>
      <w:r w:rsidRPr="00157806">
        <w:rPr>
          <w:rFonts w:ascii="Arial" w:hAnsi="Arial" w:cs="Arial"/>
        </w:rPr>
        <w:lastRenderedPageBreak/>
        <w:t>precej negotovo. Negotova je ocena položaja v ciklu, spreminjajo se ex-ante in ex-post evalvacija zadostnosti fiskalnih naporov ter napovedi makroekonomskih agregatov, na negotovost pa vplivajo tudi revizije BDP.</w:t>
      </w:r>
    </w:p>
    <w:p w14:paraId="0121CC77" w14:textId="573A09E8" w:rsidR="00DD28C9" w:rsidRDefault="00DD28C9" w:rsidP="00DD28C9">
      <w:pPr>
        <w:pStyle w:val="Caption"/>
        <w:keepNext/>
        <w:ind w:left="0" w:firstLine="0"/>
        <w:rPr>
          <w:rFonts w:ascii="Arial" w:hAnsi="Arial" w:cs="Arial"/>
          <w:b w:val="0"/>
          <w:bCs/>
          <w:i w:val="0"/>
          <w:iCs/>
          <w:sz w:val="22"/>
          <w:szCs w:val="22"/>
        </w:rPr>
      </w:pPr>
      <w:r w:rsidRPr="00F96309">
        <w:rPr>
          <w:rFonts w:ascii="Arial" w:hAnsi="Arial" w:cs="Arial"/>
          <w:b w:val="0"/>
          <w:bCs/>
          <w:i w:val="0"/>
          <w:iCs/>
          <w:sz w:val="22"/>
          <w:szCs w:val="22"/>
        </w:rPr>
        <w:t xml:space="preserve">Tabela </w:t>
      </w:r>
      <w:r w:rsidRPr="00F96309">
        <w:rPr>
          <w:rFonts w:ascii="Arial" w:hAnsi="Arial" w:cs="Arial"/>
          <w:b w:val="0"/>
          <w:bCs/>
          <w:i w:val="0"/>
          <w:iCs/>
          <w:sz w:val="22"/>
          <w:szCs w:val="22"/>
        </w:rPr>
        <w:fldChar w:fldCharType="begin"/>
      </w:r>
      <w:r w:rsidRPr="00F96309">
        <w:rPr>
          <w:rFonts w:ascii="Arial" w:hAnsi="Arial" w:cs="Arial"/>
          <w:b w:val="0"/>
          <w:bCs/>
          <w:i w:val="0"/>
          <w:iCs/>
          <w:sz w:val="22"/>
          <w:szCs w:val="22"/>
        </w:rPr>
        <w:instrText xml:space="preserve"> SEQ Tabela \* ARABIC </w:instrText>
      </w:r>
      <w:r w:rsidRPr="00F96309">
        <w:rPr>
          <w:rFonts w:ascii="Arial" w:hAnsi="Arial" w:cs="Arial"/>
          <w:b w:val="0"/>
          <w:bCs/>
          <w:i w:val="0"/>
          <w:iCs/>
          <w:sz w:val="22"/>
          <w:szCs w:val="22"/>
        </w:rPr>
        <w:fldChar w:fldCharType="separate"/>
      </w:r>
      <w:r w:rsidR="00E4660B">
        <w:rPr>
          <w:rFonts w:ascii="Arial" w:hAnsi="Arial" w:cs="Arial"/>
          <w:b w:val="0"/>
          <w:bCs/>
          <w:i w:val="0"/>
          <w:iCs/>
          <w:noProof/>
          <w:sz w:val="22"/>
          <w:szCs w:val="22"/>
        </w:rPr>
        <w:t>2</w:t>
      </w:r>
      <w:r w:rsidRPr="00F96309">
        <w:rPr>
          <w:rFonts w:ascii="Arial" w:hAnsi="Arial" w:cs="Arial"/>
          <w:b w:val="0"/>
          <w:bCs/>
          <w:i w:val="0"/>
          <w:iCs/>
          <w:sz w:val="22"/>
          <w:szCs w:val="22"/>
        </w:rPr>
        <w:fldChar w:fldCharType="end"/>
      </w:r>
      <w:r w:rsidRPr="00F96309">
        <w:rPr>
          <w:rFonts w:ascii="Arial" w:hAnsi="Arial" w:cs="Arial"/>
          <w:b w:val="0"/>
          <w:bCs/>
          <w:i w:val="0"/>
          <w:iCs/>
          <w:sz w:val="22"/>
          <w:szCs w:val="22"/>
        </w:rPr>
        <w:t>: Ciklična gibanja</w:t>
      </w:r>
    </w:p>
    <w:tbl>
      <w:tblPr>
        <w:tblW w:w="7272" w:type="dxa"/>
        <w:tblCellMar>
          <w:left w:w="0" w:type="dxa"/>
          <w:right w:w="0" w:type="dxa"/>
        </w:tblCellMar>
        <w:tblLook w:val="04A0" w:firstRow="1" w:lastRow="0" w:firstColumn="1" w:lastColumn="0" w:noHBand="0" w:noVBand="1"/>
      </w:tblPr>
      <w:tblGrid>
        <w:gridCol w:w="560"/>
        <w:gridCol w:w="4156"/>
        <w:gridCol w:w="1077"/>
        <w:gridCol w:w="773"/>
        <w:gridCol w:w="706"/>
      </w:tblGrid>
      <w:tr w:rsidR="005E0F5F" w:rsidRPr="00686533" w14:paraId="11BE0AEB" w14:textId="77777777" w:rsidTr="00203A8D">
        <w:tc>
          <w:tcPr>
            <w:tcW w:w="560"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top w:w="0" w:type="dxa"/>
              <w:left w:w="108" w:type="dxa"/>
              <w:bottom w:w="0" w:type="dxa"/>
              <w:right w:w="108" w:type="dxa"/>
            </w:tcMar>
          </w:tcPr>
          <w:p w14:paraId="0C7C19EC" w14:textId="77777777" w:rsidR="005E0F5F" w:rsidRPr="00686533" w:rsidRDefault="005E0F5F" w:rsidP="00203A8D">
            <w:pPr>
              <w:keepNext/>
              <w:spacing w:after="0" w:line="288" w:lineRule="auto"/>
              <w:jc w:val="both"/>
              <w:rPr>
                <w:rFonts w:ascii="Arial" w:eastAsia="Calibri" w:hAnsi="Arial" w:cs="Arial"/>
                <w:b/>
                <w:bCs/>
                <w:sz w:val="18"/>
                <w:szCs w:val="18"/>
              </w:rPr>
            </w:pPr>
          </w:p>
        </w:tc>
        <w:tc>
          <w:tcPr>
            <w:tcW w:w="4156"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0FFB374C" w14:textId="77777777" w:rsidR="005E0F5F" w:rsidRPr="00686533" w:rsidRDefault="005E0F5F" w:rsidP="00203A8D">
            <w:pPr>
              <w:keepNext/>
              <w:spacing w:after="0" w:line="288" w:lineRule="auto"/>
              <w:jc w:val="both"/>
              <w:rPr>
                <w:rFonts w:ascii="Arial" w:eastAsia="Calibri" w:hAnsi="Arial" w:cs="Arial"/>
                <w:b/>
                <w:bCs/>
                <w:sz w:val="18"/>
                <w:szCs w:val="18"/>
              </w:rPr>
            </w:pPr>
            <w:r w:rsidRPr="00686533">
              <w:rPr>
                <w:rFonts w:ascii="Arial" w:eastAsia="Calibri" w:hAnsi="Arial" w:cs="Arial"/>
                <w:b/>
                <w:bCs/>
                <w:sz w:val="18"/>
                <w:szCs w:val="18"/>
                <w:lang w:eastAsia="sl-SI"/>
              </w:rPr>
              <w:t>v % BDP</w:t>
            </w:r>
          </w:p>
        </w:tc>
        <w:tc>
          <w:tcPr>
            <w:tcW w:w="1077"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338519CE" w14:textId="77777777" w:rsidR="005E0F5F" w:rsidRPr="00686533" w:rsidRDefault="005E0F5F" w:rsidP="00203A8D">
            <w:pPr>
              <w:keepNext/>
              <w:spacing w:after="0" w:line="288" w:lineRule="auto"/>
              <w:jc w:val="both"/>
              <w:rPr>
                <w:rFonts w:ascii="Arial" w:eastAsia="Calibri" w:hAnsi="Arial" w:cs="Arial"/>
                <w:b/>
                <w:bCs/>
                <w:sz w:val="18"/>
                <w:szCs w:val="18"/>
              </w:rPr>
            </w:pPr>
            <w:r w:rsidRPr="00686533">
              <w:rPr>
                <w:rFonts w:ascii="Arial" w:eastAsia="Calibri" w:hAnsi="Arial" w:cs="Arial"/>
                <w:b/>
                <w:bCs/>
                <w:sz w:val="18"/>
                <w:szCs w:val="18"/>
                <w:lang w:eastAsia="sl-SI"/>
              </w:rPr>
              <w:t>ESA koda</w:t>
            </w:r>
          </w:p>
        </w:tc>
        <w:tc>
          <w:tcPr>
            <w:tcW w:w="773"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143BBA59" w14:textId="77777777" w:rsidR="005E0F5F" w:rsidRPr="00686533" w:rsidRDefault="005E0F5F" w:rsidP="00203A8D">
            <w:pPr>
              <w:keepNext/>
              <w:spacing w:after="0" w:line="288" w:lineRule="auto"/>
              <w:jc w:val="both"/>
              <w:rPr>
                <w:rFonts w:ascii="Arial" w:eastAsia="Calibri" w:hAnsi="Arial" w:cs="Arial"/>
                <w:b/>
                <w:bCs/>
                <w:sz w:val="18"/>
                <w:szCs w:val="18"/>
              </w:rPr>
            </w:pPr>
            <w:r w:rsidRPr="00686533">
              <w:rPr>
                <w:rFonts w:ascii="Arial" w:eastAsia="Calibri" w:hAnsi="Arial" w:cs="Arial"/>
                <w:b/>
                <w:bCs/>
                <w:sz w:val="18"/>
                <w:szCs w:val="18"/>
                <w:lang w:eastAsia="sl-SI"/>
              </w:rPr>
              <w:t>2023</w:t>
            </w:r>
          </w:p>
        </w:tc>
        <w:tc>
          <w:tcPr>
            <w:tcW w:w="706"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526898E3" w14:textId="77777777" w:rsidR="005E0F5F" w:rsidRPr="00686533" w:rsidRDefault="005E0F5F" w:rsidP="00203A8D">
            <w:pPr>
              <w:keepNext/>
              <w:spacing w:after="0" w:line="288" w:lineRule="auto"/>
              <w:jc w:val="both"/>
              <w:rPr>
                <w:rFonts w:ascii="Arial" w:eastAsia="Calibri" w:hAnsi="Arial" w:cs="Arial"/>
                <w:b/>
                <w:bCs/>
                <w:sz w:val="18"/>
                <w:szCs w:val="18"/>
              </w:rPr>
            </w:pPr>
            <w:r w:rsidRPr="00686533">
              <w:rPr>
                <w:rFonts w:ascii="Arial" w:eastAsia="Calibri" w:hAnsi="Arial" w:cs="Arial"/>
                <w:b/>
                <w:bCs/>
                <w:sz w:val="18"/>
                <w:szCs w:val="18"/>
                <w:lang w:eastAsia="sl-SI"/>
              </w:rPr>
              <w:t>2024</w:t>
            </w:r>
          </w:p>
        </w:tc>
      </w:tr>
      <w:tr w:rsidR="005E0F5F" w:rsidRPr="00157806" w14:paraId="03B67E64" w14:textId="77777777" w:rsidTr="00203A8D">
        <w:tc>
          <w:tcPr>
            <w:tcW w:w="56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2B593AA" w14:textId="77777777" w:rsidR="005E0F5F" w:rsidRPr="00157806" w:rsidRDefault="005E0F5F" w:rsidP="00203A8D">
            <w:pPr>
              <w:keepNext/>
              <w:spacing w:after="0" w:line="288" w:lineRule="auto"/>
              <w:jc w:val="both"/>
              <w:rPr>
                <w:rFonts w:ascii="Arial" w:eastAsia="Calibri" w:hAnsi="Arial" w:cs="Arial"/>
                <w:sz w:val="18"/>
                <w:szCs w:val="18"/>
              </w:rPr>
            </w:pPr>
            <w:r w:rsidRPr="00157806">
              <w:rPr>
                <w:rFonts w:ascii="Arial" w:eastAsia="Calibri" w:hAnsi="Arial" w:cs="Arial"/>
                <w:sz w:val="18"/>
                <w:szCs w:val="18"/>
                <w:lang w:eastAsia="sl-SI"/>
              </w:rPr>
              <w:t>1.</w:t>
            </w:r>
          </w:p>
        </w:tc>
        <w:tc>
          <w:tcPr>
            <w:tcW w:w="4156" w:type="dxa"/>
            <w:tcBorders>
              <w:top w:val="nil"/>
              <w:left w:val="nil"/>
              <w:bottom w:val="single" w:sz="8" w:space="0" w:color="auto"/>
              <w:right w:val="single" w:sz="8" w:space="0" w:color="auto"/>
            </w:tcBorders>
            <w:tcMar>
              <w:top w:w="0" w:type="dxa"/>
              <w:left w:w="108" w:type="dxa"/>
              <w:bottom w:w="0" w:type="dxa"/>
              <w:right w:w="108" w:type="dxa"/>
            </w:tcMar>
            <w:hideMark/>
          </w:tcPr>
          <w:p w14:paraId="4AEEC6BC" w14:textId="77777777" w:rsidR="005E0F5F" w:rsidRPr="00157806" w:rsidRDefault="005E0F5F" w:rsidP="00203A8D">
            <w:pPr>
              <w:keepNext/>
              <w:spacing w:after="0" w:line="288" w:lineRule="auto"/>
              <w:jc w:val="both"/>
              <w:rPr>
                <w:rFonts w:ascii="Arial" w:eastAsia="Calibri" w:hAnsi="Arial" w:cs="Arial"/>
                <w:sz w:val="18"/>
                <w:szCs w:val="18"/>
              </w:rPr>
            </w:pPr>
            <w:r w:rsidRPr="00157806">
              <w:rPr>
                <w:rFonts w:ascii="Arial" w:eastAsia="Calibri" w:hAnsi="Arial" w:cs="Arial"/>
                <w:sz w:val="18"/>
                <w:szCs w:val="18"/>
                <w:lang w:eastAsia="sl-SI"/>
              </w:rPr>
              <w:t>Realna rast BDP (%)</w:t>
            </w:r>
          </w:p>
        </w:tc>
        <w:tc>
          <w:tcPr>
            <w:tcW w:w="1077" w:type="dxa"/>
            <w:tcBorders>
              <w:top w:val="nil"/>
              <w:left w:val="nil"/>
              <w:bottom w:val="single" w:sz="8" w:space="0" w:color="auto"/>
              <w:right w:val="single" w:sz="8" w:space="0" w:color="auto"/>
            </w:tcBorders>
            <w:tcMar>
              <w:top w:w="0" w:type="dxa"/>
              <w:left w:w="108" w:type="dxa"/>
              <w:bottom w:w="0" w:type="dxa"/>
              <w:right w:w="108" w:type="dxa"/>
            </w:tcMar>
          </w:tcPr>
          <w:p w14:paraId="454AFC4E" w14:textId="77777777" w:rsidR="005E0F5F" w:rsidRPr="00157806" w:rsidRDefault="005E0F5F" w:rsidP="00203A8D">
            <w:pPr>
              <w:keepNext/>
              <w:spacing w:after="0" w:line="288" w:lineRule="auto"/>
              <w:jc w:val="center"/>
              <w:rPr>
                <w:rFonts w:ascii="Arial" w:eastAsia="Calibri" w:hAnsi="Arial" w:cs="Arial"/>
                <w:sz w:val="18"/>
                <w:szCs w:val="18"/>
              </w:rPr>
            </w:pPr>
          </w:p>
        </w:tc>
        <w:tc>
          <w:tcPr>
            <w:tcW w:w="773" w:type="dxa"/>
            <w:tcBorders>
              <w:top w:val="nil"/>
              <w:left w:val="nil"/>
              <w:bottom w:val="single" w:sz="8" w:space="0" w:color="auto"/>
              <w:right w:val="single" w:sz="8" w:space="0" w:color="auto"/>
            </w:tcBorders>
            <w:tcMar>
              <w:top w:w="0" w:type="dxa"/>
              <w:left w:w="108" w:type="dxa"/>
              <w:bottom w:w="0" w:type="dxa"/>
              <w:right w:w="108" w:type="dxa"/>
            </w:tcMar>
            <w:hideMark/>
          </w:tcPr>
          <w:p w14:paraId="68BE064A" w14:textId="77777777" w:rsidR="005E0F5F" w:rsidRPr="00157806" w:rsidRDefault="005E0F5F" w:rsidP="00203A8D">
            <w:pPr>
              <w:keepNext/>
              <w:spacing w:after="0" w:line="288" w:lineRule="auto"/>
              <w:jc w:val="center"/>
              <w:rPr>
                <w:rFonts w:ascii="Arial" w:eastAsia="Calibri" w:hAnsi="Arial" w:cs="Arial"/>
                <w:sz w:val="18"/>
                <w:szCs w:val="18"/>
              </w:rPr>
            </w:pPr>
            <w:r w:rsidRPr="00157806">
              <w:rPr>
                <w:rFonts w:ascii="Arial" w:eastAsia="Calibri" w:hAnsi="Arial" w:cs="Arial"/>
                <w:sz w:val="18"/>
                <w:szCs w:val="18"/>
              </w:rPr>
              <w:t>1,6</w:t>
            </w:r>
          </w:p>
        </w:tc>
        <w:tc>
          <w:tcPr>
            <w:tcW w:w="706" w:type="dxa"/>
            <w:tcBorders>
              <w:top w:val="nil"/>
              <w:left w:val="nil"/>
              <w:bottom w:val="single" w:sz="8" w:space="0" w:color="auto"/>
              <w:right w:val="single" w:sz="8" w:space="0" w:color="auto"/>
            </w:tcBorders>
            <w:tcMar>
              <w:top w:w="0" w:type="dxa"/>
              <w:left w:w="108" w:type="dxa"/>
              <w:bottom w:w="0" w:type="dxa"/>
              <w:right w:w="108" w:type="dxa"/>
            </w:tcMar>
            <w:hideMark/>
          </w:tcPr>
          <w:p w14:paraId="5D04296F" w14:textId="77777777" w:rsidR="005E0F5F" w:rsidRPr="00157806" w:rsidRDefault="005E0F5F" w:rsidP="00203A8D">
            <w:pPr>
              <w:keepNext/>
              <w:spacing w:after="0" w:line="288" w:lineRule="auto"/>
              <w:jc w:val="center"/>
              <w:rPr>
                <w:rFonts w:ascii="Arial" w:eastAsia="Calibri" w:hAnsi="Arial" w:cs="Arial"/>
                <w:sz w:val="18"/>
                <w:szCs w:val="18"/>
              </w:rPr>
            </w:pPr>
            <w:r w:rsidRPr="00157806">
              <w:rPr>
                <w:rFonts w:ascii="Arial" w:eastAsia="Calibri" w:hAnsi="Arial" w:cs="Arial"/>
                <w:sz w:val="18"/>
                <w:szCs w:val="18"/>
              </w:rPr>
              <w:t>2,</w:t>
            </w:r>
            <w:r>
              <w:rPr>
                <w:rFonts w:ascii="Arial" w:eastAsia="Calibri" w:hAnsi="Arial" w:cs="Arial"/>
                <w:sz w:val="18"/>
                <w:szCs w:val="18"/>
              </w:rPr>
              <w:t>8</w:t>
            </w:r>
          </w:p>
        </w:tc>
      </w:tr>
      <w:tr w:rsidR="005E0F5F" w:rsidRPr="00157806" w14:paraId="2C064175" w14:textId="77777777" w:rsidTr="00203A8D">
        <w:tc>
          <w:tcPr>
            <w:tcW w:w="56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B1B677F" w14:textId="77777777" w:rsidR="005E0F5F" w:rsidRPr="00157806" w:rsidRDefault="005E0F5F" w:rsidP="00203A8D">
            <w:pPr>
              <w:keepNext/>
              <w:spacing w:after="0" w:line="288" w:lineRule="auto"/>
              <w:jc w:val="both"/>
              <w:rPr>
                <w:rFonts w:ascii="Arial" w:eastAsia="Calibri" w:hAnsi="Arial" w:cs="Arial"/>
                <w:sz w:val="18"/>
                <w:szCs w:val="18"/>
              </w:rPr>
            </w:pPr>
            <w:r w:rsidRPr="00157806">
              <w:rPr>
                <w:rFonts w:ascii="Arial" w:eastAsia="Calibri" w:hAnsi="Arial" w:cs="Arial"/>
                <w:sz w:val="18"/>
                <w:szCs w:val="18"/>
                <w:lang w:eastAsia="sl-SI"/>
              </w:rPr>
              <w:t>2.</w:t>
            </w:r>
          </w:p>
        </w:tc>
        <w:tc>
          <w:tcPr>
            <w:tcW w:w="4156" w:type="dxa"/>
            <w:tcBorders>
              <w:top w:val="nil"/>
              <w:left w:val="nil"/>
              <w:bottom w:val="single" w:sz="8" w:space="0" w:color="auto"/>
              <w:right w:val="single" w:sz="8" w:space="0" w:color="auto"/>
            </w:tcBorders>
            <w:tcMar>
              <w:top w:w="0" w:type="dxa"/>
              <w:left w:w="108" w:type="dxa"/>
              <w:bottom w:w="0" w:type="dxa"/>
              <w:right w:w="108" w:type="dxa"/>
            </w:tcMar>
            <w:hideMark/>
          </w:tcPr>
          <w:p w14:paraId="355E2A36" w14:textId="77777777" w:rsidR="005E0F5F" w:rsidRPr="00157806" w:rsidRDefault="005E0F5F" w:rsidP="00203A8D">
            <w:pPr>
              <w:keepNext/>
              <w:spacing w:after="0" w:line="288" w:lineRule="auto"/>
              <w:jc w:val="both"/>
              <w:rPr>
                <w:rFonts w:ascii="Arial" w:eastAsia="Calibri" w:hAnsi="Arial" w:cs="Arial"/>
                <w:sz w:val="18"/>
                <w:szCs w:val="18"/>
              </w:rPr>
            </w:pPr>
            <w:r w:rsidRPr="00157806">
              <w:rPr>
                <w:rFonts w:ascii="Arial" w:eastAsia="Calibri" w:hAnsi="Arial" w:cs="Arial"/>
                <w:sz w:val="18"/>
                <w:szCs w:val="18"/>
                <w:lang w:eastAsia="sl-SI"/>
              </w:rPr>
              <w:t>Dejanski javnofinančni saldo</w:t>
            </w:r>
          </w:p>
        </w:tc>
        <w:tc>
          <w:tcPr>
            <w:tcW w:w="1077" w:type="dxa"/>
            <w:tcBorders>
              <w:top w:val="nil"/>
              <w:left w:val="nil"/>
              <w:bottom w:val="single" w:sz="8" w:space="0" w:color="auto"/>
              <w:right w:val="single" w:sz="8" w:space="0" w:color="auto"/>
            </w:tcBorders>
            <w:tcMar>
              <w:top w:w="0" w:type="dxa"/>
              <w:left w:w="108" w:type="dxa"/>
              <w:bottom w:w="0" w:type="dxa"/>
              <w:right w:w="108" w:type="dxa"/>
            </w:tcMar>
            <w:hideMark/>
          </w:tcPr>
          <w:p w14:paraId="7886207F" w14:textId="77777777" w:rsidR="005E0F5F" w:rsidRPr="00157806" w:rsidRDefault="005E0F5F" w:rsidP="00203A8D">
            <w:pPr>
              <w:keepNext/>
              <w:spacing w:after="0" w:line="288" w:lineRule="auto"/>
              <w:jc w:val="center"/>
              <w:rPr>
                <w:rFonts w:ascii="Arial" w:eastAsia="Calibri" w:hAnsi="Arial" w:cs="Arial"/>
                <w:sz w:val="18"/>
                <w:szCs w:val="18"/>
              </w:rPr>
            </w:pPr>
            <w:r w:rsidRPr="00157806">
              <w:rPr>
                <w:rFonts w:ascii="Arial" w:eastAsia="Calibri" w:hAnsi="Arial" w:cs="Arial"/>
                <w:sz w:val="18"/>
                <w:szCs w:val="18"/>
              </w:rPr>
              <w:t>B.9</w:t>
            </w:r>
          </w:p>
        </w:tc>
        <w:tc>
          <w:tcPr>
            <w:tcW w:w="773" w:type="dxa"/>
            <w:tcBorders>
              <w:top w:val="nil"/>
              <w:left w:val="nil"/>
              <w:bottom w:val="single" w:sz="8" w:space="0" w:color="auto"/>
              <w:right w:val="single" w:sz="8" w:space="0" w:color="auto"/>
            </w:tcBorders>
            <w:tcMar>
              <w:top w:w="0" w:type="dxa"/>
              <w:left w:w="108" w:type="dxa"/>
              <w:bottom w:w="0" w:type="dxa"/>
              <w:right w:w="108" w:type="dxa"/>
            </w:tcMar>
            <w:hideMark/>
          </w:tcPr>
          <w:p w14:paraId="4C99A1E5" w14:textId="77777777" w:rsidR="005E0F5F" w:rsidRPr="00157806" w:rsidRDefault="005E0F5F" w:rsidP="00203A8D">
            <w:pPr>
              <w:keepNext/>
              <w:spacing w:after="0" w:line="288" w:lineRule="auto"/>
              <w:jc w:val="center"/>
              <w:rPr>
                <w:rFonts w:ascii="Arial" w:eastAsia="Calibri" w:hAnsi="Arial" w:cs="Arial"/>
                <w:sz w:val="18"/>
                <w:szCs w:val="18"/>
              </w:rPr>
            </w:pPr>
            <w:r w:rsidRPr="00157806">
              <w:rPr>
                <w:rFonts w:ascii="Arial" w:eastAsia="Calibri" w:hAnsi="Arial" w:cs="Arial"/>
                <w:sz w:val="18"/>
                <w:szCs w:val="18"/>
              </w:rPr>
              <w:t>-4,5</w:t>
            </w:r>
          </w:p>
        </w:tc>
        <w:tc>
          <w:tcPr>
            <w:tcW w:w="706" w:type="dxa"/>
            <w:tcBorders>
              <w:top w:val="nil"/>
              <w:left w:val="nil"/>
              <w:bottom w:val="single" w:sz="8" w:space="0" w:color="auto"/>
              <w:right w:val="single" w:sz="8" w:space="0" w:color="auto"/>
            </w:tcBorders>
            <w:tcMar>
              <w:top w:w="0" w:type="dxa"/>
              <w:left w:w="108" w:type="dxa"/>
              <w:bottom w:w="0" w:type="dxa"/>
              <w:right w:w="108" w:type="dxa"/>
            </w:tcMar>
            <w:hideMark/>
          </w:tcPr>
          <w:p w14:paraId="3CE4AE7A" w14:textId="77777777" w:rsidR="005E0F5F" w:rsidRPr="00157806" w:rsidRDefault="005E0F5F" w:rsidP="00203A8D">
            <w:pPr>
              <w:keepNext/>
              <w:spacing w:after="0" w:line="288" w:lineRule="auto"/>
              <w:jc w:val="center"/>
              <w:rPr>
                <w:rFonts w:ascii="Arial" w:eastAsia="Calibri" w:hAnsi="Arial" w:cs="Arial"/>
                <w:sz w:val="18"/>
                <w:szCs w:val="18"/>
              </w:rPr>
            </w:pPr>
            <w:r w:rsidRPr="00157806">
              <w:rPr>
                <w:rFonts w:ascii="Arial" w:eastAsia="Calibri" w:hAnsi="Arial" w:cs="Arial"/>
                <w:sz w:val="18"/>
                <w:szCs w:val="18"/>
              </w:rPr>
              <w:t>-3,</w:t>
            </w:r>
            <w:r>
              <w:rPr>
                <w:rFonts w:ascii="Arial" w:eastAsia="Calibri" w:hAnsi="Arial" w:cs="Arial"/>
                <w:sz w:val="18"/>
                <w:szCs w:val="18"/>
              </w:rPr>
              <w:t>8</w:t>
            </w:r>
          </w:p>
        </w:tc>
      </w:tr>
      <w:tr w:rsidR="005E0F5F" w:rsidRPr="00157806" w14:paraId="6BD08572" w14:textId="77777777" w:rsidTr="00203A8D">
        <w:tc>
          <w:tcPr>
            <w:tcW w:w="56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709F5C2" w14:textId="77777777" w:rsidR="005E0F5F" w:rsidRPr="00157806" w:rsidRDefault="005E0F5F" w:rsidP="00203A8D">
            <w:pPr>
              <w:keepNext/>
              <w:spacing w:after="0" w:line="288" w:lineRule="auto"/>
              <w:jc w:val="both"/>
              <w:rPr>
                <w:rFonts w:ascii="Arial" w:eastAsia="Calibri" w:hAnsi="Arial" w:cs="Arial"/>
                <w:sz w:val="18"/>
                <w:szCs w:val="18"/>
              </w:rPr>
            </w:pPr>
            <w:r w:rsidRPr="00157806">
              <w:rPr>
                <w:rFonts w:ascii="Arial" w:eastAsia="Calibri" w:hAnsi="Arial" w:cs="Arial"/>
                <w:sz w:val="18"/>
                <w:szCs w:val="18"/>
                <w:lang w:eastAsia="sl-SI"/>
              </w:rPr>
              <w:t>3.</w:t>
            </w:r>
          </w:p>
        </w:tc>
        <w:tc>
          <w:tcPr>
            <w:tcW w:w="4156" w:type="dxa"/>
            <w:tcBorders>
              <w:top w:val="nil"/>
              <w:left w:val="nil"/>
              <w:bottom w:val="single" w:sz="8" w:space="0" w:color="auto"/>
              <w:right w:val="single" w:sz="8" w:space="0" w:color="auto"/>
            </w:tcBorders>
            <w:tcMar>
              <w:top w:w="0" w:type="dxa"/>
              <w:left w:w="108" w:type="dxa"/>
              <w:bottom w:w="0" w:type="dxa"/>
              <w:right w:w="108" w:type="dxa"/>
            </w:tcMar>
            <w:hideMark/>
          </w:tcPr>
          <w:p w14:paraId="2425B532" w14:textId="77777777" w:rsidR="005E0F5F" w:rsidRPr="00157806" w:rsidRDefault="005E0F5F" w:rsidP="00203A8D">
            <w:pPr>
              <w:keepNext/>
              <w:spacing w:after="0" w:line="288" w:lineRule="auto"/>
              <w:jc w:val="both"/>
              <w:rPr>
                <w:rFonts w:ascii="Arial" w:eastAsia="Calibri" w:hAnsi="Arial" w:cs="Arial"/>
                <w:sz w:val="18"/>
                <w:szCs w:val="18"/>
              </w:rPr>
            </w:pPr>
            <w:r w:rsidRPr="00157806">
              <w:rPr>
                <w:rFonts w:ascii="Arial" w:eastAsia="Calibri" w:hAnsi="Arial" w:cs="Arial"/>
                <w:sz w:val="18"/>
                <w:szCs w:val="18"/>
                <w:lang w:eastAsia="sl-SI"/>
              </w:rPr>
              <w:t>Odhodki za obresti</w:t>
            </w:r>
          </w:p>
        </w:tc>
        <w:tc>
          <w:tcPr>
            <w:tcW w:w="1077" w:type="dxa"/>
            <w:tcBorders>
              <w:top w:val="nil"/>
              <w:left w:val="nil"/>
              <w:bottom w:val="single" w:sz="8" w:space="0" w:color="auto"/>
              <w:right w:val="single" w:sz="8" w:space="0" w:color="auto"/>
            </w:tcBorders>
            <w:tcMar>
              <w:top w:w="0" w:type="dxa"/>
              <w:left w:w="108" w:type="dxa"/>
              <w:bottom w:w="0" w:type="dxa"/>
              <w:right w:w="108" w:type="dxa"/>
            </w:tcMar>
            <w:hideMark/>
          </w:tcPr>
          <w:p w14:paraId="55A50EF6" w14:textId="77777777" w:rsidR="005E0F5F" w:rsidRPr="00157806" w:rsidRDefault="005E0F5F" w:rsidP="00203A8D">
            <w:pPr>
              <w:keepNext/>
              <w:spacing w:after="0" w:line="288" w:lineRule="auto"/>
              <w:jc w:val="center"/>
              <w:rPr>
                <w:rFonts w:ascii="Arial" w:eastAsia="Calibri" w:hAnsi="Arial" w:cs="Arial"/>
                <w:sz w:val="18"/>
                <w:szCs w:val="18"/>
              </w:rPr>
            </w:pPr>
            <w:r w:rsidRPr="00157806">
              <w:rPr>
                <w:rFonts w:ascii="Arial" w:eastAsia="Calibri" w:hAnsi="Arial" w:cs="Arial"/>
                <w:sz w:val="18"/>
                <w:szCs w:val="18"/>
              </w:rPr>
              <w:t>D.41</w:t>
            </w:r>
          </w:p>
        </w:tc>
        <w:tc>
          <w:tcPr>
            <w:tcW w:w="773" w:type="dxa"/>
            <w:tcBorders>
              <w:top w:val="nil"/>
              <w:left w:val="nil"/>
              <w:bottom w:val="single" w:sz="8" w:space="0" w:color="auto"/>
              <w:right w:val="single" w:sz="8" w:space="0" w:color="auto"/>
            </w:tcBorders>
            <w:tcMar>
              <w:top w:w="0" w:type="dxa"/>
              <w:left w:w="108" w:type="dxa"/>
              <w:bottom w:w="0" w:type="dxa"/>
              <w:right w:w="108" w:type="dxa"/>
            </w:tcMar>
            <w:hideMark/>
          </w:tcPr>
          <w:p w14:paraId="383BDE5E" w14:textId="77777777" w:rsidR="005E0F5F" w:rsidRPr="00157806" w:rsidRDefault="005E0F5F" w:rsidP="00203A8D">
            <w:pPr>
              <w:keepNext/>
              <w:spacing w:after="0" w:line="288" w:lineRule="auto"/>
              <w:jc w:val="center"/>
              <w:rPr>
                <w:rFonts w:ascii="Arial" w:eastAsia="Calibri" w:hAnsi="Arial" w:cs="Arial"/>
                <w:sz w:val="18"/>
                <w:szCs w:val="18"/>
              </w:rPr>
            </w:pPr>
            <w:r w:rsidRPr="00157806">
              <w:rPr>
                <w:rFonts w:ascii="Arial" w:eastAsia="Calibri" w:hAnsi="Arial" w:cs="Arial"/>
                <w:sz w:val="18"/>
                <w:szCs w:val="18"/>
              </w:rPr>
              <w:t>1,2</w:t>
            </w:r>
          </w:p>
        </w:tc>
        <w:tc>
          <w:tcPr>
            <w:tcW w:w="706" w:type="dxa"/>
            <w:tcBorders>
              <w:top w:val="nil"/>
              <w:left w:val="nil"/>
              <w:bottom w:val="single" w:sz="8" w:space="0" w:color="auto"/>
              <w:right w:val="single" w:sz="8" w:space="0" w:color="auto"/>
            </w:tcBorders>
            <w:tcMar>
              <w:top w:w="0" w:type="dxa"/>
              <w:left w:w="108" w:type="dxa"/>
              <w:bottom w:w="0" w:type="dxa"/>
              <w:right w:w="108" w:type="dxa"/>
            </w:tcMar>
            <w:hideMark/>
          </w:tcPr>
          <w:p w14:paraId="6BCE7E4F" w14:textId="77777777" w:rsidR="005E0F5F" w:rsidRPr="00157806" w:rsidRDefault="005E0F5F" w:rsidP="00203A8D">
            <w:pPr>
              <w:keepNext/>
              <w:spacing w:after="0" w:line="288" w:lineRule="auto"/>
              <w:jc w:val="center"/>
              <w:rPr>
                <w:rFonts w:ascii="Arial" w:eastAsia="Calibri" w:hAnsi="Arial" w:cs="Arial"/>
                <w:sz w:val="18"/>
                <w:szCs w:val="18"/>
              </w:rPr>
            </w:pPr>
            <w:r w:rsidRPr="00157806">
              <w:rPr>
                <w:rFonts w:ascii="Arial" w:eastAsia="Calibri" w:hAnsi="Arial" w:cs="Arial"/>
                <w:sz w:val="18"/>
                <w:szCs w:val="18"/>
              </w:rPr>
              <w:t>1,3</w:t>
            </w:r>
          </w:p>
        </w:tc>
      </w:tr>
      <w:tr w:rsidR="005E0F5F" w:rsidRPr="00157806" w14:paraId="65BF77A4" w14:textId="77777777" w:rsidTr="00203A8D">
        <w:tc>
          <w:tcPr>
            <w:tcW w:w="56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99C6438" w14:textId="77777777" w:rsidR="005E0F5F" w:rsidRPr="00157806" w:rsidRDefault="005E0F5F" w:rsidP="00203A8D">
            <w:pPr>
              <w:keepNext/>
              <w:spacing w:after="0" w:line="288" w:lineRule="auto"/>
              <w:jc w:val="both"/>
              <w:rPr>
                <w:rFonts w:ascii="Arial" w:eastAsia="Calibri" w:hAnsi="Arial" w:cs="Arial"/>
                <w:sz w:val="18"/>
                <w:szCs w:val="18"/>
              </w:rPr>
            </w:pPr>
            <w:r w:rsidRPr="00157806">
              <w:rPr>
                <w:rFonts w:ascii="Arial" w:eastAsia="Calibri" w:hAnsi="Arial" w:cs="Arial"/>
                <w:sz w:val="18"/>
                <w:szCs w:val="18"/>
                <w:lang w:eastAsia="sl-SI"/>
              </w:rPr>
              <w:t>4.</w:t>
            </w:r>
          </w:p>
        </w:tc>
        <w:tc>
          <w:tcPr>
            <w:tcW w:w="4156" w:type="dxa"/>
            <w:tcBorders>
              <w:top w:val="nil"/>
              <w:left w:val="nil"/>
              <w:bottom w:val="single" w:sz="8" w:space="0" w:color="auto"/>
              <w:right w:val="single" w:sz="8" w:space="0" w:color="auto"/>
            </w:tcBorders>
            <w:tcMar>
              <w:top w:w="0" w:type="dxa"/>
              <w:left w:w="108" w:type="dxa"/>
              <w:bottom w:w="0" w:type="dxa"/>
              <w:right w:w="108" w:type="dxa"/>
            </w:tcMar>
            <w:hideMark/>
          </w:tcPr>
          <w:p w14:paraId="3FBD9149" w14:textId="77777777" w:rsidR="005E0F5F" w:rsidRPr="00157806" w:rsidRDefault="005E0F5F" w:rsidP="00203A8D">
            <w:pPr>
              <w:keepNext/>
              <w:spacing w:after="0" w:line="288" w:lineRule="auto"/>
              <w:jc w:val="both"/>
              <w:rPr>
                <w:rFonts w:ascii="Arial" w:eastAsia="Calibri" w:hAnsi="Arial" w:cs="Arial"/>
                <w:sz w:val="18"/>
                <w:szCs w:val="18"/>
              </w:rPr>
            </w:pPr>
            <w:r w:rsidRPr="00157806">
              <w:rPr>
                <w:rFonts w:ascii="Arial" w:eastAsia="Calibri" w:hAnsi="Arial" w:cs="Arial"/>
                <w:sz w:val="18"/>
                <w:szCs w:val="18"/>
                <w:lang w:eastAsia="sl-SI"/>
              </w:rPr>
              <w:t>Enkratni in drugi začasni ukrepi</w:t>
            </w:r>
          </w:p>
        </w:tc>
        <w:tc>
          <w:tcPr>
            <w:tcW w:w="1077" w:type="dxa"/>
            <w:tcBorders>
              <w:top w:val="nil"/>
              <w:left w:val="nil"/>
              <w:bottom w:val="single" w:sz="8" w:space="0" w:color="auto"/>
              <w:right w:val="single" w:sz="8" w:space="0" w:color="auto"/>
            </w:tcBorders>
            <w:tcMar>
              <w:top w:w="0" w:type="dxa"/>
              <w:left w:w="108" w:type="dxa"/>
              <w:bottom w:w="0" w:type="dxa"/>
              <w:right w:w="108" w:type="dxa"/>
            </w:tcMar>
          </w:tcPr>
          <w:p w14:paraId="667B684C" w14:textId="77777777" w:rsidR="005E0F5F" w:rsidRPr="00157806" w:rsidRDefault="005E0F5F" w:rsidP="00203A8D">
            <w:pPr>
              <w:keepNext/>
              <w:spacing w:after="0" w:line="288" w:lineRule="auto"/>
              <w:jc w:val="center"/>
              <w:rPr>
                <w:rFonts w:ascii="Arial" w:eastAsia="Calibri" w:hAnsi="Arial" w:cs="Arial"/>
                <w:sz w:val="18"/>
                <w:szCs w:val="18"/>
              </w:rPr>
            </w:pPr>
          </w:p>
        </w:tc>
        <w:tc>
          <w:tcPr>
            <w:tcW w:w="773" w:type="dxa"/>
            <w:tcBorders>
              <w:top w:val="nil"/>
              <w:left w:val="nil"/>
              <w:bottom w:val="single" w:sz="8" w:space="0" w:color="auto"/>
              <w:right w:val="single" w:sz="8" w:space="0" w:color="auto"/>
            </w:tcBorders>
            <w:tcMar>
              <w:top w:w="0" w:type="dxa"/>
              <w:left w:w="108" w:type="dxa"/>
              <w:bottom w:w="0" w:type="dxa"/>
              <w:right w:w="108" w:type="dxa"/>
            </w:tcMar>
          </w:tcPr>
          <w:p w14:paraId="275D1017" w14:textId="77777777" w:rsidR="005E0F5F" w:rsidRPr="00157806" w:rsidRDefault="005E0F5F" w:rsidP="00203A8D">
            <w:pPr>
              <w:keepNext/>
              <w:spacing w:after="0" w:line="288" w:lineRule="auto"/>
              <w:jc w:val="center"/>
              <w:rPr>
                <w:rFonts w:ascii="Arial" w:eastAsia="Calibri" w:hAnsi="Arial" w:cs="Arial"/>
                <w:sz w:val="18"/>
                <w:szCs w:val="18"/>
              </w:rPr>
            </w:pPr>
            <w:r>
              <w:rPr>
                <w:rFonts w:ascii="Arial" w:eastAsia="Calibri" w:hAnsi="Arial" w:cs="Arial"/>
                <w:sz w:val="18"/>
                <w:szCs w:val="18"/>
              </w:rPr>
              <w:t>-0,6</w:t>
            </w:r>
          </w:p>
        </w:tc>
        <w:tc>
          <w:tcPr>
            <w:tcW w:w="706" w:type="dxa"/>
            <w:tcBorders>
              <w:top w:val="nil"/>
              <w:left w:val="nil"/>
              <w:bottom w:val="single" w:sz="8" w:space="0" w:color="auto"/>
              <w:right w:val="single" w:sz="8" w:space="0" w:color="auto"/>
            </w:tcBorders>
            <w:tcMar>
              <w:top w:w="0" w:type="dxa"/>
              <w:left w:w="108" w:type="dxa"/>
              <w:bottom w:w="0" w:type="dxa"/>
              <w:right w:w="108" w:type="dxa"/>
            </w:tcMar>
          </w:tcPr>
          <w:p w14:paraId="383F0C16" w14:textId="77777777" w:rsidR="005E0F5F" w:rsidRPr="00157806" w:rsidRDefault="005E0F5F" w:rsidP="00203A8D">
            <w:pPr>
              <w:keepNext/>
              <w:spacing w:after="0" w:line="288" w:lineRule="auto"/>
              <w:jc w:val="center"/>
              <w:rPr>
                <w:rFonts w:ascii="Arial" w:eastAsia="Calibri" w:hAnsi="Arial" w:cs="Arial"/>
                <w:sz w:val="18"/>
                <w:szCs w:val="18"/>
              </w:rPr>
            </w:pPr>
            <w:r>
              <w:rPr>
                <w:rFonts w:ascii="Arial" w:eastAsia="Calibri" w:hAnsi="Arial" w:cs="Arial"/>
                <w:sz w:val="18"/>
                <w:szCs w:val="18"/>
              </w:rPr>
              <w:t>-1,2</w:t>
            </w:r>
          </w:p>
        </w:tc>
      </w:tr>
      <w:tr w:rsidR="005E0F5F" w:rsidRPr="00157806" w14:paraId="04F3013F" w14:textId="77777777" w:rsidTr="00203A8D">
        <w:tc>
          <w:tcPr>
            <w:tcW w:w="56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D5DABA3" w14:textId="77777777" w:rsidR="005E0F5F" w:rsidRPr="00157806" w:rsidRDefault="005E0F5F" w:rsidP="00203A8D">
            <w:pPr>
              <w:keepNext/>
              <w:spacing w:after="0" w:line="288" w:lineRule="auto"/>
              <w:jc w:val="both"/>
              <w:rPr>
                <w:rFonts w:ascii="Arial" w:eastAsia="Calibri" w:hAnsi="Arial" w:cs="Arial"/>
                <w:sz w:val="18"/>
                <w:szCs w:val="18"/>
              </w:rPr>
            </w:pPr>
            <w:r w:rsidRPr="00157806">
              <w:rPr>
                <w:rFonts w:ascii="Arial" w:eastAsia="Calibri" w:hAnsi="Arial" w:cs="Arial"/>
                <w:sz w:val="18"/>
                <w:szCs w:val="18"/>
                <w:lang w:eastAsia="sl-SI"/>
              </w:rPr>
              <w:t>4a.</w:t>
            </w:r>
          </w:p>
        </w:tc>
        <w:tc>
          <w:tcPr>
            <w:tcW w:w="4156" w:type="dxa"/>
            <w:tcBorders>
              <w:top w:val="nil"/>
              <w:left w:val="nil"/>
              <w:bottom w:val="single" w:sz="8" w:space="0" w:color="auto"/>
              <w:right w:val="single" w:sz="8" w:space="0" w:color="auto"/>
            </w:tcBorders>
            <w:tcMar>
              <w:top w:w="0" w:type="dxa"/>
              <w:left w:w="108" w:type="dxa"/>
              <w:bottom w:w="0" w:type="dxa"/>
              <w:right w:w="108" w:type="dxa"/>
            </w:tcMar>
            <w:hideMark/>
          </w:tcPr>
          <w:p w14:paraId="0D8E7CFC" w14:textId="77777777" w:rsidR="005E0F5F" w:rsidRPr="00157806" w:rsidRDefault="005E0F5F" w:rsidP="00203A8D">
            <w:pPr>
              <w:keepNext/>
              <w:spacing w:after="0" w:line="288" w:lineRule="auto"/>
              <w:jc w:val="both"/>
              <w:rPr>
                <w:rFonts w:ascii="Arial" w:eastAsia="Calibri" w:hAnsi="Arial" w:cs="Arial"/>
                <w:sz w:val="18"/>
                <w:szCs w:val="18"/>
              </w:rPr>
            </w:pPr>
            <w:r w:rsidRPr="00157806">
              <w:rPr>
                <w:rFonts w:ascii="Arial" w:eastAsia="Calibri" w:hAnsi="Arial" w:cs="Arial"/>
                <w:sz w:val="18"/>
                <w:szCs w:val="18"/>
                <w:lang w:eastAsia="sl-SI"/>
              </w:rPr>
              <w:t>Od tega enkratni ukrepi na strani prihodkov: sektor država</w:t>
            </w:r>
          </w:p>
        </w:tc>
        <w:tc>
          <w:tcPr>
            <w:tcW w:w="1077" w:type="dxa"/>
            <w:tcBorders>
              <w:top w:val="nil"/>
              <w:left w:val="nil"/>
              <w:bottom w:val="single" w:sz="8" w:space="0" w:color="auto"/>
              <w:right w:val="single" w:sz="8" w:space="0" w:color="auto"/>
            </w:tcBorders>
            <w:tcMar>
              <w:top w:w="0" w:type="dxa"/>
              <w:left w:w="108" w:type="dxa"/>
              <w:bottom w:w="0" w:type="dxa"/>
              <w:right w:w="108" w:type="dxa"/>
            </w:tcMar>
          </w:tcPr>
          <w:p w14:paraId="2E5D9143" w14:textId="77777777" w:rsidR="005E0F5F" w:rsidRPr="00157806" w:rsidRDefault="005E0F5F" w:rsidP="00203A8D">
            <w:pPr>
              <w:keepNext/>
              <w:spacing w:after="0" w:line="288" w:lineRule="auto"/>
              <w:jc w:val="center"/>
              <w:rPr>
                <w:rFonts w:ascii="Arial" w:eastAsia="Calibri" w:hAnsi="Arial" w:cs="Arial"/>
                <w:sz w:val="18"/>
                <w:szCs w:val="18"/>
              </w:rPr>
            </w:pPr>
          </w:p>
        </w:tc>
        <w:tc>
          <w:tcPr>
            <w:tcW w:w="773" w:type="dxa"/>
            <w:tcBorders>
              <w:top w:val="nil"/>
              <w:left w:val="nil"/>
              <w:bottom w:val="single" w:sz="8" w:space="0" w:color="auto"/>
              <w:right w:val="single" w:sz="8" w:space="0" w:color="auto"/>
            </w:tcBorders>
            <w:tcMar>
              <w:top w:w="0" w:type="dxa"/>
              <w:left w:w="108" w:type="dxa"/>
              <w:bottom w:w="0" w:type="dxa"/>
              <w:right w:w="108" w:type="dxa"/>
            </w:tcMar>
            <w:hideMark/>
          </w:tcPr>
          <w:p w14:paraId="569A7647" w14:textId="77777777" w:rsidR="005E0F5F" w:rsidRPr="00157806" w:rsidRDefault="005E0F5F" w:rsidP="00203A8D">
            <w:pPr>
              <w:keepNext/>
              <w:spacing w:after="0" w:line="288" w:lineRule="auto"/>
              <w:jc w:val="center"/>
              <w:rPr>
                <w:rFonts w:ascii="Arial" w:eastAsia="Calibri" w:hAnsi="Arial" w:cs="Arial"/>
                <w:sz w:val="18"/>
                <w:szCs w:val="18"/>
              </w:rPr>
            </w:pPr>
            <w:r w:rsidRPr="00157806">
              <w:rPr>
                <w:rFonts w:ascii="Arial" w:eastAsia="Calibri" w:hAnsi="Arial" w:cs="Arial"/>
                <w:sz w:val="18"/>
                <w:szCs w:val="18"/>
              </w:rPr>
              <w:t>0,3</w:t>
            </w:r>
          </w:p>
        </w:tc>
        <w:tc>
          <w:tcPr>
            <w:tcW w:w="706" w:type="dxa"/>
            <w:tcBorders>
              <w:top w:val="nil"/>
              <w:left w:val="nil"/>
              <w:bottom w:val="single" w:sz="8" w:space="0" w:color="auto"/>
              <w:right w:val="single" w:sz="8" w:space="0" w:color="auto"/>
            </w:tcBorders>
            <w:tcMar>
              <w:top w:w="0" w:type="dxa"/>
              <w:left w:w="108" w:type="dxa"/>
              <w:bottom w:w="0" w:type="dxa"/>
              <w:right w:w="108" w:type="dxa"/>
            </w:tcMar>
            <w:hideMark/>
          </w:tcPr>
          <w:p w14:paraId="7EB871CF" w14:textId="77777777" w:rsidR="005E0F5F" w:rsidRPr="00157806" w:rsidRDefault="005E0F5F" w:rsidP="00203A8D">
            <w:pPr>
              <w:keepNext/>
              <w:spacing w:after="0" w:line="288" w:lineRule="auto"/>
              <w:jc w:val="center"/>
              <w:rPr>
                <w:rFonts w:ascii="Arial" w:eastAsia="Calibri" w:hAnsi="Arial" w:cs="Arial"/>
                <w:sz w:val="18"/>
                <w:szCs w:val="18"/>
              </w:rPr>
            </w:pPr>
            <w:r w:rsidRPr="00157806">
              <w:rPr>
                <w:rFonts w:ascii="Arial" w:eastAsia="Calibri" w:hAnsi="Arial" w:cs="Arial"/>
                <w:sz w:val="18"/>
                <w:szCs w:val="18"/>
              </w:rPr>
              <w:t>0,4</w:t>
            </w:r>
          </w:p>
        </w:tc>
      </w:tr>
      <w:tr w:rsidR="005E0F5F" w:rsidRPr="00157806" w14:paraId="47DBC727" w14:textId="77777777" w:rsidTr="00203A8D">
        <w:tc>
          <w:tcPr>
            <w:tcW w:w="56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98388DA" w14:textId="77777777" w:rsidR="005E0F5F" w:rsidRPr="00157806" w:rsidRDefault="005E0F5F" w:rsidP="00203A8D">
            <w:pPr>
              <w:keepNext/>
              <w:spacing w:after="0" w:line="288" w:lineRule="auto"/>
              <w:jc w:val="both"/>
              <w:rPr>
                <w:rFonts w:ascii="Arial" w:eastAsia="Calibri" w:hAnsi="Arial" w:cs="Arial"/>
                <w:sz w:val="18"/>
                <w:szCs w:val="18"/>
              </w:rPr>
            </w:pPr>
            <w:r w:rsidRPr="00157806">
              <w:rPr>
                <w:rFonts w:ascii="Arial" w:eastAsia="Calibri" w:hAnsi="Arial" w:cs="Arial"/>
                <w:sz w:val="18"/>
                <w:szCs w:val="18"/>
                <w:lang w:eastAsia="sl-SI"/>
              </w:rPr>
              <w:t>4b.</w:t>
            </w:r>
          </w:p>
        </w:tc>
        <w:tc>
          <w:tcPr>
            <w:tcW w:w="4156" w:type="dxa"/>
            <w:tcBorders>
              <w:top w:val="nil"/>
              <w:left w:val="nil"/>
              <w:bottom w:val="single" w:sz="8" w:space="0" w:color="auto"/>
              <w:right w:val="single" w:sz="8" w:space="0" w:color="auto"/>
            </w:tcBorders>
            <w:tcMar>
              <w:top w:w="0" w:type="dxa"/>
              <w:left w:w="108" w:type="dxa"/>
              <w:bottom w:w="0" w:type="dxa"/>
              <w:right w:w="108" w:type="dxa"/>
            </w:tcMar>
            <w:hideMark/>
          </w:tcPr>
          <w:p w14:paraId="46261186" w14:textId="77777777" w:rsidR="005E0F5F" w:rsidRPr="00157806" w:rsidRDefault="005E0F5F" w:rsidP="00203A8D">
            <w:pPr>
              <w:keepNext/>
              <w:spacing w:after="0" w:line="288" w:lineRule="auto"/>
              <w:jc w:val="both"/>
              <w:rPr>
                <w:rFonts w:ascii="Arial" w:eastAsia="Calibri" w:hAnsi="Arial" w:cs="Arial"/>
                <w:sz w:val="18"/>
                <w:szCs w:val="18"/>
              </w:rPr>
            </w:pPr>
            <w:r w:rsidRPr="00157806">
              <w:rPr>
                <w:rFonts w:ascii="Arial" w:eastAsia="Calibri" w:hAnsi="Arial" w:cs="Arial"/>
                <w:sz w:val="18"/>
                <w:szCs w:val="18"/>
                <w:lang w:eastAsia="sl-SI"/>
              </w:rPr>
              <w:t>Od tega enkratni ukrepi na strani odhodkov: sektor država</w:t>
            </w:r>
          </w:p>
        </w:tc>
        <w:tc>
          <w:tcPr>
            <w:tcW w:w="1077" w:type="dxa"/>
            <w:tcBorders>
              <w:top w:val="nil"/>
              <w:left w:val="nil"/>
              <w:bottom w:val="single" w:sz="8" w:space="0" w:color="auto"/>
              <w:right w:val="single" w:sz="8" w:space="0" w:color="auto"/>
            </w:tcBorders>
            <w:tcMar>
              <w:top w:w="0" w:type="dxa"/>
              <w:left w:w="108" w:type="dxa"/>
              <w:bottom w:w="0" w:type="dxa"/>
              <w:right w:w="108" w:type="dxa"/>
            </w:tcMar>
          </w:tcPr>
          <w:p w14:paraId="3D7B251C" w14:textId="77777777" w:rsidR="005E0F5F" w:rsidRPr="00157806" w:rsidRDefault="005E0F5F" w:rsidP="00203A8D">
            <w:pPr>
              <w:keepNext/>
              <w:spacing w:after="0" w:line="288" w:lineRule="auto"/>
              <w:jc w:val="center"/>
              <w:rPr>
                <w:rFonts w:ascii="Arial" w:eastAsia="Calibri" w:hAnsi="Arial" w:cs="Arial"/>
                <w:sz w:val="18"/>
                <w:szCs w:val="18"/>
              </w:rPr>
            </w:pPr>
          </w:p>
        </w:tc>
        <w:tc>
          <w:tcPr>
            <w:tcW w:w="773" w:type="dxa"/>
            <w:tcBorders>
              <w:top w:val="nil"/>
              <w:left w:val="nil"/>
              <w:bottom w:val="single" w:sz="8" w:space="0" w:color="auto"/>
              <w:right w:val="single" w:sz="8" w:space="0" w:color="auto"/>
            </w:tcBorders>
            <w:tcMar>
              <w:top w:w="0" w:type="dxa"/>
              <w:left w:w="108" w:type="dxa"/>
              <w:bottom w:w="0" w:type="dxa"/>
              <w:right w:w="108" w:type="dxa"/>
            </w:tcMar>
            <w:hideMark/>
          </w:tcPr>
          <w:p w14:paraId="384B7E6F" w14:textId="77777777" w:rsidR="005E0F5F" w:rsidRPr="00157806" w:rsidRDefault="005E0F5F" w:rsidP="00203A8D">
            <w:pPr>
              <w:keepNext/>
              <w:spacing w:after="0" w:line="288" w:lineRule="auto"/>
              <w:jc w:val="center"/>
              <w:rPr>
                <w:rFonts w:ascii="Arial" w:eastAsia="Calibri" w:hAnsi="Arial" w:cs="Arial"/>
                <w:sz w:val="18"/>
                <w:szCs w:val="18"/>
              </w:rPr>
            </w:pPr>
            <w:r w:rsidRPr="00157806">
              <w:rPr>
                <w:rFonts w:ascii="Arial" w:eastAsia="Calibri" w:hAnsi="Arial" w:cs="Arial"/>
                <w:sz w:val="18"/>
                <w:szCs w:val="18"/>
              </w:rPr>
              <w:t>-0,8</w:t>
            </w:r>
          </w:p>
        </w:tc>
        <w:tc>
          <w:tcPr>
            <w:tcW w:w="706" w:type="dxa"/>
            <w:tcBorders>
              <w:top w:val="nil"/>
              <w:left w:val="nil"/>
              <w:bottom w:val="single" w:sz="8" w:space="0" w:color="auto"/>
              <w:right w:val="single" w:sz="8" w:space="0" w:color="auto"/>
            </w:tcBorders>
            <w:tcMar>
              <w:top w:w="0" w:type="dxa"/>
              <w:left w:w="108" w:type="dxa"/>
              <w:bottom w:w="0" w:type="dxa"/>
              <w:right w:w="108" w:type="dxa"/>
            </w:tcMar>
            <w:hideMark/>
          </w:tcPr>
          <w:p w14:paraId="433E4B4E" w14:textId="77777777" w:rsidR="005E0F5F" w:rsidRPr="00157806" w:rsidRDefault="005E0F5F" w:rsidP="00203A8D">
            <w:pPr>
              <w:keepNext/>
              <w:spacing w:after="0" w:line="288" w:lineRule="auto"/>
              <w:jc w:val="center"/>
              <w:rPr>
                <w:rFonts w:ascii="Arial" w:eastAsia="Calibri" w:hAnsi="Arial" w:cs="Arial"/>
                <w:sz w:val="18"/>
                <w:szCs w:val="18"/>
              </w:rPr>
            </w:pPr>
            <w:r>
              <w:rPr>
                <w:rFonts w:ascii="Arial" w:eastAsia="Calibri" w:hAnsi="Arial" w:cs="Arial"/>
                <w:sz w:val="18"/>
                <w:szCs w:val="18"/>
              </w:rPr>
              <w:t>-1,6</w:t>
            </w:r>
          </w:p>
        </w:tc>
      </w:tr>
      <w:tr w:rsidR="005E0F5F" w:rsidRPr="00157806" w14:paraId="28EEF98C" w14:textId="77777777" w:rsidTr="00203A8D">
        <w:tc>
          <w:tcPr>
            <w:tcW w:w="56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573F883" w14:textId="77777777" w:rsidR="005E0F5F" w:rsidRPr="00157806" w:rsidRDefault="005E0F5F" w:rsidP="00203A8D">
            <w:pPr>
              <w:keepNext/>
              <w:spacing w:after="0" w:line="288" w:lineRule="auto"/>
              <w:jc w:val="both"/>
              <w:rPr>
                <w:rFonts w:ascii="Arial" w:eastAsia="Calibri" w:hAnsi="Arial" w:cs="Arial"/>
                <w:sz w:val="18"/>
                <w:szCs w:val="18"/>
              </w:rPr>
            </w:pPr>
            <w:r w:rsidRPr="00157806">
              <w:rPr>
                <w:rFonts w:ascii="Arial" w:eastAsia="Calibri" w:hAnsi="Arial" w:cs="Arial"/>
                <w:sz w:val="18"/>
                <w:szCs w:val="18"/>
                <w:lang w:eastAsia="sl-SI"/>
              </w:rPr>
              <w:t>5.</w:t>
            </w:r>
          </w:p>
        </w:tc>
        <w:tc>
          <w:tcPr>
            <w:tcW w:w="4156" w:type="dxa"/>
            <w:tcBorders>
              <w:top w:val="nil"/>
              <w:left w:val="nil"/>
              <w:bottom w:val="single" w:sz="8" w:space="0" w:color="auto"/>
              <w:right w:val="single" w:sz="8" w:space="0" w:color="auto"/>
            </w:tcBorders>
            <w:tcMar>
              <w:top w:w="0" w:type="dxa"/>
              <w:left w:w="108" w:type="dxa"/>
              <w:bottom w:w="0" w:type="dxa"/>
              <w:right w:w="108" w:type="dxa"/>
            </w:tcMar>
            <w:hideMark/>
          </w:tcPr>
          <w:p w14:paraId="5D118F28" w14:textId="77777777" w:rsidR="005E0F5F" w:rsidRPr="00157806" w:rsidRDefault="005E0F5F" w:rsidP="00203A8D">
            <w:pPr>
              <w:keepNext/>
              <w:spacing w:after="0" w:line="288" w:lineRule="auto"/>
              <w:jc w:val="both"/>
              <w:rPr>
                <w:rFonts w:ascii="Arial" w:eastAsia="Calibri" w:hAnsi="Arial" w:cs="Arial"/>
                <w:sz w:val="18"/>
                <w:szCs w:val="18"/>
              </w:rPr>
            </w:pPr>
            <w:r w:rsidRPr="00157806">
              <w:rPr>
                <w:rFonts w:ascii="Arial" w:eastAsia="Calibri" w:hAnsi="Arial" w:cs="Arial"/>
                <w:sz w:val="18"/>
                <w:szCs w:val="18"/>
                <w:lang w:eastAsia="sl-SI"/>
              </w:rPr>
              <w:t>Potencialna rast BDP (%)</w:t>
            </w:r>
          </w:p>
        </w:tc>
        <w:tc>
          <w:tcPr>
            <w:tcW w:w="1077" w:type="dxa"/>
            <w:tcBorders>
              <w:top w:val="nil"/>
              <w:left w:val="nil"/>
              <w:bottom w:val="single" w:sz="8" w:space="0" w:color="auto"/>
              <w:right w:val="single" w:sz="8" w:space="0" w:color="auto"/>
            </w:tcBorders>
            <w:tcMar>
              <w:top w:w="0" w:type="dxa"/>
              <w:left w:w="108" w:type="dxa"/>
              <w:bottom w:w="0" w:type="dxa"/>
              <w:right w:w="108" w:type="dxa"/>
            </w:tcMar>
          </w:tcPr>
          <w:p w14:paraId="05ADDC02" w14:textId="77777777" w:rsidR="005E0F5F" w:rsidRPr="00157806" w:rsidRDefault="005E0F5F" w:rsidP="00203A8D">
            <w:pPr>
              <w:keepNext/>
              <w:spacing w:after="0" w:line="288" w:lineRule="auto"/>
              <w:jc w:val="center"/>
              <w:rPr>
                <w:rFonts w:ascii="Arial" w:eastAsia="Calibri" w:hAnsi="Arial" w:cs="Arial"/>
                <w:sz w:val="18"/>
                <w:szCs w:val="18"/>
              </w:rPr>
            </w:pPr>
          </w:p>
        </w:tc>
        <w:tc>
          <w:tcPr>
            <w:tcW w:w="773" w:type="dxa"/>
            <w:tcBorders>
              <w:top w:val="nil"/>
              <w:left w:val="nil"/>
              <w:bottom w:val="single" w:sz="8" w:space="0" w:color="auto"/>
              <w:right w:val="single" w:sz="8" w:space="0" w:color="auto"/>
            </w:tcBorders>
            <w:tcMar>
              <w:top w:w="0" w:type="dxa"/>
              <w:left w:w="108" w:type="dxa"/>
              <w:bottom w:w="0" w:type="dxa"/>
              <w:right w:w="108" w:type="dxa"/>
            </w:tcMar>
            <w:hideMark/>
          </w:tcPr>
          <w:p w14:paraId="79DDF078" w14:textId="77777777" w:rsidR="005E0F5F" w:rsidRPr="00157806" w:rsidRDefault="005E0F5F" w:rsidP="00203A8D">
            <w:pPr>
              <w:keepNext/>
              <w:spacing w:after="0" w:line="288" w:lineRule="auto"/>
              <w:jc w:val="center"/>
              <w:rPr>
                <w:rFonts w:ascii="Arial" w:eastAsia="Calibri" w:hAnsi="Arial" w:cs="Arial"/>
                <w:sz w:val="18"/>
                <w:szCs w:val="18"/>
              </w:rPr>
            </w:pPr>
            <w:r w:rsidRPr="00157806">
              <w:rPr>
                <w:rFonts w:ascii="Arial" w:eastAsia="Calibri" w:hAnsi="Arial" w:cs="Arial"/>
                <w:sz w:val="18"/>
                <w:szCs w:val="18"/>
              </w:rPr>
              <w:t>2,8</w:t>
            </w:r>
          </w:p>
        </w:tc>
        <w:tc>
          <w:tcPr>
            <w:tcW w:w="706" w:type="dxa"/>
            <w:tcBorders>
              <w:top w:val="nil"/>
              <w:left w:val="nil"/>
              <w:bottom w:val="single" w:sz="8" w:space="0" w:color="auto"/>
              <w:right w:val="single" w:sz="8" w:space="0" w:color="auto"/>
            </w:tcBorders>
            <w:tcMar>
              <w:top w:w="0" w:type="dxa"/>
              <w:left w:w="108" w:type="dxa"/>
              <w:bottom w:w="0" w:type="dxa"/>
              <w:right w:w="108" w:type="dxa"/>
            </w:tcMar>
            <w:hideMark/>
          </w:tcPr>
          <w:p w14:paraId="525F3131" w14:textId="77777777" w:rsidR="005E0F5F" w:rsidRPr="00157806" w:rsidRDefault="005E0F5F" w:rsidP="00203A8D">
            <w:pPr>
              <w:keepNext/>
              <w:spacing w:after="0" w:line="288" w:lineRule="auto"/>
              <w:jc w:val="center"/>
              <w:rPr>
                <w:rFonts w:ascii="Arial" w:eastAsia="Calibri" w:hAnsi="Arial" w:cs="Arial"/>
                <w:sz w:val="18"/>
                <w:szCs w:val="18"/>
              </w:rPr>
            </w:pPr>
            <w:r w:rsidRPr="00157806">
              <w:rPr>
                <w:rFonts w:ascii="Arial" w:eastAsia="Calibri" w:hAnsi="Arial" w:cs="Arial"/>
                <w:sz w:val="18"/>
                <w:szCs w:val="18"/>
              </w:rPr>
              <w:t>2,8</w:t>
            </w:r>
          </w:p>
        </w:tc>
      </w:tr>
      <w:tr w:rsidR="005E0F5F" w:rsidRPr="00157806" w14:paraId="270C6C0A" w14:textId="77777777" w:rsidTr="00203A8D">
        <w:tc>
          <w:tcPr>
            <w:tcW w:w="56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2E8340B" w14:textId="77777777" w:rsidR="005E0F5F" w:rsidRPr="00157806" w:rsidRDefault="005E0F5F" w:rsidP="00203A8D">
            <w:pPr>
              <w:keepNext/>
              <w:spacing w:after="0" w:line="288" w:lineRule="auto"/>
              <w:jc w:val="both"/>
              <w:rPr>
                <w:rFonts w:ascii="Arial" w:eastAsia="Calibri" w:hAnsi="Arial" w:cs="Arial"/>
                <w:sz w:val="18"/>
                <w:szCs w:val="18"/>
              </w:rPr>
            </w:pPr>
            <w:r w:rsidRPr="00157806">
              <w:rPr>
                <w:rFonts w:ascii="Arial" w:eastAsia="Calibri" w:hAnsi="Arial" w:cs="Arial"/>
                <w:sz w:val="18"/>
                <w:szCs w:val="18"/>
                <w:lang w:eastAsia="sl-SI"/>
              </w:rPr>
              <w:t> </w:t>
            </w:r>
          </w:p>
        </w:tc>
        <w:tc>
          <w:tcPr>
            <w:tcW w:w="4156" w:type="dxa"/>
            <w:tcBorders>
              <w:top w:val="nil"/>
              <w:left w:val="nil"/>
              <w:bottom w:val="single" w:sz="8" w:space="0" w:color="auto"/>
              <w:right w:val="single" w:sz="8" w:space="0" w:color="auto"/>
            </w:tcBorders>
            <w:tcMar>
              <w:top w:w="0" w:type="dxa"/>
              <w:left w:w="108" w:type="dxa"/>
              <w:bottom w:w="0" w:type="dxa"/>
              <w:right w:w="108" w:type="dxa"/>
            </w:tcMar>
            <w:hideMark/>
          </w:tcPr>
          <w:p w14:paraId="51216F13" w14:textId="77777777" w:rsidR="005E0F5F" w:rsidRPr="00157806" w:rsidRDefault="005E0F5F" w:rsidP="00203A8D">
            <w:pPr>
              <w:keepNext/>
              <w:spacing w:after="0" w:line="288" w:lineRule="auto"/>
              <w:jc w:val="both"/>
              <w:rPr>
                <w:rFonts w:ascii="Arial" w:eastAsia="Calibri" w:hAnsi="Arial" w:cs="Arial"/>
                <w:sz w:val="18"/>
                <w:szCs w:val="18"/>
              </w:rPr>
            </w:pPr>
            <w:r w:rsidRPr="00157806">
              <w:rPr>
                <w:rFonts w:ascii="Arial" w:eastAsia="Calibri" w:hAnsi="Arial" w:cs="Arial"/>
                <w:sz w:val="18"/>
                <w:szCs w:val="18"/>
                <w:lang w:eastAsia="sl-SI"/>
              </w:rPr>
              <w:t>Prispevki:</w:t>
            </w:r>
          </w:p>
        </w:tc>
        <w:tc>
          <w:tcPr>
            <w:tcW w:w="1077" w:type="dxa"/>
            <w:tcBorders>
              <w:top w:val="nil"/>
              <w:left w:val="nil"/>
              <w:bottom w:val="single" w:sz="8" w:space="0" w:color="auto"/>
              <w:right w:val="single" w:sz="8" w:space="0" w:color="auto"/>
            </w:tcBorders>
            <w:tcMar>
              <w:top w:w="0" w:type="dxa"/>
              <w:left w:w="108" w:type="dxa"/>
              <w:bottom w:w="0" w:type="dxa"/>
              <w:right w:w="108" w:type="dxa"/>
            </w:tcMar>
          </w:tcPr>
          <w:p w14:paraId="0AAF0718" w14:textId="77777777" w:rsidR="005E0F5F" w:rsidRPr="00157806" w:rsidRDefault="005E0F5F" w:rsidP="00203A8D">
            <w:pPr>
              <w:keepNext/>
              <w:spacing w:after="0" w:line="288" w:lineRule="auto"/>
              <w:jc w:val="center"/>
              <w:rPr>
                <w:rFonts w:ascii="Arial" w:eastAsia="Calibri" w:hAnsi="Arial" w:cs="Arial"/>
                <w:sz w:val="18"/>
                <w:szCs w:val="18"/>
              </w:rPr>
            </w:pPr>
          </w:p>
        </w:tc>
        <w:tc>
          <w:tcPr>
            <w:tcW w:w="773" w:type="dxa"/>
            <w:tcBorders>
              <w:top w:val="nil"/>
              <w:left w:val="nil"/>
              <w:bottom w:val="single" w:sz="8" w:space="0" w:color="auto"/>
              <w:right w:val="single" w:sz="8" w:space="0" w:color="auto"/>
            </w:tcBorders>
            <w:tcMar>
              <w:top w:w="0" w:type="dxa"/>
              <w:left w:w="108" w:type="dxa"/>
              <w:bottom w:w="0" w:type="dxa"/>
              <w:right w:w="108" w:type="dxa"/>
            </w:tcMar>
          </w:tcPr>
          <w:p w14:paraId="77AFD95D" w14:textId="77777777" w:rsidR="005E0F5F" w:rsidRPr="00157806" w:rsidRDefault="005E0F5F" w:rsidP="00203A8D">
            <w:pPr>
              <w:keepNext/>
              <w:spacing w:after="0" w:line="288" w:lineRule="auto"/>
              <w:jc w:val="center"/>
              <w:rPr>
                <w:rFonts w:ascii="Arial" w:eastAsia="Calibri" w:hAnsi="Arial" w:cs="Arial"/>
                <w:sz w:val="18"/>
                <w:szCs w:val="18"/>
              </w:rPr>
            </w:pPr>
          </w:p>
        </w:tc>
        <w:tc>
          <w:tcPr>
            <w:tcW w:w="706" w:type="dxa"/>
            <w:tcBorders>
              <w:top w:val="nil"/>
              <w:left w:val="nil"/>
              <w:bottom w:val="single" w:sz="8" w:space="0" w:color="auto"/>
              <w:right w:val="single" w:sz="8" w:space="0" w:color="auto"/>
            </w:tcBorders>
            <w:tcMar>
              <w:top w:w="0" w:type="dxa"/>
              <w:left w:w="108" w:type="dxa"/>
              <w:bottom w:w="0" w:type="dxa"/>
              <w:right w:w="108" w:type="dxa"/>
            </w:tcMar>
          </w:tcPr>
          <w:p w14:paraId="3032C716" w14:textId="77777777" w:rsidR="005E0F5F" w:rsidRPr="00157806" w:rsidRDefault="005E0F5F" w:rsidP="00203A8D">
            <w:pPr>
              <w:keepNext/>
              <w:spacing w:after="0" w:line="288" w:lineRule="auto"/>
              <w:jc w:val="center"/>
              <w:rPr>
                <w:rFonts w:ascii="Arial" w:eastAsia="Calibri" w:hAnsi="Arial" w:cs="Arial"/>
                <w:sz w:val="18"/>
                <w:szCs w:val="18"/>
              </w:rPr>
            </w:pPr>
          </w:p>
        </w:tc>
      </w:tr>
      <w:tr w:rsidR="005E0F5F" w:rsidRPr="00157806" w14:paraId="2D32F309" w14:textId="77777777" w:rsidTr="00203A8D">
        <w:tc>
          <w:tcPr>
            <w:tcW w:w="56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2997554" w14:textId="77777777" w:rsidR="005E0F5F" w:rsidRPr="00157806" w:rsidRDefault="005E0F5F" w:rsidP="00203A8D">
            <w:pPr>
              <w:keepNext/>
              <w:spacing w:after="0" w:line="288" w:lineRule="auto"/>
              <w:jc w:val="both"/>
              <w:rPr>
                <w:rFonts w:ascii="Arial" w:eastAsia="Calibri" w:hAnsi="Arial" w:cs="Arial"/>
                <w:sz w:val="18"/>
                <w:szCs w:val="18"/>
              </w:rPr>
            </w:pPr>
            <w:r w:rsidRPr="00157806">
              <w:rPr>
                <w:rFonts w:ascii="Arial" w:eastAsia="Calibri" w:hAnsi="Arial" w:cs="Arial"/>
                <w:sz w:val="18"/>
                <w:szCs w:val="18"/>
                <w:lang w:eastAsia="sl-SI"/>
              </w:rPr>
              <w:t> </w:t>
            </w:r>
          </w:p>
        </w:tc>
        <w:tc>
          <w:tcPr>
            <w:tcW w:w="4156" w:type="dxa"/>
            <w:tcBorders>
              <w:top w:val="nil"/>
              <w:left w:val="nil"/>
              <w:bottom w:val="single" w:sz="8" w:space="0" w:color="auto"/>
              <w:right w:val="single" w:sz="8" w:space="0" w:color="auto"/>
            </w:tcBorders>
            <w:tcMar>
              <w:top w:w="0" w:type="dxa"/>
              <w:left w:w="108" w:type="dxa"/>
              <w:bottom w:w="0" w:type="dxa"/>
              <w:right w:w="108" w:type="dxa"/>
            </w:tcMar>
            <w:hideMark/>
          </w:tcPr>
          <w:p w14:paraId="7436EC1B" w14:textId="77777777" w:rsidR="005E0F5F" w:rsidRPr="00157806" w:rsidRDefault="005E0F5F" w:rsidP="00203A8D">
            <w:pPr>
              <w:keepNext/>
              <w:spacing w:after="0" w:line="288" w:lineRule="auto"/>
              <w:jc w:val="both"/>
              <w:rPr>
                <w:rFonts w:ascii="Arial" w:eastAsia="Calibri" w:hAnsi="Arial" w:cs="Arial"/>
                <w:sz w:val="18"/>
                <w:szCs w:val="18"/>
              </w:rPr>
            </w:pPr>
            <w:r w:rsidRPr="00157806">
              <w:rPr>
                <w:rFonts w:ascii="Arial" w:eastAsia="Calibri" w:hAnsi="Arial" w:cs="Arial"/>
                <w:sz w:val="18"/>
                <w:szCs w:val="18"/>
                <w:lang w:eastAsia="sl-SI"/>
              </w:rPr>
              <w:t>- dela</w:t>
            </w:r>
          </w:p>
        </w:tc>
        <w:tc>
          <w:tcPr>
            <w:tcW w:w="1077" w:type="dxa"/>
            <w:tcBorders>
              <w:top w:val="nil"/>
              <w:left w:val="nil"/>
              <w:bottom w:val="single" w:sz="8" w:space="0" w:color="auto"/>
              <w:right w:val="single" w:sz="8" w:space="0" w:color="auto"/>
            </w:tcBorders>
            <w:tcMar>
              <w:top w:w="0" w:type="dxa"/>
              <w:left w:w="108" w:type="dxa"/>
              <w:bottom w:w="0" w:type="dxa"/>
              <w:right w:w="108" w:type="dxa"/>
            </w:tcMar>
          </w:tcPr>
          <w:p w14:paraId="7A0CCAC8" w14:textId="77777777" w:rsidR="005E0F5F" w:rsidRPr="00157806" w:rsidRDefault="005E0F5F" w:rsidP="00203A8D">
            <w:pPr>
              <w:keepNext/>
              <w:spacing w:after="0" w:line="288" w:lineRule="auto"/>
              <w:jc w:val="center"/>
              <w:rPr>
                <w:rFonts w:ascii="Arial" w:eastAsia="Calibri" w:hAnsi="Arial" w:cs="Arial"/>
                <w:sz w:val="18"/>
                <w:szCs w:val="18"/>
              </w:rPr>
            </w:pPr>
          </w:p>
        </w:tc>
        <w:tc>
          <w:tcPr>
            <w:tcW w:w="773" w:type="dxa"/>
            <w:tcBorders>
              <w:top w:val="nil"/>
              <w:left w:val="nil"/>
              <w:bottom w:val="single" w:sz="8" w:space="0" w:color="auto"/>
              <w:right w:val="single" w:sz="8" w:space="0" w:color="auto"/>
            </w:tcBorders>
            <w:tcMar>
              <w:top w:w="0" w:type="dxa"/>
              <w:left w:w="108" w:type="dxa"/>
              <w:bottom w:w="0" w:type="dxa"/>
              <w:right w:w="108" w:type="dxa"/>
            </w:tcMar>
            <w:hideMark/>
          </w:tcPr>
          <w:p w14:paraId="57CC47FA" w14:textId="77777777" w:rsidR="005E0F5F" w:rsidRPr="00157806" w:rsidRDefault="005E0F5F" w:rsidP="00203A8D">
            <w:pPr>
              <w:keepNext/>
              <w:spacing w:after="0" w:line="288" w:lineRule="auto"/>
              <w:jc w:val="center"/>
              <w:rPr>
                <w:rFonts w:ascii="Arial" w:eastAsia="Calibri" w:hAnsi="Arial" w:cs="Arial"/>
                <w:sz w:val="18"/>
                <w:szCs w:val="18"/>
              </w:rPr>
            </w:pPr>
            <w:r w:rsidRPr="00157806">
              <w:rPr>
                <w:rFonts w:ascii="Arial" w:eastAsia="Calibri" w:hAnsi="Arial" w:cs="Arial"/>
                <w:sz w:val="18"/>
                <w:szCs w:val="18"/>
              </w:rPr>
              <w:t>0,9</w:t>
            </w:r>
          </w:p>
        </w:tc>
        <w:tc>
          <w:tcPr>
            <w:tcW w:w="706" w:type="dxa"/>
            <w:tcBorders>
              <w:top w:val="nil"/>
              <w:left w:val="nil"/>
              <w:bottom w:val="single" w:sz="8" w:space="0" w:color="auto"/>
              <w:right w:val="single" w:sz="8" w:space="0" w:color="auto"/>
            </w:tcBorders>
            <w:tcMar>
              <w:top w:w="0" w:type="dxa"/>
              <w:left w:w="108" w:type="dxa"/>
              <w:bottom w:w="0" w:type="dxa"/>
              <w:right w:w="108" w:type="dxa"/>
            </w:tcMar>
            <w:hideMark/>
          </w:tcPr>
          <w:p w14:paraId="52F21C42" w14:textId="77777777" w:rsidR="005E0F5F" w:rsidRPr="00157806" w:rsidRDefault="005E0F5F" w:rsidP="00203A8D">
            <w:pPr>
              <w:keepNext/>
              <w:spacing w:after="0" w:line="288" w:lineRule="auto"/>
              <w:jc w:val="center"/>
              <w:rPr>
                <w:rFonts w:ascii="Arial" w:eastAsia="Calibri" w:hAnsi="Arial" w:cs="Arial"/>
                <w:sz w:val="18"/>
                <w:szCs w:val="18"/>
              </w:rPr>
            </w:pPr>
            <w:r w:rsidRPr="00157806">
              <w:rPr>
                <w:rFonts w:ascii="Arial" w:eastAsia="Calibri" w:hAnsi="Arial" w:cs="Arial"/>
                <w:sz w:val="18"/>
                <w:szCs w:val="18"/>
              </w:rPr>
              <w:t>0,8</w:t>
            </w:r>
          </w:p>
        </w:tc>
      </w:tr>
      <w:tr w:rsidR="005E0F5F" w:rsidRPr="00157806" w14:paraId="0A996AB3" w14:textId="77777777" w:rsidTr="00203A8D">
        <w:tc>
          <w:tcPr>
            <w:tcW w:w="56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6A258B2" w14:textId="77777777" w:rsidR="005E0F5F" w:rsidRPr="00157806" w:rsidRDefault="005E0F5F" w:rsidP="00203A8D">
            <w:pPr>
              <w:keepNext/>
              <w:spacing w:after="0" w:line="288" w:lineRule="auto"/>
              <w:jc w:val="both"/>
              <w:rPr>
                <w:rFonts w:ascii="Arial" w:eastAsia="Calibri" w:hAnsi="Arial" w:cs="Arial"/>
                <w:sz w:val="18"/>
                <w:szCs w:val="18"/>
              </w:rPr>
            </w:pPr>
            <w:r w:rsidRPr="00157806">
              <w:rPr>
                <w:rFonts w:ascii="Arial" w:eastAsia="Calibri" w:hAnsi="Arial" w:cs="Arial"/>
                <w:sz w:val="18"/>
                <w:szCs w:val="18"/>
                <w:lang w:eastAsia="sl-SI"/>
              </w:rPr>
              <w:t> </w:t>
            </w:r>
          </w:p>
        </w:tc>
        <w:tc>
          <w:tcPr>
            <w:tcW w:w="4156" w:type="dxa"/>
            <w:tcBorders>
              <w:top w:val="nil"/>
              <w:left w:val="nil"/>
              <w:bottom w:val="single" w:sz="8" w:space="0" w:color="auto"/>
              <w:right w:val="single" w:sz="8" w:space="0" w:color="auto"/>
            </w:tcBorders>
            <w:tcMar>
              <w:top w:w="0" w:type="dxa"/>
              <w:left w:w="108" w:type="dxa"/>
              <w:bottom w:w="0" w:type="dxa"/>
              <w:right w:w="108" w:type="dxa"/>
            </w:tcMar>
            <w:hideMark/>
          </w:tcPr>
          <w:p w14:paraId="6D314F85" w14:textId="77777777" w:rsidR="005E0F5F" w:rsidRPr="00157806" w:rsidRDefault="005E0F5F" w:rsidP="00203A8D">
            <w:pPr>
              <w:keepNext/>
              <w:spacing w:after="0" w:line="288" w:lineRule="auto"/>
              <w:jc w:val="both"/>
              <w:rPr>
                <w:rFonts w:ascii="Arial" w:eastAsia="Calibri" w:hAnsi="Arial" w:cs="Arial"/>
                <w:sz w:val="18"/>
                <w:szCs w:val="18"/>
              </w:rPr>
            </w:pPr>
            <w:r w:rsidRPr="00157806">
              <w:rPr>
                <w:rFonts w:ascii="Arial" w:eastAsia="Calibri" w:hAnsi="Arial" w:cs="Arial"/>
                <w:sz w:val="18"/>
                <w:szCs w:val="18"/>
                <w:lang w:eastAsia="sl-SI"/>
              </w:rPr>
              <w:t>- kapitala</w:t>
            </w:r>
          </w:p>
        </w:tc>
        <w:tc>
          <w:tcPr>
            <w:tcW w:w="1077" w:type="dxa"/>
            <w:tcBorders>
              <w:top w:val="nil"/>
              <w:left w:val="nil"/>
              <w:bottom w:val="single" w:sz="8" w:space="0" w:color="auto"/>
              <w:right w:val="single" w:sz="8" w:space="0" w:color="auto"/>
            </w:tcBorders>
            <w:tcMar>
              <w:top w:w="0" w:type="dxa"/>
              <w:left w:w="108" w:type="dxa"/>
              <w:bottom w:w="0" w:type="dxa"/>
              <w:right w:w="108" w:type="dxa"/>
            </w:tcMar>
          </w:tcPr>
          <w:p w14:paraId="17C49DA0" w14:textId="77777777" w:rsidR="005E0F5F" w:rsidRPr="00157806" w:rsidRDefault="005E0F5F" w:rsidP="00203A8D">
            <w:pPr>
              <w:keepNext/>
              <w:spacing w:after="0" w:line="288" w:lineRule="auto"/>
              <w:jc w:val="center"/>
              <w:rPr>
                <w:rFonts w:ascii="Arial" w:eastAsia="Calibri" w:hAnsi="Arial" w:cs="Arial"/>
                <w:sz w:val="18"/>
                <w:szCs w:val="18"/>
              </w:rPr>
            </w:pPr>
          </w:p>
        </w:tc>
        <w:tc>
          <w:tcPr>
            <w:tcW w:w="773" w:type="dxa"/>
            <w:tcBorders>
              <w:top w:val="nil"/>
              <w:left w:val="nil"/>
              <w:bottom w:val="single" w:sz="8" w:space="0" w:color="auto"/>
              <w:right w:val="single" w:sz="8" w:space="0" w:color="auto"/>
            </w:tcBorders>
            <w:tcMar>
              <w:top w:w="0" w:type="dxa"/>
              <w:left w:w="108" w:type="dxa"/>
              <w:bottom w:w="0" w:type="dxa"/>
              <w:right w:w="108" w:type="dxa"/>
            </w:tcMar>
            <w:hideMark/>
          </w:tcPr>
          <w:p w14:paraId="6CDFC3C9" w14:textId="77777777" w:rsidR="005E0F5F" w:rsidRPr="00157806" w:rsidRDefault="005E0F5F" w:rsidP="00203A8D">
            <w:pPr>
              <w:keepNext/>
              <w:spacing w:after="0" w:line="288" w:lineRule="auto"/>
              <w:jc w:val="center"/>
              <w:rPr>
                <w:rFonts w:ascii="Arial" w:eastAsia="Calibri" w:hAnsi="Arial" w:cs="Arial"/>
                <w:sz w:val="18"/>
                <w:szCs w:val="18"/>
              </w:rPr>
            </w:pPr>
            <w:r w:rsidRPr="00157806">
              <w:rPr>
                <w:rFonts w:ascii="Arial" w:eastAsia="Calibri" w:hAnsi="Arial" w:cs="Arial"/>
                <w:sz w:val="18"/>
                <w:szCs w:val="18"/>
              </w:rPr>
              <w:t>0,8</w:t>
            </w:r>
          </w:p>
        </w:tc>
        <w:tc>
          <w:tcPr>
            <w:tcW w:w="706" w:type="dxa"/>
            <w:tcBorders>
              <w:top w:val="nil"/>
              <w:left w:val="nil"/>
              <w:bottom w:val="single" w:sz="8" w:space="0" w:color="auto"/>
              <w:right w:val="single" w:sz="8" w:space="0" w:color="auto"/>
            </w:tcBorders>
            <w:tcMar>
              <w:top w:w="0" w:type="dxa"/>
              <w:left w:w="108" w:type="dxa"/>
              <w:bottom w:w="0" w:type="dxa"/>
              <w:right w:w="108" w:type="dxa"/>
            </w:tcMar>
            <w:hideMark/>
          </w:tcPr>
          <w:p w14:paraId="5F66ECDB" w14:textId="77777777" w:rsidR="005E0F5F" w:rsidRPr="00157806" w:rsidRDefault="005E0F5F" w:rsidP="00203A8D">
            <w:pPr>
              <w:keepNext/>
              <w:spacing w:after="0" w:line="288" w:lineRule="auto"/>
              <w:jc w:val="center"/>
              <w:rPr>
                <w:rFonts w:ascii="Arial" w:eastAsia="Calibri" w:hAnsi="Arial" w:cs="Arial"/>
                <w:sz w:val="18"/>
                <w:szCs w:val="18"/>
              </w:rPr>
            </w:pPr>
            <w:r w:rsidRPr="00157806">
              <w:rPr>
                <w:rFonts w:ascii="Arial" w:eastAsia="Calibri" w:hAnsi="Arial" w:cs="Arial"/>
                <w:sz w:val="18"/>
                <w:szCs w:val="18"/>
              </w:rPr>
              <w:t>0,9</w:t>
            </w:r>
          </w:p>
        </w:tc>
      </w:tr>
      <w:tr w:rsidR="005E0F5F" w:rsidRPr="00157806" w14:paraId="021D93F6" w14:textId="77777777" w:rsidTr="00203A8D">
        <w:tc>
          <w:tcPr>
            <w:tcW w:w="56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A9F0009" w14:textId="77777777" w:rsidR="005E0F5F" w:rsidRPr="00157806" w:rsidRDefault="005E0F5F" w:rsidP="00203A8D">
            <w:pPr>
              <w:keepNext/>
              <w:spacing w:after="0" w:line="288" w:lineRule="auto"/>
              <w:jc w:val="both"/>
              <w:rPr>
                <w:rFonts w:ascii="Arial" w:eastAsia="Calibri" w:hAnsi="Arial" w:cs="Arial"/>
                <w:sz w:val="18"/>
                <w:szCs w:val="18"/>
              </w:rPr>
            </w:pPr>
            <w:r w:rsidRPr="00157806">
              <w:rPr>
                <w:rFonts w:ascii="Arial" w:eastAsia="Calibri" w:hAnsi="Arial" w:cs="Arial"/>
                <w:sz w:val="18"/>
                <w:szCs w:val="18"/>
                <w:lang w:eastAsia="sl-SI"/>
              </w:rPr>
              <w:t> </w:t>
            </w:r>
          </w:p>
        </w:tc>
        <w:tc>
          <w:tcPr>
            <w:tcW w:w="4156" w:type="dxa"/>
            <w:tcBorders>
              <w:top w:val="nil"/>
              <w:left w:val="nil"/>
              <w:bottom w:val="single" w:sz="8" w:space="0" w:color="auto"/>
              <w:right w:val="single" w:sz="8" w:space="0" w:color="auto"/>
            </w:tcBorders>
            <w:tcMar>
              <w:top w:w="0" w:type="dxa"/>
              <w:left w:w="108" w:type="dxa"/>
              <w:bottom w:w="0" w:type="dxa"/>
              <w:right w:w="108" w:type="dxa"/>
            </w:tcMar>
            <w:hideMark/>
          </w:tcPr>
          <w:p w14:paraId="00D13D27" w14:textId="77777777" w:rsidR="005E0F5F" w:rsidRPr="00157806" w:rsidRDefault="005E0F5F" w:rsidP="00203A8D">
            <w:pPr>
              <w:keepNext/>
              <w:spacing w:after="0" w:line="288" w:lineRule="auto"/>
              <w:jc w:val="both"/>
              <w:rPr>
                <w:rFonts w:ascii="Arial" w:eastAsia="Calibri" w:hAnsi="Arial" w:cs="Arial"/>
                <w:sz w:val="18"/>
                <w:szCs w:val="18"/>
                <w:lang w:eastAsia="sl-SI"/>
              </w:rPr>
            </w:pPr>
            <w:r w:rsidRPr="00157806">
              <w:rPr>
                <w:rFonts w:ascii="Arial" w:eastAsia="Calibri" w:hAnsi="Arial" w:cs="Arial"/>
                <w:sz w:val="18"/>
                <w:szCs w:val="18"/>
                <w:lang w:eastAsia="sl-SI"/>
              </w:rPr>
              <w:t>- skupne faktorske produktivnosti</w:t>
            </w:r>
          </w:p>
        </w:tc>
        <w:tc>
          <w:tcPr>
            <w:tcW w:w="1077" w:type="dxa"/>
            <w:tcBorders>
              <w:top w:val="nil"/>
              <w:left w:val="nil"/>
              <w:bottom w:val="single" w:sz="8" w:space="0" w:color="auto"/>
              <w:right w:val="single" w:sz="8" w:space="0" w:color="auto"/>
            </w:tcBorders>
            <w:tcMar>
              <w:top w:w="0" w:type="dxa"/>
              <w:left w:w="108" w:type="dxa"/>
              <w:bottom w:w="0" w:type="dxa"/>
              <w:right w:w="108" w:type="dxa"/>
            </w:tcMar>
          </w:tcPr>
          <w:p w14:paraId="7623B983" w14:textId="77777777" w:rsidR="005E0F5F" w:rsidRPr="00157806" w:rsidRDefault="005E0F5F" w:rsidP="00203A8D">
            <w:pPr>
              <w:keepNext/>
              <w:spacing w:after="0" w:line="288" w:lineRule="auto"/>
              <w:jc w:val="center"/>
              <w:rPr>
                <w:rFonts w:ascii="Arial" w:eastAsia="Calibri" w:hAnsi="Arial" w:cs="Arial"/>
                <w:sz w:val="18"/>
                <w:szCs w:val="18"/>
              </w:rPr>
            </w:pPr>
          </w:p>
        </w:tc>
        <w:tc>
          <w:tcPr>
            <w:tcW w:w="773" w:type="dxa"/>
            <w:tcBorders>
              <w:top w:val="nil"/>
              <w:left w:val="nil"/>
              <w:bottom w:val="single" w:sz="8" w:space="0" w:color="auto"/>
              <w:right w:val="single" w:sz="8" w:space="0" w:color="auto"/>
            </w:tcBorders>
            <w:tcMar>
              <w:top w:w="0" w:type="dxa"/>
              <w:left w:w="108" w:type="dxa"/>
              <w:bottom w:w="0" w:type="dxa"/>
              <w:right w:w="108" w:type="dxa"/>
            </w:tcMar>
            <w:hideMark/>
          </w:tcPr>
          <w:p w14:paraId="5390C735" w14:textId="77777777" w:rsidR="005E0F5F" w:rsidRPr="00157806" w:rsidRDefault="005E0F5F" w:rsidP="00203A8D">
            <w:pPr>
              <w:keepNext/>
              <w:spacing w:after="0" w:line="288" w:lineRule="auto"/>
              <w:jc w:val="center"/>
              <w:rPr>
                <w:rFonts w:ascii="Arial" w:eastAsia="Calibri" w:hAnsi="Arial" w:cs="Arial"/>
                <w:sz w:val="18"/>
                <w:szCs w:val="18"/>
              </w:rPr>
            </w:pPr>
            <w:r w:rsidRPr="00157806">
              <w:rPr>
                <w:rFonts w:ascii="Arial" w:eastAsia="Calibri" w:hAnsi="Arial" w:cs="Arial"/>
                <w:sz w:val="18"/>
                <w:szCs w:val="18"/>
              </w:rPr>
              <w:t>1,1</w:t>
            </w:r>
          </w:p>
        </w:tc>
        <w:tc>
          <w:tcPr>
            <w:tcW w:w="706" w:type="dxa"/>
            <w:tcBorders>
              <w:top w:val="nil"/>
              <w:left w:val="nil"/>
              <w:bottom w:val="single" w:sz="8" w:space="0" w:color="auto"/>
              <w:right w:val="single" w:sz="8" w:space="0" w:color="auto"/>
            </w:tcBorders>
            <w:tcMar>
              <w:top w:w="0" w:type="dxa"/>
              <w:left w:w="108" w:type="dxa"/>
              <w:bottom w:w="0" w:type="dxa"/>
              <w:right w:w="108" w:type="dxa"/>
            </w:tcMar>
            <w:hideMark/>
          </w:tcPr>
          <w:p w14:paraId="743721EE" w14:textId="77777777" w:rsidR="005E0F5F" w:rsidRPr="00157806" w:rsidRDefault="005E0F5F" w:rsidP="00203A8D">
            <w:pPr>
              <w:keepNext/>
              <w:spacing w:after="0" w:line="288" w:lineRule="auto"/>
              <w:jc w:val="center"/>
              <w:rPr>
                <w:rFonts w:ascii="Arial" w:eastAsia="Calibri" w:hAnsi="Arial" w:cs="Arial"/>
                <w:sz w:val="18"/>
                <w:szCs w:val="18"/>
              </w:rPr>
            </w:pPr>
            <w:r w:rsidRPr="00157806">
              <w:rPr>
                <w:rFonts w:ascii="Arial" w:eastAsia="Calibri" w:hAnsi="Arial" w:cs="Arial"/>
                <w:sz w:val="18"/>
                <w:szCs w:val="18"/>
              </w:rPr>
              <w:t>1,1</w:t>
            </w:r>
          </w:p>
        </w:tc>
      </w:tr>
      <w:tr w:rsidR="005E0F5F" w:rsidRPr="00157806" w14:paraId="0E774D7A" w14:textId="77777777" w:rsidTr="00203A8D">
        <w:tc>
          <w:tcPr>
            <w:tcW w:w="56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3C1F871" w14:textId="77777777" w:rsidR="005E0F5F" w:rsidRPr="00157806" w:rsidRDefault="005E0F5F" w:rsidP="00203A8D">
            <w:pPr>
              <w:keepNext/>
              <w:spacing w:after="0" w:line="288" w:lineRule="auto"/>
              <w:jc w:val="both"/>
              <w:rPr>
                <w:rFonts w:ascii="Arial" w:eastAsia="Calibri" w:hAnsi="Arial" w:cs="Arial"/>
                <w:sz w:val="18"/>
                <w:szCs w:val="18"/>
              </w:rPr>
            </w:pPr>
            <w:r w:rsidRPr="00157806">
              <w:rPr>
                <w:rFonts w:ascii="Arial" w:eastAsia="Calibri" w:hAnsi="Arial" w:cs="Arial"/>
                <w:sz w:val="18"/>
                <w:szCs w:val="18"/>
                <w:lang w:eastAsia="sl-SI"/>
              </w:rPr>
              <w:t>6.</w:t>
            </w:r>
          </w:p>
        </w:tc>
        <w:tc>
          <w:tcPr>
            <w:tcW w:w="4156" w:type="dxa"/>
            <w:tcBorders>
              <w:top w:val="nil"/>
              <w:left w:val="nil"/>
              <w:bottom w:val="single" w:sz="8" w:space="0" w:color="auto"/>
              <w:right w:val="single" w:sz="8" w:space="0" w:color="auto"/>
            </w:tcBorders>
            <w:tcMar>
              <w:top w:w="0" w:type="dxa"/>
              <w:left w:w="108" w:type="dxa"/>
              <w:bottom w:w="0" w:type="dxa"/>
              <w:right w:w="108" w:type="dxa"/>
            </w:tcMar>
            <w:hideMark/>
          </w:tcPr>
          <w:p w14:paraId="0364EA1D" w14:textId="77777777" w:rsidR="005E0F5F" w:rsidRPr="00157806" w:rsidRDefault="005E0F5F" w:rsidP="00203A8D">
            <w:pPr>
              <w:keepNext/>
              <w:spacing w:after="0" w:line="288" w:lineRule="auto"/>
              <w:jc w:val="both"/>
              <w:rPr>
                <w:rFonts w:ascii="Arial" w:eastAsia="Calibri" w:hAnsi="Arial" w:cs="Arial"/>
                <w:sz w:val="18"/>
                <w:szCs w:val="18"/>
                <w:lang w:eastAsia="sl-SI"/>
              </w:rPr>
            </w:pPr>
            <w:r w:rsidRPr="00157806">
              <w:rPr>
                <w:rFonts w:ascii="Arial" w:eastAsia="Calibri" w:hAnsi="Arial" w:cs="Arial"/>
                <w:sz w:val="18"/>
                <w:szCs w:val="18"/>
                <w:lang w:eastAsia="sl-SI"/>
              </w:rPr>
              <w:t>Proizvodna vrzel</w:t>
            </w:r>
          </w:p>
        </w:tc>
        <w:tc>
          <w:tcPr>
            <w:tcW w:w="1077" w:type="dxa"/>
            <w:tcBorders>
              <w:top w:val="nil"/>
              <w:left w:val="nil"/>
              <w:bottom w:val="single" w:sz="8" w:space="0" w:color="auto"/>
              <w:right w:val="single" w:sz="8" w:space="0" w:color="auto"/>
            </w:tcBorders>
            <w:tcMar>
              <w:top w:w="0" w:type="dxa"/>
              <w:left w:w="108" w:type="dxa"/>
              <w:bottom w:w="0" w:type="dxa"/>
              <w:right w:w="108" w:type="dxa"/>
            </w:tcMar>
          </w:tcPr>
          <w:p w14:paraId="51760398" w14:textId="77777777" w:rsidR="005E0F5F" w:rsidRPr="00157806" w:rsidRDefault="005E0F5F" w:rsidP="00203A8D">
            <w:pPr>
              <w:keepNext/>
              <w:spacing w:after="0" w:line="288" w:lineRule="auto"/>
              <w:jc w:val="center"/>
              <w:rPr>
                <w:rFonts w:ascii="Arial" w:eastAsia="Calibri" w:hAnsi="Arial" w:cs="Arial"/>
                <w:sz w:val="18"/>
                <w:szCs w:val="18"/>
              </w:rPr>
            </w:pPr>
          </w:p>
        </w:tc>
        <w:tc>
          <w:tcPr>
            <w:tcW w:w="773" w:type="dxa"/>
            <w:tcBorders>
              <w:top w:val="nil"/>
              <w:left w:val="nil"/>
              <w:bottom w:val="single" w:sz="8" w:space="0" w:color="auto"/>
              <w:right w:val="single" w:sz="8" w:space="0" w:color="auto"/>
            </w:tcBorders>
            <w:tcMar>
              <w:top w:w="0" w:type="dxa"/>
              <w:left w:w="108" w:type="dxa"/>
              <w:bottom w:w="0" w:type="dxa"/>
              <w:right w:w="108" w:type="dxa"/>
            </w:tcMar>
            <w:hideMark/>
          </w:tcPr>
          <w:p w14:paraId="3774CCBD" w14:textId="77777777" w:rsidR="005E0F5F" w:rsidRPr="00157806" w:rsidRDefault="005E0F5F" w:rsidP="00203A8D">
            <w:pPr>
              <w:keepNext/>
              <w:spacing w:after="0" w:line="288" w:lineRule="auto"/>
              <w:jc w:val="center"/>
              <w:rPr>
                <w:rFonts w:ascii="Arial" w:eastAsia="Calibri" w:hAnsi="Arial" w:cs="Arial"/>
                <w:sz w:val="18"/>
                <w:szCs w:val="18"/>
              </w:rPr>
            </w:pPr>
            <w:r w:rsidRPr="00157806">
              <w:rPr>
                <w:rFonts w:ascii="Arial" w:eastAsia="Calibri" w:hAnsi="Arial" w:cs="Arial"/>
                <w:sz w:val="18"/>
                <w:szCs w:val="18"/>
              </w:rPr>
              <w:t>0,7</w:t>
            </w:r>
          </w:p>
        </w:tc>
        <w:tc>
          <w:tcPr>
            <w:tcW w:w="706" w:type="dxa"/>
            <w:tcBorders>
              <w:top w:val="nil"/>
              <w:left w:val="nil"/>
              <w:bottom w:val="single" w:sz="8" w:space="0" w:color="auto"/>
              <w:right w:val="single" w:sz="8" w:space="0" w:color="auto"/>
            </w:tcBorders>
            <w:tcMar>
              <w:top w:w="0" w:type="dxa"/>
              <w:left w:w="108" w:type="dxa"/>
              <w:bottom w:w="0" w:type="dxa"/>
              <w:right w:w="108" w:type="dxa"/>
            </w:tcMar>
            <w:hideMark/>
          </w:tcPr>
          <w:p w14:paraId="16DF456E" w14:textId="77777777" w:rsidR="005E0F5F" w:rsidRPr="00157806" w:rsidRDefault="005E0F5F" w:rsidP="00203A8D">
            <w:pPr>
              <w:keepNext/>
              <w:spacing w:after="0" w:line="288" w:lineRule="auto"/>
              <w:jc w:val="center"/>
              <w:rPr>
                <w:rFonts w:ascii="Arial" w:eastAsia="Calibri" w:hAnsi="Arial" w:cs="Arial"/>
                <w:sz w:val="18"/>
                <w:szCs w:val="18"/>
              </w:rPr>
            </w:pPr>
            <w:r w:rsidRPr="00157806">
              <w:rPr>
                <w:rFonts w:ascii="Arial" w:eastAsia="Calibri" w:hAnsi="Arial" w:cs="Arial"/>
                <w:sz w:val="18"/>
                <w:szCs w:val="18"/>
              </w:rPr>
              <w:t>0,7</w:t>
            </w:r>
          </w:p>
        </w:tc>
      </w:tr>
      <w:tr w:rsidR="005E0F5F" w:rsidRPr="00157806" w14:paraId="38AAC1D7" w14:textId="77777777" w:rsidTr="00203A8D">
        <w:tc>
          <w:tcPr>
            <w:tcW w:w="56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1E403DC" w14:textId="77777777" w:rsidR="005E0F5F" w:rsidRPr="00157806" w:rsidRDefault="005E0F5F" w:rsidP="00203A8D">
            <w:pPr>
              <w:keepNext/>
              <w:spacing w:after="0" w:line="288" w:lineRule="auto"/>
              <w:jc w:val="both"/>
              <w:rPr>
                <w:rFonts w:ascii="Arial" w:eastAsia="Calibri" w:hAnsi="Arial" w:cs="Arial"/>
                <w:sz w:val="18"/>
                <w:szCs w:val="18"/>
              </w:rPr>
            </w:pPr>
            <w:r w:rsidRPr="00157806">
              <w:rPr>
                <w:rFonts w:ascii="Arial" w:eastAsia="Calibri" w:hAnsi="Arial" w:cs="Arial"/>
                <w:sz w:val="18"/>
                <w:szCs w:val="18"/>
                <w:lang w:eastAsia="sl-SI"/>
              </w:rPr>
              <w:t>7.</w:t>
            </w:r>
          </w:p>
        </w:tc>
        <w:tc>
          <w:tcPr>
            <w:tcW w:w="4156" w:type="dxa"/>
            <w:tcBorders>
              <w:top w:val="nil"/>
              <w:left w:val="nil"/>
              <w:bottom w:val="single" w:sz="8" w:space="0" w:color="auto"/>
              <w:right w:val="single" w:sz="8" w:space="0" w:color="auto"/>
            </w:tcBorders>
            <w:tcMar>
              <w:top w:w="0" w:type="dxa"/>
              <w:left w:w="108" w:type="dxa"/>
              <w:bottom w:w="0" w:type="dxa"/>
              <w:right w:w="108" w:type="dxa"/>
            </w:tcMar>
            <w:hideMark/>
          </w:tcPr>
          <w:p w14:paraId="7374CDC9" w14:textId="77777777" w:rsidR="005E0F5F" w:rsidRPr="00157806" w:rsidRDefault="005E0F5F" w:rsidP="00203A8D">
            <w:pPr>
              <w:keepNext/>
              <w:spacing w:after="0" w:line="288" w:lineRule="auto"/>
              <w:jc w:val="both"/>
              <w:rPr>
                <w:rFonts w:ascii="Arial" w:eastAsia="Calibri" w:hAnsi="Arial" w:cs="Arial"/>
                <w:sz w:val="18"/>
                <w:szCs w:val="18"/>
                <w:lang w:eastAsia="sl-SI"/>
              </w:rPr>
            </w:pPr>
            <w:r w:rsidRPr="00157806">
              <w:rPr>
                <w:rFonts w:ascii="Arial" w:eastAsia="Calibri" w:hAnsi="Arial" w:cs="Arial"/>
                <w:sz w:val="18"/>
                <w:szCs w:val="18"/>
                <w:lang w:eastAsia="sl-SI"/>
              </w:rPr>
              <w:t>Ciklična komponenta</w:t>
            </w:r>
          </w:p>
        </w:tc>
        <w:tc>
          <w:tcPr>
            <w:tcW w:w="1077" w:type="dxa"/>
            <w:tcBorders>
              <w:top w:val="nil"/>
              <w:left w:val="nil"/>
              <w:bottom w:val="single" w:sz="8" w:space="0" w:color="auto"/>
              <w:right w:val="single" w:sz="8" w:space="0" w:color="auto"/>
            </w:tcBorders>
            <w:tcMar>
              <w:top w:w="0" w:type="dxa"/>
              <w:left w:w="108" w:type="dxa"/>
              <w:bottom w:w="0" w:type="dxa"/>
              <w:right w:w="108" w:type="dxa"/>
            </w:tcMar>
          </w:tcPr>
          <w:p w14:paraId="63078111" w14:textId="77777777" w:rsidR="005E0F5F" w:rsidRPr="00157806" w:rsidRDefault="005E0F5F" w:rsidP="00203A8D">
            <w:pPr>
              <w:keepNext/>
              <w:spacing w:after="0" w:line="288" w:lineRule="auto"/>
              <w:jc w:val="center"/>
              <w:rPr>
                <w:rFonts w:ascii="Arial" w:eastAsia="Calibri" w:hAnsi="Arial" w:cs="Arial"/>
                <w:sz w:val="18"/>
                <w:szCs w:val="18"/>
              </w:rPr>
            </w:pPr>
          </w:p>
        </w:tc>
        <w:tc>
          <w:tcPr>
            <w:tcW w:w="773" w:type="dxa"/>
            <w:tcBorders>
              <w:top w:val="nil"/>
              <w:left w:val="nil"/>
              <w:bottom w:val="single" w:sz="8" w:space="0" w:color="auto"/>
              <w:right w:val="single" w:sz="8" w:space="0" w:color="auto"/>
            </w:tcBorders>
            <w:tcMar>
              <w:top w:w="0" w:type="dxa"/>
              <w:left w:w="108" w:type="dxa"/>
              <w:bottom w:w="0" w:type="dxa"/>
              <w:right w:w="108" w:type="dxa"/>
            </w:tcMar>
            <w:hideMark/>
          </w:tcPr>
          <w:p w14:paraId="31EF5C7E" w14:textId="77777777" w:rsidR="005E0F5F" w:rsidRPr="00157806" w:rsidRDefault="005E0F5F" w:rsidP="00203A8D">
            <w:pPr>
              <w:keepNext/>
              <w:spacing w:after="0" w:line="288" w:lineRule="auto"/>
              <w:jc w:val="center"/>
              <w:rPr>
                <w:rFonts w:ascii="Arial" w:eastAsia="Calibri" w:hAnsi="Arial" w:cs="Arial"/>
                <w:sz w:val="18"/>
                <w:szCs w:val="18"/>
              </w:rPr>
            </w:pPr>
            <w:r w:rsidRPr="00157806">
              <w:rPr>
                <w:rFonts w:ascii="Arial" w:eastAsia="Calibri" w:hAnsi="Arial" w:cs="Arial"/>
                <w:sz w:val="18"/>
                <w:szCs w:val="18"/>
              </w:rPr>
              <w:t>0,3</w:t>
            </w:r>
          </w:p>
        </w:tc>
        <w:tc>
          <w:tcPr>
            <w:tcW w:w="706" w:type="dxa"/>
            <w:tcBorders>
              <w:top w:val="nil"/>
              <w:left w:val="nil"/>
              <w:bottom w:val="single" w:sz="8" w:space="0" w:color="auto"/>
              <w:right w:val="single" w:sz="8" w:space="0" w:color="auto"/>
            </w:tcBorders>
            <w:tcMar>
              <w:top w:w="0" w:type="dxa"/>
              <w:left w:w="108" w:type="dxa"/>
              <w:bottom w:w="0" w:type="dxa"/>
              <w:right w:w="108" w:type="dxa"/>
            </w:tcMar>
            <w:hideMark/>
          </w:tcPr>
          <w:p w14:paraId="46BC1627" w14:textId="77777777" w:rsidR="005E0F5F" w:rsidRPr="00157806" w:rsidRDefault="005E0F5F" w:rsidP="00203A8D">
            <w:pPr>
              <w:keepNext/>
              <w:spacing w:after="0" w:line="288" w:lineRule="auto"/>
              <w:jc w:val="center"/>
              <w:rPr>
                <w:rFonts w:ascii="Arial" w:eastAsia="Calibri" w:hAnsi="Arial" w:cs="Arial"/>
                <w:sz w:val="18"/>
                <w:szCs w:val="18"/>
              </w:rPr>
            </w:pPr>
            <w:r w:rsidRPr="00157806">
              <w:rPr>
                <w:rFonts w:ascii="Arial" w:eastAsia="Calibri" w:hAnsi="Arial" w:cs="Arial"/>
                <w:sz w:val="18"/>
                <w:szCs w:val="18"/>
              </w:rPr>
              <w:t>0,3</w:t>
            </w:r>
          </w:p>
        </w:tc>
      </w:tr>
      <w:tr w:rsidR="005E0F5F" w:rsidRPr="00157806" w14:paraId="59D47D33" w14:textId="77777777" w:rsidTr="00203A8D">
        <w:tc>
          <w:tcPr>
            <w:tcW w:w="56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9DB2F9F" w14:textId="77777777" w:rsidR="005E0F5F" w:rsidRPr="00157806" w:rsidRDefault="005E0F5F" w:rsidP="00203A8D">
            <w:pPr>
              <w:keepNext/>
              <w:spacing w:after="0" w:line="288" w:lineRule="auto"/>
              <w:jc w:val="both"/>
              <w:rPr>
                <w:rFonts w:ascii="Arial" w:eastAsia="Calibri" w:hAnsi="Arial" w:cs="Arial"/>
                <w:sz w:val="18"/>
                <w:szCs w:val="18"/>
              </w:rPr>
            </w:pPr>
            <w:r w:rsidRPr="00157806">
              <w:rPr>
                <w:rFonts w:ascii="Arial" w:eastAsia="Calibri" w:hAnsi="Arial" w:cs="Arial"/>
                <w:sz w:val="18"/>
                <w:szCs w:val="18"/>
                <w:lang w:eastAsia="sl-SI"/>
              </w:rPr>
              <w:t>8.</w:t>
            </w:r>
          </w:p>
        </w:tc>
        <w:tc>
          <w:tcPr>
            <w:tcW w:w="4156" w:type="dxa"/>
            <w:tcBorders>
              <w:top w:val="nil"/>
              <w:left w:val="nil"/>
              <w:bottom w:val="single" w:sz="8" w:space="0" w:color="auto"/>
              <w:right w:val="single" w:sz="8" w:space="0" w:color="auto"/>
            </w:tcBorders>
            <w:tcMar>
              <w:top w:w="0" w:type="dxa"/>
              <w:left w:w="108" w:type="dxa"/>
              <w:bottom w:w="0" w:type="dxa"/>
              <w:right w:w="108" w:type="dxa"/>
            </w:tcMar>
            <w:hideMark/>
          </w:tcPr>
          <w:p w14:paraId="38BEAA6C" w14:textId="77777777" w:rsidR="005E0F5F" w:rsidRPr="00157806" w:rsidRDefault="005E0F5F" w:rsidP="00203A8D">
            <w:pPr>
              <w:keepNext/>
              <w:spacing w:after="0" w:line="288" w:lineRule="auto"/>
              <w:jc w:val="both"/>
              <w:rPr>
                <w:rFonts w:ascii="Arial" w:eastAsia="Calibri" w:hAnsi="Arial" w:cs="Arial"/>
                <w:sz w:val="18"/>
                <w:szCs w:val="18"/>
                <w:lang w:eastAsia="sl-SI"/>
              </w:rPr>
            </w:pPr>
            <w:r w:rsidRPr="00157806">
              <w:rPr>
                <w:rFonts w:ascii="Arial" w:eastAsia="Calibri" w:hAnsi="Arial" w:cs="Arial"/>
                <w:sz w:val="18"/>
                <w:szCs w:val="18"/>
                <w:lang w:eastAsia="sl-SI"/>
              </w:rPr>
              <w:t>Ciklično prilagojen saldo države (2-7)</w:t>
            </w:r>
          </w:p>
        </w:tc>
        <w:tc>
          <w:tcPr>
            <w:tcW w:w="1077" w:type="dxa"/>
            <w:tcBorders>
              <w:top w:val="nil"/>
              <w:left w:val="nil"/>
              <w:bottom w:val="single" w:sz="8" w:space="0" w:color="auto"/>
              <w:right w:val="single" w:sz="8" w:space="0" w:color="auto"/>
            </w:tcBorders>
            <w:tcMar>
              <w:top w:w="0" w:type="dxa"/>
              <w:left w:w="108" w:type="dxa"/>
              <w:bottom w:w="0" w:type="dxa"/>
              <w:right w:w="108" w:type="dxa"/>
            </w:tcMar>
          </w:tcPr>
          <w:p w14:paraId="059CCBE7" w14:textId="77777777" w:rsidR="005E0F5F" w:rsidRPr="00157806" w:rsidRDefault="005E0F5F" w:rsidP="00203A8D">
            <w:pPr>
              <w:keepNext/>
              <w:spacing w:after="0" w:line="288" w:lineRule="auto"/>
              <w:jc w:val="center"/>
              <w:rPr>
                <w:rFonts w:ascii="Arial" w:eastAsia="Calibri" w:hAnsi="Arial" w:cs="Arial"/>
                <w:sz w:val="18"/>
                <w:szCs w:val="18"/>
              </w:rPr>
            </w:pPr>
          </w:p>
        </w:tc>
        <w:tc>
          <w:tcPr>
            <w:tcW w:w="773" w:type="dxa"/>
            <w:tcBorders>
              <w:top w:val="nil"/>
              <w:left w:val="nil"/>
              <w:bottom w:val="single" w:sz="8" w:space="0" w:color="auto"/>
              <w:right w:val="single" w:sz="8" w:space="0" w:color="auto"/>
            </w:tcBorders>
            <w:tcMar>
              <w:top w:w="0" w:type="dxa"/>
              <w:left w:w="108" w:type="dxa"/>
              <w:bottom w:w="0" w:type="dxa"/>
              <w:right w:w="108" w:type="dxa"/>
            </w:tcMar>
            <w:hideMark/>
          </w:tcPr>
          <w:p w14:paraId="6B470826" w14:textId="77777777" w:rsidR="005E0F5F" w:rsidRPr="00157806" w:rsidRDefault="005E0F5F" w:rsidP="00203A8D">
            <w:pPr>
              <w:keepNext/>
              <w:spacing w:after="0" w:line="288" w:lineRule="auto"/>
              <w:jc w:val="center"/>
              <w:rPr>
                <w:rFonts w:ascii="Arial" w:eastAsia="Calibri" w:hAnsi="Arial" w:cs="Arial"/>
                <w:sz w:val="18"/>
                <w:szCs w:val="18"/>
              </w:rPr>
            </w:pPr>
            <w:r w:rsidRPr="00157806">
              <w:rPr>
                <w:rFonts w:ascii="Arial" w:eastAsia="Calibri" w:hAnsi="Arial" w:cs="Arial"/>
                <w:sz w:val="18"/>
                <w:szCs w:val="18"/>
              </w:rPr>
              <w:t>-4,8</w:t>
            </w:r>
          </w:p>
        </w:tc>
        <w:tc>
          <w:tcPr>
            <w:tcW w:w="706" w:type="dxa"/>
            <w:tcBorders>
              <w:top w:val="nil"/>
              <w:left w:val="nil"/>
              <w:bottom w:val="single" w:sz="8" w:space="0" w:color="auto"/>
              <w:right w:val="single" w:sz="8" w:space="0" w:color="auto"/>
            </w:tcBorders>
            <w:tcMar>
              <w:top w:w="0" w:type="dxa"/>
              <w:left w:w="108" w:type="dxa"/>
              <w:bottom w:w="0" w:type="dxa"/>
              <w:right w:w="108" w:type="dxa"/>
            </w:tcMar>
            <w:hideMark/>
          </w:tcPr>
          <w:p w14:paraId="1F109297" w14:textId="77777777" w:rsidR="005E0F5F" w:rsidRPr="00157806" w:rsidRDefault="005E0F5F" w:rsidP="00203A8D">
            <w:pPr>
              <w:keepNext/>
              <w:spacing w:after="0" w:line="288" w:lineRule="auto"/>
              <w:jc w:val="center"/>
              <w:rPr>
                <w:rFonts w:ascii="Arial" w:eastAsia="Calibri" w:hAnsi="Arial" w:cs="Arial"/>
                <w:sz w:val="18"/>
                <w:szCs w:val="18"/>
              </w:rPr>
            </w:pPr>
            <w:r w:rsidRPr="00157806">
              <w:rPr>
                <w:rFonts w:ascii="Arial" w:eastAsia="Calibri" w:hAnsi="Arial" w:cs="Arial"/>
                <w:sz w:val="18"/>
                <w:szCs w:val="18"/>
              </w:rPr>
              <w:t>-</w:t>
            </w:r>
            <w:r>
              <w:rPr>
                <w:rFonts w:ascii="Arial" w:eastAsia="Calibri" w:hAnsi="Arial" w:cs="Arial"/>
                <w:sz w:val="18"/>
                <w:szCs w:val="18"/>
              </w:rPr>
              <w:t>4,1</w:t>
            </w:r>
          </w:p>
        </w:tc>
      </w:tr>
      <w:tr w:rsidR="005E0F5F" w:rsidRPr="00157806" w14:paraId="51C38E2F" w14:textId="77777777" w:rsidTr="00203A8D">
        <w:tc>
          <w:tcPr>
            <w:tcW w:w="56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7D3FF45" w14:textId="77777777" w:rsidR="005E0F5F" w:rsidRPr="00157806" w:rsidRDefault="005E0F5F" w:rsidP="00203A8D">
            <w:pPr>
              <w:keepNext/>
              <w:spacing w:after="0" w:line="288" w:lineRule="auto"/>
              <w:jc w:val="both"/>
              <w:rPr>
                <w:rFonts w:ascii="Arial" w:eastAsia="Calibri" w:hAnsi="Arial" w:cs="Arial"/>
                <w:sz w:val="18"/>
                <w:szCs w:val="18"/>
              </w:rPr>
            </w:pPr>
            <w:r w:rsidRPr="00157806">
              <w:rPr>
                <w:rFonts w:ascii="Arial" w:eastAsia="Calibri" w:hAnsi="Arial" w:cs="Arial"/>
                <w:sz w:val="18"/>
                <w:szCs w:val="18"/>
                <w:lang w:eastAsia="sl-SI"/>
              </w:rPr>
              <w:t>9.</w:t>
            </w:r>
          </w:p>
        </w:tc>
        <w:tc>
          <w:tcPr>
            <w:tcW w:w="4156" w:type="dxa"/>
            <w:tcBorders>
              <w:top w:val="nil"/>
              <w:left w:val="nil"/>
              <w:bottom w:val="single" w:sz="8" w:space="0" w:color="auto"/>
              <w:right w:val="single" w:sz="8" w:space="0" w:color="auto"/>
            </w:tcBorders>
            <w:tcMar>
              <w:top w:w="0" w:type="dxa"/>
              <w:left w:w="108" w:type="dxa"/>
              <w:bottom w:w="0" w:type="dxa"/>
              <w:right w:w="108" w:type="dxa"/>
            </w:tcMar>
            <w:hideMark/>
          </w:tcPr>
          <w:p w14:paraId="2AF4C991" w14:textId="77777777" w:rsidR="005E0F5F" w:rsidRPr="00157806" w:rsidRDefault="005E0F5F" w:rsidP="00203A8D">
            <w:pPr>
              <w:keepNext/>
              <w:spacing w:after="0" w:line="288" w:lineRule="auto"/>
              <w:jc w:val="both"/>
              <w:rPr>
                <w:rFonts w:ascii="Arial" w:eastAsia="Calibri" w:hAnsi="Arial" w:cs="Arial"/>
                <w:sz w:val="18"/>
                <w:szCs w:val="18"/>
                <w:lang w:eastAsia="sl-SI"/>
              </w:rPr>
            </w:pPr>
            <w:r w:rsidRPr="00157806">
              <w:rPr>
                <w:rFonts w:ascii="Arial" w:eastAsia="Calibri" w:hAnsi="Arial" w:cs="Arial"/>
                <w:sz w:val="18"/>
                <w:szCs w:val="18"/>
                <w:lang w:eastAsia="sl-SI"/>
              </w:rPr>
              <w:t>Ciklično prilagojeni primarni saldo (8+3)</w:t>
            </w:r>
          </w:p>
        </w:tc>
        <w:tc>
          <w:tcPr>
            <w:tcW w:w="1077" w:type="dxa"/>
            <w:tcBorders>
              <w:top w:val="nil"/>
              <w:left w:val="nil"/>
              <w:bottom w:val="single" w:sz="8" w:space="0" w:color="auto"/>
              <w:right w:val="single" w:sz="8" w:space="0" w:color="auto"/>
            </w:tcBorders>
            <w:tcMar>
              <w:top w:w="0" w:type="dxa"/>
              <w:left w:w="108" w:type="dxa"/>
              <w:bottom w:w="0" w:type="dxa"/>
              <w:right w:w="108" w:type="dxa"/>
            </w:tcMar>
          </w:tcPr>
          <w:p w14:paraId="0BE58ECE" w14:textId="77777777" w:rsidR="005E0F5F" w:rsidRPr="00157806" w:rsidRDefault="005E0F5F" w:rsidP="00203A8D">
            <w:pPr>
              <w:keepNext/>
              <w:spacing w:after="0" w:line="288" w:lineRule="auto"/>
              <w:jc w:val="center"/>
              <w:rPr>
                <w:rFonts w:ascii="Arial" w:eastAsia="Calibri" w:hAnsi="Arial" w:cs="Arial"/>
                <w:sz w:val="18"/>
                <w:szCs w:val="18"/>
              </w:rPr>
            </w:pPr>
          </w:p>
        </w:tc>
        <w:tc>
          <w:tcPr>
            <w:tcW w:w="773" w:type="dxa"/>
            <w:tcBorders>
              <w:top w:val="nil"/>
              <w:left w:val="nil"/>
              <w:bottom w:val="single" w:sz="8" w:space="0" w:color="auto"/>
              <w:right w:val="single" w:sz="8" w:space="0" w:color="auto"/>
            </w:tcBorders>
            <w:tcMar>
              <w:top w:w="0" w:type="dxa"/>
              <w:left w:w="108" w:type="dxa"/>
              <w:bottom w:w="0" w:type="dxa"/>
              <w:right w:w="108" w:type="dxa"/>
            </w:tcMar>
            <w:hideMark/>
          </w:tcPr>
          <w:p w14:paraId="00A4211F" w14:textId="77777777" w:rsidR="005E0F5F" w:rsidRPr="00157806" w:rsidRDefault="005E0F5F" w:rsidP="00203A8D">
            <w:pPr>
              <w:keepNext/>
              <w:spacing w:after="0" w:line="288" w:lineRule="auto"/>
              <w:jc w:val="center"/>
              <w:rPr>
                <w:rFonts w:ascii="Arial" w:eastAsia="Calibri" w:hAnsi="Arial" w:cs="Arial"/>
                <w:sz w:val="18"/>
                <w:szCs w:val="18"/>
              </w:rPr>
            </w:pPr>
            <w:r w:rsidRPr="00157806">
              <w:rPr>
                <w:rFonts w:ascii="Arial" w:eastAsia="Calibri" w:hAnsi="Arial" w:cs="Arial"/>
                <w:sz w:val="18"/>
                <w:szCs w:val="18"/>
              </w:rPr>
              <w:t>-3,6</w:t>
            </w:r>
          </w:p>
        </w:tc>
        <w:tc>
          <w:tcPr>
            <w:tcW w:w="706" w:type="dxa"/>
            <w:tcBorders>
              <w:top w:val="nil"/>
              <w:left w:val="nil"/>
              <w:bottom w:val="single" w:sz="8" w:space="0" w:color="auto"/>
              <w:right w:val="single" w:sz="8" w:space="0" w:color="auto"/>
            </w:tcBorders>
            <w:tcMar>
              <w:top w:w="0" w:type="dxa"/>
              <w:left w:w="108" w:type="dxa"/>
              <w:bottom w:w="0" w:type="dxa"/>
              <w:right w:w="108" w:type="dxa"/>
            </w:tcMar>
            <w:hideMark/>
          </w:tcPr>
          <w:p w14:paraId="33976327" w14:textId="77777777" w:rsidR="005E0F5F" w:rsidRPr="00157806" w:rsidRDefault="005E0F5F" w:rsidP="00203A8D">
            <w:pPr>
              <w:keepNext/>
              <w:spacing w:after="0" w:line="288" w:lineRule="auto"/>
              <w:jc w:val="center"/>
              <w:rPr>
                <w:rFonts w:ascii="Arial" w:eastAsia="Calibri" w:hAnsi="Arial" w:cs="Arial"/>
                <w:sz w:val="18"/>
                <w:szCs w:val="18"/>
              </w:rPr>
            </w:pPr>
            <w:r w:rsidRPr="00157806">
              <w:rPr>
                <w:rFonts w:ascii="Arial" w:eastAsia="Calibri" w:hAnsi="Arial" w:cs="Arial"/>
                <w:sz w:val="18"/>
                <w:szCs w:val="18"/>
              </w:rPr>
              <w:t>-2,</w:t>
            </w:r>
            <w:r>
              <w:rPr>
                <w:rFonts w:ascii="Arial" w:eastAsia="Calibri" w:hAnsi="Arial" w:cs="Arial"/>
                <w:sz w:val="18"/>
                <w:szCs w:val="18"/>
              </w:rPr>
              <w:t>8</w:t>
            </w:r>
          </w:p>
        </w:tc>
      </w:tr>
      <w:tr w:rsidR="005E0F5F" w:rsidRPr="00157806" w14:paraId="4E462499" w14:textId="77777777" w:rsidTr="00203A8D">
        <w:tc>
          <w:tcPr>
            <w:tcW w:w="56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6327D33" w14:textId="77777777" w:rsidR="005E0F5F" w:rsidRPr="00157806" w:rsidRDefault="005E0F5F" w:rsidP="00203A8D">
            <w:pPr>
              <w:keepNext/>
              <w:spacing w:after="0" w:line="288" w:lineRule="auto"/>
              <w:jc w:val="both"/>
              <w:rPr>
                <w:rFonts w:ascii="Arial" w:eastAsia="Calibri" w:hAnsi="Arial" w:cs="Arial"/>
                <w:sz w:val="18"/>
                <w:szCs w:val="18"/>
              </w:rPr>
            </w:pPr>
            <w:r w:rsidRPr="00157806">
              <w:rPr>
                <w:rFonts w:ascii="Arial" w:eastAsia="Calibri" w:hAnsi="Arial" w:cs="Arial"/>
                <w:sz w:val="18"/>
                <w:szCs w:val="18"/>
                <w:lang w:eastAsia="sl-SI"/>
              </w:rPr>
              <w:t>10.</w:t>
            </w:r>
          </w:p>
        </w:tc>
        <w:tc>
          <w:tcPr>
            <w:tcW w:w="4156" w:type="dxa"/>
            <w:tcBorders>
              <w:top w:val="nil"/>
              <w:left w:val="nil"/>
              <w:bottom w:val="single" w:sz="8" w:space="0" w:color="auto"/>
              <w:right w:val="single" w:sz="8" w:space="0" w:color="auto"/>
            </w:tcBorders>
            <w:tcMar>
              <w:top w:w="0" w:type="dxa"/>
              <w:left w:w="108" w:type="dxa"/>
              <w:bottom w:w="0" w:type="dxa"/>
              <w:right w:w="108" w:type="dxa"/>
            </w:tcMar>
            <w:hideMark/>
          </w:tcPr>
          <w:p w14:paraId="69F9E0B2" w14:textId="77777777" w:rsidR="005E0F5F" w:rsidRPr="00157806" w:rsidRDefault="005E0F5F" w:rsidP="00203A8D">
            <w:pPr>
              <w:keepNext/>
              <w:spacing w:after="0" w:line="288" w:lineRule="auto"/>
              <w:jc w:val="both"/>
              <w:rPr>
                <w:rFonts w:ascii="Arial" w:eastAsia="Calibri" w:hAnsi="Arial" w:cs="Arial"/>
                <w:sz w:val="18"/>
                <w:szCs w:val="18"/>
                <w:lang w:eastAsia="sl-SI"/>
              </w:rPr>
            </w:pPr>
            <w:r w:rsidRPr="00157806">
              <w:rPr>
                <w:rFonts w:ascii="Arial" w:eastAsia="Calibri" w:hAnsi="Arial" w:cs="Arial"/>
                <w:sz w:val="18"/>
                <w:szCs w:val="18"/>
                <w:lang w:eastAsia="sl-SI"/>
              </w:rPr>
              <w:t>Strukturni saldo (8-4)</w:t>
            </w:r>
          </w:p>
        </w:tc>
        <w:tc>
          <w:tcPr>
            <w:tcW w:w="1077" w:type="dxa"/>
            <w:tcBorders>
              <w:top w:val="nil"/>
              <w:left w:val="nil"/>
              <w:bottom w:val="single" w:sz="8" w:space="0" w:color="auto"/>
              <w:right w:val="single" w:sz="8" w:space="0" w:color="auto"/>
            </w:tcBorders>
            <w:tcMar>
              <w:top w:w="0" w:type="dxa"/>
              <w:left w:w="108" w:type="dxa"/>
              <w:bottom w:w="0" w:type="dxa"/>
              <w:right w:w="108" w:type="dxa"/>
            </w:tcMar>
          </w:tcPr>
          <w:p w14:paraId="322DFE55" w14:textId="77777777" w:rsidR="005E0F5F" w:rsidRPr="00157806" w:rsidRDefault="005E0F5F" w:rsidP="00203A8D">
            <w:pPr>
              <w:keepNext/>
              <w:spacing w:after="0" w:line="288" w:lineRule="auto"/>
              <w:jc w:val="center"/>
              <w:rPr>
                <w:rFonts w:ascii="Arial" w:eastAsia="Calibri" w:hAnsi="Arial" w:cs="Arial"/>
                <w:sz w:val="18"/>
                <w:szCs w:val="18"/>
              </w:rPr>
            </w:pPr>
          </w:p>
        </w:tc>
        <w:tc>
          <w:tcPr>
            <w:tcW w:w="773" w:type="dxa"/>
            <w:tcBorders>
              <w:top w:val="nil"/>
              <w:left w:val="nil"/>
              <w:bottom w:val="single" w:sz="8" w:space="0" w:color="auto"/>
              <w:right w:val="single" w:sz="8" w:space="0" w:color="auto"/>
            </w:tcBorders>
            <w:tcMar>
              <w:top w:w="0" w:type="dxa"/>
              <w:left w:w="108" w:type="dxa"/>
              <w:bottom w:w="0" w:type="dxa"/>
              <w:right w:w="108" w:type="dxa"/>
            </w:tcMar>
            <w:hideMark/>
          </w:tcPr>
          <w:p w14:paraId="2982CB69" w14:textId="77777777" w:rsidR="005E0F5F" w:rsidRPr="00157806" w:rsidRDefault="005E0F5F" w:rsidP="00203A8D">
            <w:pPr>
              <w:keepNext/>
              <w:spacing w:after="0" w:line="288" w:lineRule="auto"/>
              <w:jc w:val="center"/>
              <w:rPr>
                <w:rFonts w:ascii="Arial" w:eastAsia="Calibri" w:hAnsi="Arial" w:cs="Arial"/>
                <w:sz w:val="18"/>
                <w:szCs w:val="18"/>
              </w:rPr>
            </w:pPr>
            <w:r w:rsidRPr="00157806">
              <w:rPr>
                <w:rFonts w:ascii="Arial" w:eastAsia="Calibri" w:hAnsi="Arial" w:cs="Arial"/>
                <w:sz w:val="18"/>
                <w:szCs w:val="18"/>
              </w:rPr>
              <w:t>-4,2</w:t>
            </w:r>
          </w:p>
        </w:tc>
        <w:tc>
          <w:tcPr>
            <w:tcW w:w="706" w:type="dxa"/>
            <w:tcBorders>
              <w:top w:val="nil"/>
              <w:left w:val="nil"/>
              <w:bottom w:val="single" w:sz="8" w:space="0" w:color="auto"/>
              <w:right w:val="single" w:sz="8" w:space="0" w:color="auto"/>
            </w:tcBorders>
            <w:tcMar>
              <w:top w:w="0" w:type="dxa"/>
              <w:left w:w="108" w:type="dxa"/>
              <w:bottom w:w="0" w:type="dxa"/>
              <w:right w:w="108" w:type="dxa"/>
            </w:tcMar>
            <w:hideMark/>
          </w:tcPr>
          <w:p w14:paraId="19C24E64" w14:textId="77777777" w:rsidR="005E0F5F" w:rsidRPr="00157806" w:rsidRDefault="005E0F5F" w:rsidP="00203A8D">
            <w:pPr>
              <w:keepNext/>
              <w:spacing w:after="0" w:line="288" w:lineRule="auto"/>
              <w:jc w:val="center"/>
              <w:rPr>
                <w:rFonts w:ascii="Arial" w:eastAsia="Calibri" w:hAnsi="Arial" w:cs="Arial"/>
                <w:sz w:val="18"/>
                <w:szCs w:val="18"/>
              </w:rPr>
            </w:pPr>
            <w:r w:rsidRPr="00157806">
              <w:rPr>
                <w:rFonts w:ascii="Arial" w:eastAsia="Calibri" w:hAnsi="Arial" w:cs="Arial"/>
                <w:sz w:val="18"/>
                <w:szCs w:val="18"/>
              </w:rPr>
              <w:t>-2,9</w:t>
            </w:r>
          </w:p>
        </w:tc>
      </w:tr>
      <w:tr w:rsidR="005E0F5F" w:rsidRPr="00157806" w14:paraId="7BB778D7" w14:textId="77777777" w:rsidTr="00203A8D">
        <w:tc>
          <w:tcPr>
            <w:tcW w:w="56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3F6EC5A" w14:textId="77777777" w:rsidR="005E0F5F" w:rsidRPr="00157806" w:rsidRDefault="005E0F5F" w:rsidP="00203A8D">
            <w:pPr>
              <w:keepNext/>
              <w:spacing w:after="0" w:line="288" w:lineRule="auto"/>
              <w:jc w:val="both"/>
              <w:rPr>
                <w:rFonts w:ascii="Arial" w:eastAsia="Calibri" w:hAnsi="Arial" w:cs="Arial"/>
                <w:sz w:val="18"/>
                <w:szCs w:val="18"/>
              </w:rPr>
            </w:pPr>
            <w:r w:rsidRPr="00157806">
              <w:rPr>
                <w:rFonts w:ascii="Arial" w:eastAsia="Calibri" w:hAnsi="Arial" w:cs="Arial"/>
                <w:sz w:val="18"/>
                <w:szCs w:val="18"/>
                <w:lang w:eastAsia="sl-SI"/>
              </w:rPr>
              <w:t>11.</w:t>
            </w:r>
          </w:p>
        </w:tc>
        <w:tc>
          <w:tcPr>
            <w:tcW w:w="4156" w:type="dxa"/>
            <w:tcBorders>
              <w:top w:val="nil"/>
              <w:left w:val="nil"/>
              <w:bottom w:val="single" w:sz="8" w:space="0" w:color="auto"/>
              <w:right w:val="single" w:sz="8" w:space="0" w:color="auto"/>
            </w:tcBorders>
            <w:tcMar>
              <w:top w:w="0" w:type="dxa"/>
              <w:left w:w="108" w:type="dxa"/>
              <w:bottom w:w="0" w:type="dxa"/>
              <w:right w:w="108" w:type="dxa"/>
            </w:tcMar>
            <w:hideMark/>
          </w:tcPr>
          <w:p w14:paraId="62D632AD" w14:textId="77777777" w:rsidR="005E0F5F" w:rsidRPr="00157806" w:rsidRDefault="005E0F5F" w:rsidP="00203A8D">
            <w:pPr>
              <w:keepNext/>
              <w:spacing w:after="0" w:line="288" w:lineRule="auto"/>
              <w:jc w:val="both"/>
              <w:rPr>
                <w:rFonts w:ascii="Arial" w:eastAsia="Calibri" w:hAnsi="Arial" w:cs="Arial"/>
                <w:sz w:val="18"/>
                <w:szCs w:val="18"/>
                <w:lang w:eastAsia="sl-SI"/>
              </w:rPr>
            </w:pPr>
            <w:r w:rsidRPr="00157806">
              <w:rPr>
                <w:rFonts w:ascii="Arial" w:eastAsia="Calibri" w:hAnsi="Arial" w:cs="Arial"/>
                <w:sz w:val="18"/>
                <w:szCs w:val="18"/>
                <w:lang w:eastAsia="sl-SI"/>
              </w:rPr>
              <w:t>Fiskalni napor v %</w:t>
            </w:r>
            <w:r>
              <w:rPr>
                <w:rFonts w:ascii="Arial" w:eastAsia="Calibri" w:hAnsi="Arial" w:cs="Arial"/>
                <w:sz w:val="18"/>
                <w:szCs w:val="18"/>
                <w:lang w:eastAsia="sl-SI"/>
              </w:rPr>
              <w:t xml:space="preserve"> točkah</w:t>
            </w:r>
            <w:r w:rsidRPr="00157806">
              <w:rPr>
                <w:rFonts w:ascii="Arial" w:eastAsia="Calibri" w:hAnsi="Arial" w:cs="Arial"/>
                <w:sz w:val="18"/>
                <w:szCs w:val="18"/>
                <w:lang w:eastAsia="sl-SI"/>
              </w:rPr>
              <w:t xml:space="preserve"> BDP</w:t>
            </w:r>
          </w:p>
        </w:tc>
        <w:tc>
          <w:tcPr>
            <w:tcW w:w="1077" w:type="dxa"/>
            <w:tcBorders>
              <w:top w:val="nil"/>
              <w:left w:val="nil"/>
              <w:bottom w:val="single" w:sz="8" w:space="0" w:color="auto"/>
              <w:right w:val="single" w:sz="8" w:space="0" w:color="auto"/>
            </w:tcBorders>
            <w:tcMar>
              <w:top w:w="0" w:type="dxa"/>
              <w:left w:w="108" w:type="dxa"/>
              <w:bottom w:w="0" w:type="dxa"/>
              <w:right w:w="108" w:type="dxa"/>
            </w:tcMar>
          </w:tcPr>
          <w:p w14:paraId="4E630BF6" w14:textId="77777777" w:rsidR="005E0F5F" w:rsidRPr="00157806" w:rsidRDefault="005E0F5F" w:rsidP="00203A8D">
            <w:pPr>
              <w:keepNext/>
              <w:spacing w:after="0" w:line="288" w:lineRule="auto"/>
              <w:jc w:val="center"/>
              <w:rPr>
                <w:rFonts w:ascii="Arial" w:eastAsia="Calibri" w:hAnsi="Arial" w:cs="Arial"/>
                <w:sz w:val="18"/>
                <w:szCs w:val="18"/>
              </w:rPr>
            </w:pPr>
          </w:p>
        </w:tc>
        <w:tc>
          <w:tcPr>
            <w:tcW w:w="773" w:type="dxa"/>
            <w:tcBorders>
              <w:top w:val="nil"/>
              <w:left w:val="nil"/>
              <w:bottom w:val="single" w:sz="8" w:space="0" w:color="auto"/>
              <w:right w:val="single" w:sz="8" w:space="0" w:color="auto"/>
            </w:tcBorders>
            <w:tcMar>
              <w:top w:w="0" w:type="dxa"/>
              <w:left w:w="108" w:type="dxa"/>
              <w:bottom w:w="0" w:type="dxa"/>
              <w:right w:w="108" w:type="dxa"/>
            </w:tcMar>
            <w:hideMark/>
          </w:tcPr>
          <w:p w14:paraId="48CEB289" w14:textId="77777777" w:rsidR="005E0F5F" w:rsidRPr="00157806" w:rsidRDefault="005E0F5F" w:rsidP="00203A8D">
            <w:pPr>
              <w:keepNext/>
              <w:spacing w:after="0" w:line="288" w:lineRule="auto"/>
              <w:jc w:val="center"/>
              <w:rPr>
                <w:rFonts w:ascii="Arial" w:eastAsia="Calibri" w:hAnsi="Arial" w:cs="Arial"/>
                <w:sz w:val="18"/>
                <w:szCs w:val="18"/>
              </w:rPr>
            </w:pPr>
            <w:r w:rsidRPr="00157806">
              <w:rPr>
                <w:rFonts w:ascii="Arial" w:eastAsia="Calibri" w:hAnsi="Arial" w:cs="Arial"/>
                <w:sz w:val="18"/>
                <w:szCs w:val="18"/>
              </w:rPr>
              <w:t>-0,3</w:t>
            </w:r>
          </w:p>
        </w:tc>
        <w:tc>
          <w:tcPr>
            <w:tcW w:w="706" w:type="dxa"/>
            <w:tcBorders>
              <w:top w:val="nil"/>
              <w:left w:val="nil"/>
              <w:bottom w:val="single" w:sz="8" w:space="0" w:color="auto"/>
              <w:right w:val="single" w:sz="8" w:space="0" w:color="auto"/>
            </w:tcBorders>
            <w:tcMar>
              <w:top w:w="0" w:type="dxa"/>
              <w:left w:w="108" w:type="dxa"/>
              <w:bottom w:w="0" w:type="dxa"/>
              <w:right w:w="108" w:type="dxa"/>
            </w:tcMar>
            <w:hideMark/>
          </w:tcPr>
          <w:p w14:paraId="3CA40743" w14:textId="77777777" w:rsidR="005E0F5F" w:rsidRPr="00157806" w:rsidRDefault="005E0F5F" w:rsidP="00203A8D">
            <w:pPr>
              <w:keepNext/>
              <w:spacing w:after="0" w:line="288" w:lineRule="auto"/>
              <w:jc w:val="center"/>
              <w:rPr>
                <w:rFonts w:ascii="Arial" w:eastAsia="Calibri" w:hAnsi="Arial" w:cs="Arial"/>
                <w:sz w:val="18"/>
                <w:szCs w:val="18"/>
              </w:rPr>
            </w:pPr>
            <w:r w:rsidRPr="00157806">
              <w:rPr>
                <w:rFonts w:ascii="Arial" w:eastAsia="Calibri" w:hAnsi="Arial" w:cs="Arial"/>
                <w:sz w:val="18"/>
                <w:szCs w:val="18"/>
              </w:rPr>
              <w:t>1,3</w:t>
            </w:r>
          </w:p>
        </w:tc>
      </w:tr>
    </w:tbl>
    <w:p w14:paraId="07412E10" w14:textId="77777777" w:rsidR="000F4178" w:rsidRPr="00157806" w:rsidRDefault="000F4178" w:rsidP="00831061">
      <w:pPr>
        <w:keepNext/>
        <w:spacing w:after="0" w:line="240" w:lineRule="auto"/>
        <w:rPr>
          <w:rFonts w:ascii="Arial" w:hAnsi="Arial" w:cs="Arial"/>
          <w:sz w:val="20"/>
          <w:szCs w:val="20"/>
        </w:rPr>
      </w:pPr>
      <w:r w:rsidRPr="00157806">
        <w:rPr>
          <w:rFonts w:ascii="Arial" w:hAnsi="Arial" w:cs="Arial"/>
          <w:sz w:val="20"/>
          <w:szCs w:val="20"/>
        </w:rPr>
        <w:t xml:space="preserve">Vir: UMAR, Ministrstvo za finance. </w:t>
      </w:r>
    </w:p>
    <w:bookmarkEnd w:id="16"/>
    <w:p w14:paraId="667B05AB" w14:textId="77777777" w:rsidR="00E4660B" w:rsidRDefault="00E4660B" w:rsidP="00F4228C">
      <w:pPr>
        <w:jc w:val="both"/>
        <w:rPr>
          <w:rFonts w:ascii="Arial" w:hAnsi="Arial" w:cs="Arial"/>
        </w:rPr>
      </w:pPr>
    </w:p>
    <w:p w14:paraId="7FCA6E12" w14:textId="2BCACF59" w:rsidR="00F4228C" w:rsidRDefault="00F4228C" w:rsidP="00F4228C">
      <w:pPr>
        <w:jc w:val="both"/>
        <w:rPr>
          <w:rFonts w:ascii="Arial" w:hAnsi="Arial" w:cs="Arial"/>
        </w:rPr>
      </w:pPr>
      <w:r>
        <w:rPr>
          <w:rFonts w:ascii="Arial" w:hAnsi="Arial" w:cs="Arial"/>
        </w:rPr>
        <w:t>Na sliki 1</w:t>
      </w:r>
      <w:r w:rsidR="0032268A">
        <w:rPr>
          <w:rFonts w:ascii="Arial" w:hAnsi="Arial" w:cs="Arial"/>
        </w:rPr>
        <w:t>2</w:t>
      </w:r>
      <w:r>
        <w:rPr>
          <w:rFonts w:ascii="Arial" w:hAnsi="Arial" w:cs="Arial"/>
        </w:rPr>
        <w:t xml:space="preserve"> je prikazano gibanje strukturnega in strukturnega primarnega </w:t>
      </w:r>
      <w:r w:rsidR="00986B70">
        <w:rPr>
          <w:rFonts w:ascii="Arial" w:hAnsi="Arial" w:cs="Arial"/>
        </w:rPr>
        <w:t xml:space="preserve">salda (strukturni saldo brez izdatkov za obresti). </w:t>
      </w:r>
      <w:r w:rsidR="00986B70" w:rsidRPr="00157806">
        <w:rPr>
          <w:rFonts w:ascii="Arial" w:hAnsi="Arial" w:cs="Arial"/>
        </w:rPr>
        <w:t>Predvidena postopna javnofinančna konsolidacija zagotavlja fiskalni napor</w:t>
      </w:r>
      <w:r w:rsidR="00986B70">
        <w:rPr>
          <w:rFonts w:ascii="Arial" w:hAnsi="Arial" w:cs="Arial"/>
        </w:rPr>
        <w:t xml:space="preserve"> (</w:t>
      </w:r>
      <w:r w:rsidR="00986B70" w:rsidRPr="00E64BC4">
        <w:rPr>
          <w:rFonts w:ascii="Arial" w:hAnsi="Arial" w:cs="Arial"/>
        </w:rPr>
        <w:t>medletna razlika v strukturnem saldu</w:t>
      </w:r>
      <w:r w:rsidR="00986B70">
        <w:rPr>
          <w:rFonts w:ascii="Arial" w:hAnsi="Arial" w:cs="Arial"/>
        </w:rPr>
        <w:t>),</w:t>
      </w:r>
      <w:r>
        <w:rPr>
          <w:rFonts w:ascii="Arial" w:hAnsi="Arial" w:cs="Arial"/>
        </w:rPr>
        <w:t xml:space="preserve"> ki je skladen z zahtevami veljavnih fiskalnih pravil</w:t>
      </w:r>
      <w:r w:rsidRPr="00157806">
        <w:rPr>
          <w:rFonts w:ascii="Arial" w:hAnsi="Arial" w:cs="Arial"/>
        </w:rPr>
        <w:t xml:space="preserve">. V letu 2024 dosežemo fiskalni napor v višini 1.3 o.t. </w:t>
      </w:r>
      <w:r>
        <w:rPr>
          <w:rFonts w:ascii="Arial" w:hAnsi="Arial" w:cs="Arial"/>
        </w:rPr>
        <w:t xml:space="preserve">potencialnega BDP. Iz vidika javnofinančne vzdržnosti je pomembno </w:t>
      </w:r>
      <w:r w:rsidR="00986B70">
        <w:rPr>
          <w:rFonts w:ascii="Arial" w:hAnsi="Arial" w:cs="Arial"/>
        </w:rPr>
        <w:t xml:space="preserve">tudi </w:t>
      </w:r>
      <w:r>
        <w:rPr>
          <w:rFonts w:ascii="Arial" w:hAnsi="Arial" w:cs="Arial"/>
        </w:rPr>
        <w:t>spremljanje strukturnega primarnega salda, ki je ocenjen za leto 2024 v višini 1,6 % potencialnega BDP.</w:t>
      </w:r>
    </w:p>
    <w:p w14:paraId="06550CB2" w14:textId="3E7734C8" w:rsidR="00786217" w:rsidRPr="00157806" w:rsidRDefault="00786217" w:rsidP="00786217">
      <w:pPr>
        <w:keepNext/>
        <w:keepLines/>
        <w:autoSpaceDE w:val="0"/>
        <w:autoSpaceDN w:val="0"/>
        <w:adjustRightInd w:val="0"/>
        <w:spacing w:after="120" w:line="240" w:lineRule="auto"/>
        <w:jc w:val="both"/>
        <w:rPr>
          <w:rFonts w:ascii="Arial" w:hAnsi="Arial" w:cs="Arial"/>
        </w:rPr>
      </w:pPr>
      <w:r w:rsidRPr="00157806">
        <w:rPr>
          <w:rFonts w:ascii="Arial" w:hAnsi="Arial" w:cs="Arial"/>
        </w:rPr>
        <w:lastRenderedPageBreak/>
        <w:t xml:space="preserve">Slika </w:t>
      </w:r>
      <w:r w:rsidRPr="00157806">
        <w:rPr>
          <w:rFonts w:ascii="Arial" w:hAnsi="Arial" w:cs="Arial"/>
        </w:rPr>
        <w:fldChar w:fldCharType="begin"/>
      </w:r>
      <w:r w:rsidRPr="00157806">
        <w:rPr>
          <w:rFonts w:ascii="Arial" w:hAnsi="Arial" w:cs="Arial"/>
        </w:rPr>
        <w:instrText xml:space="preserve"> SEQ Slika \* ARABIC </w:instrText>
      </w:r>
      <w:r w:rsidRPr="00157806">
        <w:rPr>
          <w:rFonts w:ascii="Arial" w:hAnsi="Arial" w:cs="Arial"/>
        </w:rPr>
        <w:fldChar w:fldCharType="separate"/>
      </w:r>
      <w:r w:rsidR="0032268A">
        <w:rPr>
          <w:rFonts w:ascii="Arial" w:hAnsi="Arial" w:cs="Arial"/>
          <w:noProof/>
        </w:rPr>
        <w:t>12</w:t>
      </w:r>
      <w:r w:rsidRPr="00157806">
        <w:rPr>
          <w:rFonts w:ascii="Arial" w:hAnsi="Arial" w:cs="Arial"/>
        </w:rPr>
        <w:fldChar w:fldCharType="end"/>
      </w:r>
      <w:r w:rsidRPr="00157806">
        <w:rPr>
          <w:rFonts w:ascii="Arial" w:hAnsi="Arial" w:cs="Arial"/>
        </w:rPr>
        <w:t xml:space="preserve">: </w:t>
      </w:r>
      <w:r>
        <w:rPr>
          <w:rFonts w:ascii="Arial" w:hAnsi="Arial" w:cs="Arial"/>
        </w:rPr>
        <w:t>Gibanje strukturnega salda in primarnega strukturnega salda v % potencialnega BDP ter f</w:t>
      </w:r>
      <w:r w:rsidRPr="002F1F13">
        <w:rPr>
          <w:rFonts w:ascii="Arial" w:hAnsi="Arial" w:cs="Arial"/>
        </w:rPr>
        <w:t xml:space="preserve">iskalnega napor v </w:t>
      </w:r>
      <w:r w:rsidR="00696847">
        <w:rPr>
          <w:rFonts w:ascii="Arial" w:hAnsi="Arial" w:cs="Arial"/>
        </w:rPr>
        <w:t>o.t.</w:t>
      </w:r>
      <w:r w:rsidRPr="002F1F13">
        <w:rPr>
          <w:rFonts w:ascii="Arial" w:hAnsi="Arial" w:cs="Arial"/>
        </w:rPr>
        <w:t xml:space="preserve"> potencialnega BDP</w:t>
      </w:r>
      <w:r w:rsidR="00696847">
        <w:rPr>
          <w:rFonts w:ascii="Arial" w:hAnsi="Arial" w:cs="Arial"/>
        </w:rPr>
        <w:t xml:space="preserve"> (pBDP)</w:t>
      </w:r>
    </w:p>
    <w:p w14:paraId="07D4AA9C" w14:textId="77777777" w:rsidR="00786217" w:rsidRDefault="00786217" w:rsidP="00786217">
      <w:pPr>
        <w:spacing w:after="0"/>
        <w:jc w:val="both"/>
        <w:rPr>
          <w:rFonts w:ascii="Arial" w:hAnsi="Arial" w:cs="Arial"/>
        </w:rPr>
      </w:pPr>
      <w:r>
        <w:rPr>
          <w:noProof/>
        </w:rPr>
        <w:drawing>
          <wp:inline distT="0" distB="0" distL="0" distR="0" wp14:anchorId="042F87BF" wp14:editId="25154B38">
            <wp:extent cx="5179326" cy="3268639"/>
            <wp:effectExtent l="0" t="0" r="2540" b="8255"/>
            <wp:docPr id="30" name="Chart 30">
              <a:extLst xmlns:a="http://schemas.openxmlformats.org/drawingml/2006/main">
                <a:ext uri="{FF2B5EF4-FFF2-40B4-BE49-F238E27FC236}">
                  <a16:creationId xmlns:a16="http://schemas.microsoft.com/office/drawing/2014/main" id="{AA93A22B-3130-DBE0-F16E-A3CAC63E6FB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04A1E104" w14:textId="77777777" w:rsidR="00786217" w:rsidRPr="00ED2986" w:rsidRDefault="00786217" w:rsidP="00786217">
      <w:pPr>
        <w:spacing w:after="0"/>
        <w:jc w:val="both"/>
        <w:rPr>
          <w:rFonts w:ascii="Arial" w:hAnsi="Arial" w:cs="Arial"/>
          <w:sz w:val="20"/>
          <w:szCs w:val="20"/>
        </w:rPr>
      </w:pPr>
      <w:r w:rsidRPr="00ED2986">
        <w:rPr>
          <w:rFonts w:ascii="Arial" w:hAnsi="Arial" w:cs="Arial"/>
          <w:sz w:val="20"/>
          <w:szCs w:val="20"/>
        </w:rPr>
        <w:t>Vir: Ministrstvo za finance, 2023.</w:t>
      </w:r>
    </w:p>
    <w:p w14:paraId="51420EB9" w14:textId="77777777" w:rsidR="00786217" w:rsidRDefault="00786217" w:rsidP="00786217">
      <w:pPr>
        <w:keepNext/>
        <w:keepLines/>
        <w:autoSpaceDE w:val="0"/>
        <w:autoSpaceDN w:val="0"/>
        <w:adjustRightInd w:val="0"/>
        <w:spacing w:after="120" w:line="240" w:lineRule="auto"/>
        <w:jc w:val="both"/>
        <w:rPr>
          <w:rFonts w:ascii="Arial" w:hAnsi="Arial" w:cs="Arial"/>
        </w:rPr>
      </w:pPr>
    </w:p>
    <w:p w14:paraId="240E14B5" w14:textId="759B7248" w:rsidR="00F4228C" w:rsidRDefault="00F4228C" w:rsidP="00F4228C">
      <w:pPr>
        <w:spacing w:line="288" w:lineRule="auto"/>
        <w:jc w:val="both"/>
        <w:rPr>
          <w:rFonts w:ascii="Arial" w:hAnsi="Arial" w:cs="Arial"/>
        </w:rPr>
      </w:pPr>
      <w:r>
        <w:rPr>
          <w:rFonts w:ascii="Arial" w:hAnsi="Arial" w:cs="Arial"/>
          <w:color w:val="000000"/>
          <w:shd w:val="clear" w:color="auto" w:fill="FFFFFF"/>
          <w:lang w:eastAsia="sl-SI"/>
        </w:rPr>
        <w:t xml:space="preserve">Za oceno primerne rasti izdatkov po pravilih Pakta za stabilnost in rast se od vseh izdatkov odštejejo izdatki za obresti, ciklična komponenta nadomestil za brezposelnost in izdatki za programe EU, </w:t>
      </w:r>
      <w:r w:rsidRPr="003C74DA">
        <w:rPr>
          <w:rFonts w:ascii="Arial" w:hAnsi="Arial" w:cs="Arial"/>
          <w:color w:val="000000"/>
          <w:shd w:val="clear" w:color="auto" w:fill="FFFFFF"/>
          <w:lang w:eastAsia="sl-SI"/>
        </w:rPr>
        <w:t>ki so popolnoma usklajeni s prihodki sredstev EU</w:t>
      </w:r>
      <w:r>
        <w:rPr>
          <w:rFonts w:ascii="Arial" w:hAnsi="Arial" w:cs="Arial"/>
          <w:color w:val="000000"/>
          <w:shd w:val="clear" w:color="auto" w:fill="FFFFFF"/>
          <w:lang w:eastAsia="sl-SI"/>
        </w:rPr>
        <w:t xml:space="preserve"> (očiščeni izdatki). Pri tem se upošteva štiriletno povprečje izdatkov za investicije, ki ne vključujejo prejetih sredstev iz EU za investicije.</w:t>
      </w:r>
      <w:r w:rsidR="00970411">
        <w:rPr>
          <w:rFonts w:ascii="Arial" w:hAnsi="Arial" w:cs="Arial"/>
          <w:color w:val="000000"/>
          <w:shd w:val="clear" w:color="auto" w:fill="FFFFFF"/>
          <w:lang w:eastAsia="sl-SI"/>
        </w:rPr>
        <w:t xml:space="preserve"> F</w:t>
      </w:r>
      <w:r>
        <w:rPr>
          <w:rFonts w:ascii="Arial" w:hAnsi="Arial" w:cs="Arial"/>
          <w:color w:val="000000"/>
          <w:shd w:val="clear" w:color="auto" w:fill="FFFFFF"/>
          <w:lang w:eastAsia="sl-SI"/>
        </w:rPr>
        <w:t xml:space="preserve">iskalni položaj se </w:t>
      </w:r>
      <w:r w:rsidR="00970411">
        <w:rPr>
          <w:rFonts w:ascii="Arial" w:hAnsi="Arial" w:cs="Arial"/>
          <w:color w:val="000000"/>
          <w:shd w:val="clear" w:color="auto" w:fill="FFFFFF"/>
          <w:lang w:eastAsia="sl-SI"/>
        </w:rPr>
        <w:t>opredeljuje</w:t>
      </w:r>
      <w:r>
        <w:rPr>
          <w:rFonts w:ascii="Arial" w:hAnsi="Arial" w:cs="Arial"/>
          <w:color w:val="000000"/>
          <w:shd w:val="clear" w:color="auto" w:fill="FFFFFF"/>
          <w:lang w:eastAsia="sl-SI"/>
        </w:rPr>
        <w:t xml:space="preserve"> tudi z </w:t>
      </w:r>
      <w:r w:rsidR="00737593">
        <w:rPr>
          <w:rFonts w:ascii="Arial" w:hAnsi="Arial" w:cs="Arial"/>
          <w:color w:val="000000"/>
          <w:shd w:val="clear" w:color="auto" w:fill="FFFFFF"/>
          <w:lang w:eastAsia="sl-SI"/>
        </w:rPr>
        <w:t>nominalno</w:t>
      </w:r>
      <w:r>
        <w:rPr>
          <w:rFonts w:ascii="Arial" w:hAnsi="Arial" w:cs="Arial"/>
          <w:color w:val="000000"/>
          <w:shd w:val="clear" w:color="auto" w:fill="FFFFFF"/>
          <w:lang w:eastAsia="sl-SI"/>
        </w:rPr>
        <w:t xml:space="preserve"> rastjo nacionalno financiranih </w:t>
      </w:r>
      <w:r w:rsidR="00FA78BA">
        <w:rPr>
          <w:rFonts w:ascii="Arial" w:hAnsi="Arial" w:cs="Arial"/>
          <w:color w:val="000000"/>
          <w:shd w:val="clear" w:color="auto" w:fill="FFFFFF"/>
          <w:lang w:eastAsia="sl-SI"/>
        </w:rPr>
        <w:t>neto</w:t>
      </w:r>
      <w:r>
        <w:rPr>
          <w:rFonts w:ascii="Arial" w:hAnsi="Arial" w:cs="Arial"/>
          <w:color w:val="000000"/>
          <w:shd w:val="clear" w:color="auto" w:fill="FFFFFF"/>
          <w:lang w:eastAsia="sl-SI"/>
        </w:rPr>
        <w:t xml:space="preserve"> primarnih izdatkov (</w:t>
      </w:r>
      <w:r>
        <w:rPr>
          <w:rFonts w:ascii="Arial" w:hAnsi="Arial" w:cs="Arial"/>
          <w:lang w:eastAsia="en-GB"/>
        </w:rPr>
        <w:t>izdatki brez izdatkov za obresti, cikličnih izdatkov za brezposelnost, EU sredstev, enkratnih izdatkov in prihodkov ter upoštevajoč vpliv diskrecijskih ukrepov</w:t>
      </w:r>
      <w:r w:rsidR="00043916">
        <w:rPr>
          <w:rStyle w:val="FootnoteReference"/>
          <w:rFonts w:ascii="Arial" w:hAnsi="Arial" w:cs="Arial"/>
          <w:lang w:eastAsia="en-GB"/>
        </w:rPr>
        <w:footnoteReference w:id="17"/>
      </w:r>
      <w:r>
        <w:rPr>
          <w:rFonts w:ascii="Arial" w:hAnsi="Arial" w:cs="Arial"/>
          <w:lang w:eastAsia="en-GB"/>
        </w:rPr>
        <w:t xml:space="preserve"> </w:t>
      </w:r>
      <w:r>
        <w:rPr>
          <w:rFonts w:ascii="Arial" w:hAnsi="Arial" w:cs="Arial"/>
          <w:color w:val="000000"/>
          <w:shd w:val="clear" w:color="auto" w:fill="FFFFFF"/>
          <w:lang w:eastAsia="sl-SI"/>
        </w:rPr>
        <w:t xml:space="preserve">na prihodkovni strani). V letu 2024 sta obe rasti pod srednjeročno nominalno rastjo potencialnega BDP. V letu 2024 je rast nacionalno financiranih </w:t>
      </w:r>
      <w:r w:rsidR="00FA78BA">
        <w:rPr>
          <w:rFonts w:ascii="Arial" w:hAnsi="Arial" w:cs="Arial"/>
          <w:color w:val="000000"/>
          <w:shd w:val="clear" w:color="auto" w:fill="FFFFFF"/>
          <w:lang w:eastAsia="sl-SI"/>
        </w:rPr>
        <w:t>neto</w:t>
      </w:r>
      <w:r>
        <w:rPr>
          <w:rFonts w:ascii="Arial" w:hAnsi="Arial" w:cs="Arial"/>
          <w:color w:val="000000"/>
          <w:shd w:val="clear" w:color="auto" w:fill="FFFFFF"/>
          <w:lang w:eastAsia="sl-SI"/>
        </w:rPr>
        <w:t xml:space="preserve"> primarnih izdatkov </w:t>
      </w:r>
      <w:r w:rsidR="00043916">
        <w:rPr>
          <w:rFonts w:ascii="Arial" w:hAnsi="Arial" w:cs="Arial"/>
          <w:color w:val="000000"/>
          <w:shd w:val="clear" w:color="auto" w:fill="FFFFFF"/>
          <w:lang w:eastAsia="sl-SI"/>
        </w:rPr>
        <w:t>pod</w:t>
      </w:r>
      <w:r>
        <w:rPr>
          <w:rFonts w:ascii="Arial" w:hAnsi="Arial" w:cs="Arial"/>
          <w:color w:val="000000"/>
          <w:shd w:val="clear" w:color="auto" w:fill="FFFFFF"/>
          <w:lang w:eastAsia="sl-SI"/>
        </w:rPr>
        <w:t xml:space="preserve"> priporočano rastjo 5,5</w:t>
      </w:r>
      <w:r w:rsidR="00C43285">
        <w:rPr>
          <w:rStyle w:val="FootnoteReference"/>
          <w:rFonts w:ascii="Arial" w:hAnsi="Arial" w:cs="Arial"/>
          <w:color w:val="000000"/>
          <w:shd w:val="clear" w:color="auto" w:fill="FFFFFF"/>
          <w:lang w:eastAsia="sl-SI"/>
        </w:rPr>
        <w:footnoteReference w:id="18"/>
      </w:r>
      <w:r>
        <w:rPr>
          <w:rFonts w:ascii="Arial" w:hAnsi="Arial" w:cs="Arial"/>
          <w:color w:val="000000"/>
          <w:shd w:val="clear" w:color="auto" w:fill="FFFFFF"/>
          <w:lang w:eastAsia="sl-SI"/>
        </w:rPr>
        <w:t xml:space="preserve"> %</w:t>
      </w:r>
      <w:r w:rsidR="00C43285">
        <w:rPr>
          <w:rFonts w:ascii="Arial" w:hAnsi="Arial" w:cs="Arial"/>
          <w:color w:val="000000"/>
          <w:shd w:val="clear" w:color="auto" w:fill="FFFFFF"/>
          <w:lang w:eastAsia="sl-SI"/>
        </w:rPr>
        <w:t xml:space="preserve"> </w:t>
      </w:r>
      <w:r w:rsidR="00043916">
        <w:rPr>
          <w:rFonts w:ascii="Arial" w:hAnsi="Arial" w:cs="Arial"/>
          <w:color w:val="000000"/>
          <w:shd w:val="clear" w:color="auto" w:fill="FFFFFF"/>
          <w:lang w:eastAsia="sl-SI"/>
        </w:rPr>
        <w:t xml:space="preserve">in znaša 2,3 % </w:t>
      </w:r>
      <w:r w:rsidR="00E766C2" w:rsidRPr="00F36B53">
        <w:rPr>
          <w:rFonts w:ascii="Arial" w:hAnsi="Arial" w:cs="Arial"/>
          <w:shd w:val="clear" w:color="auto" w:fill="FFFFFF"/>
          <w:lang w:eastAsia="sl-SI"/>
        </w:rPr>
        <w:t>(</w:t>
      </w:r>
      <w:r w:rsidR="00043916">
        <w:rPr>
          <w:rFonts w:ascii="Arial" w:hAnsi="Arial" w:cs="Arial"/>
          <w:shd w:val="clear" w:color="auto" w:fill="FFFFFF"/>
          <w:lang w:eastAsia="sl-SI"/>
        </w:rPr>
        <w:t>Slika 1</w:t>
      </w:r>
      <w:r w:rsidR="0032268A">
        <w:rPr>
          <w:rFonts w:ascii="Arial" w:hAnsi="Arial" w:cs="Arial"/>
          <w:shd w:val="clear" w:color="auto" w:fill="FFFFFF"/>
          <w:lang w:eastAsia="sl-SI"/>
        </w:rPr>
        <w:t>3</w:t>
      </w:r>
      <w:r w:rsidR="00E766C2" w:rsidRPr="00F36B53">
        <w:rPr>
          <w:rFonts w:ascii="Arial" w:hAnsi="Arial" w:cs="Arial"/>
          <w:shd w:val="clear" w:color="auto" w:fill="FFFFFF"/>
          <w:lang w:eastAsia="sl-SI"/>
        </w:rPr>
        <w:t>).</w:t>
      </w:r>
      <w:r>
        <w:rPr>
          <w:rFonts w:ascii="Arial" w:hAnsi="Arial" w:cs="Arial"/>
          <w:color w:val="000000"/>
          <w:shd w:val="clear" w:color="auto" w:fill="FFFFFF"/>
          <w:lang w:eastAsia="sl-SI"/>
        </w:rPr>
        <w:t xml:space="preserve"> </w:t>
      </w:r>
    </w:p>
    <w:p w14:paraId="5DFEE087" w14:textId="47189B9B" w:rsidR="00786217" w:rsidRPr="00157806" w:rsidRDefault="00786217" w:rsidP="00C27E54">
      <w:pPr>
        <w:keepNext/>
        <w:keepLines/>
        <w:autoSpaceDE w:val="0"/>
        <w:autoSpaceDN w:val="0"/>
        <w:adjustRightInd w:val="0"/>
        <w:spacing w:after="0" w:line="240" w:lineRule="auto"/>
        <w:jc w:val="both"/>
        <w:rPr>
          <w:rFonts w:ascii="Arial" w:hAnsi="Arial" w:cs="Arial"/>
        </w:rPr>
      </w:pPr>
      <w:r w:rsidRPr="00157806">
        <w:rPr>
          <w:rFonts w:ascii="Arial" w:hAnsi="Arial" w:cs="Arial"/>
        </w:rPr>
        <w:lastRenderedPageBreak/>
        <w:t xml:space="preserve">Slika </w:t>
      </w:r>
      <w:r w:rsidRPr="00157806">
        <w:rPr>
          <w:rFonts w:ascii="Arial" w:hAnsi="Arial" w:cs="Arial"/>
        </w:rPr>
        <w:fldChar w:fldCharType="begin"/>
      </w:r>
      <w:r w:rsidRPr="00157806">
        <w:rPr>
          <w:rFonts w:ascii="Arial" w:hAnsi="Arial" w:cs="Arial"/>
        </w:rPr>
        <w:instrText xml:space="preserve"> SEQ Slika \* ARABIC </w:instrText>
      </w:r>
      <w:r w:rsidRPr="00157806">
        <w:rPr>
          <w:rFonts w:ascii="Arial" w:hAnsi="Arial" w:cs="Arial"/>
        </w:rPr>
        <w:fldChar w:fldCharType="separate"/>
      </w:r>
      <w:r w:rsidR="0032268A">
        <w:rPr>
          <w:rFonts w:ascii="Arial" w:hAnsi="Arial" w:cs="Arial"/>
          <w:noProof/>
        </w:rPr>
        <w:t>13</w:t>
      </w:r>
      <w:r w:rsidRPr="00157806">
        <w:rPr>
          <w:rFonts w:ascii="Arial" w:hAnsi="Arial" w:cs="Arial"/>
        </w:rPr>
        <w:fldChar w:fldCharType="end"/>
      </w:r>
      <w:r w:rsidRPr="00157806">
        <w:rPr>
          <w:rFonts w:ascii="Arial" w:hAnsi="Arial" w:cs="Arial"/>
        </w:rPr>
        <w:t xml:space="preserve">: </w:t>
      </w:r>
      <w:r w:rsidRPr="006B64C3">
        <w:rPr>
          <w:rFonts w:ascii="Arial" w:hAnsi="Arial" w:cs="Arial"/>
        </w:rPr>
        <w:t xml:space="preserve">Ocena </w:t>
      </w:r>
      <w:r>
        <w:rPr>
          <w:rFonts w:ascii="Arial" w:hAnsi="Arial" w:cs="Arial"/>
        </w:rPr>
        <w:t xml:space="preserve">rasti izdatkov po merilu rasti EU in rast nacionalno financiranih </w:t>
      </w:r>
      <w:r w:rsidR="00FA78BA">
        <w:rPr>
          <w:rFonts w:ascii="Arial" w:hAnsi="Arial" w:cs="Arial"/>
        </w:rPr>
        <w:t>neto</w:t>
      </w:r>
      <w:r>
        <w:rPr>
          <w:rFonts w:ascii="Arial" w:hAnsi="Arial" w:cs="Arial"/>
        </w:rPr>
        <w:t xml:space="preserve"> primarnih izdatkov </w:t>
      </w:r>
    </w:p>
    <w:p w14:paraId="15F88212" w14:textId="021FA378" w:rsidR="00786217" w:rsidRPr="00157806" w:rsidRDefault="00043916" w:rsidP="00786217">
      <w:pPr>
        <w:spacing w:after="0"/>
        <w:jc w:val="both"/>
        <w:rPr>
          <w:rFonts w:ascii="Arial" w:hAnsi="Arial" w:cs="Arial"/>
        </w:rPr>
      </w:pPr>
      <w:r>
        <w:rPr>
          <w:noProof/>
        </w:rPr>
        <w:drawing>
          <wp:inline distT="0" distB="0" distL="0" distR="0" wp14:anchorId="12CED750" wp14:editId="7EDD8AB4">
            <wp:extent cx="5124450" cy="2524125"/>
            <wp:effectExtent l="0" t="0" r="0" b="0"/>
            <wp:docPr id="17" name="Chart 17">
              <a:extLst xmlns:a="http://schemas.openxmlformats.org/drawingml/2006/main">
                <a:ext uri="{FF2B5EF4-FFF2-40B4-BE49-F238E27FC236}">
                  <a16:creationId xmlns:a16="http://schemas.microsoft.com/office/drawing/2014/main" id="{EDB9CC3F-14B6-6EA8-A674-CE5407698A4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79A2BD02" w14:textId="77777777" w:rsidR="00786217" w:rsidRPr="00ED2986" w:rsidRDefault="00786217" w:rsidP="00786217">
      <w:pPr>
        <w:spacing w:after="0"/>
        <w:jc w:val="both"/>
        <w:rPr>
          <w:rFonts w:ascii="Arial" w:hAnsi="Arial" w:cs="Arial"/>
          <w:sz w:val="20"/>
          <w:szCs w:val="20"/>
        </w:rPr>
      </w:pPr>
      <w:r w:rsidRPr="00ED2986">
        <w:rPr>
          <w:rFonts w:ascii="Arial" w:hAnsi="Arial" w:cs="Arial"/>
          <w:sz w:val="20"/>
          <w:szCs w:val="20"/>
        </w:rPr>
        <w:t>Vir: Ministrstvo za finance, 2023.</w:t>
      </w:r>
    </w:p>
    <w:p w14:paraId="59A32DC2" w14:textId="77777777" w:rsidR="00786217" w:rsidRDefault="00786217" w:rsidP="00622B54">
      <w:pPr>
        <w:rPr>
          <w:rFonts w:ascii="Arial" w:hAnsi="Arial" w:cs="Arial"/>
          <w:b/>
          <w:bCs/>
          <w:u w:val="single"/>
        </w:rPr>
      </w:pPr>
    </w:p>
    <w:p w14:paraId="5E2A04E0" w14:textId="6B8F8193" w:rsidR="000465F8" w:rsidRPr="00BF5E82" w:rsidRDefault="000465F8" w:rsidP="00622B54">
      <w:pPr>
        <w:rPr>
          <w:rFonts w:ascii="Arial" w:hAnsi="Arial" w:cs="Arial"/>
          <w:b/>
          <w:bCs/>
          <w:u w:val="single"/>
        </w:rPr>
      </w:pPr>
      <w:r w:rsidRPr="000465F8">
        <w:rPr>
          <w:rFonts w:ascii="Arial" w:hAnsi="Arial" w:cs="Arial"/>
          <w:b/>
          <w:bCs/>
          <w:u w:val="single"/>
        </w:rPr>
        <w:t xml:space="preserve">Avtomatski </w:t>
      </w:r>
      <w:r w:rsidRPr="00BF5E82">
        <w:rPr>
          <w:rFonts w:ascii="Arial" w:hAnsi="Arial" w:cs="Arial"/>
          <w:b/>
          <w:bCs/>
          <w:u w:val="single"/>
        </w:rPr>
        <w:t>stabilizatorji</w:t>
      </w:r>
    </w:p>
    <w:p w14:paraId="707BDD5B" w14:textId="77777777" w:rsidR="00BF5E82" w:rsidRPr="00BF5E82" w:rsidRDefault="00BF5E82" w:rsidP="00BF5E82">
      <w:pPr>
        <w:jc w:val="both"/>
        <w:rPr>
          <w:rFonts w:ascii="Arial" w:hAnsi="Arial" w:cs="Arial"/>
        </w:rPr>
      </w:pPr>
      <w:r w:rsidRPr="00BF5E82">
        <w:rPr>
          <w:rFonts w:ascii="Arial" w:hAnsi="Arial" w:cs="Arial"/>
        </w:rPr>
        <w:t>Avtomatski stabilizatorji samodejno prilagajajo transferna plačila na način, ki naj bi uravnal dohodke in potrošnjo v poslovnem ciklu. Med avtomatske stabilizatorje se v okviru ESA metodologije štejejo transferi nezaposlenim, družinski prejemki in starševska nadomestila, transferi za zagotavljanje socialne varnosti ter subvencioniranje stanarin.</w:t>
      </w:r>
    </w:p>
    <w:p w14:paraId="5AE7E272" w14:textId="31748FAF" w:rsidR="00BF5E82" w:rsidRPr="00BF5E82" w:rsidRDefault="00BF5E82" w:rsidP="00BF5E82">
      <w:pPr>
        <w:jc w:val="both"/>
        <w:rPr>
          <w:rFonts w:ascii="Arial" w:hAnsi="Arial" w:cs="Arial"/>
        </w:rPr>
      </w:pPr>
      <w:r w:rsidRPr="00BF5E82">
        <w:rPr>
          <w:rFonts w:ascii="Arial" w:hAnsi="Arial" w:cs="Arial"/>
        </w:rPr>
        <w:t>Pred COVID-19 in energetsko krizo so avtomatski stabilizatorji v letu 2019 znašali okoli 2,3 % BDP. V letu 202</w:t>
      </w:r>
      <w:r w:rsidR="00461457">
        <w:rPr>
          <w:rFonts w:ascii="Arial" w:hAnsi="Arial" w:cs="Arial"/>
        </w:rPr>
        <w:t>3</w:t>
      </w:r>
      <w:r w:rsidRPr="00BF5E82">
        <w:rPr>
          <w:rFonts w:ascii="Arial" w:hAnsi="Arial" w:cs="Arial"/>
        </w:rPr>
        <w:t xml:space="preserve"> </w:t>
      </w:r>
      <w:r w:rsidR="0059326C">
        <w:rPr>
          <w:rFonts w:ascii="Arial" w:hAnsi="Arial" w:cs="Arial"/>
        </w:rPr>
        <w:t xml:space="preserve">se bodo </w:t>
      </w:r>
      <w:r w:rsidRPr="00BF5E82">
        <w:rPr>
          <w:rFonts w:ascii="Arial" w:hAnsi="Arial" w:cs="Arial"/>
        </w:rPr>
        <w:t xml:space="preserve">avtomatski stabilizatorji v primerjavi z letom 2019 </w:t>
      </w:r>
      <w:r w:rsidR="0059326C">
        <w:rPr>
          <w:rFonts w:ascii="Arial" w:hAnsi="Arial" w:cs="Arial"/>
        </w:rPr>
        <w:t xml:space="preserve">predvidoma </w:t>
      </w:r>
      <w:r w:rsidRPr="00BF5E82">
        <w:rPr>
          <w:rFonts w:ascii="Arial" w:hAnsi="Arial" w:cs="Arial"/>
        </w:rPr>
        <w:t>povečali za okoli 0,</w:t>
      </w:r>
      <w:r w:rsidR="00461457">
        <w:rPr>
          <w:rFonts w:ascii="Arial" w:hAnsi="Arial" w:cs="Arial"/>
        </w:rPr>
        <w:t>5</w:t>
      </w:r>
      <w:r w:rsidRPr="00BF5E82">
        <w:rPr>
          <w:rFonts w:ascii="Arial" w:hAnsi="Arial" w:cs="Arial"/>
        </w:rPr>
        <w:t xml:space="preserve"> </w:t>
      </w:r>
      <w:r w:rsidR="00461457">
        <w:rPr>
          <w:rFonts w:ascii="Arial" w:hAnsi="Arial" w:cs="Arial"/>
        </w:rPr>
        <w:t>%</w:t>
      </w:r>
      <w:r w:rsidRPr="00BF5E82">
        <w:rPr>
          <w:rFonts w:ascii="Arial" w:hAnsi="Arial" w:cs="Arial"/>
        </w:rPr>
        <w:t>, ukrepi s področja COVID-19 se iztekajo, še vedno pa veljajo ukrepi povezani z draginjo</w:t>
      </w:r>
      <w:r w:rsidR="008A0FF3">
        <w:rPr>
          <w:rStyle w:val="FootnoteReference"/>
          <w:rFonts w:ascii="Arial" w:hAnsi="Arial" w:cs="Arial"/>
        </w:rPr>
        <w:footnoteReference w:id="19"/>
      </w:r>
      <w:r w:rsidRPr="00BF5E82">
        <w:rPr>
          <w:rFonts w:ascii="Arial" w:hAnsi="Arial" w:cs="Arial"/>
        </w:rPr>
        <w:t xml:space="preserve">. Do konca </w:t>
      </w:r>
      <w:r w:rsidR="0059326C">
        <w:rPr>
          <w:rFonts w:ascii="Arial" w:hAnsi="Arial" w:cs="Arial"/>
        </w:rPr>
        <w:t>2024</w:t>
      </w:r>
      <w:r w:rsidRPr="00BF5E82">
        <w:rPr>
          <w:rFonts w:ascii="Arial" w:hAnsi="Arial" w:cs="Arial"/>
        </w:rPr>
        <w:t xml:space="preserve"> bodo avtomatski stabilizatorji za 0,6 %</w:t>
      </w:r>
      <w:r w:rsidR="00461457">
        <w:rPr>
          <w:rFonts w:ascii="Arial" w:hAnsi="Arial" w:cs="Arial"/>
        </w:rPr>
        <w:t xml:space="preserve"> višji</w:t>
      </w:r>
      <w:r w:rsidRPr="00BF5E82">
        <w:rPr>
          <w:rFonts w:ascii="Arial" w:hAnsi="Arial" w:cs="Arial"/>
        </w:rPr>
        <w:t xml:space="preserve"> kot v letu 2019, kar pripisujemo </w:t>
      </w:r>
      <w:r w:rsidR="00461457">
        <w:rPr>
          <w:rFonts w:ascii="Arial" w:hAnsi="Arial" w:cs="Arial"/>
        </w:rPr>
        <w:t xml:space="preserve">predvsem </w:t>
      </w:r>
      <w:r w:rsidRPr="00BF5E82">
        <w:rPr>
          <w:rFonts w:ascii="Arial" w:hAnsi="Arial" w:cs="Arial"/>
        </w:rPr>
        <w:t>velikemu vplivu inflacije na transfere in usklajevanje nadomestil. Nizka stopnja brezposelnosti in visoka raven zaposlenosti pa se odražata v manjših transferih nezaposlenim kot v letu 2019.</w:t>
      </w:r>
    </w:p>
    <w:p w14:paraId="4BEA8E1B" w14:textId="1A1EEC34" w:rsidR="003E1C29" w:rsidRPr="003E1C29" w:rsidRDefault="003E1C29" w:rsidP="003E1C29">
      <w:pPr>
        <w:pStyle w:val="Caption"/>
        <w:keepNext/>
        <w:ind w:left="0" w:firstLine="0"/>
        <w:rPr>
          <w:rFonts w:ascii="Arial" w:hAnsi="Arial" w:cs="Arial"/>
          <w:b w:val="0"/>
          <w:bCs/>
          <w:i w:val="0"/>
          <w:iCs/>
          <w:sz w:val="22"/>
          <w:szCs w:val="22"/>
        </w:rPr>
      </w:pPr>
      <w:r w:rsidRPr="003E1C29">
        <w:rPr>
          <w:rFonts w:ascii="Arial" w:hAnsi="Arial" w:cs="Arial"/>
          <w:b w:val="0"/>
          <w:bCs/>
          <w:i w:val="0"/>
          <w:iCs/>
          <w:sz w:val="22"/>
          <w:szCs w:val="22"/>
        </w:rPr>
        <w:lastRenderedPageBreak/>
        <w:t xml:space="preserve">Slika </w:t>
      </w:r>
      <w:r w:rsidRPr="003E1C29">
        <w:rPr>
          <w:rFonts w:ascii="Arial" w:hAnsi="Arial" w:cs="Arial"/>
          <w:b w:val="0"/>
          <w:bCs/>
          <w:i w:val="0"/>
          <w:iCs/>
          <w:sz w:val="22"/>
          <w:szCs w:val="22"/>
        </w:rPr>
        <w:fldChar w:fldCharType="begin"/>
      </w:r>
      <w:r w:rsidRPr="003E1C29">
        <w:rPr>
          <w:rFonts w:ascii="Arial" w:hAnsi="Arial" w:cs="Arial"/>
          <w:b w:val="0"/>
          <w:bCs/>
          <w:i w:val="0"/>
          <w:iCs/>
          <w:sz w:val="22"/>
          <w:szCs w:val="22"/>
        </w:rPr>
        <w:instrText xml:space="preserve"> SEQ Slika \* ARABIC </w:instrText>
      </w:r>
      <w:r w:rsidRPr="003E1C29">
        <w:rPr>
          <w:rFonts w:ascii="Arial" w:hAnsi="Arial" w:cs="Arial"/>
          <w:b w:val="0"/>
          <w:bCs/>
          <w:i w:val="0"/>
          <w:iCs/>
          <w:sz w:val="22"/>
          <w:szCs w:val="22"/>
        </w:rPr>
        <w:fldChar w:fldCharType="separate"/>
      </w:r>
      <w:r w:rsidR="0032268A">
        <w:rPr>
          <w:rFonts w:ascii="Arial" w:hAnsi="Arial" w:cs="Arial"/>
          <w:b w:val="0"/>
          <w:bCs/>
          <w:i w:val="0"/>
          <w:iCs/>
          <w:noProof/>
          <w:sz w:val="22"/>
          <w:szCs w:val="22"/>
        </w:rPr>
        <w:t>14</w:t>
      </w:r>
      <w:r w:rsidRPr="003E1C29">
        <w:rPr>
          <w:rFonts w:ascii="Arial" w:hAnsi="Arial" w:cs="Arial"/>
          <w:b w:val="0"/>
          <w:bCs/>
          <w:i w:val="0"/>
          <w:iCs/>
          <w:sz w:val="22"/>
          <w:szCs w:val="22"/>
        </w:rPr>
        <w:fldChar w:fldCharType="end"/>
      </w:r>
      <w:r w:rsidRPr="003E1C29">
        <w:rPr>
          <w:rFonts w:ascii="Arial" w:hAnsi="Arial" w:cs="Arial"/>
          <w:b w:val="0"/>
          <w:bCs/>
          <w:i w:val="0"/>
          <w:iCs/>
          <w:sz w:val="22"/>
          <w:szCs w:val="22"/>
        </w:rPr>
        <w:t>: Avtomatski stabilizatorji, sprememba glede na leto 2019 v % BDP</w:t>
      </w:r>
    </w:p>
    <w:p w14:paraId="0C5C27C2" w14:textId="07887FD4" w:rsidR="000465F8" w:rsidRPr="0038625D" w:rsidRDefault="0058196B" w:rsidP="000465F8">
      <w:pPr>
        <w:keepNext/>
        <w:keepLines/>
        <w:spacing w:after="0"/>
        <w:jc w:val="both"/>
        <w:rPr>
          <w:rFonts w:ascii="Arial" w:hAnsi="Arial" w:cs="Arial"/>
        </w:rPr>
      </w:pPr>
      <w:r>
        <w:rPr>
          <w:noProof/>
        </w:rPr>
        <w:drawing>
          <wp:inline distT="0" distB="0" distL="0" distR="0" wp14:anchorId="40CAB29E" wp14:editId="5CBF2FCE">
            <wp:extent cx="5760720" cy="3164619"/>
            <wp:effectExtent l="0" t="0" r="0" b="0"/>
            <wp:docPr id="25" name="Chart 25">
              <a:extLst xmlns:a="http://schemas.openxmlformats.org/drawingml/2006/main">
                <a:ext uri="{FF2B5EF4-FFF2-40B4-BE49-F238E27FC236}">
                  <a16:creationId xmlns:a16="http://schemas.microsoft.com/office/drawing/2014/main" id="{24591368-86AB-4257-B965-955E192A3A9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466DEC15" w14:textId="77777777" w:rsidR="000465F8" w:rsidRDefault="000465F8" w:rsidP="00FB23FF">
      <w:pPr>
        <w:keepNext/>
        <w:keepLines/>
        <w:spacing w:after="0"/>
        <w:jc w:val="both"/>
        <w:rPr>
          <w:rFonts w:ascii="Arial" w:hAnsi="Arial" w:cs="Arial"/>
        </w:rPr>
      </w:pPr>
      <w:r w:rsidRPr="00232194">
        <w:rPr>
          <w:rFonts w:ascii="Arial" w:hAnsi="Arial" w:cs="Arial"/>
          <w:sz w:val="20"/>
          <w:szCs w:val="20"/>
        </w:rPr>
        <w:t>Vir: Ministrstvo za finance, lastni izračuni.</w:t>
      </w:r>
    </w:p>
    <w:p w14:paraId="45D48498" w14:textId="77777777" w:rsidR="00FB23FF" w:rsidRDefault="00FB23FF" w:rsidP="00FB23FF">
      <w:pPr>
        <w:spacing w:after="0"/>
        <w:jc w:val="both"/>
        <w:rPr>
          <w:rFonts w:ascii="Arial" w:hAnsi="Arial" w:cs="Arial"/>
        </w:rPr>
      </w:pPr>
    </w:p>
    <w:p w14:paraId="0206BAB9" w14:textId="4A44DF9A" w:rsidR="000465F8" w:rsidRDefault="000465F8" w:rsidP="00FB23FF">
      <w:pPr>
        <w:spacing w:after="0"/>
        <w:jc w:val="both"/>
        <w:rPr>
          <w:rFonts w:ascii="Arial" w:hAnsi="Arial" w:cs="Arial"/>
        </w:rPr>
      </w:pPr>
      <w:r w:rsidRPr="0038625D">
        <w:rPr>
          <w:rFonts w:ascii="Arial" w:hAnsi="Arial" w:cs="Arial"/>
        </w:rPr>
        <w:t xml:space="preserve">Fiskalne </w:t>
      </w:r>
      <w:r w:rsidRPr="0048071C">
        <w:rPr>
          <w:rFonts w:ascii="Arial" w:hAnsi="Arial" w:cs="Arial"/>
        </w:rPr>
        <w:t>spodbude (Slika 1</w:t>
      </w:r>
      <w:r w:rsidR="0032268A">
        <w:rPr>
          <w:rFonts w:ascii="Arial" w:hAnsi="Arial" w:cs="Arial"/>
        </w:rPr>
        <w:t>5</w:t>
      </w:r>
      <w:r w:rsidRPr="0048071C">
        <w:rPr>
          <w:rFonts w:ascii="Arial" w:hAnsi="Arial" w:cs="Arial"/>
        </w:rPr>
        <w:t xml:space="preserve">), med </w:t>
      </w:r>
      <w:r w:rsidRPr="0038625D">
        <w:rPr>
          <w:rFonts w:ascii="Arial" w:hAnsi="Arial" w:cs="Arial"/>
        </w:rPr>
        <w:t xml:space="preserve">katere se šteje subvencije, bruto investicije in ostale kapitalske transfere, so se oziroma se bodo v primerjavi z letom 2019 znatno povečale. V letu 2019 so znašale 2,35 milijarde </w:t>
      </w:r>
      <w:r>
        <w:rPr>
          <w:rFonts w:ascii="Arial" w:hAnsi="Arial" w:cs="Arial"/>
        </w:rPr>
        <w:t>evrov</w:t>
      </w:r>
      <w:r w:rsidRPr="0038625D">
        <w:rPr>
          <w:rFonts w:ascii="Arial" w:hAnsi="Arial" w:cs="Arial"/>
        </w:rPr>
        <w:t xml:space="preserve"> oziroma 4,9 % BDP. V letih 2020 in 2021 so se fiskalne spodbude v okviru subvencij močno povečale zaradi COVID-19 ukrepov, v tem in v naslednjem letu pa se bodo spodbude povečevale predvsem zaradi investicij. </w:t>
      </w:r>
    </w:p>
    <w:p w14:paraId="69AB7535" w14:textId="77777777" w:rsidR="00FB23FF" w:rsidRDefault="00FB23FF" w:rsidP="00FB23FF">
      <w:pPr>
        <w:spacing w:after="0"/>
        <w:jc w:val="both"/>
        <w:rPr>
          <w:rFonts w:ascii="Arial" w:hAnsi="Arial" w:cs="Arial"/>
        </w:rPr>
      </w:pPr>
    </w:p>
    <w:p w14:paraId="18F7271F" w14:textId="273D8DDF" w:rsidR="003E1C29" w:rsidRPr="003E1C29" w:rsidRDefault="003E1C29" w:rsidP="003E1C29">
      <w:pPr>
        <w:pStyle w:val="Caption"/>
        <w:keepNext/>
        <w:ind w:left="0" w:firstLine="0"/>
        <w:rPr>
          <w:rFonts w:ascii="Arial" w:hAnsi="Arial" w:cs="Arial"/>
          <w:b w:val="0"/>
          <w:bCs/>
          <w:i w:val="0"/>
          <w:iCs/>
          <w:sz w:val="22"/>
          <w:szCs w:val="22"/>
        </w:rPr>
      </w:pPr>
      <w:r w:rsidRPr="003E1C29">
        <w:rPr>
          <w:rFonts w:ascii="Arial" w:hAnsi="Arial" w:cs="Arial"/>
          <w:b w:val="0"/>
          <w:bCs/>
          <w:i w:val="0"/>
          <w:iCs/>
          <w:sz w:val="22"/>
          <w:szCs w:val="22"/>
        </w:rPr>
        <w:t xml:space="preserve">Slika </w:t>
      </w:r>
      <w:r w:rsidRPr="003E1C29">
        <w:rPr>
          <w:rFonts w:ascii="Arial" w:hAnsi="Arial" w:cs="Arial"/>
          <w:b w:val="0"/>
          <w:bCs/>
          <w:i w:val="0"/>
          <w:iCs/>
          <w:sz w:val="22"/>
          <w:szCs w:val="22"/>
        </w:rPr>
        <w:fldChar w:fldCharType="begin"/>
      </w:r>
      <w:r w:rsidRPr="003E1C29">
        <w:rPr>
          <w:rFonts w:ascii="Arial" w:hAnsi="Arial" w:cs="Arial"/>
          <w:b w:val="0"/>
          <w:bCs/>
          <w:i w:val="0"/>
          <w:iCs/>
          <w:sz w:val="22"/>
          <w:szCs w:val="22"/>
        </w:rPr>
        <w:instrText xml:space="preserve"> SEQ Slika \* ARABIC </w:instrText>
      </w:r>
      <w:r w:rsidRPr="003E1C29">
        <w:rPr>
          <w:rFonts w:ascii="Arial" w:hAnsi="Arial" w:cs="Arial"/>
          <w:b w:val="0"/>
          <w:bCs/>
          <w:i w:val="0"/>
          <w:iCs/>
          <w:sz w:val="22"/>
          <w:szCs w:val="22"/>
        </w:rPr>
        <w:fldChar w:fldCharType="separate"/>
      </w:r>
      <w:r w:rsidR="0032268A">
        <w:rPr>
          <w:rFonts w:ascii="Arial" w:hAnsi="Arial" w:cs="Arial"/>
          <w:b w:val="0"/>
          <w:bCs/>
          <w:i w:val="0"/>
          <w:iCs/>
          <w:noProof/>
          <w:sz w:val="22"/>
          <w:szCs w:val="22"/>
        </w:rPr>
        <w:t>15</w:t>
      </w:r>
      <w:r w:rsidRPr="003E1C29">
        <w:rPr>
          <w:rFonts w:ascii="Arial" w:hAnsi="Arial" w:cs="Arial"/>
          <w:b w:val="0"/>
          <w:bCs/>
          <w:i w:val="0"/>
          <w:iCs/>
          <w:sz w:val="22"/>
          <w:szCs w:val="22"/>
        </w:rPr>
        <w:fldChar w:fldCharType="end"/>
      </w:r>
      <w:r w:rsidRPr="003E1C29">
        <w:rPr>
          <w:rFonts w:ascii="Arial" w:hAnsi="Arial" w:cs="Arial"/>
          <w:b w:val="0"/>
          <w:bCs/>
          <w:i w:val="0"/>
          <w:iCs/>
          <w:sz w:val="22"/>
          <w:szCs w:val="22"/>
        </w:rPr>
        <w:t>: Fiskalne spodbude, sprememba glede na leto 2019 v % BDP</w:t>
      </w:r>
    </w:p>
    <w:p w14:paraId="5795659D" w14:textId="4886260B" w:rsidR="00A84A2F" w:rsidRPr="0038625D" w:rsidRDefault="00042CFA" w:rsidP="000465F8">
      <w:pPr>
        <w:spacing w:after="0"/>
        <w:jc w:val="both"/>
        <w:rPr>
          <w:rFonts w:ascii="Arial" w:hAnsi="Arial" w:cs="Arial"/>
        </w:rPr>
      </w:pPr>
      <w:r>
        <w:rPr>
          <w:noProof/>
        </w:rPr>
        <w:drawing>
          <wp:inline distT="0" distB="0" distL="0" distR="0" wp14:anchorId="5D6E4C8F" wp14:editId="32C39CA7">
            <wp:extent cx="5760720" cy="3212327"/>
            <wp:effectExtent l="0" t="0" r="0" b="7620"/>
            <wp:docPr id="23" name="Chart 23">
              <a:extLst xmlns:a="http://schemas.openxmlformats.org/drawingml/2006/main">
                <a:ext uri="{FF2B5EF4-FFF2-40B4-BE49-F238E27FC236}">
                  <a16:creationId xmlns:a16="http://schemas.microsoft.com/office/drawing/2014/main" id="{B6E0A7F4-3301-45B9-AC3B-0BE9275CB22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1AB87BB8" w14:textId="77777777" w:rsidR="000465F8" w:rsidRPr="0038625D" w:rsidRDefault="000465F8" w:rsidP="000465F8">
      <w:pPr>
        <w:spacing w:after="240"/>
        <w:jc w:val="both"/>
        <w:rPr>
          <w:rFonts w:ascii="Arial" w:hAnsi="Arial" w:cs="Arial"/>
          <w:sz w:val="20"/>
          <w:szCs w:val="20"/>
        </w:rPr>
      </w:pPr>
      <w:r w:rsidRPr="0038625D">
        <w:rPr>
          <w:rFonts w:ascii="Arial" w:hAnsi="Arial" w:cs="Arial"/>
          <w:sz w:val="20"/>
          <w:szCs w:val="20"/>
        </w:rPr>
        <w:t>Vir: Ministrstvo za finance, lastni izračuni.</w:t>
      </w:r>
    </w:p>
    <w:p w14:paraId="7B6ACFC5" w14:textId="77777777" w:rsidR="000465F8" w:rsidRDefault="000465F8" w:rsidP="00622B54">
      <w:pPr>
        <w:rPr>
          <w:rFonts w:ascii="Arial" w:hAnsi="Arial" w:cs="Arial"/>
          <w:b/>
          <w:bCs/>
          <w:u w:val="single"/>
        </w:rPr>
      </w:pPr>
    </w:p>
    <w:p w14:paraId="3F04ED98" w14:textId="6BF03DC5" w:rsidR="00622B54" w:rsidRDefault="00622B54" w:rsidP="00622B54">
      <w:pPr>
        <w:rPr>
          <w:rFonts w:ascii="Arial" w:hAnsi="Arial" w:cs="Arial"/>
          <w:b/>
          <w:bCs/>
          <w:u w:val="single"/>
        </w:rPr>
      </w:pPr>
      <w:r w:rsidRPr="00F97F17">
        <w:rPr>
          <w:rFonts w:ascii="Arial" w:hAnsi="Arial" w:cs="Arial"/>
          <w:b/>
          <w:bCs/>
          <w:u w:val="single"/>
        </w:rPr>
        <w:lastRenderedPageBreak/>
        <w:t>Fiskalni ukrepi proti krizi in naravnim nesrečam</w:t>
      </w:r>
    </w:p>
    <w:p w14:paraId="7A7E8D92" w14:textId="4683A37E" w:rsidR="00D6693D" w:rsidRDefault="00D6693D" w:rsidP="00622B54">
      <w:pPr>
        <w:rPr>
          <w:rFonts w:ascii="Arial" w:hAnsi="Arial" w:cs="Arial"/>
          <w:b/>
          <w:bCs/>
          <w:u w:val="single"/>
        </w:rPr>
      </w:pPr>
    </w:p>
    <w:p w14:paraId="563EB5C6" w14:textId="02BD9E76" w:rsidR="00D6693D" w:rsidRPr="00D6693D" w:rsidRDefault="00D6693D" w:rsidP="00D6693D">
      <w:pPr>
        <w:pStyle w:val="ListParagraph"/>
        <w:numPr>
          <w:ilvl w:val="0"/>
          <w:numId w:val="20"/>
        </w:numPr>
        <w:rPr>
          <w:rFonts w:eastAsia="Times New Roman" w:cs="Arial"/>
          <w:b/>
          <w:bCs/>
          <w:i/>
          <w:iCs/>
        </w:rPr>
      </w:pPr>
      <w:r w:rsidRPr="00D6693D">
        <w:rPr>
          <w:rFonts w:eastAsia="Times New Roman" w:cs="Arial"/>
          <w:b/>
          <w:bCs/>
        </w:rPr>
        <w:t>Postopno odpravljanje COVID ukrepov</w:t>
      </w:r>
      <w:r w:rsidRPr="00D6693D">
        <w:rPr>
          <w:rFonts w:eastAsia="Times New Roman" w:cs="Arial"/>
          <w:b/>
          <w:bCs/>
          <w:i/>
          <w:iCs/>
        </w:rPr>
        <w:t xml:space="preserve"> </w:t>
      </w:r>
    </w:p>
    <w:p w14:paraId="3F74D621" w14:textId="77777777" w:rsidR="00D6693D" w:rsidRPr="00D6693D" w:rsidRDefault="00D6693D" w:rsidP="00D6693D">
      <w:pPr>
        <w:pStyle w:val="ListParagraph"/>
        <w:rPr>
          <w:rFonts w:eastAsia="Times New Roman" w:cs="Arial"/>
          <w:b/>
          <w:bCs/>
          <w:i/>
          <w:iCs/>
          <w:u w:val="single"/>
        </w:rPr>
      </w:pPr>
    </w:p>
    <w:p w14:paraId="47A84102" w14:textId="7DBCF7CC" w:rsidR="00557555" w:rsidRDefault="00557555" w:rsidP="00FB23FF">
      <w:pPr>
        <w:spacing w:after="0"/>
        <w:jc w:val="both"/>
        <w:rPr>
          <w:rFonts w:ascii="Arial" w:hAnsi="Arial" w:cs="Arial"/>
        </w:rPr>
      </w:pPr>
      <w:r w:rsidRPr="00557555">
        <w:rPr>
          <w:rFonts w:ascii="Arial" w:hAnsi="Arial" w:cs="Arial"/>
        </w:rPr>
        <w:t xml:space="preserve">Vlada Republike Slovenije je od začetka epidemije COVID-19 sprejela več protikoronskih paketov pomoči (PKP) za gospodarstvo, zdravstvo, trg dela in druga področja. Vsi ukrepi, ki so se v obdobju 2020–2023 izvajali v skladu z interventnimi zakoni, so bili namenjeni omilitvi posledic epidemije, pomoči gospodarstvu in posameznikom za preprečitev globljega upada gospodarske aktivnosti in zaposlenosti. Med njimi so bili tako najbolj izpostavljeni ukrepi za zaposlene oz. delodajalce (nadomestila za čakanje na delo, plačilo prispevkov, skrajšani delovni čas), enkratne pomoči najbolj ranljivim skupinam, dodatki za delo v izjemnih okoliščinah, turistični boni, ter ukrepi v zdravstvu (kritje stroškov testiranj, zaščitna oprema in cepiva, zagotavljanje sredstev ZZZS ipd.). Skupni obseg ukrepov, povezanih s COVID-19, je v obdobju 2020–2023 ocenjen v višini nekaj manj kot 5,8 mrd eur oz. okoli 11 % BDP. </w:t>
      </w:r>
    </w:p>
    <w:p w14:paraId="557B436C" w14:textId="77777777" w:rsidR="00FB23FF" w:rsidRPr="00557555" w:rsidRDefault="00FB23FF" w:rsidP="00FB23FF">
      <w:pPr>
        <w:spacing w:after="0"/>
        <w:jc w:val="both"/>
        <w:rPr>
          <w:rFonts w:ascii="Arial" w:hAnsi="Arial" w:cs="Arial"/>
        </w:rPr>
      </w:pPr>
    </w:p>
    <w:p w14:paraId="7E3345FE" w14:textId="7C4EDDA5" w:rsidR="00D6693D" w:rsidRPr="009138BF" w:rsidRDefault="00D6693D" w:rsidP="00180436">
      <w:pPr>
        <w:spacing w:after="0"/>
        <w:rPr>
          <w:rFonts w:ascii="Arial" w:hAnsi="Arial" w:cs="Arial"/>
        </w:rPr>
      </w:pPr>
      <w:r w:rsidRPr="00D6693D">
        <w:rPr>
          <w:rFonts w:ascii="Arial" w:hAnsi="Arial" w:cs="Arial"/>
        </w:rPr>
        <w:t xml:space="preserve">Slika </w:t>
      </w:r>
      <w:r w:rsidRPr="00D6693D">
        <w:rPr>
          <w:rFonts w:ascii="Arial" w:hAnsi="Arial" w:cs="Arial"/>
        </w:rPr>
        <w:fldChar w:fldCharType="begin"/>
      </w:r>
      <w:r w:rsidRPr="00D6693D">
        <w:rPr>
          <w:rFonts w:ascii="Arial" w:hAnsi="Arial" w:cs="Arial"/>
        </w:rPr>
        <w:instrText xml:space="preserve"> SEQ Slika \* ARABIC </w:instrText>
      </w:r>
      <w:r w:rsidRPr="00D6693D">
        <w:rPr>
          <w:rFonts w:ascii="Arial" w:hAnsi="Arial" w:cs="Arial"/>
        </w:rPr>
        <w:fldChar w:fldCharType="separate"/>
      </w:r>
      <w:r w:rsidR="0032268A">
        <w:rPr>
          <w:rFonts w:ascii="Arial" w:hAnsi="Arial" w:cs="Arial"/>
          <w:noProof/>
        </w:rPr>
        <w:t>16</w:t>
      </w:r>
      <w:r w:rsidRPr="00D6693D">
        <w:rPr>
          <w:rFonts w:ascii="Arial" w:hAnsi="Arial" w:cs="Arial"/>
        </w:rPr>
        <w:fldChar w:fldCharType="end"/>
      </w:r>
      <w:r w:rsidRPr="00D6693D">
        <w:rPr>
          <w:rFonts w:ascii="Arial" w:hAnsi="Arial" w:cs="Arial"/>
        </w:rPr>
        <w:t xml:space="preserve">: </w:t>
      </w:r>
      <w:r w:rsidRPr="00D6693D">
        <w:rPr>
          <w:rFonts w:ascii="Arial" w:eastAsia="Times New Roman" w:hAnsi="Arial" w:cs="Arial"/>
        </w:rPr>
        <w:t>Ocena vrednosti ukrepov v % BDP po posameznih področjih po ESA metodologiji (obračunski tok)</w:t>
      </w:r>
    </w:p>
    <w:p w14:paraId="58A1F4F1" w14:textId="60E9049E" w:rsidR="00D6693D" w:rsidRPr="00D6693D" w:rsidRDefault="00D6693D" w:rsidP="00D6693D">
      <w:pPr>
        <w:spacing w:after="0"/>
        <w:jc w:val="center"/>
        <w:rPr>
          <w:rFonts w:ascii="Arial" w:eastAsia="Times New Roman" w:hAnsi="Arial" w:cs="Arial"/>
          <w:i/>
          <w:iCs/>
        </w:rPr>
      </w:pPr>
      <w:r w:rsidRPr="00D6693D">
        <w:rPr>
          <w:rFonts w:ascii="Arial" w:hAnsi="Arial" w:cs="Arial"/>
          <w:noProof/>
        </w:rPr>
        <w:drawing>
          <wp:inline distT="0" distB="0" distL="0" distR="0" wp14:anchorId="2B215906" wp14:editId="404BC0D7">
            <wp:extent cx="5760720" cy="3303905"/>
            <wp:effectExtent l="0" t="0" r="0" b="0"/>
            <wp:docPr id="34" name="Grafikon 1">
              <a:extLst xmlns:a="http://schemas.openxmlformats.org/drawingml/2006/main">
                <a:ext uri="{FF2B5EF4-FFF2-40B4-BE49-F238E27FC236}">
                  <a16:creationId xmlns:a16="http://schemas.microsoft.com/office/drawing/2014/main" id="{058B9101-D7DC-77D1-5BAC-D1A536CD768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583EACC6" w14:textId="77777777" w:rsidR="00D6693D" w:rsidRPr="00D6693D" w:rsidRDefault="00D6693D" w:rsidP="00FB23FF">
      <w:pPr>
        <w:spacing w:after="0"/>
        <w:rPr>
          <w:rFonts w:ascii="Arial" w:eastAsia="Times New Roman" w:hAnsi="Arial" w:cs="Arial"/>
          <w:sz w:val="20"/>
          <w:szCs w:val="20"/>
        </w:rPr>
      </w:pPr>
      <w:r w:rsidRPr="00D6693D">
        <w:rPr>
          <w:rFonts w:ascii="Arial" w:eastAsia="Times New Roman" w:hAnsi="Arial" w:cs="Arial"/>
          <w:sz w:val="20"/>
          <w:szCs w:val="20"/>
        </w:rPr>
        <w:t>Vir: izračuni Ministrstva za finance.</w:t>
      </w:r>
    </w:p>
    <w:p w14:paraId="768A640E" w14:textId="77777777" w:rsidR="00FB23FF" w:rsidRDefault="00FB23FF" w:rsidP="0072540F">
      <w:pPr>
        <w:jc w:val="both"/>
        <w:rPr>
          <w:rFonts w:ascii="Arial" w:eastAsia="Times New Roman" w:hAnsi="Arial" w:cs="Arial"/>
        </w:rPr>
      </w:pPr>
    </w:p>
    <w:p w14:paraId="4323FA1B" w14:textId="43DF9D93" w:rsidR="00D6693D" w:rsidRDefault="00D6693D" w:rsidP="0072540F">
      <w:pPr>
        <w:jc w:val="both"/>
        <w:rPr>
          <w:rFonts w:ascii="Arial" w:eastAsia="Times New Roman" w:hAnsi="Arial" w:cs="Arial"/>
        </w:rPr>
      </w:pPr>
      <w:r w:rsidRPr="00D6693D">
        <w:rPr>
          <w:rFonts w:ascii="Arial" w:eastAsia="Times New Roman" w:hAnsi="Arial" w:cs="Arial"/>
        </w:rPr>
        <w:t>Kot prikazuje slika 1</w:t>
      </w:r>
      <w:r w:rsidR="0032268A">
        <w:rPr>
          <w:rFonts w:ascii="Arial" w:eastAsia="Times New Roman" w:hAnsi="Arial" w:cs="Arial"/>
        </w:rPr>
        <w:t>6</w:t>
      </w:r>
      <w:r w:rsidRPr="00D6693D">
        <w:rPr>
          <w:rFonts w:ascii="Arial" w:eastAsia="Times New Roman" w:hAnsi="Arial" w:cs="Arial"/>
        </w:rPr>
        <w:t>, se izdatki za blažitev posledic epidemije po letih postopoma znižujejo oz. se ti z letom 2023 iztekajo. Izdatki so bili najvišji v letu 2020, ko so znašali 5,2 % BDP. V letu 2021 so se ti izdatki znižali na 4,5 % BDP, lani pa na 1,2 % BDP. Ob umikanju ukrepov pričakujemo nadaljnje znižanje teh izdatkov tudi v letu 2023, ko so ti ocenjeni v višini 0,4 % BDP. V okviru teh je večji del ocenjenih sredstev v letošnjem letu predviden za financiranje ZZZS (COVID-19 zdravstvene storitve in nadomestila), cepljenje in cepiva, ter nadomestila plače zaradi izolacije.</w:t>
      </w:r>
      <w:r w:rsidR="00396B15">
        <w:rPr>
          <w:rFonts w:ascii="Arial" w:eastAsia="Times New Roman" w:hAnsi="Arial" w:cs="Arial"/>
        </w:rPr>
        <w:t xml:space="preserve"> </w:t>
      </w:r>
    </w:p>
    <w:p w14:paraId="7BBAF9A9" w14:textId="4F08CBD1" w:rsidR="00FB23FF" w:rsidRDefault="00FB23FF" w:rsidP="0072540F">
      <w:pPr>
        <w:jc w:val="both"/>
        <w:rPr>
          <w:rFonts w:ascii="Arial" w:eastAsia="Times New Roman" w:hAnsi="Arial" w:cs="Arial"/>
        </w:rPr>
      </w:pPr>
    </w:p>
    <w:p w14:paraId="1F8001D8" w14:textId="0CD38B0C" w:rsidR="00FB23FF" w:rsidRDefault="00FB23FF" w:rsidP="0072540F">
      <w:pPr>
        <w:jc w:val="both"/>
        <w:rPr>
          <w:rFonts w:ascii="Arial" w:eastAsia="Times New Roman" w:hAnsi="Arial" w:cs="Arial"/>
        </w:rPr>
      </w:pPr>
    </w:p>
    <w:p w14:paraId="6003D88A" w14:textId="7905928B" w:rsidR="00622B54" w:rsidRDefault="00622B54" w:rsidP="00622B54">
      <w:pPr>
        <w:pStyle w:val="NormalWeb"/>
        <w:numPr>
          <w:ilvl w:val="0"/>
          <w:numId w:val="15"/>
        </w:numPr>
        <w:rPr>
          <w:rFonts w:ascii="Arial" w:hAnsi="Arial" w:cs="Arial"/>
          <w:b/>
          <w:bCs/>
          <w:sz w:val="22"/>
          <w:szCs w:val="22"/>
        </w:rPr>
      </w:pPr>
      <w:r w:rsidRPr="00F97F17">
        <w:rPr>
          <w:rFonts w:ascii="Arial" w:hAnsi="Arial" w:cs="Arial"/>
          <w:b/>
          <w:bCs/>
          <w:sz w:val="22"/>
          <w:szCs w:val="22"/>
        </w:rPr>
        <w:lastRenderedPageBreak/>
        <w:t>Energetski ukrepi in draginja</w:t>
      </w:r>
    </w:p>
    <w:p w14:paraId="41833373" w14:textId="132AD006" w:rsidR="00224C44" w:rsidRPr="00180436" w:rsidRDefault="00224C44" w:rsidP="00224C44">
      <w:pPr>
        <w:pStyle w:val="NormalWeb"/>
        <w:spacing w:before="0" w:beforeAutospacing="0" w:after="0" w:afterAutospacing="0" w:line="259" w:lineRule="auto"/>
        <w:jc w:val="both"/>
        <w:rPr>
          <w:rFonts w:ascii="Arial" w:hAnsi="Arial" w:cs="Arial"/>
          <w:sz w:val="22"/>
          <w:szCs w:val="22"/>
        </w:rPr>
      </w:pPr>
      <w:r w:rsidRPr="00180436">
        <w:rPr>
          <w:rFonts w:ascii="Arial" w:hAnsi="Arial" w:cs="Arial"/>
          <w:sz w:val="22"/>
          <w:szCs w:val="22"/>
        </w:rPr>
        <w:t>V letu 2022 je Republika Slovenija sprejela več paketov energetskih ukrepov, ki so bili veljavni tudi v letu 2023. Večina energetskih ukrepov v letu 2023 je že v celoti izpeljana. Za večja podjetja so bile na voljo subvencije za blaženje posledic povečanih cen energije, v kolikor so za določeno krizno obdobje izkazovala bistveno višje stroške energetske porabe kot so jih imela v predkriznih časih (letno dokazovanje v AJPES b</w:t>
      </w:r>
      <w:r>
        <w:rPr>
          <w:rFonts w:ascii="Arial" w:hAnsi="Arial" w:cs="Arial"/>
          <w:sz w:val="22"/>
          <w:szCs w:val="22"/>
        </w:rPr>
        <w:t>i</w:t>
      </w:r>
      <w:r w:rsidRPr="00180436">
        <w:rPr>
          <w:rFonts w:ascii="Arial" w:hAnsi="Arial" w:cs="Arial"/>
          <w:sz w:val="22"/>
          <w:szCs w:val="22"/>
        </w:rPr>
        <w:t xml:space="preserve">lancah). </w:t>
      </w:r>
      <w:r w:rsidRPr="00DF2161">
        <w:rPr>
          <w:rFonts w:ascii="Arial" w:hAnsi="Arial" w:cs="Arial"/>
          <w:sz w:val="22"/>
          <w:szCs w:val="22"/>
        </w:rPr>
        <w:t>Glede na energetsko odvisnost so bila velika podjetja razdeljena na več skupin</w:t>
      </w:r>
      <w:r w:rsidR="00B328BB">
        <w:rPr>
          <w:rFonts w:ascii="Arial" w:hAnsi="Arial" w:cs="Arial"/>
          <w:sz w:val="22"/>
          <w:szCs w:val="22"/>
        </w:rPr>
        <w:t xml:space="preserve">. </w:t>
      </w:r>
      <w:r w:rsidRPr="00180436">
        <w:rPr>
          <w:rFonts w:ascii="Arial" w:hAnsi="Arial" w:cs="Arial"/>
          <w:sz w:val="22"/>
          <w:szCs w:val="22"/>
        </w:rPr>
        <w:t xml:space="preserve">Za  pomoč gospodarstvu so bili za leto 2023 sprejeti tudi cenovni ukrepi (regulirane cene energentov), ki so ciljali  na mala in srednje velika podjetja (MSP). Omejitev cen električne energije in zemeljskega plina velja tudi za prebivalstvo in nekatere javne službe. Omejitve cen veljajo do konca leta. Konec maja 2023 je prenehalo veljati tudi znižanje DDV iz 22% na 9 % za energetske proizvode/storitve. </w:t>
      </w:r>
    </w:p>
    <w:p w14:paraId="6159A588" w14:textId="77777777" w:rsidR="00224C44" w:rsidRPr="00180436" w:rsidRDefault="00224C44" w:rsidP="00224C44">
      <w:pPr>
        <w:pStyle w:val="NormalWeb"/>
        <w:spacing w:before="0" w:beforeAutospacing="0" w:after="0" w:afterAutospacing="0" w:line="259" w:lineRule="auto"/>
        <w:jc w:val="both"/>
        <w:rPr>
          <w:rFonts w:ascii="Arial" w:hAnsi="Arial" w:cs="Arial"/>
          <w:sz w:val="22"/>
          <w:szCs w:val="22"/>
        </w:rPr>
      </w:pPr>
    </w:p>
    <w:p w14:paraId="47303BAE" w14:textId="77777777" w:rsidR="00224C44" w:rsidRDefault="00224C44" w:rsidP="00224C44">
      <w:pPr>
        <w:pStyle w:val="NormalWeb"/>
        <w:spacing w:before="0" w:beforeAutospacing="0" w:after="0" w:afterAutospacing="0" w:line="259" w:lineRule="auto"/>
        <w:jc w:val="both"/>
        <w:rPr>
          <w:rFonts w:ascii="Arial" w:hAnsi="Arial" w:cs="Arial"/>
          <w:sz w:val="22"/>
          <w:szCs w:val="22"/>
        </w:rPr>
      </w:pPr>
      <w:r w:rsidRPr="00180436">
        <w:rPr>
          <w:rFonts w:ascii="Arial" w:hAnsi="Arial" w:cs="Arial"/>
          <w:sz w:val="22"/>
          <w:szCs w:val="22"/>
        </w:rPr>
        <w:t>V tabeli ukrepov so navedena tudi posojila energetski družbi (ki je že izničen, ker kar je prepoznal Eurostat na podlagi skupščinskega sklepa) oz distributerju električne energije. Kompenzacije oziroma subvencioniranje izpada prihodkov veljajo za podjetja, ki se nahajajo v energetskem sektorju in bodo pri svojih prihodkih prikrajšana predvsem zaradi sprejetih cenovnih ukrepov.</w:t>
      </w:r>
    </w:p>
    <w:p w14:paraId="206E63EB" w14:textId="77777777" w:rsidR="00224C44" w:rsidRDefault="00224C44" w:rsidP="00224C44">
      <w:pPr>
        <w:pStyle w:val="NormalWeb"/>
        <w:spacing w:before="0" w:beforeAutospacing="0" w:after="0" w:afterAutospacing="0" w:line="259" w:lineRule="auto"/>
        <w:jc w:val="both"/>
        <w:rPr>
          <w:rFonts w:ascii="Arial" w:hAnsi="Arial" w:cs="Arial"/>
          <w:sz w:val="22"/>
          <w:szCs w:val="22"/>
        </w:rPr>
      </w:pPr>
    </w:p>
    <w:p w14:paraId="45FC02D1" w14:textId="10A4CC15" w:rsidR="00224C44" w:rsidRPr="00BE58A1" w:rsidRDefault="00224C44" w:rsidP="00224C44">
      <w:pPr>
        <w:pStyle w:val="NormalWeb"/>
        <w:spacing w:before="0" w:beforeAutospacing="0" w:after="120" w:afterAutospacing="0" w:line="259" w:lineRule="auto"/>
        <w:rPr>
          <w:rFonts w:ascii="Arial" w:hAnsi="Arial" w:cs="Arial"/>
          <w:noProof/>
          <w:sz w:val="22"/>
          <w:szCs w:val="32"/>
        </w:rPr>
      </w:pPr>
      <w:r w:rsidRPr="00BE58A1">
        <w:rPr>
          <w:rFonts w:ascii="Arial" w:hAnsi="Arial" w:cs="Arial"/>
          <w:sz w:val="22"/>
          <w:szCs w:val="32"/>
        </w:rPr>
        <w:t xml:space="preserve">Tabela </w:t>
      </w:r>
      <w:r w:rsidRPr="00BE58A1">
        <w:rPr>
          <w:rFonts w:ascii="Arial" w:hAnsi="Arial" w:cs="Arial"/>
          <w:sz w:val="22"/>
          <w:szCs w:val="32"/>
        </w:rPr>
        <w:fldChar w:fldCharType="begin"/>
      </w:r>
      <w:r w:rsidRPr="00BE58A1">
        <w:rPr>
          <w:rFonts w:ascii="Arial" w:hAnsi="Arial" w:cs="Arial"/>
          <w:sz w:val="22"/>
          <w:szCs w:val="32"/>
        </w:rPr>
        <w:instrText xml:space="preserve"> SEQ Tabela \* ARABIC </w:instrText>
      </w:r>
      <w:r w:rsidRPr="00BE58A1">
        <w:rPr>
          <w:rFonts w:ascii="Arial" w:hAnsi="Arial" w:cs="Arial"/>
          <w:sz w:val="22"/>
          <w:szCs w:val="32"/>
        </w:rPr>
        <w:fldChar w:fldCharType="separate"/>
      </w:r>
      <w:r w:rsidR="00E4660B">
        <w:rPr>
          <w:rFonts w:ascii="Arial" w:hAnsi="Arial" w:cs="Arial"/>
          <w:noProof/>
          <w:sz w:val="22"/>
          <w:szCs w:val="32"/>
        </w:rPr>
        <w:t>3</w:t>
      </w:r>
      <w:r w:rsidRPr="00BE58A1">
        <w:rPr>
          <w:rFonts w:ascii="Arial" w:hAnsi="Arial" w:cs="Arial"/>
          <w:sz w:val="22"/>
          <w:szCs w:val="32"/>
        </w:rPr>
        <w:fldChar w:fldCharType="end"/>
      </w:r>
      <w:r w:rsidRPr="00BE58A1">
        <w:rPr>
          <w:rFonts w:ascii="Arial" w:hAnsi="Arial" w:cs="Arial"/>
          <w:sz w:val="22"/>
          <w:szCs w:val="32"/>
        </w:rPr>
        <w:t xml:space="preserve">: </w:t>
      </w:r>
      <w:r w:rsidRPr="00BE58A1">
        <w:rPr>
          <w:rFonts w:ascii="Arial" w:hAnsi="Arial" w:cs="Arial"/>
          <w:noProof/>
          <w:sz w:val="22"/>
          <w:szCs w:val="32"/>
        </w:rPr>
        <w:t>Ukrepi zaradi energetske krize za leto 2022 in oceno za 2023 po ESA metodologiji (v mio EUR)</w:t>
      </w:r>
    </w:p>
    <w:tbl>
      <w:tblPr>
        <w:tblW w:w="0" w:type="auto"/>
        <w:tblCellMar>
          <w:left w:w="0" w:type="dxa"/>
          <w:right w:w="0" w:type="dxa"/>
        </w:tblCellMar>
        <w:tblLook w:val="04A0" w:firstRow="1" w:lastRow="0" w:firstColumn="1" w:lastColumn="0" w:noHBand="0" w:noVBand="1"/>
      </w:tblPr>
      <w:tblGrid>
        <w:gridCol w:w="1701"/>
        <w:gridCol w:w="3392"/>
        <w:gridCol w:w="1127"/>
        <w:gridCol w:w="1086"/>
        <w:gridCol w:w="1082"/>
      </w:tblGrid>
      <w:tr w:rsidR="00224C44" w:rsidRPr="006F209E" w14:paraId="0960989E" w14:textId="77777777" w:rsidTr="0091436C">
        <w:tc>
          <w:tcPr>
            <w:tcW w:w="1701" w:type="dxa"/>
            <w:tcBorders>
              <w:top w:val="single" w:sz="8" w:space="0" w:color="auto"/>
              <w:left w:val="single" w:sz="8" w:space="0" w:color="auto"/>
              <w:bottom w:val="single" w:sz="8" w:space="0" w:color="auto"/>
              <w:right w:val="single" w:sz="4" w:space="0" w:color="auto"/>
            </w:tcBorders>
          </w:tcPr>
          <w:p w14:paraId="7004DA99" w14:textId="77777777" w:rsidR="00224C44" w:rsidRPr="006F209E" w:rsidRDefault="00224C44" w:rsidP="0091436C">
            <w:pPr>
              <w:spacing w:after="0" w:line="240" w:lineRule="auto"/>
              <w:rPr>
                <w:rFonts w:ascii="Arial" w:hAnsi="Arial" w:cs="Arial"/>
                <w:b/>
                <w:bCs/>
                <w:sz w:val="20"/>
                <w:szCs w:val="20"/>
              </w:rPr>
            </w:pPr>
          </w:p>
          <w:p w14:paraId="05431526" w14:textId="77777777" w:rsidR="00224C44" w:rsidRPr="006F209E" w:rsidRDefault="00224C44" w:rsidP="0091436C">
            <w:pPr>
              <w:spacing w:after="0" w:line="240" w:lineRule="auto"/>
              <w:rPr>
                <w:rFonts w:ascii="Arial" w:hAnsi="Arial" w:cs="Arial"/>
                <w:b/>
                <w:bCs/>
                <w:sz w:val="20"/>
                <w:szCs w:val="20"/>
              </w:rPr>
            </w:pPr>
          </w:p>
        </w:tc>
        <w:tc>
          <w:tcPr>
            <w:tcW w:w="3392" w:type="dxa"/>
            <w:tcBorders>
              <w:top w:val="single" w:sz="8" w:space="0" w:color="auto"/>
              <w:left w:val="single" w:sz="8" w:space="0" w:color="auto"/>
              <w:bottom w:val="single" w:sz="8" w:space="0" w:color="auto"/>
              <w:right w:val="single" w:sz="4" w:space="0" w:color="auto"/>
            </w:tcBorders>
            <w:tcMar>
              <w:top w:w="0" w:type="dxa"/>
              <w:left w:w="108" w:type="dxa"/>
              <w:bottom w:w="0" w:type="dxa"/>
              <w:right w:w="108" w:type="dxa"/>
            </w:tcMar>
            <w:hideMark/>
          </w:tcPr>
          <w:p w14:paraId="798F0621" w14:textId="77777777" w:rsidR="00224C44" w:rsidRPr="006F209E" w:rsidRDefault="00224C44" w:rsidP="0091436C">
            <w:pPr>
              <w:spacing w:after="0" w:line="240" w:lineRule="auto"/>
              <w:rPr>
                <w:rFonts w:ascii="Arial" w:hAnsi="Arial" w:cs="Arial"/>
                <w:b/>
                <w:bCs/>
                <w:sz w:val="20"/>
                <w:szCs w:val="20"/>
              </w:rPr>
            </w:pPr>
            <w:r w:rsidRPr="006F209E">
              <w:rPr>
                <w:rFonts w:ascii="Arial" w:hAnsi="Arial" w:cs="Arial"/>
                <w:b/>
                <w:bCs/>
                <w:sz w:val="20"/>
                <w:szCs w:val="20"/>
              </w:rPr>
              <w:t>Opis</w:t>
            </w:r>
          </w:p>
        </w:tc>
        <w:tc>
          <w:tcPr>
            <w:tcW w:w="1127" w:type="dxa"/>
            <w:tcBorders>
              <w:top w:val="single" w:sz="4" w:space="0" w:color="auto"/>
              <w:left w:val="single" w:sz="4" w:space="0" w:color="auto"/>
              <w:bottom w:val="single" w:sz="4" w:space="0" w:color="auto"/>
              <w:right w:val="single" w:sz="4" w:space="0" w:color="auto"/>
            </w:tcBorders>
            <w:hideMark/>
          </w:tcPr>
          <w:p w14:paraId="7EEB0A15" w14:textId="77777777" w:rsidR="00224C44" w:rsidRPr="006F209E" w:rsidRDefault="00224C44" w:rsidP="0091436C">
            <w:pPr>
              <w:spacing w:after="0" w:line="240" w:lineRule="auto"/>
              <w:rPr>
                <w:rFonts w:ascii="Arial" w:hAnsi="Arial" w:cs="Arial"/>
                <w:b/>
                <w:bCs/>
                <w:sz w:val="20"/>
                <w:szCs w:val="20"/>
              </w:rPr>
            </w:pPr>
            <w:r w:rsidRPr="006F209E">
              <w:rPr>
                <w:rFonts w:ascii="Arial" w:hAnsi="Arial" w:cs="Arial"/>
                <w:b/>
                <w:bCs/>
                <w:sz w:val="20"/>
                <w:szCs w:val="20"/>
              </w:rPr>
              <w:t>ESA kategorija</w:t>
            </w:r>
          </w:p>
        </w:tc>
        <w:tc>
          <w:tcPr>
            <w:tcW w:w="10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9EECFA0" w14:textId="77777777" w:rsidR="00224C44" w:rsidRPr="006F209E" w:rsidRDefault="00224C44" w:rsidP="0091436C">
            <w:pPr>
              <w:spacing w:after="0" w:line="240" w:lineRule="auto"/>
              <w:rPr>
                <w:rFonts w:ascii="Arial" w:hAnsi="Arial" w:cs="Arial"/>
                <w:b/>
                <w:bCs/>
                <w:sz w:val="20"/>
                <w:szCs w:val="20"/>
              </w:rPr>
            </w:pPr>
            <w:r w:rsidRPr="006F209E">
              <w:rPr>
                <w:rFonts w:ascii="Arial" w:hAnsi="Arial" w:cs="Arial"/>
                <w:b/>
                <w:bCs/>
                <w:sz w:val="20"/>
                <w:szCs w:val="20"/>
              </w:rPr>
              <w:t>2022</w:t>
            </w:r>
          </w:p>
        </w:tc>
        <w:tc>
          <w:tcPr>
            <w:tcW w:w="108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99FFAAC" w14:textId="77777777" w:rsidR="00224C44" w:rsidRPr="006F209E" w:rsidRDefault="00224C44" w:rsidP="0091436C">
            <w:pPr>
              <w:spacing w:after="0" w:line="240" w:lineRule="auto"/>
              <w:rPr>
                <w:rFonts w:ascii="Arial" w:hAnsi="Arial" w:cs="Arial"/>
                <w:b/>
                <w:bCs/>
                <w:sz w:val="20"/>
                <w:szCs w:val="20"/>
              </w:rPr>
            </w:pPr>
            <w:r w:rsidRPr="006F209E">
              <w:rPr>
                <w:rFonts w:ascii="Arial" w:hAnsi="Arial" w:cs="Arial"/>
                <w:b/>
                <w:bCs/>
                <w:sz w:val="20"/>
                <w:szCs w:val="20"/>
              </w:rPr>
              <w:t>2023</w:t>
            </w:r>
          </w:p>
        </w:tc>
      </w:tr>
      <w:tr w:rsidR="00224C44" w14:paraId="29C200DB" w14:textId="77777777" w:rsidTr="0091436C">
        <w:tc>
          <w:tcPr>
            <w:tcW w:w="1701" w:type="dxa"/>
            <w:tcBorders>
              <w:top w:val="nil"/>
              <w:left w:val="single" w:sz="8" w:space="0" w:color="auto"/>
              <w:bottom w:val="single" w:sz="8" w:space="0" w:color="auto"/>
              <w:right w:val="single" w:sz="4" w:space="0" w:color="auto"/>
            </w:tcBorders>
            <w:hideMark/>
          </w:tcPr>
          <w:p w14:paraId="59CB89E3" w14:textId="77777777" w:rsidR="00224C44" w:rsidRDefault="00224C44" w:rsidP="0091436C">
            <w:pPr>
              <w:spacing w:after="0" w:line="240" w:lineRule="auto"/>
              <w:rPr>
                <w:rFonts w:ascii="Arial" w:hAnsi="Arial" w:cs="Arial"/>
                <w:sz w:val="20"/>
                <w:szCs w:val="20"/>
              </w:rPr>
            </w:pPr>
            <w:r>
              <w:rPr>
                <w:rFonts w:ascii="Arial" w:hAnsi="Arial" w:cs="Arial"/>
                <w:sz w:val="20"/>
                <w:szCs w:val="20"/>
              </w:rPr>
              <w:t>Prihodkovna stran</w:t>
            </w:r>
          </w:p>
        </w:tc>
        <w:tc>
          <w:tcPr>
            <w:tcW w:w="3392" w:type="dxa"/>
            <w:tcBorders>
              <w:top w:val="nil"/>
              <w:left w:val="single" w:sz="8" w:space="0" w:color="auto"/>
              <w:bottom w:val="single" w:sz="8" w:space="0" w:color="auto"/>
              <w:right w:val="single" w:sz="4" w:space="0" w:color="auto"/>
            </w:tcBorders>
            <w:tcMar>
              <w:top w:w="0" w:type="dxa"/>
              <w:left w:w="108" w:type="dxa"/>
              <w:bottom w:w="0" w:type="dxa"/>
              <w:right w:w="108" w:type="dxa"/>
            </w:tcMar>
            <w:hideMark/>
          </w:tcPr>
          <w:p w14:paraId="7075B4E9" w14:textId="77777777" w:rsidR="00224C44" w:rsidRDefault="00224C44" w:rsidP="0091436C">
            <w:pPr>
              <w:spacing w:after="0" w:line="240" w:lineRule="auto"/>
              <w:rPr>
                <w:rFonts w:ascii="Arial" w:hAnsi="Arial" w:cs="Arial"/>
                <w:sz w:val="20"/>
                <w:szCs w:val="20"/>
              </w:rPr>
            </w:pPr>
            <w:r>
              <w:rPr>
                <w:rFonts w:ascii="Arial" w:hAnsi="Arial" w:cs="Arial"/>
                <w:sz w:val="20"/>
                <w:szCs w:val="20"/>
              </w:rPr>
              <w:t xml:space="preserve">Skupen izpad prihodkov zaradi znižanj trošarin energijskim produktom (goriva, kurilno olje, zemeljski plin), znižanje DDV iz 22% na 9,5%, znižanje CO2 taks, OVE +SPTE prispevkov. </w:t>
            </w:r>
          </w:p>
        </w:tc>
        <w:tc>
          <w:tcPr>
            <w:tcW w:w="1127" w:type="dxa"/>
            <w:tcBorders>
              <w:top w:val="single" w:sz="4" w:space="0" w:color="auto"/>
              <w:left w:val="single" w:sz="4" w:space="0" w:color="auto"/>
              <w:bottom w:val="single" w:sz="4" w:space="0" w:color="auto"/>
              <w:right w:val="single" w:sz="4" w:space="0" w:color="auto"/>
            </w:tcBorders>
            <w:hideMark/>
          </w:tcPr>
          <w:p w14:paraId="6EAA3A9D" w14:textId="77777777" w:rsidR="00224C44" w:rsidRDefault="00224C44" w:rsidP="0091436C">
            <w:pPr>
              <w:spacing w:after="0" w:line="240" w:lineRule="auto"/>
              <w:rPr>
                <w:rFonts w:ascii="Arial" w:hAnsi="Arial" w:cs="Arial"/>
                <w:sz w:val="20"/>
                <w:szCs w:val="20"/>
              </w:rPr>
            </w:pPr>
            <w:r>
              <w:rPr>
                <w:rFonts w:ascii="Arial" w:hAnsi="Arial" w:cs="Arial"/>
                <w:sz w:val="20"/>
                <w:szCs w:val="20"/>
              </w:rPr>
              <w:t>D.21</w:t>
            </w:r>
          </w:p>
        </w:tc>
        <w:tc>
          <w:tcPr>
            <w:tcW w:w="10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3978F80" w14:textId="77777777" w:rsidR="00224C44" w:rsidRDefault="00224C44" w:rsidP="0091436C">
            <w:pPr>
              <w:spacing w:after="0" w:line="240" w:lineRule="auto"/>
              <w:rPr>
                <w:rFonts w:ascii="Arial" w:hAnsi="Arial" w:cs="Arial"/>
                <w:sz w:val="20"/>
                <w:szCs w:val="20"/>
              </w:rPr>
            </w:pPr>
            <w:r>
              <w:rPr>
                <w:rFonts w:ascii="Arial" w:hAnsi="Arial" w:cs="Arial"/>
                <w:sz w:val="20"/>
                <w:szCs w:val="20"/>
              </w:rPr>
              <w:t>-211</w:t>
            </w:r>
          </w:p>
        </w:tc>
        <w:tc>
          <w:tcPr>
            <w:tcW w:w="108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868DBB8" w14:textId="77777777" w:rsidR="00224C44" w:rsidRDefault="00224C44" w:rsidP="0091436C">
            <w:pPr>
              <w:spacing w:after="0" w:line="240" w:lineRule="auto"/>
              <w:rPr>
                <w:rFonts w:ascii="Arial" w:hAnsi="Arial" w:cs="Arial"/>
                <w:sz w:val="20"/>
                <w:szCs w:val="20"/>
              </w:rPr>
            </w:pPr>
            <w:r>
              <w:rPr>
                <w:rFonts w:ascii="Arial" w:hAnsi="Arial" w:cs="Arial"/>
                <w:sz w:val="20"/>
                <w:szCs w:val="20"/>
              </w:rPr>
              <w:t>-164</w:t>
            </w:r>
          </w:p>
        </w:tc>
      </w:tr>
      <w:tr w:rsidR="00224C44" w14:paraId="3EC596FE" w14:textId="77777777" w:rsidTr="0091436C">
        <w:tc>
          <w:tcPr>
            <w:tcW w:w="1701" w:type="dxa"/>
            <w:tcBorders>
              <w:top w:val="nil"/>
              <w:left w:val="single" w:sz="8" w:space="0" w:color="auto"/>
              <w:bottom w:val="single" w:sz="8" w:space="0" w:color="auto"/>
              <w:right w:val="single" w:sz="4" w:space="0" w:color="auto"/>
            </w:tcBorders>
          </w:tcPr>
          <w:p w14:paraId="12A79153" w14:textId="77777777" w:rsidR="00224C44" w:rsidRDefault="00224C44" w:rsidP="0091436C">
            <w:pPr>
              <w:spacing w:after="0" w:line="240" w:lineRule="auto"/>
              <w:rPr>
                <w:rFonts w:ascii="Arial" w:hAnsi="Arial" w:cs="Arial"/>
                <w:sz w:val="20"/>
                <w:szCs w:val="20"/>
              </w:rPr>
            </w:pPr>
          </w:p>
        </w:tc>
        <w:tc>
          <w:tcPr>
            <w:tcW w:w="3392" w:type="dxa"/>
            <w:tcBorders>
              <w:top w:val="nil"/>
              <w:left w:val="single" w:sz="8" w:space="0" w:color="auto"/>
              <w:bottom w:val="single" w:sz="8" w:space="0" w:color="auto"/>
              <w:right w:val="single" w:sz="4" w:space="0" w:color="auto"/>
            </w:tcBorders>
            <w:tcMar>
              <w:top w:w="0" w:type="dxa"/>
              <w:left w:w="108" w:type="dxa"/>
              <w:bottom w:w="0" w:type="dxa"/>
              <w:right w:w="108" w:type="dxa"/>
            </w:tcMar>
            <w:hideMark/>
          </w:tcPr>
          <w:p w14:paraId="417EE6BB" w14:textId="77777777" w:rsidR="00224C44" w:rsidRDefault="00224C44" w:rsidP="0091436C">
            <w:pPr>
              <w:spacing w:after="0" w:line="240" w:lineRule="auto"/>
              <w:rPr>
                <w:rFonts w:ascii="Arial" w:hAnsi="Arial" w:cs="Arial"/>
                <w:sz w:val="20"/>
                <w:szCs w:val="20"/>
              </w:rPr>
            </w:pPr>
            <w:r>
              <w:rPr>
                <w:rFonts w:ascii="Arial" w:hAnsi="Arial" w:cs="Arial"/>
                <w:sz w:val="20"/>
                <w:szCs w:val="20"/>
              </w:rPr>
              <w:t xml:space="preserve">Prihodki </w:t>
            </w:r>
          </w:p>
        </w:tc>
        <w:tc>
          <w:tcPr>
            <w:tcW w:w="1127" w:type="dxa"/>
            <w:tcBorders>
              <w:top w:val="single" w:sz="4" w:space="0" w:color="auto"/>
              <w:left w:val="single" w:sz="4" w:space="0" w:color="auto"/>
              <w:bottom w:val="single" w:sz="4" w:space="0" w:color="auto"/>
              <w:right w:val="single" w:sz="4" w:space="0" w:color="auto"/>
            </w:tcBorders>
          </w:tcPr>
          <w:p w14:paraId="3C667C02" w14:textId="77777777" w:rsidR="00224C44" w:rsidRDefault="00224C44" w:rsidP="0091436C">
            <w:pPr>
              <w:spacing w:after="0" w:line="240" w:lineRule="auto"/>
              <w:rPr>
                <w:rFonts w:ascii="Arial" w:hAnsi="Arial" w:cs="Arial"/>
                <w:sz w:val="20"/>
                <w:szCs w:val="20"/>
              </w:rPr>
            </w:pPr>
          </w:p>
        </w:tc>
        <w:tc>
          <w:tcPr>
            <w:tcW w:w="10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2B03E08" w14:textId="77777777" w:rsidR="00224C44" w:rsidRDefault="00224C44" w:rsidP="0091436C">
            <w:pPr>
              <w:spacing w:after="0" w:line="240" w:lineRule="auto"/>
              <w:rPr>
                <w:rFonts w:ascii="Arial" w:hAnsi="Arial" w:cs="Arial"/>
                <w:sz w:val="20"/>
                <w:szCs w:val="20"/>
              </w:rPr>
            </w:pPr>
            <w:r>
              <w:rPr>
                <w:rFonts w:ascii="Arial" w:hAnsi="Arial" w:cs="Arial"/>
                <w:sz w:val="20"/>
                <w:szCs w:val="20"/>
              </w:rPr>
              <w:t>-211</w:t>
            </w:r>
          </w:p>
        </w:tc>
        <w:tc>
          <w:tcPr>
            <w:tcW w:w="108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E48828F" w14:textId="77777777" w:rsidR="00224C44" w:rsidRDefault="00224C44" w:rsidP="0091436C">
            <w:pPr>
              <w:spacing w:after="0" w:line="240" w:lineRule="auto"/>
              <w:rPr>
                <w:rFonts w:ascii="Arial" w:hAnsi="Arial" w:cs="Arial"/>
                <w:sz w:val="20"/>
                <w:szCs w:val="20"/>
              </w:rPr>
            </w:pPr>
            <w:r>
              <w:rPr>
                <w:rFonts w:ascii="Arial" w:hAnsi="Arial" w:cs="Arial"/>
                <w:sz w:val="20"/>
                <w:szCs w:val="20"/>
              </w:rPr>
              <w:t>-164</w:t>
            </w:r>
          </w:p>
        </w:tc>
      </w:tr>
      <w:tr w:rsidR="00224C44" w14:paraId="4D3FC67F" w14:textId="77777777" w:rsidTr="0091436C">
        <w:tc>
          <w:tcPr>
            <w:tcW w:w="1701" w:type="dxa"/>
            <w:tcBorders>
              <w:top w:val="nil"/>
              <w:left w:val="single" w:sz="8" w:space="0" w:color="auto"/>
              <w:bottom w:val="single" w:sz="8" w:space="0" w:color="auto"/>
              <w:right w:val="single" w:sz="4" w:space="0" w:color="auto"/>
            </w:tcBorders>
            <w:hideMark/>
          </w:tcPr>
          <w:p w14:paraId="3D3E6F9B" w14:textId="77777777" w:rsidR="00224C44" w:rsidRDefault="00224C44" w:rsidP="0091436C">
            <w:pPr>
              <w:spacing w:after="0" w:line="240" w:lineRule="auto"/>
              <w:rPr>
                <w:rFonts w:ascii="Arial" w:hAnsi="Arial" w:cs="Arial"/>
                <w:sz w:val="20"/>
                <w:szCs w:val="20"/>
              </w:rPr>
            </w:pPr>
            <w:r>
              <w:rPr>
                <w:rFonts w:ascii="Arial" w:hAnsi="Arial" w:cs="Arial"/>
                <w:sz w:val="20"/>
                <w:szCs w:val="20"/>
              </w:rPr>
              <w:t>Izdatkovna stran</w:t>
            </w:r>
          </w:p>
        </w:tc>
        <w:tc>
          <w:tcPr>
            <w:tcW w:w="3392" w:type="dxa"/>
            <w:tcBorders>
              <w:top w:val="nil"/>
              <w:left w:val="single" w:sz="8" w:space="0" w:color="auto"/>
              <w:bottom w:val="single" w:sz="8" w:space="0" w:color="auto"/>
              <w:right w:val="single" w:sz="4" w:space="0" w:color="auto"/>
            </w:tcBorders>
            <w:tcMar>
              <w:top w:w="0" w:type="dxa"/>
              <w:left w:w="108" w:type="dxa"/>
              <w:bottom w:w="0" w:type="dxa"/>
              <w:right w:w="108" w:type="dxa"/>
            </w:tcMar>
            <w:hideMark/>
          </w:tcPr>
          <w:p w14:paraId="1F4C6547" w14:textId="77777777" w:rsidR="00224C44" w:rsidRDefault="00224C44" w:rsidP="0091436C">
            <w:pPr>
              <w:spacing w:after="0" w:line="240" w:lineRule="auto"/>
              <w:rPr>
                <w:rFonts w:ascii="Arial" w:hAnsi="Arial" w:cs="Arial"/>
                <w:sz w:val="20"/>
                <w:szCs w:val="20"/>
              </w:rPr>
            </w:pPr>
            <w:r>
              <w:rPr>
                <w:rFonts w:ascii="Arial" w:hAnsi="Arial" w:cs="Arial"/>
                <w:sz w:val="20"/>
                <w:szCs w:val="20"/>
              </w:rPr>
              <w:t xml:space="preserve">Subvencije podjetjem za blaženje posledic povečanih cen energije;  podpora kmetijstvu in ribištvo, ohranitev delovnih mest; kompenzacija dobaviteljem električne energije in zemeljskega plina. </w:t>
            </w:r>
          </w:p>
        </w:tc>
        <w:tc>
          <w:tcPr>
            <w:tcW w:w="1127" w:type="dxa"/>
            <w:tcBorders>
              <w:top w:val="single" w:sz="4" w:space="0" w:color="auto"/>
              <w:left w:val="single" w:sz="4" w:space="0" w:color="auto"/>
              <w:bottom w:val="single" w:sz="4" w:space="0" w:color="auto"/>
              <w:right w:val="single" w:sz="4" w:space="0" w:color="auto"/>
            </w:tcBorders>
            <w:hideMark/>
          </w:tcPr>
          <w:p w14:paraId="50D611B5" w14:textId="77777777" w:rsidR="00224C44" w:rsidRDefault="00224C44" w:rsidP="0091436C">
            <w:pPr>
              <w:spacing w:after="0" w:line="240" w:lineRule="auto"/>
              <w:rPr>
                <w:rFonts w:ascii="Arial" w:hAnsi="Arial" w:cs="Arial"/>
                <w:sz w:val="20"/>
                <w:szCs w:val="20"/>
              </w:rPr>
            </w:pPr>
            <w:r>
              <w:rPr>
                <w:rFonts w:ascii="Arial" w:hAnsi="Arial" w:cs="Arial"/>
                <w:sz w:val="20"/>
                <w:szCs w:val="20"/>
              </w:rPr>
              <w:t>D3</w:t>
            </w:r>
          </w:p>
        </w:tc>
        <w:tc>
          <w:tcPr>
            <w:tcW w:w="10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F724072" w14:textId="77777777" w:rsidR="00224C44" w:rsidRDefault="00224C44" w:rsidP="0091436C">
            <w:pPr>
              <w:spacing w:after="0" w:line="240" w:lineRule="auto"/>
              <w:rPr>
                <w:rFonts w:ascii="Arial" w:hAnsi="Arial" w:cs="Arial"/>
                <w:sz w:val="20"/>
                <w:szCs w:val="20"/>
              </w:rPr>
            </w:pPr>
            <w:r>
              <w:rPr>
                <w:rFonts w:ascii="Arial" w:hAnsi="Arial" w:cs="Arial"/>
                <w:sz w:val="20"/>
                <w:szCs w:val="20"/>
              </w:rPr>
              <w:t>202</w:t>
            </w:r>
          </w:p>
        </w:tc>
        <w:tc>
          <w:tcPr>
            <w:tcW w:w="108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D1F1A47" w14:textId="77777777" w:rsidR="00224C44" w:rsidRDefault="00224C44" w:rsidP="0091436C">
            <w:pPr>
              <w:spacing w:after="0" w:line="240" w:lineRule="auto"/>
              <w:rPr>
                <w:rFonts w:ascii="Arial" w:hAnsi="Arial" w:cs="Arial"/>
                <w:sz w:val="20"/>
                <w:szCs w:val="20"/>
              </w:rPr>
            </w:pPr>
            <w:r w:rsidRPr="00B213C7">
              <w:rPr>
                <w:rFonts w:ascii="Arial" w:hAnsi="Arial" w:cs="Arial"/>
                <w:sz w:val="20"/>
                <w:szCs w:val="20"/>
              </w:rPr>
              <w:t>475</w:t>
            </w:r>
          </w:p>
        </w:tc>
      </w:tr>
      <w:tr w:rsidR="00224C44" w14:paraId="4D6EFA45" w14:textId="77777777" w:rsidTr="0091436C">
        <w:tc>
          <w:tcPr>
            <w:tcW w:w="1701" w:type="dxa"/>
            <w:tcBorders>
              <w:top w:val="nil"/>
              <w:left w:val="single" w:sz="8" w:space="0" w:color="auto"/>
              <w:bottom w:val="single" w:sz="8" w:space="0" w:color="auto"/>
              <w:right w:val="single" w:sz="4" w:space="0" w:color="auto"/>
            </w:tcBorders>
          </w:tcPr>
          <w:p w14:paraId="22AED287" w14:textId="77777777" w:rsidR="00224C44" w:rsidRDefault="00224C44" w:rsidP="0091436C">
            <w:pPr>
              <w:spacing w:after="0" w:line="240" w:lineRule="auto"/>
              <w:rPr>
                <w:rFonts w:ascii="Arial" w:hAnsi="Arial" w:cs="Arial"/>
                <w:sz w:val="20"/>
                <w:szCs w:val="20"/>
              </w:rPr>
            </w:pPr>
          </w:p>
        </w:tc>
        <w:tc>
          <w:tcPr>
            <w:tcW w:w="3392" w:type="dxa"/>
            <w:tcBorders>
              <w:top w:val="nil"/>
              <w:left w:val="single" w:sz="8" w:space="0" w:color="auto"/>
              <w:bottom w:val="single" w:sz="8" w:space="0" w:color="auto"/>
              <w:right w:val="single" w:sz="4" w:space="0" w:color="auto"/>
            </w:tcBorders>
            <w:tcMar>
              <w:top w:w="0" w:type="dxa"/>
              <w:left w:w="108" w:type="dxa"/>
              <w:bottom w:w="0" w:type="dxa"/>
              <w:right w:w="108" w:type="dxa"/>
            </w:tcMar>
            <w:hideMark/>
          </w:tcPr>
          <w:p w14:paraId="27CF3719" w14:textId="77777777" w:rsidR="00224C44" w:rsidRDefault="00224C44" w:rsidP="0091436C">
            <w:pPr>
              <w:spacing w:after="0" w:line="240" w:lineRule="auto"/>
              <w:rPr>
                <w:rFonts w:ascii="Arial" w:hAnsi="Arial" w:cs="Arial"/>
                <w:sz w:val="20"/>
                <w:szCs w:val="20"/>
              </w:rPr>
            </w:pPr>
            <w:r>
              <w:rPr>
                <w:rFonts w:ascii="Arial" w:hAnsi="Arial" w:cs="Arial"/>
                <w:sz w:val="20"/>
                <w:szCs w:val="20"/>
              </w:rPr>
              <w:t>Operater prenosnega omrežja elektroenergetskega sistema ELES - rekapitalizacija</w:t>
            </w:r>
          </w:p>
        </w:tc>
        <w:tc>
          <w:tcPr>
            <w:tcW w:w="1127" w:type="dxa"/>
            <w:tcBorders>
              <w:top w:val="single" w:sz="4" w:space="0" w:color="auto"/>
              <w:left w:val="single" w:sz="4" w:space="0" w:color="auto"/>
              <w:bottom w:val="single" w:sz="4" w:space="0" w:color="auto"/>
              <w:right w:val="single" w:sz="4" w:space="0" w:color="auto"/>
            </w:tcBorders>
            <w:hideMark/>
          </w:tcPr>
          <w:p w14:paraId="53817A72" w14:textId="77777777" w:rsidR="00224C44" w:rsidRDefault="00224C44" w:rsidP="0091436C">
            <w:pPr>
              <w:spacing w:after="0" w:line="240" w:lineRule="auto"/>
              <w:rPr>
                <w:rFonts w:ascii="Arial" w:hAnsi="Arial" w:cs="Arial"/>
                <w:sz w:val="20"/>
                <w:szCs w:val="20"/>
              </w:rPr>
            </w:pPr>
            <w:r>
              <w:rPr>
                <w:rFonts w:ascii="Arial" w:hAnsi="Arial" w:cs="Arial"/>
                <w:sz w:val="20"/>
                <w:szCs w:val="20"/>
              </w:rPr>
              <w:t>D3</w:t>
            </w:r>
          </w:p>
        </w:tc>
        <w:tc>
          <w:tcPr>
            <w:tcW w:w="10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9434261" w14:textId="77777777" w:rsidR="00224C44" w:rsidRDefault="00224C44" w:rsidP="0091436C">
            <w:pPr>
              <w:spacing w:after="0" w:line="240" w:lineRule="auto"/>
              <w:rPr>
                <w:rFonts w:ascii="Arial" w:hAnsi="Arial" w:cs="Arial"/>
                <w:sz w:val="20"/>
                <w:szCs w:val="20"/>
              </w:rPr>
            </w:pPr>
          </w:p>
        </w:tc>
        <w:tc>
          <w:tcPr>
            <w:tcW w:w="108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4564A59" w14:textId="77777777" w:rsidR="00224C44" w:rsidRDefault="00224C44" w:rsidP="0091436C">
            <w:pPr>
              <w:spacing w:after="0" w:line="240" w:lineRule="auto"/>
              <w:rPr>
                <w:rFonts w:ascii="Arial" w:hAnsi="Arial" w:cs="Arial"/>
                <w:sz w:val="20"/>
                <w:szCs w:val="20"/>
              </w:rPr>
            </w:pPr>
            <w:r>
              <w:rPr>
                <w:rFonts w:ascii="Arial" w:hAnsi="Arial" w:cs="Arial"/>
                <w:sz w:val="20"/>
                <w:szCs w:val="20"/>
              </w:rPr>
              <w:t xml:space="preserve">170 </w:t>
            </w:r>
          </w:p>
        </w:tc>
      </w:tr>
      <w:tr w:rsidR="00224C44" w14:paraId="1C701D46" w14:textId="77777777" w:rsidTr="0091436C">
        <w:tc>
          <w:tcPr>
            <w:tcW w:w="1701" w:type="dxa"/>
            <w:tcBorders>
              <w:top w:val="nil"/>
              <w:left w:val="single" w:sz="8" w:space="0" w:color="auto"/>
              <w:bottom w:val="single" w:sz="8" w:space="0" w:color="auto"/>
              <w:right w:val="single" w:sz="4" w:space="0" w:color="auto"/>
            </w:tcBorders>
          </w:tcPr>
          <w:p w14:paraId="3583FCEA" w14:textId="77777777" w:rsidR="00224C44" w:rsidRDefault="00224C44" w:rsidP="0091436C">
            <w:pPr>
              <w:spacing w:after="0" w:line="240" w:lineRule="auto"/>
              <w:rPr>
                <w:rFonts w:ascii="Arial" w:hAnsi="Arial" w:cs="Arial"/>
                <w:sz w:val="20"/>
                <w:szCs w:val="20"/>
              </w:rPr>
            </w:pPr>
          </w:p>
        </w:tc>
        <w:tc>
          <w:tcPr>
            <w:tcW w:w="3392" w:type="dxa"/>
            <w:tcBorders>
              <w:top w:val="nil"/>
              <w:left w:val="single" w:sz="8" w:space="0" w:color="auto"/>
              <w:bottom w:val="single" w:sz="8" w:space="0" w:color="auto"/>
              <w:right w:val="single" w:sz="4" w:space="0" w:color="auto"/>
            </w:tcBorders>
            <w:tcMar>
              <w:top w:w="0" w:type="dxa"/>
              <w:left w:w="108" w:type="dxa"/>
              <w:bottom w:w="0" w:type="dxa"/>
              <w:right w:w="108" w:type="dxa"/>
            </w:tcMar>
            <w:hideMark/>
          </w:tcPr>
          <w:p w14:paraId="238A5A4D" w14:textId="323FBA7E" w:rsidR="00224C44" w:rsidRDefault="00224C44" w:rsidP="0091436C">
            <w:pPr>
              <w:spacing w:after="0" w:line="240" w:lineRule="auto"/>
              <w:rPr>
                <w:rFonts w:ascii="Arial" w:hAnsi="Arial" w:cs="Arial"/>
                <w:sz w:val="20"/>
                <w:szCs w:val="20"/>
              </w:rPr>
            </w:pPr>
            <w:r>
              <w:rPr>
                <w:rFonts w:ascii="Arial" w:hAnsi="Arial" w:cs="Arial"/>
                <w:sz w:val="20"/>
                <w:szCs w:val="20"/>
              </w:rPr>
              <w:t>Socialni transferji gospodinjstvom v 2023; draginjski dodatki za otroke, dodatki najbolj ranljivim, omejitve dviga oskrbnin, nastanitve v ŠD, šolske malice</w:t>
            </w:r>
          </w:p>
        </w:tc>
        <w:tc>
          <w:tcPr>
            <w:tcW w:w="1127" w:type="dxa"/>
            <w:tcBorders>
              <w:top w:val="single" w:sz="4" w:space="0" w:color="auto"/>
              <w:left w:val="single" w:sz="4" w:space="0" w:color="auto"/>
              <w:bottom w:val="single" w:sz="4" w:space="0" w:color="auto"/>
              <w:right w:val="single" w:sz="4" w:space="0" w:color="auto"/>
            </w:tcBorders>
            <w:hideMark/>
          </w:tcPr>
          <w:p w14:paraId="0DB705C8" w14:textId="77777777" w:rsidR="00224C44" w:rsidRDefault="00224C44" w:rsidP="0091436C">
            <w:pPr>
              <w:spacing w:after="0" w:line="240" w:lineRule="auto"/>
              <w:rPr>
                <w:rFonts w:ascii="Arial" w:hAnsi="Arial" w:cs="Arial"/>
                <w:sz w:val="20"/>
                <w:szCs w:val="20"/>
              </w:rPr>
            </w:pPr>
            <w:r>
              <w:rPr>
                <w:rFonts w:ascii="Arial" w:hAnsi="Arial" w:cs="Arial"/>
                <w:sz w:val="20"/>
                <w:szCs w:val="20"/>
              </w:rPr>
              <w:t>D62/D63</w:t>
            </w:r>
          </w:p>
        </w:tc>
        <w:tc>
          <w:tcPr>
            <w:tcW w:w="10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16579E9" w14:textId="77777777" w:rsidR="00224C44" w:rsidRDefault="00224C44" w:rsidP="0091436C">
            <w:pPr>
              <w:spacing w:after="0" w:line="240" w:lineRule="auto"/>
              <w:rPr>
                <w:rFonts w:ascii="Arial" w:hAnsi="Arial" w:cs="Arial"/>
                <w:sz w:val="20"/>
                <w:szCs w:val="20"/>
              </w:rPr>
            </w:pPr>
            <w:r>
              <w:rPr>
                <w:rFonts w:ascii="Arial" w:hAnsi="Arial" w:cs="Arial"/>
                <w:sz w:val="20"/>
                <w:szCs w:val="20"/>
              </w:rPr>
              <w:t>197</w:t>
            </w:r>
          </w:p>
        </w:tc>
        <w:tc>
          <w:tcPr>
            <w:tcW w:w="108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D02B895" w14:textId="77777777" w:rsidR="00224C44" w:rsidRDefault="00224C44" w:rsidP="0091436C">
            <w:pPr>
              <w:spacing w:after="0" w:line="240" w:lineRule="auto"/>
              <w:rPr>
                <w:rFonts w:ascii="Arial" w:hAnsi="Arial" w:cs="Arial"/>
                <w:sz w:val="20"/>
                <w:szCs w:val="20"/>
              </w:rPr>
            </w:pPr>
            <w:r>
              <w:rPr>
                <w:rFonts w:ascii="Arial" w:hAnsi="Arial" w:cs="Arial"/>
                <w:sz w:val="20"/>
                <w:szCs w:val="20"/>
              </w:rPr>
              <w:t>42</w:t>
            </w:r>
          </w:p>
        </w:tc>
      </w:tr>
      <w:tr w:rsidR="00224C44" w14:paraId="48771363" w14:textId="77777777" w:rsidTr="0091436C">
        <w:tc>
          <w:tcPr>
            <w:tcW w:w="1701" w:type="dxa"/>
            <w:tcBorders>
              <w:top w:val="nil"/>
              <w:left w:val="single" w:sz="8" w:space="0" w:color="auto"/>
              <w:bottom w:val="single" w:sz="8" w:space="0" w:color="auto"/>
              <w:right w:val="single" w:sz="4" w:space="0" w:color="auto"/>
            </w:tcBorders>
          </w:tcPr>
          <w:p w14:paraId="141FC4B3" w14:textId="77777777" w:rsidR="00224C44" w:rsidRDefault="00224C44" w:rsidP="0091436C">
            <w:pPr>
              <w:spacing w:after="0" w:line="240" w:lineRule="auto"/>
              <w:rPr>
                <w:rFonts w:ascii="Arial" w:hAnsi="Arial" w:cs="Arial"/>
                <w:sz w:val="20"/>
                <w:szCs w:val="20"/>
              </w:rPr>
            </w:pPr>
          </w:p>
        </w:tc>
        <w:tc>
          <w:tcPr>
            <w:tcW w:w="3392" w:type="dxa"/>
            <w:tcBorders>
              <w:top w:val="nil"/>
              <w:left w:val="single" w:sz="8" w:space="0" w:color="auto"/>
              <w:bottom w:val="single" w:sz="8" w:space="0" w:color="auto"/>
              <w:right w:val="single" w:sz="4" w:space="0" w:color="auto"/>
            </w:tcBorders>
            <w:tcMar>
              <w:top w:w="0" w:type="dxa"/>
              <w:left w:w="108" w:type="dxa"/>
              <w:bottom w:w="0" w:type="dxa"/>
              <w:right w:w="108" w:type="dxa"/>
            </w:tcMar>
            <w:hideMark/>
          </w:tcPr>
          <w:p w14:paraId="21C9B855" w14:textId="77777777" w:rsidR="00224C44" w:rsidRDefault="00224C44" w:rsidP="0091436C">
            <w:pPr>
              <w:spacing w:after="0" w:line="240" w:lineRule="auto"/>
              <w:rPr>
                <w:rFonts w:ascii="Arial" w:hAnsi="Arial" w:cs="Arial"/>
                <w:sz w:val="20"/>
                <w:szCs w:val="20"/>
              </w:rPr>
            </w:pPr>
            <w:r>
              <w:rPr>
                <w:rFonts w:ascii="Arial" w:hAnsi="Arial" w:cs="Arial"/>
                <w:sz w:val="20"/>
                <w:szCs w:val="20"/>
              </w:rPr>
              <w:t>Izdatki</w:t>
            </w:r>
          </w:p>
        </w:tc>
        <w:tc>
          <w:tcPr>
            <w:tcW w:w="1127" w:type="dxa"/>
            <w:tcBorders>
              <w:top w:val="single" w:sz="4" w:space="0" w:color="auto"/>
              <w:left w:val="single" w:sz="4" w:space="0" w:color="auto"/>
              <w:bottom w:val="single" w:sz="4" w:space="0" w:color="auto"/>
              <w:right w:val="single" w:sz="4" w:space="0" w:color="auto"/>
            </w:tcBorders>
          </w:tcPr>
          <w:p w14:paraId="52B15C49" w14:textId="77777777" w:rsidR="00224C44" w:rsidRDefault="00224C44" w:rsidP="0091436C">
            <w:pPr>
              <w:spacing w:after="0" w:line="240" w:lineRule="auto"/>
              <w:rPr>
                <w:rFonts w:ascii="Arial" w:hAnsi="Arial" w:cs="Arial"/>
                <w:sz w:val="20"/>
                <w:szCs w:val="20"/>
              </w:rPr>
            </w:pPr>
          </w:p>
        </w:tc>
        <w:tc>
          <w:tcPr>
            <w:tcW w:w="10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92E3A54" w14:textId="77777777" w:rsidR="00224C44" w:rsidRDefault="00224C44" w:rsidP="0091436C">
            <w:pPr>
              <w:spacing w:after="0" w:line="240" w:lineRule="auto"/>
              <w:rPr>
                <w:rFonts w:ascii="Arial" w:hAnsi="Arial" w:cs="Arial"/>
                <w:sz w:val="20"/>
                <w:szCs w:val="20"/>
              </w:rPr>
            </w:pPr>
            <w:r>
              <w:rPr>
                <w:rFonts w:ascii="Arial" w:hAnsi="Arial" w:cs="Arial"/>
                <w:sz w:val="20"/>
                <w:szCs w:val="20"/>
              </w:rPr>
              <w:t>398</w:t>
            </w:r>
          </w:p>
        </w:tc>
        <w:tc>
          <w:tcPr>
            <w:tcW w:w="108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D80923C" w14:textId="77777777" w:rsidR="00224C44" w:rsidRDefault="00224C44" w:rsidP="0091436C">
            <w:pPr>
              <w:spacing w:after="0" w:line="240" w:lineRule="auto"/>
              <w:rPr>
                <w:rFonts w:ascii="Arial" w:hAnsi="Arial" w:cs="Arial"/>
                <w:sz w:val="20"/>
                <w:szCs w:val="20"/>
              </w:rPr>
            </w:pPr>
            <w:r>
              <w:rPr>
                <w:rFonts w:ascii="Arial" w:hAnsi="Arial" w:cs="Arial"/>
                <w:sz w:val="20"/>
                <w:szCs w:val="20"/>
              </w:rPr>
              <w:t>687</w:t>
            </w:r>
          </w:p>
        </w:tc>
      </w:tr>
    </w:tbl>
    <w:p w14:paraId="1B2FA618" w14:textId="77777777" w:rsidR="00224C44" w:rsidRPr="00EA77AE" w:rsidRDefault="00224C44" w:rsidP="00224C44">
      <w:pPr>
        <w:pStyle w:val="NormalWeb"/>
        <w:spacing w:before="0" w:beforeAutospacing="0" w:after="0" w:afterAutospacing="0"/>
        <w:rPr>
          <w:rFonts w:ascii="Arial" w:hAnsi="Arial" w:cs="Arial"/>
          <w:sz w:val="20"/>
          <w:szCs w:val="20"/>
        </w:rPr>
      </w:pPr>
      <w:r w:rsidRPr="00EA77AE">
        <w:rPr>
          <w:rFonts w:ascii="Arial" w:hAnsi="Arial" w:cs="Arial"/>
          <w:sz w:val="20"/>
          <w:szCs w:val="20"/>
        </w:rPr>
        <w:t xml:space="preserve">Vir: Ministrstvo za finance </w:t>
      </w:r>
    </w:p>
    <w:p w14:paraId="0E039421" w14:textId="77777777" w:rsidR="00224C44" w:rsidRDefault="00224C44" w:rsidP="00224C44">
      <w:pPr>
        <w:pStyle w:val="NormalWeb"/>
        <w:spacing w:before="0" w:beforeAutospacing="0" w:after="0" w:afterAutospacing="0" w:line="259" w:lineRule="auto"/>
        <w:rPr>
          <w:rFonts w:ascii="Arial" w:hAnsi="Arial" w:cs="Arial"/>
          <w:sz w:val="22"/>
          <w:szCs w:val="22"/>
        </w:rPr>
      </w:pPr>
    </w:p>
    <w:p w14:paraId="3A566C50" w14:textId="59136258" w:rsidR="00224C44" w:rsidRPr="00180436" w:rsidRDefault="00224C44" w:rsidP="00224C44">
      <w:pPr>
        <w:pStyle w:val="NormalWeb"/>
        <w:spacing w:before="0" w:beforeAutospacing="0" w:after="0" w:afterAutospacing="0" w:line="259" w:lineRule="auto"/>
        <w:jc w:val="both"/>
        <w:rPr>
          <w:rFonts w:ascii="Arial" w:hAnsi="Arial" w:cs="Arial"/>
          <w:sz w:val="22"/>
          <w:szCs w:val="22"/>
        </w:rPr>
      </w:pPr>
      <w:r w:rsidRPr="00180436">
        <w:rPr>
          <w:rFonts w:ascii="Arial" w:hAnsi="Arial" w:cs="Arial"/>
          <w:sz w:val="22"/>
          <w:szCs w:val="22"/>
        </w:rPr>
        <w:t xml:space="preserve">V paketu ukrepov za leto 2023 so bili v podporo gospodarstvu sprejeti tudi ukrepi za skrajšan delovni čas in za začasno odsotnost z dela, ki so namenjeni podjetjem, ki bi jih upad proizvodnje zaradi pomanjkanja energentov spravil v težave na področju stroškov dela in omejevanja delovne sile. </w:t>
      </w:r>
    </w:p>
    <w:p w14:paraId="10CD7E52" w14:textId="77777777" w:rsidR="00046336" w:rsidRDefault="00046336" w:rsidP="00224C44">
      <w:pPr>
        <w:pStyle w:val="NormalWeb"/>
        <w:spacing w:before="0" w:beforeAutospacing="0" w:after="0" w:afterAutospacing="0" w:line="259" w:lineRule="auto"/>
        <w:jc w:val="both"/>
        <w:rPr>
          <w:rFonts w:ascii="Arial" w:hAnsi="Arial" w:cs="Arial"/>
          <w:sz w:val="22"/>
          <w:szCs w:val="22"/>
        </w:rPr>
      </w:pPr>
    </w:p>
    <w:p w14:paraId="138F41E0" w14:textId="44D817AE" w:rsidR="00224C44" w:rsidRPr="00180436" w:rsidRDefault="00224C44" w:rsidP="00224C44">
      <w:pPr>
        <w:pStyle w:val="NormalWeb"/>
        <w:spacing w:before="0" w:beforeAutospacing="0" w:after="0" w:afterAutospacing="0" w:line="259" w:lineRule="auto"/>
        <w:jc w:val="both"/>
        <w:rPr>
          <w:rFonts w:ascii="Arial" w:hAnsi="Arial" w:cs="Arial"/>
          <w:sz w:val="22"/>
          <w:szCs w:val="22"/>
        </w:rPr>
      </w:pPr>
      <w:r w:rsidRPr="00180436">
        <w:rPr>
          <w:rFonts w:ascii="Arial" w:hAnsi="Arial" w:cs="Arial"/>
          <w:sz w:val="22"/>
          <w:szCs w:val="22"/>
        </w:rPr>
        <w:lastRenderedPageBreak/>
        <w:t>Manjši del izplačil pomoči podjetjem se glede na zakonsko časovnico pričakuje tudi še v letu 2024</w:t>
      </w:r>
      <w:r w:rsidR="00046336">
        <w:rPr>
          <w:rFonts w:ascii="Arial" w:hAnsi="Arial" w:cs="Arial"/>
          <w:sz w:val="22"/>
          <w:szCs w:val="22"/>
        </w:rPr>
        <w:t xml:space="preserve"> (cash flow, po ESA se šteje v leto 2023)</w:t>
      </w:r>
      <w:r w:rsidRPr="00180436">
        <w:rPr>
          <w:rFonts w:ascii="Arial" w:hAnsi="Arial" w:cs="Arial"/>
          <w:sz w:val="22"/>
          <w:szCs w:val="22"/>
        </w:rPr>
        <w:t>. Poleg teh ukrepov z neposrednim javnofinančnim učinkom so bili sprejeti tudi poroštveni zakoni za elektroenergetska podjetja (292 mio EUR) in drugi likvidnostni ukrepi za sistemskega operaterja prenosnega omrežja v RS, preko SID banke pa so bila omogočena tudi likvidnostna posojila za podjetja.</w:t>
      </w:r>
    </w:p>
    <w:p w14:paraId="3F8097C6" w14:textId="77777777" w:rsidR="00180436" w:rsidRDefault="00180436" w:rsidP="00BE58A1">
      <w:pPr>
        <w:pStyle w:val="NormalWeb"/>
        <w:spacing w:before="0" w:beforeAutospacing="0" w:after="0" w:afterAutospacing="0" w:line="259" w:lineRule="auto"/>
        <w:rPr>
          <w:rFonts w:ascii="Arial" w:hAnsi="Arial" w:cs="Arial"/>
          <w:sz w:val="22"/>
          <w:szCs w:val="22"/>
        </w:rPr>
      </w:pPr>
    </w:p>
    <w:p w14:paraId="6D3FAF16" w14:textId="1439C169" w:rsidR="00622B54" w:rsidRPr="008646FA" w:rsidRDefault="00622B54" w:rsidP="009B2688">
      <w:pPr>
        <w:pStyle w:val="NormalWeb"/>
        <w:numPr>
          <w:ilvl w:val="0"/>
          <w:numId w:val="15"/>
        </w:numPr>
        <w:rPr>
          <w:rFonts w:ascii="Arial" w:hAnsi="Arial" w:cs="Arial"/>
          <w:b/>
          <w:bCs/>
          <w:sz w:val="22"/>
          <w:szCs w:val="22"/>
        </w:rPr>
      </w:pPr>
      <w:r w:rsidRPr="008646FA">
        <w:rPr>
          <w:rFonts w:ascii="Arial" w:hAnsi="Arial" w:cs="Arial"/>
          <w:b/>
          <w:bCs/>
          <w:sz w:val="22"/>
          <w:szCs w:val="22"/>
        </w:rPr>
        <w:t>Poplave</w:t>
      </w:r>
      <w:r w:rsidR="00962ED1">
        <w:rPr>
          <w:rFonts w:ascii="Arial" w:hAnsi="Arial" w:cs="Arial"/>
          <w:b/>
          <w:bCs/>
          <w:sz w:val="22"/>
          <w:szCs w:val="22"/>
        </w:rPr>
        <w:t xml:space="preserve"> (enkratni izdatki)</w:t>
      </w:r>
    </w:p>
    <w:p w14:paraId="7B26839A" w14:textId="0BC5E511" w:rsidR="00224C44" w:rsidRDefault="00224C44" w:rsidP="00224C44">
      <w:pPr>
        <w:pStyle w:val="NormalWeb"/>
        <w:spacing w:before="0" w:beforeAutospacing="0" w:after="0" w:afterAutospacing="0" w:line="259" w:lineRule="auto"/>
        <w:jc w:val="both"/>
        <w:rPr>
          <w:rFonts w:ascii="Arial" w:hAnsi="Arial" w:cs="Arial"/>
          <w:sz w:val="22"/>
          <w:szCs w:val="22"/>
        </w:rPr>
      </w:pPr>
      <w:r w:rsidRPr="00F95EAC">
        <w:rPr>
          <w:rFonts w:ascii="Arial" w:hAnsi="Arial" w:cs="Arial"/>
          <w:sz w:val="22"/>
          <w:szCs w:val="22"/>
        </w:rPr>
        <w:t>V letu 2023 so Slovenijo prizadele številne naravne nesreče predvsem hujš</w:t>
      </w:r>
      <w:r>
        <w:rPr>
          <w:rFonts w:ascii="Arial" w:hAnsi="Arial" w:cs="Arial"/>
          <w:sz w:val="22"/>
          <w:szCs w:val="22"/>
        </w:rPr>
        <w:t>a</w:t>
      </w:r>
      <w:r w:rsidRPr="00F95EAC">
        <w:rPr>
          <w:rFonts w:ascii="Arial" w:hAnsi="Arial" w:cs="Arial"/>
          <w:sz w:val="22"/>
          <w:szCs w:val="22"/>
        </w:rPr>
        <w:t xml:space="preserve"> vremensk</w:t>
      </w:r>
      <w:r>
        <w:rPr>
          <w:rFonts w:ascii="Arial" w:hAnsi="Arial" w:cs="Arial"/>
          <w:sz w:val="22"/>
          <w:szCs w:val="22"/>
        </w:rPr>
        <w:t>a</w:t>
      </w:r>
      <w:r w:rsidRPr="00F95EAC">
        <w:rPr>
          <w:rFonts w:ascii="Arial" w:hAnsi="Arial" w:cs="Arial"/>
          <w:sz w:val="22"/>
          <w:szCs w:val="22"/>
        </w:rPr>
        <w:t xml:space="preserve"> neur</w:t>
      </w:r>
      <w:r>
        <w:rPr>
          <w:rFonts w:ascii="Arial" w:hAnsi="Arial" w:cs="Arial"/>
          <w:sz w:val="22"/>
          <w:szCs w:val="22"/>
        </w:rPr>
        <w:t>ja</w:t>
      </w:r>
      <w:r w:rsidRPr="00F95EAC">
        <w:rPr>
          <w:rFonts w:ascii="Arial" w:hAnsi="Arial" w:cs="Arial"/>
          <w:sz w:val="22"/>
          <w:szCs w:val="22"/>
        </w:rPr>
        <w:t>. Škodo so povzročale predvsem preobilne padavine, toča in orkanski veter. Škodni dogodki so se zgodili predvsem v dveh obdobjih z vremenskimi ujmami v maju ter dveh v mesecu juliju, v avgustu 2023 pa so nato sledile še katastrofalne poplave.</w:t>
      </w:r>
      <w:r>
        <w:rPr>
          <w:rFonts w:ascii="Arial" w:hAnsi="Arial" w:cs="Arial"/>
          <w:sz w:val="22"/>
          <w:szCs w:val="22"/>
        </w:rPr>
        <w:t xml:space="preserve"> Prva hitra pomoč države je bila namenjena transferju 10 mio EUR Rdečemu križu in Karitasu za pomoč ljudem.  Zatem sta bila  sprejeta Z</w:t>
      </w:r>
      <w:r w:rsidRPr="00F95EAC">
        <w:rPr>
          <w:rFonts w:ascii="Arial" w:hAnsi="Arial" w:cs="Arial"/>
          <w:sz w:val="22"/>
          <w:szCs w:val="22"/>
        </w:rPr>
        <w:t>akona o spremembah in dopolnitvah Zakona o odpravi posledic naravnih nesreč</w:t>
      </w:r>
      <w:r>
        <w:rPr>
          <w:rFonts w:ascii="Arial" w:hAnsi="Arial" w:cs="Arial"/>
          <w:sz w:val="22"/>
          <w:szCs w:val="22"/>
        </w:rPr>
        <w:t xml:space="preserve"> (ZOPNN-F) in Zakon o</w:t>
      </w:r>
      <w:r w:rsidRPr="00F95EAC">
        <w:rPr>
          <w:rFonts w:ascii="Arial" w:hAnsi="Arial" w:cs="Arial"/>
          <w:sz w:val="22"/>
          <w:szCs w:val="22"/>
        </w:rPr>
        <w:t xml:space="preserve"> </w:t>
      </w:r>
      <w:r>
        <w:rPr>
          <w:rFonts w:ascii="Arial" w:hAnsi="Arial" w:cs="Arial"/>
          <w:sz w:val="22"/>
          <w:szCs w:val="22"/>
        </w:rPr>
        <w:t>inter</w:t>
      </w:r>
      <w:r w:rsidRPr="00F95EAC">
        <w:rPr>
          <w:rFonts w:ascii="Arial" w:hAnsi="Arial" w:cs="Arial"/>
          <w:sz w:val="22"/>
          <w:szCs w:val="22"/>
        </w:rPr>
        <w:t>ventn</w:t>
      </w:r>
      <w:r>
        <w:rPr>
          <w:rFonts w:ascii="Arial" w:hAnsi="Arial" w:cs="Arial"/>
          <w:sz w:val="22"/>
          <w:szCs w:val="22"/>
        </w:rPr>
        <w:t>ih</w:t>
      </w:r>
      <w:r w:rsidRPr="00F95EAC">
        <w:rPr>
          <w:rFonts w:ascii="Arial" w:hAnsi="Arial" w:cs="Arial"/>
          <w:sz w:val="22"/>
          <w:szCs w:val="22"/>
        </w:rPr>
        <w:t xml:space="preserve"> ukrep</w:t>
      </w:r>
      <w:r>
        <w:rPr>
          <w:rFonts w:ascii="Arial" w:hAnsi="Arial" w:cs="Arial"/>
          <w:sz w:val="22"/>
          <w:szCs w:val="22"/>
        </w:rPr>
        <w:t xml:space="preserve">ih za odpravo posledic </w:t>
      </w:r>
      <w:r w:rsidRPr="00F95EAC">
        <w:rPr>
          <w:rFonts w:ascii="Arial" w:hAnsi="Arial" w:cs="Arial"/>
          <w:sz w:val="22"/>
          <w:szCs w:val="22"/>
        </w:rPr>
        <w:t>poplav in zemeljsk</w:t>
      </w:r>
      <w:r>
        <w:rPr>
          <w:rFonts w:ascii="Arial" w:hAnsi="Arial" w:cs="Arial"/>
          <w:sz w:val="22"/>
          <w:szCs w:val="22"/>
        </w:rPr>
        <w:t>ih</w:t>
      </w:r>
      <w:r w:rsidRPr="00F95EAC">
        <w:rPr>
          <w:rFonts w:ascii="Arial" w:hAnsi="Arial" w:cs="Arial"/>
          <w:sz w:val="22"/>
          <w:szCs w:val="22"/>
        </w:rPr>
        <w:t xml:space="preserve"> plaz</w:t>
      </w:r>
      <w:r>
        <w:rPr>
          <w:rFonts w:ascii="Arial" w:hAnsi="Arial" w:cs="Arial"/>
          <w:sz w:val="22"/>
          <w:szCs w:val="22"/>
        </w:rPr>
        <w:t>ov iz avgusta 2023 (ZIUOPZP, Ur. l. št. 95/23, 31. 8. 2023)</w:t>
      </w:r>
      <w:r w:rsidRPr="00F95EAC">
        <w:rPr>
          <w:rFonts w:ascii="Arial" w:hAnsi="Arial" w:cs="Arial"/>
          <w:sz w:val="22"/>
          <w:szCs w:val="22"/>
        </w:rPr>
        <w:t xml:space="preserve">. V </w:t>
      </w:r>
      <w:r>
        <w:rPr>
          <w:rFonts w:ascii="Arial" w:hAnsi="Arial" w:cs="Arial"/>
          <w:sz w:val="22"/>
          <w:szCs w:val="22"/>
        </w:rPr>
        <w:t xml:space="preserve">pripravi pa je tudi </w:t>
      </w:r>
      <w:r w:rsidR="00CA4BD9">
        <w:rPr>
          <w:rFonts w:ascii="Arial" w:hAnsi="Arial" w:cs="Arial"/>
          <w:sz w:val="22"/>
          <w:szCs w:val="22"/>
        </w:rPr>
        <w:t>nov z</w:t>
      </w:r>
      <w:r w:rsidR="00620A85" w:rsidRPr="003605E8">
        <w:rPr>
          <w:rFonts w:ascii="Arial" w:hAnsi="Arial" w:cs="Arial"/>
          <w:sz w:val="22"/>
          <w:szCs w:val="22"/>
        </w:rPr>
        <w:t>akon o obnovi, razvoju in ukrepih za zagotovitev sredstev za odpravo posledic poplav,</w:t>
      </w:r>
      <w:r w:rsidR="00620A85" w:rsidRPr="00620A85">
        <w:rPr>
          <w:rFonts w:ascii="Arial" w:hAnsi="Arial" w:cs="Arial"/>
          <w:sz w:val="22"/>
          <w:szCs w:val="22"/>
        </w:rPr>
        <w:t xml:space="preserve"> </w:t>
      </w:r>
      <w:r>
        <w:rPr>
          <w:rFonts w:ascii="Arial" w:hAnsi="Arial" w:cs="Arial"/>
          <w:sz w:val="22"/>
          <w:szCs w:val="22"/>
        </w:rPr>
        <w:t xml:space="preserve">ki bo celovito naslovil odpravo posledic naravne nesreče in nadaljnji razvoj prizadetih območjih ter širše ukrepe proti naravnimi nesrečami. </w:t>
      </w:r>
    </w:p>
    <w:p w14:paraId="0F93B51E" w14:textId="77777777" w:rsidR="00224C44" w:rsidRDefault="00224C44" w:rsidP="00224C44">
      <w:pPr>
        <w:pStyle w:val="NormalWeb"/>
        <w:spacing w:before="0" w:beforeAutospacing="0" w:after="0" w:afterAutospacing="0" w:line="259" w:lineRule="auto"/>
        <w:jc w:val="both"/>
        <w:rPr>
          <w:rFonts w:ascii="Arial" w:hAnsi="Arial" w:cs="Arial"/>
          <w:sz w:val="22"/>
          <w:szCs w:val="22"/>
        </w:rPr>
      </w:pPr>
    </w:p>
    <w:p w14:paraId="3097F147" w14:textId="2F183FAB" w:rsidR="00224C44" w:rsidRDefault="00DF2161" w:rsidP="00224C44">
      <w:pPr>
        <w:pStyle w:val="NormalWeb"/>
        <w:spacing w:before="0" w:beforeAutospacing="0" w:after="0" w:afterAutospacing="0" w:line="259" w:lineRule="auto"/>
        <w:jc w:val="both"/>
        <w:rPr>
          <w:rFonts w:ascii="Arial" w:hAnsi="Arial" w:cs="Arial"/>
          <w:sz w:val="22"/>
          <w:szCs w:val="22"/>
        </w:rPr>
      </w:pPr>
      <w:r>
        <w:rPr>
          <w:rFonts w:ascii="Arial" w:hAnsi="Arial" w:cs="Arial"/>
          <w:sz w:val="22"/>
          <w:szCs w:val="22"/>
        </w:rPr>
        <w:t xml:space="preserve">Z </w:t>
      </w:r>
      <w:r w:rsidR="00224C44">
        <w:rPr>
          <w:rFonts w:ascii="Arial" w:hAnsi="Arial" w:cs="Arial"/>
          <w:sz w:val="22"/>
          <w:szCs w:val="22"/>
        </w:rPr>
        <w:t xml:space="preserve">ZOPNN-F se je v 11a členu (dodelitev predplačil) uveljavila možnost predplačil lokalnim skupnostim za </w:t>
      </w:r>
      <w:r w:rsidR="00046336">
        <w:rPr>
          <w:rFonts w:ascii="Arial" w:hAnsi="Arial" w:cs="Arial"/>
          <w:sz w:val="22"/>
          <w:szCs w:val="22"/>
        </w:rPr>
        <w:t>odpravo posledic škode</w:t>
      </w:r>
      <w:r w:rsidR="00224C44">
        <w:rPr>
          <w:rFonts w:ascii="Arial" w:hAnsi="Arial" w:cs="Arial"/>
          <w:sz w:val="22"/>
          <w:szCs w:val="22"/>
        </w:rPr>
        <w:t xml:space="preserve"> v višini 40%. Prav tako pa je bilo s to spremembo zagotovljeno povračilo pomoči za neurja med mesecem majem in julijem 2023, ko je bila škoda ocenjena na okoli 85 mio EUR. </w:t>
      </w:r>
      <w:r w:rsidR="00224C44" w:rsidRPr="00DE4DCA">
        <w:rPr>
          <w:rFonts w:ascii="Arial" w:hAnsi="Arial" w:cs="Arial"/>
          <w:sz w:val="22"/>
          <w:szCs w:val="22"/>
        </w:rPr>
        <w:t xml:space="preserve">Sprejete spremembe opredeljujejo ukrepe tudi na področju </w:t>
      </w:r>
      <w:r w:rsidR="00224C44" w:rsidRPr="00DF2161">
        <w:rPr>
          <w:rFonts w:ascii="Arial" w:hAnsi="Arial" w:cs="Arial"/>
          <w:sz w:val="22"/>
          <w:szCs w:val="22"/>
        </w:rPr>
        <w:t>dela</w:t>
      </w:r>
      <w:r>
        <w:rPr>
          <w:rFonts w:ascii="Arial" w:hAnsi="Arial" w:cs="Arial"/>
          <w:sz w:val="22"/>
          <w:szCs w:val="22"/>
        </w:rPr>
        <w:t>,</w:t>
      </w:r>
      <w:r w:rsidR="00224C44" w:rsidRPr="00DF2161">
        <w:rPr>
          <w:rFonts w:ascii="Arial" w:hAnsi="Arial" w:cs="Arial"/>
          <w:sz w:val="22"/>
          <w:szCs w:val="22"/>
        </w:rPr>
        <w:t xml:space="preserve"> i</w:t>
      </w:r>
      <w:r w:rsidR="00224C44" w:rsidRPr="00DE4DCA">
        <w:rPr>
          <w:rFonts w:ascii="Arial" w:hAnsi="Arial" w:cs="Arial"/>
          <w:sz w:val="22"/>
          <w:szCs w:val="22"/>
        </w:rPr>
        <w:t>n sicer povračilo nadomestila plače delavcem zaradi nezmožnosti opravljanja dela zaradi višje sile zaradi posledic naravne nesreče, ukrep na področju plačane odsotnosti delavca ter začasni ukrep delnega povračila plače delavcem na začasnem čakanju na delo. Po podatkih ZRSZ je bilo do sredine septembra oddanih 2.314 vlog za 20.116 oseb za namen delnega povračila nadomestila plače delavcem.</w:t>
      </w:r>
    </w:p>
    <w:p w14:paraId="500FFF2B" w14:textId="77777777" w:rsidR="00224C44" w:rsidRDefault="00224C44" w:rsidP="00224C44">
      <w:pPr>
        <w:pStyle w:val="NormalWeb"/>
        <w:spacing w:before="0" w:beforeAutospacing="0" w:after="0" w:afterAutospacing="0" w:line="259" w:lineRule="auto"/>
        <w:jc w:val="both"/>
        <w:rPr>
          <w:rFonts w:ascii="Arial" w:hAnsi="Arial" w:cs="Arial"/>
          <w:sz w:val="22"/>
          <w:szCs w:val="22"/>
        </w:rPr>
      </w:pPr>
    </w:p>
    <w:p w14:paraId="10BCEE50" w14:textId="77777777" w:rsidR="00224C44" w:rsidRPr="00B9180D" w:rsidRDefault="00224C44" w:rsidP="00224C44">
      <w:pPr>
        <w:pStyle w:val="besedilo"/>
        <w:rPr>
          <w:rFonts w:ascii="Arial" w:eastAsiaTheme="majorEastAsia" w:hAnsi="Arial" w:cs="Arial"/>
          <w:sz w:val="22"/>
        </w:rPr>
      </w:pPr>
      <w:r w:rsidRPr="00B9180D">
        <w:rPr>
          <w:rFonts w:ascii="Arial" w:hAnsi="Arial" w:cs="Arial"/>
          <w:sz w:val="22"/>
        </w:rPr>
        <w:t>V interventnem zakonu (ZIUOPZP) so bili sprejeti ukrepi med drugim za:</w:t>
      </w:r>
    </w:p>
    <w:p w14:paraId="3B0F36CC" w14:textId="77777777" w:rsidR="00224C44" w:rsidRPr="00B9180D" w:rsidRDefault="00224C44" w:rsidP="00224C44">
      <w:pPr>
        <w:pStyle w:val="besedilo"/>
        <w:numPr>
          <w:ilvl w:val="0"/>
          <w:numId w:val="23"/>
        </w:numPr>
        <w:rPr>
          <w:rFonts w:ascii="Arial" w:hAnsi="Arial" w:cs="Arial"/>
          <w:sz w:val="22"/>
        </w:rPr>
      </w:pPr>
      <w:r w:rsidRPr="00B9180D">
        <w:rPr>
          <w:rFonts w:ascii="Arial" w:hAnsi="Arial" w:cs="Arial"/>
          <w:sz w:val="22"/>
        </w:rPr>
        <w:t>obnovo infrastrukture lokalnih skupnostih in način financiranja</w:t>
      </w:r>
      <w:r>
        <w:rPr>
          <w:rFonts w:ascii="Arial" w:hAnsi="Arial" w:cs="Arial"/>
          <w:sz w:val="22"/>
        </w:rPr>
        <w:t>,</w:t>
      </w:r>
    </w:p>
    <w:p w14:paraId="51B611BD" w14:textId="77777777" w:rsidR="00224C44" w:rsidRPr="00B9180D" w:rsidRDefault="00224C44" w:rsidP="00224C44">
      <w:pPr>
        <w:pStyle w:val="besedilo"/>
        <w:numPr>
          <w:ilvl w:val="0"/>
          <w:numId w:val="23"/>
        </w:numPr>
        <w:rPr>
          <w:rFonts w:ascii="Arial" w:hAnsi="Arial" w:cs="Arial"/>
          <w:sz w:val="22"/>
        </w:rPr>
      </w:pPr>
      <w:r w:rsidRPr="00B9180D">
        <w:rPr>
          <w:rFonts w:ascii="Arial" w:hAnsi="Arial" w:cs="Arial"/>
          <w:sz w:val="22"/>
        </w:rPr>
        <w:t>obnovo državne infrastrukture (ceste, železnice, vodovarstveno področje, okolje, kulturna dediščina..)</w:t>
      </w:r>
      <w:r>
        <w:rPr>
          <w:rFonts w:ascii="Arial" w:hAnsi="Arial" w:cs="Arial"/>
          <w:sz w:val="22"/>
        </w:rPr>
        <w:t>,</w:t>
      </w:r>
    </w:p>
    <w:p w14:paraId="50D37380" w14:textId="77777777" w:rsidR="00224C44" w:rsidRPr="00B9180D" w:rsidRDefault="00224C44" w:rsidP="00224C44">
      <w:pPr>
        <w:pStyle w:val="besedilo"/>
        <w:numPr>
          <w:ilvl w:val="0"/>
          <w:numId w:val="23"/>
        </w:numPr>
        <w:rPr>
          <w:rFonts w:ascii="Arial" w:hAnsi="Arial" w:cs="Arial"/>
          <w:sz w:val="22"/>
        </w:rPr>
      </w:pPr>
      <w:r w:rsidRPr="00B9180D">
        <w:rPr>
          <w:rFonts w:ascii="Arial" w:hAnsi="Arial" w:cs="Arial"/>
          <w:sz w:val="22"/>
        </w:rPr>
        <w:t>kmetijstvo in ribištvo</w:t>
      </w:r>
      <w:r>
        <w:rPr>
          <w:rFonts w:ascii="Arial" w:hAnsi="Arial" w:cs="Arial"/>
          <w:sz w:val="22"/>
        </w:rPr>
        <w:t>,</w:t>
      </w:r>
    </w:p>
    <w:p w14:paraId="5B02C84B" w14:textId="77777777" w:rsidR="00224C44" w:rsidRPr="00B9180D" w:rsidRDefault="00224C44" w:rsidP="00224C44">
      <w:pPr>
        <w:pStyle w:val="besedilo"/>
        <w:numPr>
          <w:ilvl w:val="0"/>
          <w:numId w:val="23"/>
        </w:numPr>
        <w:rPr>
          <w:rFonts w:ascii="Arial" w:hAnsi="Arial" w:cs="Arial"/>
          <w:sz w:val="22"/>
        </w:rPr>
      </w:pPr>
      <w:r w:rsidRPr="00B9180D">
        <w:rPr>
          <w:rFonts w:ascii="Arial" w:hAnsi="Arial" w:cs="Arial"/>
          <w:sz w:val="22"/>
        </w:rPr>
        <w:t>administrativne ukrepe (umeščanje v prostor, energetski objekti, plazovi..)</w:t>
      </w:r>
      <w:r>
        <w:rPr>
          <w:rFonts w:ascii="Arial" w:hAnsi="Arial" w:cs="Arial"/>
          <w:sz w:val="22"/>
        </w:rPr>
        <w:t>,</w:t>
      </w:r>
    </w:p>
    <w:p w14:paraId="14CADA70" w14:textId="77777777" w:rsidR="00224C44" w:rsidRPr="00B9180D" w:rsidRDefault="00224C44" w:rsidP="00224C44">
      <w:pPr>
        <w:pStyle w:val="besedilo"/>
        <w:numPr>
          <w:ilvl w:val="0"/>
          <w:numId w:val="23"/>
        </w:numPr>
        <w:rPr>
          <w:rFonts w:ascii="Arial" w:hAnsi="Arial" w:cs="Arial"/>
          <w:sz w:val="22"/>
        </w:rPr>
      </w:pPr>
      <w:r w:rsidRPr="00B9180D">
        <w:rPr>
          <w:rFonts w:ascii="Arial" w:hAnsi="Arial" w:cs="Arial"/>
          <w:sz w:val="22"/>
        </w:rPr>
        <w:t>solidarnostne ukrepe povezanimi z posameznimi skupinami prizadetih posameznikov (izredna denarna pomoč, najemnine, nastanitve, plačila vrtcev</w:t>
      </w:r>
      <w:r>
        <w:rPr>
          <w:rFonts w:ascii="Arial" w:hAnsi="Arial" w:cs="Arial"/>
          <w:sz w:val="22"/>
        </w:rPr>
        <w:t>, sprejeti so interventni ukrepi za visokošolske zavode, zagotovljena je pomoč družinam, …</w:t>
      </w:r>
      <w:r w:rsidRPr="00B9180D">
        <w:rPr>
          <w:rFonts w:ascii="Arial" w:hAnsi="Arial" w:cs="Arial"/>
          <w:sz w:val="22"/>
        </w:rPr>
        <w:t>)</w:t>
      </w:r>
      <w:r>
        <w:rPr>
          <w:rFonts w:ascii="Arial" w:hAnsi="Arial" w:cs="Arial"/>
          <w:sz w:val="22"/>
        </w:rPr>
        <w:t>,</w:t>
      </w:r>
    </w:p>
    <w:p w14:paraId="452AB176" w14:textId="77777777" w:rsidR="00224C44" w:rsidRDefault="00224C44" w:rsidP="00224C44">
      <w:pPr>
        <w:pStyle w:val="besedilo"/>
        <w:numPr>
          <w:ilvl w:val="0"/>
          <w:numId w:val="23"/>
        </w:numPr>
        <w:rPr>
          <w:rFonts w:ascii="Arial" w:hAnsi="Arial" w:cs="Arial"/>
          <w:sz w:val="22"/>
        </w:rPr>
      </w:pPr>
      <w:r w:rsidRPr="00B9180D">
        <w:rPr>
          <w:rFonts w:ascii="Arial" w:hAnsi="Arial" w:cs="Arial"/>
          <w:sz w:val="22"/>
        </w:rPr>
        <w:t>gospodarstvo (hitrejše zaposlovanje tujcev, pomoč samozaposlenim,..)</w:t>
      </w:r>
      <w:r>
        <w:rPr>
          <w:rFonts w:ascii="Arial" w:hAnsi="Arial" w:cs="Arial"/>
          <w:sz w:val="22"/>
        </w:rPr>
        <w:t>,</w:t>
      </w:r>
    </w:p>
    <w:p w14:paraId="11E6CD3E" w14:textId="77777777" w:rsidR="00224C44" w:rsidRPr="00B9180D" w:rsidRDefault="00224C44" w:rsidP="00224C44">
      <w:pPr>
        <w:pStyle w:val="besedilo"/>
        <w:numPr>
          <w:ilvl w:val="0"/>
          <w:numId w:val="23"/>
        </w:numPr>
        <w:rPr>
          <w:rFonts w:ascii="Arial" w:hAnsi="Arial" w:cs="Arial"/>
          <w:sz w:val="22"/>
        </w:rPr>
      </w:pPr>
      <w:r>
        <w:rPr>
          <w:rFonts w:ascii="Arial" w:hAnsi="Arial" w:cs="Arial"/>
          <w:sz w:val="22"/>
        </w:rPr>
        <w:t>obvezni prostovoljni prispevek ipd.</w:t>
      </w:r>
    </w:p>
    <w:p w14:paraId="5E5C810A" w14:textId="77777777" w:rsidR="00224C44" w:rsidRPr="00C9161E" w:rsidRDefault="00224C44" w:rsidP="00224C44">
      <w:pPr>
        <w:spacing w:after="0"/>
        <w:rPr>
          <w:rFonts w:ascii="Arial" w:eastAsiaTheme="majorEastAsia" w:hAnsi="Arial" w:cs="Arial"/>
        </w:rPr>
      </w:pPr>
    </w:p>
    <w:p w14:paraId="1DCF3B58" w14:textId="7C59D395" w:rsidR="00224C44" w:rsidRPr="003B2471" w:rsidRDefault="00224C44" w:rsidP="00224C44">
      <w:pPr>
        <w:pStyle w:val="NormalWeb"/>
        <w:spacing w:before="0" w:beforeAutospacing="0" w:after="0" w:afterAutospacing="0" w:line="259" w:lineRule="auto"/>
        <w:jc w:val="both"/>
        <w:rPr>
          <w:rFonts w:ascii="Arial" w:hAnsi="Arial" w:cs="Arial"/>
          <w:sz w:val="22"/>
          <w:szCs w:val="22"/>
        </w:rPr>
      </w:pPr>
      <w:r>
        <w:rPr>
          <w:rFonts w:ascii="Arial" w:hAnsi="Arial" w:cs="Arial"/>
          <w:sz w:val="22"/>
          <w:szCs w:val="22"/>
        </w:rPr>
        <w:t xml:space="preserve">15.9.2023 je Vlada RS sprejela sklep za povrnitev intervencijskih stroškov v času aktiviranega Državnega načrta zaščite in reševanja ob poplavah za leto 2023 (za občine 95 mio EUR in silam zaščite, reševanja in pomoči 11,4 mio EUR). Vlada RS je prav tako zagotovila sredstva za povrnitev intervencijskih stroškov gasilcem. Na podlagi sprejetih zakonov so bili sprejeti predhodni programi za odpravo posledic naravne nesreče, ki temeljijo na oceni škode naravne nesreče in opredeljujejo odstotek pomoči države. S sprejetimi predhodnimi programi na podlagi predhodnih ocen škode so bili sprejeti intervencijski ukrepi v povezavi z vodami (47 mio EUR) in s cestno in železniško infrastrukturo (50,4 mio EUR). Predplačilo lokalnim </w:t>
      </w:r>
      <w:r>
        <w:rPr>
          <w:rFonts w:ascii="Arial" w:hAnsi="Arial" w:cs="Arial"/>
          <w:sz w:val="22"/>
          <w:szCs w:val="22"/>
        </w:rPr>
        <w:lastRenderedPageBreak/>
        <w:t xml:space="preserve">skupnostim je ocenjeno v višini okoli 222 mio EUR. Škoda v gospodarstvu je ocenjena na okoli 320 mio EUR od katerih </w:t>
      </w:r>
      <w:r w:rsidR="00046336">
        <w:rPr>
          <w:rFonts w:ascii="Arial" w:hAnsi="Arial" w:cs="Arial"/>
          <w:sz w:val="22"/>
          <w:szCs w:val="22"/>
        </w:rPr>
        <w:t xml:space="preserve">je </w:t>
      </w:r>
      <w:r>
        <w:rPr>
          <w:rFonts w:ascii="Arial" w:hAnsi="Arial" w:cs="Arial"/>
          <w:sz w:val="22"/>
          <w:szCs w:val="22"/>
        </w:rPr>
        <w:t xml:space="preserve">država s predplačili zagotovila okoli 32 mio EUR v letu 2023. </w:t>
      </w:r>
      <w:r w:rsidRPr="002B723A">
        <w:rPr>
          <w:rFonts w:ascii="Arial" w:hAnsi="Arial" w:cs="Arial"/>
          <w:sz w:val="22"/>
          <w:szCs w:val="22"/>
        </w:rPr>
        <w:t xml:space="preserve">V spodnji tabeli je trenutna projekcija brez dokončnega popisa škode prikazana po ESA kategorijah in združenih skupin ukrepov. </w:t>
      </w:r>
    </w:p>
    <w:p w14:paraId="32246939" w14:textId="77777777" w:rsidR="00224C44" w:rsidRDefault="00224C44" w:rsidP="00224C44">
      <w:pPr>
        <w:rPr>
          <w:rFonts w:ascii="Arial" w:hAnsi="Arial" w:cs="Arial"/>
        </w:rPr>
      </w:pPr>
    </w:p>
    <w:p w14:paraId="39E589C6" w14:textId="41E2EBB5" w:rsidR="00224C44" w:rsidRPr="00DE4DCA" w:rsidRDefault="00224C44" w:rsidP="00224C44">
      <w:pPr>
        <w:jc w:val="both"/>
        <w:rPr>
          <w:rFonts w:ascii="Arial" w:eastAsiaTheme="majorEastAsia" w:hAnsi="Arial" w:cs="Arial"/>
        </w:rPr>
      </w:pPr>
      <w:r w:rsidRPr="00DE4DCA">
        <w:rPr>
          <w:rFonts w:ascii="Arial" w:hAnsi="Arial" w:cs="Arial"/>
        </w:rPr>
        <w:t xml:space="preserve">Tabela </w:t>
      </w:r>
      <w:r w:rsidRPr="00DE4DCA">
        <w:rPr>
          <w:rFonts w:ascii="Arial" w:hAnsi="Arial" w:cs="Arial"/>
        </w:rPr>
        <w:fldChar w:fldCharType="begin"/>
      </w:r>
      <w:r w:rsidRPr="00DE4DCA">
        <w:rPr>
          <w:rFonts w:ascii="Arial" w:hAnsi="Arial" w:cs="Arial"/>
        </w:rPr>
        <w:instrText xml:space="preserve"> SEQ Tabela \* ARABIC </w:instrText>
      </w:r>
      <w:r w:rsidRPr="00DE4DCA">
        <w:rPr>
          <w:rFonts w:ascii="Arial" w:hAnsi="Arial" w:cs="Arial"/>
        </w:rPr>
        <w:fldChar w:fldCharType="separate"/>
      </w:r>
      <w:r w:rsidR="00E4660B">
        <w:rPr>
          <w:rFonts w:ascii="Arial" w:hAnsi="Arial" w:cs="Arial"/>
          <w:noProof/>
        </w:rPr>
        <w:t>4</w:t>
      </w:r>
      <w:r w:rsidRPr="00DE4DCA">
        <w:rPr>
          <w:rFonts w:ascii="Arial" w:hAnsi="Arial" w:cs="Arial"/>
        </w:rPr>
        <w:fldChar w:fldCharType="end"/>
      </w:r>
      <w:r w:rsidRPr="00DE4DCA">
        <w:rPr>
          <w:rFonts w:ascii="Arial" w:hAnsi="Arial" w:cs="Arial"/>
        </w:rPr>
        <w:t xml:space="preserve">: </w:t>
      </w:r>
      <w:r w:rsidRPr="00DE4DCA">
        <w:rPr>
          <w:rFonts w:ascii="Arial" w:eastAsiaTheme="majorEastAsia" w:hAnsi="Arial" w:cs="Arial"/>
        </w:rPr>
        <w:t xml:space="preserve">Načrtovana sredstva </w:t>
      </w:r>
      <w:r>
        <w:rPr>
          <w:rFonts w:ascii="Arial" w:eastAsiaTheme="majorEastAsia" w:hAnsi="Arial" w:cs="Arial"/>
        </w:rPr>
        <w:t xml:space="preserve">na izdatkovni in prihodkovni strani </w:t>
      </w:r>
      <w:r w:rsidRPr="00DE4DCA">
        <w:rPr>
          <w:rFonts w:ascii="Arial" w:eastAsiaTheme="majorEastAsia" w:hAnsi="Arial" w:cs="Arial"/>
        </w:rPr>
        <w:t xml:space="preserve">za odpravo posledic naravnih nesreč </w:t>
      </w:r>
      <w:r>
        <w:rPr>
          <w:rFonts w:ascii="Arial" w:eastAsiaTheme="majorEastAsia" w:hAnsi="Arial" w:cs="Arial"/>
        </w:rPr>
        <w:t>po metodologij (v mio EUR)</w:t>
      </w:r>
    </w:p>
    <w:tbl>
      <w:tblPr>
        <w:tblStyle w:val="TableGrid"/>
        <w:tblW w:w="9062" w:type="dxa"/>
        <w:tblLook w:val="04A0" w:firstRow="1" w:lastRow="0" w:firstColumn="1" w:lastColumn="0" w:noHBand="0" w:noVBand="1"/>
      </w:tblPr>
      <w:tblGrid>
        <w:gridCol w:w="2055"/>
        <w:gridCol w:w="3140"/>
        <w:gridCol w:w="1283"/>
        <w:gridCol w:w="1292"/>
        <w:gridCol w:w="1292"/>
      </w:tblGrid>
      <w:tr w:rsidR="00224C44" w:rsidRPr="00DE4DCA" w14:paraId="49F97761" w14:textId="77777777" w:rsidTr="0091436C">
        <w:tc>
          <w:tcPr>
            <w:tcW w:w="2055" w:type="dxa"/>
          </w:tcPr>
          <w:p w14:paraId="35E33125" w14:textId="77777777" w:rsidR="00224C44" w:rsidRPr="00DE4DCA" w:rsidRDefault="00224C44" w:rsidP="0091436C">
            <w:pPr>
              <w:rPr>
                <w:rFonts w:ascii="Arial" w:hAnsi="Arial" w:cs="Arial"/>
                <w:b/>
                <w:bCs/>
                <w:sz w:val="20"/>
                <w:szCs w:val="20"/>
              </w:rPr>
            </w:pPr>
          </w:p>
        </w:tc>
        <w:tc>
          <w:tcPr>
            <w:tcW w:w="3140" w:type="dxa"/>
          </w:tcPr>
          <w:p w14:paraId="67E12577" w14:textId="77777777" w:rsidR="00224C44" w:rsidRPr="00DE4DCA" w:rsidRDefault="00224C44" w:rsidP="0091436C">
            <w:pPr>
              <w:rPr>
                <w:rFonts w:ascii="Arial" w:hAnsi="Arial" w:cs="Arial"/>
                <w:b/>
                <w:bCs/>
                <w:sz w:val="20"/>
                <w:szCs w:val="20"/>
              </w:rPr>
            </w:pPr>
            <w:r w:rsidRPr="00DE4DCA">
              <w:rPr>
                <w:rFonts w:ascii="Arial" w:hAnsi="Arial" w:cs="Arial"/>
                <w:b/>
                <w:bCs/>
                <w:sz w:val="20"/>
                <w:szCs w:val="20"/>
              </w:rPr>
              <w:t>Opis</w:t>
            </w:r>
          </w:p>
        </w:tc>
        <w:tc>
          <w:tcPr>
            <w:tcW w:w="1283" w:type="dxa"/>
          </w:tcPr>
          <w:p w14:paraId="43673BF1" w14:textId="77777777" w:rsidR="00224C44" w:rsidRPr="00DE4DCA" w:rsidRDefault="00224C44" w:rsidP="0091436C">
            <w:pPr>
              <w:rPr>
                <w:rFonts w:ascii="Arial" w:hAnsi="Arial" w:cs="Arial"/>
                <w:b/>
                <w:bCs/>
                <w:sz w:val="20"/>
                <w:szCs w:val="20"/>
              </w:rPr>
            </w:pPr>
            <w:r>
              <w:rPr>
                <w:rFonts w:ascii="Arial" w:hAnsi="Arial" w:cs="Arial"/>
                <w:b/>
                <w:bCs/>
                <w:sz w:val="20"/>
                <w:szCs w:val="20"/>
              </w:rPr>
              <w:t>ESA kategorija</w:t>
            </w:r>
          </w:p>
        </w:tc>
        <w:tc>
          <w:tcPr>
            <w:tcW w:w="1292" w:type="dxa"/>
          </w:tcPr>
          <w:p w14:paraId="6A737419" w14:textId="77777777" w:rsidR="00224C44" w:rsidRPr="00DE4DCA" w:rsidRDefault="00224C44" w:rsidP="0091436C">
            <w:pPr>
              <w:rPr>
                <w:rFonts w:ascii="Arial" w:hAnsi="Arial" w:cs="Arial"/>
                <w:b/>
                <w:bCs/>
                <w:sz w:val="20"/>
                <w:szCs w:val="20"/>
              </w:rPr>
            </w:pPr>
            <w:r w:rsidRPr="00DE4DCA">
              <w:rPr>
                <w:rFonts w:ascii="Arial" w:hAnsi="Arial" w:cs="Arial"/>
                <w:b/>
                <w:bCs/>
                <w:sz w:val="20"/>
                <w:szCs w:val="20"/>
              </w:rPr>
              <w:t>2023</w:t>
            </w:r>
          </w:p>
        </w:tc>
        <w:tc>
          <w:tcPr>
            <w:tcW w:w="1292" w:type="dxa"/>
          </w:tcPr>
          <w:p w14:paraId="6A39E455" w14:textId="77777777" w:rsidR="00224C44" w:rsidRPr="00DE4DCA" w:rsidRDefault="00224C44" w:rsidP="0091436C">
            <w:pPr>
              <w:rPr>
                <w:rFonts w:ascii="Arial" w:hAnsi="Arial" w:cs="Arial"/>
                <w:b/>
                <w:bCs/>
                <w:sz w:val="20"/>
                <w:szCs w:val="20"/>
              </w:rPr>
            </w:pPr>
            <w:r w:rsidRPr="00DE4DCA">
              <w:rPr>
                <w:rFonts w:ascii="Arial" w:hAnsi="Arial" w:cs="Arial"/>
                <w:b/>
                <w:bCs/>
                <w:sz w:val="20"/>
                <w:szCs w:val="20"/>
              </w:rPr>
              <w:t>2024</w:t>
            </w:r>
          </w:p>
        </w:tc>
      </w:tr>
      <w:tr w:rsidR="00224C44" w:rsidRPr="008E3C1C" w14:paraId="1C9FCAC1" w14:textId="77777777" w:rsidTr="0091436C">
        <w:trPr>
          <w:trHeight w:val="400"/>
        </w:trPr>
        <w:tc>
          <w:tcPr>
            <w:tcW w:w="2055" w:type="dxa"/>
          </w:tcPr>
          <w:p w14:paraId="0265B0AA" w14:textId="77777777" w:rsidR="00224C44" w:rsidRPr="008E3C1C" w:rsidRDefault="00224C44" w:rsidP="0091436C">
            <w:pPr>
              <w:rPr>
                <w:rFonts w:ascii="Arial" w:hAnsi="Arial" w:cs="Arial"/>
                <w:sz w:val="20"/>
                <w:szCs w:val="20"/>
              </w:rPr>
            </w:pPr>
            <w:r>
              <w:rPr>
                <w:rFonts w:ascii="Arial" w:hAnsi="Arial" w:cs="Arial"/>
                <w:sz w:val="20"/>
                <w:szCs w:val="20"/>
              </w:rPr>
              <w:t xml:space="preserve">Prihodkovna stran </w:t>
            </w:r>
          </w:p>
        </w:tc>
        <w:tc>
          <w:tcPr>
            <w:tcW w:w="3140" w:type="dxa"/>
          </w:tcPr>
          <w:p w14:paraId="123716DE" w14:textId="77777777" w:rsidR="00224C44" w:rsidRPr="008E3C1C" w:rsidRDefault="00224C44" w:rsidP="0091436C">
            <w:pPr>
              <w:rPr>
                <w:rFonts w:ascii="Arial" w:hAnsi="Arial" w:cs="Arial"/>
                <w:sz w:val="20"/>
                <w:szCs w:val="20"/>
              </w:rPr>
            </w:pPr>
            <w:r>
              <w:rPr>
                <w:rFonts w:ascii="Arial" w:hAnsi="Arial" w:cs="Arial"/>
                <w:sz w:val="20"/>
                <w:szCs w:val="20"/>
              </w:rPr>
              <w:t>Solidarnostni prispevek</w:t>
            </w:r>
          </w:p>
        </w:tc>
        <w:tc>
          <w:tcPr>
            <w:tcW w:w="1283" w:type="dxa"/>
          </w:tcPr>
          <w:p w14:paraId="66750376" w14:textId="77777777" w:rsidR="00224C44" w:rsidRDefault="00224C44" w:rsidP="0091436C">
            <w:pPr>
              <w:jc w:val="right"/>
              <w:rPr>
                <w:rFonts w:ascii="Arial" w:hAnsi="Arial" w:cs="Arial"/>
                <w:sz w:val="20"/>
                <w:szCs w:val="20"/>
              </w:rPr>
            </w:pPr>
            <w:r>
              <w:rPr>
                <w:rFonts w:ascii="Arial" w:hAnsi="Arial" w:cs="Arial"/>
                <w:sz w:val="20"/>
                <w:szCs w:val="20"/>
              </w:rPr>
              <w:t>D51</w:t>
            </w:r>
          </w:p>
        </w:tc>
        <w:tc>
          <w:tcPr>
            <w:tcW w:w="1292" w:type="dxa"/>
          </w:tcPr>
          <w:p w14:paraId="3212BB48" w14:textId="77777777" w:rsidR="00224C44" w:rsidRPr="008E3C1C" w:rsidRDefault="00224C44" w:rsidP="0091436C">
            <w:pPr>
              <w:jc w:val="right"/>
              <w:rPr>
                <w:rFonts w:ascii="Arial" w:hAnsi="Arial" w:cs="Arial"/>
                <w:sz w:val="20"/>
                <w:szCs w:val="20"/>
              </w:rPr>
            </w:pPr>
            <w:r>
              <w:rPr>
                <w:rFonts w:ascii="Arial" w:hAnsi="Arial" w:cs="Arial"/>
                <w:sz w:val="20"/>
                <w:szCs w:val="20"/>
              </w:rPr>
              <w:t>160</w:t>
            </w:r>
          </w:p>
        </w:tc>
        <w:tc>
          <w:tcPr>
            <w:tcW w:w="1292" w:type="dxa"/>
          </w:tcPr>
          <w:p w14:paraId="13A784D6" w14:textId="77777777" w:rsidR="00224C44" w:rsidRPr="008E3C1C" w:rsidRDefault="00224C44" w:rsidP="0091436C">
            <w:pPr>
              <w:jc w:val="right"/>
              <w:rPr>
                <w:rFonts w:ascii="Arial" w:hAnsi="Arial" w:cs="Arial"/>
                <w:sz w:val="20"/>
                <w:szCs w:val="20"/>
              </w:rPr>
            </w:pPr>
            <w:r>
              <w:rPr>
                <w:rFonts w:ascii="Arial" w:hAnsi="Arial" w:cs="Arial"/>
                <w:sz w:val="20"/>
                <w:szCs w:val="20"/>
              </w:rPr>
              <w:t>160</w:t>
            </w:r>
          </w:p>
        </w:tc>
      </w:tr>
      <w:tr w:rsidR="00224C44" w:rsidRPr="008E3C1C" w14:paraId="18FC22BB" w14:textId="77777777" w:rsidTr="0091436C">
        <w:trPr>
          <w:trHeight w:val="598"/>
        </w:trPr>
        <w:tc>
          <w:tcPr>
            <w:tcW w:w="2055" w:type="dxa"/>
          </w:tcPr>
          <w:p w14:paraId="39320CC1" w14:textId="77777777" w:rsidR="00224C44" w:rsidRPr="008E3C1C" w:rsidRDefault="00224C44" w:rsidP="0091436C">
            <w:pPr>
              <w:rPr>
                <w:rFonts w:ascii="Arial" w:hAnsi="Arial" w:cs="Arial"/>
                <w:sz w:val="20"/>
                <w:szCs w:val="20"/>
              </w:rPr>
            </w:pPr>
          </w:p>
        </w:tc>
        <w:tc>
          <w:tcPr>
            <w:tcW w:w="3140" w:type="dxa"/>
          </w:tcPr>
          <w:p w14:paraId="50201C42" w14:textId="77777777" w:rsidR="00224C44" w:rsidRDefault="00224C44" w:rsidP="0091436C">
            <w:pPr>
              <w:rPr>
                <w:rFonts w:ascii="Arial" w:hAnsi="Arial" w:cs="Arial"/>
                <w:sz w:val="20"/>
                <w:szCs w:val="20"/>
              </w:rPr>
            </w:pPr>
            <w:r>
              <w:rPr>
                <w:rFonts w:ascii="Arial" w:hAnsi="Arial" w:cs="Arial"/>
                <w:sz w:val="20"/>
                <w:szCs w:val="20"/>
              </w:rPr>
              <w:t xml:space="preserve">Enkratni ukrep ne usklajevanja osnov in lestvic za dohodnino </w:t>
            </w:r>
          </w:p>
        </w:tc>
        <w:tc>
          <w:tcPr>
            <w:tcW w:w="1283" w:type="dxa"/>
          </w:tcPr>
          <w:p w14:paraId="7AE8E923" w14:textId="77777777" w:rsidR="00224C44" w:rsidRDefault="00224C44" w:rsidP="0091436C">
            <w:pPr>
              <w:jc w:val="right"/>
              <w:rPr>
                <w:rFonts w:ascii="Arial" w:hAnsi="Arial" w:cs="Arial"/>
                <w:sz w:val="20"/>
                <w:szCs w:val="20"/>
              </w:rPr>
            </w:pPr>
            <w:r>
              <w:rPr>
                <w:rFonts w:ascii="Arial" w:hAnsi="Arial" w:cs="Arial"/>
                <w:sz w:val="20"/>
                <w:szCs w:val="20"/>
              </w:rPr>
              <w:t>D51</w:t>
            </w:r>
          </w:p>
        </w:tc>
        <w:tc>
          <w:tcPr>
            <w:tcW w:w="1292" w:type="dxa"/>
          </w:tcPr>
          <w:p w14:paraId="5444E9C3" w14:textId="77777777" w:rsidR="00224C44" w:rsidRDefault="00224C44" w:rsidP="0091436C">
            <w:pPr>
              <w:jc w:val="right"/>
              <w:rPr>
                <w:rFonts w:ascii="Arial" w:hAnsi="Arial" w:cs="Arial"/>
                <w:sz w:val="20"/>
                <w:szCs w:val="20"/>
              </w:rPr>
            </w:pPr>
          </w:p>
        </w:tc>
        <w:tc>
          <w:tcPr>
            <w:tcW w:w="1292" w:type="dxa"/>
          </w:tcPr>
          <w:p w14:paraId="72C8B607" w14:textId="77777777" w:rsidR="00224C44" w:rsidRPr="008E3C1C" w:rsidRDefault="00224C44" w:rsidP="0091436C">
            <w:pPr>
              <w:jc w:val="right"/>
              <w:rPr>
                <w:rFonts w:ascii="Arial" w:hAnsi="Arial" w:cs="Arial"/>
                <w:sz w:val="20"/>
                <w:szCs w:val="20"/>
              </w:rPr>
            </w:pPr>
            <w:r>
              <w:rPr>
                <w:rFonts w:ascii="Arial" w:hAnsi="Arial" w:cs="Arial"/>
                <w:sz w:val="20"/>
                <w:szCs w:val="20"/>
              </w:rPr>
              <w:t>100</w:t>
            </w:r>
          </w:p>
        </w:tc>
      </w:tr>
      <w:tr w:rsidR="00224C44" w:rsidRPr="008E3C1C" w14:paraId="76BD145E" w14:textId="77777777" w:rsidTr="0091436C">
        <w:trPr>
          <w:trHeight w:val="405"/>
        </w:trPr>
        <w:tc>
          <w:tcPr>
            <w:tcW w:w="2055" w:type="dxa"/>
          </w:tcPr>
          <w:p w14:paraId="1BCD20E6" w14:textId="77777777" w:rsidR="00224C44" w:rsidRPr="008E3C1C" w:rsidRDefault="00224C44" w:rsidP="0091436C">
            <w:pPr>
              <w:rPr>
                <w:rFonts w:ascii="Arial" w:hAnsi="Arial" w:cs="Arial"/>
                <w:sz w:val="20"/>
                <w:szCs w:val="20"/>
              </w:rPr>
            </w:pPr>
          </w:p>
        </w:tc>
        <w:tc>
          <w:tcPr>
            <w:tcW w:w="3140" w:type="dxa"/>
          </w:tcPr>
          <w:p w14:paraId="2773DD8A" w14:textId="77777777" w:rsidR="00224C44" w:rsidRDefault="00224C44" w:rsidP="0091436C">
            <w:pPr>
              <w:rPr>
                <w:rFonts w:ascii="Arial" w:hAnsi="Arial" w:cs="Arial"/>
                <w:sz w:val="20"/>
                <w:szCs w:val="20"/>
              </w:rPr>
            </w:pPr>
            <w:r>
              <w:rPr>
                <w:rFonts w:ascii="Arial" w:hAnsi="Arial" w:cs="Arial"/>
                <w:sz w:val="20"/>
                <w:szCs w:val="20"/>
              </w:rPr>
              <w:t>Skupaj</w:t>
            </w:r>
          </w:p>
        </w:tc>
        <w:tc>
          <w:tcPr>
            <w:tcW w:w="1283" w:type="dxa"/>
          </w:tcPr>
          <w:p w14:paraId="2306C3A3" w14:textId="77777777" w:rsidR="00224C44" w:rsidRDefault="00224C44" w:rsidP="0091436C">
            <w:pPr>
              <w:jc w:val="right"/>
              <w:rPr>
                <w:rFonts w:ascii="Arial" w:hAnsi="Arial" w:cs="Arial"/>
                <w:sz w:val="20"/>
                <w:szCs w:val="20"/>
              </w:rPr>
            </w:pPr>
          </w:p>
        </w:tc>
        <w:tc>
          <w:tcPr>
            <w:tcW w:w="1292" w:type="dxa"/>
          </w:tcPr>
          <w:p w14:paraId="558C0926" w14:textId="77777777" w:rsidR="00224C44" w:rsidRDefault="00224C44" w:rsidP="0091436C">
            <w:pPr>
              <w:jc w:val="right"/>
              <w:rPr>
                <w:rFonts w:ascii="Arial" w:hAnsi="Arial" w:cs="Arial"/>
                <w:sz w:val="20"/>
                <w:szCs w:val="20"/>
              </w:rPr>
            </w:pPr>
            <w:r>
              <w:rPr>
                <w:rFonts w:ascii="Arial" w:hAnsi="Arial" w:cs="Arial"/>
                <w:sz w:val="20"/>
                <w:szCs w:val="20"/>
              </w:rPr>
              <w:t>160</w:t>
            </w:r>
          </w:p>
        </w:tc>
        <w:tc>
          <w:tcPr>
            <w:tcW w:w="1292" w:type="dxa"/>
          </w:tcPr>
          <w:p w14:paraId="7847D4D6" w14:textId="77777777" w:rsidR="00224C44" w:rsidRPr="008E3C1C" w:rsidRDefault="00224C44" w:rsidP="0091436C">
            <w:pPr>
              <w:jc w:val="right"/>
              <w:rPr>
                <w:rFonts w:ascii="Arial" w:hAnsi="Arial" w:cs="Arial"/>
                <w:sz w:val="20"/>
                <w:szCs w:val="20"/>
              </w:rPr>
            </w:pPr>
            <w:r>
              <w:rPr>
                <w:rFonts w:ascii="Arial" w:hAnsi="Arial" w:cs="Arial"/>
                <w:sz w:val="20"/>
                <w:szCs w:val="20"/>
              </w:rPr>
              <w:t>260</w:t>
            </w:r>
          </w:p>
        </w:tc>
      </w:tr>
      <w:tr w:rsidR="00224C44" w:rsidRPr="008E3C1C" w14:paraId="239266D2" w14:textId="77777777" w:rsidTr="0091436C">
        <w:tc>
          <w:tcPr>
            <w:tcW w:w="2055" w:type="dxa"/>
          </w:tcPr>
          <w:p w14:paraId="4EC35973" w14:textId="77777777" w:rsidR="00224C44" w:rsidRPr="008E3C1C" w:rsidRDefault="00224C44" w:rsidP="0091436C">
            <w:pPr>
              <w:rPr>
                <w:rFonts w:ascii="Arial" w:hAnsi="Arial" w:cs="Arial"/>
                <w:sz w:val="20"/>
                <w:szCs w:val="20"/>
              </w:rPr>
            </w:pPr>
            <w:r>
              <w:rPr>
                <w:rFonts w:ascii="Arial" w:hAnsi="Arial" w:cs="Arial"/>
                <w:sz w:val="20"/>
                <w:szCs w:val="20"/>
              </w:rPr>
              <w:t>Izdatkovna stran</w:t>
            </w:r>
          </w:p>
        </w:tc>
        <w:tc>
          <w:tcPr>
            <w:tcW w:w="3140" w:type="dxa"/>
          </w:tcPr>
          <w:p w14:paraId="374B81FF" w14:textId="77777777" w:rsidR="00224C44" w:rsidRDefault="00224C44" w:rsidP="0091436C">
            <w:pPr>
              <w:rPr>
                <w:rFonts w:ascii="Arial" w:hAnsi="Arial" w:cs="Arial"/>
                <w:sz w:val="20"/>
                <w:szCs w:val="20"/>
              </w:rPr>
            </w:pPr>
          </w:p>
        </w:tc>
        <w:tc>
          <w:tcPr>
            <w:tcW w:w="1283" w:type="dxa"/>
          </w:tcPr>
          <w:p w14:paraId="66C6D8B8" w14:textId="77777777" w:rsidR="00224C44" w:rsidRDefault="00224C44" w:rsidP="0091436C">
            <w:pPr>
              <w:jc w:val="right"/>
              <w:rPr>
                <w:rFonts w:ascii="Arial" w:hAnsi="Arial" w:cs="Arial"/>
                <w:sz w:val="20"/>
                <w:szCs w:val="20"/>
              </w:rPr>
            </w:pPr>
          </w:p>
        </w:tc>
        <w:tc>
          <w:tcPr>
            <w:tcW w:w="1292" w:type="dxa"/>
          </w:tcPr>
          <w:p w14:paraId="7574F6D0" w14:textId="77777777" w:rsidR="00224C44" w:rsidRDefault="00224C44" w:rsidP="0091436C">
            <w:pPr>
              <w:jc w:val="right"/>
              <w:rPr>
                <w:rFonts w:ascii="Arial" w:hAnsi="Arial" w:cs="Arial"/>
                <w:sz w:val="20"/>
                <w:szCs w:val="20"/>
              </w:rPr>
            </w:pPr>
          </w:p>
        </w:tc>
        <w:tc>
          <w:tcPr>
            <w:tcW w:w="1292" w:type="dxa"/>
          </w:tcPr>
          <w:p w14:paraId="232D7FF4" w14:textId="77777777" w:rsidR="00224C44" w:rsidRPr="008E3C1C" w:rsidRDefault="00224C44" w:rsidP="0091436C">
            <w:pPr>
              <w:jc w:val="right"/>
              <w:rPr>
                <w:rFonts w:ascii="Arial" w:hAnsi="Arial" w:cs="Arial"/>
                <w:sz w:val="20"/>
                <w:szCs w:val="20"/>
              </w:rPr>
            </w:pPr>
          </w:p>
        </w:tc>
      </w:tr>
      <w:tr w:rsidR="00224C44" w:rsidRPr="008E3C1C" w14:paraId="272A798F" w14:textId="77777777" w:rsidTr="0091436C">
        <w:tc>
          <w:tcPr>
            <w:tcW w:w="2055" w:type="dxa"/>
          </w:tcPr>
          <w:p w14:paraId="427F3C16" w14:textId="77777777" w:rsidR="00224C44" w:rsidRPr="008E3C1C" w:rsidRDefault="00224C44" w:rsidP="0091436C">
            <w:pPr>
              <w:rPr>
                <w:rFonts w:ascii="Arial" w:hAnsi="Arial" w:cs="Arial"/>
                <w:sz w:val="20"/>
                <w:szCs w:val="20"/>
              </w:rPr>
            </w:pPr>
          </w:p>
        </w:tc>
        <w:tc>
          <w:tcPr>
            <w:tcW w:w="3140" w:type="dxa"/>
          </w:tcPr>
          <w:p w14:paraId="263101DE" w14:textId="77777777" w:rsidR="00224C44" w:rsidRPr="008E3C1C" w:rsidRDefault="00224C44" w:rsidP="0091436C">
            <w:pPr>
              <w:rPr>
                <w:rFonts w:ascii="Arial" w:hAnsi="Arial" w:cs="Arial"/>
                <w:sz w:val="20"/>
                <w:szCs w:val="20"/>
              </w:rPr>
            </w:pPr>
            <w:r w:rsidRPr="008E3C1C">
              <w:rPr>
                <w:rFonts w:ascii="Arial" w:hAnsi="Arial" w:cs="Arial"/>
                <w:bCs/>
                <w:sz w:val="20"/>
                <w:szCs w:val="20"/>
              </w:rPr>
              <w:t>Obnova objektov</w:t>
            </w:r>
            <w:r>
              <w:rPr>
                <w:rFonts w:ascii="Arial" w:hAnsi="Arial" w:cs="Arial"/>
                <w:bCs/>
                <w:sz w:val="20"/>
                <w:szCs w:val="20"/>
              </w:rPr>
              <w:t xml:space="preserve">, </w:t>
            </w:r>
            <w:r w:rsidRPr="008E3C1C">
              <w:rPr>
                <w:rFonts w:ascii="Arial" w:hAnsi="Arial" w:cs="Arial"/>
                <w:bCs/>
                <w:sz w:val="20"/>
                <w:szCs w:val="20"/>
              </w:rPr>
              <w:t>občinsk</w:t>
            </w:r>
            <w:r>
              <w:rPr>
                <w:rFonts w:ascii="Arial" w:hAnsi="Arial" w:cs="Arial"/>
                <w:bCs/>
                <w:sz w:val="20"/>
                <w:szCs w:val="20"/>
              </w:rPr>
              <w:t>i</w:t>
            </w:r>
            <w:r w:rsidRPr="008E3C1C">
              <w:rPr>
                <w:rFonts w:ascii="Arial" w:hAnsi="Arial" w:cs="Arial"/>
                <w:bCs/>
                <w:sz w:val="20"/>
                <w:szCs w:val="20"/>
              </w:rPr>
              <w:t xml:space="preserve"> infrastrukturni in javni objekti, izvedba geotehničnih ukrepov</w:t>
            </w:r>
            <w:r>
              <w:rPr>
                <w:rFonts w:ascii="Arial" w:hAnsi="Arial" w:cs="Arial"/>
                <w:bCs/>
                <w:sz w:val="20"/>
                <w:szCs w:val="20"/>
              </w:rPr>
              <w:t xml:space="preserve">, tehnična podpora </w:t>
            </w:r>
            <w:r>
              <w:rPr>
                <w:rFonts w:ascii="Arial" w:hAnsi="Arial" w:cs="Arial"/>
                <w:sz w:val="20"/>
                <w:szCs w:val="20"/>
              </w:rPr>
              <w:t xml:space="preserve">Izvedba interventnih ukrepov na cestni, železniški infrastrukturi ter vodna infrastruktura. </w:t>
            </w:r>
          </w:p>
        </w:tc>
        <w:tc>
          <w:tcPr>
            <w:tcW w:w="1283" w:type="dxa"/>
          </w:tcPr>
          <w:p w14:paraId="41216E60" w14:textId="77777777" w:rsidR="00224C44" w:rsidRDefault="00224C44" w:rsidP="0091436C">
            <w:pPr>
              <w:jc w:val="right"/>
              <w:rPr>
                <w:rFonts w:ascii="Arial" w:hAnsi="Arial" w:cs="Arial"/>
                <w:sz w:val="20"/>
                <w:szCs w:val="20"/>
              </w:rPr>
            </w:pPr>
            <w:r>
              <w:rPr>
                <w:rFonts w:ascii="Arial" w:hAnsi="Arial" w:cs="Arial"/>
                <w:sz w:val="20"/>
                <w:szCs w:val="20"/>
              </w:rPr>
              <w:t>P51</w:t>
            </w:r>
          </w:p>
        </w:tc>
        <w:tc>
          <w:tcPr>
            <w:tcW w:w="1292" w:type="dxa"/>
          </w:tcPr>
          <w:p w14:paraId="3A9432B7" w14:textId="77777777" w:rsidR="00224C44" w:rsidRPr="008E3C1C" w:rsidRDefault="00224C44" w:rsidP="0091436C">
            <w:pPr>
              <w:jc w:val="right"/>
              <w:rPr>
                <w:rFonts w:ascii="Arial" w:hAnsi="Arial" w:cs="Arial"/>
                <w:sz w:val="20"/>
                <w:szCs w:val="20"/>
              </w:rPr>
            </w:pPr>
            <w:r>
              <w:rPr>
                <w:rFonts w:ascii="Arial" w:hAnsi="Arial" w:cs="Arial"/>
                <w:sz w:val="20"/>
                <w:szCs w:val="20"/>
              </w:rPr>
              <w:t>50</w:t>
            </w:r>
          </w:p>
        </w:tc>
        <w:tc>
          <w:tcPr>
            <w:tcW w:w="1292" w:type="dxa"/>
          </w:tcPr>
          <w:p w14:paraId="626A6827" w14:textId="77777777" w:rsidR="00224C44" w:rsidRPr="008E3C1C" w:rsidRDefault="00224C44" w:rsidP="0091436C">
            <w:pPr>
              <w:jc w:val="right"/>
              <w:rPr>
                <w:rFonts w:ascii="Arial" w:hAnsi="Arial" w:cs="Arial"/>
                <w:sz w:val="20"/>
                <w:szCs w:val="20"/>
              </w:rPr>
            </w:pPr>
            <w:r>
              <w:rPr>
                <w:rFonts w:ascii="Arial" w:hAnsi="Arial" w:cs="Arial"/>
                <w:sz w:val="20"/>
                <w:szCs w:val="20"/>
              </w:rPr>
              <w:t>465</w:t>
            </w:r>
          </w:p>
        </w:tc>
      </w:tr>
      <w:tr w:rsidR="00224C44" w:rsidRPr="008E3C1C" w14:paraId="7734E571" w14:textId="77777777" w:rsidTr="0091436C">
        <w:tc>
          <w:tcPr>
            <w:tcW w:w="2055" w:type="dxa"/>
          </w:tcPr>
          <w:p w14:paraId="2386312D" w14:textId="77777777" w:rsidR="00224C44" w:rsidRPr="008E3C1C" w:rsidRDefault="00224C44" w:rsidP="0091436C">
            <w:pPr>
              <w:rPr>
                <w:rFonts w:ascii="Arial" w:hAnsi="Arial" w:cs="Arial"/>
                <w:sz w:val="20"/>
                <w:szCs w:val="20"/>
              </w:rPr>
            </w:pPr>
          </w:p>
        </w:tc>
        <w:tc>
          <w:tcPr>
            <w:tcW w:w="3140" w:type="dxa"/>
          </w:tcPr>
          <w:p w14:paraId="6E195719" w14:textId="77777777" w:rsidR="00224C44" w:rsidRPr="008E3C1C" w:rsidRDefault="00224C44" w:rsidP="0091436C">
            <w:pPr>
              <w:rPr>
                <w:rFonts w:ascii="Arial" w:hAnsi="Arial" w:cs="Arial"/>
                <w:sz w:val="20"/>
                <w:szCs w:val="20"/>
              </w:rPr>
            </w:pPr>
            <w:r w:rsidRPr="008E3C1C">
              <w:rPr>
                <w:rFonts w:ascii="Arial" w:hAnsi="Arial" w:cs="Arial"/>
                <w:sz w:val="20"/>
                <w:szCs w:val="20"/>
              </w:rPr>
              <w:t>Povrnjena škoda zaradi izpada prihodkov, uničenih strojev in zalog</w:t>
            </w:r>
            <w:r>
              <w:rPr>
                <w:rFonts w:ascii="Arial" w:hAnsi="Arial" w:cs="Arial"/>
                <w:sz w:val="20"/>
                <w:szCs w:val="20"/>
              </w:rPr>
              <w:t xml:space="preserve"> in čakanje na delo; s</w:t>
            </w:r>
            <w:r w:rsidRPr="008E3C1C">
              <w:rPr>
                <w:rFonts w:ascii="Arial" w:hAnsi="Arial" w:cs="Arial"/>
                <w:sz w:val="20"/>
                <w:szCs w:val="20"/>
              </w:rPr>
              <w:t>olidarnostni ukrepi</w:t>
            </w:r>
            <w:r>
              <w:rPr>
                <w:rFonts w:ascii="Arial" w:hAnsi="Arial" w:cs="Arial"/>
                <w:sz w:val="20"/>
                <w:szCs w:val="20"/>
              </w:rPr>
              <w:t xml:space="preserve"> in izredne pomoči, prerazporeditve Rdečemu križu in Karitasu.</w:t>
            </w:r>
          </w:p>
        </w:tc>
        <w:tc>
          <w:tcPr>
            <w:tcW w:w="1283" w:type="dxa"/>
          </w:tcPr>
          <w:p w14:paraId="5D2F4C6C" w14:textId="77777777" w:rsidR="00224C44" w:rsidRDefault="00224C44" w:rsidP="0091436C">
            <w:pPr>
              <w:jc w:val="right"/>
              <w:rPr>
                <w:rFonts w:ascii="Arial" w:hAnsi="Arial" w:cs="Arial"/>
                <w:sz w:val="20"/>
                <w:szCs w:val="20"/>
              </w:rPr>
            </w:pPr>
            <w:r>
              <w:rPr>
                <w:rFonts w:ascii="Arial" w:hAnsi="Arial" w:cs="Arial"/>
                <w:sz w:val="20"/>
                <w:szCs w:val="20"/>
              </w:rPr>
              <w:t>D75</w:t>
            </w:r>
          </w:p>
        </w:tc>
        <w:tc>
          <w:tcPr>
            <w:tcW w:w="1292" w:type="dxa"/>
          </w:tcPr>
          <w:p w14:paraId="7A93AC43" w14:textId="77777777" w:rsidR="00224C44" w:rsidRPr="008E3C1C" w:rsidRDefault="00224C44" w:rsidP="0091436C">
            <w:pPr>
              <w:jc w:val="right"/>
              <w:rPr>
                <w:rFonts w:ascii="Arial" w:hAnsi="Arial" w:cs="Arial"/>
                <w:sz w:val="20"/>
                <w:szCs w:val="20"/>
              </w:rPr>
            </w:pPr>
            <w:r>
              <w:rPr>
                <w:rFonts w:ascii="Arial" w:hAnsi="Arial" w:cs="Arial"/>
                <w:sz w:val="20"/>
                <w:szCs w:val="20"/>
              </w:rPr>
              <w:t>125</w:t>
            </w:r>
          </w:p>
        </w:tc>
        <w:tc>
          <w:tcPr>
            <w:tcW w:w="1292" w:type="dxa"/>
          </w:tcPr>
          <w:p w14:paraId="0E448F2A" w14:textId="77777777" w:rsidR="00224C44" w:rsidRPr="008E3C1C" w:rsidRDefault="00224C44" w:rsidP="0091436C">
            <w:pPr>
              <w:jc w:val="right"/>
              <w:rPr>
                <w:rFonts w:ascii="Arial" w:hAnsi="Arial" w:cs="Arial"/>
                <w:sz w:val="20"/>
                <w:szCs w:val="20"/>
              </w:rPr>
            </w:pPr>
            <w:r>
              <w:rPr>
                <w:rFonts w:ascii="Arial" w:hAnsi="Arial" w:cs="Arial"/>
                <w:sz w:val="20"/>
                <w:szCs w:val="20"/>
              </w:rPr>
              <w:t>327</w:t>
            </w:r>
          </w:p>
        </w:tc>
      </w:tr>
      <w:tr w:rsidR="00224C44" w:rsidRPr="008E3C1C" w14:paraId="6F0CD8E1" w14:textId="77777777" w:rsidTr="0091436C">
        <w:tc>
          <w:tcPr>
            <w:tcW w:w="2055" w:type="dxa"/>
          </w:tcPr>
          <w:p w14:paraId="4353202E" w14:textId="77777777" w:rsidR="00224C44" w:rsidRPr="008E3C1C" w:rsidRDefault="00224C44" w:rsidP="0091436C">
            <w:pPr>
              <w:rPr>
                <w:rFonts w:ascii="Arial" w:hAnsi="Arial" w:cs="Arial"/>
                <w:sz w:val="20"/>
                <w:szCs w:val="20"/>
              </w:rPr>
            </w:pPr>
          </w:p>
        </w:tc>
        <w:tc>
          <w:tcPr>
            <w:tcW w:w="3140" w:type="dxa"/>
          </w:tcPr>
          <w:p w14:paraId="67064F90" w14:textId="77777777" w:rsidR="00224C44" w:rsidRPr="008E3C1C" w:rsidRDefault="00224C44" w:rsidP="0091436C">
            <w:pPr>
              <w:rPr>
                <w:rFonts w:ascii="Arial" w:hAnsi="Arial" w:cs="Arial"/>
                <w:sz w:val="20"/>
                <w:szCs w:val="20"/>
              </w:rPr>
            </w:pPr>
            <w:r>
              <w:rPr>
                <w:rFonts w:ascii="Arial" w:hAnsi="Arial" w:cs="Arial"/>
                <w:sz w:val="20"/>
                <w:szCs w:val="20"/>
              </w:rPr>
              <w:t xml:space="preserve">Ukrepi povezani z okoljem in obnovo gospodarske in javne infrastrukture. </w:t>
            </w:r>
          </w:p>
        </w:tc>
        <w:tc>
          <w:tcPr>
            <w:tcW w:w="1283" w:type="dxa"/>
          </w:tcPr>
          <w:p w14:paraId="782732C2" w14:textId="77777777" w:rsidR="00224C44" w:rsidRPr="008E3C1C" w:rsidRDefault="00224C44" w:rsidP="0091436C">
            <w:pPr>
              <w:jc w:val="right"/>
              <w:rPr>
                <w:rFonts w:ascii="Arial" w:hAnsi="Arial" w:cs="Arial"/>
                <w:sz w:val="20"/>
                <w:szCs w:val="20"/>
              </w:rPr>
            </w:pPr>
            <w:r>
              <w:rPr>
                <w:rFonts w:ascii="Arial" w:hAnsi="Arial" w:cs="Arial"/>
                <w:sz w:val="20"/>
                <w:szCs w:val="20"/>
              </w:rPr>
              <w:t>D9</w:t>
            </w:r>
          </w:p>
        </w:tc>
        <w:tc>
          <w:tcPr>
            <w:tcW w:w="1292" w:type="dxa"/>
          </w:tcPr>
          <w:p w14:paraId="12D32874" w14:textId="77777777" w:rsidR="00224C44" w:rsidRPr="008E3C1C" w:rsidRDefault="00224C44" w:rsidP="0091436C">
            <w:pPr>
              <w:jc w:val="right"/>
              <w:rPr>
                <w:rFonts w:ascii="Arial" w:hAnsi="Arial" w:cs="Arial"/>
                <w:sz w:val="20"/>
                <w:szCs w:val="20"/>
              </w:rPr>
            </w:pPr>
            <w:r w:rsidRPr="00506769">
              <w:rPr>
                <w:rFonts w:ascii="Arial" w:hAnsi="Arial" w:cs="Arial"/>
                <w:sz w:val="20"/>
                <w:szCs w:val="20"/>
              </w:rPr>
              <w:t>360</w:t>
            </w:r>
          </w:p>
        </w:tc>
        <w:tc>
          <w:tcPr>
            <w:tcW w:w="1292" w:type="dxa"/>
          </w:tcPr>
          <w:p w14:paraId="49C393E0" w14:textId="77777777" w:rsidR="00224C44" w:rsidRPr="008E3C1C" w:rsidRDefault="00224C44" w:rsidP="0091436C">
            <w:pPr>
              <w:jc w:val="right"/>
              <w:rPr>
                <w:rFonts w:ascii="Arial" w:hAnsi="Arial" w:cs="Arial"/>
                <w:sz w:val="20"/>
                <w:szCs w:val="20"/>
              </w:rPr>
            </w:pPr>
            <w:r>
              <w:rPr>
                <w:rFonts w:ascii="Arial" w:hAnsi="Arial" w:cs="Arial"/>
                <w:sz w:val="20"/>
                <w:szCs w:val="20"/>
              </w:rPr>
              <w:t>270</w:t>
            </w:r>
          </w:p>
        </w:tc>
      </w:tr>
      <w:tr w:rsidR="00224C44" w:rsidRPr="008E3C1C" w14:paraId="4A4AFBBC" w14:textId="77777777" w:rsidTr="0091436C">
        <w:tc>
          <w:tcPr>
            <w:tcW w:w="2055" w:type="dxa"/>
          </w:tcPr>
          <w:p w14:paraId="5AE92E24" w14:textId="77777777" w:rsidR="00224C44" w:rsidRPr="008E3C1C" w:rsidRDefault="00224C44" w:rsidP="0091436C">
            <w:pPr>
              <w:rPr>
                <w:rFonts w:ascii="Arial" w:hAnsi="Arial" w:cs="Arial"/>
                <w:sz w:val="20"/>
                <w:szCs w:val="20"/>
              </w:rPr>
            </w:pPr>
          </w:p>
        </w:tc>
        <w:tc>
          <w:tcPr>
            <w:tcW w:w="3140" w:type="dxa"/>
          </w:tcPr>
          <w:p w14:paraId="3E9C0567" w14:textId="77777777" w:rsidR="00224C44" w:rsidRPr="008E3C1C" w:rsidRDefault="00224C44" w:rsidP="0091436C">
            <w:pPr>
              <w:rPr>
                <w:rFonts w:ascii="Arial" w:hAnsi="Arial" w:cs="Arial"/>
                <w:sz w:val="20"/>
                <w:szCs w:val="20"/>
              </w:rPr>
            </w:pPr>
            <w:r>
              <w:rPr>
                <w:rFonts w:ascii="Arial" w:hAnsi="Arial" w:cs="Arial"/>
                <w:sz w:val="20"/>
                <w:szCs w:val="20"/>
              </w:rPr>
              <w:t>Skupaj</w:t>
            </w:r>
          </w:p>
        </w:tc>
        <w:tc>
          <w:tcPr>
            <w:tcW w:w="1283" w:type="dxa"/>
          </w:tcPr>
          <w:p w14:paraId="02881098" w14:textId="77777777" w:rsidR="00224C44" w:rsidRPr="008E3C1C" w:rsidRDefault="00224C44" w:rsidP="0091436C">
            <w:pPr>
              <w:jc w:val="right"/>
              <w:rPr>
                <w:rFonts w:ascii="Arial" w:hAnsi="Arial" w:cs="Arial"/>
                <w:sz w:val="20"/>
                <w:szCs w:val="20"/>
              </w:rPr>
            </w:pPr>
          </w:p>
        </w:tc>
        <w:tc>
          <w:tcPr>
            <w:tcW w:w="1292" w:type="dxa"/>
          </w:tcPr>
          <w:p w14:paraId="38F15855" w14:textId="77777777" w:rsidR="00224C44" w:rsidRPr="008E3C1C" w:rsidRDefault="00224C44" w:rsidP="0091436C">
            <w:pPr>
              <w:jc w:val="right"/>
              <w:rPr>
                <w:rFonts w:ascii="Arial" w:hAnsi="Arial" w:cs="Arial"/>
                <w:sz w:val="20"/>
                <w:szCs w:val="20"/>
              </w:rPr>
            </w:pPr>
            <w:r>
              <w:rPr>
                <w:rFonts w:ascii="Arial" w:hAnsi="Arial" w:cs="Arial"/>
                <w:sz w:val="20"/>
                <w:szCs w:val="20"/>
              </w:rPr>
              <w:t>535</w:t>
            </w:r>
          </w:p>
        </w:tc>
        <w:tc>
          <w:tcPr>
            <w:tcW w:w="1292" w:type="dxa"/>
          </w:tcPr>
          <w:p w14:paraId="1DD688CE" w14:textId="77777777" w:rsidR="00224C44" w:rsidRPr="008E3C1C" w:rsidRDefault="00224C44" w:rsidP="0091436C">
            <w:pPr>
              <w:jc w:val="right"/>
              <w:rPr>
                <w:rFonts w:ascii="Arial" w:hAnsi="Arial" w:cs="Arial"/>
                <w:sz w:val="20"/>
                <w:szCs w:val="20"/>
              </w:rPr>
            </w:pPr>
            <w:r>
              <w:rPr>
                <w:rFonts w:ascii="Arial" w:hAnsi="Arial" w:cs="Arial"/>
                <w:sz w:val="20"/>
                <w:szCs w:val="20"/>
              </w:rPr>
              <w:t>1062</w:t>
            </w:r>
          </w:p>
        </w:tc>
      </w:tr>
      <w:tr w:rsidR="00224C44" w:rsidRPr="008E3C1C" w14:paraId="46A0BCFE" w14:textId="77777777" w:rsidTr="0091436C">
        <w:tc>
          <w:tcPr>
            <w:tcW w:w="2055" w:type="dxa"/>
          </w:tcPr>
          <w:p w14:paraId="39A83E47" w14:textId="77777777" w:rsidR="00224C44" w:rsidRPr="008E3C1C" w:rsidRDefault="00224C44" w:rsidP="0091436C">
            <w:pPr>
              <w:rPr>
                <w:rFonts w:ascii="Arial" w:hAnsi="Arial" w:cs="Arial"/>
                <w:sz w:val="20"/>
                <w:szCs w:val="20"/>
              </w:rPr>
            </w:pPr>
          </w:p>
        </w:tc>
        <w:tc>
          <w:tcPr>
            <w:tcW w:w="3140" w:type="dxa"/>
          </w:tcPr>
          <w:p w14:paraId="066A019D" w14:textId="77777777" w:rsidR="00224C44" w:rsidRDefault="00224C44" w:rsidP="0091436C">
            <w:pPr>
              <w:rPr>
                <w:rFonts w:ascii="Arial" w:hAnsi="Arial" w:cs="Arial"/>
                <w:sz w:val="20"/>
                <w:szCs w:val="20"/>
              </w:rPr>
            </w:pPr>
            <w:r>
              <w:rPr>
                <w:rFonts w:ascii="Arial" w:hAnsi="Arial" w:cs="Arial"/>
                <w:sz w:val="20"/>
                <w:szCs w:val="20"/>
              </w:rPr>
              <w:t>Ukrep finančnih instrumentov SID banka</w:t>
            </w:r>
          </w:p>
        </w:tc>
        <w:tc>
          <w:tcPr>
            <w:tcW w:w="1283" w:type="dxa"/>
          </w:tcPr>
          <w:p w14:paraId="2BCC9304" w14:textId="77777777" w:rsidR="00224C44" w:rsidRPr="008E3C1C" w:rsidRDefault="00224C44" w:rsidP="0091436C">
            <w:pPr>
              <w:jc w:val="right"/>
              <w:rPr>
                <w:rFonts w:ascii="Arial" w:hAnsi="Arial" w:cs="Arial"/>
                <w:sz w:val="20"/>
                <w:szCs w:val="20"/>
              </w:rPr>
            </w:pPr>
          </w:p>
        </w:tc>
        <w:tc>
          <w:tcPr>
            <w:tcW w:w="1292" w:type="dxa"/>
          </w:tcPr>
          <w:p w14:paraId="6230D605" w14:textId="77777777" w:rsidR="00224C44" w:rsidRDefault="00224C44" w:rsidP="0091436C">
            <w:pPr>
              <w:jc w:val="right"/>
              <w:rPr>
                <w:rFonts w:ascii="Arial" w:hAnsi="Arial" w:cs="Arial"/>
                <w:sz w:val="20"/>
                <w:szCs w:val="20"/>
              </w:rPr>
            </w:pPr>
            <w:r>
              <w:rPr>
                <w:rFonts w:ascii="Arial" w:hAnsi="Arial" w:cs="Arial"/>
                <w:sz w:val="20"/>
                <w:szCs w:val="20"/>
              </w:rPr>
              <w:t>150</w:t>
            </w:r>
          </w:p>
        </w:tc>
        <w:tc>
          <w:tcPr>
            <w:tcW w:w="1292" w:type="dxa"/>
          </w:tcPr>
          <w:p w14:paraId="068F684B" w14:textId="77777777" w:rsidR="00224C44" w:rsidRDefault="00224C44" w:rsidP="0091436C">
            <w:pPr>
              <w:jc w:val="right"/>
              <w:rPr>
                <w:rFonts w:ascii="Arial" w:hAnsi="Arial" w:cs="Arial"/>
                <w:sz w:val="20"/>
                <w:szCs w:val="20"/>
              </w:rPr>
            </w:pPr>
            <w:r>
              <w:rPr>
                <w:rFonts w:ascii="Arial" w:hAnsi="Arial" w:cs="Arial"/>
                <w:sz w:val="20"/>
                <w:szCs w:val="20"/>
              </w:rPr>
              <w:t>150</w:t>
            </w:r>
          </w:p>
        </w:tc>
      </w:tr>
    </w:tbl>
    <w:p w14:paraId="1F7F3B82" w14:textId="77777777" w:rsidR="00224C44" w:rsidRPr="008A27E8" w:rsidRDefault="00224C44" w:rsidP="00224C44">
      <w:pPr>
        <w:rPr>
          <w:rFonts w:ascii="Arial" w:hAnsi="Arial" w:cs="Arial"/>
          <w:sz w:val="20"/>
          <w:szCs w:val="20"/>
        </w:rPr>
      </w:pPr>
      <w:r w:rsidRPr="008A27E8">
        <w:rPr>
          <w:rFonts w:ascii="Arial" w:hAnsi="Arial" w:cs="Arial"/>
          <w:sz w:val="20"/>
          <w:szCs w:val="20"/>
        </w:rPr>
        <w:t>Vir: Ministrstvo z</w:t>
      </w:r>
      <w:r>
        <w:rPr>
          <w:rFonts w:ascii="Arial" w:hAnsi="Arial" w:cs="Arial"/>
          <w:sz w:val="20"/>
          <w:szCs w:val="20"/>
        </w:rPr>
        <w:t xml:space="preserve">a </w:t>
      </w:r>
      <w:r w:rsidRPr="008A27E8">
        <w:rPr>
          <w:rFonts w:ascii="Arial" w:hAnsi="Arial" w:cs="Arial"/>
          <w:sz w:val="20"/>
          <w:szCs w:val="20"/>
        </w:rPr>
        <w:t>finance.</w:t>
      </w:r>
    </w:p>
    <w:p w14:paraId="6F1ABEE5" w14:textId="64B49F90" w:rsidR="00224C44" w:rsidRDefault="00224C44" w:rsidP="00224C44">
      <w:pPr>
        <w:rPr>
          <w:rFonts w:ascii="Arial" w:hAnsi="Arial" w:cs="Arial"/>
        </w:rPr>
      </w:pPr>
      <w:r>
        <w:rPr>
          <w:rFonts w:ascii="Arial" w:hAnsi="Arial" w:cs="Arial"/>
        </w:rPr>
        <w:t xml:space="preserve">Vsi ukrepi povezani s poplavami so obravnavani kot enkratni ukrepi. </w:t>
      </w:r>
    </w:p>
    <w:p w14:paraId="0389E406" w14:textId="145BCD26" w:rsidR="00FB23FF" w:rsidRDefault="00DF18C2" w:rsidP="00DF18C2">
      <w:pPr>
        <w:spacing w:before="240" w:after="240" w:line="288" w:lineRule="auto"/>
        <w:jc w:val="both"/>
        <w:rPr>
          <w:rFonts w:ascii="Arial" w:hAnsi="Arial" w:cs="Arial"/>
        </w:rPr>
      </w:pPr>
      <w:r w:rsidRPr="00CF4D2C">
        <w:rPr>
          <w:rFonts w:ascii="Arial" w:hAnsi="Arial" w:cs="Arial"/>
        </w:rPr>
        <w:t>V letu 2023 se je Slovenija soočila</w:t>
      </w:r>
      <w:r w:rsidR="00DF2161">
        <w:rPr>
          <w:rFonts w:ascii="Arial" w:hAnsi="Arial" w:cs="Arial"/>
        </w:rPr>
        <w:t>,</w:t>
      </w:r>
      <w:r w:rsidRPr="00CF4D2C">
        <w:rPr>
          <w:rFonts w:ascii="Arial" w:hAnsi="Arial" w:cs="Arial"/>
        </w:rPr>
        <w:t xml:space="preserve"> </w:t>
      </w:r>
      <w:r w:rsidR="00DF2161">
        <w:rPr>
          <w:rFonts w:ascii="Arial" w:hAnsi="Arial" w:cs="Arial"/>
        </w:rPr>
        <w:t>poleg</w:t>
      </w:r>
      <w:r w:rsidR="00DF2161" w:rsidRPr="00DF2161">
        <w:rPr>
          <w:rFonts w:ascii="Arial" w:hAnsi="Arial" w:cs="Arial"/>
        </w:rPr>
        <w:t xml:space="preserve"> </w:t>
      </w:r>
      <w:r w:rsidRPr="00DF2161">
        <w:rPr>
          <w:rFonts w:ascii="Arial" w:hAnsi="Arial" w:cs="Arial"/>
        </w:rPr>
        <w:t>poplav v avgustu</w:t>
      </w:r>
      <w:r w:rsidR="00DF2161">
        <w:rPr>
          <w:rFonts w:ascii="Arial" w:hAnsi="Arial" w:cs="Arial"/>
        </w:rPr>
        <w:t>,</w:t>
      </w:r>
      <w:r w:rsidRPr="00CF4D2C">
        <w:rPr>
          <w:rFonts w:ascii="Arial" w:hAnsi="Arial" w:cs="Arial"/>
        </w:rPr>
        <w:t xml:space="preserve"> tudi z drugimi naravnimi nesrečami (poplava </w:t>
      </w:r>
      <w:r w:rsidRPr="00DF2161">
        <w:rPr>
          <w:rFonts w:ascii="Arial" w:hAnsi="Arial" w:cs="Arial"/>
        </w:rPr>
        <w:t>med 6</w:t>
      </w:r>
      <w:r w:rsidRPr="00CF4D2C">
        <w:rPr>
          <w:rFonts w:ascii="Arial" w:hAnsi="Arial" w:cs="Arial"/>
        </w:rPr>
        <w:t xml:space="preserve">  in 7. majem 2023; obilno deževje s poplavami in plazovi </w:t>
      </w:r>
      <w:r w:rsidRPr="00CF4D2C">
        <w:rPr>
          <w:rFonts w:ascii="Arial" w:hAnsi="Arial" w:cs="Arial"/>
          <w:lang w:eastAsia="sl-SI"/>
        </w:rPr>
        <w:t xml:space="preserve">od 14. do 23. maja 2023; </w:t>
      </w:r>
      <w:r w:rsidRPr="00CF4D2C">
        <w:rPr>
          <w:rFonts w:ascii="Arial" w:hAnsi="Arial" w:cs="Arial"/>
        </w:rPr>
        <w:t>močnim neurjem z dežjem in vetrom med 12</w:t>
      </w:r>
      <w:r w:rsidR="00CF4D2C">
        <w:rPr>
          <w:rFonts w:ascii="Arial" w:hAnsi="Arial" w:cs="Arial"/>
        </w:rPr>
        <w:t>.</w:t>
      </w:r>
      <w:r w:rsidRPr="00CF4D2C">
        <w:rPr>
          <w:rFonts w:ascii="Arial" w:hAnsi="Arial" w:cs="Arial"/>
        </w:rPr>
        <w:t xml:space="preserve"> in 13</w:t>
      </w:r>
      <w:r w:rsidR="00CF4D2C">
        <w:rPr>
          <w:rFonts w:ascii="Arial" w:hAnsi="Arial" w:cs="Arial"/>
        </w:rPr>
        <w:t>.</w:t>
      </w:r>
      <w:r w:rsidRPr="00CF4D2C">
        <w:rPr>
          <w:rFonts w:ascii="Arial" w:hAnsi="Arial" w:cs="Arial"/>
        </w:rPr>
        <w:t xml:space="preserve"> julijem 2023), katerih škoda je bila ocenjena skupaj  za okoli 85 mio EUR. </w:t>
      </w:r>
    </w:p>
    <w:p w14:paraId="20D9E09B" w14:textId="77777777" w:rsidR="00046336" w:rsidRPr="00CF4D2C" w:rsidRDefault="00046336" w:rsidP="00DF18C2">
      <w:pPr>
        <w:spacing w:before="240" w:after="240" w:line="288" w:lineRule="auto"/>
        <w:jc w:val="both"/>
        <w:rPr>
          <w:rFonts w:ascii="Arial" w:hAnsi="Arial" w:cs="Arial"/>
        </w:rPr>
      </w:pPr>
    </w:p>
    <w:p w14:paraId="25B1C836" w14:textId="77777777" w:rsidR="008F3BC3" w:rsidRPr="00B0561D" w:rsidRDefault="008F3BC3" w:rsidP="008F3BC3">
      <w:pPr>
        <w:jc w:val="both"/>
        <w:rPr>
          <w:rFonts w:ascii="Arial" w:hAnsi="Arial" w:cs="Arial"/>
          <w:b/>
          <w:u w:val="single"/>
        </w:rPr>
      </w:pPr>
      <w:r w:rsidRPr="00B0561D">
        <w:rPr>
          <w:rFonts w:ascii="Arial" w:hAnsi="Arial" w:cs="Arial"/>
          <w:b/>
          <w:u w:val="single"/>
        </w:rPr>
        <w:t>Scenarij ob nespremenjenih politikah</w:t>
      </w:r>
    </w:p>
    <w:p w14:paraId="305A8DD8" w14:textId="618A5DD1" w:rsidR="008F3BC3" w:rsidRDefault="008F3BC3" w:rsidP="008F3BC3">
      <w:pPr>
        <w:spacing w:before="160"/>
        <w:jc w:val="both"/>
        <w:rPr>
          <w:rFonts w:ascii="Arial" w:hAnsi="Arial" w:cs="Arial"/>
        </w:rPr>
      </w:pPr>
      <w:r>
        <w:rPr>
          <w:rFonts w:ascii="Arial" w:hAnsi="Arial" w:cs="Arial"/>
        </w:rPr>
        <w:t xml:space="preserve">V scenariju so ob nespremenjenih politikah za leto 2024 izključeni vsi začasni ukrepi, povezani z naravno nesrečo v avgustu 2023. </w:t>
      </w:r>
    </w:p>
    <w:p w14:paraId="143E0E05" w14:textId="2BAC894B" w:rsidR="00046336" w:rsidRDefault="00046336" w:rsidP="008F3BC3">
      <w:pPr>
        <w:spacing w:before="160"/>
        <w:jc w:val="both"/>
        <w:rPr>
          <w:rFonts w:ascii="Arial" w:hAnsi="Arial" w:cs="Arial"/>
        </w:rPr>
      </w:pPr>
    </w:p>
    <w:p w14:paraId="151BD3EC" w14:textId="77777777" w:rsidR="00046336" w:rsidRDefault="00046336" w:rsidP="008F3BC3">
      <w:pPr>
        <w:spacing w:before="160"/>
        <w:jc w:val="both"/>
        <w:rPr>
          <w:rFonts w:ascii="Arial" w:hAnsi="Arial" w:cs="Arial"/>
        </w:rPr>
      </w:pPr>
    </w:p>
    <w:p w14:paraId="32EB4DAF" w14:textId="77777777" w:rsidR="008F3BC3" w:rsidRPr="00B0561D" w:rsidRDefault="008F3BC3" w:rsidP="008F3BC3">
      <w:pPr>
        <w:pStyle w:val="NormalWeb"/>
        <w:jc w:val="both"/>
        <w:rPr>
          <w:rFonts w:ascii="Arial" w:hAnsi="Arial" w:cs="Arial"/>
          <w:b/>
          <w:bCs/>
          <w:color w:val="000000"/>
          <w:sz w:val="22"/>
          <w:szCs w:val="22"/>
          <w:u w:val="single"/>
        </w:rPr>
      </w:pPr>
      <w:r w:rsidRPr="00B0561D">
        <w:rPr>
          <w:rFonts w:ascii="Arial" w:hAnsi="Arial" w:cs="Arial"/>
          <w:b/>
          <w:bCs/>
          <w:color w:val="000000"/>
          <w:sz w:val="22"/>
          <w:szCs w:val="22"/>
          <w:u w:val="single"/>
        </w:rPr>
        <w:lastRenderedPageBreak/>
        <w:t>Negotovosti in tveganja za fiskalno napoved</w:t>
      </w:r>
    </w:p>
    <w:p w14:paraId="08101376" w14:textId="77777777" w:rsidR="008F3BC3" w:rsidRDefault="008F3BC3" w:rsidP="008F3BC3">
      <w:pPr>
        <w:spacing w:after="0"/>
        <w:jc w:val="both"/>
        <w:rPr>
          <w:rFonts w:ascii="Arial" w:hAnsi="Arial" w:cs="Arial"/>
        </w:rPr>
      </w:pPr>
      <w:r w:rsidRPr="00CB2127">
        <w:rPr>
          <w:rFonts w:ascii="Arial" w:hAnsi="Arial" w:cs="Arial"/>
        </w:rPr>
        <w:t xml:space="preserve">Tveganja za uresničitev napovedi izhajajo zlasti iz gospodarske aktivnosti v mednarodnem okolju, kjer se aktivnost umirja, prav tako ostaja negotovost glede poteka vojne v Ukrajini. Izvozni sektor slovenskega gospodarstva se poleg šibkejšega povpraševanja sooča tudi s povišanimi cenami elektrike, plina in stroški dela. Poslabšana stroškovna konkurenčnost bi ob morebitni trdovratni inflaciji še bolj prizadela slovenske izvozni sektor. Tveganja za višjo inflacijo izhajajo iz različnih dejavnikov kot so višje cene energentov, morebitna višja storitvena inflacija in višje predpostavljena rast cen hrane. Cene hrane so močno odvisne od ekstremnih vremenskih dogodkov, ki so letos zaznamovali številne evropske države, </w:t>
      </w:r>
      <w:r w:rsidRPr="00966114">
        <w:rPr>
          <w:rFonts w:ascii="Arial" w:hAnsi="Arial" w:cs="Arial"/>
        </w:rPr>
        <w:t>ki pa so pomembne proizvajalke hrane. Istočasno obstajajo negotovosti glede kratkoročnih in srednjeročnih gospodarskih posledic nedavne naravne nesreče. Pri tem obstajajo dodatna inflacijska tveganja, ki bi izhajala iz večjega povpraševanja po gradbenih de</w:t>
      </w:r>
      <w:r w:rsidRPr="00CB2127">
        <w:rPr>
          <w:rFonts w:ascii="Arial" w:hAnsi="Arial" w:cs="Arial"/>
        </w:rPr>
        <w:t>lih zaradi obnove po poplavi.</w:t>
      </w:r>
    </w:p>
    <w:p w14:paraId="6BC74405" w14:textId="77777777" w:rsidR="008F3BC3" w:rsidRPr="00CB2127" w:rsidRDefault="008F3BC3" w:rsidP="008F3BC3">
      <w:pPr>
        <w:spacing w:after="0"/>
        <w:jc w:val="both"/>
        <w:rPr>
          <w:rFonts w:ascii="Arial" w:hAnsi="Arial" w:cs="Arial"/>
        </w:rPr>
      </w:pPr>
    </w:p>
    <w:p w14:paraId="56896FD2" w14:textId="77777777" w:rsidR="008F3BC3" w:rsidRDefault="008F3BC3" w:rsidP="008F3BC3">
      <w:pPr>
        <w:spacing w:after="0"/>
        <w:jc w:val="both"/>
        <w:rPr>
          <w:rFonts w:ascii="Arial" w:hAnsi="Arial" w:cs="Arial"/>
        </w:rPr>
      </w:pPr>
      <w:r w:rsidRPr="00966114">
        <w:rPr>
          <w:rFonts w:ascii="Arial" w:hAnsi="Arial" w:cs="Arial"/>
        </w:rPr>
        <w:t xml:space="preserve">Morebitna trdovratna inflacija bi vplivala na negotovosti in tveganja povezana z gospodarsko rastjo v evrskem območju, nadaljnjo omejevala kupno moč gospodinjstev in vodila k dodatnem zaostrovanjem monetarne politike, kar bi </w:t>
      </w:r>
      <w:r w:rsidRPr="00CB2127">
        <w:rPr>
          <w:rFonts w:ascii="Arial" w:hAnsi="Arial" w:cs="Arial"/>
        </w:rPr>
        <w:t>negativno vplivalo na posojilno in investicijsko aktivnost.</w:t>
      </w:r>
    </w:p>
    <w:p w14:paraId="7193BCCD" w14:textId="77777777" w:rsidR="008F3BC3" w:rsidRPr="00CB2127" w:rsidRDefault="008F3BC3" w:rsidP="008F3BC3">
      <w:pPr>
        <w:spacing w:after="0"/>
        <w:jc w:val="both"/>
        <w:rPr>
          <w:rFonts w:ascii="Arial" w:hAnsi="Arial" w:cs="Arial"/>
        </w:rPr>
      </w:pPr>
    </w:p>
    <w:p w14:paraId="4BBF0BCB" w14:textId="77777777" w:rsidR="008F3BC3" w:rsidRPr="00CB2127" w:rsidRDefault="008F3BC3" w:rsidP="008F3BC3">
      <w:pPr>
        <w:jc w:val="both"/>
        <w:rPr>
          <w:rFonts w:ascii="Arial" w:hAnsi="Arial" w:cs="Arial"/>
        </w:rPr>
      </w:pPr>
      <w:r w:rsidRPr="00966114">
        <w:rPr>
          <w:rFonts w:ascii="Arial" w:hAnsi="Arial" w:cs="Arial"/>
        </w:rPr>
        <w:t>Obstaja tudi nekaj možnosti za višjo gospodarsko rast v EU in v Sloveniji. Med njimi so hitrejše zmanjševanje inflacije, kar bi privedlo do manjšega zaostrovanje monetarne politike in večje kupne</w:t>
      </w:r>
      <w:r w:rsidRPr="00CB2127">
        <w:rPr>
          <w:rFonts w:ascii="Arial" w:hAnsi="Arial" w:cs="Arial"/>
        </w:rPr>
        <w:t xml:space="preserve"> moči gospodinjstev. Učinkovitejše črpanje sredstev paketa EU ter javnofinančni učinki reformnih ukrepov bi imelo pozitiven vpliv na gospodarsko rast tako v Sloveniji kot v naših glavnih trgovinskih partnericah. Uspešno privabljanje tujih delavcev bi prav tako lahko blažilo pomanjkanje delovne sile, kar bi ugodno vplivalo na gospodarsko aktivnost.</w:t>
      </w:r>
    </w:p>
    <w:p w14:paraId="7B344661" w14:textId="617DDF72" w:rsidR="008F3BC3" w:rsidRDefault="008F3BC3" w:rsidP="008F3BC3">
      <w:pPr>
        <w:spacing w:after="0"/>
        <w:jc w:val="both"/>
        <w:rPr>
          <w:rFonts w:ascii="Arial" w:hAnsi="Arial" w:cs="Arial"/>
        </w:rPr>
      </w:pPr>
      <w:r w:rsidRPr="00C63A85">
        <w:rPr>
          <w:rFonts w:ascii="Arial" w:hAnsi="Arial" w:cs="Arial"/>
        </w:rPr>
        <w:t xml:space="preserve">Tabela </w:t>
      </w:r>
      <w:r>
        <w:rPr>
          <w:rFonts w:ascii="Arial" w:hAnsi="Arial" w:cs="Arial"/>
        </w:rPr>
        <w:t>5</w:t>
      </w:r>
      <w:r w:rsidRPr="00C63A85">
        <w:rPr>
          <w:rFonts w:ascii="Arial" w:hAnsi="Arial" w:cs="Arial"/>
        </w:rPr>
        <w:t xml:space="preserve"> prikazuje </w:t>
      </w:r>
      <w:r w:rsidR="003F0B28">
        <w:rPr>
          <w:rFonts w:ascii="Arial" w:hAnsi="Arial" w:cs="Arial"/>
        </w:rPr>
        <w:t>različne spremembe</w:t>
      </w:r>
      <w:r w:rsidRPr="00C63A85">
        <w:rPr>
          <w:rFonts w:ascii="Arial" w:hAnsi="Arial" w:cs="Arial"/>
        </w:rPr>
        <w:t xml:space="preserve"> določene kategorije proračunskih izdatkov in prejemkov, ki izhaja</w:t>
      </w:r>
      <w:r w:rsidR="003F0B28">
        <w:rPr>
          <w:rFonts w:ascii="Arial" w:hAnsi="Arial" w:cs="Arial"/>
        </w:rPr>
        <w:t>jo</w:t>
      </w:r>
      <w:r w:rsidRPr="00C63A85">
        <w:rPr>
          <w:rFonts w:ascii="Arial" w:hAnsi="Arial" w:cs="Arial"/>
        </w:rPr>
        <w:t xml:space="preserve"> iz </w:t>
      </w:r>
      <w:r w:rsidR="003F0B28">
        <w:rPr>
          <w:rFonts w:ascii="Arial" w:hAnsi="Arial" w:cs="Arial"/>
        </w:rPr>
        <w:t xml:space="preserve">hipotetične </w:t>
      </w:r>
      <w:r w:rsidRPr="00C63A85">
        <w:rPr>
          <w:rFonts w:ascii="Arial" w:hAnsi="Arial" w:cs="Arial"/>
        </w:rPr>
        <w:t>spremembe določenega ekonomskega dejavnika. Proračunski vpliv v % BDP je tako posledica vsakoletne spremembe rasti makroekonomskega dejavnika za 1 odstotno točko oziroma spremembe obrestnih mer v dvoletnem obdobju analize. Na primer, če bi bila v 2023 in 2024 vsako leto rast zaposlenosti višja za 1 odstotno točko od tiste, predvidene v UMAR Jesenski napovedi 2023, bi bili leta 2024 prihodki od dohodnine višji za okoli 0,09 % BDP.</w:t>
      </w:r>
    </w:p>
    <w:p w14:paraId="1F7CFD10" w14:textId="77777777" w:rsidR="008F3BC3" w:rsidRPr="00C63A85" w:rsidRDefault="008F3BC3" w:rsidP="008F3BC3">
      <w:pPr>
        <w:spacing w:after="0"/>
        <w:jc w:val="both"/>
        <w:rPr>
          <w:rFonts w:ascii="Arial" w:hAnsi="Arial" w:cs="Arial"/>
        </w:rPr>
      </w:pPr>
    </w:p>
    <w:p w14:paraId="1905122D" w14:textId="63654204" w:rsidR="008F3BC3" w:rsidRPr="00C63A85" w:rsidRDefault="008F3BC3" w:rsidP="008F3BC3">
      <w:pPr>
        <w:spacing w:after="0"/>
        <w:jc w:val="both"/>
        <w:rPr>
          <w:rFonts w:ascii="Arial" w:hAnsi="Arial" w:cs="Arial"/>
        </w:rPr>
      </w:pPr>
      <w:r w:rsidRPr="00C63A85">
        <w:rPr>
          <w:rFonts w:ascii="Arial" w:hAnsi="Arial" w:cs="Arial"/>
        </w:rPr>
        <w:t xml:space="preserve">Iz Tabele </w:t>
      </w:r>
      <w:r>
        <w:rPr>
          <w:rFonts w:ascii="Arial" w:hAnsi="Arial" w:cs="Arial"/>
        </w:rPr>
        <w:t>5</w:t>
      </w:r>
      <w:r w:rsidRPr="00C63A85">
        <w:rPr>
          <w:rFonts w:ascii="Arial" w:hAnsi="Arial" w:cs="Arial"/>
        </w:rPr>
        <w:t xml:space="preserve"> je razvidno, da ima izmed makroekonomskih oziroma cikličnih determinant največji vpliv na povečanje proračunskih prihodkov povečanje rasti sredstev za zaposlene. Socialni prispevki bi bili namreč v primeru 1 o.t. višje letne rasti sredstev za zaposlene v tem in prihodnjem letu v 2024 višji za 0,24 % BDP. Za 1 o.t. višja letna nominalna rast plač bi ob koncu leta 2024 rezultirala v 0,14 % BDP višjih prihodkih od dohodnine, višja rast bruto poslovnega presežka pa v 0,13 % BDP višjih prihodkih od davka od dohodkov pravnih oseb.</w:t>
      </w:r>
    </w:p>
    <w:p w14:paraId="72970723" w14:textId="77777777" w:rsidR="008F3BC3" w:rsidRPr="00C63A85" w:rsidRDefault="008F3BC3" w:rsidP="008F3BC3">
      <w:pPr>
        <w:spacing w:after="0"/>
        <w:jc w:val="both"/>
        <w:rPr>
          <w:rFonts w:ascii="Arial" w:hAnsi="Arial" w:cs="Arial"/>
        </w:rPr>
      </w:pPr>
    </w:p>
    <w:p w14:paraId="26F9ABCC" w14:textId="77777777" w:rsidR="008F3BC3" w:rsidRDefault="008F3BC3" w:rsidP="008F3BC3">
      <w:pPr>
        <w:spacing w:after="0"/>
        <w:jc w:val="both"/>
        <w:rPr>
          <w:rFonts w:ascii="Arial" w:hAnsi="Arial" w:cs="Arial"/>
        </w:rPr>
      </w:pPr>
      <w:r w:rsidRPr="00C63A85">
        <w:rPr>
          <w:rFonts w:ascii="Arial" w:hAnsi="Arial" w:cs="Arial"/>
        </w:rPr>
        <w:t>Po drugi strani bi za 1 o.t. hitrejša nominalna rast plač povečala izdatke za plače v javnem sektorju, in sicer v tem letu za 0,08 % BDP, v 2024 pa za 0,15 % BDP. Izdatki za pokojnine pa bi bili iz tega naslova po preteku dveh let višji za 0,11 % BDP. Izdatki za pokojnine bi zaradi 1 o.t. višje inflacije v prvem letu porasli za 0,04 % BDP, v drugem letu pa za 0,07 % BDP. Višja inflacija bi povišala tudi izdatke za socialne transferje in sicer za 0,06 % BDP na leto. Restriktivna monetarna politika povečuje izdatke za obresti. Kot odgovor na dvig obrestnih mer za 100 baznih točk bi se izdatki za obresti v prvem letu povečali za 0,70 % BDP, v drugem pa za 0,69 % BDP.</w:t>
      </w:r>
    </w:p>
    <w:p w14:paraId="5340821B" w14:textId="77777777" w:rsidR="008F3BC3" w:rsidRPr="00C63A85" w:rsidRDefault="008F3BC3" w:rsidP="008F3BC3">
      <w:pPr>
        <w:spacing w:after="0"/>
        <w:jc w:val="both"/>
        <w:rPr>
          <w:rFonts w:ascii="Arial" w:hAnsi="Arial" w:cs="Arial"/>
        </w:rPr>
      </w:pPr>
    </w:p>
    <w:p w14:paraId="24AC7479" w14:textId="77777777" w:rsidR="00FB23FF" w:rsidRDefault="00FB23FF" w:rsidP="008F3BC3">
      <w:pPr>
        <w:rPr>
          <w:rFonts w:ascii="Arial" w:hAnsi="Arial" w:cs="Arial"/>
        </w:rPr>
      </w:pPr>
    </w:p>
    <w:p w14:paraId="6CCC2D35" w14:textId="3C5F335D" w:rsidR="008F3BC3" w:rsidRPr="00C63A85" w:rsidRDefault="008F3BC3" w:rsidP="008F3BC3">
      <w:pPr>
        <w:rPr>
          <w:rFonts w:ascii="Arial" w:hAnsi="Arial" w:cs="Arial"/>
        </w:rPr>
      </w:pPr>
      <w:r w:rsidRPr="00C63A85">
        <w:rPr>
          <w:rFonts w:ascii="Arial" w:hAnsi="Arial" w:cs="Arial"/>
        </w:rPr>
        <w:lastRenderedPageBreak/>
        <w:t xml:space="preserve">Tabela </w:t>
      </w:r>
      <w:r w:rsidRPr="00C63A85">
        <w:rPr>
          <w:rFonts w:ascii="Arial" w:hAnsi="Arial" w:cs="Arial"/>
        </w:rPr>
        <w:fldChar w:fldCharType="begin"/>
      </w:r>
      <w:r w:rsidRPr="00C63A85">
        <w:rPr>
          <w:rFonts w:ascii="Arial" w:hAnsi="Arial" w:cs="Arial"/>
        </w:rPr>
        <w:instrText xml:space="preserve"> SEQ Tabela \* ARABIC </w:instrText>
      </w:r>
      <w:r w:rsidRPr="00C63A85">
        <w:rPr>
          <w:rFonts w:ascii="Arial" w:hAnsi="Arial" w:cs="Arial"/>
        </w:rPr>
        <w:fldChar w:fldCharType="separate"/>
      </w:r>
      <w:r w:rsidR="00E4660B">
        <w:rPr>
          <w:rFonts w:ascii="Arial" w:hAnsi="Arial" w:cs="Arial"/>
          <w:noProof/>
        </w:rPr>
        <w:t>5</w:t>
      </w:r>
      <w:r w:rsidRPr="00C63A85">
        <w:rPr>
          <w:rFonts w:ascii="Arial" w:hAnsi="Arial" w:cs="Arial"/>
        </w:rPr>
        <w:fldChar w:fldCharType="end"/>
      </w:r>
      <w:r w:rsidRPr="00C63A85">
        <w:rPr>
          <w:rFonts w:ascii="Arial" w:hAnsi="Arial" w:cs="Arial"/>
        </w:rPr>
        <w:t xml:space="preserve">: </w:t>
      </w:r>
      <w:r w:rsidR="003F0B28">
        <w:rPr>
          <w:rFonts w:ascii="Arial" w:hAnsi="Arial" w:cs="Arial"/>
        </w:rPr>
        <w:t>V</w:t>
      </w:r>
      <w:r w:rsidRPr="00C63A85">
        <w:rPr>
          <w:rFonts w:ascii="Arial" w:hAnsi="Arial" w:cs="Arial"/>
        </w:rPr>
        <w:t xml:space="preserve">pliv spremembe ekonomskih dejavnikov na posamezne postavke </w:t>
      </w:r>
      <w:r w:rsidR="000661DE">
        <w:rPr>
          <w:rFonts w:ascii="Arial" w:hAnsi="Arial" w:cs="Arial"/>
        </w:rPr>
        <w:t>sektorja država – različni hipotetični scenariji</w:t>
      </w:r>
    </w:p>
    <w:tbl>
      <w:tblPr>
        <w:tblW w:w="9057" w:type="dxa"/>
        <w:tblLayout w:type="fixed"/>
        <w:tblCellMar>
          <w:left w:w="70" w:type="dxa"/>
          <w:right w:w="70" w:type="dxa"/>
        </w:tblCellMar>
        <w:tblLook w:val="04A0" w:firstRow="1" w:lastRow="0" w:firstColumn="1" w:lastColumn="0" w:noHBand="0" w:noVBand="1"/>
      </w:tblPr>
      <w:tblGrid>
        <w:gridCol w:w="4243"/>
        <w:gridCol w:w="3045"/>
        <w:gridCol w:w="758"/>
        <w:gridCol w:w="816"/>
        <w:gridCol w:w="195"/>
      </w:tblGrid>
      <w:tr w:rsidR="008F3BC3" w:rsidRPr="00C63A85" w14:paraId="09777EC6" w14:textId="77777777" w:rsidTr="0091436C">
        <w:trPr>
          <w:trHeight w:val="345"/>
        </w:trPr>
        <w:tc>
          <w:tcPr>
            <w:tcW w:w="4243" w:type="dxa"/>
            <w:tcBorders>
              <w:top w:val="single" w:sz="8" w:space="0" w:color="auto"/>
              <w:left w:val="single" w:sz="8" w:space="0" w:color="auto"/>
              <w:bottom w:val="nil"/>
              <w:right w:val="nil"/>
            </w:tcBorders>
            <w:shd w:val="clear" w:color="auto" w:fill="auto"/>
            <w:noWrap/>
            <w:vAlign w:val="bottom"/>
            <w:hideMark/>
          </w:tcPr>
          <w:p w14:paraId="6FEF3D91" w14:textId="77777777" w:rsidR="008F3BC3" w:rsidRPr="00C63A85" w:rsidRDefault="008F3BC3" w:rsidP="0091436C">
            <w:pPr>
              <w:rPr>
                <w:rFonts w:ascii="Arial" w:hAnsi="Arial" w:cs="Arial"/>
                <w:sz w:val="20"/>
                <w:szCs w:val="20"/>
              </w:rPr>
            </w:pPr>
            <w:r w:rsidRPr="00C63A85">
              <w:rPr>
                <w:rFonts w:ascii="Arial" w:hAnsi="Arial" w:cs="Arial"/>
                <w:sz w:val="20"/>
                <w:szCs w:val="20"/>
              </w:rPr>
              <w:t> </w:t>
            </w:r>
          </w:p>
        </w:tc>
        <w:tc>
          <w:tcPr>
            <w:tcW w:w="3045" w:type="dxa"/>
            <w:tcBorders>
              <w:top w:val="single" w:sz="8" w:space="0" w:color="auto"/>
              <w:left w:val="nil"/>
              <w:bottom w:val="nil"/>
              <w:right w:val="nil"/>
            </w:tcBorders>
            <w:shd w:val="clear" w:color="auto" w:fill="auto"/>
            <w:noWrap/>
            <w:vAlign w:val="bottom"/>
            <w:hideMark/>
          </w:tcPr>
          <w:p w14:paraId="4819D27F" w14:textId="77777777" w:rsidR="008F3BC3" w:rsidRPr="00C63A85" w:rsidRDefault="008F3BC3" w:rsidP="0091436C">
            <w:pPr>
              <w:rPr>
                <w:rFonts w:ascii="Arial" w:hAnsi="Arial" w:cs="Arial"/>
                <w:sz w:val="20"/>
                <w:szCs w:val="20"/>
              </w:rPr>
            </w:pPr>
            <w:r w:rsidRPr="00C63A85">
              <w:rPr>
                <w:rFonts w:ascii="Arial" w:hAnsi="Arial" w:cs="Arial"/>
                <w:sz w:val="20"/>
                <w:szCs w:val="20"/>
              </w:rPr>
              <w:t> </w:t>
            </w:r>
          </w:p>
        </w:tc>
        <w:tc>
          <w:tcPr>
            <w:tcW w:w="1769" w:type="dxa"/>
            <w:gridSpan w:val="3"/>
            <w:tcBorders>
              <w:top w:val="single" w:sz="8" w:space="0" w:color="auto"/>
              <w:left w:val="nil"/>
              <w:bottom w:val="nil"/>
              <w:right w:val="single" w:sz="4" w:space="0" w:color="auto"/>
            </w:tcBorders>
            <w:shd w:val="clear" w:color="auto" w:fill="auto"/>
            <w:noWrap/>
            <w:vAlign w:val="bottom"/>
            <w:hideMark/>
          </w:tcPr>
          <w:p w14:paraId="21AD1E7E" w14:textId="77777777" w:rsidR="008F3BC3" w:rsidRPr="00C63A85" w:rsidRDefault="008F3BC3" w:rsidP="0091436C">
            <w:pPr>
              <w:rPr>
                <w:rFonts w:ascii="Arial" w:hAnsi="Arial" w:cs="Arial"/>
                <w:b/>
                <w:bCs/>
                <w:sz w:val="20"/>
                <w:szCs w:val="20"/>
              </w:rPr>
            </w:pPr>
            <w:r w:rsidRPr="00C63A85">
              <w:rPr>
                <w:rFonts w:ascii="Arial" w:hAnsi="Arial" w:cs="Arial"/>
                <w:b/>
                <w:bCs/>
                <w:sz w:val="20"/>
                <w:szCs w:val="20"/>
              </w:rPr>
              <w:t>proračunski vpliv v % BDP</w:t>
            </w:r>
          </w:p>
        </w:tc>
      </w:tr>
      <w:tr w:rsidR="008F3BC3" w:rsidRPr="00C63A85" w14:paraId="3BF7C2A5" w14:textId="77777777" w:rsidTr="0091436C">
        <w:trPr>
          <w:trHeight w:val="345"/>
        </w:trPr>
        <w:tc>
          <w:tcPr>
            <w:tcW w:w="4243" w:type="dxa"/>
            <w:tcBorders>
              <w:top w:val="nil"/>
              <w:left w:val="single" w:sz="8" w:space="0" w:color="auto"/>
              <w:bottom w:val="nil"/>
              <w:right w:val="nil"/>
            </w:tcBorders>
            <w:shd w:val="clear" w:color="auto" w:fill="auto"/>
            <w:noWrap/>
            <w:vAlign w:val="bottom"/>
            <w:hideMark/>
          </w:tcPr>
          <w:p w14:paraId="484731D8" w14:textId="77777777" w:rsidR="008F3BC3" w:rsidRPr="00C63A85" w:rsidRDefault="008F3BC3" w:rsidP="0091436C">
            <w:pPr>
              <w:rPr>
                <w:rFonts w:ascii="Arial" w:hAnsi="Arial" w:cs="Arial"/>
                <w:b/>
                <w:bCs/>
                <w:sz w:val="20"/>
                <w:szCs w:val="20"/>
              </w:rPr>
            </w:pPr>
            <w:r w:rsidRPr="00C63A85">
              <w:rPr>
                <w:rFonts w:ascii="Arial" w:hAnsi="Arial" w:cs="Arial"/>
                <w:b/>
                <w:bCs/>
                <w:sz w:val="20"/>
                <w:szCs w:val="20"/>
              </w:rPr>
              <w:t>Ekonomski dejavnik</w:t>
            </w:r>
          </w:p>
        </w:tc>
        <w:tc>
          <w:tcPr>
            <w:tcW w:w="3045" w:type="dxa"/>
            <w:tcBorders>
              <w:top w:val="nil"/>
              <w:left w:val="nil"/>
              <w:bottom w:val="nil"/>
              <w:right w:val="nil"/>
            </w:tcBorders>
            <w:shd w:val="clear" w:color="auto" w:fill="auto"/>
            <w:noWrap/>
            <w:vAlign w:val="bottom"/>
            <w:hideMark/>
          </w:tcPr>
          <w:p w14:paraId="6E5002FC" w14:textId="77777777" w:rsidR="008F3BC3" w:rsidRPr="00C63A85" w:rsidRDefault="008F3BC3" w:rsidP="0091436C">
            <w:pPr>
              <w:rPr>
                <w:rFonts w:ascii="Arial" w:hAnsi="Arial" w:cs="Arial"/>
                <w:b/>
                <w:bCs/>
                <w:sz w:val="20"/>
                <w:szCs w:val="20"/>
              </w:rPr>
            </w:pPr>
            <w:r w:rsidRPr="00C63A85">
              <w:rPr>
                <w:rFonts w:ascii="Arial" w:hAnsi="Arial" w:cs="Arial"/>
                <w:b/>
                <w:bCs/>
                <w:sz w:val="20"/>
                <w:szCs w:val="20"/>
              </w:rPr>
              <w:t>Proračunska postavka</w:t>
            </w:r>
          </w:p>
        </w:tc>
        <w:tc>
          <w:tcPr>
            <w:tcW w:w="758" w:type="dxa"/>
            <w:tcBorders>
              <w:top w:val="nil"/>
              <w:left w:val="nil"/>
              <w:bottom w:val="nil"/>
              <w:right w:val="nil"/>
            </w:tcBorders>
            <w:shd w:val="clear" w:color="auto" w:fill="auto"/>
            <w:noWrap/>
            <w:vAlign w:val="bottom"/>
            <w:hideMark/>
          </w:tcPr>
          <w:p w14:paraId="0E8F5D62" w14:textId="77777777" w:rsidR="008F3BC3" w:rsidRPr="00C63A85" w:rsidRDefault="008F3BC3" w:rsidP="0091436C">
            <w:pPr>
              <w:rPr>
                <w:rFonts w:ascii="Arial" w:hAnsi="Arial" w:cs="Arial"/>
                <w:b/>
                <w:bCs/>
                <w:sz w:val="20"/>
                <w:szCs w:val="20"/>
              </w:rPr>
            </w:pPr>
            <w:r w:rsidRPr="00C63A85">
              <w:rPr>
                <w:rFonts w:ascii="Arial" w:hAnsi="Arial" w:cs="Arial"/>
                <w:b/>
                <w:bCs/>
                <w:sz w:val="20"/>
                <w:szCs w:val="20"/>
              </w:rPr>
              <w:t>2023</w:t>
            </w:r>
          </w:p>
        </w:tc>
        <w:tc>
          <w:tcPr>
            <w:tcW w:w="816" w:type="dxa"/>
            <w:tcBorders>
              <w:top w:val="nil"/>
              <w:left w:val="nil"/>
              <w:bottom w:val="nil"/>
              <w:right w:val="nil"/>
            </w:tcBorders>
            <w:shd w:val="clear" w:color="auto" w:fill="auto"/>
            <w:noWrap/>
            <w:vAlign w:val="bottom"/>
            <w:hideMark/>
          </w:tcPr>
          <w:p w14:paraId="2CFE385E" w14:textId="77777777" w:rsidR="008F3BC3" w:rsidRPr="00C63A85" w:rsidRDefault="008F3BC3" w:rsidP="0091436C">
            <w:pPr>
              <w:rPr>
                <w:rFonts w:ascii="Arial" w:hAnsi="Arial" w:cs="Arial"/>
                <w:b/>
                <w:bCs/>
                <w:sz w:val="20"/>
                <w:szCs w:val="20"/>
              </w:rPr>
            </w:pPr>
            <w:r w:rsidRPr="00C63A85">
              <w:rPr>
                <w:rFonts w:ascii="Arial" w:hAnsi="Arial" w:cs="Arial"/>
                <w:b/>
                <w:bCs/>
                <w:sz w:val="20"/>
                <w:szCs w:val="20"/>
              </w:rPr>
              <w:t>2024</w:t>
            </w:r>
          </w:p>
        </w:tc>
        <w:tc>
          <w:tcPr>
            <w:tcW w:w="195" w:type="dxa"/>
            <w:tcBorders>
              <w:top w:val="nil"/>
              <w:left w:val="nil"/>
              <w:bottom w:val="nil"/>
              <w:right w:val="single" w:sz="4" w:space="0" w:color="auto"/>
            </w:tcBorders>
            <w:shd w:val="clear" w:color="auto" w:fill="auto"/>
            <w:noWrap/>
            <w:vAlign w:val="bottom"/>
            <w:hideMark/>
          </w:tcPr>
          <w:p w14:paraId="2FC537BB" w14:textId="77777777" w:rsidR="008F3BC3" w:rsidRPr="00C63A85" w:rsidRDefault="008F3BC3" w:rsidP="0091436C">
            <w:pPr>
              <w:rPr>
                <w:rFonts w:ascii="Arial" w:hAnsi="Arial" w:cs="Arial"/>
                <w:b/>
                <w:bCs/>
                <w:sz w:val="20"/>
                <w:szCs w:val="20"/>
              </w:rPr>
            </w:pPr>
          </w:p>
        </w:tc>
      </w:tr>
      <w:tr w:rsidR="008F3BC3" w:rsidRPr="00C63A85" w14:paraId="098C93DA" w14:textId="77777777" w:rsidTr="0091436C">
        <w:trPr>
          <w:trHeight w:val="345"/>
        </w:trPr>
        <w:tc>
          <w:tcPr>
            <w:tcW w:w="4243" w:type="dxa"/>
            <w:tcBorders>
              <w:top w:val="nil"/>
              <w:left w:val="single" w:sz="8" w:space="0" w:color="auto"/>
              <w:bottom w:val="nil"/>
              <w:right w:val="nil"/>
            </w:tcBorders>
            <w:shd w:val="clear" w:color="auto" w:fill="auto"/>
            <w:noWrap/>
            <w:vAlign w:val="bottom"/>
            <w:hideMark/>
          </w:tcPr>
          <w:p w14:paraId="2AF3193F" w14:textId="77777777" w:rsidR="008F3BC3" w:rsidRPr="00C63A85" w:rsidRDefault="008F3BC3" w:rsidP="0091436C">
            <w:pPr>
              <w:rPr>
                <w:rFonts w:ascii="Arial" w:hAnsi="Arial" w:cs="Arial"/>
                <w:b/>
                <w:bCs/>
                <w:sz w:val="20"/>
                <w:szCs w:val="20"/>
              </w:rPr>
            </w:pPr>
            <w:r w:rsidRPr="00C63A85">
              <w:rPr>
                <w:rFonts w:ascii="Arial" w:hAnsi="Arial" w:cs="Arial"/>
                <w:b/>
                <w:bCs/>
                <w:sz w:val="20"/>
                <w:szCs w:val="20"/>
              </w:rPr>
              <w:t>BDP dohodkovna komponenta</w:t>
            </w:r>
          </w:p>
        </w:tc>
        <w:tc>
          <w:tcPr>
            <w:tcW w:w="3045" w:type="dxa"/>
            <w:tcBorders>
              <w:top w:val="nil"/>
              <w:left w:val="nil"/>
              <w:bottom w:val="nil"/>
              <w:right w:val="nil"/>
            </w:tcBorders>
            <w:shd w:val="clear" w:color="auto" w:fill="auto"/>
            <w:noWrap/>
            <w:vAlign w:val="bottom"/>
            <w:hideMark/>
          </w:tcPr>
          <w:p w14:paraId="4B1C4F8A" w14:textId="77777777" w:rsidR="008F3BC3" w:rsidRPr="00C63A85" w:rsidRDefault="008F3BC3" w:rsidP="0091436C">
            <w:pPr>
              <w:rPr>
                <w:rFonts w:ascii="Arial" w:hAnsi="Arial" w:cs="Arial"/>
                <w:b/>
                <w:bCs/>
                <w:sz w:val="20"/>
                <w:szCs w:val="20"/>
              </w:rPr>
            </w:pPr>
          </w:p>
        </w:tc>
        <w:tc>
          <w:tcPr>
            <w:tcW w:w="758" w:type="dxa"/>
            <w:tcBorders>
              <w:top w:val="nil"/>
              <w:left w:val="nil"/>
              <w:bottom w:val="nil"/>
              <w:right w:val="nil"/>
            </w:tcBorders>
            <w:shd w:val="clear" w:color="auto" w:fill="auto"/>
            <w:noWrap/>
            <w:vAlign w:val="bottom"/>
            <w:hideMark/>
          </w:tcPr>
          <w:p w14:paraId="1824502E" w14:textId="77777777" w:rsidR="008F3BC3" w:rsidRPr="00C63A85" w:rsidRDefault="008F3BC3" w:rsidP="0091436C">
            <w:pPr>
              <w:rPr>
                <w:rFonts w:ascii="Arial" w:hAnsi="Arial" w:cs="Arial"/>
                <w:sz w:val="20"/>
                <w:szCs w:val="20"/>
              </w:rPr>
            </w:pPr>
          </w:p>
        </w:tc>
        <w:tc>
          <w:tcPr>
            <w:tcW w:w="816" w:type="dxa"/>
            <w:tcBorders>
              <w:top w:val="nil"/>
              <w:left w:val="nil"/>
              <w:bottom w:val="nil"/>
              <w:right w:val="nil"/>
            </w:tcBorders>
            <w:shd w:val="clear" w:color="auto" w:fill="auto"/>
            <w:noWrap/>
            <w:vAlign w:val="bottom"/>
            <w:hideMark/>
          </w:tcPr>
          <w:p w14:paraId="4424AF88" w14:textId="77777777" w:rsidR="008F3BC3" w:rsidRPr="00C63A85" w:rsidRDefault="008F3BC3" w:rsidP="0091436C">
            <w:pPr>
              <w:rPr>
                <w:rFonts w:ascii="Arial" w:hAnsi="Arial" w:cs="Arial"/>
                <w:sz w:val="20"/>
                <w:szCs w:val="20"/>
              </w:rPr>
            </w:pPr>
          </w:p>
        </w:tc>
        <w:tc>
          <w:tcPr>
            <w:tcW w:w="195" w:type="dxa"/>
            <w:tcBorders>
              <w:top w:val="nil"/>
              <w:left w:val="nil"/>
              <w:bottom w:val="nil"/>
              <w:right w:val="single" w:sz="4" w:space="0" w:color="auto"/>
            </w:tcBorders>
            <w:shd w:val="clear" w:color="auto" w:fill="auto"/>
            <w:noWrap/>
            <w:vAlign w:val="bottom"/>
            <w:hideMark/>
          </w:tcPr>
          <w:p w14:paraId="4E6EBE6F" w14:textId="77777777" w:rsidR="008F3BC3" w:rsidRPr="00C63A85" w:rsidRDefault="008F3BC3" w:rsidP="0091436C">
            <w:pPr>
              <w:rPr>
                <w:rFonts w:ascii="Arial" w:hAnsi="Arial" w:cs="Arial"/>
                <w:sz w:val="20"/>
                <w:szCs w:val="20"/>
              </w:rPr>
            </w:pPr>
            <w:r w:rsidRPr="00C63A85">
              <w:rPr>
                <w:rFonts w:ascii="Arial" w:hAnsi="Arial" w:cs="Arial"/>
                <w:sz w:val="20"/>
                <w:szCs w:val="20"/>
              </w:rPr>
              <w:t> </w:t>
            </w:r>
          </w:p>
        </w:tc>
      </w:tr>
      <w:tr w:rsidR="008F3BC3" w:rsidRPr="00C63A85" w14:paraId="568D5300" w14:textId="77777777" w:rsidTr="0091436C">
        <w:trPr>
          <w:trHeight w:val="345"/>
        </w:trPr>
        <w:tc>
          <w:tcPr>
            <w:tcW w:w="4243" w:type="dxa"/>
            <w:tcBorders>
              <w:top w:val="nil"/>
              <w:left w:val="single" w:sz="8" w:space="0" w:color="auto"/>
              <w:bottom w:val="nil"/>
              <w:right w:val="nil"/>
            </w:tcBorders>
            <w:shd w:val="clear" w:color="auto" w:fill="auto"/>
            <w:noWrap/>
            <w:vAlign w:val="bottom"/>
            <w:hideMark/>
          </w:tcPr>
          <w:p w14:paraId="7110B868" w14:textId="77777777" w:rsidR="008F3BC3" w:rsidRPr="00C63A85" w:rsidRDefault="008F3BC3" w:rsidP="0091436C">
            <w:pPr>
              <w:rPr>
                <w:rFonts w:ascii="Arial" w:hAnsi="Arial" w:cs="Arial"/>
                <w:sz w:val="20"/>
                <w:szCs w:val="20"/>
              </w:rPr>
            </w:pPr>
            <w:r w:rsidRPr="00C63A85">
              <w:rPr>
                <w:rFonts w:ascii="Arial" w:hAnsi="Arial" w:cs="Arial"/>
                <w:sz w:val="20"/>
                <w:szCs w:val="20"/>
              </w:rPr>
              <w:t>Sredstva za zaposlene (1 o.t. višja rast letno)</w:t>
            </w:r>
          </w:p>
        </w:tc>
        <w:tc>
          <w:tcPr>
            <w:tcW w:w="3045" w:type="dxa"/>
            <w:tcBorders>
              <w:top w:val="nil"/>
              <w:left w:val="nil"/>
              <w:bottom w:val="nil"/>
              <w:right w:val="nil"/>
            </w:tcBorders>
            <w:shd w:val="clear" w:color="auto" w:fill="auto"/>
            <w:noWrap/>
            <w:vAlign w:val="bottom"/>
            <w:hideMark/>
          </w:tcPr>
          <w:p w14:paraId="297F600C" w14:textId="77777777" w:rsidR="008F3BC3" w:rsidRPr="00C63A85" w:rsidRDefault="008F3BC3" w:rsidP="0091436C">
            <w:pPr>
              <w:rPr>
                <w:rFonts w:ascii="Arial" w:hAnsi="Arial" w:cs="Arial"/>
                <w:sz w:val="20"/>
                <w:szCs w:val="20"/>
              </w:rPr>
            </w:pPr>
            <w:r w:rsidRPr="00C63A85">
              <w:rPr>
                <w:rFonts w:ascii="Arial" w:hAnsi="Arial" w:cs="Arial"/>
                <w:sz w:val="20"/>
                <w:szCs w:val="20"/>
              </w:rPr>
              <w:t xml:space="preserve">Socialni prispevki </w:t>
            </w:r>
          </w:p>
        </w:tc>
        <w:tc>
          <w:tcPr>
            <w:tcW w:w="758" w:type="dxa"/>
            <w:tcBorders>
              <w:top w:val="nil"/>
              <w:left w:val="nil"/>
              <w:bottom w:val="nil"/>
              <w:right w:val="nil"/>
            </w:tcBorders>
            <w:shd w:val="clear" w:color="auto" w:fill="auto"/>
            <w:noWrap/>
            <w:vAlign w:val="center"/>
            <w:hideMark/>
          </w:tcPr>
          <w:p w14:paraId="1694865A" w14:textId="77777777" w:rsidR="008F3BC3" w:rsidRPr="00C63A85" w:rsidRDefault="008F3BC3" w:rsidP="0091436C">
            <w:pPr>
              <w:rPr>
                <w:rFonts w:ascii="Arial" w:hAnsi="Arial" w:cs="Arial"/>
                <w:sz w:val="20"/>
                <w:szCs w:val="20"/>
              </w:rPr>
            </w:pPr>
            <w:r w:rsidRPr="00C63A85">
              <w:rPr>
                <w:rFonts w:ascii="Arial" w:hAnsi="Arial" w:cs="Arial"/>
                <w:sz w:val="20"/>
                <w:szCs w:val="20"/>
              </w:rPr>
              <w:t>0,12</w:t>
            </w:r>
          </w:p>
        </w:tc>
        <w:tc>
          <w:tcPr>
            <w:tcW w:w="816" w:type="dxa"/>
            <w:tcBorders>
              <w:top w:val="nil"/>
              <w:left w:val="nil"/>
              <w:bottom w:val="nil"/>
              <w:right w:val="nil"/>
            </w:tcBorders>
            <w:shd w:val="clear" w:color="auto" w:fill="auto"/>
            <w:noWrap/>
            <w:vAlign w:val="center"/>
            <w:hideMark/>
          </w:tcPr>
          <w:p w14:paraId="5AF2E3F0" w14:textId="77777777" w:rsidR="008F3BC3" w:rsidRPr="00C63A85" w:rsidRDefault="008F3BC3" w:rsidP="0091436C">
            <w:pPr>
              <w:rPr>
                <w:rFonts w:ascii="Arial" w:hAnsi="Arial" w:cs="Arial"/>
                <w:sz w:val="20"/>
                <w:szCs w:val="20"/>
              </w:rPr>
            </w:pPr>
            <w:r w:rsidRPr="00C63A85">
              <w:rPr>
                <w:rFonts w:ascii="Arial" w:hAnsi="Arial" w:cs="Arial"/>
                <w:sz w:val="20"/>
                <w:szCs w:val="20"/>
              </w:rPr>
              <w:t>0,24</w:t>
            </w:r>
          </w:p>
        </w:tc>
        <w:tc>
          <w:tcPr>
            <w:tcW w:w="195" w:type="dxa"/>
            <w:tcBorders>
              <w:top w:val="nil"/>
              <w:left w:val="nil"/>
              <w:bottom w:val="nil"/>
              <w:right w:val="single" w:sz="4" w:space="0" w:color="auto"/>
            </w:tcBorders>
            <w:shd w:val="clear" w:color="auto" w:fill="auto"/>
            <w:noWrap/>
            <w:vAlign w:val="bottom"/>
          </w:tcPr>
          <w:p w14:paraId="331F65B3" w14:textId="77777777" w:rsidR="008F3BC3" w:rsidRPr="00C63A85" w:rsidRDefault="008F3BC3" w:rsidP="0091436C">
            <w:pPr>
              <w:rPr>
                <w:rFonts w:ascii="Arial" w:hAnsi="Arial" w:cs="Arial"/>
                <w:sz w:val="20"/>
                <w:szCs w:val="20"/>
              </w:rPr>
            </w:pPr>
          </w:p>
        </w:tc>
      </w:tr>
      <w:tr w:rsidR="008F3BC3" w:rsidRPr="00C63A85" w14:paraId="717ABC87" w14:textId="77777777" w:rsidTr="0091436C">
        <w:trPr>
          <w:trHeight w:val="345"/>
        </w:trPr>
        <w:tc>
          <w:tcPr>
            <w:tcW w:w="4243" w:type="dxa"/>
            <w:tcBorders>
              <w:top w:val="nil"/>
              <w:left w:val="single" w:sz="8" w:space="0" w:color="auto"/>
              <w:bottom w:val="nil"/>
              <w:right w:val="nil"/>
            </w:tcBorders>
            <w:shd w:val="clear" w:color="auto" w:fill="auto"/>
            <w:noWrap/>
            <w:vAlign w:val="bottom"/>
            <w:hideMark/>
          </w:tcPr>
          <w:p w14:paraId="06B61214" w14:textId="77777777" w:rsidR="008F3BC3" w:rsidRPr="00C63A85" w:rsidRDefault="008F3BC3" w:rsidP="0091436C">
            <w:pPr>
              <w:rPr>
                <w:rFonts w:ascii="Arial" w:hAnsi="Arial" w:cs="Arial"/>
                <w:sz w:val="20"/>
                <w:szCs w:val="20"/>
              </w:rPr>
            </w:pPr>
            <w:r w:rsidRPr="00C63A85">
              <w:rPr>
                <w:rFonts w:ascii="Arial" w:hAnsi="Arial" w:cs="Arial"/>
                <w:sz w:val="20"/>
                <w:szCs w:val="20"/>
              </w:rPr>
              <w:t>Nominalna rast plač (1 o.t. višja rast letno)</w:t>
            </w:r>
          </w:p>
        </w:tc>
        <w:tc>
          <w:tcPr>
            <w:tcW w:w="3045" w:type="dxa"/>
            <w:tcBorders>
              <w:top w:val="nil"/>
              <w:left w:val="nil"/>
              <w:bottom w:val="nil"/>
              <w:right w:val="nil"/>
            </w:tcBorders>
            <w:shd w:val="clear" w:color="auto" w:fill="auto"/>
            <w:noWrap/>
            <w:vAlign w:val="bottom"/>
            <w:hideMark/>
          </w:tcPr>
          <w:p w14:paraId="11E02C09" w14:textId="77777777" w:rsidR="008F3BC3" w:rsidRPr="00C63A85" w:rsidRDefault="008F3BC3" w:rsidP="0091436C">
            <w:pPr>
              <w:rPr>
                <w:rFonts w:ascii="Arial" w:hAnsi="Arial" w:cs="Arial"/>
                <w:sz w:val="20"/>
                <w:szCs w:val="20"/>
              </w:rPr>
            </w:pPr>
            <w:r w:rsidRPr="00C63A85">
              <w:rPr>
                <w:rFonts w:ascii="Arial" w:hAnsi="Arial" w:cs="Arial"/>
                <w:sz w:val="20"/>
                <w:szCs w:val="20"/>
              </w:rPr>
              <w:t>Dohodnina</w:t>
            </w:r>
          </w:p>
        </w:tc>
        <w:tc>
          <w:tcPr>
            <w:tcW w:w="758" w:type="dxa"/>
            <w:tcBorders>
              <w:top w:val="nil"/>
              <w:left w:val="nil"/>
              <w:bottom w:val="nil"/>
              <w:right w:val="nil"/>
            </w:tcBorders>
            <w:shd w:val="clear" w:color="auto" w:fill="auto"/>
            <w:noWrap/>
            <w:vAlign w:val="center"/>
            <w:hideMark/>
          </w:tcPr>
          <w:p w14:paraId="60061389" w14:textId="77777777" w:rsidR="008F3BC3" w:rsidRPr="00C63A85" w:rsidRDefault="008F3BC3" w:rsidP="0091436C">
            <w:pPr>
              <w:rPr>
                <w:rFonts w:ascii="Arial" w:hAnsi="Arial" w:cs="Arial"/>
                <w:sz w:val="20"/>
                <w:szCs w:val="20"/>
              </w:rPr>
            </w:pPr>
            <w:r w:rsidRPr="00C63A85">
              <w:rPr>
                <w:rFonts w:ascii="Arial" w:hAnsi="Arial" w:cs="Arial"/>
                <w:sz w:val="20"/>
                <w:szCs w:val="20"/>
              </w:rPr>
              <w:t>0,06</w:t>
            </w:r>
          </w:p>
        </w:tc>
        <w:tc>
          <w:tcPr>
            <w:tcW w:w="816" w:type="dxa"/>
            <w:tcBorders>
              <w:top w:val="nil"/>
              <w:left w:val="nil"/>
              <w:bottom w:val="nil"/>
              <w:right w:val="nil"/>
            </w:tcBorders>
            <w:shd w:val="clear" w:color="auto" w:fill="auto"/>
            <w:noWrap/>
            <w:vAlign w:val="center"/>
            <w:hideMark/>
          </w:tcPr>
          <w:p w14:paraId="6428466F" w14:textId="77777777" w:rsidR="008F3BC3" w:rsidRPr="00C63A85" w:rsidRDefault="008F3BC3" w:rsidP="0091436C">
            <w:pPr>
              <w:rPr>
                <w:rFonts w:ascii="Arial" w:hAnsi="Arial" w:cs="Arial"/>
                <w:sz w:val="20"/>
                <w:szCs w:val="20"/>
              </w:rPr>
            </w:pPr>
            <w:r w:rsidRPr="00C63A85">
              <w:rPr>
                <w:rFonts w:ascii="Arial" w:hAnsi="Arial" w:cs="Arial"/>
                <w:sz w:val="20"/>
                <w:szCs w:val="20"/>
              </w:rPr>
              <w:t>0,14</w:t>
            </w:r>
          </w:p>
        </w:tc>
        <w:tc>
          <w:tcPr>
            <w:tcW w:w="195" w:type="dxa"/>
            <w:tcBorders>
              <w:top w:val="nil"/>
              <w:left w:val="nil"/>
              <w:bottom w:val="nil"/>
              <w:right w:val="single" w:sz="4" w:space="0" w:color="auto"/>
            </w:tcBorders>
            <w:shd w:val="clear" w:color="auto" w:fill="auto"/>
            <w:noWrap/>
            <w:vAlign w:val="bottom"/>
          </w:tcPr>
          <w:p w14:paraId="7822FE17" w14:textId="77777777" w:rsidR="008F3BC3" w:rsidRPr="00C63A85" w:rsidRDefault="008F3BC3" w:rsidP="0091436C">
            <w:pPr>
              <w:rPr>
                <w:rFonts w:ascii="Arial" w:hAnsi="Arial" w:cs="Arial"/>
                <w:sz w:val="20"/>
                <w:szCs w:val="20"/>
              </w:rPr>
            </w:pPr>
          </w:p>
        </w:tc>
      </w:tr>
      <w:tr w:rsidR="008F3BC3" w:rsidRPr="00C63A85" w14:paraId="4EFDBDA3" w14:textId="77777777" w:rsidTr="0091436C">
        <w:trPr>
          <w:trHeight w:val="345"/>
        </w:trPr>
        <w:tc>
          <w:tcPr>
            <w:tcW w:w="4243" w:type="dxa"/>
            <w:tcBorders>
              <w:top w:val="nil"/>
              <w:left w:val="single" w:sz="8" w:space="0" w:color="auto"/>
              <w:bottom w:val="nil"/>
              <w:right w:val="nil"/>
            </w:tcBorders>
            <w:shd w:val="clear" w:color="auto" w:fill="auto"/>
            <w:noWrap/>
            <w:vAlign w:val="bottom"/>
            <w:hideMark/>
          </w:tcPr>
          <w:p w14:paraId="0C9F70C5" w14:textId="77777777" w:rsidR="008F3BC3" w:rsidRPr="00C63A85" w:rsidRDefault="008F3BC3" w:rsidP="0091436C">
            <w:pPr>
              <w:rPr>
                <w:rFonts w:ascii="Arial" w:hAnsi="Arial" w:cs="Arial"/>
                <w:sz w:val="20"/>
                <w:szCs w:val="20"/>
              </w:rPr>
            </w:pPr>
            <w:r w:rsidRPr="00C63A85">
              <w:rPr>
                <w:rFonts w:ascii="Arial" w:hAnsi="Arial" w:cs="Arial"/>
                <w:sz w:val="20"/>
                <w:szCs w:val="20"/>
              </w:rPr>
              <w:t>Rast zaposlenosti (1 o.t. višja rast letno)</w:t>
            </w:r>
          </w:p>
        </w:tc>
        <w:tc>
          <w:tcPr>
            <w:tcW w:w="3045" w:type="dxa"/>
            <w:tcBorders>
              <w:top w:val="nil"/>
              <w:left w:val="nil"/>
              <w:bottom w:val="nil"/>
              <w:right w:val="nil"/>
            </w:tcBorders>
            <w:shd w:val="clear" w:color="auto" w:fill="auto"/>
            <w:noWrap/>
            <w:vAlign w:val="bottom"/>
            <w:hideMark/>
          </w:tcPr>
          <w:p w14:paraId="5BB5F46E" w14:textId="77777777" w:rsidR="008F3BC3" w:rsidRPr="00C63A85" w:rsidRDefault="008F3BC3" w:rsidP="0091436C">
            <w:pPr>
              <w:rPr>
                <w:rFonts w:ascii="Arial" w:hAnsi="Arial" w:cs="Arial"/>
                <w:sz w:val="20"/>
                <w:szCs w:val="20"/>
              </w:rPr>
            </w:pPr>
            <w:r w:rsidRPr="00C63A85">
              <w:rPr>
                <w:rFonts w:ascii="Arial" w:hAnsi="Arial" w:cs="Arial"/>
                <w:sz w:val="20"/>
                <w:szCs w:val="20"/>
              </w:rPr>
              <w:t xml:space="preserve">Dohodnina </w:t>
            </w:r>
          </w:p>
        </w:tc>
        <w:tc>
          <w:tcPr>
            <w:tcW w:w="758" w:type="dxa"/>
            <w:tcBorders>
              <w:top w:val="nil"/>
              <w:left w:val="nil"/>
              <w:bottom w:val="nil"/>
              <w:right w:val="nil"/>
            </w:tcBorders>
            <w:shd w:val="clear" w:color="auto" w:fill="auto"/>
            <w:noWrap/>
            <w:vAlign w:val="center"/>
            <w:hideMark/>
          </w:tcPr>
          <w:p w14:paraId="6E6F0902" w14:textId="77777777" w:rsidR="008F3BC3" w:rsidRPr="00C63A85" w:rsidRDefault="008F3BC3" w:rsidP="0091436C">
            <w:pPr>
              <w:rPr>
                <w:rFonts w:ascii="Arial" w:hAnsi="Arial" w:cs="Arial"/>
                <w:sz w:val="20"/>
                <w:szCs w:val="20"/>
              </w:rPr>
            </w:pPr>
            <w:r w:rsidRPr="00C63A85">
              <w:rPr>
                <w:rFonts w:ascii="Arial" w:hAnsi="Arial" w:cs="Arial"/>
                <w:sz w:val="20"/>
                <w:szCs w:val="20"/>
              </w:rPr>
              <w:t>0,05</w:t>
            </w:r>
          </w:p>
        </w:tc>
        <w:tc>
          <w:tcPr>
            <w:tcW w:w="816" w:type="dxa"/>
            <w:tcBorders>
              <w:top w:val="nil"/>
              <w:left w:val="nil"/>
              <w:bottom w:val="nil"/>
              <w:right w:val="nil"/>
            </w:tcBorders>
            <w:shd w:val="clear" w:color="auto" w:fill="auto"/>
            <w:noWrap/>
            <w:vAlign w:val="center"/>
            <w:hideMark/>
          </w:tcPr>
          <w:p w14:paraId="34B984E4" w14:textId="77777777" w:rsidR="008F3BC3" w:rsidRPr="00C63A85" w:rsidRDefault="008F3BC3" w:rsidP="0091436C">
            <w:pPr>
              <w:rPr>
                <w:rFonts w:ascii="Arial" w:hAnsi="Arial" w:cs="Arial"/>
                <w:sz w:val="20"/>
                <w:szCs w:val="20"/>
              </w:rPr>
            </w:pPr>
            <w:r w:rsidRPr="00C63A85">
              <w:rPr>
                <w:rFonts w:ascii="Arial" w:hAnsi="Arial" w:cs="Arial"/>
                <w:sz w:val="20"/>
                <w:szCs w:val="20"/>
              </w:rPr>
              <w:t>0,09</w:t>
            </w:r>
          </w:p>
        </w:tc>
        <w:tc>
          <w:tcPr>
            <w:tcW w:w="195" w:type="dxa"/>
            <w:tcBorders>
              <w:top w:val="nil"/>
              <w:left w:val="nil"/>
              <w:bottom w:val="nil"/>
              <w:right w:val="single" w:sz="4" w:space="0" w:color="auto"/>
            </w:tcBorders>
            <w:shd w:val="clear" w:color="auto" w:fill="auto"/>
            <w:noWrap/>
            <w:vAlign w:val="bottom"/>
          </w:tcPr>
          <w:p w14:paraId="4C2BFFB6" w14:textId="77777777" w:rsidR="008F3BC3" w:rsidRPr="00C63A85" w:rsidRDefault="008F3BC3" w:rsidP="0091436C">
            <w:pPr>
              <w:rPr>
                <w:rFonts w:ascii="Arial" w:hAnsi="Arial" w:cs="Arial"/>
                <w:sz w:val="20"/>
                <w:szCs w:val="20"/>
              </w:rPr>
            </w:pPr>
          </w:p>
        </w:tc>
      </w:tr>
      <w:tr w:rsidR="008F3BC3" w:rsidRPr="00C63A85" w14:paraId="7A22779B" w14:textId="77777777" w:rsidTr="0091436C">
        <w:trPr>
          <w:trHeight w:val="345"/>
        </w:trPr>
        <w:tc>
          <w:tcPr>
            <w:tcW w:w="4243" w:type="dxa"/>
            <w:tcBorders>
              <w:top w:val="nil"/>
              <w:left w:val="single" w:sz="8" w:space="0" w:color="auto"/>
              <w:bottom w:val="nil"/>
              <w:right w:val="nil"/>
            </w:tcBorders>
            <w:shd w:val="clear" w:color="auto" w:fill="auto"/>
            <w:noWrap/>
            <w:vAlign w:val="bottom"/>
            <w:hideMark/>
          </w:tcPr>
          <w:p w14:paraId="7760EBDB" w14:textId="77777777" w:rsidR="008F3BC3" w:rsidRPr="00C63A85" w:rsidRDefault="008F3BC3" w:rsidP="0091436C">
            <w:pPr>
              <w:rPr>
                <w:rFonts w:ascii="Arial" w:hAnsi="Arial" w:cs="Arial"/>
                <w:sz w:val="20"/>
                <w:szCs w:val="20"/>
              </w:rPr>
            </w:pPr>
            <w:r w:rsidRPr="00C63A85">
              <w:rPr>
                <w:rFonts w:ascii="Arial" w:hAnsi="Arial" w:cs="Arial"/>
                <w:sz w:val="20"/>
                <w:szCs w:val="20"/>
              </w:rPr>
              <w:t>Bruto poslovni presežek (1 o.t. višja rast letno)</w:t>
            </w:r>
          </w:p>
        </w:tc>
        <w:tc>
          <w:tcPr>
            <w:tcW w:w="3045" w:type="dxa"/>
            <w:tcBorders>
              <w:top w:val="nil"/>
              <w:left w:val="nil"/>
              <w:bottom w:val="nil"/>
              <w:right w:val="nil"/>
            </w:tcBorders>
            <w:shd w:val="clear" w:color="auto" w:fill="auto"/>
            <w:noWrap/>
            <w:vAlign w:val="bottom"/>
            <w:hideMark/>
          </w:tcPr>
          <w:p w14:paraId="5C452200" w14:textId="77777777" w:rsidR="008F3BC3" w:rsidRPr="00C63A85" w:rsidRDefault="008F3BC3" w:rsidP="0091436C">
            <w:pPr>
              <w:rPr>
                <w:rFonts w:ascii="Arial" w:hAnsi="Arial" w:cs="Arial"/>
                <w:sz w:val="20"/>
                <w:szCs w:val="20"/>
              </w:rPr>
            </w:pPr>
            <w:r w:rsidRPr="00C63A85">
              <w:rPr>
                <w:rFonts w:ascii="Arial" w:hAnsi="Arial" w:cs="Arial"/>
                <w:sz w:val="20"/>
                <w:szCs w:val="20"/>
              </w:rPr>
              <w:t>Davek od dohodkov pravnih oseb</w:t>
            </w:r>
          </w:p>
        </w:tc>
        <w:tc>
          <w:tcPr>
            <w:tcW w:w="758" w:type="dxa"/>
            <w:tcBorders>
              <w:top w:val="nil"/>
              <w:left w:val="nil"/>
              <w:bottom w:val="nil"/>
              <w:right w:val="nil"/>
            </w:tcBorders>
            <w:shd w:val="clear" w:color="auto" w:fill="auto"/>
            <w:noWrap/>
            <w:vAlign w:val="center"/>
            <w:hideMark/>
          </w:tcPr>
          <w:p w14:paraId="63363423" w14:textId="77777777" w:rsidR="008F3BC3" w:rsidRPr="00C63A85" w:rsidRDefault="008F3BC3" w:rsidP="0091436C">
            <w:pPr>
              <w:rPr>
                <w:rFonts w:ascii="Arial" w:hAnsi="Arial" w:cs="Arial"/>
                <w:sz w:val="20"/>
                <w:szCs w:val="20"/>
              </w:rPr>
            </w:pPr>
            <w:r w:rsidRPr="00C63A85">
              <w:rPr>
                <w:rFonts w:ascii="Arial" w:hAnsi="Arial" w:cs="Arial"/>
                <w:sz w:val="20"/>
                <w:szCs w:val="20"/>
              </w:rPr>
              <w:t>0,06</w:t>
            </w:r>
          </w:p>
        </w:tc>
        <w:tc>
          <w:tcPr>
            <w:tcW w:w="816" w:type="dxa"/>
            <w:tcBorders>
              <w:top w:val="nil"/>
              <w:left w:val="nil"/>
              <w:bottom w:val="nil"/>
              <w:right w:val="nil"/>
            </w:tcBorders>
            <w:shd w:val="clear" w:color="auto" w:fill="auto"/>
            <w:noWrap/>
            <w:vAlign w:val="center"/>
            <w:hideMark/>
          </w:tcPr>
          <w:p w14:paraId="317B1043" w14:textId="77777777" w:rsidR="008F3BC3" w:rsidRPr="00C63A85" w:rsidRDefault="008F3BC3" w:rsidP="0091436C">
            <w:pPr>
              <w:rPr>
                <w:rFonts w:ascii="Arial" w:hAnsi="Arial" w:cs="Arial"/>
                <w:sz w:val="20"/>
                <w:szCs w:val="20"/>
              </w:rPr>
            </w:pPr>
            <w:r w:rsidRPr="00C63A85">
              <w:rPr>
                <w:rFonts w:ascii="Arial" w:hAnsi="Arial" w:cs="Arial"/>
                <w:sz w:val="20"/>
                <w:szCs w:val="20"/>
              </w:rPr>
              <w:t>0,13</w:t>
            </w:r>
          </w:p>
        </w:tc>
        <w:tc>
          <w:tcPr>
            <w:tcW w:w="195" w:type="dxa"/>
            <w:tcBorders>
              <w:top w:val="nil"/>
              <w:left w:val="nil"/>
              <w:bottom w:val="nil"/>
              <w:right w:val="single" w:sz="4" w:space="0" w:color="auto"/>
            </w:tcBorders>
            <w:shd w:val="clear" w:color="auto" w:fill="auto"/>
            <w:noWrap/>
            <w:vAlign w:val="bottom"/>
          </w:tcPr>
          <w:p w14:paraId="592BA33E" w14:textId="77777777" w:rsidR="008F3BC3" w:rsidRPr="00C63A85" w:rsidRDefault="008F3BC3" w:rsidP="0091436C">
            <w:pPr>
              <w:rPr>
                <w:rFonts w:ascii="Arial" w:hAnsi="Arial" w:cs="Arial"/>
                <w:sz w:val="20"/>
                <w:szCs w:val="20"/>
              </w:rPr>
            </w:pPr>
          </w:p>
        </w:tc>
      </w:tr>
      <w:tr w:rsidR="008F3BC3" w:rsidRPr="00C63A85" w14:paraId="3B7729B5" w14:textId="77777777" w:rsidTr="0091436C">
        <w:trPr>
          <w:trHeight w:val="345"/>
        </w:trPr>
        <w:tc>
          <w:tcPr>
            <w:tcW w:w="4243" w:type="dxa"/>
            <w:tcBorders>
              <w:top w:val="nil"/>
              <w:left w:val="single" w:sz="8" w:space="0" w:color="auto"/>
              <w:bottom w:val="nil"/>
              <w:right w:val="nil"/>
            </w:tcBorders>
            <w:shd w:val="clear" w:color="auto" w:fill="auto"/>
            <w:noWrap/>
            <w:vAlign w:val="bottom"/>
            <w:hideMark/>
          </w:tcPr>
          <w:p w14:paraId="17537FB4" w14:textId="77777777" w:rsidR="008F3BC3" w:rsidRPr="00C63A85" w:rsidRDefault="008F3BC3" w:rsidP="0091436C">
            <w:pPr>
              <w:rPr>
                <w:rFonts w:ascii="Arial" w:hAnsi="Arial" w:cs="Arial"/>
                <w:sz w:val="20"/>
                <w:szCs w:val="20"/>
              </w:rPr>
            </w:pPr>
            <w:r w:rsidRPr="00C63A85">
              <w:rPr>
                <w:rFonts w:ascii="Arial" w:hAnsi="Arial" w:cs="Arial"/>
                <w:sz w:val="20"/>
                <w:szCs w:val="20"/>
              </w:rPr>
              <w:t> </w:t>
            </w:r>
          </w:p>
        </w:tc>
        <w:tc>
          <w:tcPr>
            <w:tcW w:w="3045" w:type="dxa"/>
            <w:tcBorders>
              <w:top w:val="nil"/>
              <w:left w:val="nil"/>
              <w:bottom w:val="nil"/>
              <w:right w:val="nil"/>
            </w:tcBorders>
            <w:shd w:val="clear" w:color="auto" w:fill="auto"/>
            <w:noWrap/>
            <w:vAlign w:val="bottom"/>
            <w:hideMark/>
          </w:tcPr>
          <w:p w14:paraId="7956E2BF" w14:textId="77777777" w:rsidR="008F3BC3" w:rsidRPr="00C63A85" w:rsidRDefault="008F3BC3" w:rsidP="0091436C">
            <w:pPr>
              <w:rPr>
                <w:rFonts w:ascii="Arial" w:hAnsi="Arial" w:cs="Arial"/>
                <w:sz w:val="20"/>
                <w:szCs w:val="20"/>
              </w:rPr>
            </w:pPr>
          </w:p>
        </w:tc>
        <w:tc>
          <w:tcPr>
            <w:tcW w:w="758" w:type="dxa"/>
            <w:tcBorders>
              <w:top w:val="nil"/>
              <w:left w:val="nil"/>
              <w:bottom w:val="nil"/>
              <w:right w:val="nil"/>
            </w:tcBorders>
            <w:shd w:val="clear" w:color="auto" w:fill="auto"/>
            <w:noWrap/>
            <w:vAlign w:val="center"/>
            <w:hideMark/>
          </w:tcPr>
          <w:p w14:paraId="1545A8BC" w14:textId="77777777" w:rsidR="008F3BC3" w:rsidRPr="00C63A85" w:rsidRDefault="008F3BC3" w:rsidP="0091436C">
            <w:pPr>
              <w:rPr>
                <w:rFonts w:ascii="Arial" w:hAnsi="Arial" w:cs="Arial"/>
                <w:sz w:val="20"/>
                <w:szCs w:val="20"/>
              </w:rPr>
            </w:pPr>
          </w:p>
        </w:tc>
        <w:tc>
          <w:tcPr>
            <w:tcW w:w="816" w:type="dxa"/>
            <w:tcBorders>
              <w:top w:val="nil"/>
              <w:left w:val="nil"/>
              <w:bottom w:val="nil"/>
              <w:right w:val="nil"/>
            </w:tcBorders>
            <w:shd w:val="clear" w:color="auto" w:fill="auto"/>
            <w:noWrap/>
            <w:vAlign w:val="center"/>
            <w:hideMark/>
          </w:tcPr>
          <w:p w14:paraId="2C66E4C7" w14:textId="77777777" w:rsidR="008F3BC3" w:rsidRPr="00C63A85" w:rsidRDefault="008F3BC3" w:rsidP="0091436C">
            <w:pPr>
              <w:rPr>
                <w:rFonts w:ascii="Arial" w:hAnsi="Arial" w:cs="Arial"/>
                <w:sz w:val="20"/>
                <w:szCs w:val="20"/>
              </w:rPr>
            </w:pPr>
          </w:p>
        </w:tc>
        <w:tc>
          <w:tcPr>
            <w:tcW w:w="195" w:type="dxa"/>
            <w:tcBorders>
              <w:top w:val="nil"/>
              <w:left w:val="nil"/>
              <w:bottom w:val="nil"/>
              <w:right w:val="single" w:sz="4" w:space="0" w:color="auto"/>
            </w:tcBorders>
            <w:shd w:val="clear" w:color="auto" w:fill="auto"/>
            <w:noWrap/>
            <w:vAlign w:val="bottom"/>
            <w:hideMark/>
          </w:tcPr>
          <w:p w14:paraId="02636DC7" w14:textId="77777777" w:rsidR="008F3BC3" w:rsidRPr="00C63A85" w:rsidRDefault="008F3BC3" w:rsidP="0091436C">
            <w:pPr>
              <w:rPr>
                <w:rFonts w:ascii="Arial" w:hAnsi="Arial" w:cs="Arial"/>
                <w:sz w:val="20"/>
                <w:szCs w:val="20"/>
              </w:rPr>
            </w:pPr>
          </w:p>
        </w:tc>
      </w:tr>
      <w:tr w:rsidR="008F3BC3" w:rsidRPr="00C63A85" w14:paraId="6085F651" w14:textId="77777777" w:rsidTr="0091436C">
        <w:trPr>
          <w:trHeight w:val="345"/>
        </w:trPr>
        <w:tc>
          <w:tcPr>
            <w:tcW w:w="4243" w:type="dxa"/>
            <w:tcBorders>
              <w:top w:val="nil"/>
              <w:left w:val="single" w:sz="8" w:space="0" w:color="auto"/>
              <w:bottom w:val="nil"/>
              <w:right w:val="nil"/>
            </w:tcBorders>
            <w:shd w:val="clear" w:color="auto" w:fill="auto"/>
            <w:noWrap/>
            <w:vAlign w:val="bottom"/>
            <w:hideMark/>
          </w:tcPr>
          <w:p w14:paraId="6587EA5B" w14:textId="77777777" w:rsidR="008F3BC3" w:rsidRPr="00C63A85" w:rsidRDefault="008F3BC3" w:rsidP="0091436C">
            <w:pPr>
              <w:rPr>
                <w:rFonts w:ascii="Arial" w:hAnsi="Arial" w:cs="Arial"/>
                <w:b/>
                <w:bCs/>
                <w:sz w:val="20"/>
                <w:szCs w:val="20"/>
              </w:rPr>
            </w:pPr>
            <w:r w:rsidRPr="00C63A85">
              <w:rPr>
                <w:rFonts w:ascii="Arial" w:hAnsi="Arial" w:cs="Arial"/>
                <w:b/>
                <w:bCs/>
                <w:sz w:val="20"/>
                <w:szCs w:val="20"/>
              </w:rPr>
              <w:t>BDP izdatkovna komponenta</w:t>
            </w:r>
          </w:p>
        </w:tc>
        <w:tc>
          <w:tcPr>
            <w:tcW w:w="3045" w:type="dxa"/>
            <w:tcBorders>
              <w:top w:val="nil"/>
              <w:left w:val="nil"/>
              <w:bottom w:val="nil"/>
              <w:right w:val="nil"/>
            </w:tcBorders>
            <w:shd w:val="clear" w:color="auto" w:fill="auto"/>
            <w:noWrap/>
            <w:vAlign w:val="bottom"/>
            <w:hideMark/>
          </w:tcPr>
          <w:p w14:paraId="2A36A197" w14:textId="77777777" w:rsidR="008F3BC3" w:rsidRPr="00C63A85" w:rsidRDefault="008F3BC3" w:rsidP="0091436C">
            <w:pPr>
              <w:rPr>
                <w:rFonts w:ascii="Arial" w:hAnsi="Arial" w:cs="Arial"/>
                <w:b/>
                <w:bCs/>
                <w:sz w:val="20"/>
                <w:szCs w:val="20"/>
              </w:rPr>
            </w:pPr>
          </w:p>
        </w:tc>
        <w:tc>
          <w:tcPr>
            <w:tcW w:w="758" w:type="dxa"/>
            <w:tcBorders>
              <w:top w:val="nil"/>
              <w:left w:val="nil"/>
              <w:bottom w:val="nil"/>
              <w:right w:val="nil"/>
            </w:tcBorders>
            <w:shd w:val="clear" w:color="auto" w:fill="auto"/>
            <w:noWrap/>
            <w:vAlign w:val="center"/>
            <w:hideMark/>
          </w:tcPr>
          <w:p w14:paraId="0CE1F35A" w14:textId="77777777" w:rsidR="008F3BC3" w:rsidRPr="00C63A85" w:rsidRDefault="008F3BC3" w:rsidP="0091436C">
            <w:pPr>
              <w:rPr>
                <w:rFonts w:ascii="Arial" w:hAnsi="Arial" w:cs="Arial"/>
                <w:sz w:val="20"/>
                <w:szCs w:val="20"/>
              </w:rPr>
            </w:pPr>
          </w:p>
        </w:tc>
        <w:tc>
          <w:tcPr>
            <w:tcW w:w="816" w:type="dxa"/>
            <w:tcBorders>
              <w:top w:val="nil"/>
              <w:left w:val="nil"/>
              <w:bottom w:val="nil"/>
              <w:right w:val="nil"/>
            </w:tcBorders>
            <w:shd w:val="clear" w:color="auto" w:fill="auto"/>
            <w:noWrap/>
            <w:vAlign w:val="center"/>
            <w:hideMark/>
          </w:tcPr>
          <w:p w14:paraId="534180D6" w14:textId="77777777" w:rsidR="008F3BC3" w:rsidRPr="00C63A85" w:rsidRDefault="008F3BC3" w:rsidP="0091436C">
            <w:pPr>
              <w:rPr>
                <w:rFonts w:ascii="Arial" w:hAnsi="Arial" w:cs="Arial"/>
                <w:sz w:val="20"/>
                <w:szCs w:val="20"/>
              </w:rPr>
            </w:pPr>
          </w:p>
        </w:tc>
        <w:tc>
          <w:tcPr>
            <w:tcW w:w="195" w:type="dxa"/>
            <w:tcBorders>
              <w:top w:val="nil"/>
              <w:left w:val="nil"/>
              <w:bottom w:val="nil"/>
              <w:right w:val="single" w:sz="4" w:space="0" w:color="auto"/>
            </w:tcBorders>
            <w:shd w:val="clear" w:color="auto" w:fill="auto"/>
            <w:noWrap/>
            <w:vAlign w:val="bottom"/>
            <w:hideMark/>
          </w:tcPr>
          <w:p w14:paraId="12F873FA" w14:textId="77777777" w:rsidR="008F3BC3" w:rsidRPr="00C63A85" w:rsidRDefault="008F3BC3" w:rsidP="0091436C">
            <w:pPr>
              <w:rPr>
                <w:rFonts w:ascii="Arial" w:hAnsi="Arial" w:cs="Arial"/>
                <w:sz w:val="20"/>
                <w:szCs w:val="20"/>
              </w:rPr>
            </w:pPr>
          </w:p>
        </w:tc>
      </w:tr>
      <w:tr w:rsidR="008F3BC3" w:rsidRPr="00C63A85" w14:paraId="0FDFA318" w14:textId="77777777" w:rsidTr="0091436C">
        <w:trPr>
          <w:trHeight w:val="345"/>
        </w:trPr>
        <w:tc>
          <w:tcPr>
            <w:tcW w:w="4243" w:type="dxa"/>
            <w:tcBorders>
              <w:top w:val="nil"/>
              <w:left w:val="single" w:sz="8" w:space="0" w:color="auto"/>
              <w:bottom w:val="nil"/>
              <w:right w:val="nil"/>
            </w:tcBorders>
            <w:shd w:val="clear" w:color="auto" w:fill="auto"/>
            <w:noWrap/>
            <w:vAlign w:val="bottom"/>
            <w:hideMark/>
          </w:tcPr>
          <w:p w14:paraId="0E47599F" w14:textId="77777777" w:rsidR="008F3BC3" w:rsidRPr="00C63A85" w:rsidRDefault="008F3BC3" w:rsidP="0091436C">
            <w:pPr>
              <w:rPr>
                <w:rFonts w:ascii="Arial" w:hAnsi="Arial" w:cs="Arial"/>
                <w:sz w:val="20"/>
                <w:szCs w:val="20"/>
              </w:rPr>
            </w:pPr>
            <w:r w:rsidRPr="00C63A85">
              <w:rPr>
                <w:rFonts w:ascii="Arial" w:hAnsi="Arial" w:cs="Arial"/>
                <w:sz w:val="20"/>
                <w:szCs w:val="20"/>
              </w:rPr>
              <w:t>Potrošnja gospodinjstev (1 o.t. višja rast letno)</w:t>
            </w:r>
          </w:p>
        </w:tc>
        <w:tc>
          <w:tcPr>
            <w:tcW w:w="3045" w:type="dxa"/>
            <w:tcBorders>
              <w:top w:val="nil"/>
              <w:left w:val="nil"/>
              <w:bottom w:val="nil"/>
              <w:right w:val="nil"/>
            </w:tcBorders>
            <w:shd w:val="clear" w:color="auto" w:fill="auto"/>
            <w:noWrap/>
            <w:vAlign w:val="bottom"/>
            <w:hideMark/>
          </w:tcPr>
          <w:p w14:paraId="6245D438" w14:textId="77777777" w:rsidR="008F3BC3" w:rsidRPr="00C63A85" w:rsidRDefault="008F3BC3" w:rsidP="0091436C">
            <w:pPr>
              <w:rPr>
                <w:rFonts w:ascii="Arial" w:hAnsi="Arial" w:cs="Arial"/>
                <w:sz w:val="20"/>
                <w:szCs w:val="20"/>
              </w:rPr>
            </w:pPr>
            <w:r w:rsidRPr="00C63A85">
              <w:rPr>
                <w:rFonts w:ascii="Arial" w:hAnsi="Arial" w:cs="Arial"/>
                <w:sz w:val="20"/>
                <w:szCs w:val="20"/>
              </w:rPr>
              <w:t>Davek na dodano vrednost</w:t>
            </w:r>
          </w:p>
        </w:tc>
        <w:tc>
          <w:tcPr>
            <w:tcW w:w="758" w:type="dxa"/>
            <w:tcBorders>
              <w:top w:val="nil"/>
              <w:left w:val="nil"/>
              <w:bottom w:val="nil"/>
              <w:right w:val="nil"/>
            </w:tcBorders>
            <w:shd w:val="clear" w:color="auto" w:fill="auto"/>
            <w:noWrap/>
            <w:vAlign w:val="center"/>
            <w:hideMark/>
          </w:tcPr>
          <w:p w14:paraId="2BEB4FAC" w14:textId="77777777" w:rsidR="008F3BC3" w:rsidRPr="00C63A85" w:rsidRDefault="008F3BC3" w:rsidP="0091436C">
            <w:pPr>
              <w:rPr>
                <w:rFonts w:ascii="Arial" w:hAnsi="Arial" w:cs="Arial"/>
                <w:sz w:val="20"/>
                <w:szCs w:val="20"/>
              </w:rPr>
            </w:pPr>
            <w:r w:rsidRPr="00C63A85">
              <w:rPr>
                <w:rFonts w:ascii="Arial" w:hAnsi="Arial" w:cs="Arial"/>
                <w:sz w:val="20"/>
                <w:szCs w:val="20"/>
              </w:rPr>
              <w:t>0,07</w:t>
            </w:r>
          </w:p>
        </w:tc>
        <w:tc>
          <w:tcPr>
            <w:tcW w:w="816" w:type="dxa"/>
            <w:tcBorders>
              <w:top w:val="nil"/>
              <w:left w:val="nil"/>
              <w:bottom w:val="nil"/>
              <w:right w:val="nil"/>
            </w:tcBorders>
            <w:shd w:val="clear" w:color="auto" w:fill="auto"/>
            <w:noWrap/>
            <w:vAlign w:val="center"/>
            <w:hideMark/>
          </w:tcPr>
          <w:p w14:paraId="7D5C3F77" w14:textId="77777777" w:rsidR="008F3BC3" w:rsidRPr="00C63A85" w:rsidRDefault="008F3BC3" w:rsidP="0091436C">
            <w:pPr>
              <w:rPr>
                <w:rFonts w:ascii="Arial" w:hAnsi="Arial" w:cs="Arial"/>
                <w:sz w:val="20"/>
                <w:szCs w:val="20"/>
              </w:rPr>
            </w:pPr>
            <w:r w:rsidRPr="00C63A85">
              <w:rPr>
                <w:rFonts w:ascii="Arial" w:hAnsi="Arial" w:cs="Arial"/>
                <w:sz w:val="20"/>
                <w:szCs w:val="20"/>
              </w:rPr>
              <w:t>0,15</w:t>
            </w:r>
          </w:p>
        </w:tc>
        <w:tc>
          <w:tcPr>
            <w:tcW w:w="195" w:type="dxa"/>
            <w:tcBorders>
              <w:top w:val="nil"/>
              <w:left w:val="nil"/>
              <w:bottom w:val="nil"/>
              <w:right w:val="single" w:sz="4" w:space="0" w:color="auto"/>
            </w:tcBorders>
            <w:shd w:val="clear" w:color="auto" w:fill="auto"/>
            <w:noWrap/>
            <w:vAlign w:val="bottom"/>
          </w:tcPr>
          <w:p w14:paraId="56FBAB18" w14:textId="77777777" w:rsidR="008F3BC3" w:rsidRPr="00C63A85" w:rsidRDefault="008F3BC3" w:rsidP="0091436C">
            <w:pPr>
              <w:rPr>
                <w:rFonts w:ascii="Arial" w:hAnsi="Arial" w:cs="Arial"/>
                <w:sz w:val="20"/>
                <w:szCs w:val="20"/>
              </w:rPr>
            </w:pPr>
          </w:p>
        </w:tc>
      </w:tr>
      <w:tr w:rsidR="008F3BC3" w:rsidRPr="00C63A85" w14:paraId="7331F34C" w14:textId="77777777" w:rsidTr="0091436C">
        <w:trPr>
          <w:trHeight w:val="345"/>
        </w:trPr>
        <w:tc>
          <w:tcPr>
            <w:tcW w:w="4243" w:type="dxa"/>
            <w:tcBorders>
              <w:top w:val="nil"/>
              <w:left w:val="single" w:sz="8" w:space="0" w:color="auto"/>
              <w:bottom w:val="nil"/>
              <w:right w:val="nil"/>
            </w:tcBorders>
            <w:shd w:val="clear" w:color="auto" w:fill="auto"/>
            <w:noWrap/>
            <w:vAlign w:val="bottom"/>
            <w:hideMark/>
          </w:tcPr>
          <w:p w14:paraId="11808E5D" w14:textId="77777777" w:rsidR="008F3BC3" w:rsidRPr="00C63A85" w:rsidRDefault="008F3BC3" w:rsidP="0091436C">
            <w:pPr>
              <w:rPr>
                <w:rFonts w:ascii="Arial" w:hAnsi="Arial" w:cs="Arial"/>
                <w:sz w:val="20"/>
                <w:szCs w:val="20"/>
              </w:rPr>
            </w:pPr>
            <w:r w:rsidRPr="00C63A85">
              <w:rPr>
                <w:rFonts w:ascii="Arial" w:hAnsi="Arial" w:cs="Arial"/>
                <w:sz w:val="20"/>
                <w:szCs w:val="20"/>
              </w:rPr>
              <w:t>Potrošnja gospodinjstev (1 o.t. višja rast letno)</w:t>
            </w:r>
          </w:p>
        </w:tc>
        <w:tc>
          <w:tcPr>
            <w:tcW w:w="3045" w:type="dxa"/>
            <w:tcBorders>
              <w:top w:val="nil"/>
              <w:left w:val="nil"/>
              <w:bottom w:val="nil"/>
              <w:right w:val="nil"/>
            </w:tcBorders>
            <w:shd w:val="clear" w:color="auto" w:fill="auto"/>
            <w:noWrap/>
            <w:vAlign w:val="bottom"/>
            <w:hideMark/>
          </w:tcPr>
          <w:p w14:paraId="0BE23392" w14:textId="77777777" w:rsidR="008F3BC3" w:rsidRPr="00C63A85" w:rsidRDefault="008F3BC3" w:rsidP="0091436C">
            <w:pPr>
              <w:rPr>
                <w:rFonts w:ascii="Arial" w:hAnsi="Arial" w:cs="Arial"/>
                <w:sz w:val="20"/>
                <w:szCs w:val="20"/>
              </w:rPr>
            </w:pPr>
            <w:r w:rsidRPr="00C63A85">
              <w:rPr>
                <w:rFonts w:ascii="Arial" w:hAnsi="Arial" w:cs="Arial"/>
                <w:sz w:val="20"/>
                <w:szCs w:val="20"/>
              </w:rPr>
              <w:t>Trošarine</w:t>
            </w:r>
          </w:p>
        </w:tc>
        <w:tc>
          <w:tcPr>
            <w:tcW w:w="758" w:type="dxa"/>
            <w:tcBorders>
              <w:top w:val="nil"/>
              <w:left w:val="nil"/>
              <w:bottom w:val="nil"/>
              <w:right w:val="nil"/>
            </w:tcBorders>
            <w:shd w:val="clear" w:color="auto" w:fill="auto"/>
            <w:noWrap/>
            <w:vAlign w:val="center"/>
            <w:hideMark/>
          </w:tcPr>
          <w:p w14:paraId="7FE11AD6" w14:textId="77777777" w:rsidR="008F3BC3" w:rsidRPr="00C63A85" w:rsidRDefault="008F3BC3" w:rsidP="0091436C">
            <w:pPr>
              <w:rPr>
                <w:rFonts w:ascii="Arial" w:hAnsi="Arial" w:cs="Arial"/>
                <w:sz w:val="20"/>
                <w:szCs w:val="20"/>
              </w:rPr>
            </w:pPr>
            <w:r w:rsidRPr="00C63A85">
              <w:rPr>
                <w:rFonts w:ascii="Arial" w:hAnsi="Arial" w:cs="Arial"/>
                <w:sz w:val="20"/>
                <w:szCs w:val="20"/>
              </w:rPr>
              <w:t>0,02</w:t>
            </w:r>
          </w:p>
        </w:tc>
        <w:tc>
          <w:tcPr>
            <w:tcW w:w="816" w:type="dxa"/>
            <w:tcBorders>
              <w:top w:val="nil"/>
              <w:left w:val="nil"/>
              <w:bottom w:val="nil"/>
              <w:right w:val="nil"/>
            </w:tcBorders>
            <w:shd w:val="clear" w:color="auto" w:fill="auto"/>
            <w:noWrap/>
            <w:vAlign w:val="center"/>
            <w:hideMark/>
          </w:tcPr>
          <w:p w14:paraId="79CF89C9" w14:textId="77777777" w:rsidR="008F3BC3" w:rsidRPr="00C63A85" w:rsidRDefault="008F3BC3" w:rsidP="0091436C">
            <w:pPr>
              <w:rPr>
                <w:rFonts w:ascii="Arial" w:hAnsi="Arial" w:cs="Arial"/>
                <w:sz w:val="20"/>
                <w:szCs w:val="20"/>
              </w:rPr>
            </w:pPr>
            <w:r w:rsidRPr="00C63A85">
              <w:rPr>
                <w:rFonts w:ascii="Arial" w:hAnsi="Arial" w:cs="Arial"/>
                <w:sz w:val="20"/>
                <w:szCs w:val="20"/>
              </w:rPr>
              <w:t>0,04</w:t>
            </w:r>
          </w:p>
        </w:tc>
        <w:tc>
          <w:tcPr>
            <w:tcW w:w="195" w:type="dxa"/>
            <w:tcBorders>
              <w:top w:val="nil"/>
              <w:left w:val="nil"/>
              <w:bottom w:val="nil"/>
              <w:right w:val="single" w:sz="4" w:space="0" w:color="auto"/>
            </w:tcBorders>
            <w:shd w:val="clear" w:color="auto" w:fill="auto"/>
            <w:noWrap/>
            <w:vAlign w:val="bottom"/>
          </w:tcPr>
          <w:p w14:paraId="29E5E293" w14:textId="77777777" w:rsidR="008F3BC3" w:rsidRPr="00C63A85" w:rsidRDefault="008F3BC3" w:rsidP="0091436C">
            <w:pPr>
              <w:rPr>
                <w:rFonts w:ascii="Arial" w:hAnsi="Arial" w:cs="Arial"/>
                <w:sz w:val="20"/>
                <w:szCs w:val="20"/>
              </w:rPr>
            </w:pPr>
          </w:p>
        </w:tc>
      </w:tr>
      <w:tr w:rsidR="008F3BC3" w:rsidRPr="00C63A85" w14:paraId="007560EF" w14:textId="77777777" w:rsidTr="0091436C">
        <w:trPr>
          <w:trHeight w:val="345"/>
        </w:trPr>
        <w:tc>
          <w:tcPr>
            <w:tcW w:w="4243" w:type="dxa"/>
            <w:tcBorders>
              <w:top w:val="nil"/>
              <w:left w:val="single" w:sz="8" w:space="0" w:color="auto"/>
              <w:bottom w:val="nil"/>
              <w:right w:val="nil"/>
            </w:tcBorders>
            <w:shd w:val="clear" w:color="auto" w:fill="auto"/>
            <w:noWrap/>
            <w:vAlign w:val="bottom"/>
            <w:hideMark/>
          </w:tcPr>
          <w:p w14:paraId="5E4F98E7" w14:textId="77777777" w:rsidR="008F3BC3" w:rsidRPr="00C63A85" w:rsidRDefault="008F3BC3" w:rsidP="0091436C">
            <w:pPr>
              <w:rPr>
                <w:rFonts w:ascii="Arial" w:hAnsi="Arial" w:cs="Arial"/>
                <w:sz w:val="20"/>
                <w:szCs w:val="20"/>
              </w:rPr>
            </w:pPr>
            <w:r w:rsidRPr="00C63A85">
              <w:rPr>
                <w:rFonts w:ascii="Arial" w:hAnsi="Arial" w:cs="Arial"/>
                <w:sz w:val="20"/>
                <w:szCs w:val="20"/>
              </w:rPr>
              <w:t> </w:t>
            </w:r>
          </w:p>
        </w:tc>
        <w:tc>
          <w:tcPr>
            <w:tcW w:w="3045" w:type="dxa"/>
            <w:tcBorders>
              <w:top w:val="nil"/>
              <w:left w:val="nil"/>
              <w:bottom w:val="nil"/>
              <w:right w:val="nil"/>
            </w:tcBorders>
            <w:shd w:val="clear" w:color="auto" w:fill="auto"/>
            <w:noWrap/>
            <w:vAlign w:val="bottom"/>
            <w:hideMark/>
          </w:tcPr>
          <w:p w14:paraId="2EA9BE25" w14:textId="77777777" w:rsidR="008F3BC3" w:rsidRPr="00C63A85" w:rsidRDefault="008F3BC3" w:rsidP="0091436C">
            <w:pPr>
              <w:rPr>
                <w:rFonts w:ascii="Arial" w:hAnsi="Arial" w:cs="Arial"/>
                <w:sz w:val="20"/>
                <w:szCs w:val="20"/>
              </w:rPr>
            </w:pPr>
          </w:p>
        </w:tc>
        <w:tc>
          <w:tcPr>
            <w:tcW w:w="758" w:type="dxa"/>
            <w:tcBorders>
              <w:top w:val="nil"/>
              <w:left w:val="nil"/>
              <w:bottom w:val="nil"/>
              <w:right w:val="nil"/>
            </w:tcBorders>
            <w:shd w:val="clear" w:color="auto" w:fill="auto"/>
            <w:noWrap/>
            <w:vAlign w:val="center"/>
            <w:hideMark/>
          </w:tcPr>
          <w:p w14:paraId="40F05E51" w14:textId="77777777" w:rsidR="008F3BC3" w:rsidRPr="00C63A85" w:rsidRDefault="008F3BC3" w:rsidP="0091436C">
            <w:pPr>
              <w:rPr>
                <w:rFonts w:ascii="Arial" w:hAnsi="Arial" w:cs="Arial"/>
                <w:sz w:val="20"/>
                <w:szCs w:val="20"/>
              </w:rPr>
            </w:pPr>
          </w:p>
        </w:tc>
        <w:tc>
          <w:tcPr>
            <w:tcW w:w="816" w:type="dxa"/>
            <w:tcBorders>
              <w:top w:val="nil"/>
              <w:left w:val="nil"/>
              <w:bottom w:val="nil"/>
              <w:right w:val="nil"/>
            </w:tcBorders>
            <w:shd w:val="clear" w:color="auto" w:fill="auto"/>
            <w:noWrap/>
            <w:vAlign w:val="center"/>
            <w:hideMark/>
          </w:tcPr>
          <w:p w14:paraId="605F3133" w14:textId="77777777" w:rsidR="008F3BC3" w:rsidRPr="00C63A85" w:rsidRDefault="008F3BC3" w:rsidP="0091436C">
            <w:pPr>
              <w:rPr>
                <w:rFonts w:ascii="Arial" w:hAnsi="Arial" w:cs="Arial"/>
                <w:sz w:val="20"/>
                <w:szCs w:val="20"/>
              </w:rPr>
            </w:pPr>
          </w:p>
        </w:tc>
        <w:tc>
          <w:tcPr>
            <w:tcW w:w="195" w:type="dxa"/>
            <w:tcBorders>
              <w:top w:val="nil"/>
              <w:left w:val="nil"/>
              <w:bottom w:val="nil"/>
              <w:right w:val="single" w:sz="4" w:space="0" w:color="auto"/>
            </w:tcBorders>
            <w:shd w:val="clear" w:color="auto" w:fill="auto"/>
            <w:noWrap/>
            <w:vAlign w:val="bottom"/>
            <w:hideMark/>
          </w:tcPr>
          <w:p w14:paraId="3EEF6152" w14:textId="77777777" w:rsidR="008F3BC3" w:rsidRPr="00C63A85" w:rsidRDefault="008F3BC3" w:rsidP="0091436C">
            <w:pPr>
              <w:rPr>
                <w:rFonts w:ascii="Arial" w:hAnsi="Arial" w:cs="Arial"/>
                <w:sz w:val="20"/>
                <w:szCs w:val="20"/>
              </w:rPr>
            </w:pPr>
          </w:p>
        </w:tc>
      </w:tr>
      <w:tr w:rsidR="008F3BC3" w:rsidRPr="00C63A85" w14:paraId="04E32AC5" w14:textId="77777777" w:rsidTr="0091436C">
        <w:trPr>
          <w:trHeight w:val="345"/>
        </w:trPr>
        <w:tc>
          <w:tcPr>
            <w:tcW w:w="4243" w:type="dxa"/>
            <w:tcBorders>
              <w:top w:val="nil"/>
              <w:left w:val="single" w:sz="8" w:space="0" w:color="auto"/>
              <w:bottom w:val="nil"/>
              <w:right w:val="nil"/>
            </w:tcBorders>
            <w:shd w:val="clear" w:color="auto" w:fill="auto"/>
            <w:noWrap/>
            <w:vAlign w:val="bottom"/>
          </w:tcPr>
          <w:p w14:paraId="321451A5" w14:textId="77777777" w:rsidR="008F3BC3" w:rsidRPr="00C63A85" w:rsidRDefault="008F3BC3" w:rsidP="0091436C">
            <w:pPr>
              <w:rPr>
                <w:rFonts w:ascii="Arial" w:hAnsi="Arial" w:cs="Arial"/>
                <w:b/>
                <w:bCs/>
                <w:sz w:val="20"/>
                <w:szCs w:val="20"/>
              </w:rPr>
            </w:pPr>
            <w:r w:rsidRPr="00C63A85">
              <w:rPr>
                <w:rFonts w:ascii="Arial" w:hAnsi="Arial" w:cs="Arial"/>
                <w:b/>
                <w:bCs/>
                <w:sz w:val="20"/>
                <w:szCs w:val="20"/>
              </w:rPr>
              <w:t>Trg dela</w:t>
            </w:r>
          </w:p>
        </w:tc>
        <w:tc>
          <w:tcPr>
            <w:tcW w:w="3045" w:type="dxa"/>
            <w:tcBorders>
              <w:top w:val="nil"/>
              <w:left w:val="nil"/>
              <w:bottom w:val="nil"/>
              <w:right w:val="nil"/>
            </w:tcBorders>
            <w:shd w:val="clear" w:color="auto" w:fill="auto"/>
            <w:noWrap/>
            <w:vAlign w:val="bottom"/>
          </w:tcPr>
          <w:p w14:paraId="508CEFD9" w14:textId="77777777" w:rsidR="008F3BC3" w:rsidRPr="00C63A85" w:rsidRDefault="008F3BC3" w:rsidP="0091436C">
            <w:pPr>
              <w:rPr>
                <w:rFonts w:ascii="Arial" w:hAnsi="Arial" w:cs="Arial"/>
                <w:b/>
                <w:bCs/>
                <w:sz w:val="20"/>
                <w:szCs w:val="20"/>
              </w:rPr>
            </w:pPr>
          </w:p>
        </w:tc>
        <w:tc>
          <w:tcPr>
            <w:tcW w:w="758" w:type="dxa"/>
            <w:tcBorders>
              <w:top w:val="nil"/>
              <w:left w:val="nil"/>
              <w:bottom w:val="nil"/>
              <w:right w:val="nil"/>
            </w:tcBorders>
            <w:shd w:val="clear" w:color="auto" w:fill="auto"/>
            <w:noWrap/>
            <w:vAlign w:val="center"/>
          </w:tcPr>
          <w:p w14:paraId="49DA330F" w14:textId="77777777" w:rsidR="008F3BC3" w:rsidRPr="00C63A85" w:rsidRDefault="008F3BC3" w:rsidP="0091436C">
            <w:pPr>
              <w:rPr>
                <w:rFonts w:ascii="Arial" w:hAnsi="Arial" w:cs="Arial"/>
                <w:sz w:val="20"/>
                <w:szCs w:val="20"/>
              </w:rPr>
            </w:pPr>
          </w:p>
        </w:tc>
        <w:tc>
          <w:tcPr>
            <w:tcW w:w="816" w:type="dxa"/>
            <w:tcBorders>
              <w:top w:val="nil"/>
              <w:left w:val="nil"/>
              <w:bottom w:val="nil"/>
              <w:right w:val="nil"/>
            </w:tcBorders>
            <w:shd w:val="clear" w:color="auto" w:fill="auto"/>
            <w:noWrap/>
            <w:vAlign w:val="center"/>
          </w:tcPr>
          <w:p w14:paraId="52E592BA" w14:textId="77777777" w:rsidR="008F3BC3" w:rsidRPr="00C63A85" w:rsidRDefault="008F3BC3" w:rsidP="0091436C">
            <w:pPr>
              <w:rPr>
                <w:rFonts w:ascii="Arial" w:hAnsi="Arial" w:cs="Arial"/>
                <w:sz w:val="20"/>
                <w:szCs w:val="20"/>
              </w:rPr>
            </w:pPr>
          </w:p>
        </w:tc>
        <w:tc>
          <w:tcPr>
            <w:tcW w:w="195" w:type="dxa"/>
            <w:tcBorders>
              <w:top w:val="nil"/>
              <w:left w:val="nil"/>
              <w:bottom w:val="nil"/>
              <w:right w:val="single" w:sz="4" w:space="0" w:color="auto"/>
            </w:tcBorders>
            <w:shd w:val="clear" w:color="auto" w:fill="auto"/>
            <w:noWrap/>
            <w:vAlign w:val="bottom"/>
          </w:tcPr>
          <w:p w14:paraId="4C3ABFF6" w14:textId="77777777" w:rsidR="008F3BC3" w:rsidRPr="00C63A85" w:rsidRDefault="008F3BC3" w:rsidP="0091436C">
            <w:pPr>
              <w:rPr>
                <w:rFonts w:ascii="Arial" w:hAnsi="Arial" w:cs="Arial"/>
                <w:sz w:val="20"/>
                <w:szCs w:val="20"/>
              </w:rPr>
            </w:pPr>
          </w:p>
        </w:tc>
      </w:tr>
      <w:tr w:rsidR="008F3BC3" w:rsidRPr="00C63A85" w14:paraId="45BE898E" w14:textId="77777777" w:rsidTr="0091436C">
        <w:trPr>
          <w:trHeight w:val="345"/>
        </w:trPr>
        <w:tc>
          <w:tcPr>
            <w:tcW w:w="4243" w:type="dxa"/>
            <w:tcBorders>
              <w:top w:val="nil"/>
              <w:left w:val="single" w:sz="8" w:space="0" w:color="auto"/>
              <w:bottom w:val="nil"/>
              <w:right w:val="nil"/>
            </w:tcBorders>
            <w:shd w:val="clear" w:color="auto" w:fill="auto"/>
            <w:noWrap/>
            <w:vAlign w:val="bottom"/>
          </w:tcPr>
          <w:p w14:paraId="19EC7859" w14:textId="77777777" w:rsidR="008F3BC3" w:rsidRPr="00C63A85" w:rsidRDefault="008F3BC3" w:rsidP="0091436C">
            <w:pPr>
              <w:rPr>
                <w:rFonts w:ascii="Arial" w:hAnsi="Arial" w:cs="Arial"/>
                <w:sz w:val="20"/>
                <w:szCs w:val="20"/>
              </w:rPr>
            </w:pPr>
            <w:r w:rsidRPr="00C63A85">
              <w:rPr>
                <w:rFonts w:ascii="Arial" w:hAnsi="Arial" w:cs="Arial"/>
                <w:sz w:val="20"/>
                <w:szCs w:val="20"/>
              </w:rPr>
              <w:t>Nominalna rast plač (1 o.t. višja rast letno)</w:t>
            </w:r>
          </w:p>
        </w:tc>
        <w:tc>
          <w:tcPr>
            <w:tcW w:w="3045" w:type="dxa"/>
            <w:tcBorders>
              <w:top w:val="nil"/>
              <w:left w:val="nil"/>
              <w:bottom w:val="nil"/>
              <w:right w:val="nil"/>
            </w:tcBorders>
            <w:shd w:val="clear" w:color="auto" w:fill="auto"/>
            <w:noWrap/>
            <w:vAlign w:val="bottom"/>
          </w:tcPr>
          <w:p w14:paraId="1FD1AB53" w14:textId="77777777" w:rsidR="008F3BC3" w:rsidRPr="00C63A85" w:rsidRDefault="008F3BC3" w:rsidP="0091436C">
            <w:pPr>
              <w:rPr>
                <w:rFonts w:ascii="Arial" w:hAnsi="Arial" w:cs="Arial"/>
                <w:sz w:val="20"/>
                <w:szCs w:val="20"/>
              </w:rPr>
            </w:pPr>
            <w:r w:rsidRPr="00C63A85">
              <w:rPr>
                <w:rFonts w:ascii="Arial" w:hAnsi="Arial" w:cs="Arial"/>
                <w:sz w:val="20"/>
                <w:szCs w:val="20"/>
              </w:rPr>
              <w:t>Izdatki za plače v javnem sektorju</w:t>
            </w:r>
          </w:p>
        </w:tc>
        <w:tc>
          <w:tcPr>
            <w:tcW w:w="758" w:type="dxa"/>
            <w:tcBorders>
              <w:top w:val="nil"/>
              <w:left w:val="nil"/>
              <w:bottom w:val="nil"/>
              <w:right w:val="nil"/>
            </w:tcBorders>
            <w:shd w:val="clear" w:color="auto" w:fill="auto"/>
            <w:noWrap/>
            <w:vAlign w:val="center"/>
          </w:tcPr>
          <w:p w14:paraId="49A66372" w14:textId="77777777" w:rsidR="008F3BC3" w:rsidRPr="00C63A85" w:rsidRDefault="008F3BC3" w:rsidP="0091436C">
            <w:pPr>
              <w:rPr>
                <w:rFonts w:ascii="Arial" w:hAnsi="Arial" w:cs="Arial"/>
                <w:sz w:val="20"/>
                <w:szCs w:val="20"/>
              </w:rPr>
            </w:pPr>
            <w:r w:rsidRPr="00C63A85">
              <w:rPr>
                <w:rFonts w:ascii="Arial" w:hAnsi="Arial" w:cs="Arial"/>
                <w:sz w:val="20"/>
                <w:szCs w:val="20"/>
              </w:rPr>
              <w:t>0,08</w:t>
            </w:r>
          </w:p>
        </w:tc>
        <w:tc>
          <w:tcPr>
            <w:tcW w:w="816" w:type="dxa"/>
            <w:tcBorders>
              <w:top w:val="nil"/>
              <w:left w:val="nil"/>
              <w:bottom w:val="nil"/>
              <w:right w:val="nil"/>
            </w:tcBorders>
            <w:shd w:val="clear" w:color="auto" w:fill="auto"/>
            <w:noWrap/>
            <w:vAlign w:val="center"/>
          </w:tcPr>
          <w:p w14:paraId="0F41F385" w14:textId="77777777" w:rsidR="008F3BC3" w:rsidRPr="00C63A85" w:rsidRDefault="008F3BC3" w:rsidP="0091436C">
            <w:pPr>
              <w:rPr>
                <w:rFonts w:ascii="Arial" w:hAnsi="Arial" w:cs="Arial"/>
                <w:sz w:val="20"/>
                <w:szCs w:val="20"/>
              </w:rPr>
            </w:pPr>
            <w:r w:rsidRPr="00C63A85">
              <w:rPr>
                <w:rFonts w:ascii="Arial" w:hAnsi="Arial" w:cs="Arial"/>
                <w:sz w:val="20"/>
                <w:szCs w:val="20"/>
              </w:rPr>
              <w:t>0,15</w:t>
            </w:r>
          </w:p>
        </w:tc>
        <w:tc>
          <w:tcPr>
            <w:tcW w:w="195" w:type="dxa"/>
            <w:tcBorders>
              <w:top w:val="nil"/>
              <w:left w:val="nil"/>
              <w:bottom w:val="nil"/>
              <w:right w:val="single" w:sz="4" w:space="0" w:color="auto"/>
            </w:tcBorders>
            <w:shd w:val="clear" w:color="auto" w:fill="auto"/>
            <w:noWrap/>
            <w:vAlign w:val="bottom"/>
          </w:tcPr>
          <w:p w14:paraId="7027E664" w14:textId="77777777" w:rsidR="008F3BC3" w:rsidRPr="00C63A85" w:rsidRDefault="008F3BC3" w:rsidP="0091436C">
            <w:pPr>
              <w:rPr>
                <w:rFonts w:ascii="Arial" w:hAnsi="Arial" w:cs="Arial"/>
                <w:sz w:val="20"/>
                <w:szCs w:val="20"/>
              </w:rPr>
            </w:pPr>
          </w:p>
        </w:tc>
      </w:tr>
      <w:tr w:rsidR="008F3BC3" w:rsidRPr="00C63A85" w14:paraId="7563D354" w14:textId="77777777" w:rsidTr="0091436C">
        <w:trPr>
          <w:trHeight w:val="345"/>
        </w:trPr>
        <w:tc>
          <w:tcPr>
            <w:tcW w:w="4243" w:type="dxa"/>
            <w:tcBorders>
              <w:top w:val="nil"/>
              <w:left w:val="single" w:sz="8" w:space="0" w:color="auto"/>
              <w:bottom w:val="nil"/>
              <w:right w:val="nil"/>
            </w:tcBorders>
            <w:shd w:val="clear" w:color="auto" w:fill="auto"/>
            <w:noWrap/>
            <w:vAlign w:val="bottom"/>
          </w:tcPr>
          <w:p w14:paraId="39AFF6E9" w14:textId="77777777" w:rsidR="008F3BC3" w:rsidRPr="00C63A85" w:rsidRDefault="008F3BC3" w:rsidP="0091436C">
            <w:pPr>
              <w:rPr>
                <w:rFonts w:ascii="Arial" w:hAnsi="Arial" w:cs="Arial"/>
                <w:sz w:val="20"/>
                <w:szCs w:val="20"/>
              </w:rPr>
            </w:pPr>
            <w:r w:rsidRPr="00C63A85">
              <w:rPr>
                <w:rFonts w:ascii="Arial" w:hAnsi="Arial" w:cs="Arial"/>
                <w:sz w:val="20"/>
                <w:szCs w:val="20"/>
              </w:rPr>
              <w:t>Nominalna rast plač (1 o.t. višja rast letno)</w:t>
            </w:r>
          </w:p>
        </w:tc>
        <w:tc>
          <w:tcPr>
            <w:tcW w:w="3045" w:type="dxa"/>
            <w:tcBorders>
              <w:top w:val="nil"/>
              <w:left w:val="nil"/>
              <w:bottom w:val="nil"/>
              <w:right w:val="nil"/>
            </w:tcBorders>
            <w:shd w:val="clear" w:color="auto" w:fill="auto"/>
            <w:noWrap/>
            <w:vAlign w:val="bottom"/>
          </w:tcPr>
          <w:p w14:paraId="2EA018D2" w14:textId="77777777" w:rsidR="008F3BC3" w:rsidRPr="00C63A85" w:rsidRDefault="008F3BC3" w:rsidP="0091436C">
            <w:pPr>
              <w:rPr>
                <w:rFonts w:ascii="Arial" w:hAnsi="Arial" w:cs="Arial"/>
                <w:sz w:val="20"/>
                <w:szCs w:val="20"/>
              </w:rPr>
            </w:pPr>
            <w:r w:rsidRPr="00C63A85">
              <w:rPr>
                <w:rFonts w:ascii="Arial" w:hAnsi="Arial" w:cs="Arial"/>
                <w:sz w:val="20"/>
                <w:szCs w:val="20"/>
              </w:rPr>
              <w:t>Izdatki za pokojnine</w:t>
            </w:r>
          </w:p>
        </w:tc>
        <w:tc>
          <w:tcPr>
            <w:tcW w:w="758" w:type="dxa"/>
            <w:tcBorders>
              <w:top w:val="nil"/>
              <w:left w:val="nil"/>
              <w:bottom w:val="nil"/>
              <w:right w:val="nil"/>
            </w:tcBorders>
            <w:shd w:val="clear" w:color="auto" w:fill="auto"/>
            <w:noWrap/>
            <w:vAlign w:val="center"/>
          </w:tcPr>
          <w:p w14:paraId="4EE4F167" w14:textId="77777777" w:rsidR="008F3BC3" w:rsidRPr="00C63A85" w:rsidRDefault="008F3BC3" w:rsidP="0091436C">
            <w:pPr>
              <w:rPr>
                <w:rFonts w:ascii="Arial" w:hAnsi="Arial" w:cs="Arial"/>
                <w:sz w:val="20"/>
                <w:szCs w:val="20"/>
              </w:rPr>
            </w:pPr>
            <w:r w:rsidRPr="00C63A85">
              <w:rPr>
                <w:rFonts w:ascii="Arial" w:hAnsi="Arial" w:cs="Arial"/>
                <w:sz w:val="20"/>
                <w:szCs w:val="20"/>
              </w:rPr>
              <w:t>0,05</w:t>
            </w:r>
          </w:p>
        </w:tc>
        <w:tc>
          <w:tcPr>
            <w:tcW w:w="816" w:type="dxa"/>
            <w:tcBorders>
              <w:top w:val="nil"/>
              <w:left w:val="nil"/>
              <w:bottom w:val="nil"/>
              <w:right w:val="nil"/>
            </w:tcBorders>
            <w:shd w:val="clear" w:color="auto" w:fill="auto"/>
            <w:noWrap/>
            <w:vAlign w:val="center"/>
          </w:tcPr>
          <w:p w14:paraId="400DD057" w14:textId="77777777" w:rsidR="008F3BC3" w:rsidRPr="00C63A85" w:rsidRDefault="008F3BC3" w:rsidP="0091436C">
            <w:pPr>
              <w:rPr>
                <w:rFonts w:ascii="Arial" w:hAnsi="Arial" w:cs="Arial"/>
                <w:sz w:val="20"/>
                <w:szCs w:val="20"/>
              </w:rPr>
            </w:pPr>
            <w:r w:rsidRPr="00C63A85">
              <w:rPr>
                <w:rFonts w:ascii="Arial" w:hAnsi="Arial" w:cs="Arial"/>
                <w:sz w:val="20"/>
                <w:szCs w:val="20"/>
              </w:rPr>
              <w:t>0,11</w:t>
            </w:r>
          </w:p>
        </w:tc>
        <w:tc>
          <w:tcPr>
            <w:tcW w:w="195" w:type="dxa"/>
            <w:tcBorders>
              <w:top w:val="nil"/>
              <w:left w:val="nil"/>
              <w:bottom w:val="nil"/>
              <w:right w:val="single" w:sz="4" w:space="0" w:color="auto"/>
            </w:tcBorders>
            <w:shd w:val="clear" w:color="auto" w:fill="auto"/>
            <w:noWrap/>
            <w:vAlign w:val="bottom"/>
          </w:tcPr>
          <w:p w14:paraId="6CFE5DDD" w14:textId="77777777" w:rsidR="008F3BC3" w:rsidRPr="00C63A85" w:rsidRDefault="008F3BC3" w:rsidP="0091436C">
            <w:pPr>
              <w:rPr>
                <w:rFonts w:ascii="Arial" w:hAnsi="Arial" w:cs="Arial"/>
                <w:sz w:val="20"/>
                <w:szCs w:val="20"/>
              </w:rPr>
            </w:pPr>
          </w:p>
        </w:tc>
      </w:tr>
      <w:tr w:rsidR="008F3BC3" w:rsidRPr="00C63A85" w14:paraId="713AA715" w14:textId="77777777" w:rsidTr="0091436C">
        <w:trPr>
          <w:trHeight w:val="345"/>
        </w:trPr>
        <w:tc>
          <w:tcPr>
            <w:tcW w:w="4243" w:type="dxa"/>
            <w:tcBorders>
              <w:top w:val="nil"/>
              <w:left w:val="single" w:sz="8" w:space="0" w:color="auto"/>
              <w:bottom w:val="nil"/>
              <w:right w:val="nil"/>
            </w:tcBorders>
            <w:shd w:val="clear" w:color="auto" w:fill="auto"/>
            <w:noWrap/>
            <w:vAlign w:val="bottom"/>
            <w:hideMark/>
          </w:tcPr>
          <w:p w14:paraId="11AF3B06" w14:textId="77777777" w:rsidR="008F3BC3" w:rsidRPr="00C63A85" w:rsidRDefault="008F3BC3" w:rsidP="0091436C">
            <w:pPr>
              <w:rPr>
                <w:rFonts w:ascii="Arial" w:hAnsi="Arial" w:cs="Arial"/>
                <w:sz w:val="20"/>
                <w:szCs w:val="20"/>
              </w:rPr>
            </w:pPr>
            <w:r w:rsidRPr="00C63A85">
              <w:rPr>
                <w:rFonts w:ascii="Arial" w:hAnsi="Arial" w:cs="Arial"/>
                <w:sz w:val="20"/>
                <w:szCs w:val="20"/>
              </w:rPr>
              <w:t> </w:t>
            </w:r>
          </w:p>
        </w:tc>
        <w:tc>
          <w:tcPr>
            <w:tcW w:w="3045" w:type="dxa"/>
            <w:tcBorders>
              <w:top w:val="nil"/>
              <w:left w:val="nil"/>
              <w:bottom w:val="nil"/>
              <w:right w:val="nil"/>
            </w:tcBorders>
            <w:shd w:val="clear" w:color="auto" w:fill="auto"/>
            <w:noWrap/>
            <w:vAlign w:val="bottom"/>
            <w:hideMark/>
          </w:tcPr>
          <w:p w14:paraId="0A781240" w14:textId="77777777" w:rsidR="008F3BC3" w:rsidRPr="00C63A85" w:rsidRDefault="008F3BC3" w:rsidP="0091436C">
            <w:pPr>
              <w:rPr>
                <w:rFonts w:ascii="Arial" w:hAnsi="Arial" w:cs="Arial"/>
                <w:sz w:val="20"/>
                <w:szCs w:val="20"/>
              </w:rPr>
            </w:pPr>
          </w:p>
        </w:tc>
        <w:tc>
          <w:tcPr>
            <w:tcW w:w="758" w:type="dxa"/>
            <w:tcBorders>
              <w:top w:val="nil"/>
              <w:left w:val="nil"/>
              <w:bottom w:val="nil"/>
              <w:right w:val="nil"/>
            </w:tcBorders>
            <w:shd w:val="clear" w:color="auto" w:fill="auto"/>
            <w:noWrap/>
            <w:vAlign w:val="center"/>
            <w:hideMark/>
          </w:tcPr>
          <w:p w14:paraId="3B60D626" w14:textId="77777777" w:rsidR="008F3BC3" w:rsidRPr="00C63A85" w:rsidRDefault="008F3BC3" w:rsidP="0091436C">
            <w:pPr>
              <w:rPr>
                <w:rFonts w:ascii="Arial" w:hAnsi="Arial" w:cs="Arial"/>
                <w:sz w:val="20"/>
                <w:szCs w:val="20"/>
              </w:rPr>
            </w:pPr>
          </w:p>
        </w:tc>
        <w:tc>
          <w:tcPr>
            <w:tcW w:w="816" w:type="dxa"/>
            <w:tcBorders>
              <w:top w:val="nil"/>
              <w:left w:val="nil"/>
              <w:bottom w:val="nil"/>
              <w:right w:val="nil"/>
            </w:tcBorders>
            <w:shd w:val="clear" w:color="auto" w:fill="auto"/>
            <w:noWrap/>
            <w:vAlign w:val="center"/>
            <w:hideMark/>
          </w:tcPr>
          <w:p w14:paraId="0D0452CA" w14:textId="77777777" w:rsidR="008F3BC3" w:rsidRPr="00C63A85" w:rsidRDefault="008F3BC3" w:rsidP="0091436C">
            <w:pPr>
              <w:rPr>
                <w:rFonts w:ascii="Arial" w:hAnsi="Arial" w:cs="Arial"/>
                <w:sz w:val="20"/>
                <w:szCs w:val="20"/>
              </w:rPr>
            </w:pPr>
          </w:p>
        </w:tc>
        <w:tc>
          <w:tcPr>
            <w:tcW w:w="195" w:type="dxa"/>
            <w:tcBorders>
              <w:top w:val="nil"/>
              <w:left w:val="nil"/>
              <w:bottom w:val="nil"/>
              <w:right w:val="single" w:sz="4" w:space="0" w:color="auto"/>
            </w:tcBorders>
            <w:shd w:val="clear" w:color="auto" w:fill="auto"/>
            <w:noWrap/>
            <w:vAlign w:val="bottom"/>
            <w:hideMark/>
          </w:tcPr>
          <w:p w14:paraId="79E8C0D5" w14:textId="77777777" w:rsidR="008F3BC3" w:rsidRPr="00C63A85" w:rsidRDefault="008F3BC3" w:rsidP="0091436C">
            <w:pPr>
              <w:rPr>
                <w:rFonts w:ascii="Arial" w:hAnsi="Arial" w:cs="Arial"/>
                <w:sz w:val="20"/>
                <w:szCs w:val="20"/>
              </w:rPr>
            </w:pPr>
          </w:p>
        </w:tc>
      </w:tr>
      <w:tr w:rsidR="008F3BC3" w:rsidRPr="00C63A85" w14:paraId="3FDBFAC0" w14:textId="77777777" w:rsidTr="0091436C">
        <w:trPr>
          <w:trHeight w:val="345"/>
        </w:trPr>
        <w:tc>
          <w:tcPr>
            <w:tcW w:w="4243" w:type="dxa"/>
            <w:tcBorders>
              <w:top w:val="nil"/>
              <w:left w:val="single" w:sz="8" w:space="0" w:color="auto"/>
              <w:bottom w:val="nil"/>
              <w:right w:val="nil"/>
            </w:tcBorders>
            <w:shd w:val="clear" w:color="auto" w:fill="auto"/>
            <w:noWrap/>
            <w:vAlign w:val="bottom"/>
            <w:hideMark/>
          </w:tcPr>
          <w:p w14:paraId="7228CCA2" w14:textId="77777777" w:rsidR="008F3BC3" w:rsidRPr="00C63A85" w:rsidRDefault="008F3BC3" w:rsidP="0091436C">
            <w:pPr>
              <w:rPr>
                <w:rFonts w:ascii="Arial" w:hAnsi="Arial" w:cs="Arial"/>
                <w:b/>
                <w:bCs/>
                <w:sz w:val="20"/>
                <w:szCs w:val="20"/>
              </w:rPr>
            </w:pPr>
            <w:r w:rsidRPr="00C63A85">
              <w:rPr>
                <w:rFonts w:ascii="Arial" w:hAnsi="Arial" w:cs="Arial"/>
                <w:b/>
                <w:bCs/>
                <w:sz w:val="20"/>
                <w:szCs w:val="20"/>
              </w:rPr>
              <w:t>Inflacija</w:t>
            </w:r>
          </w:p>
        </w:tc>
        <w:tc>
          <w:tcPr>
            <w:tcW w:w="3045" w:type="dxa"/>
            <w:tcBorders>
              <w:top w:val="nil"/>
              <w:left w:val="nil"/>
              <w:bottom w:val="nil"/>
              <w:right w:val="nil"/>
            </w:tcBorders>
            <w:shd w:val="clear" w:color="auto" w:fill="auto"/>
            <w:noWrap/>
            <w:vAlign w:val="bottom"/>
            <w:hideMark/>
          </w:tcPr>
          <w:p w14:paraId="223F545F" w14:textId="77777777" w:rsidR="008F3BC3" w:rsidRPr="00C63A85" w:rsidRDefault="008F3BC3" w:rsidP="0091436C">
            <w:pPr>
              <w:rPr>
                <w:rFonts w:ascii="Arial" w:hAnsi="Arial" w:cs="Arial"/>
                <w:b/>
                <w:bCs/>
                <w:sz w:val="20"/>
                <w:szCs w:val="20"/>
              </w:rPr>
            </w:pPr>
          </w:p>
        </w:tc>
        <w:tc>
          <w:tcPr>
            <w:tcW w:w="758" w:type="dxa"/>
            <w:tcBorders>
              <w:top w:val="nil"/>
              <w:left w:val="nil"/>
              <w:bottom w:val="nil"/>
              <w:right w:val="nil"/>
            </w:tcBorders>
            <w:shd w:val="clear" w:color="auto" w:fill="auto"/>
            <w:noWrap/>
            <w:vAlign w:val="center"/>
            <w:hideMark/>
          </w:tcPr>
          <w:p w14:paraId="72947B2E" w14:textId="77777777" w:rsidR="008F3BC3" w:rsidRPr="00C63A85" w:rsidRDefault="008F3BC3" w:rsidP="0091436C">
            <w:pPr>
              <w:rPr>
                <w:rFonts w:ascii="Arial" w:hAnsi="Arial" w:cs="Arial"/>
                <w:sz w:val="20"/>
                <w:szCs w:val="20"/>
              </w:rPr>
            </w:pPr>
          </w:p>
        </w:tc>
        <w:tc>
          <w:tcPr>
            <w:tcW w:w="816" w:type="dxa"/>
            <w:tcBorders>
              <w:top w:val="nil"/>
              <w:left w:val="nil"/>
              <w:bottom w:val="nil"/>
              <w:right w:val="nil"/>
            </w:tcBorders>
            <w:shd w:val="clear" w:color="auto" w:fill="auto"/>
            <w:noWrap/>
            <w:vAlign w:val="center"/>
            <w:hideMark/>
          </w:tcPr>
          <w:p w14:paraId="4546762B" w14:textId="77777777" w:rsidR="008F3BC3" w:rsidRPr="00C63A85" w:rsidRDefault="008F3BC3" w:rsidP="0091436C">
            <w:pPr>
              <w:rPr>
                <w:rFonts w:ascii="Arial" w:hAnsi="Arial" w:cs="Arial"/>
                <w:sz w:val="20"/>
                <w:szCs w:val="20"/>
              </w:rPr>
            </w:pPr>
          </w:p>
        </w:tc>
        <w:tc>
          <w:tcPr>
            <w:tcW w:w="195" w:type="dxa"/>
            <w:tcBorders>
              <w:top w:val="nil"/>
              <w:left w:val="nil"/>
              <w:bottom w:val="nil"/>
              <w:right w:val="single" w:sz="4" w:space="0" w:color="auto"/>
            </w:tcBorders>
            <w:shd w:val="clear" w:color="auto" w:fill="auto"/>
            <w:noWrap/>
            <w:vAlign w:val="bottom"/>
            <w:hideMark/>
          </w:tcPr>
          <w:p w14:paraId="3B301D2C" w14:textId="77777777" w:rsidR="008F3BC3" w:rsidRPr="00C63A85" w:rsidRDefault="008F3BC3" w:rsidP="0091436C">
            <w:pPr>
              <w:rPr>
                <w:rFonts w:ascii="Arial" w:hAnsi="Arial" w:cs="Arial"/>
                <w:sz w:val="20"/>
                <w:szCs w:val="20"/>
              </w:rPr>
            </w:pPr>
          </w:p>
        </w:tc>
      </w:tr>
      <w:tr w:rsidR="008F3BC3" w:rsidRPr="00C63A85" w14:paraId="1CA436B3" w14:textId="77777777" w:rsidTr="0091436C">
        <w:trPr>
          <w:trHeight w:val="345"/>
        </w:trPr>
        <w:tc>
          <w:tcPr>
            <w:tcW w:w="4243" w:type="dxa"/>
            <w:tcBorders>
              <w:top w:val="nil"/>
              <w:left w:val="single" w:sz="8" w:space="0" w:color="auto"/>
              <w:bottom w:val="nil"/>
              <w:right w:val="nil"/>
            </w:tcBorders>
            <w:shd w:val="clear" w:color="auto" w:fill="auto"/>
            <w:noWrap/>
            <w:vAlign w:val="bottom"/>
            <w:hideMark/>
          </w:tcPr>
          <w:p w14:paraId="752F6273" w14:textId="77777777" w:rsidR="008F3BC3" w:rsidRPr="00C63A85" w:rsidRDefault="008F3BC3" w:rsidP="0091436C">
            <w:pPr>
              <w:rPr>
                <w:rFonts w:ascii="Arial" w:hAnsi="Arial" w:cs="Arial"/>
                <w:sz w:val="20"/>
                <w:szCs w:val="20"/>
              </w:rPr>
            </w:pPr>
            <w:r w:rsidRPr="00C63A85">
              <w:rPr>
                <w:rFonts w:ascii="Arial" w:hAnsi="Arial" w:cs="Arial"/>
                <w:sz w:val="20"/>
                <w:szCs w:val="20"/>
              </w:rPr>
              <w:t>CPI (1 o.t. višja rast letno)</w:t>
            </w:r>
          </w:p>
        </w:tc>
        <w:tc>
          <w:tcPr>
            <w:tcW w:w="3045" w:type="dxa"/>
            <w:tcBorders>
              <w:top w:val="nil"/>
              <w:left w:val="nil"/>
              <w:bottom w:val="nil"/>
              <w:right w:val="nil"/>
            </w:tcBorders>
            <w:shd w:val="clear" w:color="auto" w:fill="auto"/>
            <w:noWrap/>
            <w:vAlign w:val="bottom"/>
            <w:hideMark/>
          </w:tcPr>
          <w:p w14:paraId="35E0D9A7" w14:textId="77777777" w:rsidR="008F3BC3" w:rsidRPr="00C63A85" w:rsidRDefault="008F3BC3" w:rsidP="0091436C">
            <w:pPr>
              <w:rPr>
                <w:rFonts w:ascii="Arial" w:hAnsi="Arial" w:cs="Arial"/>
                <w:sz w:val="20"/>
                <w:szCs w:val="20"/>
              </w:rPr>
            </w:pPr>
            <w:r w:rsidRPr="00C63A85">
              <w:rPr>
                <w:rFonts w:ascii="Arial" w:hAnsi="Arial" w:cs="Arial"/>
                <w:sz w:val="20"/>
                <w:szCs w:val="20"/>
              </w:rPr>
              <w:t>Izdatki za pokojnine</w:t>
            </w:r>
          </w:p>
        </w:tc>
        <w:tc>
          <w:tcPr>
            <w:tcW w:w="758" w:type="dxa"/>
            <w:tcBorders>
              <w:top w:val="nil"/>
              <w:left w:val="nil"/>
              <w:bottom w:val="nil"/>
              <w:right w:val="nil"/>
            </w:tcBorders>
            <w:shd w:val="clear" w:color="auto" w:fill="auto"/>
            <w:noWrap/>
            <w:vAlign w:val="center"/>
            <w:hideMark/>
          </w:tcPr>
          <w:p w14:paraId="0E0AA986" w14:textId="77777777" w:rsidR="008F3BC3" w:rsidRPr="00C63A85" w:rsidRDefault="008F3BC3" w:rsidP="0091436C">
            <w:pPr>
              <w:rPr>
                <w:rFonts w:ascii="Arial" w:hAnsi="Arial" w:cs="Arial"/>
                <w:sz w:val="20"/>
                <w:szCs w:val="20"/>
              </w:rPr>
            </w:pPr>
            <w:r w:rsidRPr="00C63A85">
              <w:rPr>
                <w:rFonts w:ascii="Arial" w:hAnsi="Arial" w:cs="Arial"/>
                <w:sz w:val="20"/>
                <w:szCs w:val="20"/>
              </w:rPr>
              <w:t>0,04</w:t>
            </w:r>
          </w:p>
        </w:tc>
        <w:tc>
          <w:tcPr>
            <w:tcW w:w="816" w:type="dxa"/>
            <w:tcBorders>
              <w:top w:val="nil"/>
              <w:left w:val="nil"/>
              <w:bottom w:val="nil"/>
              <w:right w:val="nil"/>
            </w:tcBorders>
            <w:shd w:val="clear" w:color="auto" w:fill="auto"/>
            <w:noWrap/>
            <w:vAlign w:val="center"/>
            <w:hideMark/>
          </w:tcPr>
          <w:p w14:paraId="4A162297" w14:textId="77777777" w:rsidR="008F3BC3" w:rsidRPr="00C63A85" w:rsidRDefault="008F3BC3" w:rsidP="0091436C">
            <w:pPr>
              <w:rPr>
                <w:rFonts w:ascii="Arial" w:hAnsi="Arial" w:cs="Arial"/>
                <w:sz w:val="20"/>
                <w:szCs w:val="20"/>
              </w:rPr>
            </w:pPr>
            <w:r w:rsidRPr="00C63A85">
              <w:rPr>
                <w:rFonts w:ascii="Arial" w:hAnsi="Arial" w:cs="Arial"/>
                <w:sz w:val="20"/>
                <w:szCs w:val="20"/>
              </w:rPr>
              <w:t>0,07</w:t>
            </w:r>
          </w:p>
        </w:tc>
        <w:tc>
          <w:tcPr>
            <w:tcW w:w="195" w:type="dxa"/>
            <w:tcBorders>
              <w:top w:val="nil"/>
              <w:left w:val="nil"/>
              <w:bottom w:val="nil"/>
              <w:right w:val="single" w:sz="4" w:space="0" w:color="auto"/>
            </w:tcBorders>
            <w:shd w:val="clear" w:color="auto" w:fill="auto"/>
            <w:noWrap/>
            <w:vAlign w:val="bottom"/>
            <w:hideMark/>
          </w:tcPr>
          <w:p w14:paraId="4E39DB70" w14:textId="77777777" w:rsidR="008F3BC3" w:rsidRPr="00C63A85" w:rsidRDefault="008F3BC3" w:rsidP="0091436C">
            <w:pPr>
              <w:rPr>
                <w:rFonts w:ascii="Arial" w:hAnsi="Arial" w:cs="Arial"/>
                <w:sz w:val="20"/>
                <w:szCs w:val="20"/>
              </w:rPr>
            </w:pPr>
          </w:p>
        </w:tc>
      </w:tr>
      <w:tr w:rsidR="008F3BC3" w:rsidRPr="00C63A85" w14:paraId="5BD45929" w14:textId="77777777" w:rsidTr="0091436C">
        <w:trPr>
          <w:trHeight w:val="345"/>
        </w:trPr>
        <w:tc>
          <w:tcPr>
            <w:tcW w:w="4243" w:type="dxa"/>
            <w:tcBorders>
              <w:top w:val="nil"/>
              <w:left w:val="single" w:sz="8" w:space="0" w:color="auto"/>
              <w:bottom w:val="nil"/>
              <w:right w:val="nil"/>
            </w:tcBorders>
            <w:shd w:val="clear" w:color="auto" w:fill="auto"/>
            <w:noWrap/>
            <w:vAlign w:val="bottom"/>
            <w:hideMark/>
          </w:tcPr>
          <w:p w14:paraId="62D330CA" w14:textId="77777777" w:rsidR="008F3BC3" w:rsidRPr="00C63A85" w:rsidRDefault="008F3BC3" w:rsidP="0091436C">
            <w:pPr>
              <w:rPr>
                <w:rFonts w:ascii="Arial" w:hAnsi="Arial" w:cs="Arial"/>
                <w:sz w:val="20"/>
                <w:szCs w:val="20"/>
              </w:rPr>
            </w:pPr>
            <w:r w:rsidRPr="00C63A85">
              <w:rPr>
                <w:rFonts w:ascii="Arial" w:hAnsi="Arial" w:cs="Arial"/>
                <w:sz w:val="20"/>
                <w:szCs w:val="20"/>
              </w:rPr>
              <w:t>CPI (1 o.t. višja rast letno)</w:t>
            </w:r>
          </w:p>
        </w:tc>
        <w:tc>
          <w:tcPr>
            <w:tcW w:w="3045" w:type="dxa"/>
            <w:tcBorders>
              <w:top w:val="nil"/>
              <w:left w:val="nil"/>
              <w:bottom w:val="nil"/>
              <w:right w:val="nil"/>
            </w:tcBorders>
            <w:shd w:val="clear" w:color="auto" w:fill="auto"/>
            <w:noWrap/>
            <w:vAlign w:val="bottom"/>
            <w:hideMark/>
          </w:tcPr>
          <w:p w14:paraId="5B03A553" w14:textId="77777777" w:rsidR="008F3BC3" w:rsidRPr="00C63A85" w:rsidRDefault="008F3BC3" w:rsidP="0091436C">
            <w:pPr>
              <w:rPr>
                <w:rFonts w:ascii="Arial" w:hAnsi="Arial" w:cs="Arial"/>
                <w:sz w:val="20"/>
                <w:szCs w:val="20"/>
              </w:rPr>
            </w:pPr>
            <w:r w:rsidRPr="00C63A85">
              <w:rPr>
                <w:rFonts w:ascii="Arial" w:hAnsi="Arial" w:cs="Arial"/>
                <w:sz w:val="20"/>
                <w:szCs w:val="20"/>
              </w:rPr>
              <w:t>Drugi izdatki za socialne transferje</w:t>
            </w:r>
          </w:p>
        </w:tc>
        <w:tc>
          <w:tcPr>
            <w:tcW w:w="758" w:type="dxa"/>
            <w:tcBorders>
              <w:top w:val="nil"/>
              <w:left w:val="nil"/>
              <w:bottom w:val="nil"/>
              <w:right w:val="nil"/>
            </w:tcBorders>
            <w:shd w:val="clear" w:color="auto" w:fill="auto"/>
            <w:noWrap/>
            <w:vAlign w:val="center"/>
            <w:hideMark/>
          </w:tcPr>
          <w:p w14:paraId="35EA493B" w14:textId="77777777" w:rsidR="008F3BC3" w:rsidRPr="00C63A85" w:rsidRDefault="008F3BC3" w:rsidP="0091436C">
            <w:pPr>
              <w:rPr>
                <w:rFonts w:ascii="Arial" w:hAnsi="Arial" w:cs="Arial"/>
                <w:sz w:val="20"/>
                <w:szCs w:val="20"/>
              </w:rPr>
            </w:pPr>
            <w:r w:rsidRPr="00C63A85">
              <w:rPr>
                <w:rFonts w:ascii="Arial" w:hAnsi="Arial" w:cs="Arial"/>
                <w:sz w:val="20"/>
                <w:szCs w:val="20"/>
              </w:rPr>
              <w:t>0,06</w:t>
            </w:r>
          </w:p>
        </w:tc>
        <w:tc>
          <w:tcPr>
            <w:tcW w:w="816" w:type="dxa"/>
            <w:tcBorders>
              <w:top w:val="nil"/>
              <w:left w:val="nil"/>
              <w:bottom w:val="nil"/>
              <w:right w:val="nil"/>
            </w:tcBorders>
            <w:shd w:val="clear" w:color="auto" w:fill="auto"/>
            <w:noWrap/>
            <w:vAlign w:val="center"/>
            <w:hideMark/>
          </w:tcPr>
          <w:p w14:paraId="78081B5F" w14:textId="77777777" w:rsidR="008F3BC3" w:rsidRPr="00C63A85" w:rsidRDefault="008F3BC3" w:rsidP="0091436C">
            <w:pPr>
              <w:rPr>
                <w:rFonts w:ascii="Arial" w:hAnsi="Arial" w:cs="Arial"/>
                <w:sz w:val="20"/>
                <w:szCs w:val="20"/>
              </w:rPr>
            </w:pPr>
            <w:r w:rsidRPr="00C63A85">
              <w:rPr>
                <w:rFonts w:ascii="Arial" w:hAnsi="Arial" w:cs="Arial"/>
                <w:sz w:val="20"/>
                <w:szCs w:val="20"/>
              </w:rPr>
              <w:t>0,06</w:t>
            </w:r>
          </w:p>
        </w:tc>
        <w:tc>
          <w:tcPr>
            <w:tcW w:w="195" w:type="dxa"/>
            <w:tcBorders>
              <w:top w:val="nil"/>
              <w:left w:val="nil"/>
              <w:bottom w:val="nil"/>
              <w:right w:val="single" w:sz="4" w:space="0" w:color="auto"/>
            </w:tcBorders>
            <w:shd w:val="clear" w:color="auto" w:fill="auto"/>
            <w:noWrap/>
            <w:vAlign w:val="bottom"/>
            <w:hideMark/>
          </w:tcPr>
          <w:p w14:paraId="6A0EFB87" w14:textId="77777777" w:rsidR="008F3BC3" w:rsidRPr="00C63A85" w:rsidRDefault="008F3BC3" w:rsidP="0091436C">
            <w:pPr>
              <w:rPr>
                <w:rFonts w:ascii="Arial" w:hAnsi="Arial" w:cs="Arial"/>
                <w:sz w:val="20"/>
                <w:szCs w:val="20"/>
              </w:rPr>
            </w:pPr>
          </w:p>
        </w:tc>
      </w:tr>
      <w:tr w:rsidR="008F3BC3" w:rsidRPr="00C63A85" w14:paraId="0570C577" w14:textId="77777777" w:rsidTr="0091436C">
        <w:trPr>
          <w:trHeight w:val="345"/>
        </w:trPr>
        <w:tc>
          <w:tcPr>
            <w:tcW w:w="4243" w:type="dxa"/>
            <w:tcBorders>
              <w:top w:val="nil"/>
              <w:left w:val="single" w:sz="8" w:space="0" w:color="auto"/>
              <w:bottom w:val="nil"/>
              <w:right w:val="nil"/>
            </w:tcBorders>
            <w:shd w:val="clear" w:color="auto" w:fill="auto"/>
            <w:noWrap/>
            <w:vAlign w:val="bottom"/>
            <w:hideMark/>
          </w:tcPr>
          <w:p w14:paraId="7C6D620B" w14:textId="77777777" w:rsidR="008F3BC3" w:rsidRPr="00C63A85" w:rsidRDefault="008F3BC3" w:rsidP="0091436C">
            <w:pPr>
              <w:rPr>
                <w:rFonts w:ascii="Arial" w:hAnsi="Arial" w:cs="Arial"/>
                <w:sz w:val="20"/>
                <w:szCs w:val="20"/>
              </w:rPr>
            </w:pPr>
            <w:r w:rsidRPr="00C63A85">
              <w:rPr>
                <w:rFonts w:ascii="Arial" w:hAnsi="Arial" w:cs="Arial"/>
                <w:sz w:val="20"/>
                <w:szCs w:val="20"/>
              </w:rPr>
              <w:t> </w:t>
            </w:r>
          </w:p>
        </w:tc>
        <w:tc>
          <w:tcPr>
            <w:tcW w:w="3045" w:type="dxa"/>
            <w:tcBorders>
              <w:top w:val="nil"/>
              <w:left w:val="nil"/>
              <w:bottom w:val="nil"/>
              <w:right w:val="nil"/>
            </w:tcBorders>
            <w:shd w:val="clear" w:color="auto" w:fill="auto"/>
            <w:noWrap/>
            <w:vAlign w:val="bottom"/>
            <w:hideMark/>
          </w:tcPr>
          <w:p w14:paraId="0B572C45" w14:textId="77777777" w:rsidR="008F3BC3" w:rsidRPr="00C63A85" w:rsidRDefault="008F3BC3" w:rsidP="0091436C">
            <w:pPr>
              <w:rPr>
                <w:rFonts w:ascii="Arial" w:hAnsi="Arial" w:cs="Arial"/>
                <w:sz w:val="20"/>
                <w:szCs w:val="20"/>
              </w:rPr>
            </w:pPr>
          </w:p>
        </w:tc>
        <w:tc>
          <w:tcPr>
            <w:tcW w:w="758" w:type="dxa"/>
            <w:tcBorders>
              <w:top w:val="nil"/>
              <w:left w:val="nil"/>
              <w:bottom w:val="nil"/>
              <w:right w:val="nil"/>
            </w:tcBorders>
            <w:shd w:val="clear" w:color="auto" w:fill="auto"/>
            <w:noWrap/>
            <w:vAlign w:val="center"/>
            <w:hideMark/>
          </w:tcPr>
          <w:p w14:paraId="2A4A18AD" w14:textId="77777777" w:rsidR="008F3BC3" w:rsidRPr="00C63A85" w:rsidRDefault="008F3BC3" w:rsidP="0091436C">
            <w:pPr>
              <w:rPr>
                <w:rFonts w:ascii="Arial" w:hAnsi="Arial" w:cs="Arial"/>
                <w:sz w:val="20"/>
                <w:szCs w:val="20"/>
              </w:rPr>
            </w:pPr>
          </w:p>
        </w:tc>
        <w:tc>
          <w:tcPr>
            <w:tcW w:w="816" w:type="dxa"/>
            <w:tcBorders>
              <w:top w:val="nil"/>
              <w:left w:val="nil"/>
              <w:bottom w:val="nil"/>
              <w:right w:val="nil"/>
            </w:tcBorders>
            <w:shd w:val="clear" w:color="auto" w:fill="auto"/>
            <w:noWrap/>
            <w:vAlign w:val="center"/>
            <w:hideMark/>
          </w:tcPr>
          <w:p w14:paraId="77A174DE" w14:textId="77777777" w:rsidR="008F3BC3" w:rsidRPr="00C63A85" w:rsidRDefault="008F3BC3" w:rsidP="0091436C">
            <w:pPr>
              <w:rPr>
                <w:rFonts w:ascii="Arial" w:hAnsi="Arial" w:cs="Arial"/>
                <w:sz w:val="20"/>
                <w:szCs w:val="20"/>
              </w:rPr>
            </w:pPr>
          </w:p>
        </w:tc>
        <w:tc>
          <w:tcPr>
            <w:tcW w:w="195" w:type="dxa"/>
            <w:tcBorders>
              <w:top w:val="nil"/>
              <w:left w:val="nil"/>
              <w:bottom w:val="nil"/>
              <w:right w:val="single" w:sz="4" w:space="0" w:color="auto"/>
            </w:tcBorders>
            <w:shd w:val="clear" w:color="auto" w:fill="auto"/>
            <w:noWrap/>
            <w:vAlign w:val="bottom"/>
            <w:hideMark/>
          </w:tcPr>
          <w:p w14:paraId="080D688E" w14:textId="77777777" w:rsidR="008F3BC3" w:rsidRPr="00C63A85" w:rsidRDefault="008F3BC3" w:rsidP="0091436C">
            <w:pPr>
              <w:rPr>
                <w:rFonts w:ascii="Arial" w:hAnsi="Arial" w:cs="Arial"/>
                <w:sz w:val="20"/>
                <w:szCs w:val="20"/>
              </w:rPr>
            </w:pPr>
          </w:p>
        </w:tc>
      </w:tr>
      <w:tr w:rsidR="008F3BC3" w:rsidRPr="00C63A85" w14:paraId="4C3DF99F" w14:textId="77777777" w:rsidTr="0091436C">
        <w:trPr>
          <w:trHeight w:val="345"/>
        </w:trPr>
        <w:tc>
          <w:tcPr>
            <w:tcW w:w="4243" w:type="dxa"/>
            <w:tcBorders>
              <w:top w:val="nil"/>
              <w:left w:val="single" w:sz="8" w:space="0" w:color="auto"/>
              <w:bottom w:val="nil"/>
              <w:right w:val="nil"/>
            </w:tcBorders>
            <w:shd w:val="clear" w:color="auto" w:fill="auto"/>
            <w:noWrap/>
            <w:vAlign w:val="bottom"/>
            <w:hideMark/>
          </w:tcPr>
          <w:p w14:paraId="52540A58" w14:textId="77777777" w:rsidR="008F3BC3" w:rsidRPr="00C63A85" w:rsidRDefault="008F3BC3" w:rsidP="0091436C">
            <w:pPr>
              <w:rPr>
                <w:rFonts w:ascii="Arial" w:hAnsi="Arial" w:cs="Arial"/>
                <w:b/>
                <w:bCs/>
                <w:sz w:val="20"/>
                <w:szCs w:val="20"/>
              </w:rPr>
            </w:pPr>
            <w:r w:rsidRPr="00C63A85">
              <w:rPr>
                <w:rFonts w:ascii="Arial" w:hAnsi="Arial" w:cs="Arial"/>
                <w:b/>
                <w:bCs/>
                <w:sz w:val="20"/>
                <w:szCs w:val="20"/>
              </w:rPr>
              <w:t>Obrestne mere</w:t>
            </w:r>
          </w:p>
        </w:tc>
        <w:tc>
          <w:tcPr>
            <w:tcW w:w="3045" w:type="dxa"/>
            <w:tcBorders>
              <w:top w:val="nil"/>
              <w:left w:val="nil"/>
              <w:bottom w:val="nil"/>
              <w:right w:val="nil"/>
            </w:tcBorders>
            <w:shd w:val="clear" w:color="auto" w:fill="auto"/>
            <w:noWrap/>
            <w:vAlign w:val="bottom"/>
            <w:hideMark/>
          </w:tcPr>
          <w:p w14:paraId="7D1DC0EF" w14:textId="77777777" w:rsidR="008F3BC3" w:rsidRPr="00C63A85" w:rsidRDefault="008F3BC3" w:rsidP="0091436C">
            <w:pPr>
              <w:rPr>
                <w:rFonts w:ascii="Arial" w:hAnsi="Arial" w:cs="Arial"/>
                <w:b/>
                <w:bCs/>
                <w:sz w:val="20"/>
                <w:szCs w:val="20"/>
              </w:rPr>
            </w:pPr>
          </w:p>
        </w:tc>
        <w:tc>
          <w:tcPr>
            <w:tcW w:w="758" w:type="dxa"/>
            <w:tcBorders>
              <w:top w:val="nil"/>
              <w:left w:val="nil"/>
              <w:bottom w:val="nil"/>
              <w:right w:val="nil"/>
            </w:tcBorders>
            <w:shd w:val="clear" w:color="auto" w:fill="auto"/>
            <w:noWrap/>
            <w:vAlign w:val="center"/>
            <w:hideMark/>
          </w:tcPr>
          <w:p w14:paraId="797F9166" w14:textId="77777777" w:rsidR="008F3BC3" w:rsidRPr="00C63A85" w:rsidRDefault="008F3BC3" w:rsidP="0091436C">
            <w:pPr>
              <w:rPr>
                <w:rFonts w:ascii="Arial" w:hAnsi="Arial" w:cs="Arial"/>
                <w:sz w:val="20"/>
                <w:szCs w:val="20"/>
              </w:rPr>
            </w:pPr>
          </w:p>
        </w:tc>
        <w:tc>
          <w:tcPr>
            <w:tcW w:w="816" w:type="dxa"/>
            <w:tcBorders>
              <w:top w:val="nil"/>
              <w:left w:val="nil"/>
              <w:bottom w:val="nil"/>
              <w:right w:val="nil"/>
            </w:tcBorders>
            <w:shd w:val="clear" w:color="auto" w:fill="auto"/>
            <w:noWrap/>
            <w:vAlign w:val="center"/>
            <w:hideMark/>
          </w:tcPr>
          <w:p w14:paraId="2DF9EA92" w14:textId="77777777" w:rsidR="008F3BC3" w:rsidRPr="00C63A85" w:rsidRDefault="008F3BC3" w:rsidP="0091436C">
            <w:pPr>
              <w:rPr>
                <w:rFonts w:ascii="Arial" w:hAnsi="Arial" w:cs="Arial"/>
                <w:sz w:val="20"/>
                <w:szCs w:val="20"/>
              </w:rPr>
            </w:pPr>
          </w:p>
        </w:tc>
        <w:tc>
          <w:tcPr>
            <w:tcW w:w="195" w:type="dxa"/>
            <w:tcBorders>
              <w:top w:val="nil"/>
              <w:left w:val="nil"/>
              <w:bottom w:val="nil"/>
              <w:right w:val="single" w:sz="4" w:space="0" w:color="auto"/>
            </w:tcBorders>
            <w:shd w:val="clear" w:color="auto" w:fill="auto"/>
            <w:noWrap/>
            <w:vAlign w:val="bottom"/>
            <w:hideMark/>
          </w:tcPr>
          <w:p w14:paraId="67A8A7E5" w14:textId="77777777" w:rsidR="008F3BC3" w:rsidRPr="00C63A85" w:rsidRDefault="008F3BC3" w:rsidP="0091436C">
            <w:pPr>
              <w:rPr>
                <w:rFonts w:ascii="Arial" w:hAnsi="Arial" w:cs="Arial"/>
                <w:sz w:val="20"/>
                <w:szCs w:val="20"/>
              </w:rPr>
            </w:pPr>
          </w:p>
        </w:tc>
      </w:tr>
      <w:tr w:rsidR="008F3BC3" w:rsidRPr="00C63A85" w14:paraId="358141AB" w14:textId="77777777" w:rsidTr="0091436C">
        <w:trPr>
          <w:trHeight w:val="345"/>
        </w:trPr>
        <w:tc>
          <w:tcPr>
            <w:tcW w:w="4243" w:type="dxa"/>
            <w:tcBorders>
              <w:top w:val="nil"/>
              <w:left w:val="single" w:sz="8" w:space="0" w:color="auto"/>
              <w:bottom w:val="single" w:sz="8" w:space="0" w:color="auto"/>
              <w:right w:val="nil"/>
            </w:tcBorders>
            <w:shd w:val="clear" w:color="auto" w:fill="auto"/>
            <w:noWrap/>
            <w:vAlign w:val="bottom"/>
            <w:hideMark/>
          </w:tcPr>
          <w:p w14:paraId="009E2527" w14:textId="77777777" w:rsidR="008F3BC3" w:rsidRPr="00C63A85" w:rsidRDefault="008F3BC3" w:rsidP="0091436C">
            <w:pPr>
              <w:rPr>
                <w:rFonts w:ascii="Arial" w:hAnsi="Arial" w:cs="Arial"/>
                <w:sz w:val="20"/>
                <w:szCs w:val="20"/>
              </w:rPr>
            </w:pPr>
            <w:r w:rsidRPr="00C63A85">
              <w:rPr>
                <w:rFonts w:ascii="Arial" w:hAnsi="Arial" w:cs="Arial"/>
                <w:sz w:val="20"/>
                <w:szCs w:val="20"/>
              </w:rPr>
              <w:t>Obrestne mere (dvig za 100 baznih točk)</w:t>
            </w:r>
          </w:p>
        </w:tc>
        <w:tc>
          <w:tcPr>
            <w:tcW w:w="3045" w:type="dxa"/>
            <w:tcBorders>
              <w:top w:val="nil"/>
              <w:left w:val="nil"/>
              <w:bottom w:val="single" w:sz="4" w:space="0" w:color="auto"/>
              <w:right w:val="nil"/>
            </w:tcBorders>
            <w:shd w:val="clear" w:color="auto" w:fill="auto"/>
            <w:noWrap/>
            <w:vAlign w:val="bottom"/>
            <w:hideMark/>
          </w:tcPr>
          <w:p w14:paraId="4E03FB38" w14:textId="77777777" w:rsidR="008F3BC3" w:rsidRPr="00C63A85" w:rsidRDefault="008F3BC3" w:rsidP="0091436C">
            <w:pPr>
              <w:rPr>
                <w:rFonts w:ascii="Arial" w:hAnsi="Arial" w:cs="Arial"/>
                <w:sz w:val="20"/>
                <w:szCs w:val="20"/>
              </w:rPr>
            </w:pPr>
            <w:r w:rsidRPr="00C63A85">
              <w:rPr>
                <w:rFonts w:ascii="Arial" w:hAnsi="Arial" w:cs="Arial"/>
                <w:sz w:val="20"/>
                <w:szCs w:val="20"/>
              </w:rPr>
              <w:t>Izdatki za obresti</w:t>
            </w:r>
          </w:p>
        </w:tc>
        <w:tc>
          <w:tcPr>
            <w:tcW w:w="758" w:type="dxa"/>
            <w:tcBorders>
              <w:top w:val="nil"/>
              <w:left w:val="nil"/>
              <w:bottom w:val="single" w:sz="4" w:space="0" w:color="auto"/>
              <w:right w:val="nil"/>
            </w:tcBorders>
            <w:shd w:val="clear" w:color="auto" w:fill="auto"/>
            <w:noWrap/>
            <w:vAlign w:val="center"/>
            <w:hideMark/>
          </w:tcPr>
          <w:p w14:paraId="09C97A13" w14:textId="77777777" w:rsidR="008F3BC3" w:rsidRPr="00C63A85" w:rsidRDefault="008F3BC3" w:rsidP="0091436C">
            <w:pPr>
              <w:rPr>
                <w:rFonts w:ascii="Arial" w:hAnsi="Arial" w:cs="Arial"/>
                <w:sz w:val="20"/>
                <w:szCs w:val="20"/>
              </w:rPr>
            </w:pPr>
            <w:r w:rsidRPr="00C63A85">
              <w:rPr>
                <w:rFonts w:ascii="Arial" w:hAnsi="Arial" w:cs="Arial"/>
                <w:sz w:val="20"/>
                <w:szCs w:val="20"/>
              </w:rPr>
              <w:t>0,70</w:t>
            </w:r>
          </w:p>
        </w:tc>
        <w:tc>
          <w:tcPr>
            <w:tcW w:w="816" w:type="dxa"/>
            <w:tcBorders>
              <w:top w:val="nil"/>
              <w:left w:val="nil"/>
              <w:bottom w:val="single" w:sz="4" w:space="0" w:color="auto"/>
              <w:right w:val="nil"/>
            </w:tcBorders>
            <w:shd w:val="clear" w:color="auto" w:fill="auto"/>
            <w:noWrap/>
            <w:vAlign w:val="center"/>
            <w:hideMark/>
          </w:tcPr>
          <w:p w14:paraId="115CEAF8" w14:textId="77777777" w:rsidR="008F3BC3" w:rsidRPr="00C63A85" w:rsidRDefault="008F3BC3" w:rsidP="0091436C">
            <w:pPr>
              <w:rPr>
                <w:rFonts w:ascii="Arial" w:hAnsi="Arial" w:cs="Arial"/>
                <w:sz w:val="20"/>
                <w:szCs w:val="20"/>
              </w:rPr>
            </w:pPr>
            <w:r w:rsidRPr="00C63A85">
              <w:rPr>
                <w:rFonts w:ascii="Arial" w:hAnsi="Arial" w:cs="Arial"/>
                <w:sz w:val="20"/>
                <w:szCs w:val="20"/>
              </w:rPr>
              <w:t>0,69</w:t>
            </w:r>
          </w:p>
        </w:tc>
        <w:tc>
          <w:tcPr>
            <w:tcW w:w="195" w:type="dxa"/>
            <w:tcBorders>
              <w:top w:val="nil"/>
              <w:left w:val="nil"/>
              <w:bottom w:val="single" w:sz="4" w:space="0" w:color="auto"/>
              <w:right w:val="single" w:sz="4" w:space="0" w:color="auto"/>
            </w:tcBorders>
            <w:shd w:val="clear" w:color="auto" w:fill="auto"/>
            <w:noWrap/>
            <w:vAlign w:val="bottom"/>
          </w:tcPr>
          <w:p w14:paraId="34AEEB2F" w14:textId="77777777" w:rsidR="008F3BC3" w:rsidRPr="00C63A85" w:rsidRDefault="008F3BC3" w:rsidP="0091436C">
            <w:pPr>
              <w:rPr>
                <w:rFonts w:ascii="Arial" w:hAnsi="Arial" w:cs="Arial"/>
                <w:sz w:val="20"/>
                <w:szCs w:val="20"/>
              </w:rPr>
            </w:pPr>
          </w:p>
        </w:tc>
      </w:tr>
    </w:tbl>
    <w:p w14:paraId="18CC38E2" w14:textId="3EA277A2" w:rsidR="008F3BC3" w:rsidRPr="00C63A85" w:rsidRDefault="008F3BC3" w:rsidP="00F225F0">
      <w:pPr>
        <w:spacing w:after="0"/>
        <w:rPr>
          <w:rFonts w:ascii="Calibri" w:hAnsi="Calibri" w:cs="Calibri"/>
        </w:rPr>
      </w:pPr>
      <w:r w:rsidRPr="00C63A85">
        <w:rPr>
          <w:rFonts w:ascii="Arial" w:hAnsi="Arial" w:cs="Arial"/>
          <w:sz w:val="20"/>
          <w:szCs w:val="20"/>
        </w:rPr>
        <w:t>Vir: UMAR Pomladanska napoved gospodarskih gibanj 2023; Ministrstvo za finance, lastni preračuni.</w:t>
      </w:r>
    </w:p>
    <w:p w14:paraId="270CC222" w14:textId="77777777" w:rsidR="00F225F0" w:rsidRDefault="00F225F0" w:rsidP="003C0620">
      <w:pPr>
        <w:jc w:val="both"/>
        <w:rPr>
          <w:rFonts w:ascii="Arial" w:hAnsi="Arial" w:cs="Arial"/>
        </w:rPr>
      </w:pPr>
    </w:p>
    <w:p w14:paraId="6C96A9AA" w14:textId="14BFFB9A" w:rsidR="008F3BC3" w:rsidRDefault="008F3BC3" w:rsidP="003C0620">
      <w:pPr>
        <w:jc w:val="both"/>
        <w:rPr>
          <w:rFonts w:ascii="Arial" w:hAnsi="Arial" w:cs="Arial"/>
        </w:rPr>
      </w:pPr>
      <w:r w:rsidRPr="00C63A85">
        <w:rPr>
          <w:rFonts w:ascii="Arial" w:hAnsi="Arial" w:cs="Arial"/>
        </w:rPr>
        <w:t xml:space="preserve">Tako kot pri vseh ocenah občutljivosti je potrebna previdna interpretacija rezultatov. Ocenjen proračunski vpliv predstavlja statični vpliv  hipotetične spremembe določenega ekonomskega dejavnika. Ocenjeni učinki so parcialne narave, saj ne zajemajo učinka interakcije predpostavljene spremembe ekonomskih dejavnikov z drugimi dejavniki.  Predstavljeni so torej rezultati analize tipa »kaj-če« in ne služijo kot napoved. </w:t>
      </w:r>
    </w:p>
    <w:p w14:paraId="1699B1E7" w14:textId="77777777" w:rsidR="00C85E00" w:rsidRPr="00801E63" w:rsidRDefault="00C85E00" w:rsidP="00C85E00">
      <w:pPr>
        <w:pStyle w:val="NormalWeb"/>
        <w:jc w:val="both"/>
        <w:rPr>
          <w:rFonts w:ascii="Arial" w:hAnsi="Arial" w:cs="Arial"/>
          <w:color w:val="000000"/>
          <w:sz w:val="22"/>
          <w:szCs w:val="22"/>
        </w:rPr>
      </w:pPr>
      <w:r w:rsidRPr="00801E63">
        <w:rPr>
          <w:rFonts w:ascii="Arial" w:hAnsi="Arial" w:cs="Arial"/>
          <w:color w:val="000000"/>
          <w:sz w:val="22"/>
          <w:szCs w:val="22"/>
        </w:rPr>
        <w:t xml:space="preserve">Na spodnji sliki so predstavljeni alternativni scenariji vpliva nihanja v gospodarski rasti na prihodke sektorja država. Scenariji prikazujejo pot prihodkov v primeru 0,5, 1 in 2 odstotne točke (o. t.) višje oziroma nižje nominalne gospodarske rasti od tiste predvidene v Jesenski </w:t>
      </w:r>
      <w:r w:rsidRPr="00801E63">
        <w:rPr>
          <w:rFonts w:ascii="Arial" w:hAnsi="Arial" w:cs="Arial"/>
          <w:color w:val="000000"/>
          <w:sz w:val="22"/>
          <w:szCs w:val="22"/>
        </w:rPr>
        <w:lastRenderedPageBreak/>
        <w:t>napovedi UMAR na letni ravni linearno v vsakem letu in tako temeljijo na projekcijah gibanja osnov javnofinančnih prihodkov.</w:t>
      </w:r>
    </w:p>
    <w:p w14:paraId="214AB5A0" w14:textId="77777777" w:rsidR="00C85E00" w:rsidRPr="00801E63" w:rsidRDefault="00C85E00" w:rsidP="00C85E00">
      <w:pPr>
        <w:pStyle w:val="NormalWeb"/>
        <w:jc w:val="both"/>
        <w:rPr>
          <w:rFonts w:ascii="Arial" w:hAnsi="Arial" w:cs="Arial"/>
          <w:color w:val="000000"/>
          <w:sz w:val="22"/>
          <w:szCs w:val="22"/>
        </w:rPr>
      </w:pPr>
      <w:r w:rsidRPr="00801E63">
        <w:rPr>
          <w:rFonts w:ascii="Arial" w:hAnsi="Arial" w:cs="Arial"/>
          <w:color w:val="000000"/>
          <w:sz w:val="22"/>
          <w:szCs w:val="22"/>
        </w:rPr>
        <w:t>Ob predpostavki nespremenjenih politik bi se, v primeru 2 o.t. višje nominalne rasti BDP od predvidene, prihodki sektorja država v letu 2023 v primerjavi z osnovno napovedjo izboljšali za 1,2 %, v primerjavi z osnovno napovedjo za leto 2024 pa za 2,5 %. V nasprotnem primeru 2 o. t. nižje rasti BDP bi prihodki sektorja država v letu 2023 dosegli 98,8 % prihodkov iz osnovne napovedi za to leto, v letu 2024 pa 97,7 %.</w:t>
      </w:r>
    </w:p>
    <w:p w14:paraId="4A267246" w14:textId="77777777" w:rsidR="00C85E00" w:rsidRPr="00801E63" w:rsidRDefault="00C85E00" w:rsidP="00C85E00">
      <w:pPr>
        <w:pStyle w:val="NormalWeb"/>
        <w:jc w:val="both"/>
        <w:rPr>
          <w:rFonts w:ascii="Arial" w:hAnsi="Arial" w:cs="Arial"/>
          <w:color w:val="000000"/>
          <w:sz w:val="22"/>
          <w:szCs w:val="22"/>
        </w:rPr>
      </w:pPr>
      <w:r w:rsidRPr="00801E63">
        <w:rPr>
          <w:rFonts w:ascii="Arial" w:hAnsi="Arial" w:cs="Arial"/>
          <w:color w:val="000000"/>
          <w:sz w:val="22"/>
          <w:szCs w:val="22"/>
        </w:rPr>
        <w:t>V primeru 1 o. t. nižje ali višje realizirane rasti BDP v tem in prihodnjem letu, bi bili prihodki sektorja država nižji oziroma višji za 0,6 % in 1,2 %. V primeru zgolj 0,5 o. t. nižje ali višje rasti v tem in prihodnjih dveh letih bi bili prihodki nižji oziroma višji za 0,3 % oz. 0,6 %.</w:t>
      </w:r>
    </w:p>
    <w:p w14:paraId="3FFAB548" w14:textId="30854F83" w:rsidR="00C85E00" w:rsidRPr="00C85E00" w:rsidRDefault="00C85E00" w:rsidP="00C85E00">
      <w:pPr>
        <w:pStyle w:val="Caption"/>
        <w:keepNext/>
        <w:spacing w:before="0" w:after="0"/>
        <w:ind w:left="0" w:firstLine="0"/>
        <w:jc w:val="left"/>
        <w:rPr>
          <w:rFonts w:ascii="Arial" w:hAnsi="Arial" w:cs="Arial"/>
          <w:b w:val="0"/>
          <w:bCs/>
          <w:i w:val="0"/>
          <w:iCs/>
          <w:sz w:val="22"/>
          <w:szCs w:val="22"/>
        </w:rPr>
      </w:pPr>
      <w:r w:rsidRPr="00C85E00">
        <w:rPr>
          <w:rFonts w:ascii="Arial" w:hAnsi="Arial" w:cs="Arial"/>
          <w:b w:val="0"/>
          <w:bCs/>
          <w:i w:val="0"/>
          <w:sz w:val="22"/>
          <w:szCs w:val="22"/>
        </w:rPr>
        <w:t xml:space="preserve">Slika </w:t>
      </w:r>
      <w:r w:rsidRPr="00C85E00">
        <w:rPr>
          <w:rFonts w:ascii="Arial" w:hAnsi="Arial" w:cs="Arial"/>
          <w:b w:val="0"/>
          <w:bCs/>
          <w:i w:val="0"/>
          <w:iCs/>
          <w:sz w:val="22"/>
          <w:szCs w:val="22"/>
        </w:rPr>
        <w:fldChar w:fldCharType="begin"/>
      </w:r>
      <w:r w:rsidRPr="00C85E00">
        <w:rPr>
          <w:rFonts w:ascii="Arial" w:hAnsi="Arial" w:cs="Arial"/>
          <w:b w:val="0"/>
          <w:bCs/>
          <w:i w:val="0"/>
          <w:sz w:val="22"/>
          <w:szCs w:val="22"/>
        </w:rPr>
        <w:instrText xml:space="preserve"> SEQ Slika \* ARABIC </w:instrText>
      </w:r>
      <w:r w:rsidRPr="00C85E00">
        <w:rPr>
          <w:rFonts w:ascii="Arial" w:hAnsi="Arial" w:cs="Arial"/>
          <w:b w:val="0"/>
          <w:bCs/>
          <w:i w:val="0"/>
          <w:iCs/>
          <w:sz w:val="22"/>
          <w:szCs w:val="22"/>
        </w:rPr>
        <w:fldChar w:fldCharType="separate"/>
      </w:r>
      <w:r w:rsidR="0032268A">
        <w:rPr>
          <w:rFonts w:ascii="Arial" w:hAnsi="Arial" w:cs="Arial"/>
          <w:b w:val="0"/>
          <w:bCs/>
          <w:i w:val="0"/>
          <w:noProof/>
          <w:sz w:val="22"/>
          <w:szCs w:val="22"/>
        </w:rPr>
        <w:t>17</w:t>
      </w:r>
      <w:r w:rsidRPr="00C85E00">
        <w:rPr>
          <w:rFonts w:ascii="Arial" w:hAnsi="Arial" w:cs="Arial"/>
          <w:b w:val="0"/>
          <w:bCs/>
          <w:i w:val="0"/>
          <w:iCs/>
          <w:sz w:val="22"/>
          <w:szCs w:val="22"/>
        </w:rPr>
        <w:fldChar w:fldCharType="end"/>
      </w:r>
      <w:r w:rsidRPr="00C85E00">
        <w:rPr>
          <w:rFonts w:ascii="Arial" w:hAnsi="Arial" w:cs="Arial"/>
          <w:b w:val="0"/>
          <w:bCs/>
          <w:i w:val="0"/>
          <w:sz w:val="22"/>
          <w:szCs w:val="22"/>
        </w:rPr>
        <w:t>: Vpliv nihanja gospodarske rasti na prihodke sektorja država</w:t>
      </w:r>
    </w:p>
    <w:p w14:paraId="10095A6F" w14:textId="77777777" w:rsidR="00C85E00" w:rsidRDefault="00C85E00" w:rsidP="00C85E00">
      <w:pPr>
        <w:pStyle w:val="NormalWeb"/>
        <w:spacing w:before="0" w:beforeAutospacing="0" w:after="0" w:afterAutospacing="0"/>
        <w:rPr>
          <w:color w:val="000000"/>
          <w:sz w:val="27"/>
          <w:szCs w:val="27"/>
        </w:rPr>
      </w:pPr>
      <w:r>
        <w:rPr>
          <w:noProof/>
        </w:rPr>
        <w:drawing>
          <wp:inline distT="0" distB="0" distL="0" distR="0" wp14:anchorId="753DC981" wp14:editId="5A0E0FE7">
            <wp:extent cx="5346652" cy="3571336"/>
            <wp:effectExtent l="0" t="0" r="6985" b="0"/>
            <wp:docPr id="15" name="Chart 15">
              <a:extLst xmlns:a="http://schemas.openxmlformats.org/drawingml/2006/main">
                <a:ext uri="{FF2B5EF4-FFF2-40B4-BE49-F238E27FC236}">
                  <a16:creationId xmlns:a16="http://schemas.microsoft.com/office/drawing/2014/main" id="{A3C67DC3-1F02-487C-B733-C39E98FBFDC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51DF0E8B" w14:textId="3B642518" w:rsidR="00C85E00" w:rsidRPr="00C85E00" w:rsidRDefault="00C85E00" w:rsidP="00C85E00">
      <w:pPr>
        <w:rPr>
          <w:rFonts w:ascii="Arial" w:hAnsi="Arial" w:cs="Arial"/>
          <w:sz w:val="20"/>
          <w:szCs w:val="20"/>
        </w:rPr>
      </w:pPr>
      <w:r w:rsidRPr="00C85E00">
        <w:rPr>
          <w:rFonts w:ascii="Arial" w:hAnsi="Arial" w:cs="Arial"/>
          <w:sz w:val="20"/>
          <w:szCs w:val="20"/>
        </w:rPr>
        <w:t>Vir: Ministrstvo za finance, lastni izračuni.</w:t>
      </w:r>
    </w:p>
    <w:p w14:paraId="56850C02" w14:textId="77777777" w:rsidR="00CB2127" w:rsidRPr="00F97F17" w:rsidRDefault="00CB2127" w:rsidP="00B52B02">
      <w:pPr>
        <w:jc w:val="both"/>
        <w:rPr>
          <w:rFonts w:ascii="Arial" w:hAnsi="Arial" w:cs="Arial"/>
          <w:bCs/>
        </w:rPr>
      </w:pPr>
    </w:p>
    <w:p w14:paraId="713E4051" w14:textId="006D81F8" w:rsidR="0080489B" w:rsidRPr="00B57B42" w:rsidRDefault="008C18A9" w:rsidP="00B57B42">
      <w:pPr>
        <w:pStyle w:val="Heading1"/>
        <w:rPr>
          <w:sz w:val="28"/>
          <w:szCs w:val="40"/>
        </w:rPr>
      </w:pPr>
      <w:bookmarkStart w:id="17" w:name="_Toc147494522"/>
      <w:r w:rsidRPr="00B57B42">
        <w:rPr>
          <w:sz w:val="28"/>
          <w:szCs w:val="36"/>
        </w:rPr>
        <w:t>4 PRIHODKI IN IZDATKI SEKTORJA DRŽAVA 2023 - 2024</w:t>
      </w:r>
      <w:bookmarkEnd w:id="17"/>
      <w:r w:rsidRPr="00B57B42">
        <w:rPr>
          <w:sz w:val="28"/>
          <w:szCs w:val="36"/>
        </w:rPr>
        <w:tab/>
      </w:r>
    </w:p>
    <w:p w14:paraId="5AEBB793" w14:textId="77777777" w:rsidR="00ED1BDA" w:rsidRPr="00BA2FF8" w:rsidRDefault="00ED1BDA" w:rsidP="00ED1BDA">
      <w:pPr>
        <w:spacing w:before="240" w:after="240" w:line="288" w:lineRule="auto"/>
        <w:jc w:val="both"/>
        <w:rPr>
          <w:rFonts w:ascii="Arial" w:hAnsi="Arial" w:cs="Arial"/>
          <w:b/>
          <w:bCs/>
          <w:szCs w:val="24"/>
          <w:u w:val="single"/>
        </w:rPr>
      </w:pPr>
      <w:bookmarkStart w:id="18" w:name="_Hlk71277199"/>
      <w:bookmarkStart w:id="19" w:name="_Hlk71274212"/>
      <w:r w:rsidRPr="00BA2FF8">
        <w:rPr>
          <w:rFonts w:ascii="Arial" w:hAnsi="Arial" w:cs="Arial"/>
          <w:b/>
          <w:bCs/>
          <w:szCs w:val="24"/>
          <w:u w:val="single"/>
        </w:rPr>
        <w:t>Prihodki sektorja država</w:t>
      </w:r>
    </w:p>
    <w:p w14:paraId="1FEE7532" w14:textId="289F8211" w:rsidR="00ED1BDA" w:rsidRPr="001937A0" w:rsidRDefault="00ED1BDA" w:rsidP="00ED1BDA">
      <w:pPr>
        <w:jc w:val="both"/>
        <w:rPr>
          <w:rFonts w:ascii="Arial" w:hAnsi="Arial" w:cs="Arial"/>
        </w:rPr>
      </w:pPr>
      <w:r w:rsidRPr="00912FF7">
        <w:rPr>
          <w:rFonts w:ascii="Arial" w:hAnsi="Arial" w:cs="Arial"/>
        </w:rPr>
        <w:t xml:space="preserve">Ugodne razmere na trgu dela in rast zasebne potrošnje se bo odrazila v rasti prihodkov sektorja država v letih 2023 in 2024. </w:t>
      </w:r>
      <w:r w:rsidRPr="00B069ED">
        <w:rPr>
          <w:rFonts w:ascii="Arial" w:hAnsi="Arial" w:cs="Arial"/>
          <w:szCs w:val="24"/>
        </w:rPr>
        <w:t>S sprejeto novelo ZDoh-2AA, ki je začela veljati s 1. 1. 2023 smo pripomogli h krepitvi in izboljšanju javnofinančne slike in tako javnofinančne prihodke za leto 2023 zvišali za okoli 70 mio evrov glede na predvidene finančne posledice za leto 2023. Namreč</w:t>
      </w:r>
      <w:r w:rsidR="00541721">
        <w:rPr>
          <w:rFonts w:ascii="Arial" w:hAnsi="Arial" w:cs="Arial"/>
          <w:szCs w:val="24"/>
        </w:rPr>
        <w:t>,</w:t>
      </w:r>
      <w:r w:rsidRPr="00B069ED">
        <w:rPr>
          <w:rFonts w:ascii="Arial" w:hAnsi="Arial" w:cs="Arial"/>
          <w:szCs w:val="24"/>
        </w:rPr>
        <w:t xml:space="preserve"> v kolikor do navedene spremembe ne bi prišlo, bi se</w:t>
      </w:r>
      <w:r w:rsidR="00CE7963">
        <w:rPr>
          <w:rFonts w:ascii="Arial" w:hAnsi="Arial" w:cs="Arial"/>
          <w:szCs w:val="24"/>
        </w:rPr>
        <w:t xml:space="preserve"> </w:t>
      </w:r>
      <w:r w:rsidRPr="00B069ED">
        <w:rPr>
          <w:rFonts w:ascii="Arial" w:hAnsi="Arial" w:cs="Arial"/>
          <w:szCs w:val="24"/>
        </w:rPr>
        <w:t>splošna olajšava v tem letu zviša</w:t>
      </w:r>
      <w:r w:rsidR="00CE7963">
        <w:rPr>
          <w:rFonts w:ascii="Arial" w:hAnsi="Arial" w:cs="Arial"/>
          <w:szCs w:val="24"/>
        </w:rPr>
        <w:t>l</w:t>
      </w:r>
      <w:r w:rsidR="00046336">
        <w:rPr>
          <w:rFonts w:ascii="Arial" w:hAnsi="Arial" w:cs="Arial"/>
          <w:szCs w:val="24"/>
        </w:rPr>
        <w:t xml:space="preserve"> </w:t>
      </w:r>
      <w:r w:rsidR="00CE7963">
        <w:rPr>
          <w:rFonts w:ascii="Arial" w:hAnsi="Arial" w:cs="Arial"/>
          <w:szCs w:val="24"/>
        </w:rPr>
        <w:t>s</w:t>
      </w:r>
      <w:r w:rsidR="00541721" w:rsidRPr="00B069ED">
        <w:rPr>
          <w:rFonts w:ascii="Arial" w:hAnsi="Arial" w:cs="Arial"/>
          <w:szCs w:val="24"/>
        </w:rPr>
        <w:t xml:space="preserve"> </w:t>
      </w:r>
      <w:r w:rsidRPr="00B069ED">
        <w:rPr>
          <w:rFonts w:ascii="Arial" w:hAnsi="Arial" w:cs="Arial"/>
          <w:szCs w:val="24"/>
        </w:rPr>
        <w:t>4.500 evrov na 5.500 evrov, kar predstavlja seveda tudi največji učinek med sprejetimi rešitvami. Prav tako</w:t>
      </w:r>
      <w:r w:rsidR="00CE7963">
        <w:rPr>
          <w:rFonts w:ascii="Arial" w:hAnsi="Arial" w:cs="Arial"/>
          <w:szCs w:val="24"/>
        </w:rPr>
        <w:t xml:space="preserve"> </w:t>
      </w:r>
      <w:r w:rsidRPr="00B069ED">
        <w:rPr>
          <w:rFonts w:ascii="Arial" w:hAnsi="Arial" w:cs="Arial"/>
          <w:szCs w:val="24"/>
        </w:rPr>
        <w:t>je ta novela dohodnine prinesla tudi rešitve, na podlagi katerih ne bo prišlo do dodatnega znižanja odmerjene dohodnine zaradi postopnega zviševanja splošne olajšave v letih 2024 in 2025.</w:t>
      </w:r>
    </w:p>
    <w:p w14:paraId="1A12BD22" w14:textId="1D94D977" w:rsidR="00ED1BDA" w:rsidRDefault="00ED1BDA" w:rsidP="00ED1BDA">
      <w:pPr>
        <w:spacing w:after="0"/>
        <w:jc w:val="both"/>
        <w:rPr>
          <w:rFonts w:ascii="Arial" w:hAnsi="Arial" w:cs="Arial"/>
        </w:rPr>
      </w:pPr>
      <w:r w:rsidRPr="003C0620">
        <w:rPr>
          <w:rFonts w:ascii="Arial" w:hAnsi="Arial" w:cs="Arial"/>
        </w:rPr>
        <w:lastRenderedPageBreak/>
        <w:t>Prihodki sektorja država bodo v letu 2023 znašali 27.691 milijonov evrov, kar je za 10 % ali dobre 2,5 milijarde evrov več kot v letu 2022. K rasti bodo največ prispevali višji prihodki od davkov in socialnih prispevkov. Na strani davčnih prihodkov bodo največji prispevek k rasti imeli višji prihodki od davkov na dohodke in premoženje, in sicer 10 % ali okoli 460 milijonov evrov. Prihodki od dohodnine se bodo povečali za 150 milijonov evrov ali 5,1 %, prihodki iz naslova davka na dohodke pravnih oseb pa bodo višji za 130 milijonov evrov ali 10 %. Na rast pa bodo vplivali tudi prihodki iz naslova solidarnostnega prispevka za pomoč po poplavah (160 milijonov evrov), ki bodo sicer plačani v letu 2024 za leto 2023, zato se bo prispevek obračunsko knjižil v tekočem letu. Rast prihodkov od davkov na proizvodnjo in uvoz bo znašala  5,6 % ali 425 milijonov evrov tudi kot posledica visoke rasti potrošnje in še vedno visoke ravni inflacije v letu 2023. Prihodki iz naslova davka na dodano vrednost bodo v letu 2023 tako višji za 355 milijonov evrov ali 7,6 %, prihodki od trošarin pa za dobrih 55 milijonov evrov ali 3,6 %. Nadaljevala se bo tudi rast prihodkov iz naslova socialnih prispevkov, in sicer za dobrih 870 milijonov evrov ali 9,4 % glede na lani. Rast bo predvsem posledica ugodnih razmer na trgu dela in visoke stopnje zaposlenosti.</w:t>
      </w:r>
      <w:r w:rsidR="00CE7963">
        <w:rPr>
          <w:rFonts w:ascii="Arial" w:hAnsi="Arial" w:cs="Arial"/>
        </w:rPr>
        <w:t xml:space="preserve"> </w:t>
      </w:r>
      <w:r w:rsidRPr="003C0620">
        <w:rPr>
          <w:rFonts w:ascii="Arial" w:hAnsi="Arial" w:cs="Arial"/>
        </w:rPr>
        <w:t>Med ostalimi prihodkovnimi kategorijami bodo opazno rasli prihodki iz naslova kapitalskih transferjev (za dobrih 340 milijonov evrov ali 71 %), predvsem na račun višjih prihodkov iz naslova EU sredstev, tako zaradi zaključka EU finančne perspektive 2014-2020, kot tudi prihodkov Sklada za okrevanje in odpornost. Opazno bodo rasli tudi prihodki iz naslova obresti, in sicer za 106 milijonov evrov ali slabih 90 %, predvsem kot posledica višanja obrestnih mer v evro območju in aktivnega upravljanja z denarnimi sredstvi države.</w:t>
      </w:r>
    </w:p>
    <w:p w14:paraId="5BEE7D25" w14:textId="77777777" w:rsidR="00ED1BDA" w:rsidRPr="00C76115" w:rsidRDefault="00ED1BDA" w:rsidP="00ED1BDA">
      <w:pPr>
        <w:spacing w:after="0"/>
        <w:jc w:val="both"/>
        <w:rPr>
          <w:rFonts w:ascii="Arial" w:hAnsi="Arial" w:cs="Arial"/>
        </w:rPr>
      </w:pPr>
    </w:p>
    <w:p w14:paraId="6743CC55" w14:textId="30041AC3" w:rsidR="00ED1BDA" w:rsidRPr="00C76115" w:rsidRDefault="00ED1BDA" w:rsidP="00ED1BDA">
      <w:pPr>
        <w:jc w:val="both"/>
        <w:rPr>
          <w:rFonts w:ascii="Arial" w:hAnsi="Arial" w:cs="Arial"/>
        </w:rPr>
      </w:pPr>
      <w:r w:rsidRPr="00C76115">
        <w:rPr>
          <w:rFonts w:ascii="Arial" w:hAnsi="Arial" w:cs="Arial"/>
        </w:rPr>
        <w:t>Rast prihodkov se bo v letu 2024 nekoliko umirila, vendar bo še vedno znašala 1,9 milijarde evrov ali 6,9 % glede na preteklo leto, predvsem na račun prihodkov od davkov in socialnih prispevkov. Davčni prihodki bodo višji predvsem na račun davkov na proizvodnjo in uvoz (za okoli 540 milijonov evrov ali 6,7 %), kot posledica rasti prihodkov od davka na dodano vrednost (za dobrih 300 milijonov evrov ali 6 %) in prihodkov iz naslova dajatev za onesnaževanje zraka s CO</w:t>
      </w:r>
      <w:r w:rsidRPr="00C76115">
        <w:rPr>
          <w:rFonts w:ascii="Arial" w:hAnsi="Arial" w:cs="Arial"/>
          <w:vertAlign w:val="superscript"/>
        </w:rPr>
        <w:t>2</w:t>
      </w:r>
      <w:r w:rsidRPr="00C76115">
        <w:rPr>
          <w:rFonts w:ascii="Arial" w:hAnsi="Arial" w:cs="Arial"/>
        </w:rPr>
        <w:t xml:space="preserve"> izpusti, ki se bodo v letu 2024 ponovno plačevali v celotnem obsegu, v letu 2023 pa so bili del leta oproščeni plačevanja kot ukrep za blažitev posledic energetske krize. Prihodki iz naslova trošarin bodo ostali na ravni preteklega leta. Rast davkov na dohodke in premoženje bo v letu 2024 znašala slabih 400 milijonov evrov ali 7,8 %. Rast prihodkov od dohodnine bo znašala dobrih 310 milijonov evrov ali 10 %, rast prihodkov od davka na dohodke pravnih oseb pa dobrih 65 milijonov evrov ali 4,6 %. Tudi v letu 2024 bodo prihodki davkov na dohodke in premoženje višji za solidarnostni dodatek v višini 160 milijonov evrov, ki bo za to leto izplačan v letu 2025. V letu 2024</w:t>
      </w:r>
      <w:r w:rsidR="00CE7963">
        <w:rPr>
          <w:rFonts w:ascii="Arial" w:hAnsi="Arial" w:cs="Arial"/>
        </w:rPr>
        <w:t xml:space="preserve"> </w:t>
      </w:r>
      <w:r w:rsidRPr="00C76115">
        <w:rPr>
          <w:rFonts w:ascii="Arial" w:hAnsi="Arial" w:cs="Arial"/>
        </w:rPr>
        <w:t>bo še posebej izrazita rast prihodkov iz naslova socialnih prispevkov. Ti bodo višji za 1.234 milijonov evrov ali 12,1 %, tako zaradi še vedno ugodnih razmer na trgu dela, kot tudi prenosa prispevka za dodatno zdravstveno zavarovanje med prispevke za obvezno zdravstveno zavarovanje v letu 2024. Učinek višjih prihodkov iz tega naslova bo znašal okoli 600 milijonov evrov. Med ostalimi dohodkovnimi kategorijami bodo opazno rasli prihodki iz naslova drugih tekočih transferjev (za okoli 260 milijonov evrov ali 37</w:t>
      </w:r>
      <w:r w:rsidR="00CE7963">
        <w:rPr>
          <w:rFonts w:ascii="Arial" w:hAnsi="Arial" w:cs="Arial"/>
        </w:rPr>
        <w:t> </w:t>
      </w:r>
      <w:r w:rsidRPr="00C76115">
        <w:rPr>
          <w:rFonts w:ascii="Arial" w:hAnsi="Arial" w:cs="Arial"/>
        </w:rPr>
        <w:t>%), predvsem na račun izplačil Evropskega solidarnostnega sklada za pomoč pri poplavah avgusta 2023. Zaradi zaključka pretekle EU finančne perspektive in začetka črpanje nove, bodo nekoliko nižji prihodki od kapitalskih transferjev (za 112 milijonov evrov ali okoli 14 %), nižji pa bodo tudi prihodki od obresti (za okoli 40 milijonov evrov ali slabih 17 %). V letu 2024 bo rast prihodkov za 1,5 odstotne točke višja od rasti odhodkov.</w:t>
      </w:r>
    </w:p>
    <w:p w14:paraId="2F02B531" w14:textId="77777777" w:rsidR="00ED1BDA" w:rsidRPr="002D75D6" w:rsidRDefault="00ED1BDA" w:rsidP="00ED1BDA">
      <w:pPr>
        <w:jc w:val="both"/>
        <w:rPr>
          <w:rFonts w:ascii="Arial" w:hAnsi="Arial" w:cs="Arial"/>
          <w:szCs w:val="24"/>
        </w:rPr>
      </w:pPr>
    </w:p>
    <w:p w14:paraId="04BF3CDD" w14:textId="77777777" w:rsidR="00C85E00" w:rsidRDefault="00C85E00" w:rsidP="00ED1BDA">
      <w:pPr>
        <w:spacing w:before="240" w:after="240" w:line="288" w:lineRule="auto"/>
        <w:jc w:val="both"/>
        <w:rPr>
          <w:rFonts w:ascii="Arial" w:hAnsi="Arial" w:cs="Arial"/>
          <w:b/>
          <w:bCs/>
          <w:szCs w:val="24"/>
          <w:u w:val="single"/>
        </w:rPr>
      </w:pPr>
    </w:p>
    <w:p w14:paraId="780473F4" w14:textId="77777777" w:rsidR="00C85E00" w:rsidRDefault="00C85E00" w:rsidP="00ED1BDA">
      <w:pPr>
        <w:spacing w:before="240" w:after="240" w:line="288" w:lineRule="auto"/>
        <w:jc w:val="both"/>
        <w:rPr>
          <w:rFonts w:ascii="Arial" w:hAnsi="Arial" w:cs="Arial"/>
          <w:b/>
          <w:bCs/>
          <w:szCs w:val="24"/>
          <w:u w:val="single"/>
        </w:rPr>
      </w:pPr>
    </w:p>
    <w:p w14:paraId="15EDEA40" w14:textId="378EB00B" w:rsidR="00ED1BDA" w:rsidRDefault="00ED1BDA" w:rsidP="00ED1BDA">
      <w:pPr>
        <w:spacing w:before="240" w:after="240" w:line="288" w:lineRule="auto"/>
        <w:jc w:val="both"/>
        <w:rPr>
          <w:rFonts w:ascii="Arial" w:eastAsia="Times New Roman" w:hAnsi="Arial" w:cs="Arial"/>
        </w:rPr>
      </w:pPr>
      <w:r w:rsidRPr="002F2B9E">
        <w:rPr>
          <w:rFonts w:ascii="Arial" w:hAnsi="Arial" w:cs="Arial"/>
          <w:b/>
          <w:bCs/>
          <w:szCs w:val="24"/>
          <w:u w:val="single"/>
        </w:rPr>
        <w:lastRenderedPageBreak/>
        <w:t>Izdatki sektorja država</w:t>
      </w:r>
    </w:p>
    <w:p w14:paraId="63405DBC" w14:textId="77777777" w:rsidR="00ED1BDA" w:rsidRDefault="00ED1BDA" w:rsidP="00ED1BDA">
      <w:pPr>
        <w:spacing w:after="0"/>
        <w:jc w:val="both"/>
        <w:rPr>
          <w:rFonts w:ascii="Arial" w:eastAsia="Times New Roman" w:hAnsi="Arial" w:cs="Times New Roman"/>
          <w:szCs w:val="28"/>
        </w:rPr>
      </w:pPr>
      <w:r w:rsidRPr="00C76115">
        <w:rPr>
          <w:rFonts w:ascii="Arial" w:eastAsia="Times New Roman" w:hAnsi="Arial" w:cs="Times New Roman"/>
          <w:szCs w:val="28"/>
        </w:rPr>
        <w:t xml:space="preserve">Izdatki sektorja država bodo v letu 2023 znašali 30,5 milijarde evrov, kar je za 3,6 milijarde evrov ali 13,4 % več kot v letu 2022. Rast izdatkov bo v veliki meri posledica izrednih dogodkov v letu 2023, predvsem ukrepov za blaženje draginje in energetske krize, odprave posledic poplav v avgustu 2023 ter v manjšem obsegu ukrepov COVID19, ki se z letom 2023 iztečejo. V letu 2023 se bodo tako najbolj povečali izdatki države za investicije (za 880 milijonov evrov ali 28,5 %), tako na račun investicij neposrednih proračunskih uporabnikov (državnega proračuna in občin), kot tudi drugih enot sektorja država. Rast investicij bo tudi odraz zaključevanja EU finančne perspektive 2014-2020 in sredstev Sklada za okrevanje in odpornost, na njo pa bodo vplivali tudi izdatki za investicije, ki so posledica odprave škode po poplavah v avgustu 2023. </w:t>
      </w:r>
    </w:p>
    <w:p w14:paraId="3758CFE3" w14:textId="77777777" w:rsidR="00ED1BDA" w:rsidRDefault="00ED1BDA" w:rsidP="00ED1BDA">
      <w:pPr>
        <w:spacing w:after="0"/>
        <w:jc w:val="both"/>
        <w:rPr>
          <w:rFonts w:ascii="Arial" w:eastAsia="Times New Roman" w:hAnsi="Arial" w:cs="Times New Roman"/>
          <w:szCs w:val="28"/>
        </w:rPr>
      </w:pPr>
    </w:p>
    <w:p w14:paraId="652C0217" w14:textId="78C1FBE3" w:rsidR="00ED1BDA" w:rsidRPr="00C76115" w:rsidRDefault="00ED1BDA" w:rsidP="00ED1BDA">
      <w:pPr>
        <w:spacing w:after="0"/>
        <w:jc w:val="both"/>
        <w:rPr>
          <w:rFonts w:ascii="Arial" w:eastAsia="Times New Roman" w:hAnsi="Arial" w:cs="Times New Roman"/>
          <w:szCs w:val="28"/>
        </w:rPr>
      </w:pPr>
      <w:r w:rsidRPr="00C76115">
        <w:rPr>
          <w:rFonts w:ascii="Arial" w:eastAsia="Times New Roman" w:hAnsi="Arial" w:cs="Times New Roman"/>
          <w:szCs w:val="28"/>
        </w:rPr>
        <w:t>Rast izdatkov za sredstva za zaposlene bo znašala 11 % ali slabih 715 milijonov evrov, tudi kot posledica uskladitve plač javnih uslužbencev v aprilu 2023 za 1 plačni razred oz. 4 %. Izdatki za subvencije se bodo leta 2023 povečali za 615 milijonov evrov ali okoli 90 % glede na leto prej, kar bo predvsem posledica pomoči države podjetjem zaradi energetske krize in draginje. Kapitalski transferji se bodo leta 2023 povečali za slabih 610 milijonov evrov ali 288</w:t>
      </w:r>
      <w:r w:rsidR="00541721">
        <w:rPr>
          <w:rFonts w:ascii="Arial" w:eastAsia="Times New Roman" w:hAnsi="Arial" w:cs="Times New Roman"/>
          <w:szCs w:val="28"/>
        </w:rPr>
        <w:t> </w:t>
      </w:r>
      <w:r w:rsidRPr="00C76115">
        <w:rPr>
          <w:rFonts w:ascii="Arial" w:eastAsia="Times New Roman" w:hAnsi="Arial" w:cs="Times New Roman"/>
          <w:szCs w:val="28"/>
        </w:rPr>
        <w:t>%, predvsem na račun ukrepov vlade za odpravo posledic poplav in porab drugih enot sektorja država. Rast izdatkov za socialna nadomestila bo v letu 2023 znašala 4,6 % ali slabih 500 milijonov evrov. Rast socialnih transferjev v denarju bo znašala 336 milijonov evrov ali 3,7</w:t>
      </w:r>
      <w:r w:rsidR="00541721">
        <w:rPr>
          <w:rFonts w:ascii="Arial" w:eastAsia="Times New Roman" w:hAnsi="Arial" w:cs="Times New Roman"/>
          <w:szCs w:val="28"/>
        </w:rPr>
        <w:t> </w:t>
      </w:r>
      <w:r w:rsidRPr="00C76115">
        <w:rPr>
          <w:rFonts w:ascii="Arial" w:eastAsia="Times New Roman" w:hAnsi="Arial" w:cs="Times New Roman"/>
          <w:szCs w:val="28"/>
        </w:rPr>
        <w:t>%, predvsem na račun uskladitve pokojnin, izdatki za socialne transferje v naravi pa bodo višji za dobrih 150 milijonov evrov ali 11 %. Izdatki za obresti sektorja država se bodo v letu 2023 povečali za 15 % na 734 milijonov evrov predvsem kot posledica višanja stroškov novega zadolževanja.</w:t>
      </w:r>
    </w:p>
    <w:p w14:paraId="64592942" w14:textId="77777777" w:rsidR="00ED1BDA" w:rsidRPr="00C76115" w:rsidRDefault="00ED1BDA" w:rsidP="00ED1BDA">
      <w:pPr>
        <w:spacing w:after="0"/>
        <w:jc w:val="both"/>
        <w:rPr>
          <w:rFonts w:ascii="Arial" w:eastAsia="Times New Roman" w:hAnsi="Arial" w:cs="Times New Roman"/>
          <w:szCs w:val="28"/>
        </w:rPr>
      </w:pPr>
    </w:p>
    <w:p w14:paraId="4B90C150" w14:textId="5117291A" w:rsidR="00ED1BDA" w:rsidRDefault="00ED1BDA" w:rsidP="00ED1BDA">
      <w:pPr>
        <w:spacing w:after="0"/>
        <w:jc w:val="both"/>
        <w:rPr>
          <w:rFonts w:ascii="Arial" w:eastAsia="Times New Roman" w:hAnsi="Arial" w:cs="Times New Roman"/>
          <w:szCs w:val="28"/>
        </w:rPr>
      </w:pPr>
      <w:r w:rsidRPr="00C76115">
        <w:rPr>
          <w:rFonts w:ascii="Arial" w:eastAsia="Times New Roman" w:hAnsi="Arial" w:cs="Times New Roman"/>
          <w:szCs w:val="28"/>
        </w:rPr>
        <w:t xml:space="preserve">Rast izdatkov sektorja država se bo v letu 2024 nekoliko umirila in bo zaostala za rastjo prihodkov. Znašala bo 5,4 % ali slabe 1,7 milijarde evrov. Najbolj se bodo povečali izdatki za socialna nadomestila, in sicer za dobre 1,2 milijarde evrov ali 11 %. Rasli bodo izdatki za socialna nadomestila v naravi (za okoli 480 milijonov evrov ali 30 %), kot posledica prenosa dopolnilnega zdravstvenega zavarovanja med obvezno zavarovanje, kar bo odhodke povečalo za okoli 600 milijonov evrov. </w:t>
      </w:r>
      <w:r w:rsidR="00BF03F0">
        <w:rPr>
          <w:rFonts w:ascii="Arial" w:eastAsia="Times New Roman" w:hAnsi="Arial" w:cs="Times New Roman"/>
          <w:szCs w:val="28"/>
        </w:rPr>
        <w:t>Ob hkratnih prihodkih v enaki višini bo vpliv na saldo sektorja država nevtralen.</w:t>
      </w:r>
      <w:r w:rsidR="00BF03F0" w:rsidRPr="00C76115">
        <w:rPr>
          <w:rFonts w:ascii="Arial" w:eastAsia="Times New Roman" w:hAnsi="Arial" w:cs="Times New Roman"/>
          <w:szCs w:val="28"/>
        </w:rPr>
        <w:t xml:space="preserve"> </w:t>
      </w:r>
      <w:r w:rsidRPr="00C76115">
        <w:rPr>
          <w:rFonts w:ascii="Arial" w:eastAsia="Times New Roman" w:hAnsi="Arial" w:cs="Times New Roman"/>
          <w:szCs w:val="28"/>
        </w:rPr>
        <w:t>Izdatki za socialna nadomestila v denarju bodo višji za dobrih 740 milijonov evrov ali 7,8 %, predvsem kot posledica višjih izdatkov za pokojnine.</w:t>
      </w:r>
    </w:p>
    <w:p w14:paraId="0B54E8F7" w14:textId="77777777" w:rsidR="00ED1BDA" w:rsidRDefault="00ED1BDA" w:rsidP="00ED1BDA">
      <w:pPr>
        <w:spacing w:after="0"/>
        <w:jc w:val="both"/>
        <w:rPr>
          <w:rFonts w:ascii="Arial" w:eastAsia="Times New Roman" w:hAnsi="Arial" w:cs="Times New Roman"/>
          <w:szCs w:val="28"/>
        </w:rPr>
      </w:pPr>
    </w:p>
    <w:p w14:paraId="537A0978" w14:textId="6DBCE307" w:rsidR="00ED1BDA" w:rsidRPr="00C76115" w:rsidRDefault="00ED1BDA" w:rsidP="00ED1BDA">
      <w:pPr>
        <w:spacing w:after="0"/>
        <w:jc w:val="both"/>
        <w:rPr>
          <w:rFonts w:ascii="Arial" w:eastAsia="Times New Roman" w:hAnsi="Arial" w:cs="Times New Roman"/>
          <w:szCs w:val="28"/>
        </w:rPr>
      </w:pPr>
      <w:r w:rsidRPr="00C76115">
        <w:rPr>
          <w:rFonts w:ascii="Arial" w:eastAsia="Times New Roman" w:hAnsi="Arial" w:cs="Times New Roman"/>
          <w:szCs w:val="28"/>
        </w:rPr>
        <w:t>Rast izdatkov za investicije bo v letu 2024 znašala okoli 270 milijonov evrov ali 6,8 %, predvsem na račun dodatnih investicij zaradi avgustovskih poplav, rast pa bo nekoliko upočasnjena zaradi izteka pretekle finančne perspektive EU in začetka črpanja sredstev iz nove finančne perspektive. Izdatki za sredstva za zaposlene se bodo v letu 2024 povečali za okoli 380 milijonov evrov ali za 5,3 %, izdatki za subvencije pa bodo nižji za okoli 450 milijonov evrov ali 35 %, kar je predvsem posledica zapadanja ukrepov pomoči gospodarstvu iz naslova energetske krize. Za okoli četrtino bodo nižji tudi izdatki za kapitalske transferje, zmanjšanje pa bi bilo še večje, če ne bi vključevalo izdatkov države za odpravo posledic poplav. Rast izdatkov za obresti se bo v letu 2024 okrepila in znašala slabih 20 %.</w:t>
      </w:r>
    </w:p>
    <w:p w14:paraId="0BCA3436" w14:textId="77777777" w:rsidR="00ED1BDA" w:rsidRPr="00C76115" w:rsidRDefault="00ED1BDA" w:rsidP="00ED1BDA">
      <w:pPr>
        <w:spacing w:after="0"/>
        <w:jc w:val="both"/>
        <w:rPr>
          <w:rFonts w:ascii="Arial" w:eastAsia="Times New Roman" w:hAnsi="Arial" w:cs="Times New Roman"/>
          <w:szCs w:val="28"/>
        </w:rPr>
      </w:pPr>
    </w:p>
    <w:p w14:paraId="6741B982" w14:textId="252DE7C1" w:rsidR="00ED1BDA" w:rsidRPr="00C76115" w:rsidRDefault="00ED1BDA" w:rsidP="00ED1BDA">
      <w:pPr>
        <w:spacing w:after="0"/>
        <w:jc w:val="both"/>
        <w:rPr>
          <w:rFonts w:ascii="Arial" w:eastAsia="Times New Roman" w:hAnsi="Arial" w:cs="Times New Roman"/>
          <w:b/>
          <w:bCs/>
          <w:szCs w:val="28"/>
        </w:rPr>
      </w:pPr>
      <w:r w:rsidRPr="00C76115">
        <w:rPr>
          <w:rFonts w:ascii="Arial" w:eastAsia="Times New Roman" w:hAnsi="Arial" w:cs="Times New Roman"/>
          <w:b/>
          <w:bCs/>
          <w:szCs w:val="28"/>
        </w:rPr>
        <w:t>Opis glavnih izdatkov sektorja država v letu 2024</w:t>
      </w:r>
    </w:p>
    <w:p w14:paraId="5F768B6A" w14:textId="77777777" w:rsidR="00ED1BDA" w:rsidRPr="00C76115" w:rsidRDefault="00ED1BDA" w:rsidP="00ED1BDA">
      <w:pPr>
        <w:spacing w:after="0"/>
        <w:jc w:val="both"/>
        <w:rPr>
          <w:rFonts w:ascii="Arial" w:eastAsia="Times New Roman" w:hAnsi="Arial" w:cs="Times New Roman"/>
          <w:szCs w:val="28"/>
        </w:rPr>
      </w:pPr>
    </w:p>
    <w:p w14:paraId="61CF3D85" w14:textId="77777777" w:rsidR="00ED1BDA" w:rsidRPr="00C76115" w:rsidRDefault="00ED1BDA" w:rsidP="00ED1BDA">
      <w:pPr>
        <w:spacing w:after="0"/>
        <w:jc w:val="both"/>
        <w:rPr>
          <w:rFonts w:ascii="Arial" w:eastAsia="Times New Roman" w:hAnsi="Arial" w:cs="Times New Roman"/>
          <w:szCs w:val="28"/>
        </w:rPr>
      </w:pPr>
      <w:r w:rsidRPr="00C76115">
        <w:rPr>
          <w:rFonts w:ascii="Arial" w:eastAsia="Times New Roman" w:hAnsi="Arial" w:cs="Times New Roman"/>
          <w:szCs w:val="28"/>
        </w:rPr>
        <w:t>Sredstva za zaposlene</w:t>
      </w:r>
    </w:p>
    <w:p w14:paraId="6677F340" w14:textId="77777777" w:rsidR="00ED1BDA" w:rsidRPr="00C76115" w:rsidRDefault="00ED1BDA" w:rsidP="00ED1BDA">
      <w:pPr>
        <w:spacing w:after="0"/>
        <w:jc w:val="both"/>
        <w:rPr>
          <w:rFonts w:ascii="Arial" w:eastAsia="Times New Roman" w:hAnsi="Arial" w:cs="Times New Roman"/>
          <w:szCs w:val="28"/>
        </w:rPr>
      </w:pPr>
    </w:p>
    <w:p w14:paraId="22BBD996" w14:textId="77777777" w:rsidR="00ED1BDA" w:rsidRDefault="00ED1BDA" w:rsidP="00ED1BDA">
      <w:pPr>
        <w:jc w:val="both"/>
      </w:pPr>
      <w:r w:rsidRPr="00C76115">
        <w:rPr>
          <w:rFonts w:ascii="Arial" w:eastAsia="Times New Roman" w:hAnsi="Arial" w:cs="Times New Roman"/>
          <w:szCs w:val="28"/>
        </w:rPr>
        <w:t xml:space="preserve">Izdatki za sredstva za zaposlene se bodo v letu 2024 povečali za okoli 380 milijonov evrov ali 5,3 %. Rast bo posledica obstoječih obveznosti, kot so redna napredovanja ter prenos učinka </w:t>
      </w:r>
      <w:r w:rsidRPr="00C76115">
        <w:rPr>
          <w:rFonts w:ascii="Arial" w:eastAsia="Times New Roman" w:hAnsi="Arial" w:cs="Times New Roman"/>
          <w:szCs w:val="28"/>
        </w:rPr>
        <w:lastRenderedPageBreak/>
        <w:t xml:space="preserve">uvrstitev delovnih mest v višji plačni razred, ki je bila uveljavljena s prvim aprilom 2023. </w:t>
      </w:r>
      <w:r w:rsidRPr="002D75D6">
        <w:rPr>
          <w:rFonts w:ascii="Arial" w:eastAsia="Times New Roman" w:hAnsi="Arial" w:cs="Arial"/>
        </w:rPr>
        <w:t xml:space="preserve">Na področju plač in drugih stroškov dela prav v času priprave sprememb proračuna za leto 2024 in proračuna za leto 2025 (posledično Osnutka proračunskega načrta – sredstva za zaposlene) potekajo pogajanja med Vlado Republike Slovenije in sindikati javnega sektorja glede odprave plačnih nesorazmerij in prenove samega plačnega sistema. Realizacija navedenega bo zahtevala vložek sredstev, zato naj bi bila, tudi zaradi vpliva višjih javnofinančnih odhodkov na izpolnjevanje fiskalnih pravil, implementacija postopna skozi tri leta. Začetek oziroma prva tranša uveljavitve dogovorjenih rešitev glede odprave nesorazmerij in tudi reforme je bil prvotno predviden že v letu 2024, vendar je Slovenijo avgusta prizadela naravna nesreča, zaradi katere je potrebna </w:t>
      </w:r>
      <w:r w:rsidRPr="002D75D6">
        <w:rPr>
          <w:rFonts w:ascii="Arial" w:hAnsi="Arial" w:cs="Arial"/>
          <w:shd w:val="clear" w:color="auto" w:fill="FFFFFF"/>
        </w:rPr>
        <w:t xml:space="preserve">sprememba prioritet in preusmeritev razpoložljivih sredstev v financiranje </w:t>
      </w:r>
      <w:r w:rsidRPr="002D75D6">
        <w:rPr>
          <w:rFonts w:ascii="Arial" w:eastAsia="Times New Roman" w:hAnsi="Arial" w:cs="Arial"/>
        </w:rPr>
        <w:t xml:space="preserve">pomoči in </w:t>
      </w:r>
      <w:r w:rsidRPr="002D75D6">
        <w:rPr>
          <w:rFonts w:ascii="Arial" w:hAnsi="Arial" w:cs="Arial"/>
          <w:shd w:val="clear" w:color="auto" w:fill="FFFFFF"/>
        </w:rPr>
        <w:t xml:space="preserve">sanacije po uničujočih poplavah. </w:t>
      </w:r>
      <w:r>
        <w:rPr>
          <w:rFonts w:ascii="Arial" w:hAnsi="Arial" w:cs="Arial"/>
          <w:color w:val="000000"/>
          <w:shd w:val="clear" w:color="auto" w:fill="FFFFFF"/>
        </w:rPr>
        <w:t>Zaradi obsežne škode in predvidenih obsežnih sanacijskih ukrepov je vlada v septembru sprejela določbo v okviru ZIPRS2425, da se ne glede na Zakon o sistemu plač v javnem sektorju, izvajanje plačne reforme prestavi iz leta 2024 na leto 2025, in se zato vrednosti plačnih razredov iz plačne lestvice od 1. januarja 2024 do 31. decembra 2024 ne uskladijo.</w:t>
      </w:r>
    </w:p>
    <w:p w14:paraId="1B970239" w14:textId="77777777" w:rsidR="00ED1BDA" w:rsidRPr="00C76115" w:rsidRDefault="00ED1BDA" w:rsidP="00ED1BDA">
      <w:pPr>
        <w:spacing w:after="0"/>
        <w:jc w:val="both"/>
        <w:rPr>
          <w:rFonts w:ascii="Arial" w:eastAsia="Times New Roman" w:hAnsi="Arial" w:cs="Times New Roman"/>
          <w:szCs w:val="28"/>
        </w:rPr>
      </w:pPr>
    </w:p>
    <w:p w14:paraId="0B3CF710" w14:textId="77777777" w:rsidR="00ED1BDA" w:rsidRPr="00C76115" w:rsidRDefault="00ED1BDA" w:rsidP="00ED1BDA">
      <w:pPr>
        <w:spacing w:after="0"/>
        <w:jc w:val="both"/>
        <w:rPr>
          <w:rFonts w:ascii="Arial" w:eastAsia="Times New Roman" w:hAnsi="Arial" w:cs="Times New Roman"/>
          <w:szCs w:val="28"/>
        </w:rPr>
      </w:pPr>
      <w:r w:rsidRPr="00C76115">
        <w:rPr>
          <w:rFonts w:ascii="Arial" w:eastAsia="Times New Roman" w:hAnsi="Arial" w:cs="Times New Roman"/>
          <w:szCs w:val="28"/>
        </w:rPr>
        <w:t>Subvencije</w:t>
      </w:r>
    </w:p>
    <w:p w14:paraId="3CDED6B0" w14:textId="77777777" w:rsidR="00ED1BDA" w:rsidRPr="00C76115" w:rsidRDefault="00ED1BDA" w:rsidP="00ED1BDA">
      <w:pPr>
        <w:spacing w:after="0"/>
        <w:jc w:val="both"/>
        <w:rPr>
          <w:rFonts w:ascii="Arial" w:eastAsia="Times New Roman" w:hAnsi="Arial" w:cs="Times New Roman"/>
          <w:szCs w:val="28"/>
        </w:rPr>
      </w:pPr>
    </w:p>
    <w:p w14:paraId="4BDEE86A" w14:textId="7A6A9C2C" w:rsidR="00ED1BDA" w:rsidRDefault="00ED1BDA" w:rsidP="00ED1BDA">
      <w:pPr>
        <w:spacing w:after="0"/>
        <w:jc w:val="both"/>
        <w:rPr>
          <w:rFonts w:ascii="Arial" w:eastAsia="Times New Roman" w:hAnsi="Arial" w:cs="Times New Roman"/>
          <w:szCs w:val="28"/>
        </w:rPr>
      </w:pPr>
      <w:r w:rsidRPr="00C76115">
        <w:rPr>
          <w:rFonts w:ascii="Arial" w:eastAsia="Times New Roman" w:hAnsi="Arial" w:cs="Times New Roman"/>
          <w:szCs w:val="28"/>
        </w:rPr>
        <w:t>Izdatki za subvencije se bodo po rasti v letu 2023, ki bo v največji meri posledica pomoči države gospodarstvu zaradi energetske krize in draginje, v letu 2024 zmanjšali za dobrih 450 milijonov evrov ali 35 %</w:t>
      </w:r>
      <w:r w:rsidR="00203A8D">
        <w:rPr>
          <w:rFonts w:ascii="Arial" w:eastAsia="Times New Roman" w:hAnsi="Arial" w:cs="Times New Roman"/>
          <w:szCs w:val="28"/>
        </w:rPr>
        <w:t xml:space="preserve"> </w:t>
      </w:r>
      <w:r w:rsidRPr="00C76115">
        <w:rPr>
          <w:rFonts w:ascii="Arial" w:eastAsia="Times New Roman" w:hAnsi="Arial" w:cs="Times New Roman"/>
          <w:szCs w:val="28"/>
        </w:rPr>
        <w:t xml:space="preserve">predvsem kot posledica predvidene odprave tovrstnih ukrepov. Znašali bodo 845 milijonov evrov, vključujejo pa tudi subvencije privatnim podjetjem in zasebnikom iz naslova sredstev Sklada za okrevanje in odpornost. Izdatki za subvencije ne vključujejo pomoči podjetjem zaradi posledic poplav avgusta 2023, saj so te zajete med izdatki za kapitalske transferje. </w:t>
      </w:r>
    </w:p>
    <w:p w14:paraId="4187197A" w14:textId="77777777" w:rsidR="00ED1BDA" w:rsidRDefault="00ED1BDA" w:rsidP="00ED1BDA">
      <w:pPr>
        <w:spacing w:after="0"/>
        <w:jc w:val="both"/>
        <w:rPr>
          <w:rFonts w:ascii="Arial" w:eastAsia="Times New Roman" w:hAnsi="Arial" w:cs="Times New Roman"/>
          <w:szCs w:val="28"/>
        </w:rPr>
      </w:pPr>
    </w:p>
    <w:p w14:paraId="76E93788" w14:textId="7CAED2B6" w:rsidR="00ED1BDA" w:rsidRDefault="00ED1BDA" w:rsidP="00ED1BDA">
      <w:pPr>
        <w:spacing w:after="0"/>
        <w:jc w:val="both"/>
        <w:rPr>
          <w:rFonts w:ascii="Arial" w:eastAsia="Times New Roman" w:hAnsi="Arial" w:cs="Times New Roman"/>
          <w:szCs w:val="28"/>
        </w:rPr>
      </w:pPr>
      <w:r w:rsidRPr="002B723A">
        <w:rPr>
          <w:rFonts w:ascii="Arial" w:eastAsia="Times New Roman" w:hAnsi="Arial" w:cs="Times New Roman"/>
          <w:szCs w:val="28"/>
        </w:rPr>
        <w:t xml:space="preserve">Skladno z metodologijo ESR2010 smo </w:t>
      </w:r>
      <w:r w:rsidR="00881F4A" w:rsidRPr="002B723A">
        <w:rPr>
          <w:rFonts w:ascii="Arial" w:eastAsia="Times New Roman" w:hAnsi="Arial" w:cs="Times New Roman"/>
          <w:szCs w:val="28"/>
        </w:rPr>
        <w:t>pomoč podjetjem, ki bo izplačana zaradi poplav ter ostale stroške, ki bodo nastali pri odpravi posledic poplav in nimajo narave investicij</w:t>
      </w:r>
      <w:r w:rsidR="00881F4A" w:rsidRPr="00881F4A">
        <w:rPr>
          <w:rFonts w:ascii="Arial" w:eastAsia="Times New Roman" w:hAnsi="Arial" w:cs="Times New Roman"/>
          <w:szCs w:val="28"/>
        </w:rPr>
        <w:t xml:space="preserve"> </w:t>
      </w:r>
      <w:r w:rsidR="00881F4A" w:rsidRPr="002B723A">
        <w:rPr>
          <w:rFonts w:ascii="Arial" w:eastAsia="Times New Roman" w:hAnsi="Arial" w:cs="Times New Roman"/>
          <w:szCs w:val="28"/>
        </w:rPr>
        <w:t xml:space="preserve">knjižili </w:t>
      </w:r>
      <w:r w:rsidR="00881F4A" w:rsidRPr="004A3EE3">
        <w:rPr>
          <w:rFonts w:ascii="Arial" w:eastAsia="Times New Roman" w:hAnsi="Arial" w:cs="Times New Roman"/>
          <w:szCs w:val="28"/>
        </w:rPr>
        <w:t>med odhodke iz naslova kapitalskih transferjev (D.99)</w:t>
      </w:r>
      <w:r w:rsidR="00881F4A" w:rsidRPr="004A3EE3">
        <w:rPr>
          <w:rFonts w:ascii="Arial" w:eastAsia="Times New Roman" w:hAnsi="Arial" w:cs="Times New Roman"/>
          <w:szCs w:val="28"/>
          <w:vertAlign w:val="superscript"/>
        </w:rPr>
        <w:footnoteReference w:id="20"/>
      </w:r>
      <w:r w:rsidR="00881F4A" w:rsidRPr="004A3EE3">
        <w:rPr>
          <w:rFonts w:ascii="Arial" w:eastAsia="Times New Roman" w:hAnsi="Arial" w:cs="Times New Roman"/>
          <w:szCs w:val="28"/>
        </w:rPr>
        <w:t>. T</w:t>
      </w:r>
      <w:r w:rsidRPr="004A3EE3">
        <w:rPr>
          <w:rFonts w:ascii="Arial" w:eastAsia="Times New Roman" w:hAnsi="Arial" w:cs="Times New Roman"/>
          <w:szCs w:val="28"/>
        </w:rPr>
        <w:t>ransferje gospodinjstvom, ki bodo izplačani kot pomoč zaradi škode nastale v poplavah,</w:t>
      </w:r>
      <w:r w:rsidR="004A3EE3" w:rsidRPr="004A3EE3">
        <w:rPr>
          <w:rFonts w:ascii="Arial" w:eastAsia="Times New Roman" w:hAnsi="Arial" w:cs="Times New Roman"/>
          <w:szCs w:val="28"/>
        </w:rPr>
        <w:t xml:space="preserve"> pa smo</w:t>
      </w:r>
      <w:r w:rsidRPr="004A3EE3">
        <w:rPr>
          <w:rFonts w:ascii="Arial" w:eastAsia="Times New Roman" w:hAnsi="Arial" w:cs="Times New Roman"/>
          <w:szCs w:val="28"/>
        </w:rPr>
        <w:t xml:space="preserve"> knjižili med raznovrstne tekoče transfere (D.75)</w:t>
      </w:r>
      <w:r w:rsidRPr="004A3EE3">
        <w:rPr>
          <w:rFonts w:ascii="Arial" w:eastAsia="Times New Roman" w:hAnsi="Arial" w:cs="Times New Roman"/>
          <w:szCs w:val="28"/>
          <w:vertAlign w:val="superscript"/>
        </w:rPr>
        <w:footnoteReference w:id="21"/>
      </w:r>
      <w:r w:rsidR="004A3EE3" w:rsidRPr="004A3EE3">
        <w:rPr>
          <w:rFonts w:ascii="Arial" w:eastAsia="Times New Roman" w:hAnsi="Arial" w:cs="Times New Roman"/>
          <w:szCs w:val="28"/>
        </w:rPr>
        <w:t xml:space="preserve">. </w:t>
      </w:r>
      <w:r w:rsidRPr="004A3EE3">
        <w:rPr>
          <w:rFonts w:ascii="Arial" w:eastAsia="Times New Roman" w:hAnsi="Arial" w:cs="Times New Roman"/>
          <w:szCs w:val="28"/>
        </w:rPr>
        <w:t xml:space="preserve">Kot napovedano je v pripravi in delu </w:t>
      </w:r>
      <w:r w:rsidR="00CA4BD9">
        <w:rPr>
          <w:rFonts w:ascii="Arial" w:eastAsia="Times New Roman" w:hAnsi="Arial" w:cs="Times New Roman"/>
          <w:szCs w:val="28"/>
        </w:rPr>
        <w:t>z</w:t>
      </w:r>
      <w:r w:rsidR="00620A85" w:rsidRPr="003605E8">
        <w:rPr>
          <w:rFonts w:ascii="Arial" w:eastAsia="Times New Roman" w:hAnsi="Arial" w:cs="Times New Roman"/>
          <w:szCs w:val="28"/>
        </w:rPr>
        <w:t>akon o obnovi, razvoju in ukrepih za zagotovitev sredstev za odpravo posledic poplav</w:t>
      </w:r>
      <w:r w:rsidRPr="003605E8">
        <w:rPr>
          <w:rFonts w:ascii="Arial" w:eastAsia="Times New Roman" w:hAnsi="Arial" w:cs="Times New Roman"/>
          <w:szCs w:val="28"/>
        </w:rPr>
        <w:t>, kjer</w:t>
      </w:r>
      <w:r w:rsidRPr="004A3EE3">
        <w:rPr>
          <w:rFonts w:ascii="Arial" w:eastAsia="Times New Roman" w:hAnsi="Arial" w:cs="Times New Roman"/>
          <w:szCs w:val="28"/>
        </w:rPr>
        <w:t xml:space="preserve"> se poleg naveden</w:t>
      </w:r>
      <w:r w:rsidR="00203A8D">
        <w:rPr>
          <w:rFonts w:ascii="Arial" w:eastAsia="Times New Roman" w:hAnsi="Arial" w:cs="Times New Roman"/>
          <w:szCs w:val="28"/>
        </w:rPr>
        <w:t>ega</w:t>
      </w:r>
      <w:r w:rsidRPr="004A3EE3">
        <w:rPr>
          <w:rFonts w:ascii="Arial" w:eastAsia="Times New Roman" w:hAnsi="Arial" w:cs="Times New Roman"/>
          <w:szCs w:val="28"/>
        </w:rPr>
        <w:t xml:space="preserve"> kreirajo tudi novi viri in dodatna sredstva (tako</w:t>
      </w:r>
      <w:r w:rsidRPr="002B723A">
        <w:rPr>
          <w:rFonts w:ascii="Arial" w:eastAsia="Times New Roman" w:hAnsi="Arial" w:cs="Times New Roman"/>
          <w:szCs w:val="28"/>
        </w:rPr>
        <w:t xml:space="preserve"> na račun ukrepov kot reprioritizacije sredstev v finančnih načrtih</w:t>
      </w:r>
      <w:r w:rsidR="00203A8D">
        <w:rPr>
          <w:rFonts w:ascii="Arial" w:eastAsia="Times New Roman" w:hAnsi="Arial" w:cs="Times New Roman"/>
          <w:szCs w:val="28"/>
        </w:rPr>
        <w:t>),</w:t>
      </w:r>
      <w:r w:rsidRPr="002B723A">
        <w:rPr>
          <w:rFonts w:ascii="Arial" w:eastAsia="Times New Roman" w:hAnsi="Arial" w:cs="Times New Roman"/>
          <w:szCs w:val="28"/>
        </w:rPr>
        <w:t xml:space="preserve">   kar pomeni</w:t>
      </w:r>
      <w:r>
        <w:rPr>
          <w:rFonts w:ascii="Arial" w:eastAsia="Times New Roman" w:hAnsi="Arial" w:cs="Times New Roman"/>
          <w:szCs w:val="28"/>
        </w:rPr>
        <w:t xml:space="preserve">, </w:t>
      </w:r>
      <w:r w:rsidRPr="002B723A">
        <w:rPr>
          <w:rFonts w:ascii="Arial" w:eastAsia="Times New Roman" w:hAnsi="Arial" w:cs="Times New Roman"/>
          <w:szCs w:val="28"/>
        </w:rPr>
        <w:t>da so določena sredstva že upoštevan</w:t>
      </w:r>
      <w:r w:rsidR="00203A8D">
        <w:rPr>
          <w:rFonts w:ascii="Arial" w:eastAsia="Times New Roman" w:hAnsi="Arial" w:cs="Times New Roman"/>
          <w:szCs w:val="28"/>
        </w:rPr>
        <w:t>a</w:t>
      </w:r>
      <w:r w:rsidRPr="002B723A">
        <w:rPr>
          <w:rFonts w:ascii="Arial" w:eastAsia="Times New Roman" w:hAnsi="Arial" w:cs="Times New Roman"/>
          <w:szCs w:val="28"/>
        </w:rPr>
        <w:t xml:space="preserve"> v limitih.  </w:t>
      </w:r>
    </w:p>
    <w:p w14:paraId="6C0450EB" w14:textId="77777777" w:rsidR="00ED1BDA" w:rsidRPr="00C76115" w:rsidRDefault="00ED1BDA" w:rsidP="00ED1BDA">
      <w:pPr>
        <w:spacing w:after="0"/>
        <w:jc w:val="both"/>
        <w:rPr>
          <w:rFonts w:ascii="Arial" w:eastAsia="Times New Roman" w:hAnsi="Arial" w:cs="Times New Roman"/>
          <w:szCs w:val="28"/>
        </w:rPr>
      </w:pPr>
    </w:p>
    <w:p w14:paraId="7CA13297" w14:textId="77777777" w:rsidR="00ED1BDA" w:rsidRPr="00C76115" w:rsidRDefault="00ED1BDA" w:rsidP="00ED1BDA">
      <w:pPr>
        <w:spacing w:after="0"/>
        <w:jc w:val="both"/>
        <w:rPr>
          <w:rFonts w:ascii="Arial" w:eastAsia="Times New Roman" w:hAnsi="Arial" w:cs="Times New Roman"/>
          <w:szCs w:val="28"/>
        </w:rPr>
      </w:pPr>
    </w:p>
    <w:p w14:paraId="4F1EC85C" w14:textId="77777777" w:rsidR="00ED1BDA" w:rsidRPr="00C76115" w:rsidRDefault="00ED1BDA" w:rsidP="00ED1BDA">
      <w:pPr>
        <w:spacing w:after="0"/>
        <w:jc w:val="both"/>
        <w:rPr>
          <w:rFonts w:ascii="Arial" w:eastAsia="Times New Roman" w:hAnsi="Arial" w:cs="Times New Roman"/>
          <w:szCs w:val="28"/>
        </w:rPr>
      </w:pPr>
      <w:r w:rsidRPr="00C76115">
        <w:rPr>
          <w:rFonts w:ascii="Arial" w:eastAsia="Times New Roman" w:hAnsi="Arial" w:cs="Times New Roman"/>
          <w:szCs w:val="28"/>
        </w:rPr>
        <w:t>Socialna nadomestila</w:t>
      </w:r>
    </w:p>
    <w:p w14:paraId="6AF954D9" w14:textId="77777777" w:rsidR="00ED1BDA" w:rsidRPr="00C76115" w:rsidRDefault="00ED1BDA" w:rsidP="00ED1BDA">
      <w:pPr>
        <w:spacing w:after="0"/>
        <w:jc w:val="both"/>
        <w:rPr>
          <w:rFonts w:ascii="Arial" w:eastAsia="Times New Roman" w:hAnsi="Arial" w:cs="Times New Roman"/>
          <w:szCs w:val="28"/>
        </w:rPr>
      </w:pPr>
    </w:p>
    <w:p w14:paraId="7A390A74" w14:textId="67E49004" w:rsidR="00ED1BDA" w:rsidRPr="00C76115" w:rsidRDefault="00ED1BDA" w:rsidP="00ED1BDA">
      <w:pPr>
        <w:spacing w:after="0"/>
        <w:jc w:val="both"/>
        <w:rPr>
          <w:rFonts w:ascii="Arial" w:eastAsia="Times New Roman" w:hAnsi="Arial" w:cs="Times New Roman"/>
          <w:szCs w:val="28"/>
        </w:rPr>
      </w:pPr>
      <w:r w:rsidRPr="00C76115">
        <w:rPr>
          <w:rFonts w:ascii="Arial" w:eastAsia="Times New Roman" w:hAnsi="Arial" w:cs="Times New Roman"/>
          <w:szCs w:val="28"/>
        </w:rPr>
        <w:t>Izdatki za socialna nadomestila se bodo v letu 2024, glede na predhodno leto</w:t>
      </w:r>
      <w:r w:rsidR="00203A8D">
        <w:rPr>
          <w:rFonts w:ascii="Arial" w:eastAsia="Times New Roman" w:hAnsi="Arial" w:cs="Times New Roman"/>
          <w:szCs w:val="28"/>
        </w:rPr>
        <w:t>,</w:t>
      </w:r>
      <w:r w:rsidRPr="00C76115">
        <w:rPr>
          <w:rFonts w:ascii="Arial" w:eastAsia="Times New Roman" w:hAnsi="Arial" w:cs="Times New Roman"/>
          <w:szCs w:val="28"/>
        </w:rPr>
        <w:t xml:space="preserve"> povečali za 1,2 milijarde evrov ali dobrih 11 </w:t>
      </w:r>
      <w:r w:rsidR="00203A8D" w:rsidRPr="00C76115">
        <w:rPr>
          <w:rFonts w:ascii="Arial" w:eastAsia="Times New Roman" w:hAnsi="Arial" w:cs="Times New Roman"/>
          <w:szCs w:val="28"/>
        </w:rPr>
        <w:t>%</w:t>
      </w:r>
      <w:r w:rsidR="00203A8D">
        <w:rPr>
          <w:rFonts w:ascii="Arial" w:eastAsia="Times New Roman" w:hAnsi="Arial" w:cs="Times New Roman"/>
          <w:szCs w:val="28"/>
        </w:rPr>
        <w:t>. To</w:t>
      </w:r>
      <w:r w:rsidRPr="00C76115">
        <w:rPr>
          <w:rFonts w:ascii="Arial" w:eastAsia="Times New Roman" w:hAnsi="Arial" w:cs="Times New Roman"/>
          <w:szCs w:val="28"/>
        </w:rPr>
        <w:t xml:space="preserve"> bo tako posledica prenosa izdatkov iz naslova dopolnilnega </w:t>
      </w:r>
      <w:r w:rsidRPr="00C76115">
        <w:rPr>
          <w:rFonts w:ascii="Arial" w:eastAsia="Times New Roman" w:hAnsi="Arial" w:cs="Times New Roman"/>
          <w:szCs w:val="28"/>
        </w:rPr>
        <w:lastRenderedPageBreak/>
        <w:t>zdravstvenega zavarovanja med obvezno zavarovanje kot tudi veljavnih zakonskih podlag in predvidenih trendov, ki jih narekujejo demografski dejavniki, razmere na trgu dela ter usklajevanja transferov posameznikom in gospodinjstvom. Mednje pa niso vključene pomoči države za pomoč gospodinjstvom zaradi poplav iz avgusta 2023, saj so ti ukrepi zajeti med raznovrstnimi tekočimi transferi.</w:t>
      </w:r>
    </w:p>
    <w:p w14:paraId="79530DA2" w14:textId="77777777" w:rsidR="00ED1BDA" w:rsidRPr="00C76115" w:rsidRDefault="00ED1BDA" w:rsidP="00ED1BDA">
      <w:pPr>
        <w:spacing w:after="0"/>
        <w:jc w:val="both"/>
        <w:rPr>
          <w:rFonts w:ascii="Arial" w:eastAsia="Times New Roman" w:hAnsi="Arial" w:cs="Times New Roman"/>
          <w:szCs w:val="28"/>
        </w:rPr>
      </w:pPr>
    </w:p>
    <w:p w14:paraId="023EE5AF" w14:textId="77777777" w:rsidR="00ED1BDA" w:rsidRDefault="00ED1BDA" w:rsidP="00ED1BDA">
      <w:pPr>
        <w:jc w:val="both"/>
      </w:pPr>
      <w:r w:rsidRPr="00C76115">
        <w:rPr>
          <w:rFonts w:ascii="Arial" w:eastAsia="Times New Roman" w:hAnsi="Arial" w:cs="Times New Roman"/>
          <w:szCs w:val="28"/>
        </w:rPr>
        <w:t xml:space="preserve">Izdatki za socialna nadomestila v naravi bodo višji za okoli 480 milijonov evrov ali 30 %, predvsem zaradi dodatnih obveznosti ZZZS kot posledico prenosa dopolnilnega zdravstvenega zavarovanja med obvezno zavarovanje. </w:t>
      </w:r>
      <w:r>
        <w:rPr>
          <w:rFonts w:ascii="Arial" w:hAnsi="Arial" w:cs="Arial"/>
        </w:rPr>
        <w:t>Septembra na Vladi sprejeti ZIPRS2425 na področju zdravstva opredeljuje, da se iz državnega proračuna ZZZS v letu 2024 zagotavlja sredstva v višini do največ 420 milijonov eurov za vzdržnost sistema zdravstvenega varstva, ki jih ZZZS lahko uporabi za natančno določene namene.</w:t>
      </w:r>
    </w:p>
    <w:p w14:paraId="41FE185B" w14:textId="0DF1C71A" w:rsidR="00ED1BDA" w:rsidRPr="0003411A" w:rsidRDefault="00ED1BDA" w:rsidP="007D3D74">
      <w:pPr>
        <w:spacing w:after="0"/>
        <w:jc w:val="both"/>
        <w:rPr>
          <w:rFonts w:ascii="Arial" w:hAnsi="Arial" w:cs="Arial"/>
        </w:rPr>
      </w:pPr>
      <w:r w:rsidRPr="00C76115">
        <w:rPr>
          <w:rFonts w:ascii="Arial" w:eastAsia="Times New Roman" w:hAnsi="Arial" w:cs="Times New Roman"/>
          <w:szCs w:val="28"/>
        </w:rPr>
        <w:t xml:space="preserve">Izdatki za socialna nadomestila v denarju pa bodo višji za dobrih 740 milijonov evrov ali 7,8 %, predvsem na račun višjih izdatkov za pokojnine zaradi redne uskladitve pokojnin, kot tudi gibanja števila upokojencev. Izdatki za bruto pokojnine bodo leta 2024 višji za dobrih 650 milijonov evrov ali 10 %. </w:t>
      </w:r>
      <w:r>
        <w:rPr>
          <w:rFonts w:ascii="Arial" w:eastAsia="Times New Roman" w:hAnsi="Arial" w:cs="Times New Roman"/>
          <w:szCs w:val="28"/>
        </w:rPr>
        <w:t>S</w:t>
      </w:r>
      <w:r>
        <w:rPr>
          <w:rFonts w:ascii="Arial" w:hAnsi="Arial" w:cs="Arial"/>
          <w:color w:val="000000"/>
          <w:shd w:val="clear" w:color="auto" w:fill="FFFFFF"/>
        </w:rPr>
        <w:t>eptembra 2023</w:t>
      </w:r>
      <w:r w:rsidR="00203A8D">
        <w:rPr>
          <w:rFonts w:ascii="Arial" w:hAnsi="Arial" w:cs="Arial"/>
          <w:color w:val="000000"/>
          <w:shd w:val="clear" w:color="auto" w:fill="FFFFFF"/>
        </w:rPr>
        <w:t>,</w:t>
      </w:r>
      <w:r>
        <w:rPr>
          <w:rFonts w:ascii="Arial" w:hAnsi="Arial" w:cs="Arial"/>
          <w:color w:val="000000"/>
          <w:shd w:val="clear" w:color="auto" w:fill="FFFFFF"/>
        </w:rPr>
        <w:t xml:space="preserve"> ob sprejetju predlogov državnih proračunov za prihodnji dve leti</w:t>
      </w:r>
      <w:r w:rsidR="00203A8D">
        <w:rPr>
          <w:rFonts w:ascii="Arial" w:hAnsi="Arial" w:cs="Arial"/>
          <w:color w:val="000000"/>
          <w:shd w:val="clear" w:color="auto" w:fill="FFFFFF"/>
        </w:rPr>
        <w:t>,</w:t>
      </w:r>
      <w:r>
        <w:rPr>
          <w:rFonts w:ascii="Arial" w:hAnsi="Arial" w:cs="Arial"/>
          <w:color w:val="000000"/>
          <w:shd w:val="clear" w:color="auto" w:fill="FFFFFF"/>
        </w:rPr>
        <w:t xml:space="preserve"> je bilo</w:t>
      </w:r>
      <w:r w:rsidR="00293ECE">
        <w:rPr>
          <w:rFonts w:ascii="Arial" w:hAnsi="Arial" w:cs="Arial"/>
          <w:color w:val="000000"/>
          <w:shd w:val="clear" w:color="auto" w:fill="FFFFFF"/>
        </w:rPr>
        <w:t xml:space="preserve"> </w:t>
      </w:r>
      <w:r>
        <w:rPr>
          <w:rFonts w:ascii="Arial" w:hAnsi="Arial" w:cs="Arial"/>
          <w:color w:val="000000"/>
          <w:shd w:val="clear" w:color="auto" w:fill="FFFFFF"/>
        </w:rPr>
        <w:t>na vladi določeno, da se akontacija redne uskladitve v letu 2024, sicer predvidene za februar, opravi že januarja in sicer v višini 1,8</w:t>
      </w:r>
      <w:r w:rsidR="00B36289">
        <w:rPr>
          <w:rFonts w:ascii="Arial" w:hAnsi="Arial" w:cs="Arial"/>
          <w:color w:val="000000"/>
          <w:shd w:val="clear" w:color="auto" w:fill="FFFFFF"/>
        </w:rPr>
        <w:t xml:space="preserve"> </w:t>
      </w:r>
      <w:r>
        <w:rPr>
          <w:rFonts w:ascii="Arial" w:hAnsi="Arial" w:cs="Arial"/>
          <w:color w:val="000000"/>
          <w:shd w:val="clear" w:color="auto" w:fill="FFFFFF"/>
        </w:rPr>
        <w:t>%, nato pa se februarj</w:t>
      </w:r>
      <w:r w:rsidR="00CE7963">
        <w:rPr>
          <w:rFonts w:ascii="Arial" w:hAnsi="Arial" w:cs="Arial"/>
          <w:color w:val="000000"/>
          <w:shd w:val="clear" w:color="auto" w:fill="FFFFFF"/>
        </w:rPr>
        <w:t>a</w:t>
      </w:r>
      <w:r>
        <w:rPr>
          <w:rFonts w:ascii="Arial" w:hAnsi="Arial" w:cs="Arial"/>
          <w:color w:val="000000"/>
          <w:shd w:val="clear" w:color="auto" w:fill="FFFFFF"/>
        </w:rPr>
        <w:t xml:space="preserve"> opravi poračun višine redne uskladitve v višini razlike med dejansko ugotovljeno redno uskladitvijo in že izvedeno uskladitvijo v mesecu januarju</w:t>
      </w:r>
      <w:r w:rsidR="00964791">
        <w:rPr>
          <w:rFonts w:ascii="Arial" w:hAnsi="Arial" w:cs="Arial"/>
          <w:color w:val="000000"/>
          <w:shd w:val="clear" w:color="auto" w:fill="FFFFFF"/>
        </w:rPr>
        <w:t>.</w:t>
      </w:r>
    </w:p>
    <w:p w14:paraId="4BF9343A" w14:textId="77777777" w:rsidR="00ED1BDA" w:rsidRPr="00C76115" w:rsidRDefault="00ED1BDA" w:rsidP="00ED1BDA">
      <w:pPr>
        <w:spacing w:after="0"/>
        <w:jc w:val="both"/>
        <w:rPr>
          <w:rFonts w:ascii="Arial" w:eastAsia="Times New Roman" w:hAnsi="Arial" w:cs="Times New Roman"/>
          <w:szCs w:val="28"/>
        </w:rPr>
      </w:pPr>
    </w:p>
    <w:p w14:paraId="32556565" w14:textId="77777777" w:rsidR="00ED1BDA" w:rsidRPr="00C76115" w:rsidRDefault="00ED1BDA" w:rsidP="00ED1BDA">
      <w:pPr>
        <w:spacing w:after="0"/>
        <w:jc w:val="both"/>
        <w:rPr>
          <w:rFonts w:ascii="Arial" w:eastAsia="Times New Roman" w:hAnsi="Arial" w:cs="Times New Roman"/>
          <w:szCs w:val="28"/>
        </w:rPr>
      </w:pPr>
    </w:p>
    <w:p w14:paraId="111FA2BE" w14:textId="77777777" w:rsidR="00ED1BDA" w:rsidRPr="00C76115" w:rsidRDefault="00ED1BDA" w:rsidP="00ED1BDA">
      <w:pPr>
        <w:spacing w:after="0"/>
        <w:jc w:val="both"/>
        <w:rPr>
          <w:rFonts w:ascii="Arial" w:eastAsia="Times New Roman" w:hAnsi="Arial" w:cs="Times New Roman"/>
          <w:szCs w:val="28"/>
        </w:rPr>
      </w:pPr>
      <w:r w:rsidRPr="00C76115">
        <w:rPr>
          <w:rFonts w:ascii="Arial" w:eastAsia="Times New Roman" w:hAnsi="Arial" w:cs="Times New Roman"/>
          <w:szCs w:val="28"/>
        </w:rPr>
        <w:t>Izdatki za investicije</w:t>
      </w:r>
    </w:p>
    <w:p w14:paraId="05B31EB4" w14:textId="77777777" w:rsidR="00ED1BDA" w:rsidRDefault="00ED1BDA" w:rsidP="00ED1BDA">
      <w:pPr>
        <w:spacing w:after="0"/>
        <w:jc w:val="both"/>
        <w:rPr>
          <w:rFonts w:ascii="Arial" w:eastAsia="Times New Roman" w:hAnsi="Arial" w:cs="Times New Roman"/>
          <w:szCs w:val="28"/>
        </w:rPr>
      </w:pPr>
    </w:p>
    <w:p w14:paraId="43ADA466" w14:textId="4361E417" w:rsidR="00ED1BDA" w:rsidRDefault="00ED1BDA" w:rsidP="00ED1BDA">
      <w:pPr>
        <w:spacing w:after="0"/>
        <w:jc w:val="both"/>
        <w:rPr>
          <w:rFonts w:ascii="Arial" w:hAnsi="Arial" w:cs="Arial"/>
        </w:rPr>
      </w:pPr>
      <w:r w:rsidRPr="007E19E7">
        <w:rPr>
          <w:rFonts w:ascii="Arial" w:hAnsi="Arial" w:cs="Arial"/>
        </w:rPr>
        <w:t>Izdatki za investicije sektorja država se povečujejo od leta 2017 in bodo leta 2024 dosegli raven 4.230 milijonov evrov kar je za 6,8 % ali slabih 270 milijonov evrov več kot leta 2023, ko se bo zaključilo črpanje sredstev EU finančne perspektive 201</w:t>
      </w:r>
      <w:r w:rsidR="000A7C37">
        <w:rPr>
          <w:rFonts w:ascii="Arial" w:hAnsi="Arial" w:cs="Arial"/>
        </w:rPr>
        <w:t>4</w:t>
      </w:r>
      <w:r w:rsidRPr="007E19E7">
        <w:rPr>
          <w:rFonts w:ascii="Arial" w:hAnsi="Arial" w:cs="Arial"/>
        </w:rPr>
        <w:t>-2020. Rast izdatkov za investicije v letu 2024 bo posledica viš</w:t>
      </w:r>
      <w:r w:rsidR="000A7C37">
        <w:rPr>
          <w:rFonts w:ascii="Arial" w:hAnsi="Arial" w:cs="Arial"/>
        </w:rPr>
        <w:t>je</w:t>
      </w:r>
      <w:r w:rsidRPr="007E19E7">
        <w:rPr>
          <w:rFonts w:ascii="Arial" w:hAnsi="Arial" w:cs="Arial"/>
        </w:rPr>
        <w:t xml:space="preserve"> </w:t>
      </w:r>
      <w:r w:rsidR="000A7C37">
        <w:rPr>
          <w:rFonts w:ascii="Arial" w:hAnsi="Arial" w:cs="Arial"/>
        </w:rPr>
        <w:t>porabe</w:t>
      </w:r>
      <w:r w:rsidRPr="007E19E7">
        <w:rPr>
          <w:rFonts w:ascii="Arial" w:hAnsi="Arial" w:cs="Arial"/>
        </w:rPr>
        <w:t xml:space="preserve"> Sklada za okrevanje in odpornost, začetka črpanja sredstev iz EU finančne perspektive 2021-2027 kot tudi integralnih sredstev državnega proračuna namenjenih financiranju prometa in prometne infrastrukture ter sredstev namenjenih obrambi in zaščiti. Velik del investicij bo namenjen odpravi posledic avgustovskih poplav, tako na ravni državne infrastrukture kot občinske, visoke ravni investicij pa so načrtovane tudi na ravni drugih enot sektorja država, predvsem javnih zavodov, javnih in proračunskih skladov ter gospodarskih družb, predvsem s področja upravljanja železniške infrastrukture. </w:t>
      </w:r>
    </w:p>
    <w:p w14:paraId="6A02B9E9" w14:textId="77777777" w:rsidR="007D3D74" w:rsidRDefault="007D3D74" w:rsidP="00ED1BDA">
      <w:pPr>
        <w:spacing w:after="0"/>
        <w:jc w:val="both"/>
        <w:rPr>
          <w:rFonts w:ascii="Arial" w:hAnsi="Arial" w:cs="Arial"/>
        </w:rPr>
      </w:pPr>
    </w:p>
    <w:p w14:paraId="3C09D975" w14:textId="2EDA4D70" w:rsidR="00ED1BDA" w:rsidRPr="003600A0" w:rsidRDefault="00ED1BDA" w:rsidP="003600A0">
      <w:pPr>
        <w:jc w:val="both"/>
        <w:rPr>
          <w:rFonts w:ascii="Arial" w:hAnsi="Arial" w:cs="Arial"/>
        </w:rPr>
      </w:pPr>
      <w:r w:rsidRPr="00B7078B">
        <w:rPr>
          <w:rFonts w:ascii="Arial" w:hAnsi="Arial" w:cs="Arial"/>
        </w:rPr>
        <w:t xml:space="preserve">V celotnih investicijah sektorja država bodo investicije občin v letu 2024 znašale </w:t>
      </w:r>
      <w:r w:rsidR="007D3D74">
        <w:rPr>
          <w:rFonts w:ascii="Arial" w:hAnsi="Arial" w:cs="Arial"/>
        </w:rPr>
        <w:t>ok</w:t>
      </w:r>
      <w:r w:rsidR="000A7C37">
        <w:rPr>
          <w:rFonts w:ascii="Arial" w:hAnsi="Arial" w:cs="Arial"/>
        </w:rPr>
        <w:t>rog</w:t>
      </w:r>
      <w:r w:rsidRPr="00B7078B">
        <w:rPr>
          <w:rFonts w:ascii="Arial" w:hAnsi="Arial" w:cs="Arial"/>
        </w:rPr>
        <w:t xml:space="preserve"> 1,3 milijarde evrov</w:t>
      </w:r>
      <w:r w:rsidR="000A7C37">
        <w:rPr>
          <w:rFonts w:ascii="Arial" w:hAnsi="Arial" w:cs="Arial"/>
        </w:rPr>
        <w:t>,</w:t>
      </w:r>
      <w:r w:rsidRPr="00B7078B">
        <w:rPr>
          <w:rFonts w:ascii="Arial" w:hAnsi="Arial" w:cs="Arial"/>
        </w:rPr>
        <w:t xml:space="preserve"> kar predstavlja 30 % vseh investicij, izdatki državnega proračuna za investicije pa bodo predstavljali slabih 30 %. Preostanek investicij sektorja država v letu 2024 (41 %) predstavljajo investicije ostalih enot sektorja država (javni zavodi, gospodarske družbe, in druge enote sektorja država) in drugi popravki skladni z metodologijo ESA2010. Z vidika vira financiranja investicij sektorja država bo v letu 2024 delež EU sredstev (</w:t>
      </w:r>
      <w:r w:rsidR="00DC1F11" w:rsidRPr="007E19E7">
        <w:rPr>
          <w:rFonts w:ascii="Arial" w:hAnsi="Arial" w:cs="Arial"/>
        </w:rPr>
        <w:t>EU finančn</w:t>
      </w:r>
      <w:r w:rsidR="00DC1F11">
        <w:rPr>
          <w:rFonts w:ascii="Arial" w:hAnsi="Arial" w:cs="Arial"/>
        </w:rPr>
        <w:t>a</w:t>
      </w:r>
      <w:r w:rsidR="00DC1F11" w:rsidRPr="007E19E7">
        <w:rPr>
          <w:rFonts w:ascii="Arial" w:hAnsi="Arial" w:cs="Arial"/>
        </w:rPr>
        <w:t xml:space="preserve"> perspektiv</w:t>
      </w:r>
      <w:r w:rsidR="00DC1F11">
        <w:rPr>
          <w:rFonts w:ascii="Arial" w:hAnsi="Arial" w:cs="Arial"/>
        </w:rPr>
        <w:t>a</w:t>
      </w:r>
      <w:r w:rsidRPr="00B7078B">
        <w:rPr>
          <w:rFonts w:ascii="Arial" w:hAnsi="Arial" w:cs="Arial"/>
        </w:rPr>
        <w:t xml:space="preserve">, </w:t>
      </w:r>
      <w:r w:rsidR="00F425A1">
        <w:rPr>
          <w:rFonts w:ascii="Arial" w:hAnsi="Arial" w:cs="Arial"/>
        </w:rPr>
        <w:t>Načrt za okrevanje in odpornost</w:t>
      </w:r>
      <w:r w:rsidRPr="00B7078B">
        <w:rPr>
          <w:rFonts w:ascii="Arial" w:hAnsi="Arial" w:cs="Arial"/>
        </w:rPr>
        <w:t>) znašal 1,2</w:t>
      </w:r>
      <w:r w:rsidR="007D3D74">
        <w:rPr>
          <w:rFonts w:ascii="Arial" w:hAnsi="Arial" w:cs="Arial"/>
        </w:rPr>
        <w:t> </w:t>
      </w:r>
      <w:r w:rsidRPr="00B7078B">
        <w:rPr>
          <w:rFonts w:ascii="Arial" w:hAnsi="Arial" w:cs="Arial"/>
        </w:rPr>
        <w:t xml:space="preserve">% BDP, delež ostalih virov (integralna, namenska sredstva, itd.) pa bo znašal 5,1 % BDP.  Delež celotnih investicij sektorja država je ob začetku črpanja </w:t>
      </w:r>
      <w:r w:rsidR="00DC1F11" w:rsidRPr="007E19E7">
        <w:rPr>
          <w:rFonts w:ascii="Arial" w:hAnsi="Arial" w:cs="Arial"/>
        </w:rPr>
        <w:t>EU finančne perspektive</w:t>
      </w:r>
      <w:r w:rsidRPr="00B7078B">
        <w:rPr>
          <w:rFonts w:ascii="Arial" w:hAnsi="Arial" w:cs="Arial"/>
        </w:rPr>
        <w:t xml:space="preserve"> 2014-2020 leta 2016 znašal 3,2 % BDP, ob zaključku črpanja, leta 2023, pa bo znašal 6,3 % BDP. Na podobni ravni bo tudi v letu 2024.</w:t>
      </w:r>
      <w:r w:rsidRPr="007E19E7">
        <w:rPr>
          <w:rFonts w:ascii="Arial" w:hAnsi="Arial" w:cs="Arial"/>
        </w:rPr>
        <w:t xml:space="preserve"> </w:t>
      </w:r>
      <w:r w:rsidR="00D809DB">
        <w:rPr>
          <w:rFonts w:ascii="Arial" w:hAnsi="Arial" w:cs="Arial"/>
        </w:rPr>
        <w:t>Vlaganja v zeleni in digitalni prehod se bodo v letu  2024 povišala, predvsem na račun železniške infrastrukture.</w:t>
      </w:r>
    </w:p>
    <w:p w14:paraId="60E84427" w14:textId="60005625" w:rsidR="00ED1BDA" w:rsidRPr="00E61742" w:rsidRDefault="00ED1BDA" w:rsidP="00ED1BDA">
      <w:pPr>
        <w:pStyle w:val="Caption"/>
        <w:keepNext/>
        <w:ind w:left="0" w:firstLine="0"/>
        <w:jc w:val="left"/>
        <w:rPr>
          <w:rFonts w:ascii="Arial" w:hAnsi="Arial" w:cs="Arial"/>
          <w:b w:val="0"/>
          <w:bCs/>
          <w:i w:val="0"/>
          <w:iCs/>
          <w:sz w:val="22"/>
          <w:szCs w:val="32"/>
        </w:rPr>
      </w:pPr>
      <w:r w:rsidRPr="00E61742">
        <w:rPr>
          <w:rFonts w:ascii="Arial" w:hAnsi="Arial" w:cs="Arial"/>
          <w:b w:val="0"/>
          <w:bCs/>
          <w:i w:val="0"/>
          <w:iCs/>
          <w:sz w:val="22"/>
          <w:szCs w:val="32"/>
        </w:rPr>
        <w:lastRenderedPageBreak/>
        <w:t xml:space="preserve">Slika </w:t>
      </w:r>
      <w:r w:rsidRPr="00E61742">
        <w:rPr>
          <w:rFonts w:ascii="Arial" w:hAnsi="Arial" w:cs="Arial"/>
          <w:b w:val="0"/>
          <w:bCs/>
          <w:i w:val="0"/>
          <w:iCs/>
          <w:sz w:val="22"/>
          <w:szCs w:val="32"/>
        </w:rPr>
        <w:fldChar w:fldCharType="begin"/>
      </w:r>
      <w:r w:rsidRPr="00E61742">
        <w:rPr>
          <w:rFonts w:ascii="Arial" w:hAnsi="Arial" w:cs="Arial"/>
          <w:b w:val="0"/>
          <w:bCs/>
          <w:i w:val="0"/>
          <w:iCs/>
          <w:sz w:val="22"/>
          <w:szCs w:val="32"/>
        </w:rPr>
        <w:instrText xml:space="preserve"> SEQ Slika \* ARABIC </w:instrText>
      </w:r>
      <w:r w:rsidRPr="00E61742">
        <w:rPr>
          <w:rFonts w:ascii="Arial" w:hAnsi="Arial" w:cs="Arial"/>
          <w:b w:val="0"/>
          <w:bCs/>
          <w:i w:val="0"/>
          <w:iCs/>
          <w:sz w:val="22"/>
          <w:szCs w:val="32"/>
        </w:rPr>
        <w:fldChar w:fldCharType="separate"/>
      </w:r>
      <w:r w:rsidR="0032268A">
        <w:rPr>
          <w:rFonts w:ascii="Arial" w:hAnsi="Arial" w:cs="Arial"/>
          <w:b w:val="0"/>
          <w:bCs/>
          <w:i w:val="0"/>
          <w:iCs/>
          <w:noProof/>
          <w:sz w:val="22"/>
          <w:szCs w:val="32"/>
        </w:rPr>
        <w:t>18</w:t>
      </w:r>
      <w:r w:rsidRPr="00E61742">
        <w:rPr>
          <w:rFonts w:ascii="Arial" w:hAnsi="Arial" w:cs="Arial"/>
          <w:b w:val="0"/>
          <w:bCs/>
          <w:i w:val="0"/>
          <w:iCs/>
          <w:sz w:val="22"/>
          <w:szCs w:val="32"/>
        </w:rPr>
        <w:fldChar w:fldCharType="end"/>
      </w:r>
      <w:r w:rsidRPr="00E61742">
        <w:rPr>
          <w:rFonts w:ascii="Arial" w:hAnsi="Arial" w:cs="Arial"/>
          <w:b w:val="0"/>
          <w:bCs/>
          <w:i w:val="0"/>
          <w:iCs/>
          <w:sz w:val="22"/>
          <w:szCs w:val="32"/>
        </w:rPr>
        <w:t>: Investicije sektorja država</w:t>
      </w:r>
    </w:p>
    <w:p w14:paraId="498B8687" w14:textId="77777777" w:rsidR="00ED1BDA" w:rsidRPr="00C76115" w:rsidRDefault="00ED1BDA" w:rsidP="00ED1BDA">
      <w:pPr>
        <w:spacing w:after="0"/>
        <w:jc w:val="both"/>
        <w:rPr>
          <w:rFonts w:ascii="Arial" w:eastAsia="Times New Roman" w:hAnsi="Arial" w:cs="Times New Roman"/>
          <w:szCs w:val="28"/>
        </w:rPr>
      </w:pPr>
      <w:r w:rsidRPr="00D65989">
        <w:rPr>
          <w:noProof/>
          <w:sz w:val="24"/>
          <w:szCs w:val="24"/>
        </w:rPr>
        <w:drawing>
          <wp:inline distT="0" distB="0" distL="0" distR="0" wp14:anchorId="1774A2FF" wp14:editId="709DC1A3">
            <wp:extent cx="5760720" cy="2592070"/>
            <wp:effectExtent l="0" t="0" r="0" b="0"/>
            <wp:docPr id="26" name="Chart 26">
              <a:extLst xmlns:a="http://schemas.openxmlformats.org/drawingml/2006/main">
                <a:ext uri="{FF2B5EF4-FFF2-40B4-BE49-F238E27FC236}">
                  <a16:creationId xmlns:a16="http://schemas.microsoft.com/office/drawing/2014/main" id="{5A81A160-7967-48C8-9F2D-E70BE0A2312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08B4B446" w14:textId="77777777" w:rsidR="00ED1BDA" w:rsidRPr="00C76115" w:rsidRDefault="00ED1BDA" w:rsidP="00ED1BDA">
      <w:pPr>
        <w:spacing w:after="0"/>
        <w:jc w:val="both"/>
        <w:rPr>
          <w:rFonts w:ascii="Arial" w:eastAsia="Times New Roman" w:hAnsi="Arial" w:cs="Times New Roman"/>
          <w:szCs w:val="28"/>
        </w:rPr>
      </w:pPr>
      <w:r>
        <w:rPr>
          <w:rFonts w:ascii="Arial" w:eastAsia="Times New Roman" w:hAnsi="Arial" w:cs="Times New Roman"/>
          <w:szCs w:val="28"/>
        </w:rPr>
        <w:t>Vir: Ministrstvo za finance</w:t>
      </w:r>
    </w:p>
    <w:p w14:paraId="69E5B1FF" w14:textId="77777777" w:rsidR="00C76115" w:rsidRPr="002B723A" w:rsidRDefault="00C76115" w:rsidP="002B723A">
      <w:pPr>
        <w:spacing w:after="0"/>
        <w:jc w:val="both"/>
        <w:rPr>
          <w:rFonts w:ascii="Arial" w:eastAsia="Times New Roman" w:hAnsi="Arial" w:cs="Times New Roman"/>
          <w:szCs w:val="28"/>
        </w:rPr>
      </w:pPr>
    </w:p>
    <w:p w14:paraId="2D64C462" w14:textId="39EA5DB2" w:rsidR="002F61A9" w:rsidRPr="002F61A9" w:rsidRDefault="003600A0" w:rsidP="002F61A9">
      <w:pPr>
        <w:pStyle w:val="Heading1"/>
        <w:rPr>
          <w:sz w:val="28"/>
          <w:szCs w:val="36"/>
        </w:rPr>
      </w:pPr>
      <w:bookmarkStart w:id="20" w:name="_Toc147494523"/>
      <w:bookmarkEnd w:id="18"/>
      <w:bookmarkEnd w:id="19"/>
      <w:r>
        <w:rPr>
          <w:sz w:val="28"/>
          <w:szCs w:val="36"/>
        </w:rPr>
        <w:t>5</w:t>
      </w:r>
      <w:r w:rsidR="002F61A9" w:rsidRPr="002F61A9">
        <w:rPr>
          <w:sz w:val="28"/>
          <w:szCs w:val="36"/>
        </w:rPr>
        <w:t xml:space="preserve"> STRUKTURNE SPREMEMBE IN INVESTICIJE</w:t>
      </w:r>
      <w:bookmarkEnd w:id="20"/>
    </w:p>
    <w:p w14:paraId="0DCE9E0D" w14:textId="77777777" w:rsidR="002F61A9" w:rsidRPr="00180436" w:rsidRDefault="002F61A9" w:rsidP="002F61A9">
      <w:pPr>
        <w:spacing w:line="252" w:lineRule="auto"/>
        <w:rPr>
          <w:rFonts w:ascii="Arial" w:hAnsi="Arial" w:cs="Arial"/>
          <w:b/>
          <w:bCs/>
          <w:u w:val="single"/>
        </w:rPr>
      </w:pPr>
    </w:p>
    <w:p w14:paraId="4A91FFE9" w14:textId="77777777" w:rsidR="002F61A9" w:rsidRPr="00D96A7C" w:rsidRDefault="002F61A9" w:rsidP="00D96A7C">
      <w:pPr>
        <w:rPr>
          <w:rFonts w:ascii="Arial" w:hAnsi="Arial" w:cs="Arial"/>
          <w:b/>
          <w:bCs/>
          <w:u w:val="single"/>
        </w:rPr>
      </w:pPr>
      <w:r w:rsidRPr="00D96A7C">
        <w:rPr>
          <w:rFonts w:ascii="Arial" w:hAnsi="Arial" w:cs="Arial"/>
          <w:b/>
          <w:bCs/>
          <w:u w:val="single"/>
        </w:rPr>
        <w:t xml:space="preserve">Načrt za okrevanje in odpornost </w:t>
      </w:r>
    </w:p>
    <w:p w14:paraId="5E136768" w14:textId="77777777" w:rsidR="002F61A9" w:rsidRPr="008646FA" w:rsidRDefault="002F61A9" w:rsidP="002F61A9">
      <w:pPr>
        <w:pStyle w:val="ListParagraph"/>
        <w:rPr>
          <w:rFonts w:cs="Arial"/>
          <w:b/>
          <w:bCs/>
        </w:rPr>
      </w:pPr>
    </w:p>
    <w:p w14:paraId="7E78520F" w14:textId="77777777" w:rsidR="00EB773A" w:rsidRDefault="00EB773A" w:rsidP="00EB773A">
      <w:pPr>
        <w:spacing w:line="276" w:lineRule="auto"/>
        <w:jc w:val="both"/>
        <w:rPr>
          <w:rFonts w:ascii="Arial" w:hAnsi="Arial" w:cs="Arial"/>
        </w:rPr>
      </w:pPr>
      <w:r>
        <w:rPr>
          <w:rFonts w:ascii="Arial" w:hAnsi="Arial" w:cs="Arial"/>
        </w:rPr>
        <w:t xml:space="preserve">Slovenija je ključne strukturne spremembe, ki jih načrtuje na srednji rok, zapisala in sprejela v Načrtu za okrevanje in odpornost (NOO), ki je podlaga za koriščenje sredstev evropskega Mehanizma za okrevanje in odpornost. V NOO, ki ga je julija 2021 potrdil Svet Evropske unije, so bile za obdobje do leta 2026 predvidene reforme in investicije na različnih področjih, in sicer 34 reform in 52 naložb. Načrt vključuje tudi tri ključne reforme za Slovenijo, in sicer zdravstveno reformo, pokojninsko reformo in reformo dolgotrajne oskrbe. </w:t>
      </w:r>
    </w:p>
    <w:p w14:paraId="68F0FCE9" w14:textId="4F50DE0E" w:rsidR="00EB773A" w:rsidRDefault="00EB773A" w:rsidP="00EB773A">
      <w:pPr>
        <w:spacing w:line="276" w:lineRule="auto"/>
        <w:jc w:val="both"/>
        <w:rPr>
          <w:rFonts w:ascii="Arial" w:hAnsi="Arial" w:cs="Arial"/>
          <w:bCs/>
        </w:rPr>
      </w:pPr>
      <w:r>
        <w:rPr>
          <w:rFonts w:ascii="Arial" w:hAnsi="Arial" w:cs="Arial"/>
          <w:bCs/>
        </w:rPr>
        <w:t>Za izvajanje ukrepov iz NOO v letu 2023 je predvidena poraba sredstev v skupni višini 364,3 mio EUR, v letu 2024 582,6 mio EUR, v letu 2025 700,0 mio EUR in v letu 2026 v višini 854,1</w:t>
      </w:r>
      <w:r w:rsidR="007B3DD9">
        <w:rPr>
          <w:rFonts w:ascii="Arial" w:hAnsi="Arial" w:cs="Arial"/>
          <w:bCs/>
        </w:rPr>
        <w:t xml:space="preserve"> </w:t>
      </w:r>
      <w:r>
        <w:rPr>
          <w:rFonts w:ascii="Arial" w:hAnsi="Arial" w:cs="Arial"/>
          <w:bCs/>
        </w:rPr>
        <w:t xml:space="preserve">mio EUR. </w:t>
      </w:r>
    </w:p>
    <w:p w14:paraId="00237368" w14:textId="77777777" w:rsidR="00EB773A" w:rsidRDefault="00EB773A" w:rsidP="00EB773A">
      <w:pPr>
        <w:spacing w:line="276" w:lineRule="auto"/>
        <w:jc w:val="both"/>
        <w:rPr>
          <w:rFonts w:ascii="Arial" w:hAnsi="Arial" w:cs="Arial"/>
          <w:bCs/>
        </w:rPr>
      </w:pPr>
      <w:r>
        <w:rPr>
          <w:rFonts w:ascii="Arial" w:hAnsi="Arial" w:cs="Arial"/>
          <w:bCs/>
        </w:rPr>
        <w:t>V letu 2023 so sredstva namenjena predvsem:</w:t>
      </w:r>
    </w:p>
    <w:p w14:paraId="6B0EFA73" w14:textId="77777777" w:rsidR="00EB773A" w:rsidRDefault="00EB773A" w:rsidP="00EB773A">
      <w:pPr>
        <w:pStyle w:val="ListParagraph"/>
        <w:numPr>
          <w:ilvl w:val="0"/>
          <w:numId w:val="26"/>
        </w:numPr>
        <w:spacing w:line="276" w:lineRule="auto"/>
        <w:rPr>
          <w:rFonts w:cs="Arial"/>
          <w:bCs/>
        </w:rPr>
      </w:pPr>
      <w:r>
        <w:rPr>
          <w:rFonts w:cs="Arial"/>
          <w:bCs/>
        </w:rPr>
        <w:t xml:space="preserve">ukrepom za trajnostno mobilnost (projekti povečanja zmogljivosti železniške infrastrukture), </w:t>
      </w:r>
    </w:p>
    <w:p w14:paraId="38AB0B49" w14:textId="77777777" w:rsidR="00EB773A" w:rsidRDefault="00EB773A" w:rsidP="00EB773A">
      <w:pPr>
        <w:pStyle w:val="ListParagraph"/>
        <w:numPr>
          <w:ilvl w:val="0"/>
          <w:numId w:val="26"/>
        </w:numPr>
        <w:spacing w:line="276" w:lineRule="auto"/>
        <w:rPr>
          <w:rFonts w:cs="Arial"/>
          <w:bCs/>
        </w:rPr>
      </w:pPr>
      <w:r>
        <w:rPr>
          <w:rFonts w:cs="Arial"/>
          <w:bCs/>
        </w:rPr>
        <w:t xml:space="preserve">digitalne preobrazbe (projekti digitalizacije v gospodarstvu, ki so bili izbrani na javnih razpisih oz. v okviru javne uprave in digitalne infrastrukture oz. povezljivosti), </w:t>
      </w:r>
    </w:p>
    <w:p w14:paraId="14DCBAFA" w14:textId="77777777" w:rsidR="00EB773A" w:rsidRDefault="00EB773A" w:rsidP="00EB773A">
      <w:pPr>
        <w:pStyle w:val="ListParagraph"/>
        <w:numPr>
          <w:ilvl w:val="0"/>
          <w:numId w:val="26"/>
        </w:numPr>
        <w:spacing w:line="276" w:lineRule="auto"/>
        <w:rPr>
          <w:rFonts w:cs="Arial"/>
          <w:bCs/>
        </w:rPr>
      </w:pPr>
      <w:r>
        <w:rPr>
          <w:rFonts w:cs="Arial"/>
          <w:bCs/>
        </w:rPr>
        <w:t>dvigu produktivnosti ter izboljšanja poslovnega okolja za investitorje (podpora za dekarbonizacijo, produktivnost in konkurenčnost podjetij, vzpostavitev poslovnih con),</w:t>
      </w:r>
    </w:p>
    <w:p w14:paraId="72FDB8EC" w14:textId="77777777" w:rsidR="00EB773A" w:rsidRDefault="00EB773A" w:rsidP="00EB773A">
      <w:pPr>
        <w:pStyle w:val="ListParagraph"/>
        <w:numPr>
          <w:ilvl w:val="0"/>
          <w:numId w:val="26"/>
        </w:numPr>
        <w:spacing w:line="276" w:lineRule="auto"/>
        <w:rPr>
          <w:rFonts w:cs="Arial"/>
          <w:bCs/>
        </w:rPr>
      </w:pPr>
      <w:r>
        <w:rPr>
          <w:rFonts w:cs="Arial"/>
          <w:bCs/>
        </w:rPr>
        <w:t xml:space="preserve">krepitvi kompetenc (zlasti digitalnih in tistih, ki jih zahtevajo novi poklici in zeleni prehod), </w:t>
      </w:r>
    </w:p>
    <w:p w14:paraId="0AAC271B" w14:textId="77777777" w:rsidR="00EB773A" w:rsidRDefault="00EB773A" w:rsidP="00EB773A">
      <w:pPr>
        <w:pStyle w:val="ListParagraph"/>
        <w:numPr>
          <w:ilvl w:val="0"/>
          <w:numId w:val="26"/>
        </w:numPr>
        <w:spacing w:line="276" w:lineRule="auto"/>
        <w:rPr>
          <w:rFonts w:cs="Arial"/>
          <w:bCs/>
        </w:rPr>
      </w:pPr>
      <w:r>
        <w:rPr>
          <w:rFonts w:cs="Arial"/>
          <w:bCs/>
        </w:rPr>
        <w:t xml:space="preserve">ukrepi za čisto in varno okolje (odvajanje in čiščenje komunalnih voda, oskrba in varčevanje s pitno vodo, zmanjševanje poplavne ogroženosti), </w:t>
      </w:r>
    </w:p>
    <w:p w14:paraId="0964E38B" w14:textId="77777777" w:rsidR="00EB773A" w:rsidRDefault="00EB773A" w:rsidP="00EB773A">
      <w:pPr>
        <w:pStyle w:val="ListParagraph"/>
        <w:numPr>
          <w:ilvl w:val="0"/>
          <w:numId w:val="26"/>
        </w:numPr>
        <w:spacing w:line="276" w:lineRule="auto"/>
        <w:rPr>
          <w:rFonts w:cs="Arial"/>
          <w:bCs/>
        </w:rPr>
      </w:pPr>
      <w:r>
        <w:rPr>
          <w:rFonts w:cs="Arial"/>
          <w:bCs/>
        </w:rPr>
        <w:t xml:space="preserve">projektu krožnega gospodarstva, </w:t>
      </w:r>
    </w:p>
    <w:p w14:paraId="7E7A0FD4" w14:textId="77777777" w:rsidR="00EB773A" w:rsidRDefault="00EB773A" w:rsidP="00EB773A">
      <w:pPr>
        <w:pStyle w:val="ListParagraph"/>
        <w:numPr>
          <w:ilvl w:val="0"/>
          <w:numId w:val="26"/>
        </w:numPr>
        <w:spacing w:line="276" w:lineRule="auto"/>
        <w:rPr>
          <w:rFonts w:cs="Arial"/>
          <w:bCs/>
        </w:rPr>
      </w:pPr>
      <w:r>
        <w:rPr>
          <w:rFonts w:cs="Arial"/>
          <w:bCs/>
        </w:rPr>
        <w:t>zdravstvu (učinkovita obravnava nalezljivih bolezni) in</w:t>
      </w:r>
    </w:p>
    <w:p w14:paraId="2BBE2B08" w14:textId="77777777" w:rsidR="00EB773A" w:rsidRDefault="00EB773A" w:rsidP="00EB773A">
      <w:pPr>
        <w:pStyle w:val="ListParagraph"/>
        <w:numPr>
          <w:ilvl w:val="0"/>
          <w:numId w:val="26"/>
        </w:numPr>
        <w:spacing w:line="276" w:lineRule="auto"/>
        <w:rPr>
          <w:rFonts w:cs="Arial"/>
          <w:bCs/>
        </w:rPr>
      </w:pPr>
      <w:r>
        <w:rPr>
          <w:rFonts w:cs="Arial"/>
          <w:bCs/>
        </w:rPr>
        <w:t xml:space="preserve">zagotavljanju javnih najemnih stanovanj. </w:t>
      </w:r>
    </w:p>
    <w:p w14:paraId="57121BF5" w14:textId="79E4C7A1" w:rsidR="00EB773A" w:rsidRDefault="00EB773A" w:rsidP="00EB773A">
      <w:pPr>
        <w:spacing w:line="276" w:lineRule="auto"/>
        <w:jc w:val="both"/>
        <w:rPr>
          <w:rFonts w:ascii="Arial" w:hAnsi="Arial" w:cs="Arial"/>
          <w:bCs/>
        </w:rPr>
      </w:pPr>
      <w:r>
        <w:rPr>
          <w:rFonts w:ascii="Arial" w:hAnsi="Arial" w:cs="Arial"/>
          <w:bCs/>
        </w:rPr>
        <w:lastRenderedPageBreak/>
        <w:t>Ključna reforma, sprejeta v letu 2023, je sprejetje Zakona o dolgotrajni oskrbi</w:t>
      </w:r>
      <w:r w:rsidR="00F4150E">
        <w:rPr>
          <w:rFonts w:ascii="Arial" w:hAnsi="Arial" w:cs="Arial"/>
          <w:bCs/>
        </w:rPr>
        <w:t>, ki bo uveljavljen v letu 2024</w:t>
      </w:r>
      <w:r>
        <w:rPr>
          <w:rFonts w:ascii="Arial" w:hAnsi="Arial" w:cs="Arial"/>
          <w:bCs/>
        </w:rPr>
        <w:t xml:space="preserve">. Zakon predstavlja celovito in sistemsko rešitev na področju socialnega varstva, saj ureja tako izvedbeni del kot financiranje področja. </w:t>
      </w:r>
    </w:p>
    <w:p w14:paraId="6CC75AE5" w14:textId="77777777" w:rsidR="00EB773A" w:rsidRDefault="00EB773A" w:rsidP="00EB773A">
      <w:pPr>
        <w:spacing w:line="276" w:lineRule="auto"/>
        <w:jc w:val="both"/>
        <w:rPr>
          <w:rFonts w:ascii="Arial" w:hAnsi="Arial" w:cs="Arial"/>
          <w:bCs/>
        </w:rPr>
      </w:pPr>
      <w:r>
        <w:rPr>
          <w:rFonts w:ascii="Arial" w:hAnsi="Arial" w:cs="Arial"/>
          <w:bCs/>
        </w:rPr>
        <w:t xml:space="preserve">Podobni ukrepi kot v letu 2023 se bodo nadaljevali tudi v letu 2024, pri čemer se bodo okrepili projekti na področju obnovljivih virov energije in učinkovite rabe energije v gospodarstvu, čistega in varnega okolja, trajnostne prenove stavb, krožnega gospodarstva in digitalne preobrazbe gospodarstva, trajnostnega razvoja turizma, zdravstva in stanovanjske politike. </w:t>
      </w:r>
    </w:p>
    <w:p w14:paraId="36F6FBAD" w14:textId="77777777" w:rsidR="00EB773A" w:rsidRDefault="00EB773A" w:rsidP="00EB773A">
      <w:pPr>
        <w:jc w:val="both"/>
        <w:rPr>
          <w:rFonts w:ascii="Arial" w:hAnsi="Arial" w:cs="Arial"/>
          <w:bCs/>
        </w:rPr>
      </w:pPr>
      <w:r>
        <w:rPr>
          <w:rFonts w:ascii="Arial" w:hAnsi="Arial" w:cs="Arial"/>
        </w:rPr>
        <w:t xml:space="preserve">Zaradi znižanja višine razpoložljivih nepovratnih sredstev iz Mehanizma za okrevanje in odpornost, doseganja ciljev načrta REPowerEU za zmanjšanje odvisnosti od ruskih goriv ter ostalih objektivnih okoliščin, kot so inflacija in motnje v dobavni verigi zaradi vojne v Ukrajini, je Slovenija 14. julija 2023 na Evropsko komisijo posredovala predlog spremembe NOO. Predlog spremembe načrta ne posega v osnovni namen. V načrtu so se ohranile naložbe in ključne reforme, ki bodo lahko v največji meri sledile načrtovani tesni časovnici. Pri pripravi dodatnih vsebin za novo poglavje REPowerEU je vlada sledila načelu komplementarnosti z obstoječimi ukrepi NOO, in sicer na področju energetske učinkovitosti, obnovljivih virov energije in trajnostne mobilnosti. </w:t>
      </w:r>
    </w:p>
    <w:p w14:paraId="3C21F8AF" w14:textId="31B26B67" w:rsidR="00EB773A" w:rsidRDefault="00EB773A" w:rsidP="00EB773A">
      <w:pPr>
        <w:jc w:val="both"/>
        <w:rPr>
          <w:rFonts w:ascii="Arial" w:hAnsi="Arial" w:cs="Arial"/>
          <w:bCs/>
        </w:rPr>
      </w:pPr>
      <w:r>
        <w:rPr>
          <w:rFonts w:ascii="Arial" w:hAnsi="Arial" w:cs="Arial"/>
          <w:color w:val="000000"/>
          <w:shd w:val="clear" w:color="auto" w:fill="FFFFFF"/>
        </w:rPr>
        <w:t xml:space="preserve">V luči izrednih razmer zaradi poplav je Vlada </w:t>
      </w:r>
      <w:r w:rsidR="00DF2161">
        <w:rPr>
          <w:rFonts w:ascii="Arial" w:hAnsi="Arial" w:cs="Arial"/>
          <w:color w:val="000000"/>
          <w:shd w:val="clear" w:color="auto" w:fill="FFFFFF"/>
        </w:rPr>
        <w:t>RS</w:t>
      </w:r>
      <w:r>
        <w:rPr>
          <w:rFonts w:ascii="Arial" w:hAnsi="Arial" w:cs="Arial"/>
          <w:color w:val="000000"/>
          <w:shd w:val="clear" w:color="auto" w:fill="FFFFFF"/>
        </w:rPr>
        <w:t xml:space="preserve"> 31. avgusta 2023 Evropski komisiji posredovala seznam možnih področij za najem dodatnih posojil in ponovnega angažiranja dela že potrjenih posojil, in sicer </w:t>
      </w:r>
      <w:r>
        <w:rPr>
          <w:rFonts w:ascii="Arial" w:hAnsi="Arial" w:cs="Arial"/>
          <w:bCs/>
        </w:rPr>
        <w:t>za namen financiranja na področjih trajnostne prenove stavb, povečanja zmogljivosti železniške infrastrukture in zmanjševanja poplavne ogroženosti</w:t>
      </w:r>
      <w:r w:rsidR="00DF2161">
        <w:rPr>
          <w:rFonts w:ascii="Arial" w:hAnsi="Arial" w:cs="Arial"/>
          <w:bCs/>
        </w:rPr>
        <w:t>,</w:t>
      </w:r>
      <w:r>
        <w:rPr>
          <w:rFonts w:ascii="Arial" w:hAnsi="Arial" w:cs="Arial"/>
          <w:bCs/>
        </w:rPr>
        <w:t xml:space="preserve"> </w:t>
      </w:r>
      <w:r w:rsidRPr="00DF2161">
        <w:rPr>
          <w:rFonts w:ascii="Arial" w:hAnsi="Arial" w:cs="Arial"/>
          <w:bCs/>
        </w:rPr>
        <w:t>z</w:t>
      </w:r>
      <w:r>
        <w:rPr>
          <w:rFonts w:ascii="Arial" w:hAnsi="Arial" w:cs="Arial"/>
          <w:bCs/>
        </w:rPr>
        <w:t>manjševanja tveganja za druge podnebno pogojene nesreče ter</w:t>
      </w:r>
      <w:r>
        <w:rPr>
          <w:rFonts w:ascii="Arial" w:hAnsi="Arial" w:cs="Arial"/>
          <w:lang w:eastAsia="sl-SI"/>
        </w:rPr>
        <w:t xml:space="preserve"> za financiranje projektov protipoplavne ureditve. </w:t>
      </w:r>
      <w:r>
        <w:rPr>
          <w:rFonts w:ascii="Arial" w:hAnsi="Arial" w:cs="Arial"/>
          <w:bCs/>
        </w:rPr>
        <w:t xml:space="preserve">Končni znesek dodatnih posojil, ki bodo še letos potrjena v okviru spremembe NOO, bo lahko nižji od zaprošenega. </w:t>
      </w:r>
      <w:r>
        <w:rPr>
          <w:rFonts w:ascii="Arial" w:hAnsi="Arial" w:cs="Arial"/>
        </w:rPr>
        <w:t>Evropska komisija je 29.9.2023 pozitivno ocenila predlog spremembe slovenskega Načrta za okrevanje in odpornost. Obnovljeni načrt, ki po novem vključuje tudi poglavje REPowerEU, bo vreden 1,61 milijarde evrov nepovratnih evropskih sredstev in 1,07 milijarde evrov posojil. Zajemal bo 34 reform in 49 naložb.</w:t>
      </w:r>
    </w:p>
    <w:p w14:paraId="7907C7B0" w14:textId="77777777" w:rsidR="00AF0788" w:rsidRDefault="00AF0788" w:rsidP="002F61A9">
      <w:pPr>
        <w:jc w:val="both"/>
        <w:rPr>
          <w:rFonts w:ascii="Arial" w:hAnsi="Arial" w:cs="Arial"/>
          <w:bCs/>
        </w:rPr>
      </w:pPr>
    </w:p>
    <w:p w14:paraId="6277FF0D" w14:textId="77777777" w:rsidR="002F61A9" w:rsidRPr="00D96A7C" w:rsidRDefault="002F61A9" w:rsidP="00D96A7C">
      <w:pPr>
        <w:rPr>
          <w:rFonts w:ascii="Arial" w:hAnsi="Arial" w:cs="Arial"/>
          <w:b/>
          <w:bCs/>
          <w:u w:val="single"/>
        </w:rPr>
      </w:pPr>
      <w:r w:rsidRPr="00D96A7C">
        <w:rPr>
          <w:rFonts w:ascii="Arial" w:hAnsi="Arial" w:cs="Arial"/>
          <w:b/>
          <w:bCs/>
          <w:u w:val="single"/>
        </w:rPr>
        <w:t xml:space="preserve">Strukturne spremembe </w:t>
      </w:r>
    </w:p>
    <w:p w14:paraId="308093D5" w14:textId="77777777" w:rsidR="002F61A9" w:rsidRPr="00DC7C8C" w:rsidRDefault="002F61A9" w:rsidP="002F61A9">
      <w:pPr>
        <w:pStyle w:val="ListParagraph"/>
        <w:rPr>
          <w:rFonts w:cs="Arial"/>
          <w:b/>
          <w:bCs/>
        </w:rPr>
      </w:pPr>
    </w:p>
    <w:p w14:paraId="4FB41165" w14:textId="3CCEBD09" w:rsidR="002F61A9" w:rsidRPr="00D96A7C" w:rsidRDefault="002F61A9" w:rsidP="00D96A7C">
      <w:pPr>
        <w:pStyle w:val="ListParagraph"/>
        <w:numPr>
          <w:ilvl w:val="0"/>
          <w:numId w:val="26"/>
        </w:numPr>
        <w:rPr>
          <w:rFonts w:cs="Arial"/>
          <w:b/>
          <w:bCs/>
          <w:i/>
          <w:iCs/>
        </w:rPr>
      </w:pPr>
      <w:r w:rsidRPr="00D96A7C">
        <w:rPr>
          <w:rFonts w:cs="Arial"/>
          <w:b/>
          <w:bCs/>
          <w:i/>
          <w:iCs/>
        </w:rPr>
        <w:t xml:space="preserve">Reforma sistemov socialne zaščite </w:t>
      </w:r>
    </w:p>
    <w:p w14:paraId="1332FF84" w14:textId="77777777" w:rsidR="003600A0" w:rsidRDefault="003600A0" w:rsidP="003600A0">
      <w:pPr>
        <w:tabs>
          <w:tab w:val="left" w:pos="2055"/>
        </w:tabs>
        <w:spacing w:after="0"/>
        <w:jc w:val="both"/>
        <w:rPr>
          <w:rFonts w:ascii="Arial" w:hAnsi="Arial" w:cs="Arial"/>
          <w:b/>
        </w:rPr>
      </w:pPr>
    </w:p>
    <w:p w14:paraId="4A0C2050" w14:textId="0A344B22" w:rsidR="002F61A9" w:rsidRPr="00AF0788" w:rsidRDefault="002F61A9" w:rsidP="00AF0788">
      <w:pPr>
        <w:tabs>
          <w:tab w:val="left" w:pos="2055"/>
        </w:tabs>
        <w:jc w:val="both"/>
        <w:rPr>
          <w:rFonts w:ascii="Arial" w:hAnsi="Arial" w:cs="Arial"/>
          <w:bCs/>
        </w:rPr>
      </w:pPr>
      <w:r w:rsidRPr="00AF0788">
        <w:rPr>
          <w:rFonts w:ascii="Arial" w:hAnsi="Arial" w:cs="Arial"/>
          <w:b/>
        </w:rPr>
        <w:t xml:space="preserve">Zdravstvo </w:t>
      </w:r>
      <w:r w:rsidRPr="00AF0788">
        <w:rPr>
          <w:rFonts w:ascii="Arial" w:hAnsi="Arial" w:cs="Arial"/>
          <w:bCs/>
        </w:rPr>
        <w:t xml:space="preserve">ostaja ključno področje dela vlade. Poleg priprav zdravstvene reforme so bile septembra 2023 predstavljene usmeritve zdravstvene politike za leti 2024 in 2025. Naslovljene so prednostne naloge na področju zdravstva, s katerimi bo v naslednjih dveh letih zagotovljena večja stabilnost zdravstvenega sistema. Cilj je povečana dostopnost do zdravstvenih storitev, izboljšani bodo izidi zdravljenja preko izmenjave dobrih praks med zdravstvenimi izvajalci, hkrati pa bo z razvojem in optimizacijo organizacije dela ter procesov zmanjšana neenakost med prebivalci na ravni države in posameznih regij.  </w:t>
      </w:r>
    </w:p>
    <w:p w14:paraId="4E4087FC" w14:textId="55F5958F" w:rsidR="002F61A9" w:rsidRDefault="002F61A9" w:rsidP="003600A0">
      <w:pPr>
        <w:spacing w:after="0"/>
        <w:jc w:val="both"/>
        <w:rPr>
          <w:rFonts w:ascii="Arial" w:hAnsi="Arial" w:cs="Arial"/>
          <w:bCs/>
        </w:rPr>
      </w:pPr>
      <w:r w:rsidRPr="0020683D">
        <w:rPr>
          <w:rFonts w:ascii="Arial" w:hAnsi="Arial" w:cs="Arial"/>
          <w:bCs/>
        </w:rPr>
        <w:t>Ukrepi za zdravstveno blagajno so predvideni tudi v novem zakonu</w:t>
      </w:r>
      <w:r w:rsidR="0020683D" w:rsidRPr="0020683D">
        <w:rPr>
          <w:rFonts w:ascii="Arial" w:hAnsi="Arial" w:cs="Arial"/>
          <w:bCs/>
        </w:rPr>
        <w:t>,</w:t>
      </w:r>
      <w:r w:rsidR="00DF2161">
        <w:rPr>
          <w:rFonts w:ascii="Arial" w:hAnsi="Arial" w:cs="Arial"/>
          <w:bCs/>
        </w:rPr>
        <w:t xml:space="preserve"> ki je v pripravi</w:t>
      </w:r>
      <w:r w:rsidRPr="00AF0788">
        <w:rPr>
          <w:rFonts w:ascii="Arial" w:hAnsi="Arial" w:cs="Arial"/>
          <w:bCs/>
        </w:rPr>
        <w:t xml:space="preserve">. Zakon uvaja nekatere ukrepe vezane na zdravstveno blagajno, ki bodo trajne narave in tako predstavljajo strukturno reformo. Več členov se nanaša na urejanje absentizma, pri čemer  je eden izmed glavnih ukrepov  vrnitev bolniških odsotnosti delodajalca z 20 na 30 delovnih dni, ukrep pa naj bi veljal od 1.12.2023 naprej, ocenjeni finančni prihranek pa znaša 73 mio EUR letno. Zakon tudi znižuje nadomestilo za čas zadržanosti od dela zaradi izolacije za 10 </w:t>
      </w:r>
      <w:r w:rsidR="00642554">
        <w:rPr>
          <w:rFonts w:ascii="Arial" w:hAnsi="Arial" w:cs="Arial"/>
          <w:bCs/>
        </w:rPr>
        <w:t>o.t.</w:t>
      </w:r>
      <w:r w:rsidRPr="00AF0788">
        <w:rPr>
          <w:rFonts w:ascii="Arial" w:hAnsi="Arial" w:cs="Arial"/>
          <w:bCs/>
        </w:rPr>
        <w:t xml:space="preserve"> in ga tako izenačuje z višino za čas zadržanosti od dela zaradi bolezni, hkrati pa odpravlja razlikovanje odmernega odstotka nadomestila glede na obdobje izplačevanja in predpisuje </w:t>
      </w:r>
      <w:r w:rsidRPr="00AF0788">
        <w:rPr>
          <w:rFonts w:ascii="Arial" w:hAnsi="Arial" w:cs="Arial"/>
          <w:bCs/>
        </w:rPr>
        <w:lastRenderedPageBreak/>
        <w:t>standardno stopnjo</w:t>
      </w:r>
      <w:r w:rsidR="00046336">
        <w:rPr>
          <w:rFonts w:ascii="Arial" w:hAnsi="Arial" w:cs="Arial"/>
          <w:bCs/>
        </w:rPr>
        <w:t xml:space="preserve">. </w:t>
      </w:r>
      <w:r w:rsidRPr="00AF0788">
        <w:rPr>
          <w:rFonts w:ascii="Arial" w:hAnsi="Arial" w:cs="Arial"/>
          <w:bCs/>
        </w:rPr>
        <w:t>Ocenjene finančne posledice ukrepa na letni ravni znašajo 25 milijonov evrov. Zakon uvaja sistemsko povračilo za zdravila v primeru, ko dejanski odhodki ZZZS presegajo načrtovane izdatke in sicer na način, da farmacevtske družbe krijejo 40 % delež presežnih izdatkov obveznega zavarovanja za zdravila. Zakon skrajšuje obdobje plačevanja izbranih zdravstvenih storitev z namenom skrajševanja čakalnih vrst, in sicer sedanjega 31.12.2024 na 31.12.2023. Predvideni prihranek znaša slabih 29 milijonov evrov. Za namene povečane dostopnosti do zdravstvenih storitev pa uvaja plačilo izbranih zdravstvenih storitev po realizaciji. Ukrep iz tega člena je začasne narave in velja do 31.12.2024.</w:t>
      </w:r>
    </w:p>
    <w:p w14:paraId="0A5F2A42" w14:textId="77777777" w:rsidR="003600A0" w:rsidRPr="00AF0788" w:rsidRDefault="003600A0" w:rsidP="003600A0">
      <w:pPr>
        <w:spacing w:after="0"/>
        <w:jc w:val="both"/>
        <w:rPr>
          <w:rFonts w:ascii="Arial" w:hAnsi="Arial" w:cs="Arial"/>
          <w:bCs/>
        </w:rPr>
      </w:pPr>
    </w:p>
    <w:p w14:paraId="1CADB01B" w14:textId="7FE4CECF" w:rsidR="002F61A9" w:rsidRDefault="002F61A9" w:rsidP="003600A0">
      <w:pPr>
        <w:spacing w:after="0"/>
        <w:jc w:val="both"/>
        <w:rPr>
          <w:rFonts w:ascii="Arial" w:hAnsi="Arial" w:cs="Arial"/>
          <w:color w:val="000000"/>
          <w:shd w:val="clear" w:color="auto" w:fill="FFFFFF"/>
        </w:rPr>
      </w:pPr>
      <w:r w:rsidRPr="00AF0788">
        <w:rPr>
          <w:rFonts w:ascii="Arial" w:hAnsi="Arial" w:cs="Arial"/>
          <w:color w:val="000000"/>
          <w:shd w:val="clear" w:color="auto" w:fill="FFFFFF"/>
        </w:rPr>
        <w:t xml:space="preserve">Julija 2023 je pristojno ministrstvo za delo socialnim partnerjem predstavilo izhodišča za </w:t>
      </w:r>
      <w:r w:rsidRPr="00AF0788">
        <w:rPr>
          <w:rFonts w:ascii="Arial" w:hAnsi="Arial" w:cs="Arial"/>
          <w:b/>
          <w:bCs/>
          <w:color w:val="000000"/>
          <w:shd w:val="clear" w:color="auto" w:fill="FFFFFF"/>
        </w:rPr>
        <w:t>pokojninsko reformo</w:t>
      </w:r>
      <w:r w:rsidRPr="00AF0788">
        <w:rPr>
          <w:rFonts w:ascii="Arial" w:hAnsi="Arial" w:cs="Arial"/>
          <w:color w:val="000000"/>
          <w:shd w:val="clear" w:color="auto" w:fill="FFFFFF"/>
        </w:rPr>
        <w:t xml:space="preserve">, ki sledijo rešitvam Bele knjige o pokojninah in na njej temelječih usklajenih izhodiščih za prenovo sistema pokojninskega in invalidskega zavarovanja iz leta 2017 (dogovor s socialnimi partnerji). Omenjena izhodišča tako predstavljajo podlago za nadaljnjo javno razpravo in nato sprejem sprememb na področju pokojninskega in invalidskega zavarovanja. Med ključnimi ukrepi so postopno zvišanje upokojitvene starosti, sprememba odmernega odstotka, sprememba dolžine let zavarovanja za izračun pokojninske osnove ter spremenjeno usklajevanje pokojnin, ki bi se v večji meri vezalo na inflacijo. Dodatno pokojninsko zavarovanje bi se urejalo v okviru posebnega zakona. </w:t>
      </w:r>
    </w:p>
    <w:p w14:paraId="07DEDB2E" w14:textId="77777777" w:rsidR="003600A0" w:rsidRPr="00AF0788" w:rsidRDefault="003600A0" w:rsidP="003600A0">
      <w:pPr>
        <w:spacing w:after="0"/>
        <w:jc w:val="both"/>
        <w:rPr>
          <w:rFonts w:ascii="Arial" w:hAnsi="Arial" w:cs="Arial"/>
          <w:color w:val="000000"/>
          <w:shd w:val="clear" w:color="auto" w:fill="FFFFFF"/>
        </w:rPr>
      </w:pPr>
    </w:p>
    <w:p w14:paraId="4E49C251" w14:textId="04B3DB1E" w:rsidR="002F61A9" w:rsidRDefault="002F61A9" w:rsidP="003600A0">
      <w:pPr>
        <w:spacing w:after="0"/>
        <w:jc w:val="both"/>
        <w:rPr>
          <w:rFonts w:ascii="Arial" w:hAnsi="Arial" w:cs="Arial"/>
          <w:bCs/>
        </w:rPr>
      </w:pPr>
      <w:r w:rsidRPr="00AF0788">
        <w:rPr>
          <w:rFonts w:ascii="Arial" w:hAnsi="Arial" w:cs="Arial"/>
          <w:bCs/>
        </w:rPr>
        <w:t xml:space="preserve">Ključna reforma, sprejeta v letu 2023, je sprejetje </w:t>
      </w:r>
      <w:r w:rsidRPr="00AF0788">
        <w:rPr>
          <w:rFonts w:ascii="Arial" w:hAnsi="Arial" w:cs="Arial"/>
          <w:b/>
          <w:bCs/>
        </w:rPr>
        <w:t>Zakona o dolgotrajni oskrbi</w:t>
      </w:r>
      <w:r w:rsidRPr="00AF0788">
        <w:rPr>
          <w:rFonts w:ascii="Arial" w:hAnsi="Arial" w:cs="Arial"/>
          <w:bCs/>
        </w:rPr>
        <w:t>, ki bo uveljavljen z letom 2024. Zakon predstavlja celovito in sistemsko rešitev na področju socialnega varstva, saj ureja tako izvedbeni del kot financiranje področja. Ena ključnih sistemskih novosti, ki jo uvaja Zakon o dolgotrajni oskrbi je zagotovljen sistem javnega financiranja. Poleg letnega proračunskega deleža bodo delež prispevali tudi delavci, delodajalci in upokojenci. Uveljavljanje novih storitev dolgotrajne oskrbe bo potekalo postopoma. Prva sprememba bo začela veljati že z začetkom leta 2024 in se bo nanašala na status oskrbovancev družinskih članov. V letu 2025 (julija) bo uvedena dolgotrajna oskrba na domu, e-oskrba in prispevek za dolgotrajno oskrbo. Konec leta 2025 (decembra) pa je določena krepitev področja dolgotrajne oskrbe v instituciji in denarni prejemek.</w:t>
      </w:r>
    </w:p>
    <w:p w14:paraId="02E9C905" w14:textId="77777777" w:rsidR="00AF0788" w:rsidRPr="00AF0788" w:rsidRDefault="00AF0788" w:rsidP="00AF0788">
      <w:pPr>
        <w:jc w:val="both"/>
        <w:rPr>
          <w:rFonts w:ascii="Arial" w:hAnsi="Arial" w:cs="Arial"/>
          <w:bCs/>
        </w:rPr>
      </w:pPr>
    </w:p>
    <w:p w14:paraId="7EB07457" w14:textId="5210BF98" w:rsidR="002F61A9" w:rsidRPr="00D96A7C" w:rsidRDefault="002F61A9" w:rsidP="00D96A7C">
      <w:pPr>
        <w:pStyle w:val="ListParagraph"/>
        <w:numPr>
          <w:ilvl w:val="0"/>
          <w:numId w:val="26"/>
        </w:numPr>
        <w:rPr>
          <w:rFonts w:cs="Arial"/>
          <w:b/>
          <w:bCs/>
          <w:i/>
          <w:iCs/>
        </w:rPr>
      </w:pPr>
      <w:bookmarkStart w:id="21" w:name="_Hlk145945682"/>
      <w:r w:rsidRPr="00D96A7C">
        <w:rPr>
          <w:rFonts w:cs="Arial"/>
          <w:b/>
          <w:bCs/>
          <w:i/>
          <w:iCs/>
        </w:rPr>
        <w:t>Reforma plačnega sistema v javnem sektorju</w:t>
      </w:r>
    </w:p>
    <w:p w14:paraId="10654EBC" w14:textId="77777777" w:rsidR="003600A0" w:rsidRDefault="003600A0" w:rsidP="003600A0">
      <w:pPr>
        <w:spacing w:after="0"/>
        <w:jc w:val="both"/>
        <w:rPr>
          <w:rFonts w:ascii="Arial" w:hAnsi="Arial" w:cs="Arial"/>
          <w:color w:val="000000"/>
          <w:shd w:val="clear" w:color="auto" w:fill="FFFFFF"/>
        </w:rPr>
      </w:pPr>
    </w:p>
    <w:p w14:paraId="526C226B" w14:textId="24CF2184" w:rsidR="002F61A9" w:rsidRPr="00AF0788" w:rsidRDefault="002F61A9" w:rsidP="00AF0788">
      <w:pPr>
        <w:jc w:val="both"/>
        <w:rPr>
          <w:rFonts w:ascii="Arial" w:hAnsi="Arial" w:cs="Arial"/>
          <w:color w:val="000000"/>
          <w:shd w:val="clear" w:color="auto" w:fill="FFFFFF"/>
        </w:rPr>
      </w:pPr>
      <w:r w:rsidRPr="00AF0788">
        <w:rPr>
          <w:rFonts w:ascii="Arial" w:hAnsi="Arial" w:cs="Arial"/>
          <w:color w:val="000000"/>
          <w:shd w:val="clear" w:color="auto" w:fill="FFFFFF"/>
        </w:rPr>
        <w:t xml:space="preserve">V oktobru 2022 so Vlada Republike Slovenije in reprezentativni sindikati javnega sektorja podpisali Dogovor o ukrepih na področju plač in drugih stroškov dela v javnem sektorju za leti 2022 in 2023, iz katerega izhaja tudi zaveza o začetku usklajevanj sprememb Zakona o sistemu plač v javnem sektorju. Vlada je marcu 2023 sindikatom javnega sektorja posredovala Izhodišča za pogajanja o prenovi plačnega sistema in odpravi nesorazmerjih v osnovnih plačah. Cilji predlagane prenove plačnega sistema javnega sektorja so ohranitev transparentnosti in javno finančna obvladljivost plačnega sistema, enotna ureditev vsebin, ki predstavljajo skupne temelje plačnega sistema, upoštevanje specifik posameznih delov javnega sektorja in dopustitev možnosti, da se določene vsebine uredijo ločeno po posameznih stebrih plačnega sistema, odprava uravnilovke v spodnjem delu plačne lestvice zaradi učinka minimalne plače in vzpostavitev ustreznejših razmerij v plačah med funkcionarji, direktorji in javnimi uslužbenci ter znotraj posameznih stebrov, večja variabilnost, povezana z učinkovitostjo dela (povezanost plače z rezultati dela), večja privlačnost sistema za mlade in zmanjšanje vpliva senioritete na višino </w:t>
      </w:r>
      <w:r w:rsidRPr="00DF2161">
        <w:rPr>
          <w:rFonts w:ascii="Arial" w:hAnsi="Arial" w:cs="Arial"/>
          <w:color w:val="000000"/>
          <w:shd w:val="clear" w:color="auto" w:fill="FFFFFF"/>
        </w:rPr>
        <w:t>plače</w:t>
      </w:r>
      <w:r w:rsidR="00DF2161">
        <w:rPr>
          <w:rFonts w:ascii="Arial" w:hAnsi="Arial" w:cs="Arial"/>
          <w:color w:val="000000"/>
          <w:shd w:val="clear" w:color="auto" w:fill="FFFFFF"/>
        </w:rPr>
        <w:t>.</w:t>
      </w:r>
      <w:r w:rsidRPr="00AF0788">
        <w:rPr>
          <w:rFonts w:ascii="Arial" w:hAnsi="Arial" w:cs="Arial"/>
          <w:color w:val="000000"/>
          <w:shd w:val="clear" w:color="auto" w:fill="FFFFFF"/>
        </w:rPr>
        <w:t xml:space="preserve"> Predvideno je, da se celotno reformo izvede v treh letih, pri čemer bi dinamiko dogovorili s sindikati. Vlada je zaradi avgustovskih poplav in potrebnih virov za ukrepanje predlagala, da se reforma začne izvajati z zamikom enega leta.</w:t>
      </w:r>
    </w:p>
    <w:bookmarkEnd w:id="21"/>
    <w:p w14:paraId="1971439B" w14:textId="77777777" w:rsidR="002F61A9" w:rsidRPr="00AF0788" w:rsidRDefault="002F61A9" w:rsidP="00AF0788">
      <w:pPr>
        <w:jc w:val="both"/>
        <w:rPr>
          <w:rFonts w:ascii="Arial" w:hAnsi="Arial" w:cs="Arial"/>
          <w:bCs/>
        </w:rPr>
      </w:pPr>
    </w:p>
    <w:p w14:paraId="293B57E5" w14:textId="42DACA6A" w:rsidR="002F61A9" w:rsidRPr="00D96A7C" w:rsidRDefault="002F61A9" w:rsidP="00D96A7C">
      <w:pPr>
        <w:pStyle w:val="ListParagraph"/>
        <w:numPr>
          <w:ilvl w:val="0"/>
          <w:numId w:val="26"/>
        </w:numPr>
        <w:rPr>
          <w:rFonts w:cs="Arial"/>
          <w:b/>
          <w:bCs/>
          <w:i/>
          <w:iCs/>
        </w:rPr>
      </w:pPr>
      <w:r w:rsidRPr="00D96A7C">
        <w:rPr>
          <w:rFonts w:cs="Arial"/>
          <w:b/>
          <w:bCs/>
          <w:i/>
          <w:iCs/>
        </w:rPr>
        <w:lastRenderedPageBreak/>
        <w:t>Konkurenčnost, produktivnost, znanje in trg dela</w:t>
      </w:r>
    </w:p>
    <w:p w14:paraId="3A9496E2" w14:textId="77777777" w:rsidR="003600A0" w:rsidRDefault="003600A0" w:rsidP="00AF0788">
      <w:pPr>
        <w:spacing w:after="0"/>
        <w:jc w:val="both"/>
        <w:rPr>
          <w:rFonts w:ascii="Arial" w:hAnsi="Arial" w:cs="Arial"/>
          <w:bCs/>
        </w:rPr>
      </w:pPr>
    </w:p>
    <w:p w14:paraId="64A7A3B6" w14:textId="3945894A" w:rsidR="002F61A9" w:rsidRPr="00AF0788" w:rsidRDefault="002F61A9" w:rsidP="00AF0788">
      <w:pPr>
        <w:spacing w:after="0"/>
        <w:jc w:val="both"/>
        <w:rPr>
          <w:rFonts w:ascii="Arial" w:hAnsi="Arial" w:cs="Arial"/>
          <w:bCs/>
        </w:rPr>
      </w:pPr>
      <w:r w:rsidRPr="00AF0788">
        <w:rPr>
          <w:rFonts w:ascii="Arial" w:hAnsi="Arial" w:cs="Arial"/>
          <w:bCs/>
        </w:rPr>
        <w:t>Na področju konkurenčnosti je bil v septembru 2023 predstavljen predlog</w:t>
      </w:r>
      <w:r w:rsidRPr="00AF0788">
        <w:rPr>
          <w:rFonts w:ascii="Arial" w:hAnsi="Arial" w:cs="Arial"/>
          <w:bCs/>
          <w:color w:val="111111"/>
        </w:rPr>
        <w:t xml:space="preserve">  Akcijskega načrta za povečanje konkurenčnosti slovenskega gospodarstva. </w:t>
      </w:r>
      <w:r w:rsidRPr="00AF0788">
        <w:rPr>
          <w:rFonts w:ascii="Arial" w:hAnsi="Arial" w:cs="Arial"/>
          <w:color w:val="111111"/>
        </w:rPr>
        <w:t xml:space="preserve">Načrt določa novo vizijo Slovenije kot vodilnega evropskega razvojnega središča za napredne tehnologije. Glavni cilj je omogočiti in spodbuditi slovenska podjetja, da postanejo vodilni inovatorji naprednih tehnologij, da Slovenija postane privlačen prostor za raziskovalno razvojne dejavnosti domačih in tujih mednarodnih inovativnih podjetij. </w:t>
      </w:r>
      <w:r w:rsidRPr="00AF0788">
        <w:rPr>
          <w:rFonts w:ascii="Arial" w:hAnsi="Arial" w:cs="Arial"/>
          <w:color w:val="000000"/>
          <w:shd w:val="clear" w:color="auto" w:fill="FFFFFF"/>
        </w:rPr>
        <w:t>Trg dela v Sloveniji beleži</w:t>
      </w:r>
      <w:r w:rsidRPr="00AF0788">
        <w:rPr>
          <w:rFonts w:ascii="Arial" w:hAnsi="Arial" w:cs="Arial"/>
          <w:b/>
          <w:bCs/>
          <w:color w:val="000000"/>
          <w:shd w:val="clear" w:color="auto" w:fill="FFFFFF"/>
        </w:rPr>
        <w:t xml:space="preserve"> </w:t>
      </w:r>
      <w:r w:rsidRPr="00AF0788">
        <w:rPr>
          <w:rFonts w:ascii="Arial" w:hAnsi="Arial" w:cs="Arial"/>
          <w:color w:val="000000"/>
          <w:shd w:val="clear" w:color="auto" w:fill="FFFFFF"/>
        </w:rPr>
        <w:t xml:space="preserve">rekordno nizko stopnjo </w:t>
      </w:r>
      <w:r w:rsidRPr="00DF2161">
        <w:rPr>
          <w:rFonts w:ascii="Arial" w:hAnsi="Arial" w:cs="Arial"/>
          <w:color w:val="000000"/>
          <w:shd w:val="clear" w:color="auto" w:fill="FFFFFF"/>
        </w:rPr>
        <w:t>brezposelnosti</w:t>
      </w:r>
      <w:r w:rsidR="00DF2161">
        <w:rPr>
          <w:rFonts w:ascii="Arial" w:hAnsi="Arial" w:cs="Arial"/>
          <w:color w:val="000000"/>
          <w:shd w:val="clear" w:color="auto" w:fill="FFFFFF"/>
        </w:rPr>
        <w:t>, v</w:t>
      </w:r>
      <w:r w:rsidRPr="00DF2161">
        <w:rPr>
          <w:rFonts w:ascii="Arial" w:hAnsi="Arial" w:cs="Arial"/>
          <w:color w:val="000000"/>
          <w:shd w:val="clear" w:color="auto" w:fill="FFFFFF"/>
        </w:rPr>
        <w:t>endar</w:t>
      </w:r>
      <w:r w:rsidRPr="00AF0788">
        <w:rPr>
          <w:rFonts w:ascii="Arial" w:hAnsi="Arial" w:cs="Arial"/>
          <w:color w:val="000000"/>
          <w:shd w:val="clear" w:color="auto" w:fill="FFFFFF"/>
        </w:rPr>
        <w:t xml:space="preserve"> se Slovenija sooča z izzivi pomanjkanja delovne sile. </w:t>
      </w:r>
      <w:r w:rsidRPr="00AF0788">
        <w:rPr>
          <w:rFonts w:ascii="Arial" w:hAnsi="Arial" w:cs="Arial"/>
          <w:bCs/>
        </w:rPr>
        <w:t xml:space="preserve">Glede na trend  </w:t>
      </w:r>
      <w:r w:rsidRPr="00AF0788">
        <w:rPr>
          <w:rFonts w:ascii="Arial" w:hAnsi="Arial" w:cs="Arial"/>
          <w:color w:val="111111"/>
        </w:rPr>
        <w:t>pomanjkanja delovne sile je Slovenija pristopila k urejanju zaposlovanja tujcev in z Zakonom o spremembah in dopolnitvah Zakona o zaposlovanju, samozaposlovanju in delu tujcev</w:t>
      </w:r>
      <w:r w:rsidR="00373898">
        <w:rPr>
          <w:rFonts w:ascii="Arial" w:hAnsi="Arial" w:cs="Arial"/>
          <w:color w:val="111111"/>
        </w:rPr>
        <w:t xml:space="preserve">, </w:t>
      </w:r>
      <w:r w:rsidR="00373898" w:rsidRPr="001C11EB">
        <w:rPr>
          <w:rFonts w:ascii="Arial" w:hAnsi="Arial" w:cs="Arial"/>
          <w:color w:val="111111"/>
        </w:rPr>
        <w:t>ki</w:t>
      </w:r>
      <w:r w:rsidRPr="001C11EB">
        <w:rPr>
          <w:rFonts w:ascii="Arial" w:hAnsi="Arial" w:cs="Arial"/>
          <w:color w:val="111111"/>
        </w:rPr>
        <w:t xml:space="preserve"> odpravlja nepotrebne administrativne ovire in pospešuje reševanja upravnih zadev. Za</w:t>
      </w:r>
      <w:r w:rsidRPr="00AF0788">
        <w:rPr>
          <w:rFonts w:ascii="Arial" w:hAnsi="Arial" w:cs="Arial"/>
          <w:color w:val="111111"/>
        </w:rPr>
        <w:t xml:space="preserve"> odpravljanje pomanjkanja ustrezne delovne sile se na posameznih področjih podeljujejo štipendije</w:t>
      </w:r>
      <w:r w:rsidRPr="00AF0788">
        <w:rPr>
          <w:rFonts w:ascii="Arial" w:hAnsi="Arial" w:cs="Arial"/>
          <w:bCs/>
        </w:rPr>
        <w:t xml:space="preserve"> (na primer zdravstvo).  S spremembo Zakona o znanstvenoraziskovalni in inovacijski dejavnosti se je omogočilo financiranje raziskav in inovacij na enem mestu (Slovenska raziskovalna in inovacijska agencija).</w:t>
      </w:r>
    </w:p>
    <w:p w14:paraId="0E406DD0" w14:textId="77777777" w:rsidR="002F61A9" w:rsidRPr="00AF0788" w:rsidRDefault="002F61A9" w:rsidP="00AF0788">
      <w:pPr>
        <w:jc w:val="both"/>
        <w:rPr>
          <w:rFonts w:ascii="Arial" w:hAnsi="Arial" w:cs="Arial"/>
          <w:bCs/>
        </w:rPr>
      </w:pPr>
    </w:p>
    <w:p w14:paraId="58C17F3B" w14:textId="7727F4C6" w:rsidR="002F61A9" w:rsidRPr="00D96A7C" w:rsidRDefault="002F61A9" w:rsidP="00D96A7C">
      <w:pPr>
        <w:pStyle w:val="ListParagraph"/>
        <w:numPr>
          <w:ilvl w:val="0"/>
          <w:numId w:val="26"/>
        </w:numPr>
        <w:rPr>
          <w:rFonts w:cs="Arial"/>
          <w:b/>
          <w:bCs/>
          <w:i/>
          <w:iCs/>
        </w:rPr>
      </w:pPr>
      <w:r w:rsidRPr="00D96A7C">
        <w:rPr>
          <w:rFonts w:cs="Arial"/>
          <w:b/>
          <w:bCs/>
          <w:i/>
          <w:iCs/>
        </w:rPr>
        <w:t>Digitalna preobrazba</w:t>
      </w:r>
    </w:p>
    <w:p w14:paraId="37346E88" w14:textId="77777777" w:rsidR="003600A0" w:rsidRDefault="003600A0" w:rsidP="003600A0">
      <w:pPr>
        <w:spacing w:after="0"/>
        <w:jc w:val="both"/>
        <w:rPr>
          <w:rFonts w:ascii="Arial" w:hAnsi="Arial" w:cs="Arial"/>
        </w:rPr>
      </w:pPr>
    </w:p>
    <w:p w14:paraId="123ADCE4" w14:textId="3DD1DDBD" w:rsidR="002F61A9" w:rsidRPr="00AF0788" w:rsidRDefault="002F61A9" w:rsidP="00AF0788">
      <w:pPr>
        <w:jc w:val="both"/>
        <w:rPr>
          <w:rFonts w:ascii="Arial" w:hAnsi="Arial" w:cs="Arial"/>
          <w:bCs/>
        </w:rPr>
      </w:pPr>
      <w:r w:rsidRPr="00AF0788">
        <w:rPr>
          <w:rFonts w:ascii="Arial" w:hAnsi="Arial" w:cs="Arial"/>
        </w:rPr>
        <w:t>Digitalizacija javnih storitev predstavlja enega ključnih elementov digitalne preobrazbe. Ključno področje ukrepanja je vlaganje v digitalne tehnologije, zaradi česar je treba opolnomočiti ljudi, podjetja in upravne sisteme s tehnologijami nove generacije, da bo digitalna preobrazba koristila vsem. Marca 2023</w:t>
      </w:r>
      <w:r w:rsidRPr="00AF0788">
        <w:rPr>
          <w:rFonts w:ascii="Arial" w:hAnsi="Arial" w:cs="Arial"/>
          <w:bCs/>
        </w:rPr>
        <w:t xml:space="preserve"> je bil sprejet </w:t>
      </w:r>
      <w:r w:rsidRPr="00AF0788">
        <w:rPr>
          <w:rFonts w:ascii="Arial" w:hAnsi="Arial" w:cs="Arial"/>
        </w:rPr>
        <w:t>Zakon o spodbujanju digitalne vključenosti,</w:t>
      </w:r>
      <w:r w:rsidRPr="00AF0788">
        <w:rPr>
          <w:rFonts w:ascii="Arial" w:hAnsi="Arial" w:cs="Arial"/>
          <w:bCs/>
        </w:rPr>
        <w:t xml:space="preserve"> ki definira ukrepe za subvencije za dvig digitalnih kompetenc, sooblikovanje politik resornih ministrstev, podporo izobraževalnim in promocijskim kampanjam ali njihovo izvedbo, digitalne bone in mehanizem za zagotavljanje dostopa do računalniške opreme. V letu 2023 je za projekte E-vključenosti predvidenih 22,5 mio evrov, v letu 2024 pa 16,3 mio evrov. </w:t>
      </w:r>
    </w:p>
    <w:p w14:paraId="7738E43A" w14:textId="77777777" w:rsidR="002F61A9" w:rsidRPr="00AF0788" w:rsidRDefault="002F61A9" w:rsidP="00AF0788">
      <w:pPr>
        <w:jc w:val="both"/>
        <w:rPr>
          <w:rFonts w:ascii="Arial" w:hAnsi="Arial" w:cs="Arial"/>
          <w:bCs/>
        </w:rPr>
      </w:pPr>
      <w:r w:rsidRPr="00AF0788">
        <w:rPr>
          <w:rFonts w:ascii="Arial" w:hAnsi="Arial" w:cs="Arial"/>
          <w:bCs/>
        </w:rPr>
        <w:t>Sprejet je bil tudi Akcijski načrt Strategije digitalnih javnih storitev 2030 za obdobje 2 let. Vizija, ki jo podpira Strategija digitalnih javnih storitev 2030, so digitalne javne storitve, osredotočene na državljane in poslovne subjekte, ki omogočajo povezano, usklajeno, varno ter učinkovito sodelovanje državljanov in podjetij z javno upravo. Jasno je začrtana smer razvoja digitalnih javnih storitev, kar bo omogočilo razvoj preprostih storitev ter spodbujalo njihovo široko uporabo. Akcijski načrt vključuje 106 ukrepov v skupni vrednosti  183 mio evrov. V letu 2023 se je prav tako nadaljeval projekt razvoja širokopasovnih omrežij z EU sredstvi, z integralnimi sredstvi pa je bilo največ investiranega v nadaljevanje razvoja urejanja področja informacijske družbe in elektronskih komunikacij v vrednosti 14,7 mio evrov in v informacijsko in kibernetsko varnost v vrednosti 1,6 mio evrov.</w:t>
      </w:r>
    </w:p>
    <w:p w14:paraId="60241849" w14:textId="05076F96" w:rsidR="002F61A9" w:rsidRPr="00D96A7C" w:rsidRDefault="002F61A9" w:rsidP="00D96A7C">
      <w:pPr>
        <w:pStyle w:val="ListParagraph"/>
        <w:numPr>
          <w:ilvl w:val="0"/>
          <w:numId w:val="26"/>
        </w:numPr>
        <w:rPr>
          <w:rFonts w:cs="Arial"/>
          <w:b/>
          <w:bCs/>
          <w:i/>
          <w:iCs/>
        </w:rPr>
      </w:pPr>
      <w:r w:rsidRPr="00D96A7C">
        <w:rPr>
          <w:rFonts w:cs="Arial"/>
          <w:b/>
          <w:bCs/>
          <w:i/>
          <w:iCs/>
        </w:rPr>
        <w:t xml:space="preserve">Zeleni prehod </w:t>
      </w:r>
    </w:p>
    <w:p w14:paraId="70C02F83" w14:textId="77777777" w:rsidR="003600A0" w:rsidRDefault="003600A0" w:rsidP="00AF0788">
      <w:pPr>
        <w:pStyle w:val="BodyText"/>
        <w:spacing w:line="259" w:lineRule="auto"/>
        <w:ind w:right="221"/>
        <w:jc w:val="both"/>
        <w:rPr>
          <w:rFonts w:ascii="Arial" w:hAnsi="Arial" w:cs="Arial"/>
          <w:sz w:val="22"/>
          <w:szCs w:val="22"/>
          <w:lang w:val="sl-SI"/>
        </w:rPr>
      </w:pPr>
    </w:p>
    <w:p w14:paraId="63C48547" w14:textId="4D41CF72" w:rsidR="002F61A9" w:rsidRPr="00AF0788" w:rsidRDefault="002F61A9" w:rsidP="00AF0788">
      <w:pPr>
        <w:pStyle w:val="BodyText"/>
        <w:spacing w:line="259" w:lineRule="auto"/>
        <w:ind w:right="221"/>
        <w:jc w:val="both"/>
        <w:rPr>
          <w:rFonts w:ascii="Arial" w:hAnsi="Arial" w:cs="Arial"/>
          <w:sz w:val="22"/>
          <w:szCs w:val="22"/>
          <w:lang w:val="sl-SI"/>
        </w:rPr>
      </w:pPr>
      <w:r w:rsidRPr="00AF0788">
        <w:rPr>
          <w:rFonts w:ascii="Arial" w:hAnsi="Arial" w:cs="Arial"/>
          <w:sz w:val="22"/>
          <w:szCs w:val="22"/>
          <w:lang w:val="sl-SI"/>
        </w:rPr>
        <w:t>Med ukrepe za zeleni prehod lahko izpostavimo:</w:t>
      </w:r>
    </w:p>
    <w:p w14:paraId="0539F00E" w14:textId="77777777" w:rsidR="002F61A9" w:rsidRPr="00AF0788" w:rsidRDefault="002F61A9" w:rsidP="00AF0788">
      <w:pPr>
        <w:pStyle w:val="BodyText"/>
        <w:numPr>
          <w:ilvl w:val="0"/>
          <w:numId w:val="24"/>
        </w:numPr>
        <w:spacing w:line="259" w:lineRule="auto"/>
        <w:ind w:left="360" w:right="221"/>
        <w:jc w:val="both"/>
        <w:rPr>
          <w:rFonts w:ascii="Arial" w:hAnsi="Arial" w:cs="Arial"/>
          <w:sz w:val="22"/>
          <w:szCs w:val="22"/>
          <w:lang w:val="sl-SI"/>
        </w:rPr>
      </w:pPr>
      <w:r w:rsidRPr="00AF0788">
        <w:rPr>
          <w:rFonts w:ascii="Arial" w:hAnsi="Arial" w:cs="Arial"/>
          <w:sz w:val="22"/>
          <w:szCs w:val="22"/>
          <w:lang w:val="sl-SI"/>
        </w:rPr>
        <w:t xml:space="preserve">V javni razpravi je Zakon o podnebnih spremembah, ki bo določal politike in ukrepe za zmanjševanje emisij toplogrednih plinov, prilagajanje na podnebne spremembe in zaščito ozonskega plašča, spremljanje stanja in informacije o izvajanju podnebnih politik, urejal finančne vidike podnebnih sprememb. </w:t>
      </w:r>
    </w:p>
    <w:p w14:paraId="1ABAF4D9" w14:textId="59206A4B" w:rsidR="002F61A9" w:rsidRPr="00AF0788" w:rsidRDefault="002F61A9" w:rsidP="00AF0788">
      <w:pPr>
        <w:pStyle w:val="NormalWeb"/>
        <w:numPr>
          <w:ilvl w:val="0"/>
          <w:numId w:val="24"/>
        </w:numPr>
        <w:spacing w:line="259" w:lineRule="auto"/>
        <w:ind w:left="360"/>
        <w:jc w:val="both"/>
        <w:rPr>
          <w:rFonts w:ascii="Arial" w:hAnsi="Arial" w:cs="Arial"/>
          <w:sz w:val="22"/>
          <w:szCs w:val="22"/>
        </w:rPr>
      </w:pPr>
      <w:r w:rsidRPr="00AF0788">
        <w:rPr>
          <w:rFonts w:ascii="Arial" w:hAnsi="Arial" w:cs="Arial"/>
          <w:sz w:val="22"/>
          <w:szCs w:val="22"/>
        </w:rPr>
        <w:t xml:space="preserve">V letu 2023 je </w:t>
      </w:r>
      <w:r w:rsidR="001C11EB">
        <w:rPr>
          <w:rFonts w:ascii="Arial" w:hAnsi="Arial" w:cs="Arial"/>
          <w:sz w:val="22"/>
          <w:szCs w:val="22"/>
        </w:rPr>
        <w:t xml:space="preserve">bila </w:t>
      </w:r>
      <w:r w:rsidRPr="00AF0788">
        <w:rPr>
          <w:rFonts w:ascii="Arial" w:hAnsi="Arial" w:cs="Arial"/>
          <w:sz w:val="22"/>
          <w:szCs w:val="22"/>
        </w:rPr>
        <w:t xml:space="preserve">sprejeta Uredba o nadomestilu za kritje posrednih stroškov zaradi stroškov emisij toplogrednih plinov v korist določenih sektorjev ali delov sektorjev, ki so izpostavljeni tveganju premestitve emisije CO2. Namen je pomoč sektorjem ali delom sektorjev, ki so izpostavljeni resničnemu tveganju premestitve emisije CO2. Iz Sklada za </w:t>
      </w:r>
      <w:r w:rsidRPr="00AF0788">
        <w:rPr>
          <w:rFonts w:ascii="Arial" w:hAnsi="Arial" w:cs="Arial"/>
          <w:sz w:val="22"/>
          <w:szCs w:val="22"/>
        </w:rPr>
        <w:lastRenderedPageBreak/>
        <w:t>podnebne spremembe bo v obdobju 2023–2025 v ta namen izplačanih okoli 80 milijonov evrov.</w:t>
      </w:r>
    </w:p>
    <w:p w14:paraId="114FDF4F" w14:textId="1E788599" w:rsidR="002F61A9" w:rsidRPr="00AF0788" w:rsidRDefault="002F61A9" w:rsidP="00AF0788">
      <w:pPr>
        <w:pStyle w:val="NormalWeb"/>
        <w:numPr>
          <w:ilvl w:val="0"/>
          <w:numId w:val="24"/>
        </w:numPr>
        <w:spacing w:line="259" w:lineRule="auto"/>
        <w:ind w:left="360"/>
        <w:jc w:val="both"/>
        <w:rPr>
          <w:rFonts w:ascii="Arial" w:hAnsi="Arial" w:cs="Arial"/>
          <w:sz w:val="22"/>
          <w:szCs w:val="22"/>
        </w:rPr>
      </w:pPr>
      <w:r w:rsidRPr="00AF0788">
        <w:rPr>
          <w:rFonts w:ascii="Arial" w:hAnsi="Arial" w:cs="Arial"/>
          <w:sz w:val="22"/>
          <w:szCs w:val="22"/>
        </w:rPr>
        <w:t xml:space="preserve">Vlada je sprejela Načrt zmanjševanja poplavne ogroženosti 2023-2027, ki je pripravljen s ciljem zmanjševanja škodljivih posledic poplav za zdravje ljudi, okolje, kulturno dediščino in gospodarske dejavnosti na območjih pomembnega vpliva poplav in z njimi povezane erozije. Glede na katastrofalne poplave, ki so Slovenijo prizadele v začetku avgusta 2023, so za ta namen predvidena dodatna sredstva predvsem v okviru izvajanja načrta za okrevanje in odpornost. </w:t>
      </w:r>
    </w:p>
    <w:p w14:paraId="40368F33" w14:textId="77777777" w:rsidR="002F61A9" w:rsidRPr="00AF0788" w:rsidRDefault="002F61A9" w:rsidP="00AF0788">
      <w:pPr>
        <w:pStyle w:val="NormalWeb"/>
        <w:numPr>
          <w:ilvl w:val="0"/>
          <w:numId w:val="24"/>
        </w:numPr>
        <w:spacing w:line="259" w:lineRule="auto"/>
        <w:ind w:left="360"/>
        <w:jc w:val="both"/>
        <w:rPr>
          <w:rFonts w:ascii="Arial" w:hAnsi="Arial" w:cs="Arial"/>
          <w:sz w:val="22"/>
          <w:szCs w:val="22"/>
        </w:rPr>
      </w:pPr>
      <w:r w:rsidRPr="00AF0788">
        <w:rPr>
          <w:rFonts w:ascii="Arial" w:hAnsi="Arial" w:cs="Arial"/>
          <w:sz w:val="22"/>
          <w:szCs w:val="22"/>
        </w:rPr>
        <w:t>Na področju energetske politike Slovenija pripravlja revizijo Nacionalnega energetskega in podnebnega načrta v skladu z uredbami EU.</w:t>
      </w:r>
    </w:p>
    <w:p w14:paraId="08206588" w14:textId="77777777" w:rsidR="002F61A9" w:rsidRPr="00AF0788" w:rsidRDefault="002F61A9" w:rsidP="00AF0788">
      <w:pPr>
        <w:pStyle w:val="NormalWeb"/>
        <w:numPr>
          <w:ilvl w:val="0"/>
          <w:numId w:val="24"/>
        </w:numPr>
        <w:spacing w:line="259" w:lineRule="auto"/>
        <w:ind w:left="360"/>
        <w:jc w:val="both"/>
        <w:rPr>
          <w:rFonts w:ascii="Arial" w:hAnsi="Arial" w:cs="Arial"/>
          <w:sz w:val="22"/>
          <w:szCs w:val="22"/>
        </w:rPr>
      </w:pPr>
      <w:r w:rsidRPr="00AF0788">
        <w:rPr>
          <w:rFonts w:ascii="Arial" w:hAnsi="Arial" w:cs="Arial"/>
          <w:sz w:val="22"/>
          <w:szCs w:val="22"/>
        </w:rPr>
        <w:t>V javni obravnavi je Zakon o energetski politiki. Glavni cilji so zanesljiva oskrba z energijo, zagotavljanje učinkovite konkurence na trgu energije, prehod na nizkoogljično družbo in podrobneje ureja prednostno rabo virov in energentov.</w:t>
      </w:r>
    </w:p>
    <w:p w14:paraId="5DE3C941" w14:textId="77777777" w:rsidR="002F61A9" w:rsidRPr="00AF0788" w:rsidRDefault="002F61A9" w:rsidP="00AF0788">
      <w:pPr>
        <w:pStyle w:val="NormalWeb"/>
        <w:numPr>
          <w:ilvl w:val="0"/>
          <w:numId w:val="24"/>
        </w:numPr>
        <w:spacing w:line="259" w:lineRule="auto"/>
        <w:ind w:left="360"/>
        <w:jc w:val="both"/>
        <w:rPr>
          <w:rFonts w:ascii="Arial" w:hAnsi="Arial" w:cs="Arial"/>
          <w:sz w:val="22"/>
          <w:szCs w:val="22"/>
        </w:rPr>
      </w:pPr>
      <w:r w:rsidRPr="00AF0788">
        <w:rPr>
          <w:rFonts w:ascii="Arial" w:hAnsi="Arial" w:cs="Arial"/>
          <w:sz w:val="22"/>
          <w:szCs w:val="22"/>
        </w:rPr>
        <w:t xml:space="preserve">V pripravi so projekti črpalnih hidroelektrarn. Vlada nadaljuje s promocijo in spodbujevalnimi mehanizmi glede postavitve vetrnih elektrarn in postavitev sončnih panelov. </w:t>
      </w:r>
    </w:p>
    <w:p w14:paraId="06AC9AF5" w14:textId="77777777" w:rsidR="002F61A9" w:rsidRPr="00AF0788" w:rsidRDefault="002F61A9" w:rsidP="00AF0788">
      <w:pPr>
        <w:pStyle w:val="NormalWeb"/>
        <w:numPr>
          <w:ilvl w:val="0"/>
          <w:numId w:val="24"/>
        </w:numPr>
        <w:spacing w:line="259" w:lineRule="auto"/>
        <w:ind w:left="360"/>
        <w:jc w:val="both"/>
        <w:rPr>
          <w:rFonts w:ascii="Arial" w:hAnsi="Arial" w:cs="Arial"/>
          <w:sz w:val="22"/>
          <w:szCs w:val="22"/>
        </w:rPr>
      </w:pPr>
      <w:r w:rsidRPr="00AF0788">
        <w:rPr>
          <w:rFonts w:ascii="Arial" w:hAnsi="Arial" w:cs="Arial"/>
          <w:sz w:val="22"/>
          <w:szCs w:val="22"/>
        </w:rPr>
        <w:t>Na področju učinkovite rabe energije bo v 2024 v uporabi nov način obračunavanja omrežnine, ki bo nagrajeval tiste, ki bodo varčni.</w:t>
      </w:r>
    </w:p>
    <w:p w14:paraId="26C16267" w14:textId="77777777" w:rsidR="002F61A9" w:rsidRPr="00AF0788" w:rsidRDefault="002F61A9" w:rsidP="00AF0788">
      <w:pPr>
        <w:pStyle w:val="NormalWeb"/>
        <w:numPr>
          <w:ilvl w:val="0"/>
          <w:numId w:val="24"/>
        </w:numPr>
        <w:spacing w:line="259" w:lineRule="auto"/>
        <w:ind w:left="360"/>
        <w:jc w:val="both"/>
        <w:rPr>
          <w:rFonts w:ascii="Arial" w:hAnsi="Arial" w:cs="Arial"/>
          <w:sz w:val="22"/>
          <w:szCs w:val="22"/>
        </w:rPr>
      </w:pPr>
      <w:r w:rsidRPr="00AF0788">
        <w:rPr>
          <w:rFonts w:ascii="Arial" w:hAnsi="Arial" w:cs="Arial"/>
          <w:sz w:val="22"/>
          <w:szCs w:val="22"/>
        </w:rPr>
        <w:t xml:space="preserve">Sprejet je bil tudi Zakon o uvajanju naprav za proizvodnjo električne energije iz obnovljivih virov energije, ki ureja posebnosti prostorskega načrtovanja in dovoljevanja naprav, ki proizvajajo električno energijo z izrabo OVE, </w:t>
      </w:r>
    </w:p>
    <w:p w14:paraId="63E8C223" w14:textId="77777777" w:rsidR="002F61A9" w:rsidRPr="00AF0788" w:rsidRDefault="002F61A9" w:rsidP="00AF0788">
      <w:pPr>
        <w:pStyle w:val="NormalWeb"/>
        <w:numPr>
          <w:ilvl w:val="0"/>
          <w:numId w:val="24"/>
        </w:numPr>
        <w:shd w:val="clear" w:color="auto" w:fill="FFFFFF"/>
        <w:spacing w:before="0" w:beforeAutospacing="0" w:line="259" w:lineRule="auto"/>
        <w:ind w:left="360"/>
        <w:jc w:val="both"/>
        <w:rPr>
          <w:rFonts w:ascii="Arial" w:hAnsi="Arial" w:cs="Arial"/>
          <w:sz w:val="22"/>
          <w:szCs w:val="22"/>
        </w:rPr>
      </w:pPr>
      <w:r w:rsidRPr="00AF0788">
        <w:rPr>
          <w:rFonts w:ascii="Arial" w:hAnsi="Arial" w:cs="Arial"/>
          <w:sz w:val="22"/>
          <w:szCs w:val="22"/>
        </w:rPr>
        <w:t xml:space="preserve">Zakon o infrastrukturi za alternativna goriva in spodbujanju prehoda na alternativna goriva v prometu je vzpostavitev goste, javno dostopne in interoperabilne mreže polnilne in oskrbovalne infrastrukture za alternativna goriva v prometu. </w:t>
      </w:r>
    </w:p>
    <w:p w14:paraId="736CA5CF" w14:textId="77777777" w:rsidR="002F61A9" w:rsidRPr="00AF0788" w:rsidRDefault="002F61A9" w:rsidP="00AF0788">
      <w:pPr>
        <w:pStyle w:val="NormalWeb"/>
        <w:numPr>
          <w:ilvl w:val="0"/>
          <w:numId w:val="24"/>
        </w:numPr>
        <w:spacing w:line="259" w:lineRule="auto"/>
        <w:ind w:left="360"/>
        <w:jc w:val="both"/>
        <w:rPr>
          <w:rFonts w:ascii="Arial" w:hAnsi="Arial" w:cs="Arial"/>
          <w:sz w:val="22"/>
          <w:szCs w:val="22"/>
        </w:rPr>
      </w:pPr>
      <w:r w:rsidRPr="00AF0788">
        <w:rPr>
          <w:rFonts w:ascii="Arial" w:hAnsi="Arial" w:cs="Arial"/>
          <w:sz w:val="22"/>
          <w:szCs w:val="22"/>
        </w:rPr>
        <w:t xml:space="preserve">Za zagotovitev pretočnosti potniškega in tovornega prometa je treba vzpostaviti ustrezen nivo železniške infrastrukture. Vse aktivnosti, ki se vodijo za nadgradnjo in modernizacijo slovenskega železniškega omrežja. </w:t>
      </w:r>
    </w:p>
    <w:p w14:paraId="2A21E206" w14:textId="77777777" w:rsidR="002F61A9" w:rsidRPr="00AF0788" w:rsidRDefault="002F61A9" w:rsidP="00AF0788">
      <w:pPr>
        <w:pStyle w:val="NormalWeb"/>
        <w:numPr>
          <w:ilvl w:val="0"/>
          <w:numId w:val="24"/>
        </w:numPr>
        <w:spacing w:line="259" w:lineRule="auto"/>
        <w:ind w:left="360"/>
        <w:jc w:val="both"/>
        <w:rPr>
          <w:rFonts w:ascii="Arial" w:hAnsi="Arial" w:cs="Arial"/>
          <w:sz w:val="22"/>
          <w:szCs w:val="22"/>
        </w:rPr>
      </w:pPr>
      <w:r w:rsidRPr="00AF0788">
        <w:rPr>
          <w:rFonts w:ascii="Arial" w:hAnsi="Arial" w:cs="Arial"/>
          <w:sz w:val="22"/>
          <w:szCs w:val="22"/>
        </w:rPr>
        <w:t>Poleg tega se bodo še naprej izvajali projekti energetske prenove stavb. Za spodbujanje zelenega prehoda industrije bo v prihodnjih letih na voljo dodatnih 42 milijonov evrov tudi z naslova REPower EU. Aktivno se podpira tudi slovenske prijavitelje projektov v okviru razpisov Sklada za inovacije.</w:t>
      </w:r>
    </w:p>
    <w:p w14:paraId="08D8CA7E" w14:textId="77777777" w:rsidR="003600A0" w:rsidRDefault="003600A0">
      <w:pPr>
        <w:rPr>
          <w:rFonts w:ascii="Arial" w:eastAsiaTheme="majorEastAsia" w:hAnsi="Arial" w:cstheme="majorBidi"/>
          <w:b/>
          <w:sz w:val="28"/>
          <w:szCs w:val="36"/>
        </w:rPr>
      </w:pPr>
      <w:bookmarkStart w:id="22" w:name="_Toc52264462"/>
      <w:bookmarkStart w:id="23" w:name="_Toc52268122"/>
      <w:r>
        <w:rPr>
          <w:sz w:val="28"/>
          <w:szCs w:val="36"/>
        </w:rPr>
        <w:br w:type="page"/>
      </w:r>
    </w:p>
    <w:p w14:paraId="33581FAC" w14:textId="5A56CBCF" w:rsidR="00E151B6" w:rsidRPr="00B57B42" w:rsidRDefault="003600A0" w:rsidP="00B57B42">
      <w:pPr>
        <w:pStyle w:val="Heading1"/>
        <w:rPr>
          <w:sz w:val="28"/>
          <w:szCs w:val="36"/>
        </w:rPr>
      </w:pPr>
      <w:bookmarkStart w:id="24" w:name="_Toc147494524"/>
      <w:r>
        <w:rPr>
          <w:sz w:val="28"/>
          <w:szCs w:val="36"/>
        </w:rPr>
        <w:lastRenderedPageBreak/>
        <w:t>6</w:t>
      </w:r>
      <w:r w:rsidR="00B57B42">
        <w:rPr>
          <w:sz w:val="28"/>
          <w:szCs w:val="36"/>
        </w:rPr>
        <w:t xml:space="preserve"> </w:t>
      </w:r>
      <w:r w:rsidR="008C18A9" w:rsidRPr="00B57B42">
        <w:rPr>
          <w:sz w:val="28"/>
          <w:szCs w:val="36"/>
        </w:rPr>
        <w:t>JAVNI DOLG IN POTENCIALNE OBVEZNOSTI</w:t>
      </w:r>
      <w:bookmarkEnd w:id="22"/>
      <w:bookmarkEnd w:id="23"/>
      <w:bookmarkEnd w:id="24"/>
    </w:p>
    <w:p w14:paraId="708C019A" w14:textId="77777777" w:rsidR="008C18A9" w:rsidRPr="008C18A9" w:rsidRDefault="008C18A9" w:rsidP="008C18A9">
      <w:pPr>
        <w:pStyle w:val="naslov1"/>
        <w:numPr>
          <w:ilvl w:val="0"/>
          <w:numId w:val="0"/>
        </w:numPr>
        <w:rPr>
          <w:sz w:val="28"/>
          <w:szCs w:val="28"/>
        </w:rPr>
      </w:pPr>
    </w:p>
    <w:p w14:paraId="6C7CB8E9" w14:textId="57FDFBA7" w:rsidR="00D51EFB" w:rsidRPr="00D51EFB" w:rsidRDefault="00E151B6" w:rsidP="006C3AEF">
      <w:pPr>
        <w:spacing w:after="0"/>
        <w:rPr>
          <w:rFonts w:ascii="Arial" w:hAnsi="Arial" w:cs="Arial"/>
          <w:b/>
          <w:bCs/>
          <w:u w:val="single"/>
        </w:rPr>
      </w:pPr>
      <w:r w:rsidRPr="008C18A9">
        <w:rPr>
          <w:rFonts w:ascii="Arial" w:hAnsi="Arial" w:cs="Arial"/>
          <w:b/>
          <w:bCs/>
          <w:u w:val="single"/>
        </w:rPr>
        <w:t>Javni dolg</w:t>
      </w:r>
    </w:p>
    <w:p w14:paraId="12C97B71" w14:textId="77777777" w:rsidR="006C3AEF" w:rsidRDefault="006C3AEF" w:rsidP="006C3AEF">
      <w:pPr>
        <w:pStyle w:val="Caption"/>
        <w:keepNext/>
        <w:spacing w:before="0"/>
        <w:ind w:left="0" w:firstLine="0"/>
        <w:rPr>
          <w:rFonts w:ascii="Arial" w:hAnsi="Arial" w:cs="Arial"/>
          <w:b w:val="0"/>
          <w:bCs/>
          <w:i w:val="0"/>
          <w:iCs/>
          <w:sz w:val="22"/>
          <w:szCs w:val="22"/>
        </w:rPr>
      </w:pPr>
    </w:p>
    <w:p w14:paraId="2113A129" w14:textId="1C662489" w:rsidR="00D935FD" w:rsidRPr="00D935FD" w:rsidRDefault="00D935FD" w:rsidP="006C3AEF">
      <w:pPr>
        <w:pStyle w:val="Caption"/>
        <w:keepNext/>
        <w:spacing w:before="0"/>
        <w:ind w:left="0" w:firstLine="0"/>
        <w:rPr>
          <w:rFonts w:ascii="Arial" w:hAnsi="Arial" w:cs="Arial"/>
          <w:b w:val="0"/>
          <w:bCs/>
          <w:i w:val="0"/>
          <w:iCs/>
          <w:sz w:val="22"/>
          <w:szCs w:val="22"/>
        </w:rPr>
      </w:pPr>
      <w:r w:rsidRPr="00D935FD">
        <w:rPr>
          <w:rFonts w:ascii="Arial" w:hAnsi="Arial" w:cs="Arial"/>
          <w:b w:val="0"/>
          <w:bCs/>
          <w:i w:val="0"/>
          <w:iCs/>
          <w:sz w:val="22"/>
          <w:szCs w:val="22"/>
        </w:rPr>
        <w:t xml:space="preserve">Tabela </w:t>
      </w:r>
      <w:r w:rsidRPr="00D935FD">
        <w:rPr>
          <w:rFonts w:ascii="Arial" w:hAnsi="Arial" w:cs="Arial"/>
          <w:b w:val="0"/>
          <w:bCs/>
          <w:i w:val="0"/>
          <w:iCs/>
          <w:sz w:val="22"/>
          <w:szCs w:val="22"/>
        </w:rPr>
        <w:fldChar w:fldCharType="begin"/>
      </w:r>
      <w:r w:rsidRPr="00D935FD">
        <w:rPr>
          <w:rFonts w:ascii="Arial" w:hAnsi="Arial" w:cs="Arial"/>
          <w:b w:val="0"/>
          <w:bCs/>
          <w:i w:val="0"/>
          <w:iCs/>
          <w:sz w:val="22"/>
          <w:szCs w:val="22"/>
        </w:rPr>
        <w:instrText xml:space="preserve"> SEQ Tabela \* ARABIC </w:instrText>
      </w:r>
      <w:r w:rsidRPr="00D935FD">
        <w:rPr>
          <w:rFonts w:ascii="Arial" w:hAnsi="Arial" w:cs="Arial"/>
          <w:b w:val="0"/>
          <w:bCs/>
          <w:i w:val="0"/>
          <w:iCs/>
          <w:sz w:val="22"/>
          <w:szCs w:val="22"/>
        </w:rPr>
        <w:fldChar w:fldCharType="separate"/>
      </w:r>
      <w:r w:rsidR="00E4660B">
        <w:rPr>
          <w:rFonts w:ascii="Arial" w:hAnsi="Arial" w:cs="Arial"/>
          <w:b w:val="0"/>
          <w:bCs/>
          <w:i w:val="0"/>
          <w:iCs/>
          <w:noProof/>
          <w:sz w:val="22"/>
          <w:szCs w:val="22"/>
        </w:rPr>
        <w:t>6</w:t>
      </w:r>
      <w:r w:rsidRPr="00D935FD">
        <w:rPr>
          <w:rFonts w:ascii="Arial" w:hAnsi="Arial" w:cs="Arial"/>
          <w:b w:val="0"/>
          <w:bCs/>
          <w:i w:val="0"/>
          <w:iCs/>
          <w:sz w:val="22"/>
          <w:szCs w:val="22"/>
        </w:rPr>
        <w:fldChar w:fldCharType="end"/>
      </w:r>
      <w:r w:rsidRPr="00D935FD">
        <w:rPr>
          <w:rFonts w:ascii="Arial" w:hAnsi="Arial" w:cs="Arial"/>
          <w:b w:val="0"/>
          <w:bCs/>
          <w:i w:val="0"/>
          <w:iCs/>
          <w:sz w:val="22"/>
          <w:szCs w:val="22"/>
        </w:rPr>
        <w:t xml:space="preserve">: </w:t>
      </w:r>
      <w:r w:rsidRPr="00D51EFB">
        <w:rPr>
          <w:rFonts w:ascii="Arial" w:hAnsi="Arial" w:cs="Arial"/>
          <w:b w:val="0"/>
          <w:bCs/>
          <w:i w:val="0"/>
          <w:iCs/>
          <w:sz w:val="22"/>
          <w:szCs w:val="22"/>
        </w:rPr>
        <w:t>Konsolidirani dolg sektor</w:t>
      </w:r>
      <w:r w:rsidR="003D7C3E">
        <w:rPr>
          <w:rFonts w:ascii="Arial" w:hAnsi="Arial" w:cs="Arial"/>
          <w:b w:val="0"/>
          <w:bCs/>
          <w:i w:val="0"/>
          <w:iCs/>
          <w:sz w:val="22"/>
          <w:szCs w:val="22"/>
        </w:rPr>
        <w:t>ja</w:t>
      </w:r>
      <w:r w:rsidRPr="00D51EFB">
        <w:rPr>
          <w:rFonts w:ascii="Arial" w:hAnsi="Arial" w:cs="Arial"/>
          <w:b w:val="0"/>
          <w:bCs/>
          <w:i w:val="0"/>
          <w:iCs/>
          <w:sz w:val="22"/>
          <w:szCs w:val="22"/>
        </w:rPr>
        <w:t xml:space="preserve"> država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873"/>
        <w:gridCol w:w="1338"/>
        <w:gridCol w:w="1437"/>
        <w:gridCol w:w="1414"/>
      </w:tblGrid>
      <w:tr w:rsidR="00D51EFB" w:rsidRPr="00D51EFB" w14:paraId="33179251" w14:textId="77777777" w:rsidTr="00C002ED">
        <w:trPr>
          <w:trHeight w:val="255"/>
        </w:trPr>
        <w:tc>
          <w:tcPr>
            <w:tcW w:w="2689" w:type="pct"/>
            <w:tcBorders>
              <w:top w:val="single" w:sz="4" w:space="0" w:color="auto"/>
              <w:left w:val="single" w:sz="4" w:space="0" w:color="auto"/>
              <w:bottom w:val="single" w:sz="4" w:space="0" w:color="auto"/>
              <w:right w:val="single" w:sz="4" w:space="0" w:color="auto"/>
            </w:tcBorders>
            <w:shd w:val="clear" w:color="auto" w:fill="AEAAAA" w:themeFill="background2" w:themeFillShade="BF"/>
            <w:noWrap/>
            <w:vAlign w:val="bottom"/>
          </w:tcPr>
          <w:p w14:paraId="239A75F9" w14:textId="77777777" w:rsidR="00D51EFB" w:rsidRPr="00D51EFB" w:rsidRDefault="00D51EFB" w:rsidP="00D935FD">
            <w:pPr>
              <w:spacing w:after="0"/>
              <w:rPr>
                <w:rFonts w:ascii="Arial" w:hAnsi="Arial" w:cs="Arial"/>
                <w:b/>
                <w:bCs/>
              </w:rPr>
            </w:pPr>
          </w:p>
        </w:tc>
        <w:tc>
          <w:tcPr>
            <w:tcW w:w="738" w:type="pct"/>
            <w:tcBorders>
              <w:top w:val="single" w:sz="4" w:space="0" w:color="auto"/>
              <w:left w:val="single" w:sz="4" w:space="0" w:color="auto"/>
              <w:bottom w:val="single" w:sz="4" w:space="0" w:color="auto"/>
              <w:right w:val="single" w:sz="4" w:space="0" w:color="auto"/>
            </w:tcBorders>
            <w:shd w:val="clear" w:color="auto" w:fill="AEAAAA" w:themeFill="background2" w:themeFillShade="BF"/>
            <w:vAlign w:val="center"/>
          </w:tcPr>
          <w:p w14:paraId="77ACA4C6" w14:textId="77777777" w:rsidR="00D51EFB" w:rsidRPr="00D51EFB" w:rsidRDefault="00D51EFB" w:rsidP="00D935FD">
            <w:pPr>
              <w:spacing w:after="0"/>
              <w:rPr>
                <w:rFonts w:ascii="Arial" w:hAnsi="Arial" w:cs="Arial"/>
                <w:b/>
                <w:bCs/>
              </w:rPr>
            </w:pPr>
            <w:r w:rsidRPr="00D51EFB">
              <w:rPr>
                <w:rFonts w:ascii="Arial" w:hAnsi="Arial" w:cs="Arial"/>
                <w:b/>
                <w:bCs/>
              </w:rPr>
              <w:t>2022</w:t>
            </w:r>
          </w:p>
        </w:tc>
        <w:tc>
          <w:tcPr>
            <w:tcW w:w="793" w:type="pct"/>
            <w:tcBorders>
              <w:top w:val="single" w:sz="4" w:space="0" w:color="auto"/>
              <w:left w:val="single" w:sz="4" w:space="0" w:color="auto"/>
              <w:bottom w:val="single" w:sz="4" w:space="0" w:color="auto"/>
              <w:right w:val="single" w:sz="4" w:space="0" w:color="auto"/>
            </w:tcBorders>
            <w:shd w:val="clear" w:color="auto" w:fill="AEAAAA" w:themeFill="background2" w:themeFillShade="BF"/>
            <w:noWrap/>
            <w:vAlign w:val="center"/>
          </w:tcPr>
          <w:p w14:paraId="353A3F89" w14:textId="77777777" w:rsidR="00D51EFB" w:rsidRPr="00D51EFB" w:rsidRDefault="00D51EFB" w:rsidP="00D935FD">
            <w:pPr>
              <w:spacing w:after="0"/>
              <w:rPr>
                <w:rFonts w:ascii="Arial" w:hAnsi="Arial" w:cs="Arial"/>
                <w:b/>
                <w:bCs/>
              </w:rPr>
            </w:pPr>
            <w:r w:rsidRPr="00D51EFB">
              <w:rPr>
                <w:rFonts w:ascii="Arial" w:hAnsi="Arial" w:cs="Arial"/>
                <w:b/>
                <w:bCs/>
              </w:rPr>
              <w:t>E2023</w:t>
            </w:r>
          </w:p>
        </w:tc>
        <w:tc>
          <w:tcPr>
            <w:tcW w:w="780" w:type="pct"/>
            <w:tcBorders>
              <w:top w:val="single" w:sz="4" w:space="0" w:color="auto"/>
              <w:left w:val="single" w:sz="4" w:space="0" w:color="auto"/>
              <w:bottom w:val="single" w:sz="4" w:space="0" w:color="auto"/>
              <w:right w:val="single" w:sz="4" w:space="0" w:color="auto"/>
            </w:tcBorders>
            <w:shd w:val="clear" w:color="auto" w:fill="AEAAAA" w:themeFill="background2" w:themeFillShade="BF"/>
            <w:noWrap/>
            <w:vAlign w:val="center"/>
          </w:tcPr>
          <w:p w14:paraId="16A42B23" w14:textId="77777777" w:rsidR="00D51EFB" w:rsidRPr="00D51EFB" w:rsidRDefault="00D51EFB" w:rsidP="00D935FD">
            <w:pPr>
              <w:spacing w:after="0"/>
              <w:rPr>
                <w:rFonts w:ascii="Arial" w:hAnsi="Arial" w:cs="Arial"/>
                <w:b/>
                <w:bCs/>
              </w:rPr>
            </w:pPr>
            <w:r w:rsidRPr="00D51EFB">
              <w:rPr>
                <w:rFonts w:ascii="Arial" w:hAnsi="Arial" w:cs="Arial"/>
                <w:b/>
                <w:bCs/>
              </w:rPr>
              <w:t>F2024</w:t>
            </w:r>
          </w:p>
        </w:tc>
      </w:tr>
      <w:tr w:rsidR="00D51EFB" w:rsidRPr="00D51EFB" w14:paraId="571946F7" w14:textId="77777777" w:rsidTr="00C002ED">
        <w:trPr>
          <w:trHeight w:val="255"/>
        </w:trPr>
        <w:tc>
          <w:tcPr>
            <w:tcW w:w="2689"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2A54F489" w14:textId="77777777" w:rsidR="00D51EFB" w:rsidRPr="00D51EFB" w:rsidRDefault="00D51EFB" w:rsidP="00D935FD">
            <w:pPr>
              <w:spacing w:after="0"/>
              <w:rPr>
                <w:rFonts w:ascii="Arial" w:hAnsi="Arial" w:cs="Arial"/>
                <w:b/>
                <w:bCs/>
              </w:rPr>
            </w:pPr>
          </w:p>
        </w:tc>
        <w:tc>
          <w:tcPr>
            <w:tcW w:w="738" w:type="pct"/>
            <w:tcBorders>
              <w:top w:val="single" w:sz="4" w:space="0" w:color="auto"/>
              <w:left w:val="nil"/>
              <w:bottom w:val="single" w:sz="4" w:space="0" w:color="auto"/>
              <w:right w:val="nil"/>
            </w:tcBorders>
            <w:shd w:val="clear" w:color="auto" w:fill="auto"/>
            <w:vAlign w:val="center"/>
          </w:tcPr>
          <w:p w14:paraId="1835EDB6" w14:textId="77777777" w:rsidR="00D51EFB" w:rsidRPr="00D51EFB" w:rsidRDefault="00D51EFB" w:rsidP="00D935FD">
            <w:pPr>
              <w:spacing w:after="0"/>
              <w:rPr>
                <w:rFonts w:ascii="Arial" w:hAnsi="Arial" w:cs="Arial"/>
              </w:rPr>
            </w:pPr>
          </w:p>
        </w:tc>
        <w:tc>
          <w:tcPr>
            <w:tcW w:w="793" w:type="pct"/>
            <w:tcBorders>
              <w:top w:val="single" w:sz="4" w:space="0" w:color="auto"/>
              <w:left w:val="nil"/>
              <w:bottom w:val="single" w:sz="4" w:space="0" w:color="auto"/>
              <w:right w:val="nil"/>
            </w:tcBorders>
            <w:shd w:val="clear" w:color="auto" w:fill="auto"/>
            <w:noWrap/>
            <w:vAlign w:val="center"/>
          </w:tcPr>
          <w:p w14:paraId="67ED0C99" w14:textId="77777777" w:rsidR="00D51EFB" w:rsidRPr="00D51EFB" w:rsidRDefault="00D51EFB" w:rsidP="00D935FD">
            <w:pPr>
              <w:spacing w:after="0"/>
              <w:rPr>
                <w:rFonts w:ascii="Arial" w:hAnsi="Arial" w:cs="Arial"/>
                <w:b/>
                <w:bCs/>
                <w:i/>
                <w:iCs/>
              </w:rPr>
            </w:pPr>
            <w:r w:rsidRPr="00D51EFB">
              <w:rPr>
                <w:rFonts w:ascii="Arial" w:hAnsi="Arial" w:cs="Arial"/>
                <w:b/>
                <w:bCs/>
                <w:i/>
                <w:iCs/>
              </w:rPr>
              <w:t>v mio EUR</w:t>
            </w:r>
          </w:p>
        </w:tc>
        <w:tc>
          <w:tcPr>
            <w:tcW w:w="780" w:type="pct"/>
            <w:tcBorders>
              <w:top w:val="single" w:sz="4" w:space="0" w:color="auto"/>
              <w:left w:val="nil"/>
              <w:bottom w:val="single" w:sz="4" w:space="0" w:color="auto"/>
              <w:right w:val="single" w:sz="4" w:space="0" w:color="auto"/>
            </w:tcBorders>
            <w:shd w:val="clear" w:color="auto" w:fill="auto"/>
            <w:noWrap/>
            <w:vAlign w:val="center"/>
          </w:tcPr>
          <w:p w14:paraId="0C092D3D" w14:textId="77777777" w:rsidR="00D51EFB" w:rsidRPr="00D51EFB" w:rsidRDefault="00D51EFB" w:rsidP="00D935FD">
            <w:pPr>
              <w:spacing w:after="0"/>
              <w:rPr>
                <w:rFonts w:ascii="Arial" w:hAnsi="Arial" w:cs="Arial"/>
              </w:rPr>
            </w:pPr>
          </w:p>
        </w:tc>
      </w:tr>
      <w:tr w:rsidR="00494B02" w:rsidRPr="00D51EFB" w14:paraId="267FFBEB" w14:textId="77777777" w:rsidTr="003C0620">
        <w:trPr>
          <w:trHeight w:val="255"/>
        </w:trPr>
        <w:tc>
          <w:tcPr>
            <w:tcW w:w="2689"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7FC44858" w14:textId="77777777" w:rsidR="00494B02" w:rsidRPr="00D51EFB" w:rsidRDefault="00494B02" w:rsidP="00494B02">
            <w:pPr>
              <w:spacing w:after="0"/>
              <w:rPr>
                <w:rFonts w:ascii="Arial" w:hAnsi="Arial" w:cs="Arial"/>
                <w:b/>
                <w:bCs/>
              </w:rPr>
            </w:pPr>
            <w:r w:rsidRPr="00D51EFB">
              <w:rPr>
                <w:rFonts w:ascii="Arial" w:hAnsi="Arial" w:cs="Arial"/>
                <w:b/>
                <w:bCs/>
              </w:rPr>
              <w:t>1. Dolg sektor država</w:t>
            </w:r>
          </w:p>
        </w:tc>
        <w:tc>
          <w:tcPr>
            <w:tcW w:w="738" w:type="pct"/>
            <w:tcBorders>
              <w:top w:val="single" w:sz="4" w:space="0" w:color="auto"/>
              <w:left w:val="single" w:sz="4" w:space="0" w:color="auto"/>
              <w:bottom w:val="single" w:sz="4" w:space="0" w:color="auto"/>
              <w:right w:val="single" w:sz="4" w:space="0" w:color="auto"/>
            </w:tcBorders>
            <w:shd w:val="clear" w:color="auto" w:fill="auto"/>
            <w:vAlign w:val="center"/>
          </w:tcPr>
          <w:p w14:paraId="28185746" w14:textId="1CEDFE11" w:rsidR="00494B02" w:rsidRPr="00D51EFB" w:rsidRDefault="00494B02" w:rsidP="00494B02">
            <w:pPr>
              <w:spacing w:after="0"/>
              <w:rPr>
                <w:rFonts w:ascii="Arial" w:hAnsi="Arial" w:cs="Arial"/>
              </w:rPr>
            </w:pPr>
            <w:r>
              <w:rPr>
                <w:rFonts w:ascii="Arial" w:hAnsi="Arial" w:cs="Arial"/>
                <w:color w:val="000000"/>
                <w:sz w:val="18"/>
                <w:szCs w:val="18"/>
              </w:rPr>
              <w:t>41.242</w:t>
            </w:r>
          </w:p>
        </w:tc>
        <w:tc>
          <w:tcPr>
            <w:tcW w:w="79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8D8E348" w14:textId="7138990E" w:rsidR="00494B02" w:rsidRPr="00D51EFB" w:rsidRDefault="00494B02" w:rsidP="00494B02">
            <w:pPr>
              <w:spacing w:after="0"/>
              <w:rPr>
                <w:rFonts w:ascii="Arial" w:hAnsi="Arial" w:cs="Arial"/>
              </w:rPr>
            </w:pPr>
            <w:r w:rsidRPr="00B03A08">
              <w:rPr>
                <w:rFonts w:ascii="Arial" w:hAnsi="Arial" w:cs="Arial"/>
                <w:sz w:val="18"/>
                <w:szCs w:val="18"/>
              </w:rPr>
              <w:t>44.042</w:t>
            </w:r>
          </w:p>
        </w:tc>
        <w:tc>
          <w:tcPr>
            <w:tcW w:w="78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3942C9B" w14:textId="2354A7D9" w:rsidR="00494B02" w:rsidRPr="00D51EFB" w:rsidRDefault="00494B02" w:rsidP="00494B02">
            <w:pPr>
              <w:spacing w:after="0"/>
              <w:rPr>
                <w:rFonts w:ascii="Arial" w:hAnsi="Arial" w:cs="Arial"/>
              </w:rPr>
            </w:pPr>
            <w:r w:rsidRPr="00B03A08">
              <w:rPr>
                <w:rFonts w:ascii="Arial" w:hAnsi="Arial" w:cs="Arial"/>
                <w:sz w:val="18"/>
                <w:szCs w:val="18"/>
              </w:rPr>
              <w:t>4</w:t>
            </w:r>
            <w:r>
              <w:rPr>
                <w:rFonts w:ascii="Arial" w:hAnsi="Arial" w:cs="Arial"/>
                <w:sz w:val="18"/>
                <w:szCs w:val="18"/>
              </w:rPr>
              <w:t>6</w:t>
            </w:r>
            <w:r w:rsidRPr="00B03A08">
              <w:rPr>
                <w:rFonts w:ascii="Arial" w:hAnsi="Arial" w:cs="Arial"/>
                <w:sz w:val="18"/>
                <w:szCs w:val="18"/>
              </w:rPr>
              <w:t>.</w:t>
            </w:r>
            <w:r>
              <w:rPr>
                <w:rFonts w:ascii="Arial" w:hAnsi="Arial" w:cs="Arial"/>
                <w:sz w:val="18"/>
                <w:szCs w:val="18"/>
              </w:rPr>
              <w:t>394</w:t>
            </w:r>
          </w:p>
        </w:tc>
      </w:tr>
      <w:tr w:rsidR="00C0439F" w:rsidRPr="00D51EFB" w14:paraId="51C03F72" w14:textId="77777777" w:rsidTr="004E5775">
        <w:trPr>
          <w:trHeight w:val="255"/>
        </w:trPr>
        <w:tc>
          <w:tcPr>
            <w:tcW w:w="2689"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16F03666" w14:textId="77777777" w:rsidR="00C0439F" w:rsidRPr="00D51EFB" w:rsidRDefault="00C0439F" w:rsidP="00C0439F">
            <w:pPr>
              <w:spacing w:after="0"/>
              <w:rPr>
                <w:rFonts w:ascii="Arial" w:hAnsi="Arial" w:cs="Arial"/>
                <w:b/>
                <w:bCs/>
              </w:rPr>
            </w:pPr>
            <w:r w:rsidRPr="00D51EFB">
              <w:rPr>
                <w:rFonts w:ascii="Arial" w:hAnsi="Arial" w:cs="Arial"/>
                <w:b/>
                <w:bCs/>
              </w:rPr>
              <w:t>2. BDP</w:t>
            </w:r>
          </w:p>
        </w:tc>
        <w:tc>
          <w:tcPr>
            <w:tcW w:w="738" w:type="pct"/>
            <w:tcBorders>
              <w:top w:val="single" w:sz="4" w:space="0" w:color="auto"/>
              <w:left w:val="single" w:sz="4" w:space="0" w:color="auto"/>
              <w:bottom w:val="single" w:sz="4" w:space="0" w:color="auto"/>
              <w:right w:val="single" w:sz="4" w:space="0" w:color="auto"/>
            </w:tcBorders>
            <w:vAlign w:val="center"/>
          </w:tcPr>
          <w:p w14:paraId="18639A3C" w14:textId="1927E1D3" w:rsidR="00C0439F" w:rsidRPr="00D51EFB" w:rsidRDefault="00C0439F" w:rsidP="00C0439F">
            <w:pPr>
              <w:spacing w:after="0"/>
              <w:rPr>
                <w:rFonts w:ascii="Arial" w:hAnsi="Arial" w:cs="Arial"/>
              </w:rPr>
            </w:pPr>
            <w:r>
              <w:rPr>
                <w:rFonts w:ascii="Arial" w:hAnsi="Arial" w:cs="Arial"/>
                <w:color w:val="000000"/>
                <w:sz w:val="18"/>
                <w:szCs w:val="18"/>
              </w:rPr>
              <w:t>57.038</w:t>
            </w:r>
          </w:p>
        </w:tc>
        <w:tc>
          <w:tcPr>
            <w:tcW w:w="793" w:type="pct"/>
            <w:tcBorders>
              <w:top w:val="single" w:sz="4" w:space="0" w:color="auto"/>
              <w:left w:val="single" w:sz="4" w:space="0" w:color="auto"/>
              <w:bottom w:val="single" w:sz="4" w:space="0" w:color="auto"/>
              <w:right w:val="single" w:sz="4" w:space="0" w:color="auto"/>
            </w:tcBorders>
            <w:noWrap/>
            <w:vAlign w:val="center"/>
          </w:tcPr>
          <w:p w14:paraId="4020A599" w14:textId="2A0F1294" w:rsidR="00C0439F" w:rsidRPr="00D51EFB" w:rsidRDefault="00C0439F" w:rsidP="00C0439F">
            <w:pPr>
              <w:spacing w:after="0"/>
              <w:rPr>
                <w:rFonts w:ascii="Arial" w:hAnsi="Arial" w:cs="Arial"/>
              </w:rPr>
            </w:pPr>
            <w:r>
              <w:rPr>
                <w:rFonts w:ascii="Arial" w:hAnsi="Arial" w:cs="Arial"/>
                <w:sz w:val="18"/>
                <w:szCs w:val="18"/>
              </w:rPr>
              <w:t>62.970</w:t>
            </w:r>
          </w:p>
        </w:tc>
        <w:tc>
          <w:tcPr>
            <w:tcW w:w="780" w:type="pct"/>
            <w:tcBorders>
              <w:top w:val="single" w:sz="4" w:space="0" w:color="auto"/>
              <w:left w:val="single" w:sz="4" w:space="0" w:color="auto"/>
              <w:bottom w:val="single" w:sz="4" w:space="0" w:color="auto"/>
              <w:right w:val="single" w:sz="4" w:space="0" w:color="auto"/>
            </w:tcBorders>
            <w:noWrap/>
            <w:vAlign w:val="center"/>
          </w:tcPr>
          <w:p w14:paraId="3F7DA218" w14:textId="1F4870B7" w:rsidR="00C0439F" w:rsidRPr="00D51EFB" w:rsidRDefault="00C0439F" w:rsidP="00C0439F">
            <w:pPr>
              <w:spacing w:after="0"/>
              <w:rPr>
                <w:rFonts w:ascii="Arial" w:hAnsi="Arial" w:cs="Arial"/>
              </w:rPr>
            </w:pPr>
            <w:r>
              <w:rPr>
                <w:rFonts w:ascii="Arial" w:hAnsi="Arial" w:cs="Arial"/>
                <w:sz w:val="18"/>
                <w:szCs w:val="18"/>
              </w:rPr>
              <w:t>67.318</w:t>
            </w:r>
          </w:p>
        </w:tc>
      </w:tr>
      <w:tr w:rsidR="00C0439F" w:rsidRPr="00D51EFB" w14:paraId="1EE61CC4" w14:textId="77777777" w:rsidTr="00C002ED">
        <w:trPr>
          <w:trHeight w:val="255"/>
        </w:trPr>
        <w:tc>
          <w:tcPr>
            <w:tcW w:w="2689"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574ED241" w14:textId="77777777" w:rsidR="00C0439F" w:rsidRPr="00D51EFB" w:rsidRDefault="00C0439F" w:rsidP="00C0439F">
            <w:pPr>
              <w:spacing w:after="0"/>
              <w:rPr>
                <w:rFonts w:ascii="Arial" w:hAnsi="Arial" w:cs="Arial"/>
                <w:b/>
                <w:bCs/>
              </w:rPr>
            </w:pPr>
          </w:p>
        </w:tc>
        <w:tc>
          <w:tcPr>
            <w:tcW w:w="738" w:type="pct"/>
            <w:tcBorders>
              <w:top w:val="single" w:sz="4" w:space="0" w:color="auto"/>
              <w:left w:val="nil"/>
              <w:bottom w:val="single" w:sz="4" w:space="0" w:color="auto"/>
              <w:right w:val="nil"/>
            </w:tcBorders>
            <w:shd w:val="clear" w:color="auto" w:fill="auto"/>
            <w:vAlign w:val="center"/>
          </w:tcPr>
          <w:p w14:paraId="05E4D94A" w14:textId="77777777" w:rsidR="00C0439F" w:rsidRPr="00D51EFB" w:rsidRDefault="00C0439F" w:rsidP="00C0439F">
            <w:pPr>
              <w:spacing w:after="0"/>
              <w:rPr>
                <w:rFonts w:ascii="Arial" w:hAnsi="Arial" w:cs="Arial"/>
              </w:rPr>
            </w:pPr>
          </w:p>
        </w:tc>
        <w:tc>
          <w:tcPr>
            <w:tcW w:w="793" w:type="pct"/>
            <w:tcBorders>
              <w:top w:val="single" w:sz="4" w:space="0" w:color="auto"/>
              <w:left w:val="nil"/>
              <w:bottom w:val="single" w:sz="4" w:space="0" w:color="auto"/>
              <w:right w:val="nil"/>
            </w:tcBorders>
            <w:shd w:val="clear" w:color="auto" w:fill="auto"/>
            <w:noWrap/>
            <w:vAlign w:val="center"/>
          </w:tcPr>
          <w:p w14:paraId="37709EE9" w14:textId="77777777" w:rsidR="00C0439F" w:rsidRPr="00D51EFB" w:rsidRDefault="00C0439F" w:rsidP="00C0439F">
            <w:pPr>
              <w:spacing w:after="0"/>
              <w:rPr>
                <w:rFonts w:ascii="Arial" w:hAnsi="Arial" w:cs="Arial"/>
                <w:b/>
                <w:bCs/>
                <w:i/>
                <w:iCs/>
              </w:rPr>
            </w:pPr>
            <w:r w:rsidRPr="00D51EFB">
              <w:rPr>
                <w:rFonts w:ascii="Arial" w:hAnsi="Arial" w:cs="Arial"/>
                <w:b/>
                <w:bCs/>
                <w:i/>
                <w:iCs/>
              </w:rPr>
              <w:t>v % BDP</w:t>
            </w:r>
          </w:p>
        </w:tc>
        <w:tc>
          <w:tcPr>
            <w:tcW w:w="780" w:type="pct"/>
            <w:tcBorders>
              <w:top w:val="single" w:sz="4" w:space="0" w:color="auto"/>
              <w:left w:val="nil"/>
              <w:bottom w:val="single" w:sz="4" w:space="0" w:color="auto"/>
              <w:right w:val="single" w:sz="4" w:space="0" w:color="auto"/>
            </w:tcBorders>
            <w:shd w:val="clear" w:color="auto" w:fill="auto"/>
            <w:noWrap/>
            <w:vAlign w:val="center"/>
          </w:tcPr>
          <w:p w14:paraId="768D1EDE" w14:textId="77777777" w:rsidR="00C0439F" w:rsidRPr="00D51EFB" w:rsidRDefault="00C0439F" w:rsidP="00C0439F">
            <w:pPr>
              <w:spacing w:after="0"/>
              <w:rPr>
                <w:rFonts w:ascii="Arial" w:hAnsi="Arial" w:cs="Arial"/>
              </w:rPr>
            </w:pPr>
          </w:p>
        </w:tc>
      </w:tr>
      <w:tr w:rsidR="00494B02" w:rsidRPr="00D51EFB" w14:paraId="322A4191" w14:textId="77777777" w:rsidTr="003C0620">
        <w:trPr>
          <w:trHeight w:val="255"/>
        </w:trPr>
        <w:tc>
          <w:tcPr>
            <w:tcW w:w="2689"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7CEA5740" w14:textId="77777777" w:rsidR="00494B02" w:rsidRPr="00D51EFB" w:rsidRDefault="00494B02" w:rsidP="00494B02">
            <w:pPr>
              <w:spacing w:after="0"/>
              <w:rPr>
                <w:rFonts w:ascii="Arial" w:hAnsi="Arial" w:cs="Arial"/>
                <w:b/>
                <w:bCs/>
              </w:rPr>
            </w:pPr>
            <w:r w:rsidRPr="00D51EFB">
              <w:rPr>
                <w:rFonts w:ascii="Arial" w:hAnsi="Arial" w:cs="Arial"/>
                <w:b/>
                <w:bCs/>
              </w:rPr>
              <w:t>3. Dolg sektor država</w:t>
            </w:r>
          </w:p>
        </w:tc>
        <w:tc>
          <w:tcPr>
            <w:tcW w:w="738" w:type="pct"/>
            <w:tcBorders>
              <w:top w:val="single" w:sz="4" w:space="0" w:color="auto"/>
              <w:left w:val="single" w:sz="4" w:space="0" w:color="auto"/>
              <w:bottom w:val="single" w:sz="4" w:space="0" w:color="auto"/>
              <w:right w:val="single" w:sz="4" w:space="0" w:color="auto"/>
            </w:tcBorders>
            <w:shd w:val="clear" w:color="auto" w:fill="auto"/>
            <w:vAlign w:val="center"/>
          </w:tcPr>
          <w:p w14:paraId="45224077" w14:textId="01B7E9C1" w:rsidR="00494B02" w:rsidRPr="00D51EFB" w:rsidRDefault="00494B02" w:rsidP="00494B02">
            <w:pPr>
              <w:spacing w:after="0"/>
              <w:rPr>
                <w:rFonts w:ascii="Arial" w:hAnsi="Arial" w:cs="Arial"/>
              </w:rPr>
            </w:pPr>
            <w:r>
              <w:rPr>
                <w:rFonts w:ascii="Arial" w:hAnsi="Arial" w:cs="Arial"/>
                <w:color w:val="000000"/>
                <w:sz w:val="18"/>
                <w:szCs w:val="18"/>
              </w:rPr>
              <w:t>72,3</w:t>
            </w:r>
          </w:p>
        </w:tc>
        <w:tc>
          <w:tcPr>
            <w:tcW w:w="79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E0FE5C7" w14:textId="078F5441" w:rsidR="00494B02" w:rsidRPr="00D51EFB" w:rsidRDefault="00494B02" w:rsidP="00494B02">
            <w:pPr>
              <w:spacing w:after="0"/>
              <w:rPr>
                <w:rFonts w:ascii="Arial" w:hAnsi="Arial" w:cs="Arial"/>
              </w:rPr>
            </w:pPr>
            <w:r w:rsidRPr="00B03A08">
              <w:rPr>
                <w:rFonts w:ascii="Arial" w:hAnsi="Arial" w:cs="Arial"/>
                <w:sz w:val="18"/>
                <w:szCs w:val="18"/>
              </w:rPr>
              <w:t>69,9</w:t>
            </w:r>
          </w:p>
        </w:tc>
        <w:tc>
          <w:tcPr>
            <w:tcW w:w="78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2EEE73F" w14:textId="209FEB81" w:rsidR="00494B02" w:rsidRPr="00D51EFB" w:rsidRDefault="00494B02" w:rsidP="00494B02">
            <w:pPr>
              <w:spacing w:after="0"/>
              <w:rPr>
                <w:rFonts w:ascii="Arial" w:hAnsi="Arial" w:cs="Arial"/>
              </w:rPr>
            </w:pPr>
            <w:r w:rsidRPr="00B03A08">
              <w:rPr>
                <w:rFonts w:ascii="Arial" w:hAnsi="Arial" w:cs="Arial"/>
                <w:sz w:val="18"/>
                <w:szCs w:val="18"/>
              </w:rPr>
              <w:t>68,</w:t>
            </w:r>
            <w:r>
              <w:rPr>
                <w:rFonts w:ascii="Arial" w:hAnsi="Arial" w:cs="Arial"/>
                <w:sz w:val="18"/>
                <w:szCs w:val="18"/>
              </w:rPr>
              <w:t>9</w:t>
            </w:r>
          </w:p>
        </w:tc>
      </w:tr>
      <w:tr w:rsidR="002B2431" w:rsidRPr="00D51EFB" w14:paraId="3B6D956B" w14:textId="77777777" w:rsidTr="003C0620">
        <w:trPr>
          <w:trHeight w:val="255"/>
        </w:trPr>
        <w:tc>
          <w:tcPr>
            <w:tcW w:w="2689"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1A221DD0" w14:textId="77777777" w:rsidR="002B2431" w:rsidRPr="00D51EFB" w:rsidRDefault="002B2431" w:rsidP="002B2431">
            <w:pPr>
              <w:spacing w:after="0"/>
              <w:rPr>
                <w:rFonts w:ascii="Arial" w:hAnsi="Arial" w:cs="Arial"/>
                <w:b/>
                <w:bCs/>
              </w:rPr>
            </w:pPr>
            <w:r w:rsidRPr="00D51EFB">
              <w:rPr>
                <w:rFonts w:ascii="Arial" w:hAnsi="Arial" w:cs="Arial"/>
                <w:b/>
                <w:bCs/>
              </w:rPr>
              <w:t>4. Saldo sektor država</w:t>
            </w:r>
          </w:p>
        </w:tc>
        <w:tc>
          <w:tcPr>
            <w:tcW w:w="738" w:type="pct"/>
            <w:tcBorders>
              <w:top w:val="single" w:sz="4" w:space="0" w:color="auto"/>
              <w:left w:val="single" w:sz="4" w:space="0" w:color="auto"/>
              <w:bottom w:val="single" w:sz="4" w:space="0" w:color="auto"/>
              <w:right w:val="single" w:sz="4" w:space="0" w:color="auto"/>
            </w:tcBorders>
            <w:shd w:val="clear" w:color="auto" w:fill="auto"/>
            <w:vAlign w:val="center"/>
          </w:tcPr>
          <w:p w14:paraId="29DE68A4" w14:textId="321A6C93" w:rsidR="002B2431" w:rsidRPr="00D51EFB" w:rsidRDefault="002B2431" w:rsidP="002B2431">
            <w:pPr>
              <w:spacing w:after="0"/>
              <w:rPr>
                <w:rFonts w:ascii="Arial" w:hAnsi="Arial" w:cs="Arial"/>
              </w:rPr>
            </w:pPr>
            <w:r w:rsidRPr="00B03A08">
              <w:rPr>
                <w:rFonts w:ascii="Arial" w:hAnsi="Arial" w:cs="Arial"/>
                <w:sz w:val="18"/>
                <w:szCs w:val="18"/>
              </w:rPr>
              <w:t>-3,</w:t>
            </w:r>
            <w:r>
              <w:rPr>
                <w:rFonts w:ascii="Arial" w:hAnsi="Arial" w:cs="Arial"/>
                <w:sz w:val="18"/>
                <w:szCs w:val="18"/>
              </w:rPr>
              <w:t>0</w:t>
            </w:r>
          </w:p>
        </w:tc>
        <w:tc>
          <w:tcPr>
            <w:tcW w:w="79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4611845" w14:textId="3AC42140" w:rsidR="002B2431" w:rsidRPr="00D51EFB" w:rsidRDefault="002B2431" w:rsidP="002B2431">
            <w:pPr>
              <w:spacing w:after="0"/>
              <w:rPr>
                <w:rFonts w:ascii="Arial" w:hAnsi="Arial" w:cs="Arial"/>
              </w:rPr>
            </w:pPr>
            <w:r w:rsidRPr="00BB5C99">
              <w:rPr>
                <w:rFonts w:ascii="Arial" w:hAnsi="Arial" w:cs="Arial"/>
                <w:sz w:val="18"/>
                <w:szCs w:val="18"/>
              </w:rPr>
              <w:t>-4,5</w:t>
            </w:r>
          </w:p>
        </w:tc>
        <w:tc>
          <w:tcPr>
            <w:tcW w:w="780" w:type="pct"/>
            <w:tcBorders>
              <w:top w:val="single" w:sz="4" w:space="0" w:color="auto"/>
              <w:left w:val="single" w:sz="4" w:space="0" w:color="auto"/>
              <w:bottom w:val="single" w:sz="4" w:space="0" w:color="auto"/>
              <w:right w:val="single" w:sz="4" w:space="0" w:color="auto"/>
            </w:tcBorders>
            <w:noWrap/>
            <w:vAlign w:val="center"/>
          </w:tcPr>
          <w:p w14:paraId="2BECEDDA" w14:textId="484162CC" w:rsidR="002B2431" w:rsidRPr="00D51EFB" w:rsidRDefault="002B2431" w:rsidP="002B2431">
            <w:pPr>
              <w:spacing w:after="0"/>
              <w:rPr>
                <w:rFonts w:ascii="Arial" w:hAnsi="Arial" w:cs="Arial"/>
              </w:rPr>
            </w:pPr>
            <w:r>
              <w:rPr>
                <w:rFonts w:ascii="Arial" w:hAnsi="Arial" w:cs="Arial"/>
                <w:sz w:val="18"/>
                <w:szCs w:val="18"/>
              </w:rPr>
              <w:t>-3,8</w:t>
            </w:r>
          </w:p>
        </w:tc>
      </w:tr>
      <w:tr w:rsidR="002B2431" w:rsidRPr="00D51EFB" w14:paraId="6BA384BF" w14:textId="77777777" w:rsidTr="003C0620">
        <w:trPr>
          <w:trHeight w:val="255"/>
        </w:trPr>
        <w:tc>
          <w:tcPr>
            <w:tcW w:w="2689"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7609FFD0" w14:textId="77777777" w:rsidR="002B2431" w:rsidRPr="00D51EFB" w:rsidRDefault="002B2431" w:rsidP="002B2431">
            <w:pPr>
              <w:spacing w:after="0"/>
              <w:rPr>
                <w:rFonts w:ascii="Arial" w:hAnsi="Arial" w:cs="Arial"/>
                <w:b/>
                <w:bCs/>
              </w:rPr>
            </w:pPr>
            <w:r w:rsidRPr="00D51EFB">
              <w:rPr>
                <w:rFonts w:ascii="Arial" w:hAnsi="Arial" w:cs="Arial"/>
                <w:b/>
                <w:bCs/>
              </w:rPr>
              <w:t>5. Primarni saldo</w:t>
            </w:r>
          </w:p>
        </w:tc>
        <w:tc>
          <w:tcPr>
            <w:tcW w:w="738" w:type="pct"/>
            <w:tcBorders>
              <w:top w:val="single" w:sz="4" w:space="0" w:color="auto"/>
              <w:left w:val="single" w:sz="4" w:space="0" w:color="auto"/>
              <w:bottom w:val="single" w:sz="4" w:space="0" w:color="auto"/>
              <w:right w:val="single" w:sz="4" w:space="0" w:color="auto"/>
            </w:tcBorders>
            <w:shd w:val="clear" w:color="auto" w:fill="auto"/>
            <w:vAlign w:val="center"/>
          </w:tcPr>
          <w:p w14:paraId="78A7B583" w14:textId="0F77FFE2" w:rsidR="002B2431" w:rsidRPr="00D51EFB" w:rsidRDefault="002B2431" w:rsidP="002B2431">
            <w:pPr>
              <w:spacing w:after="0"/>
              <w:rPr>
                <w:rFonts w:ascii="Arial" w:hAnsi="Arial" w:cs="Arial"/>
              </w:rPr>
            </w:pPr>
            <w:r w:rsidRPr="00B03A08">
              <w:rPr>
                <w:rFonts w:ascii="Arial" w:hAnsi="Arial" w:cs="Arial"/>
                <w:sz w:val="18"/>
                <w:szCs w:val="18"/>
              </w:rPr>
              <w:t>-</w:t>
            </w:r>
            <w:r>
              <w:rPr>
                <w:rFonts w:ascii="Arial" w:hAnsi="Arial" w:cs="Arial"/>
                <w:sz w:val="18"/>
                <w:szCs w:val="18"/>
              </w:rPr>
              <w:t>1</w:t>
            </w:r>
            <w:r w:rsidRPr="00B03A08">
              <w:rPr>
                <w:rFonts w:ascii="Arial" w:hAnsi="Arial" w:cs="Arial"/>
                <w:sz w:val="18"/>
                <w:szCs w:val="18"/>
              </w:rPr>
              <w:t>,</w:t>
            </w:r>
            <w:r>
              <w:rPr>
                <w:rFonts w:ascii="Arial" w:hAnsi="Arial" w:cs="Arial"/>
                <w:sz w:val="18"/>
                <w:szCs w:val="18"/>
              </w:rPr>
              <w:t>9</w:t>
            </w:r>
          </w:p>
        </w:tc>
        <w:tc>
          <w:tcPr>
            <w:tcW w:w="79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4EB529B" w14:textId="09A0376E" w:rsidR="002B2431" w:rsidRPr="00D51EFB" w:rsidRDefault="002B2431" w:rsidP="002B2431">
            <w:pPr>
              <w:spacing w:after="0"/>
              <w:rPr>
                <w:rFonts w:ascii="Arial" w:hAnsi="Arial" w:cs="Arial"/>
              </w:rPr>
            </w:pPr>
            <w:r w:rsidRPr="00B03A08">
              <w:rPr>
                <w:rFonts w:ascii="Arial" w:hAnsi="Arial" w:cs="Arial"/>
                <w:sz w:val="18"/>
                <w:szCs w:val="18"/>
              </w:rPr>
              <w:t>-</w:t>
            </w:r>
            <w:r>
              <w:rPr>
                <w:rFonts w:ascii="Arial" w:hAnsi="Arial" w:cs="Arial"/>
                <w:sz w:val="18"/>
                <w:szCs w:val="18"/>
              </w:rPr>
              <w:t>3</w:t>
            </w:r>
            <w:r w:rsidRPr="00B03A08">
              <w:rPr>
                <w:rFonts w:ascii="Arial" w:hAnsi="Arial" w:cs="Arial"/>
                <w:sz w:val="18"/>
                <w:szCs w:val="18"/>
              </w:rPr>
              <w:t>,</w:t>
            </w:r>
            <w:r>
              <w:rPr>
                <w:rFonts w:ascii="Arial" w:hAnsi="Arial" w:cs="Arial"/>
                <w:sz w:val="18"/>
                <w:szCs w:val="18"/>
              </w:rPr>
              <w:t>3</w:t>
            </w:r>
          </w:p>
        </w:tc>
        <w:tc>
          <w:tcPr>
            <w:tcW w:w="780" w:type="pct"/>
            <w:tcBorders>
              <w:top w:val="single" w:sz="4" w:space="0" w:color="auto"/>
              <w:left w:val="single" w:sz="4" w:space="0" w:color="auto"/>
              <w:bottom w:val="single" w:sz="4" w:space="0" w:color="auto"/>
              <w:right w:val="single" w:sz="4" w:space="0" w:color="auto"/>
            </w:tcBorders>
            <w:noWrap/>
            <w:vAlign w:val="center"/>
          </w:tcPr>
          <w:p w14:paraId="62CCF36D" w14:textId="7D0F4089" w:rsidR="002B2431" w:rsidRPr="00D51EFB" w:rsidRDefault="002B2431" w:rsidP="002B2431">
            <w:pPr>
              <w:spacing w:after="0"/>
              <w:rPr>
                <w:rFonts w:ascii="Arial" w:hAnsi="Arial" w:cs="Arial"/>
              </w:rPr>
            </w:pPr>
            <w:r>
              <w:rPr>
                <w:rFonts w:ascii="Arial" w:hAnsi="Arial" w:cs="Arial"/>
                <w:sz w:val="18"/>
                <w:szCs w:val="18"/>
              </w:rPr>
              <w:t>-2,5</w:t>
            </w:r>
          </w:p>
        </w:tc>
      </w:tr>
      <w:tr w:rsidR="002B2431" w:rsidRPr="00D51EFB" w14:paraId="74A97FEA" w14:textId="77777777" w:rsidTr="003C0620">
        <w:trPr>
          <w:trHeight w:val="255"/>
        </w:trPr>
        <w:tc>
          <w:tcPr>
            <w:tcW w:w="2689"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7B287FA8" w14:textId="77777777" w:rsidR="002B2431" w:rsidRPr="00D51EFB" w:rsidRDefault="002B2431" w:rsidP="002B2431">
            <w:pPr>
              <w:spacing w:after="0"/>
              <w:rPr>
                <w:rFonts w:ascii="Arial" w:hAnsi="Arial" w:cs="Arial"/>
                <w:b/>
                <w:bCs/>
              </w:rPr>
            </w:pPr>
            <w:r w:rsidRPr="00D51EFB">
              <w:rPr>
                <w:rFonts w:ascii="Arial" w:hAnsi="Arial" w:cs="Arial"/>
                <w:b/>
                <w:bCs/>
              </w:rPr>
              <w:t>6. Obresti (D.41)</w:t>
            </w:r>
          </w:p>
        </w:tc>
        <w:tc>
          <w:tcPr>
            <w:tcW w:w="738" w:type="pct"/>
            <w:tcBorders>
              <w:top w:val="single" w:sz="4" w:space="0" w:color="auto"/>
              <w:left w:val="single" w:sz="4" w:space="0" w:color="auto"/>
              <w:bottom w:val="single" w:sz="4" w:space="0" w:color="auto"/>
              <w:right w:val="single" w:sz="4" w:space="0" w:color="auto"/>
            </w:tcBorders>
            <w:shd w:val="clear" w:color="auto" w:fill="auto"/>
            <w:vAlign w:val="center"/>
          </w:tcPr>
          <w:p w14:paraId="5BB63C00" w14:textId="4D2BD070" w:rsidR="002B2431" w:rsidRPr="00D51EFB" w:rsidRDefault="002B2431" w:rsidP="002B2431">
            <w:pPr>
              <w:spacing w:after="0"/>
              <w:rPr>
                <w:rFonts w:ascii="Arial" w:hAnsi="Arial" w:cs="Arial"/>
              </w:rPr>
            </w:pPr>
            <w:r w:rsidRPr="00B03A08">
              <w:rPr>
                <w:rFonts w:ascii="Arial" w:hAnsi="Arial" w:cs="Arial"/>
                <w:sz w:val="18"/>
                <w:szCs w:val="18"/>
              </w:rPr>
              <w:t>1,1</w:t>
            </w:r>
          </w:p>
        </w:tc>
        <w:tc>
          <w:tcPr>
            <w:tcW w:w="79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928C275" w14:textId="24E83E84" w:rsidR="002B2431" w:rsidRPr="00D51EFB" w:rsidRDefault="002B2431" w:rsidP="002B2431">
            <w:pPr>
              <w:spacing w:after="0"/>
              <w:rPr>
                <w:rFonts w:ascii="Arial" w:hAnsi="Arial" w:cs="Arial"/>
              </w:rPr>
            </w:pPr>
            <w:r w:rsidRPr="00B03A08">
              <w:rPr>
                <w:rFonts w:ascii="Arial" w:hAnsi="Arial" w:cs="Arial"/>
                <w:sz w:val="18"/>
                <w:szCs w:val="18"/>
              </w:rPr>
              <w:t>1,</w:t>
            </w:r>
            <w:r>
              <w:rPr>
                <w:rFonts w:ascii="Arial" w:hAnsi="Arial" w:cs="Arial"/>
                <w:sz w:val="18"/>
                <w:szCs w:val="18"/>
              </w:rPr>
              <w:t>2</w:t>
            </w:r>
          </w:p>
        </w:tc>
        <w:tc>
          <w:tcPr>
            <w:tcW w:w="780" w:type="pct"/>
            <w:tcBorders>
              <w:top w:val="single" w:sz="4" w:space="0" w:color="auto"/>
              <w:left w:val="single" w:sz="4" w:space="0" w:color="auto"/>
              <w:bottom w:val="single" w:sz="4" w:space="0" w:color="auto"/>
              <w:right w:val="single" w:sz="4" w:space="0" w:color="auto"/>
            </w:tcBorders>
            <w:noWrap/>
            <w:vAlign w:val="center"/>
          </w:tcPr>
          <w:p w14:paraId="2BB90960" w14:textId="7F26D0C0" w:rsidR="002B2431" w:rsidRPr="00D51EFB" w:rsidRDefault="002B2431" w:rsidP="002B2431">
            <w:pPr>
              <w:spacing w:after="0"/>
              <w:rPr>
                <w:rFonts w:ascii="Arial" w:hAnsi="Arial" w:cs="Arial"/>
              </w:rPr>
            </w:pPr>
            <w:r>
              <w:rPr>
                <w:rFonts w:ascii="Arial" w:hAnsi="Arial" w:cs="Arial"/>
                <w:sz w:val="18"/>
                <w:szCs w:val="18"/>
              </w:rPr>
              <w:t>1,3</w:t>
            </w:r>
          </w:p>
        </w:tc>
      </w:tr>
      <w:tr w:rsidR="002B2431" w:rsidRPr="00D51EFB" w14:paraId="37EFCA13" w14:textId="77777777" w:rsidTr="003C0620">
        <w:trPr>
          <w:trHeight w:val="255"/>
        </w:trPr>
        <w:tc>
          <w:tcPr>
            <w:tcW w:w="2689"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259D1E42" w14:textId="77777777" w:rsidR="002B2431" w:rsidRPr="00D51EFB" w:rsidRDefault="002B2431" w:rsidP="002B2431">
            <w:pPr>
              <w:spacing w:after="0"/>
              <w:rPr>
                <w:rFonts w:ascii="Arial" w:hAnsi="Arial" w:cs="Arial"/>
                <w:b/>
                <w:bCs/>
              </w:rPr>
            </w:pPr>
            <w:r w:rsidRPr="00D51EFB">
              <w:rPr>
                <w:rFonts w:ascii="Arial" w:hAnsi="Arial" w:cs="Arial"/>
                <w:b/>
                <w:bCs/>
              </w:rPr>
              <w:t>7. Prilagoditve (SFA)</w:t>
            </w:r>
          </w:p>
        </w:tc>
        <w:tc>
          <w:tcPr>
            <w:tcW w:w="738" w:type="pct"/>
            <w:tcBorders>
              <w:top w:val="single" w:sz="4" w:space="0" w:color="auto"/>
              <w:left w:val="single" w:sz="4" w:space="0" w:color="auto"/>
              <w:bottom w:val="single" w:sz="4" w:space="0" w:color="auto"/>
              <w:right w:val="single" w:sz="4" w:space="0" w:color="auto"/>
            </w:tcBorders>
            <w:shd w:val="clear" w:color="auto" w:fill="auto"/>
            <w:vAlign w:val="center"/>
          </w:tcPr>
          <w:p w14:paraId="179E9356" w14:textId="0F235AE7" w:rsidR="002B2431" w:rsidRPr="00D51EFB" w:rsidRDefault="002B2431" w:rsidP="002B2431">
            <w:pPr>
              <w:spacing w:after="0"/>
              <w:rPr>
                <w:rFonts w:ascii="Arial" w:hAnsi="Arial" w:cs="Arial"/>
              </w:rPr>
            </w:pPr>
            <w:r w:rsidRPr="00B03A08">
              <w:rPr>
                <w:rFonts w:ascii="Arial" w:hAnsi="Arial" w:cs="Arial"/>
                <w:sz w:val="18"/>
                <w:szCs w:val="18"/>
              </w:rPr>
              <w:t>0,</w:t>
            </w:r>
            <w:r>
              <w:rPr>
                <w:rFonts w:ascii="Arial" w:hAnsi="Arial" w:cs="Arial"/>
                <w:sz w:val="18"/>
                <w:szCs w:val="18"/>
              </w:rPr>
              <w:t>2</w:t>
            </w:r>
          </w:p>
        </w:tc>
        <w:tc>
          <w:tcPr>
            <w:tcW w:w="79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986F70D" w14:textId="5A62FADA" w:rsidR="002B2431" w:rsidRPr="00D51EFB" w:rsidRDefault="002B2431" w:rsidP="002B2431">
            <w:pPr>
              <w:spacing w:after="0"/>
              <w:rPr>
                <w:rFonts w:ascii="Arial" w:hAnsi="Arial" w:cs="Arial"/>
              </w:rPr>
            </w:pPr>
            <w:r>
              <w:rPr>
                <w:rFonts w:ascii="Arial" w:hAnsi="Arial" w:cs="Arial"/>
                <w:sz w:val="18"/>
                <w:szCs w:val="18"/>
              </w:rPr>
              <w:t>-</w:t>
            </w:r>
            <w:r w:rsidRPr="00B03A08">
              <w:rPr>
                <w:rFonts w:ascii="Arial" w:hAnsi="Arial" w:cs="Arial"/>
                <w:sz w:val="18"/>
                <w:szCs w:val="18"/>
              </w:rPr>
              <w:t>0,</w:t>
            </w:r>
            <w:r>
              <w:rPr>
                <w:rFonts w:ascii="Arial" w:hAnsi="Arial" w:cs="Arial"/>
                <w:sz w:val="18"/>
                <w:szCs w:val="18"/>
              </w:rPr>
              <w:t>1</w:t>
            </w:r>
          </w:p>
        </w:tc>
        <w:tc>
          <w:tcPr>
            <w:tcW w:w="780" w:type="pct"/>
            <w:tcBorders>
              <w:top w:val="single" w:sz="4" w:space="0" w:color="auto"/>
              <w:left w:val="single" w:sz="4" w:space="0" w:color="auto"/>
              <w:bottom w:val="single" w:sz="4" w:space="0" w:color="auto"/>
              <w:right w:val="single" w:sz="4" w:space="0" w:color="auto"/>
            </w:tcBorders>
            <w:noWrap/>
            <w:vAlign w:val="center"/>
          </w:tcPr>
          <w:p w14:paraId="09C07907" w14:textId="05067D76" w:rsidR="002B2431" w:rsidRPr="00D51EFB" w:rsidRDefault="002B2431" w:rsidP="002B2431">
            <w:pPr>
              <w:spacing w:after="0"/>
              <w:rPr>
                <w:rFonts w:ascii="Arial" w:hAnsi="Arial" w:cs="Arial"/>
              </w:rPr>
            </w:pPr>
            <w:r>
              <w:rPr>
                <w:rFonts w:ascii="Arial" w:hAnsi="Arial" w:cs="Arial"/>
                <w:sz w:val="18"/>
                <w:szCs w:val="18"/>
              </w:rPr>
              <w:t>-0,3</w:t>
            </w:r>
          </w:p>
        </w:tc>
      </w:tr>
      <w:tr w:rsidR="002B2431" w:rsidRPr="00D51EFB" w14:paraId="75DE8736" w14:textId="77777777" w:rsidTr="003C0620">
        <w:trPr>
          <w:trHeight w:val="255"/>
        </w:trPr>
        <w:tc>
          <w:tcPr>
            <w:tcW w:w="2689"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05280E27" w14:textId="77777777" w:rsidR="002B2431" w:rsidRPr="00D51EFB" w:rsidRDefault="002B2431" w:rsidP="002B2431">
            <w:pPr>
              <w:spacing w:after="0"/>
              <w:rPr>
                <w:rFonts w:ascii="Arial" w:hAnsi="Arial" w:cs="Arial"/>
                <w:b/>
                <w:bCs/>
              </w:rPr>
            </w:pPr>
            <w:r w:rsidRPr="00D51EFB">
              <w:rPr>
                <w:rFonts w:ascii="Arial" w:hAnsi="Arial" w:cs="Arial"/>
                <w:b/>
                <w:bCs/>
              </w:rPr>
              <w:t>Implicitna obrestna mera</w:t>
            </w:r>
          </w:p>
        </w:tc>
        <w:tc>
          <w:tcPr>
            <w:tcW w:w="738" w:type="pct"/>
            <w:tcBorders>
              <w:top w:val="single" w:sz="4" w:space="0" w:color="auto"/>
              <w:left w:val="single" w:sz="4" w:space="0" w:color="auto"/>
              <w:bottom w:val="single" w:sz="4" w:space="0" w:color="auto"/>
              <w:right w:val="single" w:sz="4" w:space="0" w:color="auto"/>
            </w:tcBorders>
            <w:shd w:val="clear" w:color="auto" w:fill="auto"/>
            <w:vAlign w:val="center"/>
          </w:tcPr>
          <w:p w14:paraId="6CB39A13" w14:textId="6507CF16" w:rsidR="002B2431" w:rsidRPr="00D51EFB" w:rsidRDefault="002B2431" w:rsidP="002B2431">
            <w:pPr>
              <w:spacing w:after="0"/>
              <w:rPr>
                <w:rFonts w:ascii="Arial" w:hAnsi="Arial" w:cs="Arial"/>
              </w:rPr>
            </w:pPr>
            <w:r w:rsidRPr="00B03A08">
              <w:rPr>
                <w:rFonts w:ascii="Arial" w:hAnsi="Arial" w:cs="Arial"/>
                <w:sz w:val="18"/>
                <w:szCs w:val="18"/>
              </w:rPr>
              <w:t>1,6</w:t>
            </w:r>
          </w:p>
        </w:tc>
        <w:tc>
          <w:tcPr>
            <w:tcW w:w="79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12AB5AD" w14:textId="77A07A2C" w:rsidR="002B2431" w:rsidRPr="00D51EFB" w:rsidRDefault="002B2431" w:rsidP="002B2431">
            <w:pPr>
              <w:spacing w:after="0"/>
              <w:rPr>
                <w:rFonts w:ascii="Arial" w:hAnsi="Arial" w:cs="Arial"/>
              </w:rPr>
            </w:pPr>
            <w:r w:rsidRPr="00B03A08">
              <w:rPr>
                <w:rFonts w:ascii="Arial" w:hAnsi="Arial" w:cs="Arial"/>
                <w:sz w:val="18"/>
                <w:szCs w:val="18"/>
              </w:rPr>
              <w:t>1,</w:t>
            </w:r>
            <w:r>
              <w:rPr>
                <w:rFonts w:ascii="Arial" w:hAnsi="Arial" w:cs="Arial"/>
                <w:sz w:val="18"/>
                <w:szCs w:val="18"/>
              </w:rPr>
              <w:t>8</w:t>
            </w:r>
          </w:p>
        </w:tc>
        <w:tc>
          <w:tcPr>
            <w:tcW w:w="780" w:type="pct"/>
            <w:tcBorders>
              <w:top w:val="single" w:sz="4" w:space="0" w:color="auto"/>
              <w:left w:val="single" w:sz="4" w:space="0" w:color="auto"/>
              <w:bottom w:val="single" w:sz="4" w:space="0" w:color="auto"/>
              <w:right w:val="single" w:sz="4" w:space="0" w:color="auto"/>
            </w:tcBorders>
            <w:noWrap/>
            <w:vAlign w:val="center"/>
          </w:tcPr>
          <w:p w14:paraId="1E88818C" w14:textId="3EF750B0" w:rsidR="002B2431" w:rsidRPr="00D51EFB" w:rsidRDefault="002B2431" w:rsidP="002B2431">
            <w:pPr>
              <w:spacing w:after="0"/>
              <w:rPr>
                <w:rFonts w:ascii="Arial" w:hAnsi="Arial" w:cs="Arial"/>
              </w:rPr>
            </w:pPr>
            <w:r>
              <w:rPr>
                <w:rFonts w:ascii="Arial" w:hAnsi="Arial" w:cs="Arial"/>
                <w:sz w:val="18"/>
                <w:szCs w:val="18"/>
              </w:rPr>
              <w:t>2,0</w:t>
            </w:r>
          </w:p>
        </w:tc>
      </w:tr>
    </w:tbl>
    <w:p w14:paraId="65D57A5D" w14:textId="14E37AE0" w:rsidR="00D935FD" w:rsidRPr="00D51EFB" w:rsidRDefault="00D51EFB" w:rsidP="00D935FD">
      <w:pPr>
        <w:rPr>
          <w:rFonts w:ascii="Arial" w:hAnsi="Arial" w:cs="Arial"/>
          <w:sz w:val="20"/>
          <w:szCs w:val="20"/>
        </w:rPr>
      </w:pPr>
      <w:r w:rsidRPr="00D51EFB">
        <w:rPr>
          <w:rFonts w:ascii="Arial" w:hAnsi="Arial" w:cs="Arial"/>
          <w:sz w:val="20"/>
          <w:szCs w:val="20"/>
        </w:rPr>
        <w:t>Vir: Ministrstvo za finance, SURS, Direktorat za zakladništvo, 25.9.2023</w:t>
      </w:r>
    </w:p>
    <w:p w14:paraId="797DA234" w14:textId="77777777" w:rsidR="00E75770" w:rsidRPr="00E75770" w:rsidRDefault="00E75770" w:rsidP="00E75770">
      <w:pPr>
        <w:spacing w:after="0"/>
        <w:jc w:val="both"/>
        <w:rPr>
          <w:rFonts w:ascii="Arial" w:eastAsia="Times New Roman" w:hAnsi="Arial" w:cs="Times New Roman"/>
          <w:szCs w:val="28"/>
        </w:rPr>
      </w:pPr>
      <w:r w:rsidRPr="00E75770">
        <w:rPr>
          <w:rFonts w:ascii="Arial" w:eastAsia="Times New Roman" w:hAnsi="Arial" w:cs="Times New Roman"/>
          <w:szCs w:val="28"/>
        </w:rPr>
        <w:t xml:space="preserve">Meje dovoljenega zadolževanja v fiskalnem letu določa sprejeti Program financiranja za leto 2023 in Zakon o javnih financah, ki dovoljuje predfinanciranje državnega proračuna do višine zapadlih glavnic dolga državnega proračuna v naslednjih dveh letih. Vlada RS je v decembru 2022 sprejela Srednjeročno strategijo Ministrstva za finance o upravljanja z javnim dolgom RS za obdobje 2023-2025. Prav tako je sprejet Program stabilnosti za obdobje 2023-2026. Oba dokumenta vključujeta projekcijo razvoja, tj. zniževanja dolga sektor država v razmerju do BDP v srednjeročnem obdobju. </w:t>
      </w:r>
    </w:p>
    <w:p w14:paraId="63C48DCA" w14:textId="77777777" w:rsidR="00E75770" w:rsidRPr="00E75770" w:rsidRDefault="00E75770" w:rsidP="00E75770">
      <w:pPr>
        <w:spacing w:after="0"/>
        <w:jc w:val="both"/>
        <w:rPr>
          <w:rFonts w:ascii="Arial" w:eastAsia="Times New Roman" w:hAnsi="Arial" w:cs="Times New Roman"/>
          <w:szCs w:val="28"/>
        </w:rPr>
      </w:pPr>
    </w:p>
    <w:p w14:paraId="0680639D" w14:textId="77777777" w:rsidR="00E75770" w:rsidRPr="00E75770" w:rsidRDefault="00E75770" w:rsidP="00E75770">
      <w:pPr>
        <w:spacing w:after="0"/>
        <w:jc w:val="both"/>
        <w:rPr>
          <w:rFonts w:ascii="Arial" w:eastAsia="Times New Roman" w:hAnsi="Arial" w:cs="Times New Roman"/>
          <w:szCs w:val="28"/>
        </w:rPr>
      </w:pPr>
      <w:r w:rsidRPr="00E75770">
        <w:rPr>
          <w:rFonts w:ascii="Arial" w:eastAsia="Times New Roman" w:hAnsi="Arial" w:cs="Times New Roman"/>
          <w:szCs w:val="28"/>
        </w:rPr>
        <w:t xml:space="preserve">Na podlagi zadnje revizije letne ocene BDP in konsolidiranega dolga sektor država s strani SURS, je ta znašal 72,3 % BDP konec leta 2022. Za leto 2023 Ministrstvo za finance dolg sektor država ocenjuje v višini 69,9 % BDP in 68,9 % BDP konec leta 2024. Ocenjen razvoj dolga v % BDP je v okvirih načrtovanega v Srednjeročni strategiji Ministrstva za finance o upravljanja z javnim dolgom za obdobje 2023-2025. </w:t>
      </w:r>
    </w:p>
    <w:p w14:paraId="067A40BA" w14:textId="77777777" w:rsidR="00E75770" w:rsidRPr="00E75770" w:rsidRDefault="00E75770" w:rsidP="00E75770">
      <w:pPr>
        <w:spacing w:after="0"/>
        <w:jc w:val="both"/>
        <w:rPr>
          <w:rFonts w:ascii="Arial" w:eastAsia="Times New Roman" w:hAnsi="Arial" w:cs="Times New Roman"/>
          <w:szCs w:val="28"/>
        </w:rPr>
      </w:pPr>
    </w:p>
    <w:p w14:paraId="1B11C603" w14:textId="77777777" w:rsidR="00E75770" w:rsidRPr="00E75770" w:rsidRDefault="00E75770" w:rsidP="00E75770">
      <w:pPr>
        <w:spacing w:after="0"/>
        <w:jc w:val="both"/>
        <w:rPr>
          <w:rFonts w:ascii="Arial" w:eastAsia="Times New Roman" w:hAnsi="Arial" w:cs="Times New Roman"/>
          <w:szCs w:val="28"/>
        </w:rPr>
      </w:pPr>
      <w:r w:rsidRPr="00E75770">
        <w:rPr>
          <w:rFonts w:ascii="Arial" w:eastAsia="Times New Roman" w:hAnsi="Arial" w:cs="Times New Roman"/>
          <w:szCs w:val="28"/>
        </w:rPr>
        <w:t xml:space="preserve">Spodnja slika prikazuje, da se je proces zniževanja dolga sektorja država v razmerju do BDP pričel z letom 2021. Ocenjuje se, da se bo proces zniževanja dolga v razmerju do BDP nadaljeval predvsem preko nominalne rasti BDP in postopnega zniževanja likvidnostnih rezerv državnega proračuna. Načrtovan razvoj konsolidiranega dolga sektorja država Slovenije je od leta 2023 skladen s sicer začasno odpravljenim Pravilom o dolgu iz Pakta stabilnosti in rasti. </w:t>
      </w:r>
    </w:p>
    <w:p w14:paraId="54B4CA34" w14:textId="153F4FBC" w:rsidR="00D51EFB" w:rsidRPr="00D51EFB" w:rsidRDefault="00D51EFB" w:rsidP="00C2254A">
      <w:pPr>
        <w:pStyle w:val="Caption"/>
        <w:keepNext/>
        <w:spacing w:before="0"/>
        <w:ind w:left="0" w:firstLine="0"/>
        <w:jc w:val="left"/>
        <w:rPr>
          <w:rFonts w:ascii="Arial" w:hAnsi="Arial" w:cs="Arial"/>
          <w:b w:val="0"/>
          <w:bCs/>
          <w:i w:val="0"/>
          <w:iCs/>
          <w:sz w:val="22"/>
          <w:szCs w:val="22"/>
        </w:rPr>
      </w:pPr>
      <w:r w:rsidRPr="00D51EFB">
        <w:rPr>
          <w:rFonts w:ascii="Arial" w:hAnsi="Arial" w:cs="Arial"/>
          <w:b w:val="0"/>
          <w:bCs/>
          <w:i w:val="0"/>
          <w:iCs/>
          <w:sz w:val="22"/>
          <w:szCs w:val="22"/>
        </w:rPr>
        <w:lastRenderedPageBreak/>
        <w:t xml:space="preserve">Slika </w:t>
      </w:r>
      <w:r w:rsidRPr="00D51EFB">
        <w:rPr>
          <w:rFonts w:ascii="Arial" w:hAnsi="Arial" w:cs="Arial"/>
          <w:b w:val="0"/>
          <w:bCs/>
          <w:i w:val="0"/>
          <w:iCs/>
          <w:sz w:val="22"/>
          <w:szCs w:val="22"/>
        </w:rPr>
        <w:fldChar w:fldCharType="begin"/>
      </w:r>
      <w:r w:rsidRPr="00D51EFB">
        <w:rPr>
          <w:rFonts w:ascii="Arial" w:hAnsi="Arial" w:cs="Arial"/>
          <w:b w:val="0"/>
          <w:bCs/>
          <w:i w:val="0"/>
          <w:iCs/>
          <w:sz w:val="22"/>
          <w:szCs w:val="22"/>
        </w:rPr>
        <w:instrText xml:space="preserve"> SEQ Slika \* ARABIC </w:instrText>
      </w:r>
      <w:r w:rsidRPr="00D51EFB">
        <w:rPr>
          <w:rFonts w:ascii="Arial" w:hAnsi="Arial" w:cs="Arial"/>
          <w:b w:val="0"/>
          <w:bCs/>
          <w:i w:val="0"/>
          <w:iCs/>
          <w:sz w:val="22"/>
          <w:szCs w:val="22"/>
        </w:rPr>
        <w:fldChar w:fldCharType="separate"/>
      </w:r>
      <w:r w:rsidR="0032268A">
        <w:rPr>
          <w:rFonts w:ascii="Arial" w:hAnsi="Arial" w:cs="Arial"/>
          <w:b w:val="0"/>
          <w:bCs/>
          <w:i w:val="0"/>
          <w:iCs/>
          <w:noProof/>
          <w:sz w:val="22"/>
          <w:szCs w:val="22"/>
        </w:rPr>
        <w:t>19</w:t>
      </w:r>
      <w:r w:rsidRPr="00D51EFB">
        <w:rPr>
          <w:rFonts w:ascii="Arial" w:hAnsi="Arial" w:cs="Arial"/>
          <w:b w:val="0"/>
          <w:bCs/>
          <w:i w:val="0"/>
          <w:iCs/>
          <w:sz w:val="22"/>
          <w:szCs w:val="22"/>
        </w:rPr>
        <w:fldChar w:fldCharType="end"/>
      </w:r>
      <w:r w:rsidRPr="00D51EFB">
        <w:rPr>
          <w:rFonts w:ascii="Arial" w:hAnsi="Arial" w:cs="Arial"/>
          <w:b w:val="0"/>
          <w:bCs/>
          <w:i w:val="0"/>
          <w:iCs/>
          <w:sz w:val="22"/>
          <w:szCs w:val="22"/>
        </w:rPr>
        <w:t>: Konsolidiran dolg sektor</w:t>
      </w:r>
      <w:r w:rsidR="003D7C3E">
        <w:rPr>
          <w:rFonts w:ascii="Arial" w:hAnsi="Arial" w:cs="Arial"/>
          <w:b w:val="0"/>
          <w:bCs/>
          <w:i w:val="0"/>
          <w:iCs/>
          <w:sz w:val="22"/>
          <w:szCs w:val="22"/>
        </w:rPr>
        <w:t>ja</w:t>
      </w:r>
      <w:r w:rsidRPr="00D51EFB">
        <w:rPr>
          <w:rFonts w:ascii="Arial" w:hAnsi="Arial" w:cs="Arial"/>
          <w:b w:val="0"/>
          <w:bCs/>
          <w:i w:val="0"/>
          <w:iCs/>
          <w:sz w:val="22"/>
          <w:szCs w:val="22"/>
        </w:rPr>
        <w:t xml:space="preserve"> država v obdobju 2022-2024 v % BDP</w:t>
      </w:r>
    </w:p>
    <w:p w14:paraId="06DB5FE8" w14:textId="5218A192" w:rsidR="00D51EFB" w:rsidRPr="00D51EFB" w:rsidRDefault="002B2431" w:rsidP="00D51EFB">
      <w:pPr>
        <w:rPr>
          <w:rFonts w:ascii="Arial" w:hAnsi="Arial" w:cs="Arial"/>
        </w:rPr>
      </w:pPr>
      <w:r>
        <w:rPr>
          <w:noProof/>
        </w:rPr>
        <w:drawing>
          <wp:inline distT="0" distB="0" distL="0" distR="0" wp14:anchorId="15FB3209" wp14:editId="60BB4E7F">
            <wp:extent cx="5044948" cy="2799257"/>
            <wp:effectExtent l="0" t="0" r="3810" b="1270"/>
            <wp:docPr id="39" name="Grafikon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3EF15BF8" w14:textId="40BD899A" w:rsidR="00D51EFB" w:rsidRPr="00D51EFB" w:rsidRDefault="00D51EFB" w:rsidP="006C3AEF">
      <w:pPr>
        <w:spacing w:after="0"/>
        <w:rPr>
          <w:rFonts w:ascii="Arial" w:hAnsi="Arial" w:cs="Arial"/>
          <w:sz w:val="20"/>
          <w:szCs w:val="20"/>
        </w:rPr>
      </w:pPr>
      <w:r w:rsidRPr="00D51EFB">
        <w:rPr>
          <w:rFonts w:ascii="Arial" w:hAnsi="Arial" w:cs="Arial"/>
          <w:sz w:val="20"/>
          <w:szCs w:val="20"/>
        </w:rPr>
        <w:t>Vir: Ministrstvo za finance, 2</w:t>
      </w:r>
      <w:r w:rsidR="002B2431">
        <w:rPr>
          <w:rFonts w:ascii="Arial" w:hAnsi="Arial" w:cs="Arial"/>
          <w:sz w:val="20"/>
          <w:szCs w:val="20"/>
        </w:rPr>
        <w:t>8</w:t>
      </w:r>
      <w:r w:rsidRPr="00D51EFB">
        <w:rPr>
          <w:rFonts w:ascii="Arial" w:hAnsi="Arial" w:cs="Arial"/>
          <w:sz w:val="20"/>
          <w:szCs w:val="20"/>
        </w:rPr>
        <w:t>.9.2023</w:t>
      </w:r>
    </w:p>
    <w:p w14:paraId="4C620C1D" w14:textId="77777777" w:rsidR="00D51EFB" w:rsidRPr="00D51EFB" w:rsidRDefault="00D51EFB" w:rsidP="006C3AEF">
      <w:pPr>
        <w:spacing w:after="0"/>
        <w:rPr>
          <w:rFonts w:ascii="Arial" w:hAnsi="Arial" w:cs="Arial"/>
        </w:rPr>
      </w:pPr>
    </w:p>
    <w:p w14:paraId="213D2998" w14:textId="3B8FDA9B" w:rsidR="002B2431" w:rsidRDefault="002B2431" w:rsidP="002B2431">
      <w:pPr>
        <w:spacing w:after="0"/>
        <w:jc w:val="both"/>
        <w:rPr>
          <w:rFonts w:ascii="Arial" w:hAnsi="Arial" w:cs="Arial"/>
        </w:rPr>
      </w:pPr>
      <w:r w:rsidRPr="002B2431">
        <w:rPr>
          <w:rFonts w:ascii="Arial" w:hAnsi="Arial" w:cs="Arial"/>
        </w:rPr>
        <w:t xml:space="preserve">Delež dolga državnega proračuna v strukturi dolga sektor država znaša 94 %. Ministrstvo za finance je v letu 2023 že izdalo 2,79 mlrd EUR dolgoročnega dolga s tehtano izdano povprečno obrestno mero 3,7 % in tehtano povprečno ročnostjo izdanega dolga 12,3 let. Republika Slovenija je v letu 2023 izdala 11-letne evrske inflacijske obveznice v nominalni višini 100 mio EUR in prvič po letu 2014 na globalnem trgu izdana nova 10-letna USD obveznica v nominalni vrednosti 1 mlrd USD. S tem se zagotavlja raznovrstnost instrumentov financiranja državnega proračuna in nagovarja investitorje, ki vlagajo v tovrstne dolžniške instrumente. Republika Slovenija iz naslova izdane evrske 11-letne inflacijske obveznice plačuje sintetično fiksno letno obrestno mero v višini 3,555 %. Republika Slovenija je ob izdaji obveznice sklenila evrsko 11-letno inflacijsko zamenjavo in svojo izpostavljenost v celoti, tj. tako iz naslova obresti in glavnice, zaščitila pred spremembo inflacije v prihodnosti. Enako je bila pri izdaji USD obveznic sklenjena USD-EUR valutna zamenjava, tako da Republika Slovenija ni izpostavljena tveganju sprememb menjalnega tečaja. Tako Republika Slovenija vse svoje obveznosti iz naslova servisiranja plačil obresti in glavnice plačuje v evrih. </w:t>
      </w:r>
    </w:p>
    <w:p w14:paraId="18C22D93" w14:textId="77777777" w:rsidR="002B2431" w:rsidRPr="002B2431" w:rsidRDefault="002B2431" w:rsidP="002B2431">
      <w:pPr>
        <w:spacing w:after="0"/>
        <w:jc w:val="both"/>
        <w:rPr>
          <w:rFonts w:ascii="Arial" w:hAnsi="Arial" w:cs="Arial"/>
        </w:rPr>
      </w:pPr>
    </w:p>
    <w:p w14:paraId="12E3FC2A" w14:textId="07E7887D" w:rsidR="002B2431" w:rsidRDefault="002B2431" w:rsidP="002B2431">
      <w:pPr>
        <w:spacing w:after="0"/>
        <w:jc w:val="both"/>
        <w:rPr>
          <w:rFonts w:ascii="Arial" w:hAnsi="Arial" w:cs="Arial"/>
        </w:rPr>
      </w:pPr>
      <w:r w:rsidRPr="002B2431">
        <w:rPr>
          <w:rFonts w:ascii="Arial" w:hAnsi="Arial" w:cs="Arial"/>
        </w:rPr>
        <w:t>Povprečni tehtani čas do dospetja portfelja dolga državnega proračuna znaša 10,0 let v 2023. Izpostavljenost dolga državnega proračuna z vidika variabilne obrestne mere je minimalna, saj znaša 0,6 % celotnega portfelja dolga. V strukturi 99,4 % predstavlja dolg s fiksno obrestno mero.  V obdobju 2024–2025 v odplačilo zapade 12 % dolga državnega proračuna, pri čemer pa do leta 2030 v odplačilo zapade 48 % dolga državnega proračuna. Največji delež dolga državnega proračuna ima preostalo ročnost 5-10 let (37,4 %). 10-letna ročnost predstavlja optimalno izbiro z vidika metrike cene in tveganja.</w:t>
      </w:r>
    </w:p>
    <w:p w14:paraId="586BD323" w14:textId="77777777" w:rsidR="002B2431" w:rsidRPr="002B2431" w:rsidRDefault="002B2431" w:rsidP="002B2431">
      <w:pPr>
        <w:spacing w:after="0"/>
        <w:jc w:val="both"/>
        <w:rPr>
          <w:rFonts w:ascii="Arial" w:hAnsi="Arial" w:cs="Arial"/>
        </w:rPr>
      </w:pPr>
    </w:p>
    <w:p w14:paraId="4F4DA542" w14:textId="61A459F4" w:rsidR="002B2431" w:rsidRPr="002B2431" w:rsidRDefault="002B2431" w:rsidP="006C3AEF">
      <w:pPr>
        <w:spacing w:after="0"/>
        <w:jc w:val="both"/>
        <w:rPr>
          <w:rFonts w:ascii="Arial" w:hAnsi="Arial" w:cs="Arial"/>
        </w:rPr>
      </w:pPr>
      <w:r w:rsidRPr="002B2431">
        <w:rPr>
          <w:rFonts w:ascii="Arial" w:hAnsi="Arial" w:cs="Arial"/>
        </w:rPr>
        <w:t xml:space="preserve">Kot prikazuje spodnja slika so odplačila glavnic zmerno enakomerno razporejena po letih. Izraziteje povečana odplačila dolga se pričnejo z letom 2027 ob hkrati nizki povprečni obrestni meri zapadlega dolga. Ta vidik z leti, ki sledijo, pridobiva na relevantnosti, zato je na spodnji sliki tudi prikazana tehtana povprečna kuponska obrestna mera dolga, ki zapade v posameznem letu. Ta je najvišja v letu 2024 (4,4 %), nižje ravni teh predvsem v obdobju 2027–2031, pa so posledica nizkih/negativnih obrestnih mer v evrskem območju, ko so bile slovenske evrske obveznice izdane. Republika Slovenija ohranja širok dostop do virov </w:t>
      </w:r>
      <w:r w:rsidRPr="002B2431">
        <w:rPr>
          <w:rFonts w:ascii="Arial" w:hAnsi="Arial" w:cs="Arial"/>
        </w:rPr>
        <w:lastRenderedPageBreak/>
        <w:t>financiranja z razpršeno bazo investitorjev tako po tipu (upravljavci skladov, pokojninski skladi, zavarovalnice, banke ipd.) kot geografsko (VB</w:t>
      </w:r>
      <w:r w:rsidR="00CF07CD">
        <w:rPr>
          <w:rFonts w:ascii="Arial" w:hAnsi="Arial" w:cs="Arial"/>
        </w:rPr>
        <w:t xml:space="preserve"> </w:t>
      </w:r>
      <w:r w:rsidRPr="002B2431">
        <w:rPr>
          <w:rFonts w:ascii="Arial" w:hAnsi="Arial" w:cs="Arial"/>
        </w:rPr>
        <w:t>&amp;</w:t>
      </w:r>
      <w:r w:rsidR="00CF07CD">
        <w:rPr>
          <w:rFonts w:ascii="Arial" w:hAnsi="Arial" w:cs="Arial"/>
        </w:rPr>
        <w:t xml:space="preserve"> </w:t>
      </w:r>
      <w:r w:rsidRPr="002B2431">
        <w:rPr>
          <w:rFonts w:ascii="Arial" w:hAnsi="Arial" w:cs="Arial"/>
        </w:rPr>
        <w:t>Irska, Nemčija, Avstrija, Francija, ZDA…).</w:t>
      </w:r>
    </w:p>
    <w:p w14:paraId="3B88A6A7" w14:textId="77777777" w:rsidR="006C3AEF" w:rsidRDefault="006C3AEF" w:rsidP="00876A1D">
      <w:pPr>
        <w:spacing w:after="0"/>
        <w:rPr>
          <w:rFonts w:ascii="Arial" w:hAnsi="Arial" w:cs="Arial"/>
        </w:rPr>
      </w:pPr>
    </w:p>
    <w:p w14:paraId="47D501D9" w14:textId="4B811A80" w:rsidR="00D51EFB" w:rsidRPr="00D51EFB" w:rsidRDefault="002B2431" w:rsidP="00876A1D">
      <w:pPr>
        <w:spacing w:after="0"/>
        <w:rPr>
          <w:rFonts w:ascii="Arial" w:hAnsi="Arial" w:cs="Arial"/>
          <w:bCs/>
        </w:rPr>
      </w:pPr>
      <w:r w:rsidRPr="0088500C">
        <w:rPr>
          <w:rFonts w:cs="Arial"/>
          <w:noProof/>
          <w:sz w:val="16"/>
          <w:szCs w:val="16"/>
          <w:lang w:eastAsia="sl-SI"/>
        </w:rPr>
        <w:drawing>
          <wp:anchor distT="0" distB="0" distL="114300" distR="114300" simplePos="0" relativeHeight="251661312" behindDoc="0" locked="0" layoutInCell="1" allowOverlap="0" wp14:anchorId="33F02B75" wp14:editId="1FC00252">
            <wp:simplePos x="0" y="0"/>
            <wp:positionH relativeFrom="margin">
              <wp:posOffset>0</wp:posOffset>
            </wp:positionH>
            <wp:positionV relativeFrom="paragraph">
              <wp:posOffset>172720</wp:posOffset>
            </wp:positionV>
            <wp:extent cx="5759450" cy="3210560"/>
            <wp:effectExtent l="0" t="0" r="0" b="8890"/>
            <wp:wrapTopAndBottom/>
            <wp:docPr id="20" name="Grafikon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14:sizeRelH relativeFrom="margin">
              <wp14:pctWidth>0</wp14:pctWidth>
            </wp14:sizeRelH>
            <wp14:sizeRelV relativeFrom="margin">
              <wp14:pctHeight>0</wp14:pctHeight>
            </wp14:sizeRelV>
          </wp:anchor>
        </w:drawing>
      </w:r>
      <w:r w:rsidR="00876A1D" w:rsidRPr="00876A1D">
        <w:rPr>
          <w:rFonts w:ascii="Arial" w:hAnsi="Arial" w:cs="Arial"/>
        </w:rPr>
        <w:t xml:space="preserve">Slika </w:t>
      </w:r>
      <w:r w:rsidR="00876A1D" w:rsidRPr="00876A1D">
        <w:rPr>
          <w:rFonts w:ascii="Arial" w:hAnsi="Arial" w:cs="Arial"/>
        </w:rPr>
        <w:fldChar w:fldCharType="begin"/>
      </w:r>
      <w:r w:rsidR="00876A1D" w:rsidRPr="00876A1D">
        <w:rPr>
          <w:rFonts w:ascii="Arial" w:hAnsi="Arial" w:cs="Arial"/>
        </w:rPr>
        <w:instrText xml:space="preserve"> SEQ Slika \* ARABIC </w:instrText>
      </w:r>
      <w:r w:rsidR="00876A1D" w:rsidRPr="00876A1D">
        <w:rPr>
          <w:rFonts w:ascii="Arial" w:hAnsi="Arial" w:cs="Arial"/>
        </w:rPr>
        <w:fldChar w:fldCharType="separate"/>
      </w:r>
      <w:r w:rsidR="0032268A">
        <w:rPr>
          <w:rFonts w:ascii="Arial" w:hAnsi="Arial" w:cs="Arial"/>
          <w:noProof/>
        </w:rPr>
        <w:t>20</w:t>
      </w:r>
      <w:r w:rsidR="00876A1D" w:rsidRPr="00876A1D">
        <w:rPr>
          <w:rFonts w:ascii="Arial" w:hAnsi="Arial" w:cs="Arial"/>
        </w:rPr>
        <w:fldChar w:fldCharType="end"/>
      </w:r>
      <w:r w:rsidR="00876A1D" w:rsidRPr="00876A1D">
        <w:rPr>
          <w:rFonts w:ascii="Arial" w:hAnsi="Arial" w:cs="Arial"/>
        </w:rPr>
        <w:t xml:space="preserve">: </w:t>
      </w:r>
      <w:r w:rsidR="00876A1D" w:rsidRPr="00D51EFB">
        <w:rPr>
          <w:rFonts w:ascii="Arial" w:hAnsi="Arial" w:cs="Arial"/>
        </w:rPr>
        <w:t>Odplačila glavnic dolga državnega proračuna in povprečna kuponska obrestna</w:t>
      </w:r>
      <w:r w:rsidR="00876A1D" w:rsidRPr="00D51EFB">
        <w:rPr>
          <w:rFonts w:ascii="Arial" w:hAnsi="Arial" w:cs="Arial"/>
          <w:bCs/>
        </w:rPr>
        <w:t xml:space="preserve"> mera po letih</w:t>
      </w:r>
    </w:p>
    <w:p w14:paraId="37D19B66" w14:textId="433D8824" w:rsidR="00D51EFB" w:rsidRPr="00C2254A" w:rsidRDefault="00D51EFB" w:rsidP="00C2254A">
      <w:pPr>
        <w:spacing w:after="0"/>
        <w:rPr>
          <w:rFonts w:ascii="Arial" w:hAnsi="Arial" w:cs="Arial"/>
          <w:sz w:val="20"/>
          <w:szCs w:val="20"/>
        </w:rPr>
      </w:pPr>
      <w:r w:rsidRPr="00D51EFB">
        <w:rPr>
          <w:rFonts w:ascii="Arial" w:hAnsi="Arial" w:cs="Arial"/>
          <w:sz w:val="20"/>
          <w:szCs w:val="20"/>
        </w:rPr>
        <w:t>Vir: Ministrstvo za finance, 2</w:t>
      </w:r>
      <w:r w:rsidR="002B2431">
        <w:rPr>
          <w:rFonts w:ascii="Arial" w:hAnsi="Arial" w:cs="Arial"/>
          <w:sz w:val="20"/>
          <w:szCs w:val="20"/>
        </w:rPr>
        <w:t>8</w:t>
      </w:r>
      <w:r w:rsidRPr="00D51EFB">
        <w:rPr>
          <w:rFonts w:ascii="Arial" w:hAnsi="Arial" w:cs="Arial"/>
          <w:sz w:val="20"/>
          <w:szCs w:val="20"/>
        </w:rPr>
        <w:t>. 9. 2023</w:t>
      </w:r>
    </w:p>
    <w:p w14:paraId="6B7C296F" w14:textId="77777777" w:rsidR="00C2254A" w:rsidRDefault="00C2254A" w:rsidP="00C2254A">
      <w:pPr>
        <w:jc w:val="both"/>
        <w:rPr>
          <w:rFonts w:ascii="Arial" w:hAnsi="Arial" w:cs="Arial"/>
        </w:rPr>
      </w:pPr>
    </w:p>
    <w:p w14:paraId="34479693" w14:textId="5D5AA3D7" w:rsidR="002B2431" w:rsidRDefault="002B2431" w:rsidP="006C3AEF">
      <w:pPr>
        <w:spacing w:after="0"/>
        <w:jc w:val="both"/>
        <w:rPr>
          <w:rFonts w:ascii="Arial" w:hAnsi="Arial" w:cs="Arial"/>
        </w:rPr>
      </w:pPr>
      <w:r w:rsidRPr="002B2431">
        <w:rPr>
          <w:rFonts w:ascii="Arial" w:hAnsi="Arial" w:cs="Arial"/>
        </w:rPr>
        <w:t>Bonitetne ocene Republike Slovenije ostajajo visoke, in sicer pri S&amp;P (AA-), Fitch (A), Moody's (A3) in DBRS (AH) s stabilnimi izgledi. Stabilni izgled za razvoj bonitetne ocene pri posamičnih kreditnih ocenah rating agencij označuje, da agencije kot najbolj verjetno ocenjujejo, da bodo v srednjeročnem obdobju ocene kreditnega tveganja države ostale nespremenjene.</w:t>
      </w:r>
    </w:p>
    <w:p w14:paraId="794C58E7" w14:textId="77777777" w:rsidR="006C3AEF" w:rsidRPr="002B2431" w:rsidRDefault="006C3AEF" w:rsidP="006C3AEF">
      <w:pPr>
        <w:spacing w:after="0"/>
        <w:jc w:val="both"/>
        <w:rPr>
          <w:rFonts w:ascii="Arial" w:hAnsi="Arial" w:cs="Arial"/>
        </w:rPr>
      </w:pPr>
    </w:p>
    <w:p w14:paraId="2868B3C6" w14:textId="166F3963" w:rsidR="00D51EFB" w:rsidRPr="00D51EFB" w:rsidRDefault="00D51EFB" w:rsidP="006C3AEF">
      <w:pPr>
        <w:pStyle w:val="Caption"/>
        <w:keepNext/>
        <w:spacing w:before="0"/>
        <w:ind w:left="0" w:firstLine="0"/>
        <w:rPr>
          <w:rFonts w:ascii="Arial" w:hAnsi="Arial" w:cs="Arial"/>
          <w:b w:val="0"/>
          <w:bCs/>
          <w:i w:val="0"/>
          <w:iCs/>
          <w:sz w:val="22"/>
          <w:szCs w:val="22"/>
        </w:rPr>
      </w:pPr>
      <w:r w:rsidRPr="00D51EFB">
        <w:rPr>
          <w:rFonts w:ascii="Arial" w:hAnsi="Arial" w:cs="Arial"/>
          <w:b w:val="0"/>
          <w:bCs/>
          <w:i w:val="0"/>
          <w:iCs/>
          <w:sz w:val="22"/>
          <w:szCs w:val="22"/>
        </w:rPr>
        <w:t xml:space="preserve">Tabela </w:t>
      </w:r>
      <w:r w:rsidRPr="00D51EFB">
        <w:rPr>
          <w:rFonts w:ascii="Arial" w:hAnsi="Arial" w:cs="Arial"/>
          <w:b w:val="0"/>
          <w:bCs/>
          <w:i w:val="0"/>
          <w:iCs/>
          <w:sz w:val="22"/>
          <w:szCs w:val="22"/>
        </w:rPr>
        <w:fldChar w:fldCharType="begin"/>
      </w:r>
      <w:r w:rsidRPr="00D51EFB">
        <w:rPr>
          <w:rFonts w:ascii="Arial" w:hAnsi="Arial" w:cs="Arial"/>
          <w:b w:val="0"/>
          <w:bCs/>
          <w:i w:val="0"/>
          <w:iCs/>
          <w:sz w:val="22"/>
          <w:szCs w:val="22"/>
        </w:rPr>
        <w:instrText xml:space="preserve"> SEQ Tabela \* ARABIC </w:instrText>
      </w:r>
      <w:r w:rsidRPr="00D51EFB">
        <w:rPr>
          <w:rFonts w:ascii="Arial" w:hAnsi="Arial" w:cs="Arial"/>
          <w:b w:val="0"/>
          <w:bCs/>
          <w:i w:val="0"/>
          <w:iCs/>
          <w:sz w:val="22"/>
          <w:szCs w:val="22"/>
        </w:rPr>
        <w:fldChar w:fldCharType="separate"/>
      </w:r>
      <w:r w:rsidR="00E4660B">
        <w:rPr>
          <w:rFonts w:ascii="Arial" w:hAnsi="Arial" w:cs="Arial"/>
          <w:b w:val="0"/>
          <w:bCs/>
          <w:i w:val="0"/>
          <w:iCs/>
          <w:noProof/>
          <w:sz w:val="22"/>
          <w:szCs w:val="22"/>
        </w:rPr>
        <w:t>7</w:t>
      </w:r>
      <w:r w:rsidRPr="00D51EFB">
        <w:rPr>
          <w:rFonts w:ascii="Arial" w:hAnsi="Arial" w:cs="Arial"/>
          <w:b w:val="0"/>
          <w:bCs/>
          <w:i w:val="0"/>
          <w:iCs/>
          <w:sz w:val="22"/>
          <w:szCs w:val="22"/>
        </w:rPr>
        <w:fldChar w:fldCharType="end"/>
      </w:r>
      <w:r w:rsidRPr="00D51EFB">
        <w:rPr>
          <w:rFonts w:ascii="Arial" w:hAnsi="Arial" w:cs="Arial"/>
          <w:b w:val="0"/>
          <w:bCs/>
          <w:i w:val="0"/>
          <w:iCs/>
          <w:sz w:val="22"/>
          <w:szCs w:val="22"/>
        </w:rPr>
        <w:t xml:space="preserve">: </w:t>
      </w:r>
      <w:r w:rsidRPr="00D51EFB">
        <w:rPr>
          <w:rFonts w:ascii="Arial" w:hAnsi="Arial" w:cs="Arial"/>
          <w:b w:val="0"/>
          <w:bCs/>
          <w:i w:val="0"/>
          <w:iCs/>
          <w:sz w:val="22"/>
          <w:szCs w:val="22"/>
          <w:lang w:val="it-IT"/>
        </w:rPr>
        <w:t xml:space="preserve">Stanje bonitetnih ocen Republike </w:t>
      </w:r>
      <w:r w:rsidRPr="00D51EFB">
        <w:rPr>
          <w:rFonts w:ascii="Arial" w:eastAsia="Calibri" w:hAnsi="Arial" w:cs="Arial"/>
          <w:b w:val="0"/>
          <w:bCs/>
          <w:i w:val="0"/>
          <w:iCs/>
          <w:sz w:val="22"/>
          <w:szCs w:val="22"/>
          <w:lang w:val="it-IT"/>
        </w:rPr>
        <w:t>Slovenije</w:t>
      </w:r>
    </w:p>
    <w:tbl>
      <w:tblPr>
        <w:tblStyle w:val="TableGrid"/>
        <w:tblW w:w="5000" w:type="pct"/>
        <w:tblLook w:val="04A0" w:firstRow="1" w:lastRow="0" w:firstColumn="1" w:lastColumn="0" w:noHBand="0" w:noVBand="1"/>
      </w:tblPr>
      <w:tblGrid>
        <w:gridCol w:w="2619"/>
        <w:gridCol w:w="3391"/>
        <w:gridCol w:w="3052"/>
      </w:tblGrid>
      <w:tr w:rsidR="00D51EFB" w:rsidRPr="00D51EFB" w14:paraId="0415B7EC" w14:textId="77777777" w:rsidTr="00C002ED">
        <w:tc>
          <w:tcPr>
            <w:tcW w:w="1445" w:type="pct"/>
            <w:shd w:val="clear" w:color="auto" w:fill="AEAAAA" w:themeFill="background2" w:themeFillShade="BF"/>
          </w:tcPr>
          <w:p w14:paraId="25D0FD7B" w14:textId="77777777" w:rsidR="00D51EFB" w:rsidRPr="00D51EFB" w:rsidRDefault="00D51EFB" w:rsidP="00C002ED">
            <w:pPr>
              <w:spacing w:after="160" w:line="259" w:lineRule="auto"/>
              <w:rPr>
                <w:rFonts w:ascii="Arial" w:hAnsi="Arial" w:cs="Arial"/>
                <w:b/>
              </w:rPr>
            </w:pPr>
            <w:r w:rsidRPr="00D51EFB">
              <w:rPr>
                <w:rFonts w:ascii="Arial" w:hAnsi="Arial" w:cs="Arial"/>
                <w:b/>
              </w:rPr>
              <w:t>Agencija</w:t>
            </w:r>
          </w:p>
        </w:tc>
        <w:tc>
          <w:tcPr>
            <w:tcW w:w="1871" w:type="pct"/>
            <w:shd w:val="clear" w:color="auto" w:fill="AEAAAA" w:themeFill="background2" w:themeFillShade="BF"/>
          </w:tcPr>
          <w:p w14:paraId="5D991C64" w14:textId="77777777" w:rsidR="00D51EFB" w:rsidRPr="00D51EFB" w:rsidRDefault="00D51EFB" w:rsidP="00C002ED">
            <w:pPr>
              <w:spacing w:after="160" w:line="259" w:lineRule="auto"/>
              <w:rPr>
                <w:rFonts w:ascii="Arial" w:hAnsi="Arial" w:cs="Arial"/>
                <w:b/>
              </w:rPr>
            </w:pPr>
            <w:r w:rsidRPr="00D51EFB">
              <w:rPr>
                <w:rFonts w:ascii="Arial" w:hAnsi="Arial" w:cs="Arial"/>
                <w:b/>
              </w:rPr>
              <w:t>Bonitetna ocena</w:t>
            </w:r>
          </w:p>
        </w:tc>
        <w:tc>
          <w:tcPr>
            <w:tcW w:w="1684" w:type="pct"/>
            <w:shd w:val="clear" w:color="auto" w:fill="AEAAAA" w:themeFill="background2" w:themeFillShade="BF"/>
          </w:tcPr>
          <w:p w14:paraId="55E317D2" w14:textId="77777777" w:rsidR="00D51EFB" w:rsidRPr="00D51EFB" w:rsidRDefault="00D51EFB" w:rsidP="00C002ED">
            <w:pPr>
              <w:spacing w:after="160" w:line="259" w:lineRule="auto"/>
              <w:rPr>
                <w:rFonts w:ascii="Arial" w:hAnsi="Arial" w:cs="Arial"/>
                <w:b/>
              </w:rPr>
            </w:pPr>
            <w:r w:rsidRPr="00D51EFB">
              <w:rPr>
                <w:rFonts w:ascii="Arial" w:hAnsi="Arial" w:cs="Arial"/>
                <w:b/>
              </w:rPr>
              <w:t>Obeti</w:t>
            </w:r>
          </w:p>
        </w:tc>
      </w:tr>
      <w:tr w:rsidR="00D51EFB" w:rsidRPr="00D51EFB" w14:paraId="35C812C7" w14:textId="77777777" w:rsidTr="00C002ED">
        <w:tc>
          <w:tcPr>
            <w:tcW w:w="1445" w:type="pct"/>
          </w:tcPr>
          <w:p w14:paraId="503D8A09" w14:textId="77777777" w:rsidR="00D51EFB" w:rsidRPr="00D51EFB" w:rsidRDefault="00D51EFB" w:rsidP="00C002ED">
            <w:pPr>
              <w:spacing w:after="160" w:line="259" w:lineRule="auto"/>
              <w:rPr>
                <w:rFonts w:ascii="Arial" w:hAnsi="Arial" w:cs="Arial"/>
              </w:rPr>
            </w:pPr>
            <w:r w:rsidRPr="00D51EFB">
              <w:rPr>
                <w:rFonts w:ascii="Arial" w:hAnsi="Arial" w:cs="Arial"/>
              </w:rPr>
              <w:t>S&amp;P</w:t>
            </w:r>
          </w:p>
        </w:tc>
        <w:tc>
          <w:tcPr>
            <w:tcW w:w="1871" w:type="pct"/>
          </w:tcPr>
          <w:p w14:paraId="63E5690A" w14:textId="77777777" w:rsidR="00D51EFB" w:rsidRPr="00D51EFB" w:rsidRDefault="00D51EFB" w:rsidP="00C002ED">
            <w:pPr>
              <w:spacing w:after="160" w:line="259" w:lineRule="auto"/>
              <w:rPr>
                <w:rFonts w:ascii="Arial" w:hAnsi="Arial" w:cs="Arial"/>
              </w:rPr>
            </w:pPr>
            <w:r w:rsidRPr="00D51EFB">
              <w:rPr>
                <w:rFonts w:ascii="Arial" w:hAnsi="Arial" w:cs="Arial"/>
              </w:rPr>
              <w:t>AA-</w:t>
            </w:r>
          </w:p>
        </w:tc>
        <w:tc>
          <w:tcPr>
            <w:tcW w:w="1684" w:type="pct"/>
          </w:tcPr>
          <w:p w14:paraId="72FB8271" w14:textId="77777777" w:rsidR="00D51EFB" w:rsidRPr="00D51EFB" w:rsidRDefault="00D51EFB" w:rsidP="00C002ED">
            <w:pPr>
              <w:spacing w:after="160" w:line="259" w:lineRule="auto"/>
              <w:rPr>
                <w:rFonts w:ascii="Arial" w:hAnsi="Arial" w:cs="Arial"/>
              </w:rPr>
            </w:pPr>
            <w:r w:rsidRPr="00D51EFB">
              <w:rPr>
                <w:rFonts w:ascii="Arial" w:hAnsi="Arial" w:cs="Arial"/>
              </w:rPr>
              <w:t>stabilni</w:t>
            </w:r>
          </w:p>
        </w:tc>
      </w:tr>
      <w:tr w:rsidR="00D51EFB" w:rsidRPr="00D51EFB" w14:paraId="30C71145" w14:textId="77777777" w:rsidTr="00C002ED">
        <w:tc>
          <w:tcPr>
            <w:tcW w:w="1445" w:type="pct"/>
          </w:tcPr>
          <w:p w14:paraId="57851B28" w14:textId="77777777" w:rsidR="00D51EFB" w:rsidRPr="00D51EFB" w:rsidRDefault="00D51EFB" w:rsidP="00C002ED">
            <w:pPr>
              <w:spacing w:after="160" w:line="259" w:lineRule="auto"/>
              <w:rPr>
                <w:rFonts w:ascii="Arial" w:hAnsi="Arial" w:cs="Arial"/>
              </w:rPr>
            </w:pPr>
            <w:r w:rsidRPr="00D51EFB">
              <w:rPr>
                <w:rFonts w:ascii="Arial" w:hAnsi="Arial" w:cs="Arial"/>
              </w:rPr>
              <w:t>Fitch</w:t>
            </w:r>
          </w:p>
        </w:tc>
        <w:tc>
          <w:tcPr>
            <w:tcW w:w="1871" w:type="pct"/>
          </w:tcPr>
          <w:p w14:paraId="286FB695" w14:textId="77777777" w:rsidR="00D51EFB" w:rsidRPr="00D51EFB" w:rsidRDefault="00D51EFB" w:rsidP="00C002ED">
            <w:pPr>
              <w:spacing w:after="160" w:line="259" w:lineRule="auto"/>
              <w:rPr>
                <w:rFonts w:ascii="Arial" w:hAnsi="Arial" w:cs="Arial"/>
              </w:rPr>
            </w:pPr>
            <w:r w:rsidRPr="00D51EFB">
              <w:rPr>
                <w:rFonts w:ascii="Arial" w:hAnsi="Arial" w:cs="Arial"/>
              </w:rPr>
              <w:t>A</w:t>
            </w:r>
          </w:p>
        </w:tc>
        <w:tc>
          <w:tcPr>
            <w:tcW w:w="1684" w:type="pct"/>
          </w:tcPr>
          <w:p w14:paraId="60BC3EEE" w14:textId="77777777" w:rsidR="00D51EFB" w:rsidRPr="00D51EFB" w:rsidRDefault="00D51EFB" w:rsidP="00C002ED">
            <w:pPr>
              <w:spacing w:after="160" w:line="259" w:lineRule="auto"/>
              <w:rPr>
                <w:rFonts w:ascii="Arial" w:hAnsi="Arial" w:cs="Arial"/>
              </w:rPr>
            </w:pPr>
            <w:r w:rsidRPr="00D51EFB">
              <w:rPr>
                <w:rFonts w:ascii="Arial" w:hAnsi="Arial" w:cs="Arial"/>
              </w:rPr>
              <w:t>stabilni</w:t>
            </w:r>
          </w:p>
        </w:tc>
      </w:tr>
      <w:tr w:rsidR="00D51EFB" w:rsidRPr="00D51EFB" w14:paraId="1886EFE1" w14:textId="77777777" w:rsidTr="00C002ED">
        <w:tc>
          <w:tcPr>
            <w:tcW w:w="1445" w:type="pct"/>
          </w:tcPr>
          <w:p w14:paraId="5FEE519E" w14:textId="77777777" w:rsidR="00D51EFB" w:rsidRPr="00D51EFB" w:rsidRDefault="00D51EFB" w:rsidP="00C002ED">
            <w:pPr>
              <w:spacing w:after="160" w:line="259" w:lineRule="auto"/>
              <w:rPr>
                <w:rFonts w:ascii="Arial" w:hAnsi="Arial" w:cs="Arial"/>
              </w:rPr>
            </w:pPr>
            <w:r w:rsidRPr="00D51EFB">
              <w:rPr>
                <w:rFonts w:ascii="Arial" w:hAnsi="Arial" w:cs="Arial"/>
              </w:rPr>
              <w:t>Moody's</w:t>
            </w:r>
          </w:p>
        </w:tc>
        <w:tc>
          <w:tcPr>
            <w:tcW w:w="1871" w:type="pct"/>
          </w:tcPr>
          <w:p w14:paraId="54BDF429" w14:textId="77777777" w:rsidR="00D51EFB" w:rsidRPr="00D51EFB" w:rsidRDefault="00D51EFB" w:rsidP="00C002ED">
            <w:pPr>
              <w:spacing w:after="160" w:line="259" w:lineRule="auto"/>
              <w:rPr>
                <w:rFonts w:ascii="Arial" w:hAnsi="Arial" w:cs="Arial"/>
              </w:rPr>
            </w:pPr>
            <w:r w:rsidRPr="00D51EFB">
              <w:rPr>
                <w:rFonts w:ascii="Arial" w:hAnsi="Arial" w:cs="Arial"/>
              </w:rPr>
              <w:t>A3</w:t>
            </w:r>
          </w:p>
        </w:tc>
        <w:tc>
          <w:tcPr>
            <w:tcW w:w="1684" w:type="pct"/>
          </w:tcPr>
          <w:p w14:paraId="164CB9F7" w14:textId="77777777" w:rsidR="00D51EFB" w:rsidRPr="00D51EFB" w:rsidRDefault="00D51EFB" w:rsidP="00C002ED">
            <w:pPr>
              <w:spacing w:after="160" w:line="259" w:lineRule="auto"/>
              <w:rPr>
                <w:rFonts w:ascii="Arial" w:hAnsi="Arial" w:cs="Arial"/>
              </w:rPr>
            </w:pPr>
            <w:r w:rsidRPr="00D51EFB">
              <w:rPr>
                <w:rFonts w:ascii="Arial" w:hAnsi="Arial" w:cs="Arial"/>
              </w:rPr>
              <w:t>stabilni</w:t>
            </w:r>
          </w:p>
        </w:tc>
      </w:tr>
      <w:tr w:rsidR="00D51EFB" w:rsidRPr="00D51EFB" w14:paraId="4D6DB20C" w14:textId="77777777" w:rsidTr="00C002ED">
        <w:tc>
          <w:tcPr>
            <w:tcW w:w="1445" w:type="pct"/>
          </w:tcPr>
          <w:p w14:paraId="0BAD5898" w14:textId="77777777" w:rsidR="00D51EFB" w:rsidRPr="00D51EFB" w:rsidRDefault="00D51EFB" w:rsidP="00C002ED">
            <w:pPr>
              <w:spacing w:after="160" w:line="259" w:lineRule="auto"/>
              <w:rPr>
                <w:rFonts w:ascii="Arial" w:hAnsi="Arial" w:cs="Arial"/>
              </w:rPr>
            </w:pPr>
            <w:r w:rsidRPr="00D51EFB">
              <w:rPr>
                <w:rFonts w:ascii="Arial" w:hAnsi="Arial" w:cs="Arial"/>
              </w:rPr>
              <w:t>DBRS</w:t>
            </w:r>
          </w:p>
        </w:tc>
        <w:tc>
          <w:tcPr>
            <w:tcW w:w="1871" w:type="pct"/>
          </w:tcPr>
          <w:p w14:paraId="142C6822" w14:textId="77777777" w:rsidR="00D51EFB" w:rsidRPr="00D51EFB" w:rsidRDefault="00D51EFB" w:rsidP="00C002ED">
            <w:pPr>
              <w:spacing w:after="160" w:line="259" w:lineRule="auto"/>
              <w:rPr>
                <w:rFonts w:ascii="Arial" w:hAnsi="Arial" w:cs="Arial"/>
              </w:rPr>
            </w:pPr>
            <w:r w:rsidRPr="00D51EFB">
              <w:rPr>
                <w:rFonts w:ascii="Arial" w:hAnsi="Arial" w:cs="Arial"/>
              </w:rPr>
              <w:t>AH</w:t>
            </w:r>
          </w:p>
        </w:tc>
        <w:tc>
          <w:tcPr>
            <w:tcW w:w="1684" w:type="pct"/>
          </w:tcPr>
          <w:p w14:paraId="06A39A93" w14:textId="77777777" w:rsidR="00D51EFB" w:rsidRPr="00D51EFB" w:rsidRDefault="00D51EFB" w:rsidP="00C002ED">
            <w:pPr>
              <w:spacing w:after="160" w:line="259" w:lineRule="auto"/>
              <w:rPr>
                <w:rFonts w:ascii="Arial" w:hAnsi="Arial" w:cs="Arial"/>
              </w:rPr>
            </w:pPr>
            <w:r w:rsidRPr="00D51EFB">
              <w:rPr>
                <w:rFonts w:ascii="Arial" w:hAnsi="Arial" w:cs="Arial"/>
              </w:rPr>
              <w:t>stabilni</w:t>
            </w:r>
          </w:p>
        </w:tc>
      </w:tr>
    </w:tbl>
    <w:p w14:paraId="04545C7E" w14:textId="5585E502" w:rsidR="00D51EFB" w:rsidRPr="00D51EFB" w:rsidRDefault="00D51EFB" w:rsidP="00D51EFB">
      <w:pPr>
        <w:rPr>
          <w:rFonts w:ascii="Arial" w:hAnsi="Arial" w:cs="Arial"/>
          <w:sz w:val="20"/>
          <w:szCs w:val="20"/>
        </w:rPr>
      </w:pPr>
      <w:r w:rsidRPr="00D51EFB">
        <w:rPr>
          <w:rFonts w:ascii="Arial" w:hAnsi="Arial" w:cs="Arial"/>
          <w:sz w:val="20"/>
          <w:szCs w:val="20"/>
        </w:rPr>
        <w:t>Vir: S&amp;P, Moody's, Fitch in DBRS, 2</w:t>
      </w:r>
      <w:r w:rsidR="002B2431">
        <w:rPr>
          <w:rFonts w:ascii="Arial" w:hAnsi="Arial" w:cs="Arial"/>
          <w:sz w:val="20"/>
          <w:szCs w:val="20"/>
        </w:rPr>
        <w:t>6</w:t>
      </w:r>
      <w:r w:rsidRPr="00D51EFB">
        <w:rPr>
          <w:rFonts w:ascii="Arial" w:hAnsi="Arial" w:cs="Arial"/>
          <w:sz w:val="20"/>
          <w:szCs w:val="20"/>
        </w:rPr>
        <w:t>. 9. 2023</w:t>
      </w:r>
    </w:p>
    <w:p w14:paraId="6A6DDB8B" w14:textId="29F60F31" w:rsidR="00D51EFB" w:rsidRPr="00D51EFB" w:rsidRDefault="00D51EFB" w:rsidP="00D51EFB">
      <w:pPr>
        <w:pStyle w:val="Caption"/>
        <w:keepNext/>
        <w:ind w:left="0" w:firstLine="0"/>
        <w:jc w:val="left"/>
        <w:rPr>
          <w:rFonts w:ascii="Arial" w:hAnsi="Arial" w:cs="Arial"/>
          <w:b w:val="0"/>
          <w:bCs/>
          <w:i w:val="0"/>
          <w:iCs/>
          <w:sz w:val="22"/>
          <w:szCs w:val="22"/>
        </w:rPr>
      </w:pPr>
      <w:r w:rsidRPr="00D51EFB">
        <w:rPr>
          <w:rFonts w:ascii="Arial" w:hAnsi="Arial" w:cs="Arial"/>
          <w:b w:val="0"/>
          <w:bCs/>
          <w:i w:val="0"/>
          <w:iCs/>
          <w:sz w:val="22"/>
          <w:szCs w:val="22"/>
        </w:rPr>
        <w:lastRenderedPageBreak/>
        <w:t xml:space="preserve">Slika </w:t>
      </w:r>
      <w:r w:rsidRPr="00D51EFB">
        <w:rPr>
          <w:rFonts w:ascii="Arial" w:hAnsi="Arial" w:cs="Arial"/>
          <w:b w:val="0"/>
          <w:bCs/>
          <w:i w:val="0"/>
          <w:iCs/>
          <w:sz w:val="22"/>
          <w:szCs w:val="22"/>
        </w:rPr>
        <w:fldChar w:fldCharType="begin"/>
      </w:r>
      <w:r w:rsidRPr="00D51EFB">
        <w:rPr>
          <w:rFonts w:ascii="Arial" w:hAnsi="Arial" w:cs="Arial"/>
          <w:b w:val="0"/>
          <w:bCs/>
          <w:i w:val="0"/>
          <w:iCs/>
          <w:sz w:val="22"/>
          <w:szCs w:val="22"/>
        </w:rPr>
        <w:instrText xml:space="preserve"> SEQ Slika \* ARABIC </w:instrText>
      </w:r>
      <w:r w:rsidRPr="00D51EFB">
        <w:rPr>
          <w:rFonts w:ascii="Arial" w:hAnsi="Arial" w:cs="Arial"/>
          <w:b w:val="0"/>
          <w:bCs/>
          <w:i w:val="0"/>
          <w:iCs/>
          <w:sz w:val="22"/>
          <w:szCs w:val="22"/>
        </w:rPr>
        <w:fldChar w:fldCharType="separate"/>
      </w:r>
      <w:r w:rsidR="0032268A">
        <w:rPr>
          <w:rFonts w:ascii="Arial" w:hAnsi="Arial" w:cs="Arial"/>
          <w:b w:val="0"/>
          <w:bCs/>
          <w:i w:val="0"/>
          <w:iCs/>
          <w:noProof/>
          <w:sz w:val="22"/>
          <w:szCs w:val="22"/>
        </w:rPr>
        <w:t>21</w:t>
      </w:r>
      <w:r w:rsidRPr="00D51EFB">
        <w:rPr>
          <w:rFonts w:ascii="Arial" w:hAnsi="Arial" w:cs="Arial"/>
          <w:b w:val="0"/>
          <w:bCs/>
          <w:i w:val="0"/>
          <w:iCs/>
          <w:sz w:val="22"/>
          <w:szCs w:val="22"/>
        </w:rPr>
        <w:fldChar w:fldCharType="end"/>
      </w:r>
      <w:r w:rsidRPr="00D51EFB">
        <w:rPr>
          <w:rFonts w:ascii="Arial" w:hAnsi="Arial" w:cs="Arial"/>
          <w:b w:val="0"/>
          <w:bCs/>
          <w:i w:val="0"/>
          <w:iCs/>
          <w:sz w:val="22"/>
          <w:szCs w:val="22"/>
        </w:rPr>
        <w:t>: Pregled bonitetnih ocen Republike Slovenije skozi čas</w:t>
      </w:r>
    </w:p>
    <w:p w14:paraId="756601FC" w14:textId="1E2F7E74" w:rsidR="00D51EFB" w:rsidRPr="00D51EFB" w:rsidRDefault="002B2431" w:rsidP="00D51EFB">
      <w:pPr>
        <w:rPr>
          <w:rFonts w:ascii="Arial" w:hAnsi="Arial" w:cs="Arial"/>
        </w:rPr>
      </w:pPr>
      <w:r w:rsidRPr="007C6843">
        <w:rPr>
          <w:rFonts w:ascii="Book Antiqua" w:eastAsia="Calibri" w:hAnsi="Book Antiqua"/>
          <w:noProof/>
          <w:sz w:val="18"/>
          <w:highlight w:val="yellow"/>
          <w:lang w:eastAsia="sl-SI"/>
        </w:rPr>
        <w:drawing>
          <wp:inline distT="0" distB="0" distL="0" distR="0" wp14:anchorId="1F12DB18" wp14:editId="316BEEFA">
            <wp:extent cx="4922874" cy="2998381"/>
            <wp:effectExtent l="0" t="0" r="0" b="0"/>
            <wp:docPr id="21" name="Chart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656705D9" w14:textId="63B179EF" w:rsidR="00D51EFB" w:rsidRPr="00D51EFB" w:rsidRDefault="00D51EFB" w:rsidP="00C2254A">
      <w:pPr>
        <w:spacing w:after="0"/>
        <w:rPr>
          <w:rFonts w:ascii="Arial" w:hAnsi="Arial" w:cs="Arial"/>
          <w:sz w:val="20"/>
          <w:szCs w:val="20"/>
        </w:rPr>
      </w:pPr>
      <w:r w:rsidRPr="00D51EFB">
        <w:rPr>
          <w:rFonts w:ascii="Arial" w:hAnsi="Arial" w:cs="Arial"/>
          <w:sz w:val="20"/>
          <w:szCs w:val="20"/>
        </w:rPr>
        <w:t>Vir: S&amp;P, Moody‘s, Fitch in DBRS, 2</w:t>
      </w:r>
      <w:r w:rsidR="002B2431">
        <w:rPr>
          <w:rFonts w:ascii="Arial" w:hAnsi="Arial" w:cs="Arial"/>
          <w:sz w:val="20"/>
          <w:szCs w:val="20"/>
        </w:rPr>
        <w:t>8</w:t>
      </w:r>
      <w:r w:rsidRPr="00D51EFB">
        <w:rPr>
          <w:rFonts w:ascii="Arial" w:hAnsi="Arial" w:cs="Arial"/>
          <w:sz w:val="20"/>
          <w:szCs w:val="20"/>
        </w:rPr>
        <w:t>.9.2023</w:t>
      </w:r>
    </w:p>
    <w:p w14:paraId="1BE943A7" w14:textId="77777777" w:rsidR="00C2254A" w:rsidRDefault="00C2254A" w:rsidP="00D51EFB">
      <w:pPr>
        <w:jc w:val="both"/>
        <w:rPr>
          <w:rFonts w:ascii="Arial" w:hAnsi="Arial" w:cs="Arial"/>
        </w:rPr>
      </w:pPr>
    </w:p>
    <w:p w14:paraId="28FFDBAE" w14:textId="1600BF83" w:rsidR="002B2431" w:rsidRPr="002B2431" w:rsidRDefault="002B2431" w:rsidP="0032268A">
      <w:pPr>
        <w:jc w:val="both"/>
        <w:rPr>
          <w:rFonts w:ascii="Arial" w:hAnsi="Arial" w:cs="Arial"/>
        </w:rPr>
      </w:pPr>
      <w:r w:rsidRPr="002B2431">
        <w:rPr>
          <w:rFonts w:ascii="Arial" w:hAnsi="Arial" w:cs="Arial"/>
        </w:rPr>
        <w:t xml:space="preserve">Ukrep zviševanja treh ključnih referenčnih obrestnih mer s strani ECB v letu 2022 ima za posledico splošno zvišanje obrestnih mer v evroobmočju. ECB je obrestno mero mejnega depozita v dobrem letu dni dvignila z -0,50 %, kot je ta znašala v sredini leta 2022, na današnjih 4,00 %, obrestna mera za operacije glavnega refinanciranja se je z 0,00% dvignila na 4,50 % in obrestna mera mejnega posojila se je povečala z 0,25 % na 4,75 %. Zahtevan donos na obveznice Republike Slovenije se je zvišal predvsem kot posledica zvišanja obrestne mere srednje obrestne zamenjave, kar je tudi </w:t>
      </w:r>
      <w:r w:rsidRPr="006C3AEF">
        <w:rPr>
          <w:rFonts w:ascii="Arial" w:hAnsi="Arial" w:cs="Arial"/>
        </w:rPr>
        <w:t xml:space="preserve">razvidno iz Slike </w:t>
      </w:r>
      <w:r w:rsidR="00AA07A7" w:rsidRPr="006C3AEF">
        <w:rPr>
          <w:rFonts w:ascii="Arial" w:hAnsi="Arial" w:cs="Arial"/>
        </w:rPr>
        <w:t>2</w:t>
      </w:r>
      <w:r w:rsidR="0032268A">
        <w:rPr>
          <w:rFonts w:ascii="Arial" w:hAnsi="Arial" w:cs="Arial"/>
        </w:rPr>
        <w:t>3</w:t>
      </w:r>
      <w:r w:rsidRPr="006C3AEF">
        <w:rPr>
          <w:rFonts w:ascii="Arial" w:hAnsi="Arial" w:cs="Arial"/>
        </w:rPr>
        <w:t>.</w:t>
      </w:r>
      <w:r w:rsidRPr="002B2431">
        <w:rPr>
          <w:rFonts w:ascii="Arial" w:hAnsi="Arial" w:cs="Arial"/>
        </w:rPr>
        <w:t xml:space="preserve"> Kreditni pribitek na obveznice Republike Slovenije je ostal razmeroma robusten in ne izkazuje tako izrazite rasti, kot to velja za srednjo evrsko obrestno zamenjavo. Kreditni pribitek je pri 10-letni ročnosti slovenske evrske obveznice na začetku leta 2023 znašal 64 bt, dne 26 9. 2023 ta znaša 40 bt. Pribitek na referenčno nemško 10-letno evrsko obveznico je v začetku leta 2023 znašal 126 bt, dne 26 9. 2023 ta znaša 94 bt, kar prikazuje spodnja slika.   </w:t>
      </w:r>
    </w:p>
    <w:p w14:paraId="4102668F" w14:textId="77777777" w:rsidR="00D51EFB" w:rsidRPr="00D51EFB" w:rsidRDefault="00D51EFB" w:rsidP="00D51EFB">
      <w:pPr>
        <w:rPr>
          <w:rFonts w:ascii="Arial" w:hAnsi="Arial" w:cs="Arial"/>
        </w:rPr>
      </w:pPr>
    </w:p>
    <w:p w14:paraId="142545FB" w14:textId="77777777" w:rsidR="00D51EFB" w:rsidRPr="00D51EFB" w:rsidRDefault="00D51EFB" w:rsidP="00D51EFB">
      <w:pPr>
        <w:rPr>
          <w:rFonts w:ascii="Arial" w:hAnsi="Arial" w:cs="Arial"/>
        </w:rPr>
      </w:pPr>
    </w:p>
    <w:p w14:paraId="48627F84" w14:textId="77777777" w:rsidR="00C2254A" w:rsidRDefault="00C2254A" w:rsidP="00D51EFB">
      <w:pPr>
        <w:rPr>
          <w:rFonts w:ascii="Arial" w:hAnsi="Arial" w:cs="Arial"/>
        </w:rPr>
      </w:pPr>
    </w:p>
    <w:p w14:paraId="1E5A5685" w14:textId="77777777" w:rsidR="00C2254A" w:rsidRDefault="00C2254A" w:rsidP="00D51EFB">
      <w:pPr>
        <w:rPr>
          <w:rFonts w:ascii="Arial" w:hAnsi="Arial" w:cs="Arial"/>
        </w:rPr>
      </w:pPr>
    </w:p>
    <w:p w14:paraId="020BD5BF" w14:textId="77777777" w:rsidR="00C2254A" w:rsidRDefault="00C2254A" w:rsidP="00D51EFB">
      <w:pPr>
        <w:rPr>
          <w:rFonts w:ascii="Arial" w:hAnsi="Arial" w:cs="Arial"/>
        </w:rPr>
      </w:pPr>
    </w:p>
    <w:p w14:paraId="5B41957B" w14:textId="77777777" w:rsidR="00C2254A" w:rsidRDefault="00C2254A" w:rsidP="00D51EFB">
      <w:pPr>
        <w:rPr>
          <w:rFonts w:ascii="Arial" w:hAnsi="Arial" w:cs="Arial"/>
        </w:rPr>
      </w:pPr>
    </w:p>
    <w:p w14:paraId="5653EF5C" w14:textId="77777777" w:rsidR="00C2254A" w:rsidRDefault="00C2254A" w:rsidP="00D51EFB">
      <w:pPr>
        <w:rPr>
          <w:rFonts w:ascii="Arial" w:hAnsi="Arial" w:cs="Arial"/>
        </w:rPr>
      </w:pPr>
    </w:p>
    <w:p w14:paraId="7A2724CD" w14:textId="77777777" w:rsidR="00C2254A" w:rsidRDefault="00C2254A" w:rsidP="00D51EFB">
      <w:pPr>
        <w:rPr>
          <w:rFonts w:ascii="Arial" w:hAnsi="Arial" w:cs="Arial"/>
        </w:rPr>
      </w:pPr>
    </w:p>
    <w:p w14:paraId="1E1003FB" w14:textId="77777777" w:rsidR="00C2254A" w:rsidRDefault="00C2254A" w:rsidP="00D51EFB">
      <w:pPr>
        <w:rPr>
          <w:rFonts w:ascii="Arial" w:hAnsi="Arial" w:cs="Arial"/>
        </w:rPr>
      </w:pPr>
    </w:p>
    <w:p w14:paraId="21388BFD" w14:textId="77777777" w:rsidR="00C2254A" w:rsidRDefault="00C2254A" w:rsidP="00D51EFB">
      <w:pPr>
        <w:rPr>
          <w:rFonts w:ascii="Arial" w:hAnsi="Arial" w:cs="Arial"/>
        </w:rPr>
      </w:pPr>
    </w:p>
    <w:p w14:paraId="10030CF6" w14:textId="4A520A9E" w:rsidR="00D51EFB" w:rsidRPr="00D51EFB" w:rsidRDefault="00D51EFB" w:rsidP="00C631EC">
      <w:pPr>
        <w:spacing w:after="0"/>
        <w:rPr>
          <w:rFonts w:ascii="Arial" w:hAnsi="Arial" w:cs="Arial"/>
        </w:rPr>
      </w:pPr>
      <w:r w:rsidRPr="00D51EFB">
        <w:rPr>
          <w:rFonts w:ascii="Arial" w:hAnsi="Arial" w:cs="Arial"/>
        </w:rPr>
        <w:lastRenderedPageBreak/>
        <w:t xml:space="preserve">Slika </w:t>
      </w:r>
      <w:r w:rsidRPr="00D51EFB">
        <w:rPr>
          <w:rFonts w:ascii="Arial" w:hAnsi="Arial" w:cs="Arial"/>
        </w:rPr>
        <w:fldChar w:fldCharType="begin"/>
      </w:r>
      <w:r w:rsidRPr="00D51EFB">
        <w:rPr>
          <w:rFonts w:ascii="Arial" w:hAnsi="Arial" w:cs="Arial"/>
        </w:rPr>
        <w:instrText xml:space="preserve"> SEQ Slika \* ARABIC </w:instrText>
      </w:r>
      <w:r w:rsidRPr="00D51EFB">
        <w:rPr>
          <w:rFonts w:ascii="Arial" w:hAnsi="Arial" w:cs="Arial"/>
        </w:rPr>
        <w:fldChar w:fldCharType="separate"/>
      </w:r>
      <w:r w:rsidR="0032268A">
        <w:rPr>
          <w:rFonts w:ascii="Arial" w:hAnsi="Arial" w:cs="Arial"/>
          <w:noProof/>
        </w:rPr>
        <w:t>22</w:t>
      </w:r>
      <w:r w:rsidRPr="00D51EFB">
        <w:rPr>
          <w:rFonts w:ascii="Arial" w:hAnsi="Arial" w:cs="Arial"/>
        </w:rPr>
        <w:fldChar w:fldCharType="end"/>
      </w:r>
      <w:r w:rsidRPr="00D51EFB">
        <w:rPr>
          <w:rFonts w:ascii="Arial" w:hAnsi="Arial" w:cs="Arial"/>
        </w:rPr>
        <w:t>: Primerjava gibanja zahtevane donosnosti 10-letnih obveznic Republike Slovenije in Nemčije</w:t>
      </w:r>
    </w:p>
    <w:p w14:paraId="5FE46284" w14:textId="770ABDCA" w:rsidR="00D51EFB" w:rsidRPr="00D51EFB" w:rsidRDefault="00D47F56" w:rsidP="00C631EC">
      <w:pPr>
        <w:shd w:val="clear" w:color="auto" w:fill="FFFFFF" w:themeFill="background1"/>
        <w:spacing w:after="0"/>
        <w:rPr>
          <w:rFonts w:ascii="Arial" w:hAnsi="Arial" w:cs="Arial"/>
        </w:rPr>
      </w:pPr>
      <w:r w:rsidRPr="00D47F56">
        <w:rPr>
          <w:rFonts w:cs="Arial"/>
          <w:noProof/>
          <w:lang w:eastAsia="sl-SI"/>
        </w:rPr>
        <w:drawing>
          <wp:inline distT="0" distB="0" distL="0" distR="0" wp14:anchorId="721FF89F" wp14:editId="7A9CE3DD">
            <wp:extent cx="5760720" cy="3305175"/>
            <wp:effectExtent l="0" t="0" r="0" b="0"/>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57A4387F" w14:textId="5B696A89" w:rsidR="00D51EFB" w:rsidRPr="00D51EFB" w:rsidRDefault="00D51EFB" w:rsidP="00C631EC">
      <w:pPr>
        <w:spacing w:after="240"/>
        <w:rPr>
          <w:rFonts w:ascii="Arial" w:hAnsi="Arial" w:cs="Arial"/>
          <w:sz w:val="20"/>
          <w:szCs w:val="20"/>
        </w:rPr>
      </w:pPr>
      <w:r w:rsidRPr="00D51EFB">
        <w:rPr>
          <w:rFonts w:ascii="Arial" w:hAnsi="Arial" w:cs="Arial"/>
          <w:sz w:val="20"/>
          <w:szCs w:val="20"/>
        </w:rPr>
        <w:t>Vir: Bloomberg, Ministrstvo za finance lastni izračuni, 2</w:t>
      </w:r>
      <w:r w:rsidR="00D47F56">
        <w:rPr>
          <w:rFonts w:ascii="Arial" w:hAnsi="Arial" w:cs="Arial"/>
          <w:sz w:val="20"/>
          <w:szCs w:val="20"/>
        </w:rPr>
        <w:t>6</w:t>
      </w:r>
      <w:r w:rsidRPr="00D51EFB">
        <w:rPr>
          <w:rFonts w:ascii="Arial" w:hAnsi="Arial" w:cs="Arial"/>
          <w:sz w:val="20"/>
          <w:szCs w:val="20"/>
        </w:rPr>
        <w:t>.9.2023</w:t>
      </w:r>
    </w:p>
    <w:p w14:paraId="5218321C" w14:textId="77777777" w:rsidR="00D51EFB" w:rsidRPr="00D51EFB" w:rsidRDefault="00D51EFB" w:rsidP="00D51EFB">
      <w:pPr>
        <w:jc w:val="both"/>
        <w:rPr>
          <w:rFonts w:ascii="Arial" w:hAnsi="Arial" w:cs="Arial"/>
        </w:rPr>
      </w:pPr>
      <w:r w:rsidRPr="00D51EFB">
        <w:rPr>
          <w:rFonts w:ascii="Arial" w:hAnsi="Arial" w:cs="Arial"/>
        </w:rPr>
        <w:t>Interpolirana zahtevana donosnost 10-letne slovenske evrske obveznice je na dan 21.9.2023 na sekundarnem trgu dosegla 3,66 %. Evrska srednja obrestna zamenjava je znašala 3,27 %, kar implicira kreditni pribitek v višini 39 bt. Ta ostaja razmeroma nizek v primerjavi z vrednostmi, ki jih je dosegel v preteklosti.</w:t>
      </w:r>
    </w:p>
    <w:p w14:paraId="47BCB4C4" w14:textId="3984D23C" w:rsidR="00D51EFB" w:rsidRPr="00D51EFB" w:rsidRDefault="00D51EFB" w:rsidP="00C631EC">
      <w:pPr>
        <w:rPr>
          <w:rFonts w:ascii="Arial" w:hAnsi="Arial" w:cs="Arial"/>
          <w:b/>
          <w:bCs/>
          <w:i/>
          <w:iCs/>
          <w:szCs w:val="32"/>
        </w:rPr>
      </w:pPr>
      <w:r w:rsidRPr="00D51EFB">
        <w:rPr>
          <w:rFonts w:ascii="Arial" w:hAnsi="Arial" w:cs="Arial"/>
          <w:bCs/>
          <w:iCs/>
          <w:szCs w:val="32"/>
        </w:rPr>
        <w:t xml:space="preserve">Slika </w:t>
      </w:r>
      <w:r w:rsidRPr="00D51EFB">
        <w:rPr>
          <w:rFonts w:ascii="Arial" w:hAnsi="Arial" w:cs="Arial"/>
          <w:b/>
          <w:bCs/>
          <w:i/>
          <w:iCs/>
          <w:szCs w:val="32"/>
        </w:rPr>
        <w:fldChar w:fldCharType="begin"/>
      </w:r>
      <w:r w:rsidRPr="00D51EFB">
        <w:rPr>
          <w:rFonts w:ascii="Arial" w:hAnsi="Arial" w:cs="Arial"/>
          <w:bCs/>
          <w:iCs/>
          <w:szCs w:val="32"/>
        </w:rPr>
        <w:instrText xml:space="preserve"> SEQ Slika \* ARABIC </w:instrText>
      </w:r>
      <w:r w:rsidRPr="00D51EFB">
        <w:rPr>
          <w:rFonts w:ascii="Arial" w:hAnsi="Arial" w:cs="Arial"/>
          <w:b/>
          <w:bCs/>
          <w:i/>
          <w:iCs/>
          <w:szCs w:val="32"/>
        </w:rPr>
        <w:fldChar w:fldCharType="separate"/>
      </w:r>
      <w:r w:rsidR="0032268A">
        <w:rPr>
          <w:rFonts w:ascii="Arial" w:hAnsi="Arial" w:cs="Arial"/>
          <w:bCs/>
          <w:iCs/>
          <w:noProof/>
          <w:szCs w:val="32"/>
        </w:rPr>
        <w:t>23</w:t>
      </w:r>
      <w:r w:rsidRPr="00D51EFB">
        <w:rPr>
          <w:rFonts w:ascii="Arial" w:hAnsi="Arial" w:cs="Arial"/>
          <w:b/>
          <w:bCs/>
          <w:i/>
          <w:iCs/>
          <w:szCs w:val="32"/>
        </w:rPr>
        <w:fldChar w:fldCharType="end"/>
      </w:r>
      <w:r w:rsidRPr="00D51EFB">
        <w:rPr>
          <w:rFonts w:ascii="Arial" w:hAnsi="Arial" w:cs="Arial"/>
          <w:bCs/>
          <w:iCs/>
          <w:szCs w:val="32"/>
        </w:rPr>
        <w:t>: Gibanje 10-letne zahtevane donosnosti obveznic Republike Slovenije in njenega kreditnega pribitka nad 10-letno evrsko srednjo obrestno zamenjavo</w:t>
      </w:r>
    </w:p>
    <w:p w14:paraId="556D02E7" w14:textId="5B906B1A" w:rsidR="00D51EFB" w:rsidRPr="00D51EFB" w:rsidRDefault="00940270" w:rsidP="00D51EFB">
      <w:pPr>
        <w:rPr>
          <w:rFonts w:ascii="Arial" w:hAnsi="Arial" w:cs="Arial"/>
          <w:b/>
          <w:sz w:val="20"/>
          <w:szCs w:val="20"/>
        </w:rPr>
      </w:pPr>
      <w:r w:rsidRPr="00262C9F">
        <w:rPr>
          <w:rFonts w:cs="Arial"/>
          <w:bCs/>
          <w:noProof/>
          <w:highlight w:val="yellow"/>
          <w:lang w:eastAsia="sl-SI"/>
        </w:rPr>
        <w:drawing>
          <wp:inline distT="0" distB="0" distL="0" distR="0" wp14:anchorId="69D1CD41" wp14:editId="62A95CD8">
            <wp:extent cx="5760720" cy="3305175"/>
            <wp:effectExtent l="0" t="0" r="0" b="0"/>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r w:rsidR="00D51EFB" w:rsidRPr="00D51EFB">
        <w:rPr>
          <w:rFonts w:ascii="Arial" w:hAnsi="Arial" w:cs="Arial"/>
          <w:sz w:val="20"/>
          <w:szCs w:val="20"/>
        </w:rPr>
        <w:t>Vir: Bloomberg, Ministrstvo za finance lastni izračuni, 2</w:t>
      </w:r>
      <w:r>
        <w:rPr>
          <w:rFonts w:ascii="Arial" w:hAnsi="Arial" w:cs="Arial"/>
          <w:sz w:val="20"/>
          <w:szCs w:val="20"/>
        </w:rPr>
        <w:t>6</w:t>
      </w:r>
      <w:r w:rsidR="00D51EFB" w:rsidRPr="00D51EFB">
        <w:rPr>
          <w:rFonts w:ascii="Arial" w:hAnsi="Arial" w:cs="Arial"/>
          <w:sz w:val="20"/>
          <w:szCs w:val="20"/>
        </w:rPr>
        <w:t>.9.2023</w:t>
      </w:r>
    </w:p>
    <w:p w14:paraId="33849CEF" w14:textId="7A04DA97" w:rsidR="00E151B6" w:rsidRPr="00F97F17" w:rsidRDefault="00E151B6" w:rsidP="00E151B6">
      <w:pPr>
        <w:rPr>
          <w:rFonts w:ascii="Arial" w:hAnsi="Arial" w:cs="Arial"/>
          <w:b/>
          <w:bCs/>
        </w:rPr>
      </w:pPr>
      <w:r w:rsidRPr="00F97F17">
        <w:rPr>
          <w:rFonts w:ascii="Arial" w:hAnsi="Arial" w:cs="Arial"/>
          <w:b/>
          <w:bCs/>
          <w:u w:val="single"/>
        </w:rPr>
        <w:lastRenderedPageBreak/>
        <w:t>Poroštva</w:t>
      </w:r>
    </w:p>
    <w:p w14:paraId="12BBEABF" w14:textId="58FC9A47" w:rsidR="00E151B6" w:rsidRPr="00F97F17" w:rsidRDefault="00E151B6" w:rsidP="00E151B6">
      <w:pPr>
        <w:spacing w:line="276" w:lineRule="auto"/>
        <w:jc w:val="both"/>
        <w:rPr>
          <w:rFonts w:ascii="Arial" w:hAnsi="Arial" w:cs="Arial"/>
        </w:rPr>
      </w:pPr>
      <w:r w:rsidRPr="00F97F17">
        <w:rPr>
          <w:rFonts w:ascii="Arial" w:hAnsi="Arial" w:cs="Arial"/>
        </w:rPr>
        <w:t xml:space="preserve">Stanje poroštev Republike Slovenije na dan 30. 6. 2023 znaša 4.211,6 milijonov evrov, od tega stanje državnih poroštev za obveznosti finančnega sektorja (S. 12) 669 milijonov evrov. Ocena stanja poroštev Republike Slovenije konec leta 2023 do 2025 je narejena ob določenih predpostavkah glede odplačil obstoječih in odobritve novih poroštev. </w:t>
      </w:r>
    </w:p>
    <w:p w14:paraId="4410816E" w14:textId="632CDFB8" w:rsidR="00E151B6" w:rsidRPr="00F97F17" w:rsidRDefault="00E151B6" w:rsidP="00E151B6">
      <w:pPr>
        <w:pStyle w:val="Caption"/>
        <w:keepNext/>
        <w:ind w:left="0" w:firstLine="0"/>
        <w:jc w:val="left"/>
        <w:rPr>
          <w:rFonts w:ascii="Arial" w:hAnsi="Arial" w:cs="Arial"/>
          <w:b w:val="0"/>
          <w:bCs/>
          <w:i w:val="0"/>
          <w:iCs/>
          <w:sz w:val="22"/>
          <w:szCs w:val="22"/>
        </w:rPr>
      </w:pPr>
      <w:r w:rsidRPr="00F97F17">
        <w:rPr>
          <w:rFonts w:ascii="Arial" w:hAnsi="Arial" w:cs="Arial"/>
          <w:b w:val="0"/>
          <w:bCs/>
          <w:i w:val="0"/>
          <w:iCs/>
          <w:sz w:val="22"/>
          <w:szCs w:val="22"/>
        </w:rPr>
        <w:t xml:space="preserve">Tabela </w:t>
      </w:r>
      <w:r w:rsidRPr="00F97F17">
        <w:rPr>
          <w:rFonts w:ascii="Arial" w:hAnsi="Arial" w:cs="Arial"/>
          <w:b w:val="0"/>
          <w:bCs/>
          <w:i w:val="0"/>
          <w:iCs/>
          <w:sz w:val="22"/>
          <w:szCs w:val="22"/>
        </w:rPr>
        <w:fldChar w:fldCharType="begin"/>
      </w:r>
      <w:r w:rsidRPr="00F97F17">
        <w:rPr>
          <w:rFonts w:ascii="Arial" w:hAnsi="Arial" w:cs="Arial"/>
          <w:b w:val="0"/>
          <w:bCs/>
          <w:i w:val="0"/>
          <w:iCs/>
          <w:sz w:val="22"/>
          <w:szCs w:val="22"/>
        </w:rPr>
        <w:instrText xml:space="preserve"> SEQ Tabela \* ARABIC </w:instrText>
      </w:r>
      <w:r w:rsidRPr="00F97F17">
        <w:rPr>
          <w:rFonts w:ascii="Arial" w:hAnsi="Arial" w:cs="Arial"/>
          <w:b w:val="0"/>
          <w:bCs/>
          <w:i w:val="0"/>
          <w:iCs/>
          <w:sz w:val="22"/>
          <w:szCs w:val="22"/>
        </w:rPr>
        <w:fldChar w:fldCharType="separate"/>
      </w:r>
      <w:r w:rsidR="00E4660B">
        <w:rPr>
          <w:rFonts w:ascii="Arial" w:hAnsi="Arial" w:cs="Arial"/>
          <w:b w:val="0"/>
          <w:bCs/>
          <w:i w:val="0"/>
          <w:iCs/>
          <w:noProof/>
          <w:sz w:val="22"/>
          <w:szCs w:val="22"/>
        </w:rPr>
        <w:t>8</w:t>
      </w:r>
      <w:r w:rsidRPr="00F97F17">
        <w:rPr>
          <w:rFonts w:ascii="Arial" w:hAnsi="Arial" w:cs="Arial"/>
          <w:b w:val="0"/>
          <w:bCs/>
          <w:i w:val="0"/>
          <w:iCs/>
          <w:sz w:val="22"/>
          <w:szCs w:val="22"/>
        </w:rPr>
        <w:fldChar w:fldCharType="end"/>
      </w:r>
      <w:r w:rsidRPr="00F97F17">
        <w:rPr>
          <w:rFonts w:ascii="Arial" w:hAnsi="Arial" w:cs="Arial"/>
          <w:b w:val="0"/>
          <w:bCs/>
          <w:i w:val="0"/>
          <w:iCs/>
          <w:sz w:val="22"/>
          <w:szCs w:val="22"/>
        </w:rPr>
        <w:t>: Stanje poroštev</w:t>
      </w:r>
    </w:p>
    <w:tbl>
      <w:tblPr>
        <w:tblStyle w:val="GridTable1Light"/>
        <w:tblW w:w="9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35"/>
        <w:gridCol w:w="1969"/>
        <w:gridCol w:w="1969"/>
        <w:gridCol w:w="1969"/>
      </w:tblGrid>
      <w:tr w:rsidR="00E151B6" w:rsidRPr="0053391D" w14:paraId="0F21566C" w14:textId="77777777" w:rsidTr="0053391D">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3335" w:type="dxa"/>
            <w:tcBorders>
              <w:bottom w:val="none" w:sz="0" w:space="0" w:color="auto"/>
            </w:tcBorders>
            <w:shd w:val="clear" w:color="auto" w:fill="D9D9D9" w:themeFill="background1" w:themeFillShade="D9"/>
            <w:noWrap/>
            <w:hideMark/>
          </w:tcPr>
          <w:p w14:paraId="03386A05" w14:textId="77777777" w:rsidR="00E151B6" w:rsidRPr="0053391D" w:rsidRDefault="00E151B6" w:rsidP="00F97F17">
            <w:pPr>
              <w:rPr>
                <w:rFonts w:ascii="Arial" w:hAnsi="Arial" w:cs="Arial"/>
                <w:bCs w:val="0"/>
              </w:rPr>
            </w:pPr>
          </w:p>
        </w:tc>
        <w:tc>
          <w:tcPr>
            <w:tcW w:w="1969" w:type="dxa"/>
            <w:tcBorders>
              <w:bottom w:val="none" w:sz="0" w:space="0" w:color="auto"/>
            </w:tcBorders>
            <w:shd w:val="clear" w:color="auto" w:fill="D9D9D9" w:themeFill="background1" w:themeFillShade="D9"/>
            <w:noWrap/>
            <w:hideMark/>
          </w:tcPr>
          <w:p w14:paraId="2648070D" w14:textId="77777777" w:rsidR="00E151B6" w:rsidRPr="0053391D" w:rsidRDefault="00E151B6" w:rsidP="00F97F17">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lang w:eastAsia="sl-SI"/>
              </w:rPr>
            </w:pPr>
            <w:r w:rsidRPr="0053391D">
              <w:rPr>
                <w:rFonts w:ascii="Arial" w:eastAsia="Times New Roman" w:hAnsi="Arial" w:cs="Arial"/>
                <w:bCs w:val="0"/>
                <w:lang w:eastAsia="sl-SI"/>
              </w:rPr>
              <w:t>2023 (% BDP)</w:t>
            </w:r>
          </w:p>
        </w:tc>
        <w:tc>
          <w:tcPr>
            <w:tcW w:w="1969" w:type="dxa"/>
            <w:tcBorders>
              <w:bottom w:val="none" w:sz="0" w:space="0" w:color="auto"/>
            </w:tcBorders>
            <w:shd w:val="clear" w:color="auto" w:fill="D9D9D9" w:themeFill="background1" w:themeFillShade="D9"/>
            <w:noWrap/>
            <w:hideMark/>
          </w:tcPr>
          <w:p w14:paraId="34435145" w14:textId="77777777" w:rsidR="00E151B6" w:rsidRPr="0053391D" w:rsidRDefault="00E151B6" w:rsidP="00F97F17">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lang w:eastAsia="sl-SI"/>
              </w:rPr>
            </w:pPr>
            <w:r w:rsidRPr="0053391D">
              <w:rPr>
                <w:rFonts w:ascii="Arial" w:eastAsia="Times New Roman" w:hAnsi="Arial" w:cs="Arial"/>
                <w:bCs w:val="0"/>
                <w:lang w:eastAsia="sl-SI"/>
              </w:rPr>
              <w:t>2024 (% BDP)</w:t>
            </w:r>
          </w:p>
        </w:tc>
        <w:tc>
          <w:tcPr>
            <w:tcW w:w="1969" w:type="dxa"/>
            <w:tcBorders>
              <w:bottom w:val="none" w:sz="0" w:space="0" w:color="auto"/>
            </w:tcBorders>
            <w:shd w:val="clear" w:color="auto" w:fill="D9D9D9" w:themeFill="background1" w:themeFillShade="D9"/>
          </w:tcPr>
          <w:p w14:paraId="1591A2DB" w14:textId="77777777" w:rsidR="00E151B6" w:rsidRPr="0053391D" w:rsidRDefault="00E151B6" w:rsidP="00F97F17">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lang w:eastAsia="sl-SI"/>
              </w:rPr>
            </w:pPr>
            <w:r w:rsidRPr="0053391D">
              <w:rPr>
                <w:rFonts w:ascii="Arial" w:eastAsia="Times New Roman" w:hAnsi="Arial" w:cs="Arial"/>
                <w:bCs w:val="0"/>
                <w:lang w:eastAsia="sl-SI"/>
              </w:rPr>
              <w:t>2025 (% BDP)</w:t>
            </w:r>
          </w:p>
        </w:tc>
      </w:tr>
      <w:tr w:rsidR="00E151B6" w:rsidRPr="00F97F17" w14:paraId="3C397E19" w14:textId="77777777" w:rsidTr="0053391D">
        <w:trPr>
          <w:trHeight w:val="255"/>
        </w:trPr>
        <w:tc>
          <w:tcPr>
            <w:cnfStyle w:val="001000000000" w:firstRow="0" w:lastRow="0" w:firstColumn="1" w:lastColumn="0" w:oddVBand="0" w:evenVBand="0" w:oddHBand="0" w:evenHBand="0" w:firstRowFirstColumn="0" w:firstRowLastColumn="0" w:lastRowFirstColumn="0" w:lastRowLastColumn="0"/>
            <w:tcW w:w="3335" w:type="dxa"/>
            <w:noWrap/>
            <w:hideMark/>
          </w:tcPr>
          <w:p w14:paraId="0CFD1CD1" w14:textId="77777777" w:rsidR="00E151B6" w:rsidRPr="00F97F17" w:rsidRDefault="00E151B6" w:rsidP="00F97F17">
            <w:pPr>
              <w:rPr>
                <w:rFonts w:ascii="Arial" w:eastAsia="Times New Roman" w:hAnsi="Arial" w:cs="Arial"/>
                <w:b w:val="0"/>
                <w:lang w:eastAsia="sl-SI"/>
              </w:rPr>
            </w:pPr>
            <w:r w:rsidRPr="00F97F17">
              <w:rPr>
                <w:rFonts w:ascii="Arial" w:eastAsia="Times New Roman" w:hAnsi="Arial" w:cs="Arial"/>
                <w:b w:val="0"/>
                <w:lang w:eastAsia="sl-SI"/>
              </w:rPr>
              <w:t>Državna poroštva</w:t>
            </w:r>
          </w:p>
        </w:tc>
        <w:tc>
          <w:tcPr>
            <w:tcW w:w="1969" w:type="dxa"/>
            <w:noWrap/>
          </w:tcPr>
          <w:p w14:paraId="65473E83" w14:textId="77777777" w:rsidR="00E151B6" w:rsidRPr="00F97F17" w:rsidRDefault="00E151B6" w:rsidP="00F97F17">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eastAsia="sl-SI"/>
              </w:rPr>
            </w:pPr>
            <w:r w:rsidRPr="00F97F17">
              <w:rPr>
                <w:rFonts w:ascii="Arial" w:eastAsia="Times New Roman" w:hAnsi="Arial" w:cs="Arial"/>
                <w:lang w:eastAsia="sl-SI"/>
              </w:rPr>
              <w:t>6,7</w:t>
            </w:r>
          </w:p>
        </w:tc>
        <w:tc>
          <w:tcPr>
            <w:tcW w:w="1969" w:type="dxa"/>
            <w:noWrap/>
          </w:tcPr>
          <w:p w14:paraId="79361774" w14:textId="77777777" w:rsidR="00E151B6" w:rsidRPr="00F97F17" w:rsidRDefault="00E151B6" w:rsidP="00F97F17">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eastAsia="sl-SI"/>
              </w:rPr>
            </w:pPr>
            <w:r w:rsidRPr="00F97F17">
              <w:rPr>
                <w:rFonts w:ascii="Arial" w:eastAsia="Times New Roman" w:hAnsi="Arial" w:cs="Arial"/>
                <w:lang w:eastAsia="sl-SI"/>
              </w:rPr>
              <w:t>6,1</w:t>
            </w:r>
          </w:p>
        </w:tc>
        <w:tc>
          <w:tcPr>
            <w:tcW w:w="1969" w:type="dxa"/>
          </w:tcPr>
          <w:p w14:paraId="2B2EC49D" w14:textId="77777777" w:rsidR="00E151B6" w:rsidRPr="00F97F17" w:rsidRDefault="00E151B6" w:rsidP="00F97F17">
            <w:pPr>
              <w:cnfStyle w:val="000000000000" w:firstRow="0" w:lastRow="0" w:firstColumn="0" w:lastColumn="0" w:oddVBand="0" w:evenVBand="0" w:oddHBand="0" w:evenHBand="0" w:firstRowFirstColumn="0" w:firstRowLastColumn="0" w:lastRowFirstColumn="0" w:lastRowLastColumn="0"/>
              <w:rPr>
                <w:rFonts w:ascii="Arial" w:hAnsi="Arial" w:cs="Arial"/>
                <w:lang w:eastAsia="sl-SI"/>
              </w:rPr>
            </w:pPr>
            <w:r w:rsidRPr="00F97F17">
              <w:rPr>
                <w:rFonts w:ascii="Arial" w:hAnsi="Arial" w:cs="Arial"/>
                <w:lang w:eastAsia="sl-SI"/>
              </w:rPr>
              <w:t>6,1</w:t>
            </w:r>
          </w:p>
        </w:tc>
      </w:tr>
      <w:tr w:rsidR="00E151B6" w:rsidRPr="00F97F17" w14:paraId="7ECFD4D1" w14:textId="77777777" w:rsidTr="0053391D">
        <w:trPr>
          <w:trHeight w:val="255"/>
        </w:trPr>
        <w:tc>
          <w:tcPr>
            <w:cnfStyle w:val="001000000000" w:firstRow="0" w:lastRow="0" w:firstColumn="1" w:lastColumn="0" w:oddVBand="0" w:evenVBand="0" w:oddHBand="0" w:evenHBand="0" w:firstRowFirstColumn="0" w:firstRowLastColumn="0" w:lastRowFirstColumn="0" w:lastRowLastColumn="0"/>
            <w:tcW w:w="3335" w:type="dxa"/>
            <w:noWrap/>
            <w:hideMark/>
          </w:tcPr>
          <w:p w14:paraId="04A74E5E" w14:textId="77777777" w:rsidR="00E151B6" w:rsidRPr="00F97F17" w:rsidRDefault="00E151B6" w:rsidP="00F97F17">
            <w:pPr>
              <w:rPr>
                <w:rFonts w:ascii="Arial" w:eastAsia="Times New Roman" w:hAnsi="Arial" w:cs="Arial"/>
                <w:b w:val="0"/>
                <w:lang w:eastAsia="sl-SI"/>
              </w:rPr>
            </w:pPr>
            <w:r w:rsidRPr="00F97F17">
              <w:rPr>
                <w:rFonts w:ascii="Arial" w:eastAsia="Times New Roman" w:hAnsi="Arial" w:cs="Arial"/>
                <w:b w:val="0"/>
                <w:lang w:eastAsia="sl-SI"/>
              </w:rPr>
              <w:t>od katerih: povezanih s finančnim sektorjem*</w:t>
            </w:r>
          </w:p>
        </w:tc>
        <w:tc>
          <w:tcPr>
            <w:tcW w:w="1969" w:type="dxa"/>
            <w:noWrap/>
          </w:tcPr>
          <w:p w14:paraId="217611FD" w14:textId="77777777" w:rsidR="00E151B6" w:rsidRPr="00F97F17" w:rsidRDefault="00E151B6" w:rsidP="00F97F17">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eastAsia="sl-SI"/>
              </w:rPr>
            </w:pPr>
            <w:r w:rsidRPr="00F97F17">
              <w:rPr>
                <w:rFonts w:ascii="Arial" w:eastAsia="Times New Roman" w:hAnsi="Arial" w:cs="Arial"/>
                <w:lang w:eastAsia="sl-SI"/>
              </w:rPr>
              <w:t>1,1</w:t>
            </w:r>
          </w:p>
        </w:tc>
        <w:tc>
          <w:tcPr>
            <w:tcW w:w="1969" w:type="dxa"/>
            <w:noWrap/>
          </w:tcPr>
          <w:p w14:paraId="499CE655" w14:textId="77777777" w:rsidR="00E151B6" w:rsidRPr="00F97F17" w:rsidRDefault="00E151B6" w:rsidP="00F97F17">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eastAsia="sl-SI"/>
              </w:rPr>
            </w:pPr>
            <w:r w:rsidRPr="00F97F17">
              <w:rPr>
                <w:rFonts w:ascii="Arial" w:eastAsia="Times New Roman" w:hAnsi="Arial" w:cs="Arial"/>
                <w:lang w:eastAsia="sl-SI"/>
              </w:rPr>
              <w:t>1,0</w:t>
            </w:r>
          </w:p>
        </w:tc>
        <w:tc>
          <w:tcPr>
            <w:tcW w:w="1969" w:type="dxa"/>
          </w:tcPr>
          <w:p w14:paraId="233D3966" w14:textId="77777777" w:rsidR="00E151B6" w:rsidRPr="00F97F17" w:rsidRDefault="00E151B6" w:rsidP="00F97F17">
            <w:pPr>
              <w:cnfStyle w:val="000000000000" w:firstRow="0" w:lastRow="0" w:firstColumn="0" w:lastColumn="0" w:oddVBand="0" w:evenVBand="0" w:oddHBand="0" w:evenHBand="0" w:firstRowFirstColumn="0" w:firstRowLastColumn="0" w:lastRowFirstColumn="0" w:lastRowLastColumn="0"/>
              <w:rPr>
                <w:rFonts w:ascii="Arial" w:hAnsi="Arial" w:cs="Arial"/>
                <w:lang w:eastAsia="sl-SI"/>
              </w:rPr>
            </w:pPr>
            <w:r w:rsidRPr="00F97F17">
              <w:rPr>
                <w:rFonts w:ascii="Arial" w:hAnsi="Arial" w:cs="Arial"/>
                <w:lang w:eastAsia="sl-SI"/>
              </w:rPr>
              <w:t>0,9</w:t>
            </w:r>
          </w:p>
        </w:tc>
      </w:tr>
    </w:tbl>
    <w:p w14:paraId="577062A1" w14:textId="359239DD" w:rsidR="00E151B6" w:rsidRPr="00F97F17" w:rsidRDefault="00E151B6" w:rsidP="00E151B6">
      <w:pPr>
        <w:rPr>
          <w:rFonts w:ascii="Arial" w:hAnsi="Arial" w:cs="Arial"/>
        </w:rPr>
      </w:pPr>
      <w:r w:rsidRPr="00F97F17">
        <w:rPr>
          <w:rFonts w:ascii="Arial" w:hAnsi="Arial" w:cs="Arial"/>
        </w:rPr>
        <w:t>Opomba: *Skladno s klasifikacijo SKIS so vključene pravne osebe s SKIS oznako S.12</w:t>
      </w:r>
    </w:p>
    <w:p w14:paraId="0D849F6C" w14:textId="77777777" w:rsidR="00E151B6" w:rsidRPr="00F97F17" w:rsidRDefault="00E151B6" w:rsidP="00E151B6">
      <w:pPr>
        <w:spacing w:line="276" w:lineRule="auto"/>
        <w:jc w:val="both"/>
        <w:rPr>
          <w:rFonts w:ascii="Arial" w:hAnsi="Arial" w:cs="Arial"/>
        </w:rPr>
      </w:pPr>
      <w:r w:rsidRPr="00F97F17">
        <w:rPr>
          <w:rFonts w:ascii="Arial" w:hAnsi="Arial" w:cs="Arial"/>
        </w:rPr>
        <w:t>Kvota novih poroštev se načrtuje z zakonom o izvrševanju proračuna. Za leto 2023 je predvidena kvota 1.200 milijonov evrov. V predlogu zakona o izvrševanju proračuna 2024 je predvidena kvota 1.400 milijonov evrov in prav tako za leto 2025 1.400 milijonov evrov. Ločeno je za vsako leto določena kvota za poroštva SID banke, d. d. v višini 350 milijonov evrov.</w:t>
      </w:r>
    </w:p>
    <w:p w14:paraId="33E4990C" w14:textId="77777777" w:rsidR="00E151B6" w:rsidRPr="00F97F17" w:rsidRDefault="00E151B6" w:rsidP="00E151B6">
      <w:pPr>
        <w:spacing w:line="276" w:lineRule="auto"/>
        <w:jc w:val="both"/>
        <w:rPr>
          <w:rFonts w:ascii="Arial" w:hAnsi="Arial" w:cs="Arial"/>
        </w:rPr>
      </w:pPr>
      <w:r w:rsidRPr="00F97F17">
        <w:rPr>
          <w:rFonts w:ascii="Arial" w:hAnsi="Arial" w:cs="Arial"/>
        </w:rPr>
        <w:t>V letu 2023 so bila izdana poroštva po dveh zakonih, in sicer Zakonu o okrepitvi skupnega sklada za rezervacije z jamstvom Republike Slovenije za zagotavljanje izredne makrofinančne pomoči Ukrajini (Uradni list RS, št. 16/23) v višini 12,5 milijonov evrov in  Zakonu o stanovanjski jamstveni shemi za mlade (Uradni list RS, št. 54/22; ZSJSM) 0,6 milijonov evrov.</w:t>
      </w:r>
      <w:r w:rsidRPr="00F97F17" w:rsidDel="005D7B7B">
        <w:rPr>
          <w:rFonts w:ascii="Arial" w:hAnsi="Arial" w:cs="Arial"/>
        </w:rPr>
        <w:t xml:space="preserve"> </w:t>
      </w:r>
    </w:p>
    <w:p w14:paraId="63D03EA5" w14:textId="6D187151" w:rsidR="00E151B6" w:rsidRDefault="00E151B6" w:rsidP="00E151B6">
      <w:pPr>
        <w:spacing w:line="276" w:lineRule="auto"/>
        <w:jc w:val="both"/>
        <w:rPr>
          <w:rFonts w:ascii="Arial" w:hAnsi="Arial" w:cs="Arial"/>
        </w:rPr>
      </w:pPr>
      <w:r w:rsidRPr="00F97F17">
        <w:rPr>
          <w:rFonts w:ascii="Arial" w:hAnsi="Arial" w:cs="Arial"/>
        </w:rPr>
        <w:t>Za leto 2023 se ocenjuje možnost unovčitev državnih poroštev v višini 20 milijon eurov, za leto 2023 10 milijonov evrov in prav tako 10 milijonov evrov za leto 2024. Večina sredstev se ocenjuje za unovčitev poroštev izdanih na podlagi protikriznih ukrepov povezanih s C</w:t>
      </w:r>
      <w:r w:rsidR="008A59D4">
        <w:rPr>
          <w:rFonts w:ascii="Arial" w:hAnsi="Arial" w:cs="Arial"/>
        </w:rPr>
        <w:t>OVID-</w:t>
      </w:r>
      <w:r w:rsidRPr="00F97F17">
        <w:rPr>
          <w:rFonts w:ascii="Arial" w:hAnsi="Arial" w:cs="Arial"/>
        </w:rPr>
        <w:t>19. Posebej se za obveznosti Panevropskega garancijska sklada planira v letu 2023 5,4 milijon evrov, za leto 2024 1,5 milijonov evrov in za leto 2025 0,6 milijon evrov.</w:t>
      </w:r>
    </w:p>
    <w:p w14:paraId="07BF0E16" w14:textId="4C0EB4CC" w:rsidR="005A48F1" w:rsidRDefault="005A48F1">
      <w:pPr>
        <w:rPr>
          <w:rFonts w:ascii="Arial" w:hAnsi="Arial" w:cs="Arial"/>
        </w:rPr>
      </w:pPr>
      <w:r>
        <w:rPr>
          <w:rFonts w:ascii="Arial" w:hAnsi="Arial" w:cs="Arial"/>
        </w:rPr>
        <w:br w:type="page"/>
      </w:r>
    </w:p>
    <w:p w14:paraId="4792330A" w14:textId="0CAE593E" w:rsidR="005A48F1" w:rsidRDefault="005A48F1" w:rsidP="005A48F1">
      <w:pPr>
        <w:pStyle w:val="Heading1"/>
      </w:pPr>
      <w:bookmarkStart w:id="25" w:name="_Toc147494525"/>
      <w:bookmarkStart w:id="26" w:name="_Hlk145929763"/>
      <w:r w:rsidRPr="00BD4849">
        <w:lastRenderedPageBreak/>
        <w:t>P</w:t>
      </w:r>
      <w:r w:rsidR="00B33972">
        <w:t>RILOGA</w:t>
      </w:r>
      <w:bookmarkEnd w:id="25"/>
    </w:p>
    <w:p w14:paraId="771D00DD" w14:textId="77777777" w:rsidR="005A48F1" w:rsidRPr="005A48F1" w:rsidRDefault="005A48F1" w:rsidP="005A48F1"/>
    <w:tbl>
      <w:tblPr>
        <w:tblStyle w:val="ListTable3-Accent1"/>
        <w:tblW w:w="9356" w:type="dxa"/>
        <w:tblLook w:val="04A0" w:firstRow="1" w:lastRow="0" w:firstColumn="1" w:lastColumn="0" w:noHBand="0" w:noVBand="1"/>
      </w:tblPr>
      <w:tblGrid>
        <w:gridCol w:w="4979"/>
        <w:gridCol w:w="1459"/>
        <w:gridCol w:w="1459"/>
        <w:gridCol w:w="1459"/>
      </w:tblGrid>
      <w:tr w:rsidR="005A48F1" w:rsidRPr="00BD4849" w14:paraId="105B7613" w14:textId="77777777" w:rsidTr="009F1410">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4300" w:type="dxa"/>
            <w:shd w:val="clear" w:color="auto" w:fill="B4C6E7" w:themeFill="accent5" w:themeFillTint="66"/>
            <w:noWrap/>
            <w:hideMark/>
          </w:tcPr>
          <w:p w14:paraId="4EBCEF02" w14:textId="77777777" w:rsidR="005A48F1" w:rsidRPr="00BD4849" w:rsidRDefault="005A48F1" w:rsidP="009F1410">
            <w:pPr>
              <w:rPr>
                <w:rFonts w:ascii="Arial" w:eastAsia="Times New Roman" w:hAnsi="Arial" w:cs="Arial"/>
                <w:b w:val="0"/>
                <w:bCs w:val="0"/>
                <w:color w:val="auto"/>
                <w:sz w:val="20"/>
                <w:szCs w:val="20"/>
                <w:lang w:eastAsia="sl-SI"/>
              </w:rPr>
            </w:pPr>
            <w:r w:rsidRPr="00BD4849">
              <w:rPr>
                <w:rFonts w:ascii="Arial" w:eastAsia="Times New Roman" w:hAnsi="Arial" w:cs="Arial"/>
                <w:b w:val="0"/>
                <w:bCs w:val="0"/>
                <w:color w:val="auto"/>
                <w:sz w:val="20"/>
                <w:szCs w:val="20"/>
                <w:lang w:eastAsia="sl-SI"/>
              </w:rPr>
              <w:t>Tabela 0a. Osnovne predpostavke mednarodnega okolja</w:t>
            </w:r>
          </w:p>
        </w:tc>
        <w:tc>
          <w:tcPr>
            <w:tcW w:w="1260" w:type="dxa"/>
            <w:shd w:val="clear" w:color="auto" w:fill="B4C6E7" w:themeFill="accent5" w:themeFillTint="66"/>
            <w:hideMark/>
          </w:tcPr>
          <w:p w14:paraId="4129FA8A" w14:textId="77777777" w:rsidR="005A48F1" w:rsidRPr="00BD4849" w:rsidRDefault="005A48F1" w:rsidP="009F1410">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lang w:eastAsia="sl-SI"/>
              </w:rPr>
            </w:pPr>
            <w:r w:rsidRPr="00BD4849">
              <w:rPr>
                <w:rFonts w:ascii="Arial" w:eastAsia="Times New Roman" w:hAnsi="Arial" w:cs="Arial"/>
                <w:b w:val="0"/>
                <w:bCs w:val="0"/>
                <w:color w:val="auto"/>
                <w:sz w:val="20"/>
                <w:szCs w:val="20"/>
                <w:lang w:eastAsia="sl-SI"/>
              </w:rPr>
              <w:t>2022</w:t>
            </w:r>
          </w:p>
        </w:tc>
        <w:tc>
          <w:tcPr>
            <w:tcW w:w="1260" w:type="dxa"/>
            <w:shd w:val="clear" w:color="auto" w:fill="B4C6E7" w:themeFill="accent5" w:themeFillTint="66"/>
            <w:hideMark/>
          </w:tcPr>
          <w:p w14:paraId="027D5FAC" w14:textId="77777777" w:rsidR="005A48F1" w:rsidRPr="00BD4849" w:rsidRDefault="005A48F1" w:rsidP="009F1410">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lang w:eastAsia="sl-SI"/>
              </w:rPr>
            </w:pPr>
            <w:r w:rsidRPr="00BD4849">
              <w:rPr>
                <w:rFonts w:ascii="Arial" w:eastAsia="Times New Roman" w:hAnsi="Arial" w:cs="Arial"/>
                <w:b w:val="0"/>
                <w:bCs w:val="0"/>
                <w:color w:val="auto"/>
                <w:sz w:val="20"/>
                <w:szCs w:val="20"/>
                <w:lang w:eastAsia="sl-SI"/>
              </w:rPr>
              <w:t>2023</w:t>
            </w:r>
          </w:p>
        </w:tc>
        <w:tc>
          <w:tcPr>
            <w:tcW w:w="1260" w:type="dxa"/>
            <w:shd w:val="clear" w:color="auto" w:fill="B4C6E7" w:themeFill="accent5" w:themeFillTint="66"/>
            <w:hideMark/>
          </w:tcPr>
          <w:p w14:paraId="1ECBED4D" w14:textId="77777777" w:rsidR="005A48F1" w:rsidRPr="00BD4849" w:rsidRDefault="005A48F1" w:rsidP="009F1410">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lang w:eastAsia="sl-SI"/>
              </w:rPr>
            </w:pPr>
            <w:r w:rsidRPr="00BD4849">
              <w:rPr>
                <w:rFonts w:ascii="Arial" w:eastAsia="Times New Roman" w:hAnsi="Arial" w:cs="Arial"/>
                <w:b w:val="0"/>
                <w:bCs w:val="0"/>
                <w:color w:val="auto"/>
                <w:sz w:val="20"/>
                <w:szCs w:val="20"/>
                <w:lang w:eastAsia="sl-SI"/>
              </w:rPr>
              <w:t>2024</w:t>
            </w:r>
          </w:p>
        </w:tc>
      </w:tr>
      <w:tr w:rsidR="005A48F1" w:rsidRPr="00BD4849" w14:paraId="56060245"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00" w:type="dxa"/>
            <w:hideMark/>
          </w:tcPr>
          <w:p w14:paraId="1FCD6BE1"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Kratkoročna obrestna mera (letno povprečje)</w:t>
            </w:r>
          </w:p>
        </w:tc>
        <w:tc>
          <w:tcPr>
            <w:tcW w:w="1260" w:type="dxa"/>
            <w:noWrap/>
            <w:hideMark/>
          </w:tcPr>
          <w:p w14:paraId="26B05A53"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0,3</w:t>
            </w:r>
          </w:p>
        </w:tc>
        <w:tc>
          <w:tcPr>
            <w:tcW w:w="1260" w:type="dxa"/>
            <w:noWrap/>
            <w:hideMark/>
          </w:tcPr>
          <w:p w14:paraId="5685F5D9"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3,4</w:t>
            </w:r>
          </w:p>
        </w:tc>
        <w:tc>
          <w:tcPr>
            <w:tcW w:w="1260" w:type="dxa"/>
            <w:noWrap/>
            <w:hideMark/>
          </w:tcPr>
          <w:p w14:paraId="6C355B8C"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3,7</w:t>
            </w:r>
          </w:p>
        </w:tc>
      </w:tr>
      <w:tr w:rsidR="005A48F1" w:rsidRPr="00BD4849" w14:paraId="744CAEEA" w14:textId="77777777" w:rsidTr="009F1410">
        <w:trPr>
          <w:trHeight w:val="300"/>
        </w:trPr>
        <w:tc>
          <w:tcPr>
            <w:cnfStyle w:val="001000000000" w:firstRow="0" w:lastRow="0" w:firstColumn="1" w:lastColumn="0" w:oddVBand="0" w:evenVBand="0" w:oddHBand="0" w:evenHBand="0" w:firstRowFirstColumn="0" w:firstRowLastColumn="0" w:lastRowFirstColumn="0" w:lastRowLastColumn="0"/>
            <w:tcW w:w="4300" w:type="dxa"/>
            <w:hideMark/>
          </w:tcPr>
          <w:p w14:paraId="3F91E702"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Dolgoročna obrestna mera (letno povprečje)</w:t>
            </w:r>
          </w:p>
        </w:tc>
        <w:tc>
          <w:tcPr>
            <w:tcW w:w="1260" w:type="dxa"/>
            <w:noWrap/>
            <w:hideMark/>
          </w:tcPr>
          <w:p w14:paraId="5B581EAD"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1,8</w:t>
            </w:r>
          </w:p>
        </w:tc>
        <w:tc>
          <w:tcPr>
            <w:tcW w:w="1260" w:type="dxa"/>
            <w:noWrap/>
            <w:hideMark/>
          </w:tcPr>
          <w:p w14:paraId="5E9DC2B7"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3,1</w:t>
            </w:r>
          </w:p>
        </w:tc>
        <w:tc>
          <w:tcPr>
            <w:tcW w:w="1260" w:type="dxa"/>
            <w:noWrap/>
            <w:hideMark/>
          </w:tcPr>
          <w:p w14:paraId="6543C796"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3,3</w:t>
            </w:r>
          </w:p>
        </w:tc>
      </w:tr>
      <w:tr w:rsidR="005A48F1" w:rsidRPr="00BD4849" w14:paraId="07C2DFB8"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00" w:type="dxa"/>
            <w:hideMark/>
          </w:tcPr>
          <w:p w14:paraId="3CDF36A7"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Razmerje USD/€ (letno povprečje)</w:t>
            </w:r>
          </w:p>
        </w:tc>
        <w:tc>
          <w:tcPr>
            <w:tcW w:w="1260" w:type="dxa"/>
            <w:noWrap/>
            <w:hideMark/>
          </w:tcPr>
          <w:p w14:paraId="5A407105"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1,054</w:t>
            </w:r>
          </w:p>
        </w:tc>
        <w:tc>
          <w:tcPr>
            <w:tcW w:w="1260" w:type="dxa"/>
            <w:noWrap/>
            <w:hideMark/>
          </w:tcPr>
          <w:p w14:paraId="753CAA2D"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1,090</w:t>
            </w:r>
          </w:p>
        </w:tc>
        <w:tc>
          <w:tcPr>
            <w:tcW w:w="1260" w:type="dxa"/>
            <w:noWrap/>
            <w:hideMark/>
          </w:tcPr>
          <w:p w14:paraId="335966A0"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1,096</w:t>
            </w:r>
          </w:p>
        </w:tc>
      </w:tr>
      <w:tr w:rsidR="005A48F1" w:rsidRPr="00BD4849" w14:paraId="7B9EB37A" w14:textId="77777777" w:rsidTr="009F1410">
        <w:trPr>
          <w:trHeight w:val="300"/>
        </w:trPr>
        <w:tc>
          <w:tcPr>
            <w:cnfStyle w:val="001000000000" w:firstRow="0" w:lastRow="0" w:firstColumn="1" w:lastColumn="0" w:oddVBand="0" w:evenVBand="0" w:oddHBand="0" w:evenHBand="0" w:firstRowFirstColumn="0" w:firstRowLastColumn="0" w:lastRowFirstColumn="0" w:lastRowLastColumn="0"/>
            <w:tcW w:w="4300" w:type="dxa"/>
            <w:hideMark/>
          </w:tcPr>
          <w:p w14:paraId="5A0D5648"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Nominalni efektivni tečaj</w:t>
            </w:r>
          </w:p>
        </w:tc>
        <w:tc>
          <w:tcPr>
            <w:tcW w:w="1260" w:type="dxa"/>
            <w:noWrap/>
            <w:hideMark/>
          </w:tcPr>
          <w:p w14:paraId="4CB3EA16"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-1,7</w:t>
            </w:r>
          </w:p>
        </w:tc>
        <w:tc>
          <w:tcPr>
            <w:tcW w:w="1260" w:type="dxa"/>
            <w:noWrap/>
            <w:hideMark/>
          </w:tcPr>
          <w:p w14:paraId="2D283758"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0,4</w:t>
            </w:r>
          </w:p>
        </w:tc>
        <w:tc>
          <w:tcPr>
            <w:tcW w:w="1260" w:type="dxa"/>
            <w:noWrap/>
            <w:hideMark/>
          </w:tcPr>
          <w:p w14:paraId="7ADFED47"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0,0</w:t>
            </w:r>
          </w:p>
        </w:tc>
      </w:tr>
      <w:tr w:rsidR="005A48F1" w:rsidRPr="008F301B" w14:paraId="2EFF502A"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00" w:type="dxa"/>
            <w:hideMark/>
          </w:tcPr>
          <w:p w14:paraId="125844BC"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Svetovna rast BDP (brez EU)</w:t>
            </w:r>
          </w:p>
        </w:tc>
        <w:tc>
          <w:tcPr>
            <w:tcW w:w="1260" w:type="dxa"/>
            <w:noWrap/>
            <w:hideMark/>
          </w:tcPr>
          <w:p w14:paraId="5F51AC0C"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p>
        </w:tc>
        <w:tc>
          <w:tcPr>
            <w:tcW w:w="1260" w:type="dxa"/>
            <w:noWrap/>
            <w:hideMark/>
          </w:tcPr>
          <w:p w14:paraId="5B423AB3"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p>
        </w:tc>
        <w:tc>
          <w:tcPr>
            <w:tcW w:w="1260" w:type="dxa"/>
            <w:noWrap/>
            <w:hideMark/>
          </w:tcPr>
          <w:p w14:paraId="16D2C5EA"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p>
        </w:tc>
      </w:tr>
      <w:tr w:rsidR="005A48F1" w:rsidRPr="00BD4849" w14:paraId="64709A71" w14:textId="77777777" w:rsidTr="009F1410">
        <w:trPr>
          <w:trHeight w:val="300"/>
        </w:trPr>
        <w:tc>
          <w:tcPr>
            <w:cnfStyle w:val="001000000000" w:firstRow="0" w:lastRow="0" w:firstColumn="1" w:lastColumn="0" w:oddVBand="0" w:evenVBand="0" w:oddHBand="0" w:evenHBand="0" w:firstRowFirstColumn="0" w:firstRowLastColumn="0" w:lastRowFirstColumn="0" w:lastRowLastColumn="0"/>
            <w:tcW w:w="4300" w:type="dxa"/>
            <w:hideMark/>
          </w:tcPr>
          <w:p w14:paraId="13B330E7"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Rast BDP v EU</w:t>
            </w:r>
          </w:p>
        </w:tc>
        <w:tc>
          <w:tcPr>
            <w:tcW w:w="1260" w:type="dxa"/>
            <w:noWrap/>
            <w:hideMark/>
          </w:tcPr>
          <w:p w14:paraId="5C67D8FF"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3,4</w:t>
            </w:r>
          </w:p>
        </w:tc>
        <w:tc>
          <w:tcPr>
            <w:tcW w:w="1260" w:type="dxa"/>
            <w:noWrap/>
            <w:hideMark/>
          </w:tcPr>
          <w:p w14:paraId="16FC88A1"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0,7</w:t>
            </w:r>
          </w:p>
        </w:tc>
        <w:tc>
          <w:tcPr>
            <w:tcW w:w="1260" w:type="dxa"/>
            <w:noWrap/>
            <w:hideMark/>
          </w:tcPr>
          <w:p w14:paraId="711241BB"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1,4</w:t>
            </w:r>
          </w:p>
        </w:tc>
      </w:tr>
      <w:tr w:rsidR="005A48F1" w:rsidRPr="00BD4849" w14:paraId="0E8536A2"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00" w:type="dxa"/>
            <w:hideMark/>
          </w:tcPr>
          <w:p w14:paraId="4EE1D676"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Rast (relevantnih) izvoznih trgov</w:t>
            </w:r>
          </w:p>
        </w:tc>
        <w:tc>
          <w:tcPr>
            <w:tcW w:w="1260" w:type="dxa"/>
            <w:noWrap/>
            <w:hideMark/>
          </w:tcPr>
          <w:p w14:paraId="48ED5EE8"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9,4</w:t>
            </w:r>
          </w:p>
        </w:tc>
        <w:tc>
          <w:tcPr>
            <w:tcW w:w="1260" w:type="dxa"/>
            <w:noWrap/>
            <w:hideMark/>
          </w:tcPr>
          <w:p w14:paraId="555ED5A7"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1,4</w:t>
            </w:r>
          </w:p>
        </w:tc>
        <w:tc>
          <w:tcPr>
            <w:tcW w:w="1260" w:type="dxa"/>
            <w:noWrap/>
            <w:hideMark/>
          </w:tcPr>
          <w:p w14:paraId="32374CAC"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2,7</w:t>
            </w:r>
          </w:p>
        </w:tc>
      </w:tr>
      <w:tr w:rsidR="005A48F1" w:rsidRPr="008F301B" w14:paraId="3C0FE4F5" w14:textId="77777777" w:rsidTr="009F1410">
        <w:trPr>
          <w:trHeight w:val="300"/>
        </w:trPr>
        <w:tc>
          <w:tcPr>
            <w:cnfStyle w:val="001000000000" w:firstRow="0" w:lastRow="0" w:firstColumn="1" w:lastColumn="0" w:oddVBand="0" w:evenVBand="0" w:oddHBand="0" w:evenHBand="0" w:firstRowFirstColumn="0" w:firstRowLastColumn="0" w:lastRowFirstColumn="0" w:lastRowLastColumn="0"/>
            <w:tcW w:w="4300" w:type="dxa"/>
            <w:hideMark/>
          </w:tcPr>
          <w:p w14:paraId="278D97A8"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Svetovne količine uvoza razen EU</w:t>
            </w:r>
          </w:p>
        </w:tc>
        <w:tc>
          <w:tcPr>
            <w:tcW w:w="1260" w:type="dxa"/>
            <w:noWrap/>
            <w:hideMark/>
          </w:tcPr>
          <w:p w14:paraId="7DFFC159"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p>
        </w:tc>
        <w:tc>
          <w:tcPr>
            <w:tcW w:w="1260" w:type="dxa"/>
            <w:noWrap/>
            <w:hideMark/>
          </w:tcPr>
          <w:p w14:paraId="57A971CF"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p>
        </w:tc>
        <w:tc>
          <w:tcPr>
            <w:tcW w:w="1260" w:type="dxa"/>
            <w:noWrap/>
            <w:hideMark/>
          </w:tcPr>
          <w:p w14:paraId="1A80036B"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p>
        </w:tc>
      </w:tr>
      <w:tr w:rsidR="005A48F1" w:rsidRPr="00BD4849" w14:paraId="4C95656A"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00" w:type="dxa"/>
            <w:hideMark/>
          </w:tcPr>
          <w:p w14:paraId="48CF509D"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Cena nafte (Brent, USD/sodček)</w:t>
            </w:r>
          </w:p>
        </w:tc>
        <w:tc>
          <w:tcPr>
            <w:tcW w:w="1260" w:type="dxa"/>
            <w:noWrap/>
            <w:hideMark/>
          </w:tcPr>
          <w:p w14:paraId="5454670F"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100,8</w:t>
            </w:r>
          </w:p>
        </w:tc>
        <w:tc>
          <w:tcPr>
            <w:tcW w:w="1260" w:type="dxa"/>
            <w:noWrap/>
            <w:hideMark/>
          </w:tcPr>
          <w:p w14:paraId="450283FD"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82,2</w:t>
            </w:r>
          </w:p>
        </w:tc>
        <w:tc>
          <w:tcPr>
            <w:tcW w:w="1260" w:type="dxa"/>
            <w:noWrap/>
            <w:hideMark/>
          </w:tcPr>
          <w:p w14:paraId="0C8E5D13" w14:textId="77777777" w:rsidR="005A48F1" w:rsidRPr="00BD4849" w:rsidRDefault="005A48F1" w:rsidP="009F1410">
            <w:pPr>
              <w:keepNext/>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81,8</w:t>
            </w:r>
          </w:p>
        </w:tc>
      </w:tr>
    </w:tbl>
    <w:p w14:paraId="1A60603D" w14:textId="76B3F131" w:rsidR="005A48F1" w:rsidRDefault="005A48F1" w:rsidP="005A48F1">
      <w:pPr>
        <w:pStyle w:val="Caption"/>
        <w:ind w:left="0" w:firstLine="0"/>
        <w:rPr>
          <w:rFonts w:cs="Arial"/>
          <w:b w:val="0"/>
          <w:bCs/>
          <w:i w:val="0"/>
          <w:iCs/>
        </w:rPr>
      </w:pPr>
      <w:r w:rsidRPr="005A48F1">
        <w:rPr>
          <w:rFonts w:cs="Arial"/>
          <w:b w:val="0"/>
          <w:bCs/>
          <w:i w:val="0"/>
          <w:iCs/>
        </w:rPr>
        <w:t>Vir: Jesenska napoved gospodarskih gibanj 2023 UMAR.</w:t>
      </w:r>
    </w:p>
    <w:p w14:paraId="7038E1A1" w14:textId="77777777" w:rsidR="005A48F1" w:rsidRPr="005A48F1" w:rsidRDefault="005A48F1" w:rsidP="005A48F1">
      <w:pPr>
        <w:rPr>
          <w:lang w:eastAsia="sl-SI"/>
        </w:rPr>
      </w:pPr>
    </w:p>
    <w:tbl>
      <w:tblPr>
        <w:tblStyle w:val="ListTable3-Accent1"/>
        <w:tblW w:w="9356" w:type="dxa"/>
        <w:tblLook w:val="04A0" w:firstRow="1" w:lastRow="0" w:firstColumn="1" w:lastColumn="0" w:noHBand="0" w:noVBand="1"/>
      </w:tblPr>
      <w:tblGrid>
        <w:gridCol w:w="5834"/>
        <w:gridCol w:w="1173"/>
        <w:gridCol w:w="1176"/>
        <w:gridCol w:w="1173"/>
      </w:tblGrid>
      <w:tr w:rsidR="005A48F1" w:rsidRPr="00BD4849" w14:paraId="6311A38D" w14:textId="77777777" w:rsidTr="009F1410">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5651" w:type="dxa"/>
            <w:shd w:val="clear" w:color="auto" w:fill="B4C6E7" w:themeFill="accent5" w:themeFillTint="66"/>
            <w:noWrap/>
            <w:hideMark/>
          </w:tcPr>
          <w:p w14:paraId="7E58B7A2" w14:textId="77777777" w:rsidR="005A48F1" w:rsidRPr="00BD4849" w:rsidRDefault="005A48F1" w:rsidP="009F1410">
            <w:pPr>
              <w:rPr>
                <w:rFonts w:ascii="Arial" w:eastAsia="Times New Roman" w:hAnsi="Arial" w:cs="Arial"/>
                <w:b w:val="0"/>
                <w:bCs w:val="0"/>
                <w:color w:val="auto"/>
                <w:sz w:val="20"/>
                <w:szCs w:val="20"/>
                <w:lang w:eastAsia="sl-SI"/>
              </w:rPr>
            </w:pPr>
            <w:r w:rsidRPr="00BD4849">
              <w:rPr>
                <w:rFonts w:ascii="Arial" w:eastAsia="Times New Roman" w:hAnsi="Arial" w:cs="Arial"/>
                <w:b w:val="0"/>
                <w:bCs w:val="0"/>
                <w:color w:val="auto"/>
                <w:sz w:val="20"/>
                <w:szCs w:val="20"/>
                <w:lang w:eastAsia="sl-SI"/>
              </w:rPr>
              <w:t>Tabela 0b. Glavne predpostavke</w:t>
            </w:r>
          </w:p>
        </w:tc>
        <w:tc>
          <w:tcPr>
            <w:tcW w:w="1136" w:type="dxa"/>
            <w:shd w:val="clear" w:color="auto" w:fill="B4C6E7" w:themeFill="accent5" w:themeFillTint="66"/>
            <w:hideMark/>
          </w:tcPr>
          <w:p w14:paraId="2C89B9E3" w14:textId="77777777" w:rsidR="005A48F1" w:rsidRPr="00BD4849" w:rsidRDefault="005A48F1" w:rsidP="009F141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lang w:eastAsia="sl-SI"/>
              </w:rPr>
            </w:pPr>
            <w:r w:rsidRPr="00BD4849">
              <w:rPr>
                <w:rFonts w:ascii="Arial" w:eastAsia="Times New Roman" w:hAnsi="Arial" w:cs="Arial"/>
                <w:b w:val="0"/>
                <w:bCs w:val="0"/>
                <w:color w:val="auto"/>
                <w:sz w:val="20"/>
                <w:szCs w:val="20"/>
                <w:lang w:eastAsia="sl-SI"/>
              </w:rPr>
              <w:t>2022 (raven)</w:t>
            </w:r>
          </w:p>
        </w:tc>
        <w:tc>
          <w:tcPr>
            <w:tcW w:w="1139" w:type="dxa"/>
            <w:shd w:val="clear" w:color="auto" w:fill="B4C6E7" w:themeFill="accent5" w:themeFillTint="66"/>
            <w:hideMark/>
          </w:tcPr>
          <w:p w14:paraId="3AAD1301" w14:textId="77777777" w:rsidR="005A48F1" w:rsidRPr="00BD4849" w:rsidRDefault="005A48F1" w:rsidP="009F141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lang w:eastAsia="sl-SI"/>
              </w:rPr>
            </w:pPr>
            <w:r w:rsidRPr="00BD4849">
              <w:rPr>
                <w:rFonts w:ascii="Arial" w:eastAsia="Times New Roman" w:hAnsi="Arial" w:cs="Arial"/>
                <w:b w:val="0"/>
                <w:bCs w:val="0"/>
                <w:color w:val="auto"/>
                <w:sz w:val="20"/>
                <w:szCs w:val="20"/>
                <w:lang w:eastAsia="sl-SI"/>
              </w:rPr>
              <w:t>2023 (raven)</w:t>
            </w:r>
          </w:p>
        </w:tc>
        <w:tc>
          <w:tcPr>
            <w:tcW w:w="1136" w:type="dxa"/>
            <w:shd w:val="clear" w:color="auto" w:fill="B4C6E7" w:themeFill="accent5" w:themeFillTint="66"/>
            <w:hideMark/>
          </w:tcPr>
          <w:p w14:paraId="1CBEE987" w14:textId="77777777" w:rsidR="005A48F1" w:rsidRPr="00BD4849" w:rsidRDefault="005A48F1" w:rsidP="009F141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lang w:eastAsia="sl-SI"/>
              </w:rPr>
            </w:pPr>
            <w:r w:rsidRPr="00BD4849">
              <w:rPr>
                <w:rFonts w:ascii="Arial" w:eastAsia="Times New Roman" w:hAnsi="Arial" w:cs="Arial"/>
                <w:b w:val="0"/>
                <w:bCs w:val="0"/>
                <w:color w:val="auto"/>
                <w:sz w:val="20"/>
                <w:szCs w:val="20"/>
                <w:lang w:eastAsia="sl-SI"/>
              </w:rPr>
              <w:t>2024 (raven)</w:t>
            </w:r>
          </w:p>
        </w:tc>
      </w:tr>
      <w:tr w:rsidR="005A48F1" w:rsidRPr="00BD4849" w14:paraId="0BDEE0DB"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1" w:type="dxa"/>
            <w:shd w:val="clear" w:color="auto" w:fill="auto"/>
            <w:hideMark/>
          </w:tcPr>
          <w:p w14:paraId="36BC4B50"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1. Zunanje okolje</w:t>
            </w:r>
          </w:p>
        </w:tc>
        <w:tc>
          <w:tcPr>
            <w:tcW w:w="1136" w:type="dxa"/>
            <w:shd w:val="clear" w:color="auto" w:fill="auto"/>
            <w:noWrap/>
            <w:hideMark/>
          </w:tcPr>
          <w:p w14:paraId="70A215E6"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1139" w:type="dxa"/>
            <w:shd w:val="clear" w:color="auto" w:fill="auto"/>
            <w:noWrap/>
            <w:hideMark/>
          </w:tcPr>
          <w:p w14:paraId="152F1098"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1136" w:type="dxa"/>
            <w:shd w:val="clear" w:color="auto" w:fill="auto"/>
            <w:noWrap/>
            <w:hideMark/>
          </w:tcPr>
          <w:p w14:paraId="499C4A65"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r>
      <w:tr w:rsidR="005A48F1" w:rsidRPr="00BD4849" w14:paraId="1515DA2F" w14:textId="77777777" w:rsidTr="009F1410">
        <w:trPr>
          <w:trHeight w:val="300"/>
        </w:trPr>
        <w:tc>
          <w:tcPr>
            <w:cnfStyle w:val="001000000000" w:firstRow="0" w:lastRow="0" w:firstColumn="1" w:lastColumn="0" w:oddVBand="0" w:evenVBand="0" w:oddHBand="0" w:evenHBand="0" w:firstRowFirstColumn="0" w:firstRowLastColumn="0" w:lastRowFirstColumn="0" w:lastRowLastColumn="0"/>
            <w:tcW w:w="5651" w:type="dxa"/>
            <w:hideMark/>
          </w:tcPr>
          <w:p w14:paraId="0064F513"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a. Cene blaga (ICŽP)</w:t>
            </w:r>
          </w:p>
        </w:tc>
        <w:tc>
          <w:tcPr>
            <w:tcW w:w="1136" w:type="dxa"/>
            <w:noWrap/>
            <w:hideMark/>
          </w:tcPr>
          <w:p w14:paraId="3C1A8044"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5,3</w:t>
            </w:r>
          </w:p>
        </w:tc>
        <w:tc>
          <w:tcPr>
            <w:tcW w:w="1139" w:type="dxa"/>
            <w:noWrap/>
            <w:hideMark/>
          </w:tcPr>
          <w:p w14:paraId="5FB78A8B"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-11,0</w:t>
            </w:r>
          </w:p>
        </w:tc>
        <w:tc>
          <w:tcPr>
            <w:tcW w:w="1136" w:type="dxa"/>
            <w:noWrap/>
            <w:hideMark/>
          </w:tcPr>
          <w:p w14:paraId="1F4AD68E"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-3,0</w:t>
            </w:r>
          </w:p>
        </w:tc>
      </w:tr>
      <w:tr w:rsidR="005A48F1" w:rsidRPr="00BD4849" w14:paraId="334205C3"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1" w:type="dxa"/>
            <w:hideMark/>
          </w:tcPr>
          <w:p w14:paraId="025FF354"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b. Razponi nemških obveznic</w:t>
            </w:r>
          </w:p>
        </w:tc>
        <w:tc>
          <w:tcPr>
            <w:tcW w:w="1136" w:type="dxa"/>
            <w:noWrap/>
            <w:hideMark/>
          </w:tcPr>
          <w:p w14:paraId="36067E1C"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p>
        </w:tc>
        <w:tc>
          <w:tcPr>
            <w:tcW w:w="1139" w:type="dxa"/>
            <w:noWrap/>
            <w:hideMark/>
          </w:tcPr>
          <w:p w14:paraId="3220D28A"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p>
        </w:tc>
        <w:tc>
          <w:tcPr>
            <w:tcW w:w="1136" w:type="dxa"/>
            <w:noWrap/>
            <w:hideMark/>
          </w:tcPr>
          <w:p w14:paraId="3039C4DC"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p>
        </w:tc>
      </w:tr>
      <w:tr w:rsidR="005A48F1" w:rsidRPr="00BD4849" w14:paraId="3B407E88" w14:textId="77777777" w:rsidTr="009F1410">
        <w:trPr>
          <w:trHeight w:val="300"/>
        </w:trPr>
        <w:tc>
          <w:tcPr>
            <w:cnfStyle w:val="001000000000" w:firstRow="0" w:lastRow="0" w:firstColumn="1" w:lastColumn="0" w:oddVBand="0" w:evenVBand="0" w:oddHBand="0" w:evenHBand="0" w:firstRowFirstColumn="0" w:firstRowLastColumn="0" w:lastRowFirstColumn="0" w:lastRowLastColumn="0"/>
            <w:tcW w:w="5651" w:type="dxa"/>
            <w:hideMark/>
          </w:tcPr>
          <w:p w14:paraId="06E3DB84"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2. Fiskalna politika</w:t>
            </w:r>
          </w:p>
        </w:tc>
        <w:tc>
          <w:tcPr>
            <w:tcW w:w="1136" w:type="dxa"/>
            <w:noWrap/>
            <w:hideMark/>
          </w:tcPr>
          <w:p w14:paraId="6E6909FA"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1139" w:type="dxa"/>
            <w:noWrap/>
            <w:hideMark/>
          </w:tcPr>
          <w:p w14:paraId="4EB0B068"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1136" w:type="dxa"/>
            <w:noWrap/>
            <w:hideMark/>
          </w:tcPr>
          <w:p w14:paraId="6B6C77E5"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r>
      <w:tr w:rsidR="005A48F1" w:rsidRPr="00BD4849" w14:paraId="6C396F8D"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1" w:type="dxa"/>
            <w:hideMark/>
          </w:tcPr>
          <w:p w14:paraId="34430870"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a. Neto posojanje / neto izposojanje S.13 (mio EUR)</w:t>
            </w:r>
          </w:p>
        </w:tc>
        <w:tc>
          <w:tcPr>
            <w:tcW w:w="1136" w:type="dxa"/>
            <w:noWrap/>
            <w:hideMark/>
          </w:tcPr>
          <w:p w14:paraId="0AA79326"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-1.717</w:t>
            </w:r>
          </w:p>
        </w:tc>
        <w:tc>
          <w:tcPr>
            <w:tcW w:w="1139" w:type="dxa"/>
            <w:noWrap/>
            <w:hideMark/>
          </w:tcPr>
          <w:p w14:paraId="59C4BFD7"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-2.807</w:t>
            </w:r>
          </w:p>
        </w:tc>
        <w:tc>
          <w:tcPr>
            <w:tcW w:w="1136" w:type="dxa"/>
            <w:noWrap/>
            <w:hideMark/>
          </w:tcPr>
          <w:p w14:paraId="6C008D4B"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-2.555</w:t>
            </w:r>
          </w:p>
        </w:tc>
      </w:tr>
      <w:tr w:rsidR="005A48F1" w:rsidRPr="00BD4849" w14:paraId="6A28978A" w14:textId="77777777" w:rsidTr="009F1410">
        <w:trPr>
          <w:trHeight w:val="300"/>
        </w:trPr>
        <w:tc>
          <w:tcPr>
            <w:cnfStyle w:val="001000000000" w:firstRow="0" w:lastRow="0" w:firstColumn="1" w:lastColumn="0" w:oddVBand="0" w:evenVBand="0" w:oddHBand="0" w:evenHBand="0" w:firstRowFirstColumn="0" w:firstRowLastColumn="0" w:lastRowFirstColumn="0" w:lastRowLastColumn="0"/>
            <w:tcW w:w="5651" w:type="dxa"/>
            <w:tcBorders>
              <w:bottom w:val="single" w:sz="4" w:space="0" w:color="5B9BD5" w:themeColor="accent1"/>
            </w:tcBorders>
            <w:hideMark/>
          </w:tcPr>
          <w:p w14:paraId="7279776B"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b. Bruto dolg države (mio EUR)</w:t>
            </w:r>
          </w:p>
        </w:tc>
        <w:tc>
          <w:tcPr>
            <w:tcW w:w="1136" w:type="dxa"/>
            <w:tcBorders>
              <w:bottom w:val="single" w:sz="4" w:space="0" w:color="5B9BD5" w:themeColor="accent1"/>
            </w:tcBorders>
            <w:noWrap/>
            <w:hideMark/>
          </w:tcPr>
          <w:p w14:paraId="38E7462C"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41.242</w:t>
            </w:r>
          </w:p>
        </w:tc>
        <w:tc>
          <w:tcPr>
            <w:tcW w:w="1139" w:type="dxa"/>
            <w:tcBorders>
              <w:bottom w:val="single" w:sz="4" w:space="0" w:color="5B9BD5" w:themeColor="accent1"/>
            </w:tcBorders>
            <w:noWrap/>
            <w:hideMark/>
          </w:tcPr>
          <w:p w14:paraId="1B7BDB08"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44.042</w:t>
            </w:r>
          </w:p>
        </w:tc>
        <w:tc>
          <w:tcPr>
            <w:tcW w:w="1136" w:type="dxa"/>
            <w:tcBorders>
              <w:bottom w:val="single" w:sz="4" w:space="0" w:color="5B9BD5" w:themeColor="accent1"/>
            </w:tcBorders>
            <w:noWrap/>
            <w:hideMark/>
          </w:tcPr>
          <w:p w14:paraId="798E7B99"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46.394</w:t>
            </w:r>
          </w:p>
        </w:tc>
      </w:tr>
      <w:tr w:rsidR="005A48F1" w:rsidRPr="008F301B" w14:paraId="6B30F736"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062" w:type="dxa"/>
            <w:gridSpan w:val="4"/>
            <w:tcBorders>
              <w:right w:val="single" w:sz="4" w:space="0" w:color="5B9BD5" w:themeColor="accent1"/>
            </w:tcBorders>
            <w:hideMark/>
          </w:tcPr>
          <w:p w14:paraId="324A65D2"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3. Monetarna politika / Finančni sektor / Predpostavke v zvezi z obrestnimi merami</w:t>
            </w:r>
          </w:p>
        </w:tc>
      </w:tr>
      <w:tr w:rsidR="005A48F1" w:rsidRPr="00BD4849" w14:paraId="253ED8A3" w14:textId="77777777" w:rsidTr="009F1410">
        <w:trPr>
          <w:trHeight w:val="300"/>
        </w:trPr>
        <w:tc>
          <w:tcPr>
            <w:cnfStyle w:val="001000000000" w:firstRow="0" w:lastRow="0" w:firstColumn="1" w:lastColumn="0" w:oddVBand="0" w:evenVBand="0" w:oddHBand="0" w:evenHBand="0" w:firstRowFirstColumn="0" w:firstRowLastColumn="0" w:lastRowFirstColumn="0" w:lastRowLastColumn="0"/>
            <w:tcW w:w="5651" w:type="dxa"/>
            <w:hideMark/>
          </w:tcPr>
          <w:p w14:paraId="5088CF39"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a. Obrestne mere</w:t>
            </w:r>
          </w:p>
        </w:tc>
        <w:tc>
          <w:tcPr>
            <w:tcW w:w="1136" w:type="dxa"/>
            <w:noWrap/>
            <w:hideMark/>
          </w:tcPr>
          <w:p w14:paraId="2B829A3F"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p>
        </w:tc>
        <w:tc>
          <w:tcPr>
            <w:tcW w:w="1139" w:type="dxa"/>
            <w:noWrap/>
            <w:hideMark/>
          </w:tcPr>
          <w:p w14:paraId="4C6422E0"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p>
        </w:tc>
        <w:tc>
          <w:tcPr>
            <w:tcW w:w="1136" w:type="dxa"/>
            <w:noWrap/>
            <w:hideMark/>
          </w:tcPr>
          <w:p w14:paraId="389AC9DC"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p>
        </w:tc>
      </w:tr>
      <w:tr w:rsidR="005A48F1" w:rsidRPr="00BD4849" w14:paraId="685357F9"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1" w:type="dxa"/>
            <w:hideMark/>
          </w:tcPr>
          <w:p w14:paraId="7709A547"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i. Euribor</w:t>
            </w:r>
          </w:p>
        </w:tc>
        <w:tc>
          <w:tcPr>
            <w:tcW w:w="1136" w:type="dxa"/>
            <w:noWrap/>
            <w:hideMark/>
          </w:tcPr>
          <w:p w14:paraId="48167A3F"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0,34</w:t>
            </w:r>
          </w:p>
        </w:tc>
        <w:tc>
          <w:tcPr>
            <w:tcW w:w="1139" w:type="dxa"/>
            <w:noWrap/>
            <w:hideMark/>
          </w:tcPr>
          <w:p w14:paraId="215C9AA1"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3,18 (jan-avg)</w:t>
            </w:r>
          </w:p>
        </w:tc>
        <w:tc>
          <w:tcPr>
            <w:tcW w:w="1136" w:type="dxa"/>
            <w:noWrap/>
            <w:hideMark/>
          </w:tcPr>
          <w:p w14:paraId="78A4E0DC"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p>
        </w:tc>
      </w:tr>
      <w:tr w:rsidR="005A48F1" w:rsidRPr="00BD4849" w14:paraId="22D05C30" w14:textId="77777777" w:rsidTr="009F1410">
        <w:trPr>
          <w:trHeight w:val="300"/>
        </w:trPr>
        <w:tc>
          <w:tcPr>
            <w:cnfStyle w:val="001000000000" w:firstRow="0" w:lastRow="0" w:firstColumn="1" w:lastColumn="0" w:oddVBand="0" w:evenVBand="0" w:oddHBand="0" w:evenHBand="0" w:firstRowFirstColumn="0" w:firstRowLastColumn="0" w:lastRowFirstColumn="0" w:lastRowLastColumn="0"/>
            <w:tcW w:w="5651" w:type="dxa"/>
            <w:hideMark/>
          </w:tcPr>
          <w:p w14:paraId="6062D5A1"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ii. obrestna mera depozitov</w:t>
            </w:r>
          </w:p>
        </w:tc>
        <w:tc>
          <w:tcPr>
            <w:tcW w:w="1136" w:type="dxa"/>
            <w:noWrap/>
            <w:hideMark/>
          </w:tcPr>
          <w:p w14:paraId="4AAA6A16"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0,08</w:t>
            </w:r>
          </w:p>
        </w:tc>
        <w:tc>
          <w:tcPr>
            <w:tcW w:w="1139" w:type="dxa"/>
            <w:noWrap/>
            <w:hideMark/>
          </w:tcPr>
          <w:p w14:paraId="06B4BDB7"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0,53 (jan-jul)</w:t>
            </w:r>
          </w:p>
        </w:tc>
        <w:tc>
          <w:tcPr>
            <w:tcW w:w="1136" w:type="dxa"/>
            <w:noWrap/>
            <w:hideMark/>
          </w:tcPr>
          <w:p w14:paraId="5EDEC249"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p>
        </w:tc>
      </w:tr>
      <w:tr w:rsidR="005A48F1" w:rsidRPr="00BD4849" w14:paraId="4BEDEA80"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1" w:type="dxa"/>
            <w:hideMark/>
          </w:tcPr>
          <w:p w14:paraId="2E6D65F8"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iii. obrestna mera za posojila</w:t>
            </w:r>
          </w:p>
        </w:tc>
        <w:tc>
          <w:tcPr>
            <w:tcW w:w="1136" w:type="dxa"/>
            <w:noWrap/>
            <w:hideMark/>
          </w:tcPr>
          <w:p w14:paraId="35EDAE57"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2,02</w:t>
            </w:r>
          </w:p>
        </w:tc>
        <w:tc>
          <w:tcPr>
            <w:tcW w:w="1139" w:type="dxa"/>
            <w:noWrap/>
            <w:hideMark/>
          </w:tcPr>
          <w:p w14:paraId="7A4611E0"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4,64 (jan-jul)</w:t>
            </w:r>
          </w:p>
        </w:tc>
        <w:tc>
          <w:tcPr>
            <w:tcW w:w="1136" w:type="dxa"/>
            <w:noWrap/>
            <w:hideMark/>
          </w:tcPr>
          <w:p w14:paraId="6D28A925"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p>
        </w:tc>
      </w:tr>
      <w:tr w:rsidR="005A48F1" w:rsidRPr="00BD4849" w14:paraId="321B8EF3" w14:textId="77777777" w:rsidTr="009F1410">
        <w:trPr>
          <w:trHeight w:val="300"/>
        </w:trPr>
        <w:tc>
          <w:tcPr>
            <w:cnfStyle w:val="001000000000" w:firstRow="0" w:lastRow="0" w:firstColumn="1" w:lastColumn="0" w:oddVBand="0" w:evenVBand="0" w:oddHBand="0" w:evenHBand="0" w:firstRowFirstColumn="0" w:firstRowLastColumn="0" w:lastRowFirstColumn="0" w:lastRowLastColumn="0"/>
            <w:tcW w:w="5651" w:type="dxa"/>
            <w:hideMark/>
          </w:tcPr>
          <w:p w14:paraId="014A064C"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iv. donosnost do dospetja 10-letnih državnih obveznic</w:t>
            </w:r>
          </w:p>
        </w:tc>
        <w:tc>
          <w:tcPr>
            <w:tcW w:w="1136" w:type="dxa"/>
            <w:noWrap/>
            <w:hideMark/>
          </w:tcPr>
          <w:p w14:paraId="0FE04444"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2,19</w:t>
            </w:r>
          </w:p>
        </w:tc>
        <w:tc>
          <w:tcPr>
            <w:tcW w:w="1139" w:type="dxa"/>
            <w:noWrap/>
            <w:hideMark/>
          </w:tcPr>
          <w:p w14:paraId="29A79017"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3,39 (jan-avg)</w:t>
            </w:r>
          </w:p>
        </w:tc>
        <w:tc>
          <w:tcPr>
            <w:tcW w:w="1136" w:type="dxa"/>
            <w:noWrap/>
            <w:hideMark/>
          </w:tcPr>
          <w:p w14:paraId="1C4F87DB"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p>
        </w:tc>
      </w:tr>
      <w:tr w:rsidR="005A48F1" w:rsidRPr="00BD4849" w14:paraId="4B1D5423"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1" w:type="dxa"/>
            <w:hideMark/>
          </w:tcPr>
          <w:p w14:paraId="6647CCD1"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b. Razvoj depozitov</w:t>
            </w:r>
          </w:p>
        </w:tc>
        <w:tc>
          <w:tcPr>
            <w:tcW w:w="1136" w:type="dxa"/>
            <w:noWrap/>
            <w:hideMark/>
          </w:tcPr>
          <w:p w14:paraId="6B894986"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7,2</w:t>
            </w:r>
          </w:p>
        </w:tc>
        <w:tc>
          <w:tcPr>
            <w:tcW w:w="1139" w:type="dxa"/>
            <w:noWrap/>
            <w:hideMark/>
          </w:tcPr>
          <w:p w14:paraId="0CD688E0"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5,0 (jul yoy)</w:t>
            </w:r>
          </w:p>
        </w:tc>
        <w:tc>
          <w:tcPr>
            <w:tcW w:w="1136" w:type="dxa"/>
            <w:noWrap/>
            <w:hideMark/>
          </w:tcPr>
          <w:p w14:paraId="1D4DC222"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p>
        </w:tc>
      </w:tr>
      <w:tr w:rsidR="005A48F1" w:rsidRPr="00BD4849" w14:paraId="35241546" w14:textId="77777777" w:rsidTr="009F1410">
        <w:trPr>
          <w:trHeight w:val="300"/>
        </w:trPr>
        <w:tc>
          <w:tcPr>
            <w:cnfStyle w:val="001000000000" w:firstRow="0" w:lastRow="0" w:firstColumn="1" w:lastColumn="0" w:oddVBand="0" w:evenVBand="0" w:oddHBand="0" w:evenHBand="0" w:firstRowFirstColumn="0" w:firstRowLastColumn="0" w:lastRowFirstColumn="0" w:lastRowLastColumn="0"/>
            <w:tcW w:w="5651" w:type="dxa"/>
            <w:hideMark/>
          </w:tcPr>
          <w:p w14:paraId="3F31AEFD"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c. Razvoj posojil</w:t>
            </w:r>
          </w:p>
        </w:tc>
        <w:tc>
          <w:tcPr>
            <w:tcW w:w="1136" w:type="dxa"/>
            <w:noWrap/>
            <w:hideMark/>
          </w:tcPr>
          <w:p w14:paraId="7012E571"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9,1</w:t>
            </w:r>
          </w:p>
        </w:tc>
        <w:tc>
          <w:tcPr>
            <w:tcW w:w="1139" w:type="dxa"/>
            <w:noWrap/>
            <w:hideMark/>
          </w:tcPr>
          <w:p w14:paraId="1FF90F79"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-0,2(jul yoy)</w:t>
            </w:r>
          </w:p>
        </w:tc>
        <w:tc>
          <w:tcPr>
            <w:tcW w:w="1136" w:type="dxa"/>
            <w:noWrap/>
            <w:hideMark/>
          </w:tcPr>
          <w:p w14:paraId="30D34C55"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p>
        </w:tc>
      </w:tr>
      <w:tr w:rsidR="005A48F1" w:rsidRPr="00BD4849" w14:paraId="313432FD"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1" w:type="dxa"/>
            <w:hideMark/>
          </w:tcPr>
          <w:p w14:paraId="4450E157"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d. Gibanja nedonosnih posojil</w:t>
            </w:r>
          </w:p>
        </w:tc>
        <w:tc>
          <w:tcPr>
            <w:tcW w:w="1136" w:type="dxa"/>
            <w:noWrap/>
            <w:hideMark/>
          </w:tcPr>
          <w:p w14:paraId="6DE1A84F"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1,2</w:t>
            </w:r>
          </w:p>
        </w:tc>
        <w:tc>
          <w:tcPr>
            <w:tcW w:w="1139" w:type="dxa"/>
            <w:noWrap/>
            <w:hideMark/>
          </w:tcPr>
          <w:p w14:paraId="0502D983"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1,0 (jul)</w:t>
            </w:r>
          </w:p>
        </w:tc>
        <w:tc>
          <w:tcPr>
            <w:tcW w:w="1136" w:type="dxa"/>
            <w:noWrap/>
            <w:hideMark/>
          </w:tcPr>
          <w:p w14:paraId="595F1EFA"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p>
        </w:tc>
      </w:tr>
      <w:tr w:rsidR="005A48F1" w:rsidRPr="00BD4849" w14:paraId="7724BCFD" w14:textId="77777777" w:rsidTr="009F1410">
        <w:trPr>
          <w:trHeight w:val="300"/>
        </w:trPr>
        <w:tc>
          <w:tcPr>
            <w:cnfStyle w:val="001000000000" w:firstRow="0" w:lastRow="0" w:firstColumn="1" w:lastColumn="0" w:oddVBand="0" w:evenVBand="0" w:oddHBand="0" w:evenHBand="0" w:firstRowFirstColumn="0" w:firstRowLastColumn="0" w:lastRowFirstColumn="0" w:lastRowLastColumn="0"/>
            <w:tcW w:w="5651" w:type="dxa"/>
            <w:hideMark/>
          </w:tcPr>
          <w:p w14:paraId="3A94E967"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Demografski trendi</w:t>
            </w:r>
          </w:p>
        </w:tc>
        <w:tc>
          <w:tcPr>
            <w:tcW w:w="1136" w:type="dxa"/>
            <w:noWrap/>
            <w:hideMark/>
          </w:tcPr>
          <w:p w14:paraId="7DCAF7EB"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1139" w:type="dxa"/>
            <w:noWrap/>
            <w:hideMark/>
          </w:tcPr>
          <w:p w14:paraId="6E95FAF6"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1136" w:type="dxa"/>
            <w:noWrap/>
            <w:hideMark/>
          </w:tcPr>
          <w:p w14:paraId="0AC9B4AB"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r>
      <w:tr w:rsidR="005A48F1" w:rsidRPr="00BD4849" w14:paraId="278D7B10"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1" w:type="dxa"/>
            <w:hideMark/>
          </w:tcPr>
          <w:p w14:paraId="577330F1"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a. Razvoj delovno sposobnega prebivalstva</w:t>
            </w:r>
          </w:p>
        </w:tc>
        <w:tc>
          <w:tcPr>
            <w:tcW w:w="1136" w:type="dxa"/>
            <w:noWrap/>
            <w:hideMark/>
          </w:tcPr>
          <w:p w14:paraId="79297147"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1.249</w:t>
            </w:r>
          </w:p>
        </w:tc>
        <w:tc>
          <w:tcPr>
            <w:tcW w:w="1139" w:type="dxa"/>
            <w:noWrap/>
            <w:hideMark/>
          </w:tcPr>
          <w:p w14:paraId="45EBA7EE"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1.245</w:t>
            </w:r>
          </w:p>
        </w:tc>
        <w:tc>
          <w:tcPr>
            <w:tcW w:w="1136" w:type="dxa"/>
            <w:noWrap/>
            <w:hideMark/>
          </w:tcPr>
          <w:p w14:paraId="7C96281A"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1.244</w:t>
            </w:r>
          </w:p>
        </w:tc>
      </w:tr>
      <w:tr w:rsidR="005A48F1" w:rsidRPr="00BD4849" w14:paraId="0DF68A68" w14:textId="77777777" w:rsidTr="009F1410">
        <w:trPr>
          <w:trHeight w:val="300"/>
        </w:trPr>
        <w:tc>
          <w:tcPr>
            <w:cnfStyle w:val="001000000000" w:firstRow="0" w:lastRow="0" w:firstColumn="1" w:lastColumn="0" w:oddVBand="0" w:evenVBand="0" w:oddHBand="0" w:evenHBand="0" w:firstRowFirstColumn="0" w:firstRowLastColumn="0" w:lastRowFirstColumn="0" w:lastRowLastColumn="0"/>
            <w:tcW w:w="5651" w:type="dxa"/>
            <w:hideMark/>
          </w:tcPr>
          <w:p w14:paraId="79B6D3F9"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b. Razmerje odvisnosti</w:t>
            </w:r>
          </w:p>
        </w:tc>
        <w:tc>
          <w:tcPr>
            <w:tcW w:w="1136" w:type="dxa"/>
            <w:noWrap/>
            <w:hideMark/>
          </w:tcPr>
          <w:p w14:paraId="75EEFC60"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35</w:t>
            </w:r>
          </w:p>
        </w:tc>
        <w:tc>
          <w:tcPr>
            <w:tcW w:w="1139" w:type="dxa"/>
            <w:noWrap/>
            <w:hideMark/>
          </w:tcPr>
          <w:p w14:paraId="6C54F811"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36</w:t>
            </w:r>
          </w:p>
        </w:tc>
        <w:tc>
          <w:tcPr>
            <w:tcW w:w="1136" w:type="dxa"/>
            <w:noWrap/>
            <w:hideMark/>
          </w:tcPr>
          <w:p w14:paraId="12BD947F"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37</w:t>
            </w:r>
          </w:p>
        </w:tc>
      </w:tr>
      <w:tr w:rsidR="005A48F1" w:rsidRPr="00BD4849" w14:paraId="238307E2"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1" w:type="dxa"/>
            <w:hideMark/>
          </w:tcPr>
          <w:p w14:paraId="46286916"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Strukturne politike</w:t>
            </w:r>
          </w:p>
        </w:tc>
        <w:tc>
          <w:tcPr>
            <w:tcW w:w="1136" w:type="dxa"/>
            <w:noWrap/>
            <w:hideMark/>
          </w:tcPr>
          <w:p w14:paraId="17543867"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1139" w:type="dxa"/>
            <w:noWrap/>
            <w:hideMark/>
          </w:tcPr>
          <w:p w14:paraId="15047EDE"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1136" w:type="dxa"/>
            <w:noWrap/>
            <w:hideMark/>
          </w:tcPr>
          <w:p w14:paraId="6883CE02" w14:textId="77777777" w:rsidR="005A48F1" w:rsidRPr="00BD4849" w:rsidRDefault="005A48F1" w:rsidP="009F1410">
            <w:pPr>
              <w:keepNex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r>
    </w:tbl>
    <w:p w14:paraId="74D224D1" w14:textId="77777777" w:rsidR="005A48F1" w:rsidRPr="005A48F1" w:rsidRDefault="005A48F1" w:rsidP="005A48F1">
      <w:pPr>
        <w:pStyle w:val="Caption"/>
        <w:ind w:left="0" w:firstLine="0"/>
        <w:rPr>
          <w:b w:val="0"/>
          <w:bCs/>
          <w:i w:val="0"/>
          <w:iCs/>
        </w:rPr>
      </w:pPr>
      <w:r w:rsidRPr="005A48F1">
        <w:rPr>
          <w:b w:val="0"/>
          <w:bCs/>
          <w:i w:val="0"/>
          <w:iCs/>
        </w:rPr>
        <w:t>Vir: SURS; Jesenska napoved gospodarskih gibanj 2023 UMAR; Ministrstvo za finance.</w:t>
      </w:r>
    </w:p>
    <w:p w14:paraId="3CDB5D36" w14:textId="77777777" w:rsidR="005A48F1" w:rsidRPr="00BD4849" w:rsidRDefault="005A48F1" w:rsidP="005A48F1">
      <w:r w:rsidRPr="00BD4849">
        <w:br w:type="page"/>
      </w:r>
    </w:p>
    <w:tbl>
      <w:tblPr>
        <w:tblStyle w:val="ListTable3-Accent1"/>
        <w:tblW w:w="9356" w:type="dxa"/>
        <w:tblLayout w:type="fixed"/>
        <w:tblLook w:val="04A0" w:firstRow="1" w:lastRow="0" w:firstColumn="1" w:lastColumn="0" w:noHBand="0" w:noVBand="1"/>
      </w:tblPr>
      <w:tblGrid>
        <w:gridCol w:w="3681"/>
        <w:gridCol w:w="850"/>
        <w:gridCol w:w="1134"/>
        <w:gridCol w:w="1230"/>
        <w:gridCol w:w="1230"/>
        <w:gridCol w:w="1231"/>
      </w:tblGrid>
      <w:tr w:rsidR="005A48F1" w:rsidRPr="00BD4849" w14:paraId="01AD3B37" w14:textId="77777777" w:rsidTr="009F1410">
        <w:trPr>
          <w:cnfStyle w:val="100000000000" w:firstRow="1" w:lastRow="0" w:firstColumn="0" w:lastColumn="0" w:oddVBand="0" w:evenVBand="0" w:oddHBand="0" w:evenHBand="0" w:firstRowFirstColumn="0" w:firstRowLastColumn="0" w:lastRowFirstColumn="0" w:lastRowLastColumn="0"/>
          <w:trHeight w:val="525"/>
        </w:trPr>
        <w:tc>
          <w:tcPr>
            <w:cnfStyle w:val="001000000100" w:firstRow="0" w:lastRow="0" w:firstColumn="1" w:lastColumn="0" w:oddVBand="0" w:evenVBand="0" w:oddHBand="0" w:evenHBand="0" w:firstRowFirstColumn="1" w:firstRowLastColumn="0" w:lastRowFirstColumn="0" w:lastRowLastColumn="0"/>
            <w:tcW w:w="3681" w:type="dxa"/>
            <w:shd w:val="clear" w:color="auto" w:fill="B4C6E7" w:themeFill="accent5" w:themeFillTint="66"/>
            <w:noWrap/>
            <w:hideMark/>
          </w:tcPr>
          <w:p w14:paraId="4693C10D" w14:textId="18F8ABFB" w:rsidR="005A48F1" w:rsidRPr="00BD4849" w:rsidRDefault="005A48F1" w:rsidP="009F1410">
            <w:pPr>
              <w:rPr>
                <w:rFonts w:ascii="Arial" w:eastAsia="Times New Roman" w:hAnsi="Arial" w:cs="Arial"/>
                <w:b w:val="0"/>
                <w:bCs w:val="0"/>
                <w:color w:val="auto"/>
                <w:sz w:val="20"/>
                <w:szCs w:val="20"/>
                <w:lang w:eastAsia="sl-SI"/>
              </w:rPr>
            </w:pPr>
            <w:r w:rsidRPr="00BD4849">
              <w:rPr>
                <w:rFonts w:ascii="Arial" w:eastAsia="Times New Roman" w:hAnsi="Arial" w:cs="Arial"/>
                <w:b w:val="0"/>
                <w:bCs w:val="0"/>
                <w:color w:val="auto"/>
                <w:sz w:val="20"/>
                <w:szCs w:val="20"/>
                <w:lang w:eastAsia="sl-SI"/>
              </w:rPr>
              <w:lastRenderedPageBreak/>
              <w:t>Tabela 1</w:t>
            </w:r>
            <w:r w:rsidR="001C6FA5">
              <w:rPr>
                <w:rFonts w:ascii="Arial" w:eastAsia="Times New Roman" w:hAnsi="Arial" w:cs="Arial"/>
                <w:b w:val="0"/>
                <w:bCs w:val="0"/>
                <w:color w:val="auto"/>
                <w:sz w:val="20"/>
                <w:szCs w:val="20"/>
                <w:lang w:eastAsia="sl-SI"/>
              </w:rPr>
              <w:t>a</w:t>
            </w:r>
            <w:r w:rsidRPr="00BD4849">
              <w:rPr>
                <w:rFonts w:ascii="Arial" w:eastAsia="Times New Roman" w:hAnsi="Arial" w:cs="Arial"/>
                <w:b w:val="0"/>
                <w:bCs w:val="0"/>
                <w:color w:val="auto"/>
                <w:sz w:val="20"/>
                <w:szCs w:val="20"/>
                <w:lang w:eastAsia="sl-SI"/>
              </w:rPr>
              <w:t>. Gospodarska rast in z njo povezani indikatorji</w:t>
            </w:r>
          </w:p>
        </w:tc>
        <w:tc>
          <w:tcPr>
            <w:tcW w:w="850" w:type="dxa"/>
            <w:shd w:val="clear" w:color="auto" w:fill="B4C6E7" w:themeFill="accent5" w:themeFillTint="66"/>
            <w:hideMark/>
          </w:tcPr>
          <w:p w14:paraId="2D61E0CC" w14:textId="77777777" w:rsidR="005A48F1" w:rsidRPr="00BD4849" w:rsidRDefault="005A48F1" w:rsidP="009F141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lang w:eastAsia="sl-SI"/>
              </w:rPr>
            </w:pPr>
            <w:r w:rsidRPr="00BD4849">
              <w:rPr>
                <w:rFonts w:ascii="Arial" w:eastAsia="Times New Roman" w:hAnsi="Arial" w:cs="Arial"/>
                <w:b w:val="0"/>
                <w:bCs w:val="0"/>
                <w:color w:val="auto"/>
                <w:sz w:val="20"/>
                <w:szCs w:val="20"/>
                <w:lang w:eastAsia="sl-SI"/>
              </w:rPr>
              <w:t>ESA koda</w:t>
            </w:r>
          </w:p>
        </w:tc>
        <w:tc>
          <w:tcPr>
            <w:tcW w:w="1134" w:type="dxa"/>
            <w:shd w:val="clear" w:color="auto" w:fill="B4C6E7" w:themeFill="accent5" w:themeFillTint="66"/>
            <w:hideMark/>
          </w:tcPr>
          <w:p w14:paraId="1EF9BA1E" w14:textId="77777777" w:rsidR="005A48F1" w:rsidRPr="00BD4849" w:rsidRDefault="005A48F1" w:rsidP="009F141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18"/>
                <w:szCs w:val="18"/>
                <w:lang w:eastAsia="sl-SI"/>
              </w:rPr>
            </w:pPr>
            <w:r w:rsidRPr="00BD4849">
              <w:rPr>
                <w:rFonts w:ascii="Arial" w:eastAsia="Times New Roman" w:hAnsi="Arial" w:cs="Arial"/>
                <w:b w:val="0"/>
                <w:bCs w:val="0"/>
                <w:color w:val="auto"/>
                <w:sz w:val="18"/>
                <w:szCs w:val="18"/>
                <w:lang w:eastAsia="sl-SI"/>
              </w:rPr>
              <w:t>2022 (raven v mio EUR)</w:t>
            </w:r>
          </w:p>
        </w:tc>
        <w:tc>
          <w:tcPr>
            <w:tcW w:w="1230" w:type="dxa"/>
            <w:shd w:val="clear" w:color="auto" w:fill="B4C6E7" w:themeFill="accent5" w:themeFillTint="66"/>
            <w:hideMark/>
          </w:tcPr>
          <w:p w14:paraId="6D65D9BA" w14:textId="77777777" w:rsidR="005A48F1" w:rsidRPr="00BD4849" w:rsidRDefault="005A48F1" w:rsidP="009F141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18"/>
                <w:szCs w:val="18"/>
                <w:lang w:eastAsia="sl-SI"/>
              </w:rPr>
            </w:pPr>
            <w:r w:rsidRPr="00BD4849">
              <w:rPr>
                <w:rFonts w:ascii="Arial" w:eastAsia="Times New Roman" w:hAnsi="Arial" w:cs="Arial"/>
                <w:b w:val="0"/>
                <w:bCs w:val="0"/>
                <w:color w:val="auto"/>
                <w:sz w:val="18"/>
                <w:szCs w:val="18"/>
                <w:lang w:eastAsia="sl-SI"/>
              </w:rPr>
              <w:t>2022 (stopnja spremembe)</w:t>
            </w:r>
          </w:p>
        </w:tc>
        <w:tc>
          <w:tcPr>
            <w:tcW w:w="1230" w:type="dxa"/>
            <w:shd w:val="clear" w:color="auto" w:fill="B4C6E7" w:themeFill="accent5" w:themeFillTint="66"/>
            <w:hideMark/>
          </w:tcPr>
          <w:p w14:paraId="775EA3B0" w14:textId="77777777" w:rsidR="005A48F1" w:rsidRPr="00BD4849" w:rsidRDefault="005A48F1" w:rsidP="009F141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18"/>
                <w:szCs w:val="18"/>
                <w:lang w:eastAsia="sl-SI"/>
              </w:rPr>
            </w:pPr>
            <w:r w:rsidRPr="00BD4849">
              <w:rPr>
                <w:rFonts w:ascii="Arial" w:eastAsia="Times New Roman" w:hAnsi="Arial" w:cs="Arial"/>
                <w:b w:val="0"/>
                <w:bCs w:val="0"/>
                <w:color w:val="auto"/>
                <w:sz w:val="18"/>
                <w:szCs w:val="18"/>
                <w:lang w:eastAsia="sl-SI"/>
              </w:rPr>
              <w:t>2023 (stopnja spremembe)</w:t>
            </w:r>
          </w:p>
        </w:tc>
        <w:tc>
          <w:tcPr>
            <w:tcW w:w="1231" w:type="dxa"/>
            <w:shd w:val="clear" w:color="auto" w:fill="B4C6E7" w:themeFill="accent5" w:themeFillTint="66"/>
            <w:hideMark/>
          </w:tcPr>
          <w:p w14:paraId="04BA7F2B" w14:textId="77777777" w:rsidR="005A48F1" w:rsidRPr="00BD4849" w:rsidRDefault="005A48F1" w:rsidP="009F141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18"/>
                <w:szCs w:val="18"/>
                <w:lang w:eastAsia="sl-SI"/>
              </w:rPr>
            </w:pPr>
            <w:r w:rsidRPr="00BD4849">
              <w:rPr>
                <w:rFonts w:ascii="Arial" w:eastAsia="Times New Roman" w:hAnsi="Arial" w:cs="Arial"/>
                <w:b w:val="0"/>
                <w:bCs w:val="0"/>
                <w:color w:val="auto"/>
                <w:sz w:val="18"/>
                <w:szCs w:val="18"/>
                <w:lang w:eastAsia="sl-SI"/>
              </w:rPr>
              <w:t>2024 (stopnja spremembe)</w:t>
            </w:r>
          </w:p>
        </w:tc>
      </w:tr>
      <w:tr w:rsidR="005A48F1" w:rsidRPr="00BD4849" w14:paraId="0840E5F8"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hideMark/>
          </w:tcPr>
          <w:p w14:paraId="6DC54EFF"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1. Realni BDP</w:t>
            </w:r>
          </w:p>
        </w:tc>
        <w:tc>
          <w:tcPr>
            <w:tcW w:w="850" w:type="dxa"/>
            <w:hideMark/>
          </w:tcPr>
          <w:p w14:paraId="45747850"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B1*g</w:t>
            </w:r>
          </w:p>
        </w:tc>
        <w:tc>
          <w:tcPr>
            <w:tcW w:w="1134" w:type="dxa"/>
            <w:noWrap/>
            <w:hideMark/>
          </w:tcPr>
          <w:p w14:paraId="20386038"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53.565</w:t>
            </w:r>
          </w:p>
        </w:tc>
        <w:tc>
          <w:tcPr>
            <w:tcW w:w="1230" w:type="dxa"/>
            <w:noWrap/>
            <w:hideMark/>
          </w:tcPr>
          <w:p w14:paraId="2DCFFEF0"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2,5</w:t>
            </w:r>
          </w:p>
        </w:tc>
        <w:tc>
          <w:tcPr>
            <w:tcW w:w="1230" w:type="dxa"/>
            <w:noWrap/>
            <w:hideMark/>
          </w:tcPr>
          <w:p w14:paraId="1F7418AD"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1,6</w:t>
            </w:r>
          </w:p>
        </w:tc>
        <w:tc>
          <w:tcPr>
            <w:tcW w:w="1231" w:type="dxa"/>
            <w:noWrap/>
            <w:hideMark/>
          </w:tcPr>
          <w:p w14:paraId="43E3765F"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2,8</w:t>
            </w:r>
          </w:p>
        </w:tc>
      </w:tr>
      <w:tr w:rsidR="005A48F1" w:rsidRPr="00BD4849" w14:paraId="5DEA4D8D" w14:textId="77777777" w:rsidTr="009F1410">
        <w:trPr>
          <w:trHeight w:val="300"/>
        </w:trPr>
        <w:tc>
          <w:tcPr>
            <w:cnfStyle w:val="001000000000" w:firstRow="0" w:lastRow="0" w:firstColumn="1" w:lastColumn="0" w:oddVBand="0" w:evenVBand="0" w:oddHBand="0" w:evenHBand="0" w:firstRowFirstColumn="0" w:firstRowLastColumn="0" w:lastRowFirstColumn="0" w:lastRowLastColumn="0"/>
            <w:tcW w:w="3681" w:type="dxa"/>
            <w:hideMark/>
          </w:tcPr>
          <w:p w14:paraId="3CC30B33"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Od tega:</w:t>
            </w:r>
          </w:p>
        </w:tc>
        <w:tc>
          <w:tcPr>
            <w:tcW w:w="850" w:type="dxa"/>
            <w:hideMark/>
          </w:tcPr>
          <w:p w14:paraId="21916E88"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1134" w:type="dxa"/>
            <w:noWrap/>
            <w:hideMark/>
          </w:tcPr>
          <w:p w14:paraId="634A2A6D"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1230" w:type="dxa"/>
            <w:noWrap/>
            <w:hideMark/>
          </w:tcPr>
          <w:p w14:paraId="2F4A7B54"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1230" w:type="dxa"/>
            <w:noWrap/>
            <w:hideMark/>
          </w:tcPr>
          <w:p w14:paraId="576A164A"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1231" w:type="dxa"/>
            <w:noWrap/>
            <w:hideMark/>
          </w:tcPr>
          <w:p w14:paraId="1BE5E762"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r>
      <w:tr w:rsidR="005A48F1" w:rsidRPr="00BD4849" w14:paraId="7E3852A7"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531" w:type="dxa"/>
            <w:gridSpan w:val="2"/>
            <w:hideMark/>
          </w:tcPr>
          <w:p w14:paraId="00AE07D9"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 se pripišejo k ocenjenemu vplivu skupnih proračunskih ukrepov za gospodarsko rast</w:t>
            </w:r>
          </w:p>
          <w:p w14:paraId="2F6FB958"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 </w:t>
            </w:r>
          </w:p>
        </w:tc>
        <w:tc>
          <w:tcPr>
            <w:tcW w:w="1134" w:type="dxa"/>
            <w:noWrap/>
            <w:hideMark/>
          </w:tcPr>
          <w:p w14:paraId="6C263092"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p>
        </w:tc>
        <w:tc>
          <w:tcPr>
            <w:tcW w:w="1230" w:type="dxa"/>
            <w:noWrap/>
            <w:hideMark/>
          </w:tcPr>
          <w:p w14:paraId="102240F3"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p>
        </w:tc>
        <w:tc>
          <w:tcPr>
            <w:tcW w:w="1230" w:type="dxa"/>
            <w:noWrap/>
            <w:hideMark/>
          </w:tcPr>
          <w:p w14:paraId="0D22555D"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p>
        </w:tc>
        <w:tc>
          <w:tcPr>
            <w:tcW w:w="1231" w:type="dxa"/>
            <w:noWrap/>
            <w:hideMark/>
          </w:tcPr>
          <w:p w14:paraId="79319544"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p>
        </w:tc>
      </w:tr>
      <w:tr w:rsidR="005A48F1" w:rsidRPr="00BD4849" w14:paraId="63F30178" w14:textId="77777777" w:rsidTr="009F1410">
        <w:trPr>
          <w:trHeight w:val="300"/>
        </w:trPr>
        <w:tc>
          <w:tcPr>
            <w:cnfStyle w:val="001000000000" w:firstRow="0" w:lastRow="0" w:firstColumn="1" w:lastColumn="0" w:oddVBand="0" w:evenVBand="0" w:oddHBand="0" w:evenHBand="0" w:firstRowFirstColumn="0" w:firstRowLastColumn="0" w:lastRowFirstColumn="0" w:lastRowLastColumn="0"/>
            <w:tcW w:w="3681" w:type="dxa"/>
            <w:hideMark/>
          </w:tcPr>
          <w:p w14:paraId="51C7C1BC"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2. Potencialni BDP</w:t>
            </w:r>
          </w:p>
        </w:tc>
        <w:tc>
          <w:tcPr>
            <w:tcW w:w="850" w:type="dxa"/>
            <w:hideMark/>
          </w:tcPr>
          <w:p w14:paraId="776026E1"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1134" w:type="dxa"/>
            <w:noWrap/>
          </w:tcPr>
          <w:p w14:paraId="3EC080EC"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47.445</w:t>
            </w:r>
          </w:p>
        </w:tc>
        <w:tc>
          <w:tcPr>
            <w:tcW w:w="1230" w:type="dxa"/>
            <w:noWrap/>
          </w:tcPr>
          <w:p w14:paraId="7A1EA8E2"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2,5</w:t>
            </w:r>
          </w:p>
        </w:tc>
        <w:tc>
          <w:tcPr>
            <w:tcW w:w="1230" w:type="dxa"/>
            <w:noWrap/>
          </w:tcPr>
          <w:p w14:paraId="0541ED6D"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2,8</w:t>
            </w:r>
          </w:p>
        </w:tc>
        <w:tc>
          <w:tcPr>
            <w:tcW w:w="1231" w:type="dxa"/>
            <w:noWrap/>
          </w:tcPr>
          <w:p w14:paraId="4D3E23DF"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2,8</w:t>
            </w:r>
          </w:p>
        </w:tc>
      </w:tr>
      <w:tr w:rsidR="005A48F1" w:rsidRPr="00BD4849" w14:paraId="5D2EC585"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hideMark/>
          </w:tcPr>
          <w:p w14:paraId="7C8C422A"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Prispevki:</w:t>
            </w:r>
          </w:p>
        </w:tc>
        <w:tc>
          <w:tcPr>
            <w:tcW w:w="850" w:type="dxa"/>
            <w:hideMark/>
          </w:tcPr>
          <w:p w14:paraId="2BD342D7"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1134" w:type="dxa"/>
            <w:noWrap/>
          </w:tcPr>
          <w:p w14:paraId="62B7F610"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p>
        </w:tc>
        <w:tc>
          <w:tcPr>
            <w:tcW w:w="1230" w:type="dxa"/>
            <w:noWrap/>
          </w:tcPr>
          <w:p w14:paraId="4667BA59"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p>
        </w:tc>
        <w:tc>
          <w:tcPr>
            <w:tcW w:w="1230" w:type="dxa"/>
            <w:noWrap/>
          </w:tcPr>
          <w:p w14:paraId="1464CFD0"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p>
        </w:tc>
        <w:tc>
          <w:tcPr>
            <w:tcW w:w="1231" w:type="dxa"/>
            <w:noWrap/>
          </w:tcPr>
          <w:p w14:paraId="7A850C1E"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p>
        </w:tc>
      </w:tr>
      <w:tr w:rsidR="005A48F1" w:rsidRPr="00BD4849" w14:paraId="734E1F03" w14:textId="77777777" w:rsidTr="009F1410">
        <w:trPr>
          <w:trHeight w:val="300"/>
        </w:trPr>
        <w:tc>
          <w:tcPr>
            <w:cnfStyle w:val="001000000000" w:firstRow="0" w:lastRow="0" w:firstColumn="1" w:lastColumn="0" w:oddVBand="0" w:evenVBand="0" w:oddHBand="0" w:evenHBand="0" w:firstRowFirstColumn="0" w:firstRowLastColumn="0" w:lastRowFirstColumn="0" w:lastRowLastColumn="0"/>
            <w:tcW w:w="3681" w:type="dxa"/>
          </w:tcPr>
          <w:p w14:paraId="665C6B70" w14:textId="77777777" w:rsidR="005A48F1" w:rsidRPr="00BD4849" w:rsidRDefault="005A48F1" w:rsidP="005A48F1">
            <w:pPr>
              <w:pStyle w:val="ListParagraph"/>
              <w:numPr>
                <w:ilvl w:val="0"/>
                <w:numId w:val="28"/>
              </w:numPr>
              <w:jc w:val="left"/>
              <w:rPr>
                <w:rFonts w:eastAsia="Times New Roman" w:cs="Arial"/>
                <w:b w:val="0"/>
                <w:bCs w:val="0"/>
                <w:i/>
                <w:iCs/>
                <w:sz w:val="20"/>
                <w:szCs w:val="20"/>
                <w:lang w:eastAsia="sl-SI"/>
              </w:rPr>
            </w:pPr>
            <w:r w:rsidRPr="00BD4849">
              <w:rPr>
                <w:rFonts w:eastAsia="Times New Roman" w:cs="Arial"/>
                <w:b w:val="0"/>
                <w:bCs w:val="0"/>
                <w:i/>
                <w:iCs/>
                <w:sz w:val="20"/>
                <w:szCs w:val="20"/>
                <w:lang w:eastAsia="sl-SI"/>
              </w:rPr>
              <w:t>Delo</w:t>
            </w:r>
          </w:p>
        </w:tc>
        <w:tc>
          <w:tcPr>
            <w:tcW w:w="850" w:type="dxa"/>
            <w:hideMark/>
          </w:tcPr>
          <w:p w14:paraId="029285A7"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1134" w:type="dxa"/>
            <w:noWrap/>
          </w:tcPr>
          <w:p w14:paraId="4A1E029A"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p>
        </w:tc>
        <w:tc>
          <w:tcPr>
            <w:tcW w:w="1230" w:type="dxa"/>
            <w:noWrap/>
          </w:tcPr>
          <w:p w14:paraId="7C56AADB"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0,7</w:t>
            </w:r>
          </w:p>
        </w:tc>
        <w:tc>
          <w:tcPr>
            <w:tcW w:w="1230" w:type="dxa"/>
            <w:noWrap/>
          </w:tcPr>
          <w:p w14:paraId="23E58D65"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0,9</w:t>
            </w:r>
          </w:p>
        </w:tc>
        <w:tc>
          <w:tcPr>
            <w:tcW w:w="1231" w:type="dxa"/>
            <w:noWrap/>
          </w:tcPr>
          <w:p w14:paraId="386E1CA8"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0,8</w:t>
            </w:r>
          </w:p>
        </w:tc>
      </w:tr>
      <w:tr w:rsidR="005A48F1" w:rsidRPr="00BD4849" w14:paraId="2CBF2CBA"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tcPr>
          <w:p w14:paraId="1708A8F5" w14:textId="77777777" w:rsidR="005A48F1" w:rsidRPr="00BD4849" w:rsidRDefault="005A48F1" w:rsidP="005A48F1">
            <w:pPr>
              <w:pStyle w:val="ListParagraph"/>
              <w:numPr>
                <w:ilvl w:val="0"/>
                <w:numId w:val="28"/>
              </w:numPr>
              <w:jc w:val="left"/>
              <w:rPr>
                <w:rFonts w:eastAsia="Times New Roman" w:cs="Arial"/>
                <w:b w:val="0"/>
                <w:bCs w:val="0"/>
                <w:i/>
                <w:iCs/>
                <w:sz w:val="20"/>
                <w:szCs w:val="20"/>
                <w:lang w:eastAsia="sl-SI"/>
              </w:rPr>
            </w:pPr>
            <w:r w:rsidRPr="00BD4849">
              <w:rPr>
                <w:rFonts w:eastAsia="Times New Roman" w:cs="Arial"/>
                <w:b w:val="0"/>
                <w:bCs w:val="0"/>
                <w:i/>
                <w:iCs/>
                <w:sz w:val="20"/>
                <w:szCs w:val="20"/>
                <w:lang w:eastAsia="sl-SI"/>
              </w:rPr>
              <w:t>Kapital</w:t>
            </w:r>
          </w:p>
        </w:tc>
        <w:tc>
          <w:tcPr>
            <w:tcW w:w="850" w:type="dxa"/>
            <w:hideMark/>
          </w:tcPr>
          <w:p w14:paraId="42468403"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1134" w:type="dxa"/>
            <w:noWrap/>
          </w:tcPr>
          <w:p w14:paraId="26434C18"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p>
        </w:tc>
        <w:tc>
          <w:tcPr>
            <w:tcW w:w="1230" w:type="dxa"/>
            <w:noWrap/>
          </w:tcPr>
          <w:p w14:paraId="7ECB08DC"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0,7</w:t>
            </w:r>
          </w:p>
        </w:tc>
        <w:tc>
          <w:tcPr>
            <w:tcW w:w="1230" w:type="dxa"/>
            <w:noWrap/>
          </w:tcPr>
          <w:p w14:paraId="4E1FDF73"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0,8</w:t>
            </w:r>
          </w:p>
        </w:tc>
        <w:tc>
          <w:tcPr>
            <w:tcW w:w="1231" w:type="dxa"/>
            <w:noWrap/>
          </w:tcPr>
          <w:p w14:paraId="37CC1E9D"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0,9</w:t>
            </w:r>
          </w:p>
        </w:tc>
      </w:tr>
      <w:tr w:rsidR="005A48F1" w:rsidRPr="00BD4849" w14:paraId="08215F9F" w14:textId="77777777" w:rsidTr="009F1410">
        <w:trPr>
          <w:trHeight w:val="300"/>
        </w:trPr>
        <w:tc>
          <w:tcPr>
            <w:cnfStyle w:val="001000000000" w:firstRow="0" w:lastRow="0" w:firstColumn="1" w:lastColumn="0" w:oddVBand="0" w:evenVBand="0" w:oddHBand="0" w:evenHBand="0" w:firstRowFirstColumn="0" w:firstRowLastColumn="0" w:lastRowFirstColumn="0" w:lastRowLastColumn="0"/>
            <w:tcW w:w="3681" w:type="dxa"/>
          </w:tcPr>
          <w:p w14:paraId="3D239E2F" w14:textId="77777777" w:rsidR="005A48F1" w:rsidRPr="00BD4849" w:rsidRDefault="005A48F1" w:rsidP="005A48F1">
            <w:pPr>
              <w:pStyle w:val="ListParagraph"/>
              <w:numPr>
                <w:ilvl w:val="0"/>
                <w:numId w:val="28"/>
              </w:numPr>
              <w:jc w:val="left"/>
              <w:rPr>
                <w:rFonts w:eastAsia="Times New Roman" w:cs="Arial"/>
                <w:b w:val="0"/>
                <w:bCs w:val="0"/>
                <w:i/>
                <w:iCs/>
                <w:sz w:val="20"/>
                <w:szCs w:val="20"/>
                <w:lang w:eastAsia="sl-SI"/>
              </w:rPr>
            </w:pPr>
            <w:r w:rsidRPr="00BD4849">
              <w:rPr>
                <w:rFonts w:eastAsia="Times New Roman" w:cs="Arial"/>
                <w:b w:val="0"/>
                <w:bCs w:val="0"/>
                <w:i/>
                <w:iCs/>
                <w:sz w:val="20"/>
                <w:szCs w:val="20"/>
                <w:lang w:eastAsia="sl-SI"/>
              </w:rPr>
              <w:t>Skupna faktorska produktivnost</w:t>
            </w:r>
          </w:p>
        </w:tc>
        <w:tc>
          <w:tcPr>
            <w:tcW w:w="850" w:type="dxa"/>
            <w:hideMark/>
          </w:tcPr>
          <w:p w14:paraId="1A7836E9"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1134" w:type="dxa"/>
            <w:noWrap/>
          </w:tcPr>
          <w:p w14:paraId="10DF4736"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p>
        </w:tc>
        <w:tc>
          <w:tcPr>
            <w:tcW w:w="1230" w:type="dxa"/>
            <w:noWrap/>
          </w:tcPr>
          <w:p w14:paraId="60BBAFCB"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1,1</w:t>
            </w:r>
          </w:p>
        </w:tc>
        <w:tc>
          <w:tcPr>
            <w:tcW w:w="1230" w:type="dxa"/>
            <w:noWrap/>
          </w:tcPr>
          <w:p w14:paraId="1B53DC09"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1,1</w:t>
            </w:r>
          </w:p>
        </w:tc>
        <w:tc>
          <w:tcPr>
            <w:tcW w:w="1231" w:type="dxa"/>
            <w:noWrap/>
          </w:tcPr>
          <w:p w14:paraId="7B2CFE36"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1,1</w:t>
            </w:r>
          </w:p>
        </w:tc>
      </w:tr>
      <w:tr w:rsidR="005A48F1" w:rsidRPr="00BD4849" w14:paraId="602DA3F1"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hideMark/>
          </w:tcPr>
          <w:p w14:paraId="035E0FF0"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3. Nominalni BDP</w:t>
            </w:r>
          </w:p>
        </w:tc>
        <w:tc>
          <w:tcPr>
            <w:tcW w:w="850" w:type="dxa"/>
            <w:hideMark/>
          </w:tcPr>
          <w:p w14:paraId="4A960E01"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B1*g</w:t>
            </w:r>
          </w:p>
        </w:tc>
        <w:tc>
          <w:tcPr>
            <w:tcW w:w="1134" w:type="dxa"/>
            <w:noWrap/>
            <w:hideMark/>
          </w:tcPr>
          <w:p w14:paraId="79A40F75"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57.038</w:t>
            </w:r>
          </w:p>
        </w:tc>
        <w:tc>
          <w:tcPr>
            <w:tcW w:w="1230" w:type="dxa"/>
            <w:noWrap/>
            <w:hideMark/>
          </w:tcPr>
          <w:p w14:paraId="25F1E634"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9,1</w:t>
            </w:r>
          </w:p>
        </w:tc>
        <w:tc>
          <w:tcPr>
            <w:tcW w:w="1230" w:type="dxa"/>
            <w:noWrap/>
            <w:hideMark/>
          </w:tcPr>
          <w:p w14:paraId="4C19258B"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10,4</w:t>
            </w:r>
          </w:p>
        </w:tc>
        <w:tc>
          <w:tcPr>
            <w:tcW w:w="1231" w:type="dxa"/>
            <w:noWrap/>
            <w:hideMark/>
          </w:tcPr>
          <w:p w14:paraId="7BC2185D"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6,9</w:t>
            </w:r>
          </w:p>
        </w:tc>
      </w:tr>
      <w:tr w:rsidR="005A48F1" w:rsidRPr="00BD4849" w14:paraId="5A59223F" w14:textId="77777777" w:rsidTr="009F1410">
        <w:trPr>
          <w:trHeight w:val="300"/>
        </w:trPr>
        <w:tc>
          <w:tcPr>
            <w:cnfStyle w:val="001000000000" w:firstRow="0" w:lastRow="0" w:firstColumn="1" w:lastColumn="0" w:oddVBand="0" w:evenVBand="0" w:oddHBand="0" w:evenHBand="0" w:firstRowFirstColumn="0" w:firstRowLastColumn="0" w:lastRowFirstColumn="0" w:lastRowLastColumn="0"/>
            <w:tcW w:w="3681" w:type="dxa"/>
            <w:hideMark/>
          </w:tcPr>
          <w:p w14:paraId="51F72DA4"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Komponente realnega BDP:</w:t>
            </w:r>
          </w:p>
        </w:tc>
        <w:tc>
          <w:tcPr>
            <w:tcW w:w="850" w:type="dxa"/>
            <w:hideMark/>
          </w:tcPr>
          <w:p w14:paraId="129EC54C"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1134" w:type="dxa"/>
            <w:noWrap/>
            <w:hideMark/>
          </w:tcPr>
          <w:p w14:paraId="7003AA7B"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1230" w:type="dxa"/>
            <w:noWrap/>
            <w:hideMark/>
          </w:tcPr>
          <w:p w14:paraId="57B02186"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1230" w:type="dxa"/>
            <w:noWrap/>
            <w:hideMark/>
          </w:tcPr>
          <w:p w14:paraId="1B0300CD"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1231" w:type="dxa"/>
            <w:noWrap/>
            <w:hideMark/>
          </w:tcPr>
          <w:p w14:paraId="5D427A42"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r>
      <w:tr w:rsidR="005A48F1" w:rsidRPr="00BD4849" w14:paraId="41B023A2"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hideMark/>
          </w:tcPr>
          <w:p w14:paraId="2883B6C9"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4. Zasebna potrošnja</w:t>
            </w:r>
          </w:p>
        </w:tc>
        <w:tc>
          <w:tcPr>
            <w:tcW w:w="850" w:type="dxa"/>
            <w:hideMark/>
          </w:tcPr>
          <w:p w14:paraId="60080613"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P.3</w:t>
            </w:r>
          </w:p>
        </w:tc>
        <w:tc>
          <w:tcPr>
            <w:tcW w:w="1134" w:type="dxa"/>
            <w:noWrap/>
            <w:hideMark/>
          </w:tcPr>
          <w:p w14:paraId="2EDDE490"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30.787</w:t>
            </w:r>
          </w:p>
        </w:tc>
        <w:tc>
          <w:tcPr>
            <w:tcW w:w="1230" w:type="dxa"/>
            <w:noWrap/>
            <w:hideMark/>
          </w:tcPr>
          <w:p w14:paraId="1196441A"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3,6</w:t>
            </w:r>
          </w:p>
        </w:tc>
        <w:tc>
          <w:tcPr>
            <w:tcW w:w="1230" w:type="dxa"/>
            <w:noWrap/>
            <w:hideMark/>
          </w:tcPr>
          <w:p w14:paraId="4CBF607A"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0,9</w:t>
            </w:r>
          </w:p>
        </w:tc>
        <w:tc>
          <w:tcPr>
            <w:tcW w:w="1231" w:type="dxa"/>
            <w:noWrap/>
            <w:hideMark/>
          </w:tcPr>
          <w:p w14:paraId="64E509A6"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2,3</w:t>
            </w:r>
          </w:p>
        </w:tc>
      </w:tr>
      <w:tr w:rsidR="005A48F1" w:rsidRPr="00BD4849" w14:paraId="33FB4FED" w14:textId="77777777" w:rsidTr="009F1410">
        <w:trPr>
          <w:trHeight w:val="300"/>
        </w:trPr>
        <w:tc>
          <w:tcPr>
            <w:cnfStyle w:val="001000000000" w:firstRow="0" w:lastRow="0" w:firstColumn="1" w:lastColumn="0" w:oddVBand="0" w:evenVBand="0" w:oddHBand="0" w:evenHBand="0" w:firstRowFirstColumn="0" w:firstRowLastColumn="0" w:lastRowFirstColumn="0" w:lastRowLastColumn="0"/>
            <w:tcW w:w="3681" w:type="dxa"/>
            <w:hideMark/>
          </w:tcPr>
          <w:p w14:paraId="1D53E122"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5. Končna potrošnja države</w:t>
            </w:r>
          </w:p>
        </w:tc>
        <w:tc>
          <w:tcPr>
            <w:tcW w:w="850" w:type="dxa"/>
            <w:hideMark/>
          </w:tcPr>
          <w:p w14:paraId="35F0A2AE"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P.3</w:t>
            </w:r>
          </w:p>
        </w:tc>
        <w:tc>
          <w:tcPr>
            <w:tcW w:w="1134" w:type="dxa"/>
            <w:noWrap/>
            <w:hideMark/>
          </w:tcPr>
          <w:p w14:paraId="6B9DB211"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11.109</w:t>
            </w:r>
          </w:p>
        </w:tc>
        <w:tc>
          <w:tcPr>
            <w:tcW w:w="1230" w:type="dxa"/>
            <w:noWrap/>
            <w:hideMark/>
          </w:tcPr>
          <w:p w14:paraId="1BC5339C"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-0,5</w:t>
            </w:r>
          </w:p>
        </w:tc>
        <w:tc>
          <w:tcPr>
            <w:tcW w:w="1230" w:type="dxa"/>
            <w:noWrap/>
            <w:hideMark/>
          </w:tcPr>
          <w:p w14:paraId="77599DD8"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1,4</w:t>
            </w:r>
          </w:p>
        </w:tc>
        <w:tc>
          <w:tcPr>
            <w:tcW w:w="1231" w:type="dxa"/>
            <w:noWrap/>
            <w:hideMark/>
          </w:tcPr>
          <w:p w14:paraId="44094DD2"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1,9</w:t>
            </w:r>
          </w:p>
        </w:tc>
      </w:tr>
      <w:tr w:rsidR="005A48F1" w:rsidRPr="00BD4849" w14:paraId="356E2B15"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hideMark/>
          </w:tcPr>
          <w:p w14:paraId="4B35FA62"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6. Bruto investicije v osnovna sredstva</w:t>
            </w:r>
          </w:p>
        </w:tc>
        <w:tc>
          <w:tcPr>
            <w:tcW w:w="850" w:type="dxa"/>
            <w:hideMark/>
          </w:tcPr>
          <w:p w14:paraId="70D35FC9"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P.51</w:t>
            </w:r>
          </w:p>
        </w:tc>
        <w:tc>
          <w:tcPr>
            <w:tcW w:w="1134" w:type="dxa"/>
            <w:noWrap/>
            <w:hideMark/>
          </w:tcPr>
          <w:p w14:paraId="780E8838"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12.330</w:t>
            </w:r>
          </w:p>
        </w:tc>
        <w:tc>
          <w:tcPr>
            <w:tcW w:w="1230" w:type="dxa"/>
            <w:noWrap/>
            <w:hideMark/>
          </w:tcPr>
          <w:p w14:paraId="608CC341"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3,5</w:t>
            </w:r>
          </w:p>
        </w:tc>
        <w:tc>
          <w:tcPr>
            <w:tcW w:w="1230" w:type="dxa"/>
            <w:noWrap/>
            <w:hideMark/>
          </w:tcPr>
          <w:p w14:paraId="132B78A5"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4,5</w:t>
            </w:r>
          </w:p>
        </w:tc>
        <w:tc>
          <w:tcPr>
            <w:tcW w:w="1231" w:type="dxa"/>
            <w:noWrap/>
            <w:hideMark/>
          </w:tcPr>
          <w:p w14:paraId="05C0183A"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5,5</w:t>
            </w:r>
          </w:p>
        </w:tc>
      </w:tr>
      <w:tr w:rsidR="005A48F1" w:rsidRPr="00BD4849" w14:paraId="38EF2DDE" w14:textId="77777777" w:rsidTr="009F1410">
        <w:trPr>
          <w:trHeight w:val="300"/>
        </w:trPr>
        <w:tc>
          <w:tcPr>
            <w:cnfStyle w:val="001000000000" w:firstRow="0" w:lastRow="0" w:firstColumn="1" w:lastColumn="0" w:oddVBand="0" w:evenVBand="0" w:oddHBand="0" w:evenHBand="0" w:firstRowFirstColumn="0" w:firstRowLastColumn="0" w:lastRowFirstColumn="0" w:lastRowLastColumn="0"/>
            <w:tcW w:w="3681" w:type="dxa"/>
            <w:hideMark/>
          </w:tcPr>
          <w:p w14:paraId="5E779F71"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7. Spremembe zalog v vrednostni predmeti (v % BDP)</w:t>
            </w:r>
          </w:p>
        </w:tc>
        <w:tc>
          <w:tcPr>
            <w:tcW w:w="850" w:type="dxa"/>
            <w:hideMark/>
          </w:tcPr>
          <w:p w14:paraId="2E2C9196"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P.52 + P.53</w:t>
            </w:r>
          </w:p>
        </w:tc>
        <w:tc>
          <w:tcPr>
            <w:tcW w:w="1134" w:type="dxa"/>
            <w:noWrap/>
            <w:hideMark/>
          </w:tcPr>
          <w:p w14:paraId="7ED9F1AB"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1.520</w:t>
            </w:r>
          </w:p>
        </w:tc>
        <w:tc>
          <w:tcPr>
            <w:tcW w:w="1230" w:type="dxa"/>
            <w:noWrap/>
            <w:hideMark/>
          </w:tcPr>
          <w:p w14:paraId="0A192695"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2,7</w:t>
            </w:r>
          </w:p>
        </w:tc>
        <w:tc>
          <w:tcPr>
            <w:tcW w:w="1230" w:type="dxa"/>
            <w:noWrap/>
            <w:hideMark/>
          </w:tcPr>
          <w:p w14:paraId="01E9E68B"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-1,1</w:t>
            </w:r>
          </w:p>
        </w:tc>
        <w:tc>
          <w:tcPr>
            <w:tcW w:w="1231" w:type="dxa"/>
            <w:noWrap/>
            <w:hideMark/>
          </w:tcPr>
          <w:p w14:paraId="053E0FC2"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0,4</w:t>
            </w:r>
          </w:p>
        </w:tc>
      </w:tr>
      <w:tr w:rsidR="005A48F1" w:rsidRPr="00BD4849" w14:paraId="522A3711"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hideMark/>
          </w:tcPr>
          <w:p w14:paraId="4ABF6472"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8. Izvoz proizvodov in storitev</w:t>
            </w:r>
          </w:p>
        </w:tc>
        <w:tc>
          <w:tcPr>
            <w:tcW w:w="850" w:type="dxa"/>
            <w:hideMark/>
          </w:tcPr>
          <w:p w14:paraId="2B7D4CEC"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P.6</w:t>
            </w:r>
          </w:p>
        </w:tc>
        <w:tc>
          <w:tcPr>
            <w:tcW w:w="1134" w:type="dxa"/>
            <w:noWrap/>
            <w:hideMark/>
          </w:tcPr>
          <w:p w14:paraId="00FCB59B"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53.699</w:t>
            </w:r>
          </w:p>
        </w:tc>
        <w:tc>
          <w:tcPr>
            <w:tcW w:w="1230" w:type="dxa"/>
            <w:noWrap/>
            <w:hideMark/>
          </w:tcPr>
          <w:p w14:paraId="79CFB3CD"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7,2</w:t>
            </w:r>
          </w:p>
        </w:tc>
        <w:tc>
          <w:tcPr>
            <w:tcW w:w="1230" w:type="dxa"/>
            <w:noWrap/>
            <w:hideMark/>
          </w:tcPr>
          <w:p w14:paraId="3031BE07"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0,1</w:t>
            </w:r>
          </w:p>
        </w:tc>
        <w:tc>
          <w:tcPr>
            <w:tcW w:w="1231" w:type="dxa"/>
            <w:noWrap/>
            <w:hideMark/>
          </w:tcPr>
          <w:p w14:paraId="7F53EFFA"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3,3</w:t>
            </w:r>
          </w:p>
        </w:tc>
      </w:tr>
      <w:tr w:rsidR="005A48F1" w:rsidRPr="00BD4849" w14:paraId="683804DD" w14:textId="77777777" w:rsidTr="009F1410">
        <w:trPr>
          <w:trHeight w:val="300"/>
        </w:trPr>
        <w:tc>
          <w:tcPr>
            <w:cnfStyle w:val="001000000000" w:firstRow="0" w:lastRow="0" w:firstColumn="1" w:lastColumn="0" w:oddVBand="0" w:evenVBand="0" w:oddHBand="0" w:evenHBand="0" w:firstRowFirstColumn="0" w:firstRowLastColumn="0" w:lastRowFirstColumn="0" w:lastRowLastColumn="0"/>
            <w:tcW w:w="3681" w:type="dxa"/>
            <w:hideMark/>
          </w:tcPr>
          <w:p w14:paraId="388F5AB9"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9. Uvoz proizvodov in storitev</w:t>
            </w:r>
          </w:p>
        </w:tc>
        <w:tc>
          <w:tcPr>
            <w:tcW w:w="850" w:type="dxa"/>
            <w:hideMark/>
          </w:tcPr>
          <w:p w14:paraId="6E9832FC"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P.7</w:t>
            </w:r>
          </w:p>
        </w:tc>
        <w:tc>
          <w:tcPr>
            <w:tcW w:w="1134" w:type="dxa"/>
            <w:noWrap/>
            <w:hideMark/>
          </w:tcPr>
          <w:p w14:paraId="5FE8EE32"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52.407</w:t>
            </w:r>
          </w:p>
        </w:tc>
        <w:tc>
          <w:tcPr>
            <w:tcW w:w="1230" w:type="dxa"/>
            <w:noWrap/>
            <w:hideMark/>
          </w:tcPr>
          <w:p w14:paraId="0606EFBA"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9,0</w:t>
            </w:r>
          </w:p>
        </w:tc>
        <w:tc>
          <w:tcPr>
            <w:tcW w:w="1230" w:type="dxa"/>
            <w:noWrap/>
            <w:hideMark/>
          </w:tcPr>
          <w:p w14:paraId="532753D6"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-3,9</w:t>
            </w:r>
          </w:p>
        </w:tc>
        <w:tc>
          <w:tcPr>
            <w:tcW w:w="1231" w:type="dxa"/>
            <w:noWrap/>
            <w:hideMark/>
          </w:tcPr>
          <w:p w14:paraId="26C82B76"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5,3</w:t>
            </w:r>
          </w:p>
        </w:tc>
      </w:tr>
      <w:tr w:rsidR="005A48F1" w:rsidRPr="008F301B" w14:paraId="2C65EB1B"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hideMark/>
          </w:tcPr>
          <w:p w14:paraId="481F7890"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Prispevki k realni rasti BDP (v o.t.):</w:t>
            </w:r>
          </w:p>
        </w:tc>
        <w:tc>
          <w:tcPr>
            <w:tcW w:w="850" w:type="dxa"/>
            <w:hideMark/>
          </w:tcPr>
          <w:p w14:paraId="7A6103D3"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1134" w:type="dxa"/>
            <w:noWrap/>
            <w:hideMark/>
          </w:tcPr>
          <w:p w14:paraId="76DCBBD9"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1230" w:type="dxa"/>
            <w:noWrap/>
            <w:hideMark/>
          </w:tcPr>
          <w:p w14:paraId="0D1F59F6"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1230" w:type="dxa"/>
            <w:noWrap/>
            <w:hideMark/>
          </w:tcPr>
          <w:p w14:paraId="06CAFC07"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1231" w:type="dxa"/>
            <w:noWrap/>
            <w:hideMark/>
          </w:tcPr>
          <w:p w14:paraId="34333ADC"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r>
      <w:tr w:rsidR="005A48F1" w:rsidRPr="00BD4849" w14:paraId="365BA5C2" w14:textId="77777777" w:rsidTr="009F1410">
        <w:trPr>
          <w:trHeight w:val="300"/>
        </w:trPr>
        <w:tc>
          <w:tcPr>
            <w:cnfStyle w:val="001000000000" w:firstRow="0" w:lastRow="0" w:firstColumn="1" w:lastColumn="0" w:oddVBand="0" w:evenVBand="0" w:oddHBand="0" w:evenHBand="0" w:firstRowFirstColumn="0" w:firstRowLastColumn="0" w:lastRowFirstColumn="0" w:lastRowLastColumn="0"/>
            <w:tcW w:w="3681" w:type="dxa"/>
            <w:hideMark/>
          </w:tcPr>
          <w:p w14:paraId="5CF934D6"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10. Domača potrošnja</w:t>
            </w:r>
          </w:p>
        </w:tc>
        <w:tc>
          <w:tcPr>
            <w:tcW w:w="850" w:type="dxa"/>
            <w:hideMark/>
          </w:tcPr>
          <w:p w14:paraId="5F6CE143"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1134" w:type="dxa"/>
            <w:noWrap/>
            <w:hideMark/>
          </w:tcPr>
          <w:p w14:paraId="6F0ABA47"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54.226</w:t>
            </w:r>
          </w:p>
        </w:tc>
        <w:tc>
          <w:tcPr>
            <w:tcW w:w="1230" w:type="dxa"/>
            <w:noWrap/>
            <w:hideMark/>
          </w:tcPr>
          <w:p w14:paraId="09992810"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2,5</w:t>
            </w:r>
          </w:p>
        </w:tc>
        <w:tc>
          <w:tcPr>
            <w:tcW w:w="1230" w:type="dxa"/>
            <w:noWrap/>
            <w:hideMark/>
          </w:tcPr>
          <w:p w14:paraId="53A2A170"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1,7</w:t>
            </w:r>
          </w:p>
        </w:tc>
        <w:tc>
          <w:tcPr>
            <w:tcW w:w="1231" w:type="dxa"/>
            <w:noWrap/>
            <w:hideMark/>
          </w:tcPr>
          <w:p w14:paraId="2118254C"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2,9</w:t>
            </w:r>
          </w:p>
        </w:tc>
      </w:tr>
      <w:tr w:rsidR="005A48F1" w:rsidRPr="00BD4849" w14:paraId="42517621"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hideMark/>
          </w:tcPr>
          <w:p w14:paraId="74F2D273"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11. v tem: spremembe zalog in vrednostni predmeti</w:t>
            </w:r>
          </w:p>
        </w:tc>
        <w:tc>
          <w:tcPr>
            <w:tcW w:w="850" w:type="dxa"/>
            <w:hideMark/>
          </w:tcPr>
          <w:p w14:paraId="228070DA"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P.52+ P.53</w:t>
            </w:r>
          </w:p>
        </w:tc>
        <w:tc>
          <w:tcPr>
            <w:tcW w:w="1134" w:type="dxa"/>
            <w:noWrap/>
            <w:hideMark/>
          </w:tcPr>
          <w:p w14:paraId="34762467"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1.520</w:t>
            </w:r>
          </w:p>
        </w:tc>
        <w:tc>
          <w:tcPr>
            <w:tcW w:w="1230" w:type="dxa"/>
            <w:noWrap/>
            <w:hideMark/>
          </w:tcPr>
          <w:p w14:paraId="335F48A7"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1,0</w:t>
            </w:r>
          </w:p>
        </w:tc>
        <w:tc>
          <w:tcPr>
            <w:tcW w:w="1230" w:type="dxa"/>
            <w:noWrap/>
            <w:hideMark/>
          </w:tcPr>
          <w:p w14:paraId="69730236"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-3,8</w:t>
            </w:r>
          </w:p>
        </w:tc>
        <w:tc>
          <w:tcPr>
            <w:tcW w:w="1231" w:type="dxa"/>
            <w:noWrap/>
            <w:hideMark/>
          </w:tcPr>
          <w:p w14:paraId="7C28BFC2"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1,5</w:t>
            </w:r>
          </w:p>
        </w:tc>
      </w:tr>
      <w:tr w:rsidR="005A48F1" w:rsidRPr="00BD4849" w14:paraId="3CEF284E" w14:textId="77777777" w:rsidTr="009F1410">
        <w:trPr>
          <w:trHeight w:val="300"/>
        </w:trPr>
        <w:tc>
          <w:tcPr>
            <w:cnfStyle w:val="001000000000" w:firstRow="0" w:lastRow="0" w:firstColumn="1" w:lastColumn="0" w:oddVBand="0" w:evenVBand="0" w:oddHBand="0" w:evenHBand="0" w:firstRowFirstColumn="0" w:firstRowLastColumn="0" w:lastRowFirstColumn="0" w:lastRowLastColumn="0"/>
            <w:tcW w:w="3681" w:type="dxa"/>
            <w:hideMark/>
          </w:tcPr>
          <w:p w14:paraId="4A2DA52E"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12. Saldo izvoza in uvoza proizvodov in storitev</w:t>
            </w:r>
          </w:p>
        </w:tc>
        <w:tc>
          <w:tcPr>
            <w:tcW w:w="850" w:type="dxa"/>
            <w:hideMark/>
          </w:tcPr>
          <w:p w14:paraId="5426C3B4"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B.11</w:t>
            </w:r>
          </w:p>
        </w:tc>
        <w:tc>
          <w:tcPr>
            <w:tcW w:w="1134" w:type="dxa"/>
            <w:noWrap/>
            <w:hideMark/>
          </w:tcPr>
          <w:p w14:paraId="6E2EC31A"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1.292</w:t>
            </w:r>
          </w:p>
        </w:tc>
        <w:tc>
          <w:tcPr>
            <w:tcW w:w="1230" w:type="dxa"/>
            <w:noWrap/>
            <w:hideMark/>
          </w:tcPr>
          <w:p w14:paraId="12FFC02C"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-1,0</w:t>
            </w:r>
          </w:p>
        </w:tc>
        <w:tc>
          <w:tcPr>
            <w:tcW w:w="1230" w:type="dxa"/>
            <w:noWrap/>
            <w:hideMark/>
          </w:tcPr>
          <w:p w14:paraId="787C180C"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3,7</w:t>
            </w:r>
          </w:p>
        </w:tc>
        <w:tc>
          <w:tcPr>
            <w:tcW w:w="1231" w:type="dxa"/>
            <w:noWrap/>
            <w:hideMark/>
          </w:tcPr>
          <w:p w14:paraId="4BB369D0" w14:textId="77777777" w:rsidR="005A48F1" w:rsidRPr="00BD4849" w:rsidRDefault="005A48F1" w:rsidP="009F1410">
            <w:pPr>
              <w:keepNext/>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-1,5</w:t>
            </w:r>
          </w:p>
        </w:tc>
      </w:tr>
    </w:tbl>
    <w:p w14:paraId="3DEA06B6" w14:textId="6BAA82ED" w:rsidR="005A48F1" w:rsidRDefault="005A48F1" w:rsidP="005A48F1">
      <w:pPr>
        <w:pStyle w:val="Caption"/>
        <w:ind w:left="0" w:firstLine="0"/>
        <w:rPr>
          <w:b w:val="0"/>
          <w:bCs/>
          <w:i w:val="0"/>
          <w:iCs/>
        </w:rPr>
      </w:pPr>
      <w:r w:rsidRPr="005A48F1">
        <w:rPr>
          <w:b w:val="0"/>
          <w:bCs/>
          <w:i w:val="0"/>
          <w:iCs/>
        </w:rPr>
        <w:t>Vir: SURS; Jesenska napoved gospodarskih gibanj 2023 UMAR; Ministrstvo za finance.</w:t>
      </w:r>
    </w:p>
    <w:p w14:paraId="076DBD1B" w14:textId="77777777" w:rsidR="005A48F1" w:rsidRPr="005A48F1" w:rsidRDefault="005A48F1" w:rsidP="005A48F1">
      <w:pPr>
        <w:rPr>
          <w:lang w:eastAsia="sl-SI"/>
        </w:rPr>
      </w:pPr>
    </w:p>
    <w:tbl>
      <w:tblPr>
        <w:tblStyle w:val="ListTable3-Accent1"/>
        <w:tblW w:w="9356" w:type="dxa"/>
        <w:tblLayout w:type="fixed"/>
        <w:tblLook w:val="04A0" w:firstRow="1" w:lastRow="0" w:firstColumn="1" w:lastColumn="0" w:noHBand="0" w:noVBand="1"/>
      </w:tblPr>
      <w:tblGrid>
        <w:gridCol w:w="4248"/>
        <w:gridCol w:w="1702"/>
        <w:gridCol w:w="1703"/>
        <w:gridCol w:w="1703"/>
      </w:tblGrid>
      <w:tr w:rsidR="005A48F1" w:rsidRPr="00BD4849" w14:paraId="246D8716" w14:textId="77777777" w:rsidTr="009F1410">
        <w:trPr>
          <w:cnfStyle w:val="100000000000" w:firstRow="1" w:lastRow="0" w:firstColumn="0" w:lastColumn="0" w:oddVBand="0" w:evenVBand="0" w:oddHBand="0" w:evenHBand="0" w:firstRowFirstColumn="0" w:firstRowLastColumn="0" w:lastRowFirstColumn="0" w:lastRowLastColumn="0"/>
          <w:trHeight w:val="525"/>
        </w:trPr>
        <w:tc>
          <w:tcPr>
            <w:cnfStyle w:val="001000000100" w:firstRow="0" w:lastRow="0" w:firstColumn="1" w:lastColumn="0" w:oddVBand="0" w:evenVBand="0" w:oddHBand="0" w:evenHBand="0" w:firstRowFirstColumn="1" w:firstRowLastColumn="0" w:lastRowFirstColumn="0" w:lastRowLastColumn="0"/>
            <w:tcW w:w="4248" w:type="dxa"/>
            <w:shd w:val="clear" w:color="auto" w:fill="B4C6E7" w:themeFill="accent5" w:themeFillTint="66"/>
            <w:noWrap/>
            <w:hideMark/>
          </w:tcPr>
          <w:p w14:paraId="56104DCE" w14:textId="77777777" w:rsidR="005A48F1" w:rsidRPr="00BD4849" w:rsidRDefault="005A48F1" w:rsidP="009F1410">
            <w:pPr>
              <w:rPr>
                <w:rFonts w:ascii="Arial" w:eastAsia="Times New Roman" w:hAnsi="Arial" w:cs="Arial"/>
                <w:b w:val="0"/>
                <w:bCs w:val="0"/>
                <w:color w:val="auto"/>
                <w:sz w:val="20"/>
                <w:szCs w:val="20"/>
                <w:lang w:eastAsia="sl-SI"/>
              </w:rPr>
            </w:pPr>
            <w:r w:rsidRPr="00BD4849">
              <w:rPr>
                <w:rFonts w:ascii="Arial" w:eastAsia="Times New Roman" w:hAnsi="Arial" w:cs="Arial"/>
                <w:b w:val="0"/>
                <w:bCs w:val="0"/>
                <w:color w:val="auto"/>
                <w:sz w:val="20"/>
                <w:szCs w:val="20"/>
                <w:lang w:eastAsia="sl-SI"/>
              </w:rPr>
              <w:t>Tabela 1b. Cenovna gibanja</w:t>
            </w:r>
          </w:p>
          <w:p w14:paraId="4A85C1EF" w14:textId="77777777" w:rsidR="005A48F1" w:rsidRPr="00BD4849" w:rsidRDefault="005A48F1" w:rsidP="009F1410">
            <w:pPr>
              <w:rPr>
                <w:rFonts w:ascii="Arial" w:eastAsia="Times New Roman" w:hAnsi="Arial" w:cs="Arial"/>
                <w:b w:val="0"/>
                <w:bCs w:val="0"/>
                <w:color w:val="auto"/>
                <w:sz w:val="20"/>
                <w:szCs w:val="20"/>
                <w:lang w:eastAsia="sl-SI"/>
              </w:rPr>
            </w:pPr>
            <w:r w:rsidRPr="00BD4849">
              <w:rPr>
                <w:rFonts w:ascii="Arial" w:eastAsia="Times New Roman" w:hAnsi="Arial" w:cs="Arial"/>
                <w:b w:val="0"/>
                <w:bCs w:val="0"/>
                <w:color w:val="auto"/>
                <w:sz w:val="20"/>
                <w:szCs w:val="20"/>
                <w:lang w:eastAsia="sl-SI"/>
              </w:rPr>
              <w:t>(sprememba v %)</w:t>
            </w:r>
          </w:p>
        </w:tc>
        <w:tc>
          <w:tcPr>
            <w:tcW w:w="1702" w:type="dxa"/>
            <w:shd w:val="clear" w:color="auto" w:fill="B4C6E7" w:themeFill="accent5" w:themeFillTint="66"/>
            <w:hideMark/>
          </w:tcPr>
          <w:p w14:paraId="086DCF76" w14:textId="77777777" w:rsidR="005A48F1" w:rsidRPr="00BD4849" w:rsidRDefault="005A48F1" w:rsidP="009F141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lang w:eastAsia="sl-SI"/>
              </w:rPr>
            </w:pPr>
            <w:r w:rsidRPr="00BD4849">
              <w:rPr>
                <w:rFonts w:ascii="Arial" w:eastAsia="Times New Roman" w:hAnsi="Arial" w:cs="Arial"/>
                <w:b w:val="0"/>
                <w:bCs w:val="0"/>
                <w:color w:val="auto"/>
                <w:sz w:val="20"/>
                <w:szCs w:val="20"/>
                <w:lang w:eastAsia="sl-SI"/>
              </w:rPr>
              <w:t>2022 (stopnja spremembe)</w:t>
            </w:r>
          </w:p>
        </w:tc>
        <w:tc>
          <w:tcPr>
            <w:tcW w:w="1703" w:type="dxa"/>
            <w:shd w:val="clear" w:color="auto" w:fill="B4C6E7" w:themeFill="accent5" w:themeFillTint="66"/>
            <w:hideMark/>
          </w:tcPr>
          <w:p w14:paraId="77BC88FA" w14:textId="77777777" w:rsidR="005A48F1" w:rsidRPr="00BD4849" w:rsidRDefault="005A48F1" w:rsidP="009F141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lang w:eastAsia="sl-SI"/>
              </w:rPr>
            </w:pPr>
            <w:r w:rsidRPr="00BD4849">
              <w:rPr>
                <w:rFonts w:ascii="Arial" w:eastAsia="Times New Roman" w:hAnsi="Arial" w:cs="Arial"/>
                <w:b w:val="0"/>
                <w:bCs w:val="0"/>
                <w:color w:val="auto"/>
                <w:sz w:val="20"/>
                <w:szCs w:val="20"/>
                <w:lang w:eastAsia="sl-SI"/>
              </w:rPr>
              <w:t>2023 (stopnja spremembe)</w:t>
            </w:r>
          </w:p>
        </w:tc>
        <w:tc>
          <w:tcPr>
            <w:tcW w:w="1703" w:type="dxa"/>
            <w:shd w:val="clear" w:color="auto" w:fill="B4C6E7" w:themeFill="accent5" w:themeFillTint="66"/>
            <w:hideMark/>
          </w:tcPr>
          <w:p w14:paraId="16DFD7FB" w14:textId="77777777" w:rsidR="005A48F1" w:rsidRPr="00BD4849" w:rsidRDefault="005A48F1" w:rsidP="009F141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lang w:eastAsia="sl-SI"/>
              </w:rPr>
            </w:pPr>
            <w:r w:rsidRPr="00BD4849">
              <w:rPr>
                <w:rFonts w:ascii="Arial" w:eastAsia="Times New Roman" w:hAnsi="Arial" w:cs="Arial"/>
                <w:b w:val="0"/>
                <w:bCs w:val="0"/>
                <w:color w:val="auto"/>
                <w:sz w:val="20"/>
                <w:szCs w:val="20"/>
                <w:lang w:eastAsia="sl-SI"/>
              </w:rPr>
              <w:t>2024 (stopnja spremembe)</w:t>
            </w:r>
          </w:p>
        </w:tc>
      </w:tr>
      <w:tr w:rsidR="005A48F1" w:rsidRPr="00BD4849" w14:paraId="09CA6FB0"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248" w:type="dxa"/>
            <w:hideMark/>
          </w:tcPr>
          <w:p w14:paraId="18E414BC"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1. Deflator BDP</w:t>
            </w:r>
          </w:p>
        </w:tc>
        <w:tc>
          <w:tcPr>
            <w:tcW w:w="1702" w:type="dxa"/>
            <w:noWrap/>
            <w:hideMark/>
          </w:tcPr>
          <w:p w14:paraId="00FC3D8D"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6,5</w:t>
            </w:r>
          </w:p>
        </w:tc>
        <w:tc>
          <w:tcPr>
            <w:tcW w:w="1703" w:type="dxa"/>
            <w:noWrap/>
            <w:hideMark/>
          </w:tcPr>
          <w:p w14:paraId="67D2081C"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8,7</w:t>
            </w:r>
          </w:p>
        </w:tc>
        <w:tc>
          <w:tcPr>
            <w:tcW w:w="1703" w:type="dxa"/>
            <w:noWrap/>
            <w:hideMark/>
          </w:tcPr>
          <w:p w14:paraId="7F8E1BB8"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4,0</w:t>
            </w:r>
          </w:p>
        </w:tc>
      </w:tr>
      <w:tr w:rsidR="005A48F1" w:rsidRPr="00BD4849" w14:paraId="3D35F275" w14:textId="77777777" w:rsidTr="009F1410">
        <w:trPr>
          <w:trHeight w:val="300"/>
        </w:trPr>
        <w:tc>
          <w:tcPr>
            <w:cnfStyle w:val="001000000000" w:firstRow="0" w:lastRow="0" w:firstColumn="1" w:lastColumn="0" w:oddVBand="0" w:evenVBand="0" w:oddHBand="0" w:evenHBand="0" w:firstRowFirstColumn="0" w:firstRowLastColumn="0" w:lastRowFirstColumn="0" w:lastRowLastColumn="0"/>
            <w:tcW w:w="4248" w:type="dxa"/>
            <w:hideMark/>
          </w:tcPr>
          <w:p w14:paraId="362B6092"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2. Deflator zasebne potrošnje</w:t>
            </w:r>
          </w:p>
        </w:tc>
        <w:tc>
          <w:tcPr>
            <w:tcW w:w="1702" w:type="dxa"/>
            <w:noWrap/>
            <w:hideMark/>
          </w:tcPr>
          <w:p w14:paraId="39248C45"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10,0</w:t>
            </w:r>
          </w:p>
        </w:tc>
        <w:tc>
          <w:tcPr>
            <w:tcW w:w="1703" w:type="dxa"/>
            <w:noWrap/>
            <w:hideMark/>
          </w:tcPr>
          <w:p w14:paraId="4A25F4A1"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7,6</w:t>
            </w:r>
          </w:p>
        </w:tc>
        <w:tc>
          <w:tcPr>
            <w:tcW w:w="1703" w:type="dxa"/>
            <w:noWrap/>
            <w:hideMark/>
          </w:tcPr>
          <w:p w14:paraId="2D269BDB"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3,9</w:t>
            </w:r>
          </w:p>
        </w:tc>
      </w:tr>
      <w:tr w:rsidR="005A48F1" w:rsidRPr="00BD4849" w14:paraId="4933F95A"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248" w:type="dxa"/>
            <w:hideMark/>
          </w:tcPr>
          <w:p w14:paraId="59A33A6F" w14:textId="77777777" w:rsidR="005A48F1" w:rsidRPr="00BD4849" w:rsidRDefault="005A48F1" w:rsidP="009F1410">
            <w:pPr>
              <w:rPr>
                <w:rFonts w:ascii="Arial" w:eastAsia="Times New Roman" w:hAnsi="Arial" w:cs="Arial"/>
                <w:b w:val="0"/>
                <w:bCs w:val="0"/>
                <w:sz w:val="20"/>
                <w:szCs w:val="20"/>
                <w:vertAlign w:val="superscript"/>
                <w:lang w:eastAsia="sl-SI"/>
              </w:rPr>
            </w:pPr>
            <w:r w:rsidRPr="00BD4849">
              <w:rPr>
                <w:rFonts w:ascii="Arial" w:eastAsia="Times New Roman" w:hAnsi="Arial" w:cs="Arial"/>
                <w:b w:val="0"/>
                <w:bCs w:val="0"/>
                <w:sz w:val="20"/>
                <w:szCs w:val="20"/>
                <w:lang w:eastAsia="sl-SI"/>
              </w:rPr>
              <w:t>3. ICŽP (povprečje leta) – indeks cen življenjskih potrebščin</w:t>
            </w:r>
            <w:r w:rsidRPr="00BD4849">
              <w:rPr>
                <w:rFonts w:ascii="Arial" w:eastAsia="Times New Roman" w:hAnsi="Arial" w:cs="Arial"/>
                <w:b w:val="0"/>
                <w:bCs w:val="0"/>
                <w:sz w:val="20"/>
                <w:szCs w:val="20"/>
                <w:vertAlign w:val="superscript"/>
                <w:lang w:eastAsia="sl-SI"/>
              </w:rPr>
              <w:t>1</w:t>
            </w:r>
          </w:p>
        </w:tc>
        <w:tc>
          <w:tcPr>
            <w:tcW w:w="1702" w:type="dxa"/>
            <w:noWrap/>
            <w:hideMark/>
          </w:tcPr>
          <w:p w14:paraId="66059C8C"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8,8</w:t>
            </w:r>
          </w:p>
        </w:tc>
        <w:tc>
          <w:tcPr>
            <w:tcW w:w="1703" w:type="dxa"/>
            <w:noWrap/>
            <w:hideMark/>
          </w:tcPr>
          <w:p w14:paraId="00539A1A"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7,6</w:t>
            </w:r>
          </w:p>
        </w:tc>
        <w:tc>
          <w:tcPr>
            <w:tcW w:w="1703" w:type="dxa"/>
            <w:noWrap/>
            <w:hideMark/>
          </w:tcPr>
          <w:p w14:paraId="224B98DC"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3,9</w:t>
            </w:r>
          </w:p>
        </w:tc>
      </w:tr>
      <w:tr w:rsidR="005A48F1" w:rsidRPr="00BD4849" w14:paraId="08675CD1" w14:textId="77777777" w:rsidTr="009F1410">
        <w:trPr>
          <w:trHeight w:val="300"/>
        </w:trPr>
        <w:tc>
          <w:tcPr>
            <w:cnfStyle w:val="001000000000" w:firstRow="0" w:lastRow="0" w:firstColumn="1" w:lastColumn="0" w:oddVBand="0" w:evenVBand="0" w:oddHBand="0" w:evenHBand="0" w:firstRowFirstColumn="0" w:firstRowLastColumn="0" w:lastRowFirstColumn="0" w:lastRowLastColumn="0"/>
            <w:tcW w:w="4248" w:type="dxa"/>
            <w:hideMark/>
          </w:tcPr>
          <w:p w14:paraId="69F1DA38"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4. Deflator državne potrošnje</w:t>
            </w:r>
          </w:p>
        </w:tc>
        <w:tc>
          <w:tcPr>
            <w:tcW w:w="1702" w:type="dxa"/>
            <w:noWrap/>
            <w:hideMark/>
          </w:tcPr>
          <w:p w14:paraId="7E4D7F17"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3,0</w:t>
            </w:r>
          </w:p>
        </w:tc>
        <w:tc>
          <w:tcPr>
            <w:tcW w:w="1703" w:type="dxa"/>
            <w:noWrap/>
            <w:hideMark/>
          </w:tcPr>
          <w:p w14:paraId="7E119302"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7,8</w:t>
            </w:r>
          </w:p>
        </w:tc>
        <w:tc>
          <w:tcPr>
            <w:tcW w:w="1703" w:type="dxa"/>
            <w:noWrap/>
            <w:hideMark/>
          </w:tcPr>
          <w:p w14:paraId="0341A519"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3,9</w:t>
            </w:r>
          </w:p>
        </w:tc>
      </w:tr>
      <w:tr w:rsidR="005A48F1" w:rsidRPr="00BD4849" w14:paraId="3EB0CE3E"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248" w:type="dxa"/>
            <w:hideMark/>
          </w:tcPr>
          <w:p w14:paraId="00608244"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5. Deflator investicij v osnovna sredstva</w:t>
            </w:r>
          </w:p>
        </w:tc>
        <w:tc>
          <w:tcPr>
            <w:tcW w:w="1702" w:type="dxa"/>
            <w:noWrap/>
            <w:hideMark/>
          </w:tcPr>
          <w:p w14:paraId="117227FD"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12,6</w:t>
            </w:r>
          </w:p>
        </w:tc>
        <w:tc>
          <w:tcPr>
            <w:tcW w:w="1703" w:type="dxa"/>
            <w:noWrap/>
            <w:hideMark/>
          </w:tcPr>
          <w:p w14:paraId="6374CF75"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5,0</w:t>
            </w:r>
          </w:p>
        </w:tc>
        <w:tc>
          <w:tcPr>
            <w:tcW w:w="1703" w:type="dxa"/>
            <w:noWrap/>
            <w:hideMark/>
          </w:tcPr>
          <w:p w14:paraId="1347A5D0"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3,8</w:t>
            </w:r>
          </w:p>
        </w:tc>
      </w:tr>
      <w:tr w:rsidR="005A48F1" w:rsidRPr="00BD4849" w14:paraId="6709A081" w14:textId="77777777" w:rsidTr="009F1410">
        <w:trPr>
          <w:trHeight w:val="60"/>
        </w:trPr>
        <w:tc>
          <w:tcPr>
            <w:cnfStyle w:val="001000000000" w:firstRow="0" w:lastRow="0" w:firstColumn="1" w:lastColumn="0" w:oddVBand="0" w:evenVBand="0" w:oddHBand="0" w:evenHBand="0" w:firstRowFirstColumn="0" w:firstRowLastColumn="0" w:lastRowFirstColumn="0" w:lastRowLastColumn="0"/>
            <w:tcW w:w="4248" w:type="dxa"/>
            <w:hideMark/>
          </w:tcPr>
          <w:p w14:paraId="1FE4E469"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6. Deflator izvoznih cen (blaga in storitev)</w:t>
            </w:r>
          </w:p>
        </w:tc>
        <w:tc>
          <w:tcPr>
            <w:tcW w:w="1702" w:type="dxa"/>
            <w:noWrap/>
            <w:hideMark/>
          </w:tcPr>
          <w:p w14:paraId="2B1B595A"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14,7</w:t>
            </w:r>
          </w:p>
        </w:tc>
        <w:tc>
          <w:tcPr>
            <w:tcW w:w="1703" w:type="dxa"/>
            <w:noWrap/>
            <w:hideMark/>
          </w:tcPr>
          <w:p w14:paraId="533F96EE"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1,7</w:t>
            </w:r>
          </w:p>
        </w:tc>
        <w:tc>
          <w:tcPr>
            <w:tcW w:w="1703" w:type="dxa"/>
            <w:noWrap/>
            <w:hideMark/>
          </w:tcPr>
          <w:p w14:paraId="498DFC01"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0,8</w:t>
            </w:r>
          </w:p>
        </w:tc>
      </w:tr>
      <w:tr w:rsidR="005A48F1" w:rsidRPr="00BD4849" w14:paraId="67C1C4CA"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248" w:type="dxa"/>
            <w:hideMark/>
          </w:tcPr>
          <w:p w14:paraId="775F7583"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7. Deflator uvoznih cen (blaga in storitev)</w:t>
            </w:r>
          </w:p>
        </w:tc>
        <w:tc>
          <w:tcPr>
            <w:tcW w:w="1702" w:type="dxa"/>
            <w:noWrap/>
            <w:hideMark/>
          </w:tcPr>
          <w:p w14:paraId="242C1E13"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18,3</w:t>
            </w:r>
          </w:p>
        </w:tc>
        <w:tc>
          <w:tcPr>
            <w:tcW w:w="1703" w:type="dxa"/>
            <w:noWrap/>
            <w:hideMark/>
          </w:tcPr>
          <w:p w14:paraId="4B8A7F91"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-0,5</w:t>
            </w:r>
          </w:p>
        </w:tc>
        <w:tc>
          <w:tcPr>
            <w:tcW w:w="1703" w:type="dxa"/>
            <w:noWrap/>
            <w:hideMark/>
          </w:tcPr>
          <w:p w14:paraId="1B4CAE27" w14:textId="77777777" w:rsidR="005A48F1" w:rsidRPr="00BD4849" w:rsidRDefault="005A48F1" w:rsidP="009F1410">
            <w:pPr>
              <w:keepNext/>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0,6</w:t>
            </w:r>
          </w:p>
        </w:tc>
      </w:tr>
    </w:tbl>
    <w:p w14:paraId="0FA7632F" w14:textId="77777777" w:rsidR="005A48F1" w:rsidRPr="005A48F1" w:rsidRDefault="005A48F1" w:rsidP="005A48F1">
      <w:pPr>
        <w:pStyle w:val="Caption"/>
        <w:spacing w:after="0"/>
        <w:ind w:left="0" w:firstLine="0"/>
        <w:rPr>
          <w:b w:val="0"/>
          <w:bCs/>
          <w:i w:val="0"/>
          <w:iCs/>
        </w:rPr>
      </w:pPr>
      <w:r w:rsidRPr="005A48F1">
        <w:rPr>
          <w:b w:val="0"/>
          <w:bCs/>
          <w:i w:val="0"/>
          <w:iCs/>
        </w:rPr>
        <w:t xml:space="preserve">Opomba: </w:t>
      </w:r>
      <w:r w:rsidRPr="005A48F1">
        <w:rPr>
          <w:b w:val="0"/>
          <w:bCs/>
          <w:i w:val="0"/>
          <w:iCs/>
          <w:vertAlign w:val="superscript"/>
        </w:rPr>
        <w:t>1</w:t>
      </w:r>
      <w:r w:rsidRPr="005A48F1">
        <w:rPr>
          <w:b w:val="0"/>
          <w:bCs/>
          <w:i w:val="0"/>
          <w:iCs/>
        </w:rPr>
        <w:t xml:space="preserve"> nacionalni indeks.</w:t>
      </w:r>
    </w:p>
    <w:p w14:paraId="2394C7D6" w14:textId="2023AFD1" w:rsidR="005A48F1" w:rsidRDefault="005A48F1" w:rsidP="005A48F1">
      <w:pPr>
        <w:pStyle w:val="Caption"/>
        <w:ind w:left="0" w:firstLine="0"/>
        <w:rPr>
          <w:b w:val="0"/>
          <w:bCs/>
          <w:i w:val="0"/>
          <w:iCs/>
        </w:rPr>
      </w:pPr>
      <w:r w:rsidRPr="005A48F1">
        <w:rPr>
          <w:b w:val="0"/>
          <w:bCs/>
          <w:i w:val="0"/>
          <w:iCs/>
        </w:rPr>
        <w:t>Vir: SURS; Jesenska napoved gospodarskih gibanj 2023 UMAR.</w:t>
      </w:r>
    </w:p>
    <w:p w14:paraId="141CA78A" w14:textId="2A541EF8" w:rsidR="005A48F1" w:rsidRDefault="005A48F1" w:rsidP="005A48F1">
      <w:pPr>
        <w:rPr>
          <w:lang w:eastAsia="sl-SI"/>
        </w:rPr>
      </w:pPr>
    </w:p>
    <w:p w14:paraId="7834CEA8" w14:textId="1CE8F693" w:rsidR="005A48F1" w:rsidRDefault="005A48F1" w:rsidP="005A48F1">
      <w:pPr>
        <w:rPr>
          <w:lang w:eastAsia="sl-SI"/>
        </w:rPr>
      </w:pPr>
    </w:p>
    <w:p w14:paraId="30481C7A" w14:textId="77777777" w:rsidR="005A48F1" w:rsidRPr="005A48F1" w:rsidRDefault="005A48F1" w:rsidP="005A48F1">
      <w:pPr>
        <w:rPr>
          <w:lang w:eastAsia="sl-SI"/>
        </w:rPr>
      </w:pPr>
    </w:p>
    <w:tbl>
      <w:tblPr>
        <w:tblStyle w:val="ListTable3-Accent1"/>
        <w:tblW w:w="9356" w:type="dxa"/>
        <w:tblLayout w:type="fixed"/>
        <w:tblLook w:val="04A0" w:firstRow="1" w:lastRow="0" w:firstColumn="1" w:lastColumn="0" w:noHBand="0" w:noVBand="1"/>
      </w:tblPr>
      <w:tblGrid>
        <w:gridCol w:w="3256"/>
        <w:gridCol w:w="708"/>
        <w:gridCol w:w="1134"/>
        <w:gridCol w:w="1419"/>
        <w:gridCol w:w="1419"/>
        <w:gridCol w:w="1420"/>
      </w:tblGrid>
      <w:tr w:rsidR="005A48F1" w:rsidRPr="00BD4849" w14:paraId="736A064E" w14:textId="77777777" w:rsidTr="009F1410">
        <w:trPr>
          <w:cnfStyle w:val="100000000000" w:firstRow="1" w:lastRow="0" w:firstColumn="0" w:lastColumn="0" w:oddVBand="0" w:evenVBand="0" w:oddHBand="0" w:evenHBand="0" w:firstRowFirstColumn="0" w:firstRowLastColumn="0" w:lastRowFirstColumn="0" w:lastRowLastColumn="0"/>
          <w:trHeight w:val="525"/>
        </w:trPr>
        <w:tc>
          <w:tcPr>
            <w:cnfStyle w:val="001000000100" w:firstRow="0" w:lastRow="0" w:firstColumn="1" w:lastColumn="0" w:oddVBand="0" w:evenVBand="0" w:oddHBand="0" w:evenHBand="0" w:firstRowFirstColumn="1" w:firstRowLastColumn="0" w:lastRowFirstColumn="0" w:lastRowLastColumn="0"/>
            <w:tcW w:w="3256" w:type="dxa"/>
            <w:shd w:val="clear" w:color="auto" w:fill="B4C6E7" w:themeFill="accent5" w:themeFillTint="66"/>
            <w:noWrap/>
            <w:hideMark/>
          </w:tcPr>
          <w:p w14:paraId="1DC31457" w14:textId="77777777" w:rsidR="005A48F1" w:rsidRPr="00BD4849" w:rsidRDefault="005A48F1" w:rsidP="009F1410">
            <w:pPr>
              <w:rPr>
                <w:rFonts w:ascii="Arial" w:eastAsia="Times New Roman" w:hAnsi="Arial" w:cs="Arial"/>
                <w:b w:val="0"/>
                <w:bCs w:val="0"/>
                <w:color w:val="auto"/>
                <w:sz w:val="20"/>
                <w:szCs w:val="20"/>
                <w:lang w:eastAsia="sl-SI"/>
              </w:rPr>
            </w:pPr>
            <w:r w:rsidRPr="00BD4849">
              <w:rPr>
                <w:rFonts w:ascii="Arial" w:eastAsia="Times New Roman" w:hAnsi="Arial" w:cs="Arial"/>
                <w:b w:val="0"/>
                <w:bCs w:val="0"/>
                <w:color w:val="auto"/>
                <w:sz w:val="20"/>
                <w:szCs w:val="20"/>
                <w:lang w:eastAsia="sl-SI"/>
              </w:rPr>
              <w:lastRenderedPageBreak/>
              <w:t>Tabela 1c. Gibanja na trgu dela</w:t>
            </w:r>
          </w:p>
        </w:tc>
        <w:tc>
          <w:tcPr>
            <w:tcW w:w="708" w:type="dxa"/>
            <w:shd w:val="clear" w:color="auto" w:fill="B4C6E7" w:themeFill="accent5" w:themeFillTint="66"/>
            <w:hideMark/>
          </w:tcPr>
          <w:p w14:paraId="5FF01EE7" w14:textId="77777777" w:rsidR="005A48F1" w:rsidRPr="00BD4849" w:rsidRDefault="005A48F1" w:rsidP="009F141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lang w:eastAsia="sl-SI"/>
              </w:rPr>
            </w:pPr>
            <w:r w:rsidRPr="00BD4849">
              <w:rPr>
                <w:rFonts w:ascii="Arial" w:eastAsia="Times New Roman" w:hAnsi="Arial" w:cs="Arial"/>
                <w:b w:val="0"/>
                <w:bCs w:val="0"/>
                <w:color w:val="auto"/>
                <w:sz w:val="20"/>
                <w:szCs w:val="20"/>
                <w:lang w:eastAsia="sl-SI"/>
              </w:rPr>
              <w:t>ESA koda</w:t>
            </w:r>
          </w:p>
        </w:tc>
        <w:tc>
          <w:tcPr>
            <w:tcW w:w="1134" w:type="dxa"/>
            <w:shd w:val="clear" w:color="auto" w:fill="B4C6E7" w:themeFill="accent5" w:themeFillTint="66"/>
            <w:hideMark/>
          </w:tcPr>
          <w:p w14:paraId="19DE60D5" w14:textId="77777777" w:rsidR="005A48F1" w:rsidRPr="00BD4849" w:rsidRDefault="005A48F1" w:rsidP="009F141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lang w:eastAsia="sl-SI"/>
              </w:rPr>
            </w:pPr>
            <w:r w:rsidRPr="00BD4849">
              <w:rPr>
                <w:rFonts w:ascii="Arial" w:eastAsia="Times New Roman" w:hAnsi="Arial" w:cs="Arial"/>
                <w:b w:val="0"/>
                <w:bCs w:val="0"/>
                <w:color w:val="auto"/>
                <w:sz w:val="20"/>
                <w:szCs w:val="20"/>
                <w:lang w:eastAsia="sl-SI"/>
              </w:rPr>
              <w:t>2022 (raven)</w:t>
            </w:r>
          </w:p>
        </w:tc>
        <w:tc>
          <w:tcPr>
            <w:tcW w:w="1419" w:type="dxa"/>
            <w:shd w:val="clear" w:color="auto" w:fill="B4C6E7" w:themeFill="accent5" w:themeFillTint="66"/>
            <w:hideMark/>
          </w:tcPr>
          <w:p w14:paraId="033587DA" w14:textId="77777777" w:rsidR="005A48F1" w:rsidRPr="00BD4849" w:rsidRDefault="005A48F1" w:rsidP="009F141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lang w:eastAsia="sl-SI"/>
              </w:rPr>
            </w:pPr>
            <w:r w:rsidRPr="00BD4849">
              <w:rPr>
                <w:rFonts w:ascii="Arial" w:eastAsia="Times New Roman" w:hAnsi="Arial" w:cs="Arial"/>
                <w:b w:val="0"/>
                <w:bCs w:val="0"/>
                <w:color w:val="auto"/>
                <w:sz w:val="20"/>
                <w:szCs w:val="20"/>
                <w:lang w:eastAsia="sl-SI"/>
              </w:rPr>
              <w:t xml:space="preserve">2022 </w:t>
            </w:r>
          </w:p>
          <w:p w14:paraId="37A959B6" w14:textId="77777777" w:rsidR="005A48F1" w:rsidRPr="00BD4849" w:rsidRDefault="005A48F1" w:rsidP="009F141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lang w:eastAsia="sl-SI"/>
              </w:rPr>
            </w:pPr>
            <w:r w:rsidRPr="00BD4849">
              <w:rPr>
                <w:rFonts w:ascii="Arial" w:eastAsia="Times New Roman" w:hAnsi="Arial" w:cs="Arial"/>
                <w:b w:val="0"/>
                <w:bCs w:val="0"/>
                <w:color w:val="auto"/>
                <w:sz w:val="20"/>
                <w:szCs w:val="20"/>
                <w:lang w:eastAsia="sl-SI"/>
              </w:rPr>
              <w:t>(stopnja spremembe)</w:t>
            </w:r>
          </w:p>
        </w:tc>
        <w:tc>
          <w:tcPr>
            <w:tcW w:w="1419" w:type="dxa"/>
            <w:shd w:val="clear" w:color="auto" w:fill="B4C6E7" w:themeFill="accent5" w:themeFillTint="66"/>
            <w:hideMark/>
          </w:tcPr>
          <w:p w14:paraId="76E378B4" w14:textId="77777777" w:rsidR="005A48F1" w:rsidRPr="00BD4849" w:rsidRDefault="005A48F1" w:rsidP="009F141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lang w:eastAsia="sl-SI"/>
              </w:rPr>
            </w:pPr>
            <w:r w:rsidRPr="00BD4849">
              <w:rPr>
                <w:rFonts w:ascii="Arial" w:eastAsia="Times New Roman" w:hAnsi="Arial" w:cs="Arial"/>
                <w:b w:val="0"/>
                <w:bCs w:val="0"/>
                <w:color w:val="auto"/>
                <w:sz w:val="20"/>
                <w:szCs w:val="20"/>
                <w:lang w:eastAsia="sl-SI"/>
              </w:rPr>
              <w:t xml:space="preserve">2023 </w:t>
            </w:r>
          </w:p>
          <w:p w14:paraId="0F9A7D37" w14:textId="77777777" w:rsidR="005A48F1" w:rsidRPr="00BD4849" w:rsidRDefault="005A48F1" w:rsidP="009F141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lang w:eastAsia="sl-SI"/>
              </w:rPr>
            </w:pPr>
            <w:r w:rsidRPr="00BD4849">
              <w:rPr>
                <w:rFonts w:ascii="Arial" w:eastAsia="Times New Roman" w:hAnsi="Arial" w:cs="Arial"/>
                <w:b w:val="0"/>
                <w:bCs w:val="0"/>
                <w:color w:val="auto"/>
                <w:sz w:val="20"/>
                <w:szCs w:val="20"/>
                <w:lang w:eastAsia="sl-SI"/>
              </w:rPr>
              <w:t>(stopnja spremembe)</w:t>
            </w:r>
          </w:p>
        </w:tc>
        <w:tc>
          <w:tcPr>
            <w:tcW w:w="1420" w:type="dxa"/>
            <w:shd w:val="clear" w:color="auto" w:fill="B4C6E7" w:themeFill="accent5" w:themeFillTint="66"/>
            <w:hideMark/>
          </w:tcPr>
          <w:p w14:paraId="34C26925" w14:textId="77777777" w:rsidR="005A48F1" w:rsidRPr="00BD4849" w:rsidRDefault="005A48F1" w:rsidP="009F141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lang w:eastAsia="sl-SI"/>
              </w:rPr>
            </w:pPr>
            <w:r w:rsidRPr="00BD4849">
              <w:rPr>
                <w:rFonts w:ascii="Arial" w:eastAsia="Times New Roman" w:hAnsi="Arial" w:cs="Arial"/>
                <w:b w:val="0"/>
                <w:bCs w:val="0"/>
                <w:color w:val="auto"/>
                <w:sz w:val="20"/>
                <w:szCs w:val="20"/>
                <w:lang w:eastAsia="sl-SI"/>
              </w:rPr>
              <w:t xml:space="preserve">2024 </w:t>
            </w:r>
          </w:p>
          <w:p w14:paraId="214872D4" w14:textId="77777777" w:rsidR="005A48F1" w:rsidRPr="00BD4849" w:rsidRDefault="005A48F1" w:rsidP="009F141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lang w:eastAsia="sl-SI"/>
              </w:rPr>
            </w:pPr>
            <w:r w:rsidRPr="00BD4849">
              <w:rPr>
                <w:rFonts w:ascii="Arial" w:eastAsia="Times New Roman" w:hAnsi="Arial" w:cs="Arial"/>
                <w:b w:val="0"/>
                <w:bCs w:val="0"/>
                <w:color w:val="auto"/>
                <w:sz w:val="20"/>
                <w:szCs w:val="20"/>
                <w:lang w:eastAsia="sl-SI"/>
              </w:rPr>
              <w:t>(stopnja spremembe)</w:t>
            </w:r>
          </w:p>
        </w:tc>
      </w:tr>
      <w:tr w:rsidR="005A48F1" w:rsidRPr="00BD4849" w14:paraId="19622565"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56" w:type="dxa"/>
            <w:hideMark/>
          </w:tcPr>
          <w:p w14:paraId="4580CFA1"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1. Zaposlenost (osebe, 1000)</w:t>
            </w:r>
          </w:p>
        </w:tc>
        <w:tc>
          <w:tcPr>
            <w:tcW w:w="708" w:type="dxa"/>
            <w:hideMark/>
          </w:tcPr>
          <w:p w14:paraId="79AA1F8A"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1134" w:type="dxa"/>
            <w:noWrap/>
            <w:hideMark/>
          </w:tcPr>
          <w:p w14:paraId="0E88D8FD"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1.082</w:t>
            </w:r>
          </w:p>
        </w:tc>
        <w:tc>
          <w:tcPr>
            <w:tcW w:w="1419" w:type="dxa"/>
            <w:noWrap/>
            <w:hideMark/>
          </w:tcPr>
          <w:p w14:paraId="32F90C19"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0,7</w:t>
            </w:r>
          </w:p>
        </w:tc>
        <w:tc>
          <w:tcPr>
            <w:tcW w:w="1419" w:type="dxa"/>
            <w:noWrap/>
            <w:hideMark/>
          </w:tcPr>
          <w:p w14:paraId="1751D8AD"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0,5</w:t>
            </w:r>
          </w:p>
        </w:tc>
        <w:tc>
          <w:tcPr>
            <w:tcW w:w="1420" w:type="dxa"/>
            <w:noWrap/>
            <w:hideMark/>
          </w:tcPr>
          <w:p w14:paraId="39F2242A"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0,4</w:t>
            </w:r>
          </w:p>
        </w:tc>
      </w:tr>
      <w:tr w:rsidR="005A48F1" w:rsidRPr="00BD4849" w14:paraId="2F02ECAF" w14:textId="77777777" w:rsidTr="009F1410">
        <w:trPr>
          <w:trHeight w:val="300"/>
        </w:trPr>
        <w:tc>
          <w:tcPr>
            <w:cnfStyle w:val="001000000000" w:firstRow="0" w:lastRow="0" w:firstColumn="1" w:lastColumn="0" w:oddVBand="0" w:evenVBand="0" w:oddHBand="0" w:evenHBand="0" w:firstRowFirstColumn="0" w:firstRowLastColumn="0" w:lastRowFirstColumn="0" w:lastRowLastColumn="0"/>
            <w:tcW w:w="3256" w:type="dxa"/>
            <w:hideMark/>
          </w:tcPr>
          <w:p w14:paraId="654147C4"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2. Zaposlenost(opravljene delovne ure, 1000)</w:t>
            </w:r>
          </w:p>
        </w:tc>
        <w:tc>
          <w:tcPr>
            <w:tcW w:w="708" w:type="dxa"/>
            <w:hideMark/>
          </w:tcPr>
          <w:p w14:paraId="146B0D43"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1134" w:type="dxa"/>
            <w:noWrap/>
            <w:hideMark/>
          </w:tcPr>
          <w:p w14:paraId="69E87BC2"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1.742.749</w:t>
            </w:r>
          </w:p>
        </w:tc>
        <w:tc>
          <w:tcPr>
            <w:tcW w:w="1419" w:type="dxa"/>
            <w:noWrap/>
            <w:hideMark/>
          </w:tcPr>
          <w:p w14:paraId="16E0B911"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4,0</w:t>
            </w:r>
          </w:p>
        </w:tc>
        <w:tc>
          <w:tcPr>
            <w:tcW w:w="1419" w:type="dxa"/>
            <w:noWrap/>
            <w:hideMark/>
          </w:tcPr>
          <w:p w14:paraId="462870C1"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1,6</w:t>
            </w:r>
          </w:p>
        </w:tc>
        <w:tc>
          <w:tcPr>
            <w:tcW w:w="1420" w:type="dxa"/>
            <w:noWrap/>
            <w:hideMark/>
          </w:tcPr>
          <w:p w14:paraId="187A8311"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1,1</w:t>
            </w:r>
          </w:p>
        </w:tc>
      </w:tr>
      <w:tr w:rsidR="005A48F1" w:rsidRPr="00BD4849" w14:paraId="5F5C61CB"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56" w:type="dxa"/>
            <w:hideMark/>
          </w:tcPr>
          <w:p w14:paraId="1E3EB052"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3. St. brezposelnosti po anketi o delovni sili (%)</w:t>
            </w:r>
          </w:p>
        </w:tc>
        <w:tc>
          <w:tcPr>
            <w:tcW w:w="708" w:type="dxa"/>
            <w:hideMark/>
          </w:tcPr>
          <w:p w14:paraId="65FEFCD9"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1134" w:type="dxa"/>
            <w:noWrap/>
            <w:hideMark/>
          </w:tcPr>
          <w:p w14:paraId="0237007B"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4,0</w:t>
            </w:r>
          </w:p>
        </w:tc>
        <w:tc>
          <w:tcPr>
            <w:tcW w:w="1419" w:type="dxa"/>
            <w:noWrap/>
            <w:hideMark/>
          </w:tcPr>
          <w:p w14:paraId="131A1487"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-16,5</w:t>
            </w:r>
          </w:p>
        </w:tc>
        <w:tc>
          <w:tcPr>
            <w:tcW w:w="1419" w:type="dxa"/>
            <w:noWrap/>
            <w:hideMark/>
          </w:tcPr>
          <w:p w14:paraId="6A92281B"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-7,1</w:t>
            </w:r>
          </w:p>
        </w:tc>
        <w:tc>
          <w:tcPr>
            <w:tcW w:w="1420" w:type="dxa"/>
            <w:noWrap/>
            <w:hideMark/>
          </w:tcPr>
          <w:p w14:paraId="041972F9"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-5,2</w:t>
            </w:r>
          </w:p>
        </w:tc>
      </w:tr>
      <w:tr w:rsidR="005A48F1" w:rsidRPr="00BD4849" w14:paraId="77A75CD6" w14:textId="77777777" w:rsidTr="009F1410">
        <w:trPr>
          <w:trHeight w:val="300"/>
        </w:trPr>
        <w:tc>
          <w:tcPr>
            <w:cnfStyle w:val="001000000000" w:firstRow="0" w:lastRow="0" w:firstColumn="1" w:lastColumn="0" w:oddVBand="0" w:evenVBand="0" w:oddHBand="0" w:evenHBand="0" w:firstRowFirstColumn="0" w:firstRowLastColumn="0" w:lastRowFirstColumn="0" w:lastRowLastColumn="0"/>
            <w:tcW w:w="3256" w:type="dxa"/>
            <w:hideMark/>
          </w:tcPr>
          <w:p w14:paraId="76209072"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4. Produktivnost dela, nominalno, (osebe, 1000)</w:t>
            </w:r>
          </w:p>
        </w:tc>
        <w:tc>
          <w:tcPr>
            <w:tcW w:w="708" w:type="dxa"/>
            <w:hideMark/>
          </w:tcPr>
          <w:p w14:paraId="5A524E3D"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1134" w:type="dxa"/>
            <w:noWrap/>
            <w:hideMark/>
          </w:tcPr>
          <w:p w14:paraId="2290587F"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52,7</w:t>
            </w:r>
          </w:p>
        </w:tc>
        <w:tc>
          <w:tcPr>
            <w:tcW w:w="1419" w:type="dxa"/>
            <w:noWrap/>
            <w:hideMark/>
          </w:tcPr>
          <w:p w14:paraId="169FCDEA"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6,0</w:t>
            </w:r>
          </w:p>
        </w:tc>
        <w:tc>
          <w:tcPr>
            <w:tcW w:w="1419" w:type="dxa"/>
            <w:noWrap/>
            <w:hideMark/>
          </w:tcPr>
          <w:p w14:paraId="0BAB5251"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9,1</w:t>
            </w:r>
          </w:p>
        </w:tc>
        <w:tc>
          <w:tcPr>
            <w:tcW w:w="1420" w:type="dxa"/>
            <w:noWrap/>
            <w:hideMark/>
          </w:tcPr>
          <w:p w14:paraId="4681ABC4"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5,9</w:t>
            </w:r>
          </w:p>
        </w:tc>
      </w:tr>
      <w:tr w:rsidR="005A48F1" w:rsidRPr="00BD4849" w14:paraId="6C0D8C33"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56" w:type="dxa"/>
            <w:hideMark/>
          </w:tcPr>
          <w:p w14:paraId="6AA16764"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5. Produktivnost dela, nominalno (opravljene delovne ure)</w:t>
            </w:r>
          </w:p>
        </w:tc>
        <w:tc>
          <w:tcPr>
            <w:tcW w:w="708" w:type="dxa"/>
            <w:hideMark/>
          </w:tcPr>
          <w:p w14:paraId="4D0845AA"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1134" w:type="dxa"/>
            <w:noWrap/>
            <w:hideMark/>
          </w:tcPr>
          <w:p w14:paraId="51655888"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32,7</w:t>
            </w:r>
          </w:p>
        </w:tc>
        <w:tc>
          <w:tcPr>
            <w:tcW w:w="1419" w:type="dxa"/>
            <w:noWrap/>
            <w:hideMark/>
          </w:tcPr>
          <w:p w14:paraId="38024813"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4,9</w:t>
            </w:r>
          </w:p>
        </w:tc>
        <w:tc>
          <w:tcPr>
            <w:tcW w:w="1419" w:type="dxa"/>
            <w:noWrap/>
            <w:hideMark/>
          </w:tcPr>
          <w:p w14:paraId="4A93E59B"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8,7</w:t>
            </w:r>
          </w:p>
        </w:tc>
        <w:tc>
          <w:tcPr>
            <w:tcW w:w="1420" w:type="dxa"/>
            <w:noWrap/>
            <w:hideMark/>
          </w:tcPr>
          <w:p w14:paraId="26DC49F2"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5,7</w:t>
            </w:r>
          </w:p>
        </w:tc>
      </w:tr>
      <w:tr w:rsidR="005A48F1" w:rsidRPr="00BD4849" w14:paraId="2DE766C2" w14:textId="77777777" w:rsidTr="009F1410">
        <w:trPr>
          <w:trHeight w:val="300"/>
        </w:trPr>
        <w:tc>
          <w:tcPr>
            <w:cnfStyle w:val="001000000000" w:firstRow="0" w:lastRow="0" w:firstColumn="1" w:lastColumn="0" w:oddVBand="0" w:evenVBand="0" w:oddHBand="0" w:evenHBand="0" w:firstRowFirstColumn="0" w:firstRowLastColumn="0" w:lastRowFirstColumn="0" w:lastRowLastColumn="0"/>
            <w:tcW w:w="3256" w:type="dxa"/>
            <w:hideMark/>
          </w:tcPr>
          <w:p w14:paraId="5EC85EB6"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6. Sredstva za zaposlene</w:t>
            </w:r>
          </w:p>
          <w:p w14:paraId="47E65265"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(mio EUR)</w:t>
            </w:r>
          </w:p>
        </w:tc>
        <w:tc>
          <w:tcPr>
            <w:tcW w:w="708" w:type="dxa"/>
            <w:hideMark/>
          </w:tcPr>
          <w:p w14:paraId="69F3C435"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D.1</w:t>
            </w:r>
          </w:p>
        </w:tc>
        <w:tc>
          <w:tcPr>
            <w:tcW w:w="1134" w:type="dxa"/>
            <w:noWrap/>
            <w:hideMark/>
          </w:tcPr>
          <w:p w14:paraId="47BB0516"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29.672</w:t>
            </w:r>
          </w:p>
        </w:tc>
        <w:tc>
          <w:tcPr>
            <w:tcW w:w="1419" w:type="dxa"/>
            <w:noWrap/>
            <w:hideMark/>
          </w:tcPr>
          <w:p w14:paraId="6CBF030B"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7,7</w:t>
            </w:r>
          </w:p>
        </w:tc>
        <w:tc>
          <w:tcPr>
            <w:tcW w:w="1419" w:type="dxa"/>
            <w:noWrap/>
            <w:hideMark/>
          </w:tcPr>
          <w:p w14:paraId="76E4A5F8"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11,5</w:t>
            </w:r>
          </w:p>
        </w:tc>
        <w:tc>
          <w:tcPr>
            <w:tcW w:w="1420" w:type="dxa"/>
            <w:noWrap/>
            <w:hideMark/>
          </w:tcPr>
          <w:p w14:paraId="3CC0075E"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7,6</w:t>
            </w:r>
          </w:p>
        </w:tc>
      </w:tr>
      <w:tr w:rsidR="005A48F1" w:rsidRPr="00BD4849" w14:paraId="65D8F5EB"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56" w:type="dxa"/>
            <w:hideMark/>
          </w:tcPr>
          <w:p w14:paraId="215DF081"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7. Sredstva za zaposlene na zaposlenega (1000 EUR)</w:t>
            </w:r>
          </w:p>
        </w:tc>
        <w:tc>
          <w:tcPr>
            <w:tcW w:w="708" w:type="dxa"/>
            <w:hideMark/>
          </w:tcPr>
          <w:p w14:paraId="2BE0380A"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1134" w:type="dxa"/>
            <w:noWrap/>
            <w:hideMark/>
          </w:tcPr>
          <w:p w14:paraId="53D2B3CB"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34.001</w:t>
            </w:r>
          </w:p>
        </w:tc>
        <w:tc>
          <w:tcPr>
            <w:tcW w:w="1419" w:type="dxa"/>
            <w:noWrap/>
            <w:hideMark/>
          </w:tcPr>
          <w:p w14:paraId="55485C9E"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5,0</w:t>
            </w:r>
          </w:p>
        </w:tc>
        <w:tc>
          <w:tcPr>
            <w:tcW w:w="1419" w:type="dxa"/>
            <w:noWrap/>
            <w:hideMark/>
          </w:tcPr>
          <w:p w14:paraId="54160C7D"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10,2</w:t>
            </w:r>
          </w:p>
        </w:tc>
        <w:tc>
          <w:tcPr>
            <w:tcW w:w="1420" w:type="dxa"/>
            <w:noWrap/>
            <w:hideMark/>
          </w:tcPr>
          <w:p w14:paraId="6CE9F13F" w14:textId="77777777" w:rsidR="005A48F1" w:rsidRPr="00BD4849" w:rsidRDefault="005A48F1" w:rsidP="009F1410">
            <w:pPr>
              <w:keepNext/>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6,5</w:t>
            </w:r>
          </w:p>
        </w:tc>
      </w:tr>
    </w:tbl>
    <w:p w14:paraId="4F5F3846" w14:textId="414231FB" w:rsidR="005A48F1" w:rsidRPr="009924DC" w:rsidRDefault="005A48F1" w:rsidP="005A48F1">
      <w:pPr>
        <w:pStyle w:val="Caption"/>
        <w:ind w:left="0" w:firstLine="0"/>
        <w:rPr>
          <w:rFonts w:ascii="Arial" w:hAnsi="Arial" w:cs="Arial"/>
          <w:b w:val="0"/>
          <w:bCs/>
          <w:i w:val="0"/>
          <w:iCs/>
        </w:rPr>
      </w:pPr>
      <w:r w:rsidRPr="009924DC">
        <w:rPr>
          <w:rFonts w:ascii="Arial" w:hAnsi="Arial" w:cs="Arial"/>
          <w:b w:val="0"/>
          <w:bCs/>
          <w:i w:val="0"/>
          <w:iCs/>
        </w:rPr>
        <w:t>Vir: Jesenska napoved gospodarskih gibanj 2023 UMAR.</w:t>
      </w:r>
    </w:p>
    <w:p w14:paraId="23845050" w14:textId="77777777" w:rsidR="005A48F1" w:rsidRPr="005A48F1" w:rsidRDefault="005A48F1" w:rsidP="005A48F1">
      <w:pPr>
        <w:rPr>
          <w:lang w:eastAsia="sl-SI"/>
        </w:rPr>
      </w:pPr>
    </w:p>
    <w:tbl>
      <w:tblPr>
        <w:tblStyle w:val="ListTable3-Accent1"/>
        <w:tblW w:w="9356" w:type="dxa"/>
        <w:tblLayout w:type="fixed"/>
        <w:tblLook w:val="04A0" w:firstRow="1" w:lastRow="0" w:firstColumn="1" w:lastColumn="0" w:noHBand="0" w:noVBand="1"/>
      </w:tblPr>
      <w:tblGrid>
        <w:gridCol w:w="5524"/>
        <w:gridCol w:w="992"/>
        <w:gridCol w:w="946"/>
        <w:gridCol w:w="95"/>
        <w:gridCol w:w="852"/>
        <w:gridCol w:w="47"/>
        <w:gridCol w:w="900"/>
      </w:tblGrid>
      <w:tr w:rsidR="005A48F1" w:rsidRPr="00BD4849" w14:paraId="602BF44E" w14:textId="77777777" w:rsidTr="009F1410">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5524" w:type="dxa"/>
            <w:shd w:val="clear" w:color="auto" w:fill="B4C6E7" w:themeFill="accent5" w:themeFillTint="66"/>
            <w:noWrap/>
            <w:hideMark/>
          </w:tcPr>
          <w:p w14:paraId="12FEB198" w14:textId="77777777" w:rsidR="005A48F1" w:rsidRPr="00BD4849" w:rsidRDefault="005A48F1" w:rsidP="009F1410">
            <w:pPr>
              <w:rPr>
                <w:rFonts w:ascii="Arial" w:eastAsia="Times New Roman" w:hAnsi="Arial" w:cs="Arial"/>
                <w:b w:val="0"/>
                <w:bCs w:val="0"/>
                <w:color w:val="auto"/>
                <w:sz w:val="20"/>
                <w:szCs w:val="20"/>
                <w:lang w:eastAsia="sl-SI"/>
              </w:rPr>
            </w:pPr>
            <w:r w:rsidRPr="00BD4849">
              <w:rPr>
                <w:rFonts w:ascii="Arial" w:eastAsia="Times New Roman" w:hAnsi="Arial" w:cs="Arial"/>
                <w:b w:val="0"/>
                <w:bCs w:val="0"/>
                <w:color w:val="auto"/>
                <w:sz w:val="20"/>
                <w:szCs w:val="20"/>
                <w:lang w:eastAsia="sl-SI"/>
              </w:rPr>
              <w:t>Tabela 1d. Saldi po posameznih sektorjih</w:t>
            </w:r>
          </w:p>
        </w:tc>
        <w:tc>
          <w:tcPr>
            <w:tcW w:w="992" w:type="dxa"/>
            <w:shd w:val="clear" w:color="auto" w:fill="B4C6E7" w:themeFill="accent5" w:themeFillTint="66"/>
            <w:hideMark/>
          </w:tcPr>
          <w:p w14:paraId="4FEFD7BA" w14:textId="77777777" w:rsidR="005A48F1" w:rsidRPr="00BD4849" w:rsidRDefault="005A48F1" w:rsidP="009F141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18"/>
                <w:szCs w:val="18"/>
                <w:lang w:eastAsia="sl-SI"/>
              </w:rPr>
            </w:pPr>
            <w:r w:rsidRPr="00BD4849">
              <w:rPr>
                <w:rFonts w:ascii="Arial" w:eastAsia="Times New Roman" w:hAnsi="Arial" w:cs="Arial"/>
                <w:b w:val="0"/>
                <w:bCs w:val="0"/>
                <w:color w:val="auto"/>
                <w:sz w:val="18"/>
                <w:szCs w:val="18"/>
                <w:lang w:eastAsia="sl-SI"/>
              </w:rPr>
              <w:t xml:space="preserve">ESA </w:t>
            </w:r>
          </w:p>
          <w:p w14:paraId="3F33EDA9" w14:textId="77777777" w:rsidR="005A48F1" w:rsidRPr="00BD4849" w:rsidRDefault="005A48F1" w:rsidP="009F141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18"/>
                <w:szCs w:val="18"/>
                <w:lang w:eastAsia="sl-SI"/>
              </w:rPr>
            </w:pPr>
            <w:r w:rsidRPr="00BD4849">
              <w:rPr>
                <w:rFonts w:ascii="Arial" w:eastAsia="Times New Roman" w:hAnsi="Arial" w:cs="Arial"/>
                <w:b w:val="0"/>
                <w:bCs w:val="0"/>
                <w:color w:val="auto"/>
                <w:sz w:val="18"/>
                <w:szCs w:val="18"/>
                <w:lang w:eastAsia="sl-SI"/>
              </w:rPr>
              <w:t>koda</w:t>
            </w:r>
          </w:p>
        </w:tc>
        <w:tc>
          <w:tcPr>
            <w:tcW w:w="946" w:type="dxa"/>
            <w:shd w:val="clear" w:color="auto" w:fill="B4C6E7" w:themeFill="accent5" w:themeFillTint="66"/>
            <w:hideMark/>
          </w:tcPr>
          <w:p w14:paraId="4631463C" w14:textId="77777777" w:rsidR="005A48F1" w:rsidRPr="00BD4849" w:rsidRDefault="005A48F1" w:rsidP="009F141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18"/>
                <w:szCs w:val="18"/>
                <w:lang w:eastAsia="sl-SI"/>
              </w:rPr>
            </w:pPr>
            <w:r w:rsidRPr="00BD4849">
              <w:rPr>
                <w:rFonts w:ascii="Arial" w:eastAsia="Times New Roman" w:hAnsi="Arial" w:cs="Arial"/>
                <w:b w:val="0"/>
                <w:bCs w:val="0"/>
                <w:color w:val="auto"/>
                <w:sz w:val="18"/>
                <w:szCs w:val="18"/>
                <w:lang w:eastAsia="sl-SI"/>
              </w:rPr>
              <w:t xml:space="preserve">2022 </w:t>
            </w:r>
          </w:p>
          <w:p w14:paraId="6B603D77" w14:textId="77777777" w:rsidR="005A48F1" w:rsidRPr="00BD4849" w:rsidRDefault="005A48F1" w:rsidP="009F141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18"/>
                <w:szCs w:val="18"/>
                <w:lang w:eastAsia="sl-SI"/>
              </w:rPr>
            </w:pPr>
            <w:r w:rsidRPr="00BD4849">
              <w:rPr>
                <w:rFonts w:ascii="Arial" w:eastAsia="Times New Roman" w:hAnsi="Arial" w:cs="Arial"/>
                <w:b w:val="0"/>
                <w:bCs w:val="0"/>
                <w:color w:val="auto"/>
                <w:sz w:val="18"/>
                <w:szCs w:val="18"/>
                <w:lang w:eastAsia="sl-SI"/>
              </w:rPr>
              <w:t>(% BDP)</w:t>
            </w:r>
          </w:p>
        </w:tc>
        <w:tc>
          <w:tcPr>
            <w:tcW w:w="947" w:type="dxa"/>
            <w:gridSpan w:val="2"/>
            <w:shd w:val="clear" w:color="auto" w:fill="B4C6E7" w:themeFill="accent5" w:themeFillTint="66"/>
            <w:hideMark/>
          </w:tcPr>
          <w:p w14:paraId="6622FDFB" w14:textId="77777777" w:rsidR="005A48F1" w:rsidRPr="00BD4849" w:rsidRDefault="005A48F1" w:rsidP="009F141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18"/>
                <w:szCs w:val="18"/>
                <w:lang w:eastAsia="sl-SI"/>
              </w:rPr>
            </w:pPr>
            <w:r w:rsidRPr="00BD4849">
              <w:rPr>
                <w:rFonts w:ascii="Arial" w:eastAsia="Times New Roman" w:hAnsi="Arial" w:cs="Arial"/>
                <w:b w:val="0"/>
                <w:bCs w:val="0"/>
                <w:color w:val="auto"/>
                <w:sz w:val="18"/>
                <w:szCs w:val="18"/>
                <w:lang w:eastAsia="sl-SI"/>
              </w:rPr>
              <w:t xml:space="preserve">2023 </w:t>
            </w:r>
          </w:p>
          <w:p w14:paraId="67767AD8" w14:textId="77777777" w:rsidR="005A48F1" w:rsidRPr="00BD4849" w:rsidRDefault="005A48F1" w:rsidP="009F141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18"/>
                <w:szCs w:val="18"/>
                <w:lang w:eastAsia="sl-SI"/>
              </w:rPr>
            </w:pPr>
            <w:r w:rsidRPr="00BD4849">
              <w:rPr>
                <w:rFonts w:ascii="Arial" w:eastAsia="Times New Roman" w:hAnsi="Arial" w:cs="Arial"/>
                <w:b w:val="0"/>
                <w:bCs w:val="0"/>
                <w:color w:val="auto"/>
                <w:sz w:val="18"/>
                <w:szCs w:val="18"/>
                <w:lang w:eastAsia="sl-SI"/>
              </w:rPr>
              <w:t>(% BDP</w:t>
            </w:r>
          </w:p>
        </w:tc>
        <w:tc>
          <w:tcPr>
            <w:tcW w:w="947" w:type="dxa"/>
            <w:gridSpan w:val="2"/>
            <w:shd w:val="clear" w:color="auto" w:fill="B4C6E7" w:themeFill="accent5" w:themeFillTint="66"/>
            <w:hideMark/>
          </w:tcPr>
          <w:p w14:paraId="4753A98E" w14:textId="77777777" w:rsidR="005A48F1" w:rsidRPr="00BD4849" w:rsidRDefault="005A48F1" w:rsidP="009F141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18"/>
                <w:szCs w:val="18"/>
                <w:lang w:eastAsia="sl-SI"/>
              </w:rPr>
            </w:pPr>
            <w:r w:rsidRPr="00BD4849">
              <w:rPr>
                <w:rFonts w:ascii="Arial" w:eastAsia="Times New Roman" w:hAnsi="Arial" w:cs="Arial"/>
                <w:b w:val="0"/>
                <w:bCs w:val="0"/>
                <w:color w:val="auto"/>
                <w:sz w:val="18"/>
                <w:szCs w:val="18"/>
                <w:lang w:eastAsia="sl-SI"/>
              </w:rPr>
              <w:t xml:space="preserve">2024 </w:t>
            </w:r>
          </w:p>
          <w:p w14:paraId="6F9C7471" w14:textId="77777777" w:rsidR="005A48F1" w:rsidRPr="00BD4849" w:rsidRDefault="005A48F1" w:rsidP="009F141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18"/>
                <w:szCs w:val="18"/>
                <w:lang w:eastAsia="sl-SI"/>
              </w:rPr>
            </w:pPr>
            <w:r w:rsidRPr="00BD4849">
              <w:rPr>
                <w:rFonts w:ascii="Arial" w:eastAsia="Times New Roman" w:hAnsi="Arial" w:cs="Arial"/>
                <w:b w:val="0"/>
                <w:bCs w:val="0"/>
                <w:color w:val="auto"/>
                <w:sz w:val="18"/>
                <w:szCs w:val="18"/>
                <w:lang w:eastAsia="sl-SI"/>
              </w:rPr>
              <w:t>(% BDP)</w:t>
            </w:r>
          </w:p>
        </w:tc>
      </w:tr>
      <w:tr w:rsidR="005A48F1" w:rsidRPr="00BD4849" w14:paraId="2CDD3F9E"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524" w:type="dxa"/>
            <w:hideMark/>
          </w:tcPr>
          <w:p w14:paraId="11484BDA"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1. Neto posojanje / neto izposojanje glede na preostali svet</w:t>
            </w:r>
          </w:p>
        </w:tc>
        <w:tc>
          <w:tcPr>
            <w:tcW w:w="992" w:type="dxa"/>
            <w:hideMark/>
          </w:tcPr>
          <w:p w14:paraId="1D9292CF"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sl-SI"/>
              </w:rPr>
            </w:pPr>
            <w:r w:rsidRPr="00BD4849">
              <w:rPr>
                <w:rFonts w:ascii="Arial" w:eastAsia="Times New Roman" w:hAnsi="Arial" w:cs="Arial"/>
                <w:sz w:val="18"/>
                <w:szCs w:val="18"/>
                <w:lang w:eastAsia="sl-SI"/>
              </w:rPr>
              <w:t>B.9 (S.1)</w:t>
            </w:r>
          </w:p>
        </w:tc>
        <w:tc>
          <w:tcPr>
            <w:tcW w:w="946" w:type="dxa"/>
            <w:noWrap/>
            <w:hideMark/>
          </w:tcPr>
          <w:p w14:paraId="1B16D3E9"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-1,1</w:t>
            </w:r>
          </w:p>
        </w:tc>
        <w:tc>
          <w:tcPr>
            <w:tcW w:w="947" w:type="dxa"/>
            <w:gridSpan w:val="2"/>
            <w:noWrap/>
            <w:hideMark/>
          </w:tcPr>
          <w:p w14:paraId="55CC5AC6"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p>
        </w:tc>
        <w:tc>
          <w:tcPr>
            <w:tcW w:w="947" w:type="dxa"/>
            <w:gridSpan w:val="2"/>
            <w:noWrap/>
            <w:hideMark/>
          </w:tcPr>
          <w:p w14:paraId="1BC34290"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p>
        </w:tc>
      </w:tr>
      <w:tr w:rsidR="005A48F1" w:rsidRPr="00BD4849" w14:paraId="75C13A61" w14:textId="77777777" w:rsidTr="009F1410">
        <w:trPr>
          <w:trHeight w:val="300"/>
        </w:trPr>
        <w:tc>
          <w:tcPr>
            <w:cnfStyle w:val="001000000000" w:firstRow="0" w:lastRow="0" w:firstColumn="1" w:lastColumn="0" w:oddVBand="0" w:evenVBand="0" w:oddHBand="0" w:evenHBand="0" w:firstRowFirstColumn="0" w:firstRowLastColumn="0" w:lastRowFirstColumn="0" w:lastRowLastColumn="0"/>
            <w:tcW w:w="5524" w:type="dxa"/>
            <w:hideMark/>
          </w:tcPr>
          <w:p w14:paraId="3EDE57CE"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od tega:</w:t>
            </w:r>
          </w:p>
        </w:tc>
        <w:tc>
          <w:tcPr>
            <w:tcW w:w="992" w:type="dxa"/>
            <w:hideMark/>
          </w:tcPr>
          <w:p w14:paraId="72DB57A5"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sl-SI"/>
              </w:rPr>
            </w:pPr>
            <w:r w:rsidRPr="00BD4849">
              <w:rPr>
                <w:rFonts w:ascii="Arial" w:eastAsia="Times New Roman" w:hAnsi="Arial" w:cs="Arial"/>
                <w:sz w:val="18"/>
                <w:szCs w:val="18"/>
                <w:lang w:eastAsia="sl-SI"/>
              </w:rPr>
              <w:t> </w:t>
            </w:r>
          </w:p>
        </w:tc>
        <w:tc>
          <w:tcPr>
            <w:tcW w:w="946" w:type="dxa"/>
            <w:noWrap/>
            <w:hideMark/>
          </w:tcPr>
          <w:p w14:paraId="63BE3EAA"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947" w:type="dxa"/>
            <w:gridSpan w:val="2"/>
            <w:noWrap/>
            <w:hideMark/>
          </w:tcPr>
          <w:p w14:paraId="1476E4FD"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947" w:type="dxa"/>
            <w:gridSpan w:val="2"/>
            <w:noWrap/>
            <w:hideMark/>
          </w:tcPr>
          <w:p w14:paraId="303B8099"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r>
      <w:tr w:rsidR="005A48F1" w:rsidRPr="00BD4849" w14:paraId="1548FAB3"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524" w:type="dxa"/>
            <w:hideMark/>
          </w:tcPr>
          <w:p w14:paraId="10E9A26A"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 Saldo blaga in storitev</w:t>
            </w:r>
          </w:p>
        </w:tc>
        <w:tc>
          <w:tcPr>
            <w:tcW w:w="992" w:type="dxa"/>
            <w:hideMark/>
          </w:tcPr>
          <w:p w14:paraId="6E0863B1"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sl-SI"/>
              </w:rPr>
            </w:pPr>
            <w:r w:rsidRPr="00BD4849">
              <w:rPr>
                <w:rFonts w:ascii="Arial" w:eastAsia="Times New Roman" w:hAnsi="Arial" w:cs="Arial"/>
                <w:sz w:val="18"/>
                <w:szCs w:val="18"/>
                <w:lang w:eastAsia="sl-SI"/>
              </w:rPr>
              <w:t> </w:t>
            </w:r>
          </w:p>
        </w:tc>
        <w:tc>
          <w:tcPr>
            <w:tcW w:w="946" w:type="dxa"/>
            <w:noWrap/>
            <w:hideMark/>
          </w:tcPr>
          <w:p w14:paraId="52E57D6D"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2,3</w:t>
            </w:r>
          </w:p>
        </w:tc>
        <w:tc>
          <w:tcPr>
            <w:tcW w:w="947" w:type="dxa"/>
            <w:gridSpan w:val="2"/>
            <w:noWrap/>
            <w:hideMark/>
          </w:tcPr>
          <w:p w14:paraId="4909AFD0"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7,3</w:t>
            </w:r>
          </w:p>
        </w:tc>
        <w:tc>
          <w:tcPr>
            <w:tcW w:w="947" w:type="dxa"/>
            <w:gridSpan w:val="2"/>
            <w:noWrap/>
            <w:hideMark/>
          </w:tcPr>
          <w:p w14:paraId="13AAAA03"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5,8</w:t>
            </w:r>
          </w:p>
        </w:tc>
      </w:tr>
      <w:tr w:rsidR="005A48F1" w:rsidRPr="00BD4849" w14:paraId="12670792" w14:textId="77777777" w:rsidTr="009F1410">
        <w:trPr>
          <w:trHeight w:val="300"/>
        </w:trPr>
        <w:tc>
          <w:tcPr>
            <w:cnfStyle w:val="001000000000" w:firstRow="0" w:lastRow="0" w:firstColumn="1" w:lastColumn="0" w:oddVBand="0" w:evenVBand="0" w:oddHBand="0" w:evenHBand="0" w:firstRowFirstColumn="0" w:firstRowLastColumn="0" w:lastRowFirstColumn="0" w:lastRowLastColumn="0"/>
            <w:tcW w:w="5524" w:type="dxa"/>
            <w:hideMark/>
          </w:tcPr>
          <w:p w14:paraId="2BC6750D"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 Saldo primarnih dohodkov in tekočih transferjev</w:t>
            </w:r>
          </w:p>
        </w:tc>
        <w:tc>
          <w:tcPr>
            <w:tcW w:w="992" w:type="dxa"/>
            <w:hideMark/>
          </w:tcPr>
          <w:p w14:paraId="77854D42"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sl-SI"/>
              </w:rPr>
            </w:pPr>
            <w:r w:rsidRPr="00BD4849">
              <w:rPr>
                <w:rFonts w:ascii="Arial" w:eastAsia="Times New Roman" w:hAnsi="Arial" w:cs="Arial"/>
                <w:sz w:val="18"/>
                <w:szCs w:val="18"/>
                <w:lang w:eastAsia="sl-SI"/>
              </w:rPr>
              <w:t> </w:t>
            </w:r>
          </w:p>
        </w:tc>
        <w:tc>
          <w:tcPr>
            <w:tcW w:w="946" w:type="dxa"/>
            <w:noWrap/>
            <w:hideMark/>
          </w:tcPr>
          <w:p w14:paraId="4FF1DF80"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-3,3</w:t>
            </w:r>
          </w:p>
        </w:tc>
        <w:tc>
          <w:tcPr>
            <w:tcW w:w="947" w:type="dxa"/>
            <w:gridSpan w:val="2"/>
            <w:noWrap/>
            <w:hideMark/>
          </w:tcPr>
          <w:p w14:paraId="0D181B87"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-2,9</w:t>
            </w:r>
          </w:p>
        </w:tc>
        <w:tc>
          <w:tcPr>
            <w:tcW w:w="947" w:type="dxa"/>
            <w:gridSpan w:val="2"/>
            <w:noWrap/>
            <w:hideMark/>
          </w:tcPr>
          <w:p w14:paraId="70E4BE57"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-3,0</w:t>
            </w:r>
          </w:p>
        </w:tc>
      </w:tr>
      <w:tr w:rsidR="005A48F1" w:rsidRPr="00BD4849" w14:paraId="44C8351E"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524" w:type="dxa"/>
            <w:hideMark/>
          </w:tcPr>
          <w:p w14:paraId="159A182D"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 Saldo transferjev kapitala</w:t>
            </w:r>
          </w:p>
        </w:tc>
        <w:tc>
          <w:tcPr>
            <w:tcW w:w="992" w:type="dxa"/>
            <w:hideMark/>
          </w:tcPr>
          <w:p w14:paraId="539E294C"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sl-SI"/>
              </w:rPr>
            </w:pPr>
            <w:r w:rsidRPr="00BD4849">
              <w:rPr>
                <w:rFonts w:ascii="Arial" w:eastAsia="Times New Roman" w:hAnsi="Arial" w:cs="Arial"/>
                <w:sz w:val="18"/>
                <w:szCs w:val="18"/>
                <w:lang w:eastAsia="sl-SI"/>
              </w:rPr>
              <w:t> </w:t>
            </w:r>
          </w:p>
        </w:tc>
        <w:tc>
          <w:tcPr>
            <w:tcW w:w="946" w:type="dxa"/>
            <w:noWrap/>
            <w:hideMark/>
          </w:tcPr>
          <w:p w14:paraId="75A3363A"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-0,4</w:t>
            </w:r>
          </w:p>
        </w:tc>
        <w:tc>
          <w:tcPr>
            <w:tcW w:w="947" w:type="dxa"/>
            <w:gridSpan w:val="2"/>
            <w:noWrap/>
            <w:hideMark/>
          </w:tcPr>
          <w:p w14:paraId="1164454F"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p>
        </w:tc>
        <w:tc>
          <w:tcPr>
            <w:tcW w:w="947" w:type="dxa"/>
            <w:gridSpan w:val="2"/>
            <w:noWrap/>
            <w:hideMark/>
          </w:tcPr>
          <w:p w14:paraId="4EC3B373"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p>
        </w:tc>
      </w:tr>
      <w:tr w:rsidR="005A48F1" w:rsidRPr="00BD4849" w14:paraId="7835A641" w14:textId="77777777" w:rsidTr="009F1410">
        <w:trPr>
          <w:trHeight w:val="300"/>
        </w:trPr>
        <w:tc>
          <w:tcPr>
            <w:cnfStyle w:val="001000000000" w:firstRow="0" w:lastRow="0" w:firstColumn="1" w:lastColumn="0" w:oddVBand="0" w:evenVBand="0" w:oddHBand="0" w:evenHBand="0" w:firstRowFirstColumn="0" w:firstRowLastColumn="0" w:lastRowFirstColumn="0" w:lastRowLastColumn="0"/>
            <w:tcW w:w="5524" w:type="dxa"/>
            <w:hideMark/>
          </w:tcPr>
          <w:p w14:paraId="4FAAA0C8"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 </w:t>
            </w:r>
          </w:p>
        </w:tc>
        <w:tc>
          <w:tcPr>
            <w:tcW w:w="992" w:type="dxa"/>
            <w:hideMark/>
          </w:tcPr>
          <w:p w14:paraId="5FE6ED2C"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sl-SI"/>
              </w:rPr>
            </w:pPr>
            <w:r w:rsidRPr="00BD4849">
              <w:rPr>
                <w:rFonts w:ascii="Arial" w:eastAsia="Times New Roman" w:hAnsi="Arial" w:cs="Arial"/>
                <w:sz w:val="18"/>
                <w:szCs w:val="18"/>
                <w:lang w:eastAsia="sl-SI"/>
              </w:rPr>
              <w:t> </w:t>
            </w:r>
          </w:p>
        </w:tc>
        <w:tc>
          <w:tcPr>
            <w:tcW w:w="946" w:type="dxa"/>
            <w:noWrap/>
            <w:hideMark/>
          </w:tcPr>
          <w:p w14:paraId="3925ACFE"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947" w:type="dxa"/>
            <w:gridSpan w:val="2"/>
            <w:noWrap/>
            <w:hideMark/>
          </w:tcPr>
          <w:p w14:paraId="756A5759"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947" w:type="dxa"/>
            <w:gridSpan w:val="2"/>
            <w:noWrap/>
            <w:hideMark/>
          </w:tcPr>
          <w:p w14:paraId="0BA5F1B0"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r>
      <w:tr w:rsidR="005A48F1" w:rsidRPr="00BD4849" w14:paraId="4ACA5EA5"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524" w:type="dxa"/>
            <w:hideMark/>
          </w:tcPr>
          <w:p w14:paraId="3D380A18"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2. Neto posojanje/neto izposojanje zasebnega sektorja</w:t>
            </w:r>
          </w:p>
        </w:tc>
        <w:tc>
          <w:tcPr>
            <w:tcW w:w="992" w:type="dxa"/>
            <w:hideMark/>
          </w:tcPr>
          <w:p w14:paraId="29E80593"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sl-SI"/>
              </w:rPr>
            </w:pPr>
            <w:r w:rsidRPr="00BD4849">
              <w:rPr>
                <w:rFonts w:ascii="Arial" w:eastAsia="Times New Roman" w:hAnsi="Arial" w:cs="Arial"/>
                <w:sz w:val="18"/>
                <w:szCs w:val="18"/>
                <w:lang w:eastAsia="sl-SI"/>
              </w:rPr>
              <w:t>B.9</w:t>
            </w:r>
          </w:p>
        </w:tc>
        <w:tc>
          <w:tcPr>
            <w:tcW w:w="946" w:type="dxa"/>
            <w:noWrap/>
            <w:hideMark/>
          </w:tcPr>
          <w:p w14:paraId="452A9D7C"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1,9</w:t>
            </w:r>
          </w:p>
        </w:tc>
        <w:tc>
          <w:tcPr>
            <w:tcW w:w="947" w:type="dxa"/>
            <w:gridSpan w:val="2"/>
            <w:noWrap/>
            <w:hideMark/>
          </w:tcPr>
          <w:p w14:paraId="0EE88A06"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p>
        </w:tc>
        <w:tc>
          <w:tcPr>
            <w:tcW w:w="947" w:type="dxa"/>
            <w:gridSpan w:val="2"/>
            <w:noWrap/>
            <w:hideMark/>
          </w:tcPr>
          <w:p w14:paraId="0A03B1D8"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p>
        </w:tc>
      </w:tr>
      <w:tr w:rsidR="005A48F1" w:rsidRPr="00BD4849" w14:paraId="2624CD22" w14:textId="77777777" w:rsidTr="009F1410">
        <w:trPr>
          <w:trHeight w:val="300"/>
        </w:trPr>
        <w:tc>
          <w:tcPr>
            <w:cnfStyle w:val="001000000000" w:firstRow="0" w:lastRow="0" w:firstColumn="1" w:lastColumn="0" w:oddVBand="0" w:evenVBand="0" w:oddHBand="0" w:evenHBand="0" w:firstRowFirstColumn="0" w:firstRowLastColumn="0" w:lastRowFirstColumn="0" w:lastRowLastColumn="0"/>
            <w:tcW w:w="5524" w:type="dxa"/>
            <w:hideMark/>
          </w:tcPr>
          <w:p w14:paraId="509DBC1A"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3. Neto posojanje/neto izposojanje sektorja država</w:t>
            </w:r>
          </w:p>
        </w:tc>
        <w:tc>
          <w:tcPr>
            <w:tcW w:w="992" w:type="dxa"/>
            <w:hideMark/>
          </w:tcPr>
          <w:p w14:paraId="4E461B52"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sl-SI"/>
              </w:rPr>
            </w:pPr>
            <w:r w:rsidRPr="00BD4849">
              <w:rPr>
                <w:rFonts w:ascii="Arial" w:eastAsia="Times New Roman" w:hAnsi="Arial" w:cs="Arial"/>
                <w:sz w:val="18"/>
                <w:szCs w:val="18"/>
                <w:lang w:eastAsia="sl-SI"/>
              </w:rPr>
              <w:t>EDP B.9</w:t>
            </w:r>
          </w:p>
        </w:tc>
        <w:tc>
          <w:tcPr>
            <w:tcW w:w="946" w:type="dxa"/>
            <w:noWrap/>
            <w:hideMark/>
          </w:tcPr>
          <w:p w14:paraId="7292E583"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-3,0</w:t>
            </w:r>
          </w:p>
        </w:tc>
        <w:tc>
          <w:tcPr>
            <w:tcW w:w="947" w:type="dxa"/>
            <w:gridSpan w:val="2"/>
            <w:noWrap/>
            <w:hideMark/>
          </w:tcPr>
          <w:p w14:paraId="087BD2CC"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-4,5</w:t>
            </w:r>
          </w:p>
        </w:tc>
        <w:tc>
          <w:tcPr>
            <w:tcW w:w="947" w:type="dxa"/>
            <w:gridSpan w:val="2"/>
            <w:noWrap/>
            <w:hideMark/>
          </w:tcPr>
          <w:p w14:paraId="1152877F"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-3,8</w:t>
            </w:r>
          </w:p>
        </w:tc>
      </w:tr>
      <w:tr w:rsidR="005A48F1" w:rsidRPr="00BD4849" w14:paraId="666E0AC1"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524" w:type="dxa"/>
            <w:hideMark/>
          </w:tcPr>
          <w:p w14:paraId="6CDE5B74"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4. Statistična razlika</w:t>
            </w:r>
          </w:p>
        </w:tc>
        <w:tc>
          <w:tcPr>
            <w:tcW w:w="992" w:type="dxa"/>
            <w:hideMark/>
          </w:tcPr>
          <w:p w14:paraId="296763A2"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1041" w:type="dxa"/>
            <w:gridSpan w:val="2"/>
            <w:noWrap/>
            <w:hideMark/>
          </w:tcPr>
          <w:p w14:paraId="7E66064E"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p>
        </w:tc>
        <w:tc>
          <w:tcPr>
            <w:tcW w:w="899" w:type="dxa"/>
            <w:gridSpan w:val="2"/>
            <w:noWrap/>
            <w:hideMark/>
          </w:tcPr>
          <w:p w14:paraId="2B0CD0FA"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p>
        </w:tc>
        <w:tc>
          <w:tcPr>
            <w:tcW w:w="900" w:type="dxa"/>
            <w:noWrap/>
            <w:hideMark/>
          </w:tcPr>
          <w:p w14:paraId="25B9DD5D" w14:textId="77777777" w:rsidR="005A48F1" w:rsidRPr="00BD4849" w:rsidRDefault="005A48F1" w:rsidP="009F1410">
            <w:pPr>
              <w:keepNext/>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p>
        </w:tc>
      </w:tr>
    </w:tbl>
    <w:p w14:paraId="269F8361" w14:textId="16592A04" w:rsidR="005A48F1" w:rsidRDefault="005A48F1" w:rsidP="009924DC">
      <w:pPr>
        <w:pStyle w:val="Caption"/>
        <w:ind w:left="0" w:firstLine="0"/>
        <w:jc w:val="left"/>
        <w:rPr>
          <w:rFonts w:ascii="Arial" w:hAnsi="Arial" w:cs="Arial"/>
          <w:b w:val="0"/>
          <w:bCs/>
          <w:i w:val="0"/>
          <w:iCs/>
        </w:rPr>
      </w:pPr>
      <w:r w:rsidRPr="009924DC">
        <w:rPr>
          <w:rFonts w:ascii="Arial" w:hAnsi="Arial" w:cs="Arial"/>
          <w:b w:val="0"/>
          <w:bCs/>
          <w:i w:val="0"/>
          <w:iCs/>
        </w:rPr>
        <w:t>Vir: SURS; Jesenska napoved gospodarskih gibanj 2023 UMAR.</w:t>
      </w:r>
    </w:p>
    <w:p w14:paraId="75AD9BBD" w14:textId="203C9C05" w:rsidR="009924DC" w:rsidRDefault="009924DC" w:rsidP="009924DC">
      <w:pPr>
        <w:rPr>
          <w:lang w:eastAsia="sl-SI"/>
        </w:rPr>
      </w:pPr>
    </w:p>
    <w:p w14:paraId="503A371E" w14:textId="646168CA" w:rsidR="009924DC" w:rsidRDefault="009924DC" w:rsidP="009924DC">
      <w:pPr>
        <w:rPr>
          <w:lang w:eastAsia="sl-SI"/>
        </w:rPr>
      </w:pPr>
    </w:p>
    <w:p w14:paraId="07FE06FF" w14:textId="375F108C" w:rsidR="009924DC" w:rsidRDefault="009924DC" w:rsidP="009924DC">
      <w:pPr>
        <w:rPr>
          <w:lang w:eastAsia="sl-SI"/>
        </w:rPr>
      </w:pPr>
    </w:p>
    <w:p w14:paraId="550A8F45" w14:textId="11271DB1" w:rsidR="009924DC" w:rsidRDefault="009924DC" w:rsidP="009924DC">
      <w:pPr>
        <w:rPr>
          <w:lang w:eastAsia="sl-SI"/>
        </w:rPr>
      </w:pPr>
    </w:p>
    <w:p w14:paraId="24AAB7B0" w14:textId="4455B11B" w:rsidR="009924DC" w:rsidRDefault="009924DC" w:rsidP="009924DC">
      <w:pPr>
        <w:rPr>
          <w:lang w:eastAsia="sl-SI"/>
        </w:rPr>
      </w:pPr>
    </w:p>
    <w:p w14:paraId="26782E4E" w14:textId="6B95237A" w:rsidR="009924DC" w:rsidRDefault="009924DC" w:rsidP="009924DC">
      <w:pPr>
        <w:rPr>
          <w:lang w:eastAsia="sl-SI"/>
        </w:rPr>
      </w:pPr>
    </w:p>
    <w:p w14:paraId="537EE18D" w14:textId="459FBD28" w:rsidR="009924DC" w:rsidRDefault="009924DC" w:rsidP="009924DC">
      <w:pPr>
        <w:rPr>
          <w:lang w:eastAsia="sl-SI"/>
        </w:rPr>
      </w:pPr>
    </w:p>
    <w:p w14:paraId="1C2886B1" w14:textId="59C40200" w:rsidR="009924DC" w:rsidRDefault="009924DC" w:rsidP="009924DC">
      <w:pPr>
        <w:rPr>
          <w:lang w:eastAsia="sl-SI"/>
        </w:rPr>
      </w:pPr>
    </w:p>
    <w:p w14:paraId="4F8DA1B3" w14:textId="078138DB" w:rsidR="009924DC" w:rsidRDefault="009924DC" w:rsidP="009924DC">
      <w:pPr>
        <w:rPr>
          <w:lang w:eastAsia="sl-SI"/>
        </w:rPr>
      </w:pPr>
    </w:p>
    <w:p w14:paraId="036EE176" w14:textId="4FCC0C4F" w:rsidR="009924DC" w:rsidRDefault="009924DC" w:rsidP="009924DC">
      <w:pPr>
        <w:rPr>
          <w:lang w:eastAsia="sl-SI"/>
        </w:rPr>
      </w:pPr>
    </w:p>
    <w:p w14:paraId="6201257D" w14:textId="610810BD" w:rsidR="009924DC" w:rsidRDefault="009924DC" w:rsidP="009924DC">
      <w:pPr>
        <w:rPr>
          <w:lang w:eastAsia="sl-SI"/>
        </w:rPr>
      </w:pPr>
    </w:p>
    <w:p w14:paraId="0D7704D2" w14:textId="77777777" w:rsidR="009924DC" w:rsidRPr="009924DC" w:rsidRDefault="009924DC" w:rsidP="009924DC">
      <w:pPr>
        <w:rPr>
          <w:lang w:eastAsia="sl-SI"/>
        </w:rPr>
      </w:pPr>
    </w:p>
    <w:tbl>
      <w:tblPr>
        <w:tblStyle w:val="ListTable3-Accent1"/>
        <w:tblW w:w="9356" w:type="dxa"/>
        <w:tblLayout w:type="fixed"/>
        <w:tblLook w:val="04A0" w:firstRow="1" w:lastRow="0" w:firstColumn="1" w:lastColumn="0" w:noHBand="0" w:noVBand="1"/>
      </w:tblPr>
      <w:tblGrid>
        <w:gridCol w:w="4970"/>
        <w:gridCol w:w="1171"/>
        <w:gridCol w:w="1071"/>
        <w:gridCol w:w="1072"/>
        <w:gridCol w:w="1072"/>
      </w:tblGrid>
      <w:tr w:rsidR="005A48F1" w:rsidRPr="00BD4849" w14:paraId="7C612412" w14:textId="77777777" w:rsidTr="009F1410">
        <w:trPr>
          <w:cnfStyle w:val="100000000000" w:firstRow="1" w:lastRow="0" w:firstColumn="0" w:lastColumn="0" w:oddVBand="0" w:evenVBand="0" w:oddHBand="0" w:evenHBand="0" w:firstRowFirstColumn="0" w:firstRowLastColumn="0" w:lastRowFirstColumn="0" w:lastRowLastColumn="0"/>
          <w:trHeight w:val="315"/>
        </w:trPr>
        <w:tc>
          <w:tcPr>
            <w:cnfStyle w:val="001000000100" w:firstRow="0" w:lastRow="0" w:firstColumn="1" w:lastColumn="0" w:oddVBand="0" w:evenVBand="0" w:oddHBand="0" w:evenHBand="0" w:firstRowFirstColumn="1" w:firstRowLastColumn="0" w:lastRowFirstColumn="0" w:lastRowLastColumn="0"/>
            <w:tcW w:w="4970" w:type="dxa"/>
            <w:shd w:val="clear" w:color="auto" w:fill="B4C6E7" w:themeFill="accent5" w:themeFillTint="66"/>
            <w:noWrap/>
            <w:hideMark/>
          </w:tcPr>
          <w:p w14:paraId="507FDDFB" w14:textId="77777777" w:rsidR="005A48F1" w:rsidRPr="00BD4849" w:rsidRDefault="005A48F1" w:rsidP="009F1410">
            <w:pPr>
              <w:rPr>
                <w:rFonts w:ascii="Arial" w:eastAsia="Times New Roman" w:hAnsi="Arial" w:cs="Arial"/>
                <w:b w:val="0"/>
                <w:bCs w:val="0"/>
                <w:color w:val="auto"/>
                <w:sz w:val="20"/>
                <w:szCs w:val="20"/>
                <w:lang w:eastAsia="sl-SI"/>
              </w:rPr>
            </w:pPr>
            <w:r w:rsidRPr="00BD4849">
              <w:rPr>
                <w:rFonts w:ascii="Arial" w:eastAsia="Times New Roman" w:hAnsi="Arial" w:cs="Arial"/>
                <w:b w:val="0"/>
                <w:bCs w:val="0"/>
                <w:color w:val="auto"/>
                <w:sz w:val="20"/>
                <w:szCs w:val="20"/>
                <w:lang w:eastAsia="sl-SI"/>
              </w:rPr>
              <w:lastRenderedPageBreak/>
              <w:t>Tabela 2a. Konsolidirana bilanca sektorja države</w:t>
            </w:r>
          </w:p>
        </w:tc>
        <w:tc>
          <w:tcPr>
            <w:tcW w:w="1171" w:type="dxa"/>
            <w:shd w:val="clear" w:color="auto" w:fill="B4C6E7" w:themeFill="accent5" w:themeFillTint="66"/>
            <w:hideMark/>
          </w:tcPr>
          <w:p w14:paraId="5473B36F" w14:textId="77777777" w:rsidR="005A48F1" w:rsidRPr="00BD4849" w:rsidRDefault="005A48F1" w:rsidP="009F141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lang w:eastAsia="sl-SI"/>
              </w:rPr>
            </w:pPr>
            <w:r w:rsidRPr="00BD4849">
              <w:rPr>
                <w:rFonts w:ascii="Arial" w:eastAsia="Times New Roman" w:hAnsi="Arial" w:cs="Arial"/>
                <w:b w:val="0"/>
                <w:bCs w:val="0"/>
                <w:color w:val="auto"/>
                <w:sz w:val="20"/>
                <w:szCs w:val="20"/>
                <w:lang w:eastAsia="sl-SI"/>
              </w:rPr>
              <w:t xml:space="preserve">ESA </w:t>
            </w:r>
          </w:p>
          <w:p w14:paraId="75B78D93" w14:textId="77777777" w:rsidR="005A48F1" w:rsidRPr="00BD4849" w:rsidRDefault="005A48F1" w:rsidP="009F141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lang w:eastAsia="sl-SI"/>
              </w:rPr>
            </w:pPr>
            <w:r w:rsidRPr="00BD4849">
              <w:rPr>
                <w:rFonts w:ascii="Arial" w:eastAsia="Times New Roman" w:hAnsi="Arial" w:cs="Arial"/>
                <w:b w:val="0"/>
                <w:bCs w:val="0"/>
                <w:color w:val="auto"/>
                <w:sz w:val="20"/>
                <w:szCs w:val="20"/>
                <w:lang w:eastAsia="sl-SI"/>
              </w:rPr>
              <w:t>koda</w:t>
            </w:r>
          </w:p>
        </w:tc>
        <w:tc>
          <w:tcPr>
            <w:tcW w:w="1071" w:type="dxa"/>
            <w:shd w:val="clear" w:color="auto" w:fill="B4C6E7" w:themeFill="accent5" w:themeFillTint="66"/>
            <w:hideMark/>
          </w:tcPr>
          <w:p w14:paraId="1DBF41F5" w14:textId="77777777" w:rsidR="005A48F1" w:rsidRPr="00BD4849" w:rsidRDefault="005A48F1" w:rsidP="009F141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lang w:eastAsia="sl-SI"/>
              </w:rPr>
            </w:pPr>
            <w:r w:rsidRPr="00BD4849">
              <w:rPr>
                <w:rFonts w:ascii="Arial" w:eastAsia="Times New Roman" w:hAnsi="Arial" w:cs="Arial"/>
                <w:b w:val="0"/>
                <w:bCs w:val="0"/>
                <w:color w:val="auto"/>
                <w:sz w:val="20"/>
                <w:szCs w:val="20"/>
                <w:lang w:eastAsia="sl-SI"/>
              </w:rPr>
              <w:t xml:space="preserve">2022 </w:t>
            </w:r>
          </w:p>
          <w:p w14:paraId="4D5209BA" w14:textId="77777777" w:rsidR="005A48F1" w:rsidRPr="00BD4849" w:rsidRDefault="005A48F1" w:rsidP="009F141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lang w:eastAsia="sl-SI"/>
              </w:rPr>
            </w:pPr>
            <w:r w:rsidRPr="00BD4849">
              <w:rPr>
                <w:rFonts w:ascii="Arial" w:eastAsia="Times New Roman" w:hAnsi="Arial" w:cs="Arial"/>
                <w:b w:val="0"/>
                <w:bCs w:val="0"/>
                <w:color w:val="auto"/>
                <w:sz w:val="20"/>
                <w:szCs w:val="20"/>
                <w:lang w:eastAsia="sl-SI"/>
              </w:rPr>
              <w:t>(% BDP)</w:t>
            </w:r>
          </w:p>
        </w:tc>
        <w:tc>
          <w:tcPr>
            <w:tcW w:w="1072" w:type="dxa"/>
            <w:shd w:val="clear" w:color="auto" w:fill="B4C6E7" w:themeFill="accent5" w:themeFillTint="66"/>
            <w:hideMark/>
          </w:tcPr>
          <w:p w14:paraId="5F4C0779" w14:textId="77777777" w:rsidR="005A48F1" w:rsidRPr="00BD4849" w:rsidRDefault="005A48F1" w:rsidP="009F141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lang w:eastAsia="sl-SI"/>
              </w:rPr>
            </w:pPr>
            <w:r w:rsidRPr="00BD4849">
              <w:rPr>
                <w:rFonts w:ascii="Arial" w:eastAsia="Times New Roman" w:hAnsi="Arial" w:cs="Arial"/>
                <w:b w:val="0"/>
                <w:bCs w:val="0"/>
                <w:color w:val="auto"/>
                <w:sz w:val="20"/>
                <w:szCs w:val="20"/>
                <w:lang w:eastAsia="sl-SI"/>
              </w:rPr>
              <w:t xml:space="preserve">2023 </w:t>
            </w:r>
          </w:p>
          <w:p w14:paraId="02C7A42C" w14:textId="77777777" w:rsidR="005A48F1" w:rsidRPr="00BD4849" w:rsidRDefault="005A48F1" w:rsidP="009F141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lang w:eastAsia="sl-SI"/>
              </w:rPr>
            </w:pPr>
            <w:r w:rsidRPr="00BD4849">
              <w:rPr>
                <w:rFonts w:ascii="Arial" w:eastAsia="Times New Roman" w:hAnsi="Arial" w:cs="Arial"/>
                <w:b w:val="0"/>
                <w:bCs w:val="0"/>
                <w:color w:val="auto"/>
                <w:sz w:val="20"/>
                <w:szCs w:val="20"/>
                <w:lang w:eastAsia="sl-SI"/>
              </w:rPr>
              <w:t>(% BDP)</w:t>
            </w:r>
          </w:p>
        </w:tc>
        <w:tc>
          <w:tcPr>
            <w:tcW w:w="1072" w:type="dxa"/>
            <w:shd w:val="clear" w:color="auto" w:fill="B4C6E7" w:themeFill="accent5" w:themeFillTint="66"/>
            <w:hideMark/>
          </w:tcPr>
          <w:p w14:paraId="3FF1DF16" w14:textId="77777777" w:rsidR="005A48F1" w:rsidRPr="00BD4849" w:rsidRDefault="005A48F1" w:rsidP="009F141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lang w:eastAsia="sl-SI"/>
              </w:rPr>
            </w:pPr>
            <w:r w:rsidRPr="00BD4849">
              <w:rPr>
                <w:rFonts w:ascii="Arial" w:eastAsia="Times New Roman" w:hAnsi="Arial" w:cs="Arial"/>
                <w:b w:val="0"/>
                <w:bCs w:val="0"/>
                <w:color w:val="auto"/>
                <w:sz w:val="20"/>
                <w:szCs w:val="20"/>
                <w:lang w:eastAsia="sl-SI"/>
              </w:rPr>
              <w:t xml:space="preserve">2024 </w:t>
            </w:r>
          </w:p>
          <w:p w14:paraId="3D082430" w14:textId="77777777" w:rsidR="005A48F1" w:rsidRPr="00BD4849" w:rsidRDefault="005A48F1" w:rsidP="009F141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lang w:eastAsia="sl-SI"/>
              </w:rPr>
            </w:pPr>
            <w:r w:rsidRPr="00BD4849">
              <w:rPr>
                <w:rFonts w:ascii="Arial" w:eastAsia="Times New Roman" w:hAnsi="Arial" w:cs="Arial"/>
                <w:b w:val="0"/>
                <w:bCs w:val="0"/>
                <w:color w:val="auto"/>
                <w:sz w:val="20"/>
                <w:szCs w:val="20"/>
                <w:lang w:eastAsia="sl-SI"/>
              </w:rPr>
              <w:t>(% BDP)</w:t>
            </w:r>
          </w:p>
        </w:tc>
      </w:tr>
      <w:tr w:rsidR="005A48F1" w:rsidRPr="008F301B" w14:paraId="3D9A52BC"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970" w:type="dxa"/>
            <w:hideMark/>
          </w:tcPr>
          <w:p w14:paraId="35B1B030"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Primanjkljaj/presežek države po podsektorjih (B.9)</w:t>
            </w:r>
          </w:p>
        </w:tc>
        <w:tc>
          <w:tcPr>
            <w:tcW w:w="1171" w:type="dxa"/>
            <w:hideMark/>
          </w:tcPr>
          <w:p w14:paraId="7CC0FFC5"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1071" w:type="dxa"/>
            <w:noWrap/>
            <w:hideMark/>
          </w:tcPr>
          <w:p w14:paraId="13211CB5"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1072" w:type="dxa"/>
            <w:noWrap/>
            <w:hideMark/>
          </w:tcPr>
          <w:p w14:paraId="78571435"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1072" w:type="dxa"/>
            <w:noWrap/>
            <w:hideMark/>
          </w:tcPr>
          <w:p w14:paraId="3FAF27E5"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r>
      <w:tr w:rsidR="005A48F1" w:rsidRPr="00BD4849" w14:paraId="0062E83C" w14:textId="77777777" w:rsidTr="009F1410">
        <w:trPr>
          <w:trHeight w:val="300"/>
        </w:trPr>
        <w:tc>
          <w:tcPr>
            <w:cnfStyle w:val="001000000000" w:firstRow="0" w:lastRow="0" w:firstColumn="1" w:lastColumn="0" w:oddVBand="0" w:evenVBand="0" w:oddHBand="0" w:evenHBand="0" w:firstRowFirstColumn="0" w:firstRowLastColumn="0" w:lastRowFirstColumn="0" w:lastRowLastColumn="0"/>
            <w:tcW w:w="4970" w:type="dxa"/>
            <w:hideMark/>
          </w:tcPr>
          <w:p w14:paraId="6464C844"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1. Enote širše ravni države</w:t>
            </w:r>
          </w:p>
        </w:tc>
        <w:tc>
          <w:tcPr>
            <w:tcW w:w="1171" w:type="dxa"/>
            <w:hideMark/>
          </w:tcPr>
          <w:p w14:paraId="0963CDF8"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S.13</w:t>
            </w:r>
          </w:p>
        </w:tc>
        <w:tc>
          <w:tcPr>
            <w:tcW w:w="1071" w:type="dxa"/>
            <w:noWrap/>
            <w:hideMark/>
          </w:tcPr>
          <w:p w14:paraId="54E160D5"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-3,0</w:t>
            </w:r>
          </w:p>
        </w:tc>
        <w:tc>
          <w:tcPr>
            <w:tcW w:w="1072" w:type="dxa"/>
            <w:noWrap/>
            <w:hideMark/>
          </w:tcPr>
          <w:p w14:paraId="654CBEFE"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-4,5</w:t>
            </w:r>
          </w:p>
        </w:tc>
        <w:tc>
          <w:tcPr>
            <w:tcW w:w="1072" w:type="dxa"/>
            <w:noWrap/>
            <w:hideMark/>
          </w:tcPr>
          <w:p w14:paraId="4C47FA87"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-3,8</w:t>
            </w:r>
          </w:p>
        </w:tc>
      </w:tr>
      <w:tr w:rsidR="005A48F1" w:rsidRPr="00BD4849" w14:paraId="407B2E3B"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970" w:type="dxa"/>
            <w:hideMark/>
          </w:tcPr>
          <w:p w14:paraId="6D73FB71"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2. Enote centralne ravni države</w:t>
            </w:r>
          </w:p>
        </w:tc>
        <w:tc>
          <w:tcPr>
            <w:tcW w:w="1171" w:type="dxa"/>
            <w:hideMark/>
          </w:tcPr>
          <w:p w14:paraId="1582205B"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S.1311</w:t>
            </w:r>
          </w:p>
        </w:tc>
        <w:tc>
          <w:tcPr>
            <w:tcW w:w="1071" w:type="dxa"/>
            <w:noWrap/>
            <w:hideMark/>
          </w:tcPr>
          <w:p w14:paraId="3C200020"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-2,6</w:t>
            </w:r>
          </w:p>
        </w:tc>
        <w:tc>
          <w:tcPr>
            <w:tcW w:w="1072" w:type="dxa"/>
            <w:noWrap/>
            <w:hideMark/>
          </w:tcPr>
          <w:p w14:paraId="32B1A6E4"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-4,5</w:t>
            </w:r>
          </w:p>
        </w:tc>
        <w:tc>
          <w:tcPr>
            <w:tcW w:w="1072" w:type="dxa"/>
            <w:noWrap/>
            <w:hideMark/>
          </w:tcPr>
          <w:p w14:paraId="645C3571"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-3,8</w:t>
            </w:r>
          </w:p>
        </w:tc>
      </w:tr>
      <w:tr w:rsidR="005A48F1" w:rsidRPr="00BD4849" w14:paraId="71A44A6C" w14:textId="77777777" w:rsidTr="009F1410">
        <w:trPr>
          <w:trHeight w:val="300"/>
        </w:trPr>
        <w:tc>
          <w:tcPr>
            <w:cnfStyle w:val="001000000000" w:firstRow="0" w:lastRow="0" w:firstColumn="1" w:lastColumn="0" w:oddVBand="0" w:evenVBand="0" w:oddHBand="0" w:evenHBand="0" w:firstRowFirstColumn="0" w:firstRowLastColumn="0" w:lastRowFirstColumn="0" w:lastRowLastColumn="0"/>
            <w:tcW w:w="4970" w:type="dxa"/>
            <w:hideMark/>
          </w:tcPr>
          <w:p w14:paraId="50A962C7"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3. Enote regionalne ravni države</w:t>
            </w:r>
          </w:p>
        </w:tc>
        <w:tc>
          <w:tcPr>
            <w:tcW w:w="1171" w:type="dxa"/>
            <w:hideMark/>
          </w:tcPr>
          <w:p w14:paraId="0D3F41DD"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S.1312</w:t>
            </w:r>
          </w:p>
        </w:tc>
        <w:tc>
          <w:tcPr>
            <w:tcW w:w="1071" w:type="dxa"/>
            <w:noWrap/>
          </w:tcPr>
          <w:p w14:paraId="4ECE7F65"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p>
        </w:tc>
        <w:tc>
          <w:tcPr>
            <w:tcW w:w="1072" w:type="dxa"/>
            <w:noWrap/>
            <w:hideMark/>
          </w:tcPr>
          <w:p w14:paraId="62FA23CD"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p>
        </w:tc>
        <w:tc>
          <w:tcPr>
            <w:tcW w:w="1072" w:type="dxa"/>
            <w:noWrap/>
            <w:hideMark/>
          </w:tcPr>
          <w:p w14:paraId="313C4EB5"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p>
        </w:tc>
      </w:tr>
      <w:tr w:rsidR="005A48F1" w:rsidRPr="00BD4849" w14:paraId="1B968344"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970" w:type="dxa"/>
            <w:hideMark/>
          </w:tcPr>
          <w:p w14:paraId="46C7F4D0"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4. Enote lokalne ravni države</w:t>
            </w:r>
          </w:p>
        </w:tc>
        <w:tc>
          <w:tcPr>
            <w:tcW w:w="1171" w:type="dxa"/>
            <w:hideMark/>
          </w:tcPr>
          <w:p w14:paraId="0007B8D7"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S.1313</w:t>
            </w:r>
          </w:p>
        </w:tc>
        <w:tc>
          <w:tcPr>
            <w:tcW w:w="1071" w:type="dxa"/>
            <w:noWrap/>
          </w:tcPr>
          <w:p w14:paraId="434ACB73"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-0,2</w:t>
            </w:r>
          </w:p>
        </w:tc>
        <w:tc>
          <w:tcPr>
            <w:tcW w:w="1072" w:type="dxa"/>
            <w:noWrap/>
            <w:hideMark/>
          </w:tcPr>
          <w:p w14:paraId="276BCF3A"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0,2</w:t>
            </w:r>
          </w:p>
        </w:tc>
        <w:tc>
          <w:tcPr>
            <w:tcW w:w="1072" w:type="dxa"/>
            <w:noWrap/>
            <w:hideMark/>
          </w:tcPr>
          <w:p w14:paraId="6DF99A04"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0,0</w:t>
            </w:r>
          </w:p>
        </w:tc>
      </w:tr>
      <w:tr w:rsidR="005A48F1" w:rsidRPr="00BD4849" w14:paraId="1337BD69" w14:textId="77777777" w:rsidTr="009F1410">
        <w:trPr>
          <w:trHeight w:val="300"/>
        </w:trPr>
        <w:tc>
          <w:tcPr>
            <w:cnfStyle w:val="001000000000" w:firstRow="0" w:lastRow="0" w:firstColumn="1" w:lastColumn="0" w:oddVBand="0" w:evenVBand="0" w:oddHBand="0" w:evenHBand="0" w:firstRowFirstColumn="0" w:firstRowLastColumn="0" w:lastRowFirstColumn="0" w:lastRowLastColumn="0"/>
            <w:tcW w:w="4970" w:type="dxa"/>
            <w:hideMark/>
          </w:tcPr>
          <w:p w14:paraId="78368C42"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5. Skladi socialnega zavarovanja</w:t>
            </w:r>
          </w:p>
        </w:tc>
        <w:tc>
          <w:tcPr>
            <w:tcW w:w="1171" w:type="dxa"/>
            <w:hideMark/>
          </w:tcPr>
          <w:p w14:paraId="5FAFC7E5"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S.1314</w:t>
            </w:r>
          </w:p>
        </w:tc>
        <w:tc>
          <w:tcPr>
            <w:tcW w:w="1071" w:type="dxa"/>
            <w:noWrap/>
            <w:hideMark/>
          </w:tcPr>
          <w:p w14:paraId="75948936"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-0,2</w:t>
            </w:r>
          </w:p>
        </w:tc>
        <w:tc>
          <w:tcPr>
            <w:tcW w:w="1072" w:type="dxa"/>
            <w:noWrap/>
            <w:hideMark/>
          </w:tcPr>
          <w:p w14:paraId="5E60C178"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-0,2</w:t>
            </w:r>
          </w:p>
        </w:tc>
        <w:tc>
          <w:tcPr>
            <w:tcW w:w="1072" w:type="dxa"/>
            <w:noWrap/>
            <w:hideMark/>
          </w:tcPr>
          <w:p w14:paraId="40EB0551"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0,0</w:t>
            </w:r>
          </w:p>
        </w:tc>
      </w:tr>
      <w:tr w:rsidR="005A48F1" w:rsidRPr="00BD4849" w14:paraId="7E3AF405"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970" w:type="dxa"/>
            <w:hideMark/>
          </w:tcPr>
          <w:p w14:paraId="5C6A1579"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6. Izdatki za obresti</w:t>
            </w:r>
          </w:p>
        </w:tc>
        <w:tc>
          <w:tcPr>
            <w:tcW w:w="1171" w:type="dxa"/>
            <w:hideMark/>
          </w:tcPr>
          <w:p w14:paraId="6CC6A2DD"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EDP D.41</w:t>
            </w:r>
          </w:p>
        </w:tc>
        <w:tc>
          <w:tcPr>
            <w:tcW w:w="1071" w:type="dxa"/>
            <w:noWrap/>
            <w:hideMark/>
          </w:tcPr>
          <w:p w14:paraId="1B62E54F"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1,1</w:t>
            </w:r>
          </w:p>
        </w:tc>
        <w:tc>
          <w:tcPr>
            <w:tcW w:w="1072" w:type="dxa"/>
            <w:noWrap/>
            <w:hideMark/>
          </w:tcPr>
          <w:p w14:paraId="3C03C644"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1,2</w:t>
            </w:r>
          </w:p>
        </w:tc>
        <w:tc>
          <w:tcPr>
            <w:tcW w:w="1072" w:type="dxa"/>
            <w:noWrap/>
            <w:hideMark/>
          </w:tcPr>
          <w:p w14:paraId="77D9EBE0"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1,3</w:t>
            </w:r>
          </w:p>
        </w:tc>
      </w:tr>
      <w:tr w:rsidR="005A48F1" w:rsidRPr="00BD4849" w14:paraId="3CB26814" w14:textId="77777777" w:rsidTr="009F1410">
        <w:trPr>
          <w:trHeight w:val="300"/>
        </w:trPr>
        <w:tc>
          <w:tcPr>
            <w:cnfStyle w:val="001000000000" w:firstRow="0" w:lastRow="0" w:firstColumn="1" w:lastColumn="0" w:oddVBand="0" w:evenVBand="0" w:oddHBand="0" w:evenHBand="0" w:firstRowFirstColumn="0" w:firstRowLastColumn="0" w:lastRowFirstColumn="0" w:lastRowLastColumn="0"/>
            <w:tcW w:w="4970" w:type="dxa"/>
            <w:hideMark/>
          </w:tcPr>
          <w:p w14:paraId="36B06990"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7. Primarni presežek/primanjkljaj</w:t>
            </w:r>
          </w:p>
        </w:tc>
        <w:tc>
          <w:tcPr>
            <w:tcW w:w="1171" w:type="dxa"/>
            <w:hideMark/>
          </w:tcPr>
          <w:p w14:paraId="28CE9BFF"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1071" w:type="dxa"/>
            <w:noWrap/>
            <w:hideMark/>
          </w:tcPr>
          <w:p w14:paraId="19434195"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-1,9</w:t>
            </w:r>
          </w:p>
        </w:tc>
        <w:tc>
          <w:tcPr>
            <w:tcW w:w="1072" w:type="dxa"/>
            <w:noWrap/>
            <w:hideMark/>
          </w:tcPr>
          <w:p w14:paraId="4437B098"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-3,3</w:t>
            </w:r>
          </w:p>
        </w:tc>
        <w:tc>
          <w:tcPr>
            <w:tcW w:w="1072" w:type="dxa"/>
            <w:noWrap/>
            <w:hideMark/>
          </w:tcPr>
          <w:p w14:paraId="277E8B4A"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-2,5</w:t>
            </w:r>
          </w:p>
        </w:tc>
      </w:tr>
      <w:tr w:rsidR="005A48F1" w:rsidRPr="00BD4849" w14:paraId="00DEB190"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970" w:type="dxa"/>
            <w:hideMark/>
          </w:tcPr>
          <w:p w14:paraId="234FAB12"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8. Enkratni in drugi začasni ukrepi</w:t>
            </w:r>
          </w:p>
        </w:tc>
        <w:tc>
          <w:tcPr>
            <w:tcW w:w="1171" w:type="dxa"/>
            <w:hideMark/>
          </w:tcPr>
          <w:p w14:paraId="4262A948"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1071" w:type="dxa"/>
            <w:noWrap/>
            <w:hideMark/>
          </w:tcPr>
          <w:p w14:paraId="5E04FD88"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p>
        </w:tc>
        <w:tc>
          <w:tcPr>
            <w:tcW w:w="1072" w:type="dxa"/>
            <w:noWrap/>
            <w:hideMark/>
          </w:tcPr>
          <w:p w14:paraId="007F241A"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-0,6</w:t>
            </w:r>
          </w:p>
        </w:tc>
        <w:tc>
          <w:tcPr>
            <w:tcW w:w="1072" w:type="dxa"/>
            <w:noWrap/>
            <w:hideMark/>
          </w:tcPr>
          <w:p w14:paraId="289896D2"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-1,2</w:t>
            </w:r>
          </w:p>
        </w:tc>
      </w:tr>
      <w:tr w:rsidR="005A48F1" w:rsidRPr="00BD4849" w14:paraId="325621B7" w14:textId="77777777" w:rsidTr="009F1410">
        <w:trPr>
          <w:trHeight w:val="300"/>
        </w:trPr>
        <w:tc>
          <w:tcPr>
            <w:cnfStyle w:val="001000000000" w:firstRow="0" w:lastRow="0" w:firstColumn="1" w:lastColumn="0" w:oddVBand="0" w:evenVBand="0" w:oddHBand="0" w:evenHBand="0" w:firstRowFirstColumn="0" w:firstRowLastColumn="0" w:lastRowFirstColumn="0" w:lastRowLastColumn="0"/>
            <w:tcW w:w="4970" w:type="dxa"/>
            <w:hideMark/>
          </w:tcPr>
          <w:p w14:paraId="7A4E93EC"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8.a Enkratni ukrepi na strani prihodkov: sektor država</w:t>
            </w:r>
          </w:p>
        </w:tc>
        <w:tc>
          <w:tcPr>
            <w:tcW w:w="1171" w:type="dxa"/>
            <w:hideMark/>
          </w:tcPr>
          <w:p w14:paraId="338DCC8B"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1071" w:type="dxa"/>
            <w:noWrap/>
            <w:hideMark/>
          </w:tcPr>
          <w:p w14:paraId="61ECCB3C"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p>
        </w:tc>
        <w:tc>
          <w:tcPr>
            <w:tcW w:w="1072" w:type="dxa"/>
            <w:noWrap/>
            <w:hideMark/>
          </w:tcPr>
          <w:p w14:paraId="543D955C"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0,3</w:t>
            </w:r>
          </w:p>
        </w:tc>
        <w:tc>
          <w:tcPr>
            <w:tcW w:w="1072" w:type="dxa"/>
            <w:noWrap/>
            <w:hideMark/>
          </w:tcPr>
          <w:p w14:paraId="5997DF16"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0,4</w:t>
            </w:r>
          </w:p>
        </w:tc>
      </w:tr>
      <w:tr w:rsidR="005A48F1" w:rsidRPr="00BD4849" w14:paraId="5D5FC65F"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970" w:type="dxa"/>
            <w:hideMark/>
          </w:tcPr>
          <w:p w14:paraId="2D583157"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8.b Enkratni ukrepi na strani odhodkov: sektor država</w:t>
            </w:r>
          </w:p>
        </w:tc>
        <w:tc>
          <w:tcPr>
            <w:tcW w:w="1171" w:type="dxa"/>
            <w:hideMark/>
          </w:tcPr>
          <w:p w14:paraId="2B699180"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1071" w:type="dxa"/>
            <w:noWrap/>
            <w:hideMark/>
          </w:tcPr>
          <w:p w14:paraId="0BFFAC80"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p>
        </w:tc>
        <w:tc>
          <w:tcPr>
            <w:tcW w:w="1072" w:type="dxa"/>
            <w:noWrap/>
            <w:hideMark/>
          </w:tcPr>
          <w:p w14:paraId="6A896B89"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-0,9</w:t>
            </w:r>
          </w:p>
        </w:tc>
        <w:tc>
          <w:tcPr>
            <w:tcW w:w="1072" w:type="dxa"/>
            <w:noWrap/>
            <w:hideMark/>
          </w:tcPr>
          <w:p w14:paraId="34EF5A16"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-1,6</w:t>
            </w:r>
          </w:p>
        </w:tc>
      </w:tr>
      <w:tr w:rsidR="005A48F1" w:rsidRPr="00BD4849" w14:paraId="01524810" w14:textId="77777777" w:rsidTr="009F1410">
        <w:trPr>
          <w:trHeight w:val="300"/>
        </w:trPr>
        <w:tc>
          <w:tcPr>
            <w:cnfStyle w:val="001000000000" w:firstRow="0" w:lastRow="0" w:firstColumn="1" w:lastColumn="0" w:oddVBand="0" w:evenVBand="0" w:oddHBand="0" w:evenHBand="0" w:firstRowFirstColumn="0" w:firstRowLastColumn="0" w:lastRowFirstColumn="0" w:lastRowLastColumn="0"/>
            <w:tcW w:w="4970" w:type="dxa"/>
            <w:hideMark/>
          </w:tcPr>
          <w:p w14:paraId="3E4A162F"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9. Realna rast BDP (v %) (=1 v Tab. 1a)</w:t>
            </w:r>
          </w:p>
        </w:tc>
        <w:tc>
          <w:tcPr>
            <w:tcW w:w="1171" w:type="dxa"/>
            <w:hideMark/>
          </w:tcPr>
          <w:p w14:paraId="3B41E397"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1071" w:type="dxa"/>
            <w:noWrap/>
            <w:hideMark/>
          </w:tcPr>
          <w:p w14:paraId="69C4DB83"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2,5</w:t>
            </w:r>
          </w:p>
        </w:tc>
        <w:tc>
          <w:tcPr>
            <w:tcW w:w="1072" w:type="dxa"/>
            <w:noWrap/>
            <w:hideMark/>
          </w:tcPr>
          <w:p w14:paraId="4026319E"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1,6</w:t>
            </w:r>
          </w:p>
        </w:tc>
        <w:tc>
          <w:tcPr>
            <w:tcW w:w="1072" w:type="dxa"/>
            <w:noWrap/>
            <w:hideMark/>
          </w:tcPr>
          <w:p w14:paraId="144A4C00"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2,8</w:t>
            </w:r>
          </w:p>
        </w:tc>
      </w:tr>
      <w:tr w:rsidR="005A48F1" w:rsidRPr="00BD4849" w14:paraId="0F678AE5"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970" w:type="dxa"/>
            <w:hideMark/>
          </w:tcPr>
          <w:p w14:paraId="4CA339CC"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10. Potencialna rast BDP (v %) (=2 v Tab. 1a)</w:t>
            </w:r>
          </w:p>
        </w:tc>
        <w:tc>
          <w:tcPr>
            <w:tcW w:w="1171" w:type="dxa"/>
            <w:hideMark/>
          </w:tcPr>
          <w:p w14:paraId="2CED127D"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1071" w:type="dxa"/>
            <w:noWrap/>
          </w:tcPr>
          <w:p w14:paraId="1DEB2060"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2,5</w:t>
            </w:r>
          </w:p>
        </w:tc>
        <w:tc>
          <w:tcPr>
            <w:tcW w:w="1072" w:type="dxa"/>
            <w:noWrap/>
          </w:tcPr>
          <w:p w14:paraId="6045C9FB"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2,8</w:t>
            </w:r>
          </w:p>
        </w:tc>
        <w:tc>
          <w:tcPr>
            <w:tcW w:w="1072" w:type="dxa"/>
            <w:noWrap/>
          </w:tcPr>
          <w:p w14:paraId="70628A7B"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2,8</w:t>
            </w:r>
          </w:p>
        </w:tc>
      </w:tr>
      <w:tr w:rsidR="005A48F1" w:rsidRPr="00BD4849" w14:paraId="3CC855DC" w14:textId="77777777" w:rsidTr="009F1410">
        <w:trPr>
          <w:trHeight w:val="300"/>
        </w:trPr>
        <w:tc>
          <w:tcPr>
            <w:cnfStyle w:val="001000000000" w:firstRow="0" w:lastRow="0" w:firstColumn="1" w:lastColumn="0" w:oddVBand="0" w:evenVBand="0" w:oddHBand="0" w:evenHBand="0" w:firstRowFirstColumn="0" w:firstRowLastColumn="0" w:lastRowFirstColumn="0" w:lastRowLastColumn="0"/>
            <w:tcW w:w="4970" w:type="dxa"/>
            <w:hideMark/>
          </w:tcPr>
          <w:p w14:paraId="12483090"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Prispevki:</w:t>
            </w:r>
          </w:p>
        </w:tc>
        <w:tc>
          <w:tcPr>
            <w:tcW w:w="1171" w:type="dxa"/>
            <w:hideMark/>
          </w:tcPr>
          <w:p w14:paraId="767BAEB8"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1071" w:type="dxa"/>
            <w:noWrap/>
            <w:hideMark/>
          </w:tcPr>
          <w:p w14:paraId="01EAC1B5"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1072" w:type="dxa"/>
            <w:noWrap/>
            <w:hideMark/>
          </w:tcPr>
          <w:p w14:paraId="2615EFC8"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1072" w:type="dxa"/>
            <w:noWrap/>
            <w:hideMark/>
          </w:tcPr>
          <w:p w14:paraId="329C99E3"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r>
      <w:tr w:rsidR="005A48F1" w:rsidRPr="00BD4849" w14:paraId="15C0AE2A"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970" w:type="dxa"/>
            <w:hideMark/>
          </w:tcPr>
          <w:p w14:paraId="6C929BD5" w14:textId="77777777" w:rsidR="005A48F1" w:rsidRPr="00BD4849" w:rsidRDefault="005A48F1" w:rsidP="005A48F1">
            <w:pPr>
              <w:pStyle w:val="ListParagraph"/>
              <w:numPr>
                <w:ilvl w:val="0"/>
                <w:numId w:val="28"/>
              </w:numPr>
              <w:jc w:val="left"/>
              <w:rPr>
                <w:rFonts w:eastAsia="Times New Roman" w:cs="Arial"/>
                <w:b w:val="0"/>
                <w:bCs w:val="0"/>
                <w:i/>
                <w:iCs/>
                <w:sz w:val="20"/>
                <w:szCs w:val="20"/>
                <w:lang w:eastAsia="sl-SI"/>
              </w:rPr>
            </w:pPr>
            <w:r w:rsidRPr="00BD4849">
              <w:rPr>
                <w:rFonts w:eastAsia="Times New Roman" w:cs="Arial"/>
                <w:b w:val="0"/>
                <w:bCs w:val="0"/>
                <w:i/>
                <w:iCs/>
                <w:sz w:val="20"/>
                <w:szCs w:val="20"/>
                <w:lang w:eastAsia="sl-SI"/>
              </w:rPr>
              <w:t>Delo</w:t>
            </w:r>
          </w:p>
        </w:tc>
        <w:tc>
          <w:tcPr>
            <w:tcW w:w="1171" w:type="dxa"/>
            <w:hideMark/>
          </w:tcPr>
          <w:p w14:paraId="4F711C16"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1071" w:type="dxa"/>
            <w:noWrap/>
          </w:tcPr>
          <w:p w14:paraId="414F4C70"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0,7</w:t>
            </w:r>
          </w:p>
        </w:tc>
        <w:tc>
          <w:tcPr>
            <w:tcW w:w="1072" w:type="dxa"/>
            <w:noWrap/>
          </w:tcPr>
          <w:p w14:paraId="1A34335D"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0,9</w:t>
            </w:r>
          </w:p>
        </w:tc>
        <w:tc>
          <w:tcPr>
            <w:tcW w:w="1072" w:type="dxa"/>
            <w:noWrap/>
          </w:tcPr>
          <w:p w14:paraId="5FA345FC"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0,8</w:t>
            </w:r>
          </w:p>
        </w:tc>
      </w:tr>
      <w:tr w:rsidR="005A48F1" w:rsidRPr="00BD4849" w14:paraId="53CBA957" w14:textId="77777777" w:rsidTr="009F1410">
        <w:trPr>
          <w:trHeight w:val="60"/>
        </w:trPr>
        <w:tc>
          <w:tcPr>
            <w:cnfStyle w:val="001000000000" w:firstRow="0" w:lastRow="0" w:firstColumn="1" w:lastColumn="0" w:oddVBand="0" w:evenVBand="0" w:oddHBand="0" w:evenHBand="0" w:firstRowFirstColumn="0" w:firstRowLastColumn="0" w:lastRowFirstColumn="0" w:lastRowLastColumn="0"/>
            <w:tcW w:w="4970" w:type="dxa"/>
            <w:hideMark/>
          </w:tcPr>
          <w:p w14:paraId="1BE63E07" w14:textId="77777777" w:rsidR="005A48F1" w:rsidRPr="00BD4849" w:rsidRDefault="005A48F1" w:rsidP="005A48F1">
            <w:pPr>
              <w:pStyle w:val="ListParagraph"/>
              <w:numPr>
                <w:ilvl w:val="0"/>
                <w:numId w:val="28"/>
              </w:numPr>
              <w:jc w:val="left"/>
              <w:rPr>
                <w:rFonts w:eastAsia="Times New Roman" w:cs="Arial"/>
                <w:b w:val="0"/>
                <w:bCs w:val="0"/>
                <w:i/>
                <w:iCs/>
                <w:sz w:val="20"/>
                <w:szCs w:val="20"/>
                <w:lang w:eastAsia="sl-SI"/>
              </w:rPr>
            </w:pPr>
            <w:r w:rsidRPr="00BD4849">
              <w:rPr>
                <w:rFonts w:eastAsia="Times New Roman" w:cs="Arial"/>
                <w:b w:val="0"/>
                <w:bCs w:val="0"/>
                <w:i/>
                <w:iCs/>
                <w:sz w:val="20"/>
                <w:szCs w:val="20"/>
                <w:lang w:eastAsia="sl-SI"/>
              </w:rPr>
              <w:t>Kapital</w:t>
            </w:r>
          </w:p>
        </w:tc>
        <w:tc>
          <w:tcPr>
            <w:tcW w:w="1171" w:type="dxa"/>
            <w:hideMark/>
          </w:tcPr>
          <w:p w14:paraId="6AE651EE"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1071" w:type="dxa"/>
            <w:noWrap/>
          </w:tcPr>
          <w:p w14:paraId="20E20AED"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0,7</w:t>
            </w:r>
          </w:p>
        </w:tc>
        <w:tc>
          <w:tcPr>
            <w:tcW w:w="1072" w:type="dxa"/>
            <w:noWrap/>
          </w:tcPr>
          <w:p w14:paraId="1AC9FC7E"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0,8</w:t>
            </w:r>
          </w:p>
        </w:tc>
        <w:tc>
          <w:tcPr>
            <w:tcW w:w="1072" w:type="dxa"/>
            <w:noWrap/>
          </w:tcPr>
          <w:p w14:paraId="51E831CF"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0,9</w:t>
            </w:r>
          </w:p>
        </w:tc>
      </w:tr>
      <w:tr w:rsidR="005A48F1" w:rsidRPr="00BD4849" w14:paraId="60C5EFA9"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970" w:type="dxa"/>
            <w:hideMark/>
          </w:tcPr>
          <w:p w14:paraId="472C51F6" w14:textId="77777777" w:rsidR="005A48F1" w:rsidRPr="00BD4849" w:rsidRDefault="005A48F1" w:rsidP="005A48F1">
            <w:pPr>
              <w:pStyle w:val="ListParagraph"/>
              <w:numPr>
                <w:ilvl w:val="0"/>
                <w:numId w:val="28"/>
              </w:numPr>
              <w:jc w:val="left"/>
              <w:rPr>
                <w:rFonts w:eastAsia="Times New Roman" w:cs="Arial"/>
                <w:b w:val="0"/>
                <w:bCs w:val="0"/>
                <w:i/>
                <w:iCs/>
                <w:sz w:val="20"/>
                <w:szCs w:val="20"/>
                <w:lang w:eastAsia="sl-SI"/>
              </w:rPr>
            </w:pPr>
            <w:r w:rsidRPr="00BD4849">
              <w:rPr>
                <w:rFonts w:eastAsia="Times New Roman" w:cs="Arial"/>
                <w:b w:val="0"/>
                <w:bCs w:val="0"/>
                <w:i/>
                <w:iCs/>
                <w:sz w:val="20"/>
                <w:szCs w:val="20"/>
                <w:lang w:eastAsia="sl-SI"/>
              </w:rPr>
              <w:t>Skupna faktorska produktivnost</w:t>
            </w:r>
          </w:p>
        </w:tc>
        <w:tc>
          <w:tcPr>
            <w:tcW w:w="1171" w:type="dxa"/>
            <w:hideMark/>
          </w:tcPr>
          <w:p w14:paraId="0A511EAA"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1071" w:type="dxa"/>
            <w:noWrap/>
          </w:tcPr>
          <w:p w14:paraId="6512207E"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1,1</w:t>
            </w:r>
          </w:p>
        </w:tc>
        <w:tc>
          <w:tcPr>
            <w:tcW w:w="1072" w:type="dxa"/>
            <w:noWrap/>
          </w:tcPr>
          <w:p w14:paraId="03757F95"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1,1</w:t>
            </w:r>
          </w:p>
        </w:tc>
        <w:tc>
          <w:tcPr>
            <w:tcW w:w="1072" w:type="dxa"/>
            <w:noWrap/>
          </w:tcPr>
          <w:p w14:paraId="4DAC29A1"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1,1</w:t>
            </w:r>
          </w:p>
        </w:tc>
      </w:tr>
      <w:tr w:rsidR="005A48F1" w:rsidRPr="00BD4849" w14:paraId="2AE9B91F" w14:textId="77777777" w:rsidTr="009F1410">
        <w:trPr>
          <w:trHeight w:val="300"/>
        </w:trPr>
        <w:tc>
          <w:tcPr>
            <w:cnfStyle w:val="001000000000" w:firstRow="0" w:lastRow="0" w:firstColumn="1" w:lastColumn="0" w:oddVBand="0" w:evenVBand="0" w:oddHBand="0" w:evenHBand="0" w:firstRowFirstColumn="0" w:firstRowLastColumn="0" w:lastRowFirstColumn="0" w:lastRowLastColumn="0"/>
            <w:tcW w:w="4970" w:type="dxa"/>
            <w:hideMark/>
          </w:tcPr>
          <w:p w14:paraId="24880EFF"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11. Proizvodna vrzel (v % potencialnega BDP)</w:t>
            </w:r>
          </w:p>
        </w:tc>
        <w:tc>
          <w:tcPr>
            <w:tcW w:w="1171" w:type="dxa"/>
            <w:hideMark/>
          </w:tcPr>
          <w:p w14:paraId="12B415FF"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1071" w:type="dxa"/>
            <w:noWrap/>
          </w:tcPr>
          <w:p w14:paraId="21BC8472"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1,9</w:t>
            </w:r>
          </w:p>
        </w:tc>
        <w:tc>
          <w:tcPr>
            <w:tcW w:w="1072" w:type="dxa"/>
            <w:noWrap/>
          </w:tcPr>
          <w:p w14:paraId="5831D4B7"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0,7</w:t>
            </w:r>
          </w:p>
        </w:tc>
        <w:tc>
          <w:tcPr>
            <w:tcW w:w="1072" w:type="dxa"/>
            <w:noWrap/>
          </w:tcPr>
          <w:p w14:paraId="0ABA5F61"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0,7</w:t>
            </w:r>
          </w:p>
        </w:tc>
      </w:tr>
      <w:tr w:rsidR="005A48F1" w:rsidRPr="00BD4849" w14:paraId="675C6386"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970" w:type="dxa"/>
            <w:hideMark/>
          </w:tcPr>
          <w:p w14:paraId="636FAC88"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12. Ciklični proračunski del (v % potencialnega BDP)</w:t>
            </w:r>
          </w:p>
        </w:tc>
        <w:tc>
          <w:tcPr>
            <w:tcW w:w="1171" w:type="dxa"/>
            <w:hideMark/>
          </w:tcPr>
          <w:p w14:paraId="4E3AC82E"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1071" w:type="dxa"/>
            <w:noWrap/>
            <w:hideMark/>
          </w:tcPr>
          <w:p w14:paraId="401E6055"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0,9</w:t>
            </w:r>
          </w:p>
        </w:tc>
        <w:tc>
          <w:tcPr>
            <w:tcW w:w="1072" w:type="dxa"/>
            <w:noWrap/>
            <w:hideMark/>
          </w:tcPr>
          <w:p w14:paraId="68626BA0"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0,3</w:t>
            </w:r>
          </w:p>
        </w:tc>
        <w:tc>
          <w:tcPr>
            <w:tcW w:w="1072" w:type="dxa"/>
            <w:noWrap/>
            <w:hideMark/>
          </w:tcPr>
          <w:p w14:paraId="22C7D5A8"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0,3</w:t>
            </w:r>
          </w:p>
        </w:tc>
      </w:tr>
      <w:tr w:rsidR="005A48F1" w:rsidRPr="00BD4849" w14:paraId="2065D411" w14:textId="77777777" w:rsidTr="009F1410">
        <w:trPr>
          <w:trHeight w:val="300"/>
        </w:trPr>
        <w:tc>
          <w:tcPr>
            <w:cnfStyle w:val="001000000000" w:firstRow="0" w:lastRow="0" w:firstColumn="1" w:lastColumn="0" w:oddVBand="0" w:evenVBand="0" w:oddHBand="0" w:evenHBand="0" w:firstRowFirstColumn="0" w:firstRowLastColumn="0" w:lastRowFirstColumn="0" w:lastRowLastColumn="0"/>
            <w:tcW w:w="4970" w:type="dxa"/>
            <w:hideMark/>
          </w:tcPr>
          <w:p w14:paraId="5E62EF2F"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13. Ciklično prilagojen saldo (1-12) (% potencialnega BDP)</w:t>
            </w:r>
          </w:p>
        </w:tc>
        <w:tc>
          <w:tcPr>
            <w:tcW w:w="1171" w:type="dxa"/>
            <w:hideMark/>
          </w:tcPr>
          <w:p w14:paraId="147EC04F"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1071" w:type="dxa"/>
            <w:noWrap/>
            <w:hideMark/>
          </w:tcPr>
          <w:p w14:paraId="5DA44F32"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-3,9</w:t>
            </w:r>
          </w:p>
        </w:tc>
        <w:tc>
          <w:tcPr>
            <w:tcW w:w="1072" w:type="dxa"/>
            <w:noWrap/>
            <w:hideMark/>
          </w:tcPr>
          <w:p w14:paraId="037F095C"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-4,8</w:t>
            </w:r>
          </w:p>
        </w:tc>
        <w:tc>
          <w:tcPr>
            <w:tcW w:w="1072" w:type="dxa"/>
            <w:noWrap/>
            <w:hideMark/>
          </w:tcPr>
          <w:p w14:paraId="3B96B9E2"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-4,1</w:t>
            </w:r>
          </w:p>
        </w:tc>
      </w:tr>
      <w:tr w:rsidR="005A48F1" w:rsidRPr="00BD4849" w14:paraId="3983E15A"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970" w:type="dxa"/>
            <w:hideMark/>
          </w:tcPr>
          <w:p w14:paraId="7D855628"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14. Ciklično prilagojen primarni saldo (13+6)</w:t>
            </w:r>
          </w:p>
          <w:p w14:paraId="7F472F65"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 potencialnega BDP)</w:t>
            </w:r>
          </w:p>
        </w:tc>
        <w:tc>
          <w:tcPr>
            <w:tcW w:w="1171" w:type="dxa"/>
            <w:hideMark/>
          </w:tcPr>
          <w:p w14:paraId="68F22110"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1071" w:type="dxa"/>
            <w:noWrap/>
            <w:hideMark/>
          </w:tcPr>
          <w:p w14:paraId="2BEB47E4"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-2,8</w:t>
            </w:r>
          </w:p>
        </w:tc>
        <w:tc>
          <w:tcPr>
            <w:tcW w:w="1072" w:type="dxa"/>
            <w:noWrap/>
            <w:hideMark/>
          </w:tcPr>
          <w:p w14:paraId="7C31D0F0"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-3,6</w:t>
            </w:r>
          </w:p>
        </w:tc>
        <w:tc>
          <w:tcPr>
            <w:tcW w:w="1072" w:type="dxa"/>
            <w:noWrap/>
            <w:hideMark/>
          </w:tcPr>
          <w:p w14:paraId="1E298299"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-2,8</w:t>
            </w:r>
          </w:p>
        </w:tc>
      </w:tr>
      <w:tr w:rsidR="005A48F1" w:rsidRPr="00BD4849" w14:paraId="1149A9B0" w14:textId="77777777" w:rsidTr="009F1410">
        <w:trPr>
          <w:trHeight w:val="300"/>
        </w:trPr>
        <w:tc>
          <w:tcPr>
            <w:cnfStyle w:val="001000000000" w:firstRow="0" w:lastRow="0" w:firstColumn="1" w:lastColumn="0" w:oddVBand="0" w:evenVBand="0" w:oddHBand="0" w:evenHBand="0" w:firstRowFirstColumn="0" w:firstRowLastColumn="0" w:lastRowFirstColumn="0" w:lastRowLastColumn="0"/>
            <w:tcW w:w="4970" w:type="dxa"/>
            <w:hideMark/>
          </w:tcPr>
          <w:p w14:paraId="13691543"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15. Strukturni saldo (13-8) (v % potencialnega BDP)</w:t>
            </w:r>
          </w:p>
        </w:tc>
        <w:tc>
          <w:tcPr>
            <w:tcW w:w="1171" w:type="dxa"/>
            <w:hideMark/>
          </w:tcPr>
          <w:p w14:paraId="41615D78"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1071" w:type="dxa"/>
            <w:noWrap/>
            <w:hideMark/>
          </w:tcPr>
          <w:p w14:paraId="4F4B8BED"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-3,9</w:t>
            </w:r>
          </w:p>
        </w:tc>
        <w:tc>
          <w:tcPr>
            <w:tcW w:w="1072" w:type="dxa"/>
            <w:noWrap/>
            <w:hideMark/>
          </w:tcPr>
          <w:p w14:paraId="2043D9F1"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-4,2</w:t>
            </w:r>
          </w:p>
        </w:tc>
        <w:tc>
          <w:tcPr>
            <w:tcW w:w="1072" w:type="dxa"/>
            <w:noWrap/>
            <w:hideMark/>
          </w:tcPr>
          <w:p w14:paraId="660CBA08" w14:textId="77777777" w:rsidR="005A48F1" w:rsidRPr="00BD4849" w:rsidRDefault="005A48F1" w:rsidP="009F1410">
            <w:pPr>
              <w:keepNext/>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-2,9</w:t>
            </w:r>
          </w:p>
        </w:tc>
      </w:tr>
    </w:tbl>
    <w:p w14:paraId="51FF842D" w14:textId="271EA029" w:rsidR="005A48F1" w:rsidRDefault="005A48F1" w:rsidP="009924DC">
      <w:pPr>
        <w:pStyle w:val="Caption"/>
        <w:ind w:left="0" w:firstLine="0"/>
        <w:rPr>
          <w:rFonts w:ascii="Arial" w:hAnsi="Arial" w:cs="Arial"/>
          <w:b w:val="0"/>
          <w:bCs/>
          <w:i w:val="0"/>
          <w:iCs/>
        </w:rPr>
      </w:pPr>
      <w:r w:rsidRPr="009924DC">
        <w:rPr>
          <w:rFonts w:ascii="Arial" w:hAnsi="Arial" w:cs="Arial"/>
          <w:b w:val="0"/>
          <w:bCs/>
          <w:i w:val="0"/>
          <w:iCs/>
        </w:rPr>
        <w:t>Vir: Ministrstvo za finance.</w:t>
      </w:r>
    </w:p>
    <w:p w14:paraId="5CF31345" w14:textId="743717C1" w:rsidR="009924DC" w:rsidRDefault="009924DC" w:rsidP="009924DC">
      <w:pPr>
        <w:rPr>
          <w:lang w:eastAsia="sl-SI"/>
        </w:rPr>
      </w:pPr>
    </w:p>
    <w:p w14:paraId="00973137" w14:textId="4347C640" w:rsidR="009924DC" w:rsidRDefault="009924DC" w:rsidP="009924DC">
      <w:pPr>
        <w:rPr>
          <w:lang w:eastAsia="sl-SI"/>
        </w:rPr>
      </w:pPr>
    </w:p>
    <w:p w14:paraId="338D52BA" w14:textId="4FAB87D4" w:rsidR="009924DC" w:rsidRDefault="009924DC" w:rsidP="009924DC">
      <w:pPr>
        <w:rPr>
          <w:lang w:eastAsia="sl-SI"/>
        </w:rPr>
      </w:pPr>
    </w:p>
    <w:p w14:paraId="0286BD31" w14:textId="0614A6DE" w:rsidR="009924DC" w:rsidRDefault="009924DC" w:rsidP="009924DC">
      <w:pPr>
        <w:rPr>
          <w:lang w:eastAsia="sl-SI"/>
        </w:rPr>
      </w:pPr>
    </w:p>
    <w:p w14:paraId="6152509D" w14:textId="2DEB9030" w:rsidR="009924DC" w:rsidRDefault="009924DC" w:rsidP="009924DC">
      <w:pPr>
        <w:rPr>
          <w:lang w:eastAsia="sl-SI"/>
        </w:rPr>
      </w:pPr>
    </w:p>
    <w:p w14:paraId="410740FA" w14:textId="4E5491DC" w:rsidR="009924DC" w:rsidRDefault="009924DC" w:rsidP="009924DC">
      <w:pPr>
        <w:rPr>
          <w:lang w:eastAsia="sl-SI"/>
        </w:rPr>
      </w:pPr>
    </w:p>
    <w:p w14:paraId="1D6C7300" w14:textId="648484D0" w:rsidR="009924DC" w:rsidRDefault="009924DC" w:rsidP="009924DC">
      <w:pPr>
        <w:rPr>
          <w:lang w:eastAsia="sl-SI"/>
        </w:rPr>
      </w:pPr>
    </w:p>
    <w:p w14:paraId="4AE81A25" w14:textId="453FDD93" w:rsidR="009924DC" w:rsidRDefault="009924DC" w:rsidP="009924DC">
      <w:pPr>
        <w:rPr>
          <w:lang w:eastAsia="sl-SI"/>
        </w:rPr>
      </w:pPr>
    </w:p>
    <w:p w14:paraId="3E242BF7" w14:textId="0CB77B39" w:rsidR="009924DC" w:rsidRDefault="009924DC" w:rsidP="009924DC">
      <w:pPr>
        <w:rPr>
          <w:lang w:eastAsia="sl-SI"/>
        </w:rPr>
      </w:pPr>
    </w:p>
    <w:p w14:paraId="75FF0109" w14:textId="52D7B379" w:rsidR="009924DC" w:rsidRDefault="009924DC" w:rsidP="009924DC">
      <w:pPr>
        <w:rPr>
          <w:lang w:eastAsia="sl-SI"/>
        </w:rPr>
      </w:pPr>
    </w:p>
    <w:p w14:paraId="380D16E1" w14:textId="69337B1F" w:rsidR="009924DC" w:rsidRDefault="009924DC" w:rsidP="009924DC">
      <w:pPr>
        <w:rPr>
          <w:lang w:eastAsia="sl-SI"/>
        </w:rPr>
      </w:pPr>
    </w:p>
    <w:p w14:paraId="770735BE" w14:textId="6AA59FEC" w:rsidR="009924DC" w:rsidRDefault="009924DC" w:rsidP="009924DC">
      <w:pPr>
        <w:rPr>
          <w:lang w:eastAsia="sl-SI"/>
        </w:rPr>
      </w:pPr>
    </w:p>
    <w:p w14:paraId="6EF52222" w14:textId="77777777" w:rsidR="009924DC" w:rsidRPr="009924DC" w:rsidRDefault="009924DC" w:rsidP="009924DC">
      <w:pPr>
        <w:rPr>
          <w:lang w:eastAsia="sl-SI"/>
        </w:rPr>
      </w:pPr>
    </w:p>
    <w:tbl>
      <w:tblPr>
        <w:tblStyle w:val="ListTable3-Accent1"/>
        <w:tblW w:w="9356" w:type="dxa"/>
        <w:tblLook w:val="04A0" w:firstRow="1" w:lastRow="0" w:firstColumn="1" w:lastColumn="0" w:noHBand="0" w:noVBand="1"/>
      </w:tblPr>
      <w:tblGrid>
        <w:gridCol w:w="5382"/>
        <w:gridCol w:w="1228"/>
        <w:gridCol w:w="1373"/>
        <w:gridCol w:w="1373"/>
      </w:tblGrid>
      <w:tr w:rsidR="005A48F1" w:rsidRPr="00BD4849" w14:paraId="3121DD59" w14:textId="77777777" w:rsidTr="009F1410">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5382" w:type="dxa"/>
            <w:shd w:val="clear" w:color="auto" w:fill="B4C6E7" w:themeFill="accent5" w:themeFillTint="66"/>
            <w:noWrap/>
            <w:hideMark/>
          </w:tcPr>
          <w:p w14:paraId="527E97E0" w14:textId="77777777" w:rsidR="005A48F1" w:rsidRPr="00BD4849" w:rsidRDefault="005A48F1" w:rsidP="009F1410">
            <w:pPr>
              <w:rPr>
                <w:rFonts w:ascii="Arial" w:eastAsia="Times New Roman" w:hAnsi="Arial" w:cs="Arial"/>
                <w:b w:val="0"/>
                <w:bCs w:val="0"/>
                <w:color w:val="auto"/>
                <w:sz w:val="20"/>
                <w:szCs w:val="20"/>
                <w:lang w:eastAsia="sl-SI"/>
              </w:rPr>
            </w:pPr>
            <w:r w:rsidRPr="00BD4849">
              <w:rPr>
                <w:rFonts w:ascii="Arial" w:eastAsia="Times New Roman" w:hAnsi="Arial" w:cs="Arial"/>
                <w:b w:val="0"/>
                <w:bCs w:val="0"/>
                <w:color w:val="auto"/>
                <w:sz w:val="20"/>
                <w:szCs w:val="20"/>
                <w:lang w:eastAsia="sl-SI"/>
              </w:rPr>
              <w:lastRenderedPageBreak/>
              <w:t>Tabela 2b. Dolg sektorja država</w:t>
            </w:r>
          </w:p>
        </w:tc>
        <w:tc>
          <w:tcPr>
            <w:tcW w:w="1228" w:type="dxa"/>
            <w:shd w:val="clear" w:color="auto" w:fill="B4C6E7" w:themeFill="accent5" w:themeFillTint="66"/>
            <w:hideMark/>
          </w:tcPr>
          <w:p w14:paraId="5D954AEF" w14:textId="77777777" w:rsidR="005A48F1" w:rsidRPr="00BD4849" w:rsidRDefault="005A48F1" w:rsidP="009F141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lang w:eastAsia="sl-SI"/>
              </w:rPr>
            </w:pPr>
            <w:r w:rsidRPr="00BD4849">
              <w:rPr>
                <w:rFonts w:ascii="Arial" w:eastAsia="Times New Roman" w:hAnsi="Arial" w:cs="Arial"/>
                <w:b w:val="0"/>
                <w:bCs w:val="0"/>
                <w:color w:val="auto"/>
                <w:sz w:val="20"/>
                <w:szCs w:val="20"/>
                <w:lang w:eastAsia="sl-SI"/>
              </w:rPr>
              <w:t xml:space="preserve">ESA </w:t>
            </w:r>
          </w:p>
          <w:p w14:paraId="43689581" w14:textId="77777777" w:rsidR="005A48F1" w:rsidRPr="00BD4849" w:rsidRDefault="005A48F1" w:rsidP="009F141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lang w:eastAsia="sl-SI"/>
              </w:rPr>
            </w:pPr>
            <w:r w:rsidRPr="00BD4849">
              <w:rPr>
                <w:rFonts w:ascii="Arial" w:eastAsia="Times New Roman" w:hAnsi="Arial" w:cs="Arial"/>
                <w:b w:val="0"/>
                <w:bCs w:val="0"/>
                <w:color w:val="auto"/>
                <w:sz w:val="20"/>
                <w:szCs w:val="20"/>
                <w:lang w:eastAsia="sl-SI"/>
              </w:rPr>
              <w:t>koda</w:t>
            </w:r>
          </w:p>
        </w:tc>
        <w:tc>
          <w:tcPr>
            <w:tcW w:w="1373" w:type="dxa"/>
            <w:shd w:val="clear" w:color="auto" w:fill="B4C6E7" w:themeFill="accent5" w:themeFillTint="66"/>
            <w:hideMark/>
          </w:tcPr>
          <w:p w14:paraId="1E3C582C" w14:textId="77777777" w:rsidR="005A48F1" w:rsidRPr="00BD4849" w:rsidRDefault="005A48F1" w:rsidP="009F141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lang w:eastAsia="sl-SI"/>
              </w:rPr>
            </w:pPr>
            <w:r w:rsidRPr="00BD4849">
              <w:rPr>
                <w:rFonts w:ascii="Arial" w:eastAsia="Times New Roman" w:hAnsi="Arial" w:cs="Arial"/>
                <w:b w:val="0"/>
                <w:bCs w:val="0"/>
                <w:color w:val="auto"/>
                <w:sz w:val="20"/>
                <w:szCs w:val="20"/>
                <w:lang w:eastAsia="sl-SI"/>
              </w:rPr>
              <w:t xml:space="preserve">2023 </w:t>
            </w:r>
          </w:p>
          <w:p w14:paraId="0C0F4F74" w14:textId="77777777" w:rsidR="005A48F1" w:rsidRPr="00BD4849" w:rsidRDefault="005A48F1" w:rsidP="009F141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lang w:eastAsia="sl-SI"/>
              </w:rPr>
            </w:pPr>
            <w:r w:rsidRPr="00BD4849">
              <w:rPr>
                <w:rFonts w:ascii="Arial" w:eastAsia="Times New Roman" w:hAnsi="Arial" w:cs="Arial"/>
                <w:b w:val="0"/>
                <w:bCs w:val="0"/>
                <w:color w:val="auto"/>
                <w:sz w:val="20"/>
                <w:szCs w:val="20"/>
                <w:lang w:eastAsia="sl-SI"/>
              </w:rPr>
              <w:t>(% BDP)</w:t>
            </w:r>
          </w:p>
        </w:tc>
        <w:tc>
          <w:tcPr>
            <w:tcW w:w="1373" w:type="dxa"/>
            <w:shd w:val="clear" w:color="auto" w:fill="B4C6E7" w:themeFill="accent5" w:themeFillTint="66"/>
            <w:hideMark/>
          </w:tcPr>
          <w:p w14:paraId="4267C2D9" w14:textId="77777777" w:rsidR="005A48F1" w:rsidRPr="00BD4849" w:rsidRDefault="005A48F1" w:rsidP="009F141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lang w:eastAsia="sl-SI"/>
              </w:rPr>
            </w:pPr>
            <w:r w:rsidRPr="00BD4849">
              <w:rPr>
                <w:rFonts w:ascii="Arial" w:eastAsia="Times New Roman" w:hAnsi="Arial" w:cs="Arial"/>
                <w:b w:val="0"/>
                <w:bCs w:val="0"/>
                <w:color w:val="auto"/>
                <w:sz w:val="20"/>
                <w:szCs w:val="20"/>
                <w:lang w:eastAsia="sl-SI"/>
              </w:rPr>
              <w:t xml:space="preserve">2024 </w:t>
            </w:r>
          </w:p>
          <w:p w14:paraId="21AAD108" w14:textId="77777777" w:rsidR="005A48F1" w:rsidRPr="00BD4849" w:rsidRDefault="005A48F1" w:rsidP="009F141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lang w:eastAsia="sl-SI"/>
              </w:rPr>
            </w:pPr>
            <w:r w:rsidRPr="00BD4849">
              <w:rPr>
                <w:rFonts w:ascii="Arial" w:eastAsia="Times New Roman" w:hAnsi="Arial" w:cs="Arial"/>
                <w:b w:val="0"/>
                <w:bCs w:val="0"/>
                <w:color w:val="auto"/>
                <w:sz w:val="20"/>
                <w:szCs w:val="20"/>
                <w:lang w:eastAsia="sl-SI"/>
              </w:rPr>
              <w:t>(% BDP)</w:t>
            </w:r>
          </w:p>
        </w:tc>
      </w:tr>
      <w:tr w:rsidR="005A48F1" w:rsidRPr="00BD4849" w14:paraId="39323512"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382" w:type="dxa"/>
            <w:hideMark/>
          </w:tcPr>
          <w:p w14:paraId="7B357712"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1. Raven bruto javnega dolga</w:t>
            </w:r>
          </w:p>
        </w:tc>
        <w:tc>
          <w:tcPr>
            <w:tcW w:w="1228" w:type="dxa"/>
            <w:hideMark/>
          </w:tcPr>
          <w:p w14:paraId="4D25E247"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1373" w:type="dxa"/>
            <w:noWrap/>
            <w:hideMark/>
          </w:tcPr>
          <w:p w14:paraId="416697A2"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69,9</w:t>
            </w:r>
          </w:p>
        </w:tc>
        <w:tc>
          <w:tcPr>
            <w:tcW w:w="1373" w:type="dxa"/>
            <w:noWrap/>
            <w:hideMark/>
          </w:tcPr>
          <w:p w14:paraId="17D3F387"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68,9</w:t>
            </w:r>
          </w:p>
        </w:tc>
      </w:tr>
      <w:tr w:rsidR="005A48F1" w:rsidRPr="00BD4849" w14:paraId="23259BC6" w14:textId="77777777" w:rsidTr="009F1410">
        <w:trPr>
          <w:trHeight w:val="300"/>
        </w:trPr>
        <w:tc>
          <w:tcPr>
            <w:cnfStyle w:val="001000000000" w:firstRow="0" w:lastRow="0" w:firstColumn="1" w:lastColumn="0" w:oddVBand="0" w:evenVBand="0" w:oddHBand="0" w:evenHBand="0" w:firstRowFirstColumn="0" w:firstRowLastColumn="0" w:lastRowFirstColumn="0" w:lastRowLastColumn="0"/>
            <w:tcW w:w="5382" w:type="dxa"/>
            <w:hideMark/>
          </w:tcPr>
          <w:p w14:paraId="562AC1C3"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2. Spremembe bruto dolga</w:t>
            </w:r>
          </w:p>
        </w:tc>
        <w:tc>
          <w:tcPr>
            <w:tcW w:w="1228" w:type="dxa"/>
            <w:hideMark/>
          </w:tcPr>
          <w:p w14:paraId="415847F5"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1373" w:type="dxa"/>
            <w:noWrap/>
            <w:hideMark/>
          </w:tcPr>
          <w:p w14:paraId="72CD4DFA"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-2,4</w:t>
            </w:r>
          </w:p>
        </w:tc>
        <w:tc>
          <w:tcPr>
            <w:tcW w:w="1373" w:type="dxa"/>
            <w:noWrap/>
            <w:hideMark/>
          </w:tcPr>
          <w:p w14:paraId="49357711"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-1,0</w:t>
            </w:r>
          </w:p>
        </w:tc>
      </w:tr>
      <w:tr w:rsidR="005A48F1" w:rsidRPr="008F301B" w14:paraId="2079144D"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382" w:type="dxa"/>
            <w:hideMark/>
          </w:tcPr>
          <w:p w14:paraId="74D5B12D"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Prispevki k spremembi bruto dolga:</w:t>
            </w:r>
          </w:p>
        </w:tc>
        <w:tc>
          <w:tcPr>
            <w:tcW w:w="1228" w:type="dxa"/>
            <w:hideMark/>
          </w:tcPr>
          <w:p w14:paraId="44FAF8AB"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1373" w:type="dxa"/>
            <w:noWrap/>
            <w:hideMark/>
          </w:tcPr>
          <w:p w14:paraId="6B22928F"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1373" w:type="dxa"/>
            <w:noWrap/>
            <w:hideMark/>
          </w:tcPr>
          <w:p w14:paraId="285D5B02"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r>
      <w:tr w:rsidR="005A48F1" w:rsidRPr="00BD4849" w14:paraId="191AFDC9" w14:textId="77777777" w:rsidTr="009F1410">
        <w:trPr>
          <w:trHeight w:val="300"/>
        </w:trPr>
        <w:tc>
          <w:tcPr>
            <w:cnfStyle w:val="001000000000" w:firstRow="0" w:lastRow="0" w:firstColumn="1" w:lastColumn="0" w:oddVBand="0" w:evenVBand="0" w:oddHBand="0" w:evenHBand="0" w:firstRowFirstColumn="0" w:firstRowLastColumn="0" w:lastRowFirstColumn="0" w:lastRowLastColumn="0"/>
            <w:tcW w:w="5382" w:type="dxa"/>
            <w:hideMark/>
          </w:tcPr>
          <w:p w14:paraId="600C86C4"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3. Primarni saldo</w:t>
            </w:r>
          </w:p>
        </w:tc>
        <w:tc>
          <w:tcPr>
            <w:tcW w:w="1228" w:type="dxa"/>
            <w:hideMark/>
          </w:tcPr>
          <w:p w14:paraId="5B9B0144"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1373" w:type="dxa"/>
            <w:noWrap/>
            <w:hideMark/>
          </w:tcPr>
          <w:p w14:paraId="648C7567"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-3,3</w:t>
            </w:r>
          </w:p>
        </w:tc>
        <w:tc>
          <w:tcPr>
            <w:tcW w:w="1373" w:type="dxa"/>
            <w:noWrap/>
            <w:hideMark/>
          </w:tcPr>
          <w:p w14:paraId="7B80D93D"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-2,5</w:t>
            </w:r>
          </w:p>
        </w:tc>
      </w:tr>
      <w:tr w:rsidR="005A48F1" w:rsidRPr="00BD4849" w14:paraId="417E3652"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382" w:type="dxa"/>
            <w:hideMark/>
          </w:tcPr>
          <w:p w14:paraId="3B86CEFA"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4. Izdatki za obresti</w:t>
            </w:r>
          </w:p>
        </w:tc>
        <w:tc>
          <w:tcPr>
            <w:tcW w:w="1228" w:type="dxa"/>
            <w:hideMark/>
          </w:tcPr>
          <w:p w14:paraId="3DBF272F"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EDP D.41</w:t>
            </w:r>
          </w:p>
        </w:tc>
        <w:tc>
          <w:tcPr>
            <w:tcW w:w="1373" w:type="dxa"/>
            <w:noWrap/>
            <w:hideMark/>
          </w:tcPr>
          <w:p w14:paraId="694F1229"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1,2</w:t>
            </w:r>
          </w:p>
        </w:tc>
        <w:tc>
          <w:tcPr>
            <w:tcW w:w="1373" w:type="dxa"/>
            <w:noWrap/>
            <w:hideMark/>
          </w:tcPr>
          <w:p w14:paraId="197891CD"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1,3</w:t>
            </w:r>
          </w:p>
        </w:tc>
      </w:tr>
      <w:tr w:rsidR="005A48F1" w:rsidRPr="00BD4849" w14:paraId="1E2BF54C" w14:textId="77777777" w:rsidTr="009F1410">
        <w:trPr>
          <w:trHeight w:val="300"/>
        </w:trPr>
        <w:tc>
          <w:tcPr>
            <w:cnfStyle w:val="001000000000" w:firstRow="0" w:lastRow="0" w:firstColumn="1" w:lastColumn="0" w:oddVBand="0" w:evenVBand="0" w:oddHBand="0" w:evenHBand="0" w:firstRowFirstColumn="0" w:firstRowLastColumn="0" w:lastRowFirstColumn="0" w:lastRowLastColumn="0"/>
            <w:tcW w:w="5382" w:type="dxa"/>
            <w:hideMark/>
          </w:tcPr>
          <w:p w14:paraId="21F6C141"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5. Prilagoditve (SFA)</w:t>
            </w:r>
          </w:p>
        </w:tc>
        <w:tc>
          <w:tcPr>
            <w:tcW w:w="1228" w:type="dxa"/>
            <w:hideMark/>
          </w:tcPr>
          <w:p w14:paraId="1260AFCF"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1373" w:type="dxa"/>
            <w:noWrap/>
            <w:hideMark/>
          </w:tcPr>
          <w:p w14:paraId="22455FD5"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-0,1</w:t>
            </w:r>
          </w:p>
        </w:tc>
        <w:tc>
          <w:tcPr>
            <w:tcW w:w="1373" w:type="dxa"/>
            <w:noWrap/>
            <w:hideMark/>
          </w:tcPr>
          <w:p w14:paraId="5A7A3ABB"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-0,3</w:t>
            </w:r>
          </w:p>
        </w:tc>
      </w:tr>
      <w:tr w:rsidR="005A48F1" w:rsidRPr="00BD4849" w14:paraId="76F559DB"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382" w:type="dxa"/>
            <w:hideMark/>
          </w:tcPr>
          <w:p w14:paraId="176E2487"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od tega:</w:t>
            </w:r>
          </w:p>
        </w:tc>
        <w:tc>
          <w:tcPr>
            <w:tcW w:w="1228" w:type="dxa"/>
            <w:hideMark/>
          </w:tcPr>
          <w:p w14:paraId="777C0031"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1373" w:type="dxa"/>
            <w:noWrap/>
            <w:hideMark/>
          </w:tcPr>
          <w:p w14:paraId="6B205DFF"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1373" w:type="dxa"/>
            <w:noWrap/>
            <w:hideMark/>
          </w:tcPr>
          <w:p w14:paraId="53C2E5C3"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r>
      <w:tr w:rsidR="005A48F1" w:rsidRPr="00BD4849" w14:paraId="073961CE" w14:textId="77777777" w:rsidTr="009F1410">
        <w:trPr>
          <w:trHeight w:val="300"/>
        </w:trPr>
        <w:tc>
          <w:tcPr>
            <w:cnfStyle w:val="001000000000" w:firstRow="0" w:lastRow="0" w:firstColumn="1" w:lastColumn="0" w:oddVBand="0" w:evenVBand="0" w:oddHBand="0" w:evenHBand="0" w:firstRowFirstColumn="0" w:firstRowLastColumn="0" w:lastRowFirstColumn="0" w:lastRowLastColumn="0"/>
            <w:tcW w:w="5382" w:type="dxa"/>
            <w:hideMark/>
          </w:tcPr>
          <w:p w14:paraId="3D85159A"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 obračunski popravki</w:t>
            </w:r>
          </w:p>
        </w:tc>
        <w:tc>
          <w:tcPr>
            <w:tcW w:w="1228" w:type="dxa"/>
            <w:hideMark/>
          </w:tcPr>
          <w:p w14:paraId="359A9647"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1373" w:type="dxa"/>
            <w:noWrap/>
            <w:hideMark/>
          </w:tcPr>
          <w:p w14:paraId="0683F9C3"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p>
        </w:tc>
        <w:tc>
          <w:tcPr>
            <w:tcW w:w="1373" w:type="dxa"/>
            <w:noWrap/>
            <w:hideMark/>
          </w:tcPr>
          <w:p w14:paraId="10116AC3"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p>
        </w:tc>
      </w:tr>
      <w:tr w:rsidR="005A48F1" w:rsidRPr="00BD4849" w14:paraId="0BE2EC9F"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382" w:type="dxa"/>
            <w:hideMark/>
          </w:tcPr>
          <w:p w14:paraId="3F69E0B2"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 neto povečanje finančnih sredstev</w:t>
            </w:r>
          </w:p>
        </w:tc>
        <w:tc>
          <w:tcPr>
            <w:tcW w:w="1228" w:type="dxa"/>
            <w:hideMark/>
          </w:tcPr>
          <w:p w14:paraId="5BDDE3BB"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1373" w:type="dxa"/>
            <w:noWrap/>
            <w:hideMark/>
          </w:tcPr>
          <w:p w14:paraId="6A765951"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p>
        </w:tc>
        <w:tc>
          <w:tcPr>
            <w:tcW w:w="1373" w:type="dxa"/>
            <w:noWrap/>
            <w:hideMark/>
          </w:tcPr>
          <w:p w14:paraId="594D7734"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p>
        </w:tc>
      </w:tr>
      <w:tr w:rsidR="005A48F1" w:rsidRPr="00BD4849" w14:paraId="2B815D09" w14:textId="77777777" w:rsidTr="009F1410">
        <w:trPr>
          <w:trHeight w:val="300"/>
        </w:trPr>
        <w:tc>
          <w:tcPr>
            <w:cnfStyle w:val="001000000000" w:firstRow="0" w:lastRow="0" w:firstColumn="1" w:lastColumn="0" w:oddVBand="0" w:evenVBand="0" w:oddHBand="0" w:evenHBand="0" w:firstRowFirstColumn="0" w:firstRowLastColumn="0" w:lastRowFirstColumn="0" w:lastRowLastColumn="0"/>
            <w:tcW w:w="5382" w:type="dxa"/>
            <w:hideMark/>
          </w:tcPr>
          <w:p w14:paraId="1B9C445D"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od tega:</w:t>
            </w:r>
          </w:p>
        </w:tc>
        <w:tc>
          <w:tcPr>
            <w:tcW w:w="1228" w:type="dxa"/>
            <w:hideMark/>
          </w:tcPr>
          <w:p w14:paraId="54F76AE4"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1373" w:type="dxa"/>
            <w:noWrap/>
            <w:hideMark/>
          </w:tcPr>
          <w:p w14:paraId="32CC9521"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1373" w:type="dxa"/>
            <w:noWrap/>
            <w:hideMark/>
          </w:tcPr>
          <w:p w14:paraId="6D81E6D5"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r>
      <w:tr w:rsidR="005A48F1" w:rsidRPr="00BD4849" w14:paraId="7ED90B54"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382" w:type="dxa"/>
            <w:hideMark/>
          </w:tcPr>
          <w:p w14:paraId="1CDAEC3A"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 prilivi iz privatizacije</w:t>
            </w:r>
          </w:p>
        </w:tc>
        <w:tc>
          <w:tcPr>
            <w:tcW w:w="1228" w:type="dxa"/>
            <w:hideMark/>
          </w:tcPr>
          <w:p w14:paraId="15A52B44"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1373" w:type="dxa"/>
            <w:noWrap/>
            <w:hideMark/>
          </w:tcPr>
          <w:p w14:paraId="7C797A09"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p>
        </w:tc>
        <w:tc>
          <w:tcPr>
            <w:tcW w:w="1373" w:type="dxa"/>
            <w:noWrap/>
            <w:hideMark/>
          </w:tcPr>
          <w:p w14:paraId="5B4B9D29"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p>
        </w:tc>
      </w:tr>
      <w:tr w:rsidR="005A48F1" w:rsidRPr="00BD4849" w14:paraId="458359F7" w14:textId="77777777" w:rsidTr="009F1410">
        <w:trPr>
          <w:trHeight w:val="300"/>
        </w:trPr>
        <w:tc>
          <w:tcPr>
            <w:cnfStyle w:val="001000000000" w:firstRow="0" w:lastRow="0" w:firstColumn="1" w:lastColumn="0" w:oddVBand="0" w:evenVBand="0" w:oddHBand="0" w:evenHBand="0" w:firstRowFirstColumn="0" w:firstRowLastColumn="0" w:lastRowFirstColumn="0" w:lastRowLastColumn="0"/>
            <w:tcW w:w="5382" w:type="dxa"/>
            <w:hideMark/>
          </w:tcPr>
          <w:p w14:paraId="679482C2"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 vplivi vrednotenja in drugo</w:t>
            </w:r>
          </w:p>
        </w:tc>
        <w:tc>
          <w:tcPr>
            <w:tcW w:w="1228" w:type="dxa"/>
            <w:hideMark/>
          </w:tcPr>
          <w:p w14:paraId="47694662"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1373" w:type="dxa"/>
            <w:noWrap/>
            <w:hideMark/>
          </w:tcPr>
          <w:p w14:paraId="2CBE0BBF"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p>
        </w:tc>
        <w:tc>
          <w:tcPr>
            <w:tcW w:w="1373" w:type="dxa"/>
            <w:noWrap/>
            <w:hideMark/>
          </w:tcPr>
          <w:p w14:paraId="11D578AE"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p>
        </w:tc>
      </w:tr>
      <w:tr w:rsidR="005A48F1" w:rsidRPr="00BD4849" w14:paraId="6BF966D6"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382" w:type="dxa"/>
            <w:hideMark/>
          </w:tcPr>
          <w:p w14:paraId="5B1F3FC1"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p.m.: Implicitna obrestna mera</w:t>
            </w:r>
          </w:p>
        </w:tc>
        <w:tc>
          <w:tcPr>
            <w:tcW w:w="1228" w:type="dxa"/>
            <w:hideMark/>
          </w:tcPr>
          <w:p w14:paraId="58DDC5F3"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1373" w:type="dxa"/>
            <w:noWrap/>
            <w:hideMark/>
          </w:tcPr>
          <w:p w14:paraId="4EFFD843"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1,8</w:t>
            </w:r>
          </w:p>
        </w:tc>
        <w:tc>
          <w:tcPr>
            <w:tcW w:w="1373" w:type="dxa"/>
            <w:noWrap/>
            <w:hideMark/>
          </w:tcPr>
          <w:p w14:paraId="48186C23"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2,0</w:t>
            </w:r>
          </w:p>
        </w:tc>
      </w:tr>
      <w:tr w:rsidR="005A48F1" w:rsidRPr="00BD4849" w14:paraId="7BDBEA0A" w14:textId="77777777" w:rsidTr="009F1410">
        <w:trPr>
          <w:trHeight w:val="300"/>
        </w:trPr>
        <w:tc>
          <w:tcPr>
            <w:cnfStyle w:val="001000000000" w:firstRow="0" w:lastRow="0" w:firstColumn="1" w:lastColumn="0" w:oddVBand="0" w:evenVBand="0" w:oddHBand="0" w:evenHBand="0" w:firstRowFirstColumn="0" w:firstRowLastColumn="0" w:lastRowFirstColumn="0" w:lastRowLastColumn="0"/>
            <w:tcW w:w="5382" w:type="dxa"/>
            <w:hideMark/>
          </w:tcPr>
          <w:p w14:paraId="59EAFDB3"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Druge relevantne spremenljivke:</w:t>
            </w:r>
          </w:p>
        </w:tc>
        <w:tc>
          <w:tcPr>
            <w:tcW w:w="1228" w:type="dxa"/>
            <w:hideMark/>
          </w:tcPr>
          <w:p w14:paraId="2713B3D7"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1373" w:type="dxa"/>
            <w:noWrap/>
            <w:hideMark/>
          </w:tcPr>
          <w:p w14:paraId="39E70397"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1373" w:type="dxa"/>
            <w:noWrap/>
            <w:hideMark/>
          </w:tcPr>
          <w:p w14:paraId="6E819271"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r>
      <w:tr w:rsidR="005A48F1" w:rsidRPr="00BD4849" w14:paraId="1870B474"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382" w:type="dxa"/>
            <w:hideMark/>
          </w:tcPr>
          <w:p w14:paraId="3EAE7E8A"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6. Stanje likvidnih denarnih sredstev</w:t>
            </w:r>
          </w:p>
        </w:tc>
        <w:tc>
          <w:tcPr>
            <w:tcW w:w="1228" w:type="dxa"/>
            <w:hideMark/>
          </w:tcPr>
          <w:p w14:paraId="4739462E"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1373" w:type="dxa"/>
            <w:noWrap/>
            <w:hideMark/>
          </w:tcPr>
          <w:p w14:paraId="7B462893"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10,3</w:t>
            </w:r>
          </w:p>
        </w:tc>
        <w:tc>
          <w:tcPr>
            <w:tcW w:w="1373" w:type="dxa"/>
            <w:noWrap/>
            <w:hideMark/>
          </w:tcPr>
          <w:p w14:paraId="4D8F95C0"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9,9</w:t>
            </w:r>
          </w:p>
        </w:tc>
      </w:tr>
      <w:tr w:rsidR="005A48F1" w:rsidRPr="00BD4849" w14:paraId="3818CDF4" w14:textId="77777777" w:rsidTr="009F1410">
        <w:trPr>
          <w:trHeight w:val="300"/>
        </w:trPr>
        <w:tc>
          <w:tcPr>
            <w:cnfStyle w:val="001000000000" w:firstRow="0" w:lastRow="0" w:firstColumn="1" w:lastColumn="0" w:oddVBand="0" w:evenVBand="0" w:oddHBand="0" w:evenHBand="0" w:firstRowFirstColumn="0" w:firstRowLastColumn="0" w:lastRowFirstColumn="0" w:lastRowLastColumn="0"/>
            <w:tcW w:w="5382" w:type="dxa"/>
            <w:hideMark/>
          </w:tcPr>
          <w:p w14:paraId="36C7877B"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7. Neto dolg (7=1-6)</w:t>
            </w:r>
          </w:p>
        </w:tc>
        <w:tc>
          <w:tcPr>
            <w:tcW w:w="1228" w:type="dxa"/>
            <w:hideMark/>
          </w:tcPr>
          <w:p w14:paraId="1FA53C26"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1373" w:type="dxa"/>
            <w:noWrap/>
            <w:hideMark/>
          </w:tcPr>
          <w:p w14:paraId="210135B4"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59,6</w:t>
            </w:r>
          </w:p>
        </w:tc>
        <w:tc>
          <w:tcPr>
            <w:tcW w:w="1373" w:type="dxa"/>
            <w:noWrap/>
            <w:hideMark/>
          </w:tcPr>
          <w:p w14:paraId="46760133"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59,0</w:t>
            </w:r>
          </w:p>
        </w:tc>
      </w:tr>
      <w:tr w:rsidR="005A48F1" w:rsidRPr="00BD4849" w14:paraId="65DB4AC6"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382" w:type="dxa"/>
            <w:hideMark/>
          </w:tcPr>
          <w:p w14:paraId="2AA1EDF9"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8. Odplačilo dolga (glavnice obveznic) po stanju na dan preteklega leta</w:t>
            </w:r>
          </w:p>
        </w:tc>
        <w:tc>
          <w:tcPr>
            <w:tcW w:w="1228" w:type="dxa"/>
            <w:hideMark/>
          </w:tcPr>
          <w:p w14:paraId="21332541"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1373" w:type="dxa"/>
            <w:noWrap/>
            <w:hideMark/>
          </w:tcPr>
          <w:p w14:paraId="4228E024"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2,0</w:t>
            </w:r>
          </w:p>
        </w:tc>
        <w:tc>
          <w:tcPr>
            <w:tcW w:w="1373" w:type="dxa"/>
            <w:noWrap/>
            <w:hideMark/>
          </w:tcPr>
          <w:p w14:paraId="352BA164"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2,9</w:t>
            </w:r>
          </w:p>
        </w:tc>
      </w:tr>
      <w:tr w:rsidR="005A48F1" w:rsidRPr="00BD4849" w14:paraId="7FF8424A" w14:textId="77777777" w:rsidTr="009F1410">
        <w:trPr>
          <w:trHeight w:val="300"/>
        </w:trPr>
        <w:tc>
          <w:tcPr>
            <w:cnfStyle w:val="001000000000" w:firstRow="0" w:lastRow="0" w:firstColumn="1" w:lastColumn="0" w:oddVBand="0" w:evenVBand="0" w:oddHBand="0" w:evenHBand="0" w:firstRowFirstColumn="0" w:firstRowLastColumn="0" w:lastRowFirstColumn="0" w:lastRowLastColumn="0"/>
            <w:tcW w:w="5382" w:type="dxa"/>
            <w:hideMark/>
          </w:tcPr>
          <w:p w14:paraId="28D078C7"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9. Delež dolga v tuji valuti – po valutni zamenjavi (%)</w:t>
            </w:r>
          </w:p>
        </w:tc>
        <w:tc>
          <w:tcPr>
            <w:tcW w:w="1228" w:type="dxa"/>
            <w:hideMark/>
          </w:tcPr>
          <w:p w14:paraId="60B644E1"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1373" w:type="dxa"/>
            <w:noWrap/>
            <w:hideMark/>
          </w:tcPr>
          <w:p w14:paraId="4B7D5CBB"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0,1</w:t>
            </w:r>
          </w:p>
        </w:tc>
        <w:tc>
          <w:tcPr>
            <w:tcW w:w="1373" w:type="dxa"/>
            <w:noWrap/>
            <w:hideMark/>
          </w:tcPr>
          <w:p w14:paraId="235B487A" w14:textId="77777777" w:rsidR="005A48F1" w:rsidRPr="00BD4849" w:rsidRDefault="005A48F1" w:rsidP="009F141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0,1</w:t>
            </w:r>
          </w:p>
        </w:tc>
      </w:tr>
      <w:tr w:rsidR="005A48F1" w:rsidRPr="00BD4849" w14:paraId="3D2E01E1"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382" w:type="dxa"/>
            <w:hideMark/>
          </w:tcPr>
          <w:p w14:paraId="72140625"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10. Povprečni tehtani čas do dospetja (v letih)</w:t>
            </w:r>
          </w:p>
        </w:tc>
        <w:tc>
          <w:tcPr>
            <w:tcW w:w="1228" w:type="dxa"/>
            <w:hideMark/>
          </w:tcPr>
          <w:p w14:paraId="053C9DA0"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1373" w:type="dxa"/>
            <w:noWrap/>
            <w:hideMark/>
          </w:tcPr>
          <w:p w14:paraId="0177B10F"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9,6</w:t>
            </w:r>
          </w:p>
        </w:tc>
        <w:tc>
          <w:tcPr>
            <w:tcW w:w="1373" w:type="dxa"/>
            <w:noWrap/>
            <w:hideMark/>
          </w:tcPr>
          <w:p w14:paraId="67D04D2F" w14:textId="77777777" w:rsidR="005A48F1" w:rsidRPr="00BD4849" w:rsidRDefault="005A48F1" w:rsidP="009F141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9,3</w:t>
            </w:r>
          </w:p>
        </w:tc>
      </w:tr>
    </w:tbl>
    <w:p w14:paraId="290AF912" w14:textId="170B523C" w:rsidR="005A48F1" w:rsidRDefault="005A48F1" w:rsidP="009924DC">
      <w:pPr>
        <w:pStyle w:val="Caption"/>
        <w:ind w:left="0" w:firstLine="0"/>
        <w:rPr>
          <w:rFonts w:ascii="Arial" w:hAnsi="Arial" w:cs="Arial"/>
          <w:b w:val="0"/>
          <w:bCs/>
          <w:i w:val="0"/>
          <w:iCs/>
        </w:rPr>
      </w:pPr>
      <w:r w:rsidRPr="009924DC">
        <w:rPr>
          <w:rFonts w:ascii="Arial" w:hAnsi="Arial" w:cs="Arial"/>
          <w:b w:val="0"/>
          <w:bCs/>
          <w:i w:val="0"/>
          <w:iCs/>
        </w:rPr>
        <w:t>Vir: Ministrstvo za finance.</w:t>
      </w:r>
    </w:p>
    <w:p w14:paraId="285E908E" w14:textId="77777777" w:rsidR="009924DC" w:rsidRPr="009924DC" w:rsidRDefault="009924DC" w:rsidP="009924DC">
      <w:pPr>
        <w:rPr>
          <w:lang w:eastAsia="sl-SI"/>
        </w:rPr>
      </w:pPr>
    </w:p>
    <w:tbl>
      <w:tblPr>
        <w:tblStyle w:val="ListTable3-Accent1"/>
        <w:tblW w:w="9356" w:type="dxa"/>
        <w:tblLook w:val="04A0" w:firstRow="1" w:lastRow="0" w:firstColumn="1" w:lastColumn="0" w:noHBand="0" w:noVBand="1"/>
      </w:tblPr>
      <w:tblGrid>
        <w:gridCol w:w="5666"/>
        <w:gridCol w:w="1845"/>
        <w:gridCol w:w="1845"/>
      </w:tblGrid>
      <w:tr w:rsidR="005A48F1" w:rsidRPr="00BD4849" w14:paraId="24B46930" w14:textId="77777777" w:rsidTr="009F1410">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5148" w:type="dxa"/>
            <w:shd w:val="clear" w:color="auto" w:fill="B4C6E7" w:themeFill="accent5" w:themeFillTint="66"/>
            <w:noWrap/>
            <w:hideMark/>
          </w:tcPr>
          <w:p w14:paraId="2501E355" w14:textId="77777777" w:rsidR="005A48F1" w:rsidRPr="00BD4849" w:rsidRDefault="005A48F1" w:rsidP="009F1410">
            <w:pPr>
              <w:rPr>
                <w:rFonts w:ascii="Arial" w:eastAsia="Times New Roman" w:hAnsi="Arial" w:cs="Arial"/>
                <w:b w:val="0"/>
                <w:bCs w:val="0"/>
                <w:color w:val="auto"/>
                <w:sz w:val="20"/>
                <w:szCs w:val="20"/>
                <w:lang w:eastAsia="sl-SI"/>
              </w:rPr>
            </w:pPr>
            <w:r w:rsidRPr="00BD4849">
              <w:rPr>
                <w:rFonts w:ascii="Arial" w:eastAsia="Times New Roman" w:hAnsi="Arial" w:cs="Arial"/>
                <w:b w:val="0"/>
                <w:bCs w:val="0"/>
                <w:color w:val="auto"/>
                <w:sz w:val="20"/>
                <w:szCs w:val="20"/>
                <w:lang w:eastAsia="sl-SI"/>
              </w:rPr>
              <w:t>Tabela 2c. Stanje poroštev</w:t>
            </w:r>
          </w:p>
        </w:tc>
        <w:tc>
          <w:tcPr>
            <w:tcW w:w="1676" w:type="dxa"/>
            <w:shd w:val="clear" w:color="auto" w:fill="B4C6E7" w:themeFill="accent5" w:themeFillTint="66"/>
            <w:hideMark/>
          </w:tcPr>
          <w:p w14:paraId="547B0BC5" w14:textId="77777777" w:rsidR="005A48F1" w:rsidRPr="00BD4849" w:rsidRDefault="005A48F1" w:rsidP="009F141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lang w:eastAsia="sl-SI"/>
              </w:rPr>
            </w:pPr>
            <w:r w:rsidRPr="00BD4849">
              <w:rPr>
                <w:rFonts w:ascii="Arial" w:eastAsia="Times New Roman" w:hAnsi="Arial" w:cs="Arial"/>
                <w:b w:val="0"/>
                <w:bCs w:val="0"/>
                <w:color w:val="auto"/>
                <w:sz w:val="20"/>
                <w:szCs w:val="20"/>
                <w:lang w:eastAsia="sl-SI"/>
              </w:rPr>
              <w:t>2023 (% BDP)</w:t>
            </w:r>
          </w:p>
        </w:tc>
        <w:tc>
          <w:tcPr>
            <w:tcW w:w="1676" w:type="dxa"/>
            <w:shd w:val="clear" w:color="auto" w:fill="B4C6E7" w:themeFill="accent5" w:themeFillTint="66"/>
            <w:hideMark/>
          </w:tcPr>
          <w:p w14:paraId="0F7F60E2" w14:textId="77777777" w:rsidR="005A48F1" w:rsidRPr="00BD4849" w:rsidRDefault="005A48F1" w:rsidP="009F141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lang w:eastAsia="sl-SI"/>
              </w:rPr>
            </w:pPr>
            <w:r w:rsidRPr="00BD4849">
              <w:rPr>
                <w:rFonts w:ascii="Arial" w:eastAsia="Times New Roman" w:hAnsi="Arial" w:cs="Arial"/>
                <w:b w:val="0"/>
                <w:bCs w:val="0"/>
                <w:color w:val="auto"/>
                <w:sz w:val="20"/>
                <w:szCs w:val="20"/>
                <w:lang w:eastAsia="sl-SI"/>
              </w:rPr>
              <w:t>2024 (% BDP)</w:t>
            </w:r>
          </w:p>
        </w:tc>
      </w:tr>
      <w:tr w:rsidR="005A48F1" w:rsidRPr="00BD4849" w14:paraId="27795B33"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148" w:type="dxa"/>
            <w:hideMark/>
          </w:tcPr>
          <w:p w14:paraId="38341AEC"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Državna poroštva</w:t>
            </w:r>
          </w:p>
        </w:tc>
        <w:tc>
          <w:tcPr>
            <w:tcW w:w="1676" w:type="dxa"/>
            <w:noWrap/>
            <w:hideMark/>
          </w:tcPr>
          <w:p w14:paraId="41F9AA53" w14:textId="77777777" w:rsidR="005A48F1" w:rsidRPr="00BD4849" w:rsidRDefault="005A48F1" w:rsidP="009F141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6,7</w:t>
            </w:r>
          </w:p>
        </w:tc>
        <w:tc>
          <w:tcPr>
            <w:tcW w:w="1676" w:type="dxa"/>
            <w:noWrap/>
            <w:hideMark/>
          </w:tcPr>
          <w:p w14:paraId="2207FCC8" w14:textId="77777777" w:rsidR="005A48F1" w:rsidRPr="00BD4849" w:rsidRDefault="005A48F1" w:rsidP="009F141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6,1</w:t>
            </w:r>
          </w:p>
        </w:tc>
      </w:tr>
      <w:tr w:rsidR="005A48F1" w:rsidRPr="00BD4849" w14:paraId="032D6918" w14:textId="77777777" w:rsidTr="009F1410">
        <w:trPr>
          <w:trHeight w:val="300"/>
        </w:trPr>
        <w:tc>
          <w:tcPr>
            <w:cnfStyle w:val="001000000000" w:firstRow="0" w:lastRow="0" w:firstColumn="1" w:lastColumn="0" w:oddVBand="0" w:evenVBand="0" w:oddHBand="0" w:evenHBand="0" w:firstRowFirstColumn="0" w:firstRowLastColumn="0" w:lastRowFirstColumn="0" w:lastRowLastColumn="0"/>
            <w:tcW w:w="5148" w:type="dxa"/>
            <w:hideMark/>
          </w:tcPr>
          <w:p w14:paraId="75AC857F" w14:textId="77777777" w:rsidR="005A48F1" w:rsidRPr="00BD4849" w:rsidRDefault="005A48F1" w:rsidP="009F1410">
            <w:pPr>
              <w:rPr>
                <w:rFonts w:ascii="Arial" w:eastAsia="Times New Roman" w:hAnsi="Arial" w:cs="Arial"/>
                <w:b w:val="0"/>
                <w:bCs w:val="0"/>
                <w:sz w:val="20"/>
                <w:szCs w:val="20"/>
                <w:vertAlign w:val="superscript"/>
                <w:lang w:eastAsia="sl-SI"/>
              </w:rPr>
            </w:pPr>
            <w:r w:rsidRPr="00BD4849">
              <w:rPr>
                <w:rFonts w:ascii="Arial" w:eastAsia="Times New Roman" w:hAnsi="Arial" w:cs="Arial"/>
                <w:b w:val="0"/>
                <w:bCs w:val="0"/>
                <w:sz w:val="20"/>
                <w:szCs w:val="20"/>
                <w:lang w:eastAsia="sl-SI"/>
              </w:rPr>
              <w:t>od katerih: povezanih s finančnim sektorjem</w:t>
            </w:r>
            <w:r w:rsidRPr="00BD4849">
              <w:rPr>
                <w:rFonts w:ascii="Arial" w:eastAsia="Times New Roman" w:hAnsi="Arial" w:cs="Arial"/>
                <w:b w:val="0"/>
                <w:bCs w:val="0"/>
                <w:sz w:val="20"/>
                <w:szCs w:val="20"/>
                <w:vertAlign w:val="superscript"/>
                <w:lang w:eastAsia="sl-SI"/>
              </w:rPr>
              <w:t>1</w:t>
            </w:r>
          </w:p>
        </w:tc>
        <w:tc>
          <w:tcPr>
            <w:tcW w:w="1676" w:type="dxa"/>
            <w:noWrap/>
            <w:hideMark/>
          </w:tcPr>
          <w:p w14:paraId="768A4E66" w14:textId="77777777" w:rsidR="005A48F1" w:rsidRPr="00BD4849" w:rsidRDefault="005A48F1" w:rsidP="009F141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1,1</w:t>
            </w:r>
          </w:p>
        </w:tc>
        <w:tc>
          <w:tcPr>
            <w:tcW w:w="1676" w:type="dxa"/>
            <w:noWrap/>
            <w:hideMark/>
          </w:tcPr>
          <w:p w14:paraId="32EE833C" w14:textId="77777777" w:rsidR="005A48F1" w:rsidRPr="00BD4849" w:rsidRDefault="005A48F1" w:rsidP="009F141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1,0</w:t>
            </w:r>
          </w:p>
        </w:tc>
      </w:tr>
    </w:tbl>
    <w:p w14:paraId="00257E76" w14:textId="77777777" w:rsidR="005A48F1" w:rsidRPr="009924DC" w:rsidRDefault="005A48F1" w:rsidP="009924DC">
      <w:pPr>
        <w:pStyle w:val="Caption"/>
        <w:spacing w:after="0"/>
        <w:ind w:left="0" w:firstLine="0"/>
        <w:rPr>
          <w:rFonts w:ascii="Arial" w:hAnsi="Arial" w:cs="Arial"/>
          <w:b w:val="0"/>
          <w:bCs/>
          <w:i w:val="0"/>
          <w:iCs/>
        </w:rPr>
      </w:pPr>
      <w:r w:rsidRPr="009924DC">
        <w:rPr>
          <w:rFonts w:ascii="Arial" w:hAnsi="Arial" w:cs="Arial"/>
          <w:b w:val="0"/>
          <w:bCs/>
          <w:i w:val="0"/>
          <w:iCs/>
        </w:rPr>
        <w:t xml:space="preserve">Opomba: </w:t>
      </w:r>
      <w:r w:rsidRPr="009924DC">
        <w:rPr>
          <w:rFonts w:ascii="Arial" w:hAnsi="Arial" w:cs="Arial"/>
          <w:b w:val="0"/>
          <w:bCs/>
          <w:i w:val="0"/>
          <w:iCs/>
          <w:vertAlign w:val="superscript"/>
        </w:rPr>
        <w:t>1</w:t>
      </w:r>
      <w:r w:rsidRPr="009924DC">
        <w:rPr>
          <w:rFonts w:ascii="Arial" w:hAnsi="Arial" w:cs="Arial"/>
          <w:b w:val="0"/>
          <w:bCs/>
          <w:i w:val="0"/>
          <w:iCs/>
        </w:rPr>
        <w:t xml:space="preserve"> Skladno s klasifikacijo SKIS so vključene pravne osebe s SKIS oznako S.12.</w:t>
      </w:r>
    </w:p>
    <w:p w14:paraId="397125F3" w14:textId="4EDC595F" w:rsidR="005A48F1" w:rsidRDefault="005A48F1" w:rsidP="009924DC">
      <w:pPr>
        <w:pStyle w:val="Caption"/>
        <w:ind w:left="0" w:firstLine="0"/>
        <w:rPr>
          <w:rFonts w:ascii="Arial" w:hAnsi="Arial" w:cs="Arial"/>
          <w:b w:val="0"/>
          <w:bCs/>
          <w:i w:val="0"/>
          <w:iCs/>
        </w:rPr>
      </w:pPr>
      <w:r w:rsidRPr="009924DC">
        <w:rPr>
          <w:rFonts w:ascii="Arial" w:hAnsi="Arial" w:cs="Arial"/>
          <w:b w:val="0"/>
          <w:bCs/>
          <w:i w:val="0"/>
          <w:iCs/>
        </w:rPr>
        <w:t>Vir: Ministrstvo za finance.</w:t>
      </w:r>
    </w:p>
    <w:p w14:paraId="765D7DC8" w14:textId="7BAF4D8D" w:rsidR="009924DC" w:rsidRDefault="009924DC" w:rsidP="009924DC">
      <w:pPr>
        <w:rPr>
          <w:lang w:eastAsia="sl-SI"/>
        </w:rPr>
      </w:pPr>
    </w:p>
    <w:p w14:paraId="0F3F09A5" w14:textId="0061B651" w:rsidR="009924DC" w:rsidRDefault="009924DC" w:rsidP="009924DC">
      <w:pPr>
        <w:rPr>
          <w:lang w:eastAsia="sl-SI"/>
        </w:rPr>
      </w:pPr>
    </w:p>
    <w:p w14:paraId="3F9BFDD1" w14:textId="5E652433" w:rsidR="009924DC" w:rsidRDefault="009924DC" w:rsidP="009924DC">
      <w:pPr>
        <w:rPr>
          <w:lang w:eastAsia="sl-SI"/>
        </w:rPr>
      </w:pPr>
    </w:p>
    <w:p w14:paraId="692AA89E" w14:textId="2493AB6A" w:rsidR="009924DC" w:rsidRDefault="009924DC" w:rsidP="009924DC">
      <w:pPr>
        <w:rPr>
          <w:lang w:eastAsia="sl-SI"/>
        </w:rPr>
      </w:pPr>
    </w:p>
    <w:p w14:paraId="5023B834" w14:textId="055E93A9" w:rsidR="009924DC" w:rsidRDefault="009924DC" w:rsidP="009924DC">
      <w:pPr>
        <w:rPr>
          <w:lang w:eastAsia="sl-SI"/>
        </w:rPr>
      </w:pPr>
    </w:p>
    <w:p w14:paraId="18537C09" w14:textId="55CA1D3D" w:rsidR="009924DC" w:rsidRDefault="009924DC" w:rsidP="009924DC">
      <w:pPr>
        <w:rPr>
          <w:lang w:eastAsia="sl-SI"/>
        </w:rPr>
      </w:pPr>
    </w:p>
    <w:p w14:paraId="45D0A14D" w14:textId="6FC8CF47" w:rsidR="009924DC" w:rsidRDefault="009924DC" w:rsidP="009924DC">
      <w:pPr>
        <w:rPr>
          <w:lang w:eastAsia="sl-SI"/>
        </w:rPr>
      </w:pPr>
    </w:p>
    <w:p w14:paraId="05C4BB80" w14:textId="6759D5C5" w:rsidR="009924DC" w:rsidRDefault="009924DC" w:rsidP="009924DC">
      <w:pPr>
        <w:rPr>
          <w:lang w:eastAsia="sl-SI"/>
        </w:rPr>
      </w:pPr>
    </w:p>
    <w:p w14:paraId="7C6AD036" w14:textId="28C2AC2B" w:rsidR="009924DC" w:rsidRDefault="009924DC" w:rsidP="009924DC">
      <w:pPr>
        <w:rPr>
          <w:lang w:eastAsia="sl-SI"/>
        </w:rPr>
      </w:pPr>
    </w:p>
    <w:p w14:paraId="4F53AD89" w14:textId="77777777" w:rsidR="009924DC" w:rsidRPr="009924DC" w:rsidRDefault="009924DC" w:rsidP="009924DC">
      <w:pPr>
        <w:rPr>
          <w:lang w:eastAsia="sl-SI"/>
        </w:rPr>
      </w:pPr>
    </w:p>
    <w:tbl>
      <w:tblPr>
        <w:tblStyle w:val="ListTable3-Accent1"/>
        <w:tblW w:w="9356" w:type="dxa"/>
        <w:tblLayout w:type="fixed"/>
        <w:tblLook w:val="04A0" w:firstRow="1" w:lastRow="0" w:firstColumn="1" w:lastColumn="0" w:noHBand="0" w:noVBand="1"/>
      </w:tblPr>
      <w:tblGrid>
        <w:gridCol w:w="5784"/>
        <w:gridCol w:w="1096"/>
        <w:gridCol w:w="1238"/>
        <w:gridCol w:w="1238"/>
      </w:tblGrid>
      <w:tr w:rsidR="005A48F1" w:rsidRPr="00BD4849" w14:paraId="30EFD908" w14:textId="77777777" w:rsidTr="009F1410">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5784" w:type="dxa"/>
            <w:shd w:val="clear" w:color="auto" w:fill="B4C6E7" w:themeFill="accent5" w:themeFillTint="66"/>
            <w:noWrap/>
            <w:hideMark/>
          </w:tcPr>
          <w:p w14:paraId="44C9A4C7" w14:textId="77777777" w:rsidR="005A48F1" w:rsidRPr="00BD4849" w:rsidRDefault="005A48F1" w:rsidP="009F1410">
            <w:pPr>
              <w:rPr>
                <w:rFonts w:ascii="Arial" w:eastAsia="Times New Roman" w:hAnsi="Arial" w:cs="Arial"/>
                <w:b w:val="0"/>
                <w:bCs w:val="0"/>
                <w:color w:val="auto"/>
                <w:sz w:val="20"/>
                <w:szCs w:val="20"/>
                <w:lang w:eastAsia="sl-SI"/>
              </w:rPr>
            </w:pPr>
            <w:r w:rsidRPr="00BD4849">
              <w:rPr>
                <w:b w:val="0"/>
                <w:bCs w:val="0"/>
                <w:color w:val="auto"/>
              </w:rPr>
              <w:lastRenderedPageBreak/>
              <w:br w:type="page"/>
            </w:r>
            <w:r w:rsidRPr="00BD4849">
              <w:rPr>
                <w:rFonts w:ascii="Arial" w:eastAsia="Times New Roman" w:hAnsi="Arial" w:cs="Arial"/>
                <w:b w:val="0"/>
                <w:bCs w:val="0"/>
                <w:color w:val="auto"/>
                <w:sz w:val="20"/>
                <w:szCs w:val="20"/>
                <w:lang w:eastAsia="sl-SI"/>
              </w:rPr>
              <w:t>Tabela 3. Napovedi na predpostavki nespremenjene politike</w:t>
            </w:r>
          </w:p>
        </w:tc>
        <w:tc>
          <w:tcPr>
            <w:tcW w:w="1096" w:type="dxa"/>
            <w:shd w:val="clear" w:color="auto" w:fill="B4C6E7" w:themeFill="accent5" w:themeFillTint="66"/>
            <w:hideMark/>
          </w:tcPr>
          <w:p w14:paraId="06C33725" w14:textId="77777777" w:rsidR="005A48F1" w:rsidRPr="00BD4849" w:rsidRDefault="005A48F1" w:rsidP="009F141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lang w:eastAsia="sl-SI"/>
              </w:rPr>
            </w:pPr>
            <w:r w:rsidRPr="00BD4849">
              <w:rPr>
                <w:rFonts w:ascii="Arial" w:eastAsia="Times New Roman" w:hAnsi="Arial" w:cs="Arial"/>
                <w:b w:val="0"/>
                <w:bCs w:val="0"/>
                <w:color w:val="auto"/>
                <w:sz w:val="20"/>
                <w:szCs w:val="20"/>
                <w:lang w:eastAsia="sl-SI"/>
              </w:rPr>
              <w:t xml:space="preserve">ESA </w:t>
            </w:r>
          </w:p>
          <w:p w14:paraId="0A27398C" w14:textId="77777777" w:rsidR="005A48F1" w:rsidRPr="00BD4849" w:rsidRDefault="005A48F1" w:rsidP="009F141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lang w:eastAsia="sl-SI"/>
              </w:rPr>
            </w:pPr>
            <w:r w:rsidRPr="00BD4849">
              <w:rPr>
                <w:rFonts w:ascii="Arial" w:eastAsia="Times New Roman" w:hAnsi="Arial" w:cs="Arial"/>
                <w:b w:val="0"/>
                <w:bCs w:val="0"/>
                <w:color w:val="auto"/>
                <w:sz w:val="20"/>
                <w:szCs w:val="20"/>
                <w:lang w:eastAsia="sl-SI"/>
              </w:rPr>
              <w:t>koda</w:t>
            </w:r>
          </w:p>
        </w:tc>
        <w:tc>
          <w:tcPr>
            <w:tcW w:w="1238" w:type="dxa"/>
            <w:shd w:val="clear" w:color="auto" w:fill="B4C6E7" w:themeFill="accent5" w:themeFillTint="66"/>
            <w:hideMark/>
          </w:tcPr>
          <w:p w14:paraId="1DD75EB1" w14:textId="77777777" w:rsidR="005A48F1" w:rsidRPr="00BD4849" w:rsidRDefault="005A48F1" w:rsidP="009F141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lang w:eastAsia="sl-SI"/>
              </w:rPr>
            </w:pPr>
            <w:r w:rsidRPr="00BD4849">
              <w:rPr>
                <w:rFonts w:ascii="Arial" w:eastAsia="Times New Roman" w:hAnsi="Arial" w:cs="Arial"/>
                <w:b w:val="0"/>
                <w:bCs w:val="0"/>
                <w:color w:val="auto"/>
                <w:sz w:val="20"/>
                <w:szCs w:val="20"/>
                <w:lang w:eastAsia="sl-SI"/>
              </w:rPr>
              <w:t xml:space="preserve">2023 </w:t>
            </w:r>
          </w:p>
          <w:p w14:paraId="6A5873EE" w14:textId="77777777" w:rsidR="005A48F1" w:rsidRPr="00BD4849" w:rsidRDefault="005A48F1" w:rsidP="009F141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lang w:eastAsia="sl-SI"/>
              </w:rPr>
            </w:pPr>
            <w:r w:rsidRPr="00BD4849">
              <w:rPr>
                <w:rFonts w:ascii="Arial" w:eastAsia="Times New Roman" w:hAnsi="Arial" w:cs="Arial"/>
                <w:b w:val="0"/>
                <w:bCs w:val="0"/>
                <w:color w:val="auto"/>
                <w:sz w:val="20"/>
                <w:szCs w:val="20"/>
                <w:lang w:eastAsia="sl-SI"/>
              </w:rPr>
              <w:t>(% BDP)</w:t>
            </w:r>
          </w:p>
        </w:tc>
        <w:tc>
          <w:tcPr>
            <w:tcW w:w="1238" w:type="dxa"/>
            <w:shd w:val="clear" w:color="auto" w:fill="B4C6E7" w:themeFill="accent5" w:themeFillTint="66"/>
            <w:hideMark/>
          </w:tcPr>
          <w:p w14:paraId="5E64642D" w14:textId="77777777" w:rsidR="005A48F1" w:rsidRPr="00BD4849" w:rsidRDefault="005A48F1" w:rsidP="009F141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lang w:eastAsia="sl-SI"/>
              </w:rPr>
            </w:pPr>
            <w:r w:rsidRPr="00BD4849">
              <w:rPr>
                <w:rFonts w:ascii="Arial" w:eastAsia="Times New Roman" w:hAnsi="Arial" w:cs="Arial"/>
                <w:b w:val="0"/>
                <w:bCs w:val="0"/>
                <w:color w:val="auto"/>
                <w:sz w:val="20"/>
                <w:szCs w:val="20"/>
                <w:lang w:eastAsia="sl-SI"/>
              </w:rPr>
              <w:t xml:space="preserve">2024 </w:t>
            </w:r>
          </w:p>
          <w:p w14:paraId="4C63EFB5" w14:textId="77777777" w:rsidR="005A48F1" w:rsidRPr="00BD4849" w:rsidRDefault="005A48F1" w:rsidP="009F141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lang w:eastAsia="sl-SI"/>
              </w:rPr>
            </w:pPr>
            <w:r w:rsidRPr="00BD4849">
              <w:rPr>
                <w:rFonts w:ascii="Arial" w:eastAsia="Times New Roman" w:hAnsi="Arial" w:cs="Arial"/>
                <w:b w:val="0"/>
                <w:bCs w:val="0"/>
                <w:color w:val="auto"/>
                <w:sz w:val="20"/>
                <w:szCs w:val="20"/>
                <w:lang w:eastAsia="sl-SI"/>
              </w:rPr>
              <w:t>(% BDP)</w:t>
            </w:r>
          </w:p>
        </w:tc>
      </w:tr>
      <w:tr w:rsidR="005A48F1" w:rsidRPr="00BD4849" w14:paraId="4D84A9F4"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784" w:type="dxa"/>
            <w:hideMark/>
          </w:tcPr>
          <w:p w14:paraId="7C65DF6B"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Sektor država (S13)</w:t>
            </w:r>
          </w:p>
        </w:tc>
        <w:tc>
          <w:tcPr>
            <w:tcW w:w="1096" w:type="dxa"/>
            <w:hideMark/>
          </w:tcPr>
          <w:p w14:paraId="6B391211"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1238" w:type="dxa"/>
            <w:noWrap/>
            <w:hideMark/>
          </w:tcPr>
          <w:p w14:paraId="0776FC4F"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1238" w:type="dxa"/>
            <w:noWrap/>
            <w:hideMark/>
          </w:tcPr>
          <w:p w14:paraId="7ABA05FD"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r>
      <w:tr w:rsidR="005A48F1" w:rsidRPr="00BD4849" w14:paraId="4BB123CC" w14:textId="77777777" w:rsidTr="009F1410">
        <w:trPr>
          <w:trHeight w:val="300"/>
        </w:trPr>
        <w:tc>
          <w:tcPr>
            <w:cnfStyle w:val="001000000000" w:firstRow="0" w:lastRow="0" w:firstColumn="1" w:lastColumn="0" w:oddVBand="0" w:evenVBand="0" w:oddHBand="0" w:evenHBand="0" w:firstRowFirstColumn="0" w:firstRowLastColumn="0" w:lastRowFirstColumn="0" w:lastRowLastColumn="0"/>
            <w:tcW w:w="5784" w:type="dxa"/>
            <w:hideMark/>
          </w:tcPr>
          <w:p w14:paraId="7578D6F8"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1. Skupaj prihodki ob nespremenjeni politiki</w:t>
            </w:r>
          </w:p>
        </w:tc>
        <w:tc>
          <w:tcPr>
            <w:tcW w:w="1096" w:type="dxa"/>
            <w:hideMark/>
          </w:tcPr>
          <w:p w14:paraId="37DBE66C"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TR</w:t>
            </w:r>
          </w:p>
        </w:tc>
        <w:tc>
          <w:tcPr>
            <w:tcW w:w="1238" w:type="dxa"/>
            <w:noWrap/>
            <w:hideMark/>
          </w:tcPr>
          <w:p w14:paraId="0A23A0AB"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43,7</w:t>
            </w:r>
          </w:p>
        </w:tc>
        <w:tc>
          <w:tcPr>
            <w:tcW w:w="1238" w:type="dxa"/>
            <w:noWrap/>
            <w:hideMark/>
          </w:tcPr>
          <w:p w14:paraId="13D77506"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43,6</w:t>
            </w:r>
          </w:p>
        </w:tc>
      </w:tr>
      <w:tr w:rsidR="005A48F1" w:rsidRPr="00BD4849" w14:paraId="46D0E51F"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784" w:type="dxa"/>
            <w:hideMark/>
          </w:tcPr>
          <w:p w14:paraId="65B720EC"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od tega:</w:t>
            </w:r>
          </w:p>
        </w:tc>
        <w:tc>
          <w:tcPr>
            <w:tcW w:w="1096" w:type="dxa"/>
            <w:hideMark/>
          </w:tcPr>
          <w:p w14:paraId="3D76F971"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1238" w:type="dxa"/>
            <w:noWrap/>
            <w:hideMark/>
          </w:tcPr>
          <w:p w14:paraId="184C399F"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1238" w:type="dxa"/>
            <w:noWrap/>
            <w:hideMark/>
          </w:tcPr>
          <w:p w14:paraId="3F4B4CDF"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r>
      <w:tr w:rsidR="005A48F1" w:rsidRPr="00BD4849" w14:paraId="1ECD1C7F" w14:textId="77777777" w:rsidTr="009F1410">
        <w:trPr>
          <w:trHeight w:val="300"/>
        </w:trPr>
        <w:tc>
          <w:tcPr>
            <w:cnfStyle w:val="001000000000" w:firstRow="0" w:lastRow="0" w:firstColumn="1" w:lastColumn="0" w:oddVBand="0" w:evenVBand="0" w:oddHBand="0" w:evenHBand="0" w:firstRowFirstColumn="0" w:firstRowLastColumn="0" w:lastRowFirstColumn="0" w:lastRowLastColumn="0"/>
            <w:tcW w:w="5784" w:type="dxa"/>
            <w:hideMark/>
          </w:tcPr>
          <w:p w14:paraId="56F2B57F"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1.1 Davki na proizvodnjo in uvoz</w:t>
            </w:r>
          </w:p>
        </w:tc>
        <w:tc>
          <w:tcPr>
            <w:tcW w:w="1096" w:type="dxa"/>
            <w:hideMark/>
          </w:tcPr>
          <w:p w14:paraId="38299DCE"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D.2</w:t>
            </w:r>
          </w:p>
        </w:tc>
        <w:tc>
          <w:tcPr>
            <w:tcW w:w="1238" w:type="dxa"/>
            <w:noWrap/>
            <w:hideMark/>
          </w:tcPr>
          <w:p w14:paraId="2F97CB6B"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12,7</w:t>
            </w:r>
          </w:p>
        </w:tc>
        <w:tc>
          <w:tcPr>
            <w:tcW w:w="1238" w:type="dxa"/>
            <w:noWrap/>
            <w:hideMark/>
          </w:tcPr>
          <w:p w14:paraId="6D638AB4"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12,7</w:t>
            </w:r>
          </w:p>
        </w:tc>
      </w:tr>
      <w:tr w:rsidR="005A48F1" w:rsidRPr="00BD4849" w14:paraId="463E1AF8"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784" w:type="dxa"/>
            <w:hideMark/>
          </w:tcPr>
          <w:p w14:paraId="3DCAE66A"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1.2 Tekoči davki na dohodke in premoženje itn.</w:t>
            </w:r>
          </w:p>
        </w:tc>
        <w:tc>
          <w:tcPr>
            <w:tcW w:w="1096" w:type="dxa"/>
            <w:hideMark/>
          </w:tcPr>
          <w:p w14:paraId="2BF645C7"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D.5</w:t>
            </w:r>
          </w:p>
        </w:tc>
        <w:tc>
          <w:tcPr>
            <w:tcW w:w="1238" w:type="dxa"/>
            <w:noWrap/>
            <w:hideMark/>
          </w:tcPr>
          <w:p w14:paraId="21DFB1E5"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7,7</w:t>
            </w:r>
          </w:p>
        </w:tc>
        <w:tc>
          <w:tcPr>
            <w:tcW w:w="1238" w:type="dxa"/>
            <w:noWrap/>
            <w:hideMark/>
          </w:tcPr>
          <w:p w14:paraId="1DB8666D"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7,6</w:t>
            </w:r>
          </w:p>
        </w:tc>
      </w:tr>
      <w:tr w:rsidR="005A48F1" w:rsidRPr="00BD4849" w14:paraId="3478DCBB" w14:textId="77777777" w:rsidTr="009F1410">
        <w:trPr>
          <w:trHeight w:val="300"/>
        </w:trPr>
        <w:tc>
          <w:tcPr>
            <w:cnfStyle w:val="001000000000" w:firstRow="0" w:lastRow="0" w:firstColumn="1" w:lastColumn="0" w:oddVBand="0" w:evenVBand="0" w:oddHBand="0" w:evenHBand="0" w:firstRowFirstColumn="0" w:firstRowLastColumn="0" w:lastRowFirstColumn="0" w:lastRowLastColumn="0"/>
            <w:tcW w:w="5784" w:type="dxa"/>
            <w:hideMark/>
          </w:tcPr>
          <w:p w14:paraId="579D7ED9"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1.3 Davki na kapital</w:t>
            </w:r>
          </w:p>
        </w:tc>
        <w:tc>
          <w:tcPr>
            <w:tcW w:w="1096" w:type="dxa"/>
            <w:hideMark/>
          </w:tcPr>
          <w:p w14:paraId="5018341B"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D.91</w:t>
            </w:r>
          </w:p>
        </w:tc>
        <w:tc>
          <w:tcPr>
            <w:tcW w:w="1238" w:type="dxa"/>
            <w:noWrap/>
            <w:hideMark/>
          </w:tcPr>
          <w:p w14:paraId="4B93D184"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0,0</w:t>
            </w:r>
          </w:p>
        </w:tc>
        <w:tc>
          <w:tcPr>
            <w:tcW w:w="1238" w:type="dxa"/>
            <w:noWrap/>
            <w:hideMark/>
          </w:tcPr>
          <w:p w14:paraId="00D98967"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0,0</w:t>
            </w:r>
          </w:p>
        </w:tc>
      </w:tr>
      <w:tr w:rsidR="005A48F1" w:rsidRPr="00BD4849" w14:paraId="14F9F60A"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784" w:type="dxa"/>
            <w:hideMark/>
          </w:tcPr>
          <w:p w14:paraId="1BB8C123"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1.4 Prispevki za socialno varnost</w:t>
            </w:r>
          </w:p>
        </w:tc>
        <w:tc>
          <w:tcPr>
            <w:tcW w:w="1096" w:type="dxa"/>
            <w:hideMark/>
          </w:tcPr>
          <w:p w14:paraId="19D61A78"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D.61</w:t>
            </w:r>
          </w:p>
        </w:tc>
        <w:tc>
          <w:tcPr>
            <w:tcW w:w="1238" w:type="dxa"/>
            <w:noWrap/>
            <w:hideMark/>
          </w:tcPr>
          <w:p w14:paraId="45C23902"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16,2</w:t>
            </w:r>
          </w:p>
        </w:tc>
        <w:tc>
          <w:tcPr>
            <w:tcW w:w="1238" w:type="dxa"/>
            <w:noWrap/>
            <w:hideMark/>
          </w:tcPr>
          <w:p w14:paraId="4711E7E4"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17,0</w:t>
            </w:r>
          </w:p>
        </w:tc>
      </w:tr>
      <w:tr w:rsidR="005A48F1" w:rsidRPr="00BD4849" w14:paraId="2FEEA15D" w14:textId="77777777" w:rsidTr="009F1410">
        <w:trPr>
          <w:trHeight w:val="300"/>
        </w:trPr>
        <w:tc>
          <w:tcPr>
            <w:cnfStyle w:val="001000000000" w:firstRow="0" w:lastRow="0" w:firstColumn="1" w:lastColumn="0" w:oddVBand="0" w:evenVBand="0" w:oddHBand="0" w:evenHBand="0" w:firstRowFirstColumn="0" w:firstRowLastColumn="0" w:lastRowFirstColumn="0" w:lastRowLastColumn="0"/>
            <w:tcW w:w="5784" w:type="dxa"/>
            <w:hideMark/>
          </w:tcPr>
          <w:p w14:paraId="546099CD"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1.5 Prihodki od lastnine</w:t>
            </w:r>
          </w:p>
        </w:tc>
        <w:tc>
          <w:tcPr>
            <w:tcW w:w="1096" w:type="dxa"/>
            <w:hideMark/>
          </w:tcPr>
          <w:p w14:paraId="18F921D8"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D.4</w:t>
            </w:r>
          </w:p>
        </w:tc>
        <w:tc>
          <w:tcPr>
            <w:tcW w:w="1238" w:type="dxa"/>
            <w:noWrap/>
            <w:hideMark/>
          </w:tcPr>
          <w:p w14:paraId="2894232D"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0,8</w:t>
            </w:r>
          </w:p>
        </w:tc>
        <w:tc>
          <w:tcPr>
            <w:tcW w:w="1238" w:type="dxa"/>
            <w:noWrap/>
            <w:hideMark/>
          </w:tcPr>
          <w:p w14:paraId="561648AB"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0,7</w:t>
            </w:r>
          </w:p>
        </w:tc>
      </w:tr>
      <w:tr w:rsidR="005A48F1" w:rsidRPr="00BD4849" w14:paraId="3280E063"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784" w:type="dxa"/>
            <w:hideMark/>
          </w:tcPr>
          <w:p w14:paraId="70B12D12"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1.6 Drugi prihodki</w:t>
            </w:r>
          </w:p>
        </w:tc>
        <w:tc>
          <w:tcPr>
            <w:tcW w:w="1096" w:type="dxa"/>
            <w:hideMark/>
          </w:tcPr>
          <w:p w14:paraId="581B05E5"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1238" w:type="dxa"/>
            <w:noWrap/>
            <w:hideMark/>
          </w:tcPr>
          <w:p w14:paraId="1FBE13DC"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6,3</w:t>
            </w:r>
          </w:p>
        </w:tc>
        <w:tc>
          <w:tcPr>
            <w:tcW w:w="1238" w:type="dxa"/>
            <w:noWrap/>
            <w:hideMark/>
          </w:tcPr>
          <w:p w14:paraId="5A0CA774"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5,5</w:t>
            </w:r>
          </w:p>
        </w:tc>
      </w:tr>
      <w:tr w:rsidR="005A48F1" w:rsidRPr="00BD4849" w14:paraId="1EC51F9C" w14:textId="77777777" w:rsidTr="009F1410">
        <w:trPr>
          <w:trHeight w:val="300"/>
        </w:trPr>
        <w:tc>
          <w:tcPr>
            <w:cnfStyle w:val="001000000000" w:firstRow="0" w:lastRow="0" w:firstColumn="1" w:lastColumn="0" w:oddVBand="0" w:evenVBand="0" w:oddHBand="0" w:evenHBand="0" w:firstRowFirstColumn="0" w:firstRowLastColumn="0" w:lastRowFirstColumn="0" w:lastRowLastColumn="0"/>
            <w:tcW w:w="5784" w:type="dxa"/>
            <w:hideMark/>
          </w:tcPr>
          <w:p w14:paraId="152D083D"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p.m.: Davčno breme (D.2+D.5+D.61+D.91-D.995)</w:t>
            </w:r>
          </w:p>
        </w:tc>
        <w:tc>
          <w:tcPr>
            <w:tcW w:w="1096" w:type="dxa"/>
            <w:hideMark/>
          </w:tcPr>
          <w:p w14:paraId="7BA1D091"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1238" w:type="dxa"/>
            <w:noWrap/>
            <w:hideMark/>
          </w:tcPr>
          <w:p w14:paraId="09CB44AA"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36,9</w:t>
            </w:r>
          </w:p>
        </w:tc>
        <w:tc>
          <w:tcPr>
            <w:tcW w:w="1238" w:type="dxa"/>
            <w:noWrap/>
            <w:hideMark/>
          </w:tcPr>
          <w:p w14:paraId="5615D625"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37,7</w:t>
            </w:r>
          </w:p>
        </w:tc>
      </w:tr>
      <w:tr w:rsidR="005A48F1" w:rsidRPr="00BD4849" w14:paraId="0723B040"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784" w:type="dxa"/>
            <w:hideMark/>
          </w:tcPr>
          <w:p w14:paraId="0B5A792B"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Skupaj odhodki ob nespremenjeni politiki</w:t>
            </w:r>
          </w:p>
        </w:tc>
        <w:tc>
          <w:tcPr>
            <w:tcW w:w="1096" w:type="dxa"/>
            <w:hideMark/>
          </w:tcPr>
          <w:p w14:paraId="28E723C4"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TE</w:t>
            </w:r>
          </w:p>
        </w:tc>
        <w:tc>
          <w:tcPr>
            <w:tcW w:w="1238" w:type="dxa"/>
            <w:noWrap/>
            <w:hideMark/>
          </w:tcPr>
          <w:p w14:paraId="4653D212"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47,6</w:t>
            </w:r>
          </w:p>
        </w:tc>
        <w:tc>
          <w:tcPr>
            <w:tcW w:w="1238" w:type="dxa"/>
            <w:noWrap/>
            <w:hideMark/>
          </w:tcPr>
          <w:p w14:paraId="18AEDB67"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46,2</w:t>
            </w:r>
          </w:p>
        </w:tc>
      </w:tr>
      <w:tr w:rsidR="005A48F1" w:rsidRPr="00BD4849" w14:paraId="742E7C1B" w14:textId="77777777" w:rsidTr="009F1410">
        <w:trPr>
          <w:trHeight w:val="300"/>
        </w:trPr>
        <w:tc>
          <w:tcPr>
            <w:cnfStyle w:val="001000000000" w:firstRow="0" w:lastRow="0" w:firstColumn="1" w:lastColumn="0" w:oddVBand="0" w:evenVBand="0" w:oddHBand="0" w:evenHBand="0" w:firstRowFirstColumn="0" w:firstRowLastColumn="0" w:lastRowFirstColumn="0" w:lastRowLastColumn="0"/>
            <w:tcW w:w="5784" w:type="dxa"/>
            <w:hideMark/>
          </w:tcPr>
          <w:p w14:paraId="7F2D32B4"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od tega:</w:t>
            </w:r>
          </w:p>
        </w:tc>
        <w:tc>
          <w:tcPr>
            <w:tcW w:w="1096" w:type="dxa"/>
            <w:hideMark/>
          </w:tcPr>
          <w:p w14:paraId="03FF3116"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1238" w:type="dxa"/>
            <w:noWrap/>
            <w:hideMark/>
          </w:tcPr>
          <w:p w14:paraId="700AB8AF"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1238" w:type="dxa"/>
            <w:noWrap/>
            <w:hideMark/>
          </w:tcPr>
          <w:p w14:paraId="665C0B68"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r>
      <w:tr w:rsidR="005A48F1" w:rsidRPr="00BD4849" w14:paraId="0326E4C7"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784" w:type="dxa"/>
            <w:hideMark/>
          </w:tcPr>
          <w:p w14:paraId="365C0428"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2.1 Sredstva za zaposlene</w:t>
            </w:r>
          </w:p>
        </w:tc>
        <w:tc>
          <w:tcPr>
            <w:tcW w:w="1096" w:type="dxa"/>
            <w:hideMark/>
          </w:tcPr>
          <w:p w14:paraId="03183F30"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D.1</w:t>
            </w:r>
          </w:p>
        </w:tc>
        <w:tc>
          <w:tcPr>
            <w:tcW w:w="1238" w:type="dxa"/>
            <w:noWrap/>
            <w:hideMark/>
          </w:tcPr>
          <w:p w14:paraId="543CC0F2"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11,4</w:t>
            </w:r>
          </w:p>
        </w:tc>
        <w:tc>
          <w:tcPr>
            <w:tcW w:w="1238" w:type="dxa"/>
            <w:noWrap/>
            <w:hideMark/>
          </w:tcPr>
          <w:p w14:paraId="39C2D9B6"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11,2</w:t>
            </w:r>
          </w:p>
        </w:tc>
      </w:tr>
      <w:tr w:rsidR="005A48F1" w:rsidRPr="00BD4849" w14:paraId="3236BF53" w14:textId="77777777" w:rsidTr="009F1410">
        <w:trPr>
          <w:trHeight w:val="300"/>
        </w:trPr>
        <w:tc>
          <w:tcPr>
            <w:cnfStyle w:val="001000000000" w:firstRow="0" w:lastRow="0" w:firstColumn="1" w:lastColumn="0" w:oddVBand="0" w:evenVBand="0" w:oddHBand="0" w:evenHBand="0" w:firstRowFirstColumn="0" w:firstRowLastColumn="0" w:lastRowFirstColumn="0" w:lastRowLastColumn="0"/>
            <w:tcW w:w="5784" w:type="dxa"/>
            <w:hideMark/>
          </w:tcPr>
          <w:p w14:paraId="0623489D"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2.2 Vmesna potrošnja</w:t>
            </w:r>
          </w:p>
        </w:tc>
        <w:tc>
          <w:tcPr>
            <w:tcW w:w="1096" w:type="dxa"/>
            <w:hideMark/>
          </w:tcPr>
          <w:p w14:paraId="12A569DC"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P.2</w:t>
            </w:r>
          </w:p>
        </w:tc>
        <w:tc>
          <w:tcPr>
            <w:tcW w:w="1238" w:type="dxa"/>
            <w:noWrap/>
            <w:hideMark/>
          </w:tcPr>
          <w:p w14:paraId="6EDAD794"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6,4</w:t>
            </w:r>
          </w:p>
        </w:tc>
        <w:tc>
          <w:tcPr>
            <w:tcW w:w="1238" w:type="dxa"/>
            <w:noWrap/>
            <w:hideMark/>
          </w:tcPr>
          <w:p w14:paraId="5C8D4256"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6,3</w:t>
            </w:r>
          </w:p>
        </w:tc>
      </w:tr>
      <w:tr w:rsidR="005A48F1" w:rsidRPr="00BD4849" w14:paraId="480BDA7D"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784" w:type="dxa"/>
            <w:hideMark/>
          </w:tcPr>
          <w:p w14:paraId="7956A412"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2.3 Socialna nadomestila</w:t>
            </w:r>
          </w:p>
        </w:tc>
        <w:tc>
          <w:tcPr>
            <w:tcW w:w="1096" w:type="dxa"/>
            <w:hideMark/>
          </w:tcPr>
          <w:p w14:paraId="0BE14D57" w14:textId="77777777" w:rsidR="005A48F1"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D.62,</w:t>
            </w:r>
          </w:p>
          <w:p w14:paraId="5D60AD63"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D.63</w:t>
            </w:r>
          </w:p>
        </w:tc>
        <w:tc>
          <w:tcPr>
            <w:tcW w:w="1238" w:type="dxa"/>
            <w:noWrap/>
            <w:hideMark/>
          </w:tcPr>
          <w:p w14:paraId="60E8A44D"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17,6</w:t>
            </w:r>
          </w:p>
        </w:tc>
        <w:tc>
          <w:tcPr>
            <w:tcW w:w="1238" w:type="dxa"/>
            <w:noWrap/>
            <w:hideMark/>
          </w:tcPr>
          <w:p w14:paraId="57F4090B"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18,3</w:t>
            </w:r>
          </w:p>
        </w:tc>
      </w:tr>
      <w:tr w:rsidR="005A48F1" w:rsidRPr="00BD4849" w14:paraId="0FB3DF16" w14:textId="77777777" w:rsidTr="009F1410">
        <w:trPr>
          <w:trHeight w:val="300"/>
        </w:trPr>
        <w:tc>
          <w:tcPr>
            <w:cnfStyle w:val="001000000000" w:firstRow="0" w:lastRow="0" w:firstColumn="1" w:lastColumn="0" w:oddVBand="0" w:evenVBand="0" w:oddHBand="0" w:evenHBand="0" w:firstRowFirstColumn="0" w:firstRowLastColumn="0" w:lastRowFirstColumn="0" w:lastRowLastColumn="0"/>
            <w:tcW w:w="5784" w:type="dxa"/>
            <w:hideMark/>
          </w:tcPr>
          <w:p w14:paraId="09C9D20B"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od tega: socialni transferji brezposelnim</w:t>
            </w:r>
          </w:p>
        </w:tc>
        <w:tc>
          <w:tcPr>
            <w:tcW w:w="1096" w:type="dxa"/>
            <w:hideMark/>
          </w:tcPr>
          <w:p w14:paraId="1E8BA14D"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1238" w:type="dxa"/>
            <w:noWrap/>
            <w:hideMark/>
          </w:tcPr>
          <w:p w14:paraId="6DB7CE60"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0,2</w:t>
            </w:r>
          </w:p>
        </w:tc>
        <w:tc>
          <w:tcPr>
            <w:tcW w:w="1238" w:type="dxa"/>
            <w:noWrap/>
            <w:hideMark/>
          </w:tcPr>
          <w:p w14:paraId="3F753D0D"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0,2</w:t>
            </w:r>
          </w:p>
        </w:tc>
      </w:tr>
      <w:tr w:rsidR="005A48F1" w:rsidRPr="00BD4849" w14:paraId="32C81BAF"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784" w:type="dxa"/>
            <w:hideMark/>
          </w:tcPr>
          <w:p w14:paraId="02820DC9"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2.4 Izdatki za obresti</w:t>
            </w:r>
          </w:p>
        </w:tc>
        <w:tc>
          <w:tcPr>
            <w:tcW w:w="1096" w:type="dxa"/>
            <w:hideMark/>
          </w:tcPr>
          <w:p w14:paraId="525793BD"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EDP D.41</w:t>
            </w:r>
          </w:p>
        </w:tc>
        <w:tc>
          <w:tcPr>
            <w:tcW w:w="1238" w:type="dxa"/>
            <w:noWrap/>
            <w:hideMark/>
          </w:tcPr>
          <w:p w14:paraId="04CB8A97"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1,2</w:t>
            </w:r>
          </w:p>
        </w:tc>
        <w:tc>
          <w:tcPr>
            <w:tcW w:w="1238" w:type="dxa"/>
            <w:noWrap/>
            <w:hideMark/>
          </w:tcPr>
          <w:p w14:paraId="0F906D91"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1,3</w:t>
            </w:r>
          </w:p>
        </w:tc>
      </w:tr>
      <w:tr w:rsidR="005A48F1" w:rsidRPr="00BD4849" w14:paraId="06C0EB7B" w14:textId="77777777" w:rsidTr="009F1410">
        <w:trPr>
          <w:trHeight w:val="300"/>
        </w:trPr>
        <w:tc>
          <w:tcPr>
            <w:cnfStyle w:val="001000000000" w:firstRow="0" w:lastRow="0" w:firstColumn="1" w:lastColumn="0" w:oddVBand="0" w:evenVBand="0" w:oddHBand="0" w:evenHBand="0" w:firstRowFirstColumn="0" w:firstRowLastColumn="0" w:lastRowFirstColumn="0" w:lastRowLastColumn="0"/>
            <w:tcW w:w="5784" w:type="dxa"/>
            <w:hideMark/>
          </w:tcPr>
          <w:p w14:paraId="41DAD168"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2.5 Subvencije</w:t>
            </w:r>
          </w:p>
        </w:tc>
        <w:tc>
          <w:tcPr>
            <w:tcW w:w="1096" w:type="dxa"/>
            <w:hideMark/>
          </w:tcPr>
          <w:p w14:paraId="02A04B8A"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D.3</w:t>
            </w:r>
          </w:p>
        </w:tc>
        <w:tc>
          <w:tcPr>
            <w:tcW w:w="1238" w:type="dxa"/>
            <w:noWrap/>
            <w:hideMark/>
          </w:tcPr>
          <w:p w14:paraId="5A7EAEEB"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2,1</w:t>
            </w:r>
          </w:p>
        </w:tc>
        <w:tc>
          <w:tcPr>
            <w:tcW w:w="1238" w:type="dxa"/>
            <w:noWrap/>
            <w:hideMark/>
          </w:tcPr>
          <w:p w14:paraId="490959A5"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1,3</w:t>
            </w:r>
          </w:p>
        </w:tc>
      </w:tr>
      <w:tr w:rsidR="005A48F1" w:rsidRPr="00BD4849" w14:paraId="7737BECA"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784" w:type="dxa"/>
            <w:hideMark/>
          </w:tcPr>
          <w:p w14:paraId="32168DAC"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2.6 Bruto investicije v osnovna sredstva</w:t>
            </w:r>
          </w:p>
        </w:tc>
        <w:tc>
          <w:tcPr>
            <w:tcW w:w="1096" w:type="dxa"/>
            <w:hideMark/>
          </w:tcPr>
          <w:p w14:paraId="2645DDF9"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P.51</w:t>
            </w:r>
          </w:p>
        </w:tc>
        <w:tc>
          <w:tcPr>
            <w:tcW w:w="1238" w:type="dxa"/>
            <w:noWrap/>
            <w:hideMark/>
          </w:tcPr>
          <w:p w14:paraId="61614ECE"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6,1</w:t>
            </w:r>
          </w:p>
        </w:tc>
        <w:tc>
          <w:tcPr>
            <w:tcW w:w="1238" w:type="dxa"/>
            <w:noWrap/>
            <w:hideMark/>
          </w:tcPr>
          <w:p w14:paraId="6D191B43"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5,7</w:t>
            </w:r>
          </w:p>
        </w:tc>
      </w:tr>
      <w:tr w:rsidR="005A48F1" w:rsidRPr="00BD4849" w14:paraId="013F2009" w14:textId="77777777" w:rsidTr="009F1410">
        <w:trPr>
          <w:trHeight w:val="300"/>
        </w:trPr>
        <w:tc>
          <w:tcPr>
            <w:cnfStyle w:val="001000000000" w:firstRow="0" w:lastRow="0" w:firstColumn="1" w:lastColumn="0" w:oddVBand="0" w:evenVBand="0" w:oddHBand="0" w:evenHBand="0" w:firstRowFirstColumn="0" w:firstRowLastColumn="0" w:lastRowFirstColumn="0" w:lastRowLastColumn="0"/>
            <w:tcW w:w="5784" w:type="dxa"/>
            <w:hideMark/>
          </w:tcPr>
          <w:p w14:paraId="309F497D"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2.7 Kapitalski transferji, odhodki</w:t>
            </w:r>
          </w:p>
        </w:tc>
        <w:tc>
          <w:tcPr>
            <w:tcW w:w="1096" w:type="dxa"/>
            <w:hideMark/>
          </w:tcPr>
          <w:p w14:paraId="69D30EDC"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D.9</w:t>
            </w:r>
          </w:p>
        </w:tc>
        <w:tc>
          <w:tcPr>
            <w:tcW w:w="1238" w:type="dxa"/>
            <w:noWrap/>
            <w:hideMark/>
          </w:tcPr>
          <w:p w14:paraId="60EDEE94"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0,9</w:t>
            </w:r>
          </w:p>
        </w:tc>
        <w:tc>
          <w:tcPr>
            <w:tcW w:w="1238" w:type="dxa"/>
            <w:noWrap/>
            <w:hideMark/>
          </w:tcPr>
          <w:p w14:paraId="22E689BF"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0,3</w:t>
            </w:r>
          </w:p>
        </w:tc>
      </w:tr>
      <w:tr w:rsidR="005A48F1" w:rsidRPr="00BD4849" w14:paraId="596A6870"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784" w:type="dxa"/>
            <w:hideMark/>
          </w:tcPr>
          <w:p w14:paraId="6DBC9CDC"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2.8 Drugi odhodki</w:t>
            </w:r>
          </w:p>
        </w:tc>
        <w:tc>
          <w:tcPr>
            <w:tcW w:w="1096" w:type="dxa"/>
            <w:hideMark/>
          </w:tcPr>
          <w:p w14:paraId="77DA8879"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1238" w:type="dxa"/>
            <w:noWrap/>
            <w:hideMark/>
          </w:tcPr>
          <w:p w14:paraId="15B28C8F"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2,0</w:t>
            </w:r>
          </w:p>
        </w:tc>
        <w:tc>
          <w:tcPr>
            <w:tcW w:w="1238" w:type="dxa"/>
            <w:noWrap/>
            <w:hideMark/>
          </w:tcPr>
          <w:p w14:paraId="7DC71480"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1,7</w:t>
            </w:r>
          </w:p>
        </w:tc>
      </w:tr>
    </w:tbl>
    <w:p w14:paraId="623566EE" w14:textId="4FB61CE2" w:rsidR="005A48F1" w:rsidRDefault="005A48F1" w:rsidP="009924DC">
      <w:pPr>
        <w:pStyle w:val="Caption"/>
        <w:ind w:left="0" w:firstLine="0"/>
        <w:rPr>
          <w:rFonts w:ascii="Arial" w:hAnsi="Arial" w:cs="Arial"/>
          <w:b w:val="0"/>
          <w:bCs/>
          <w:i w:val="0"/>
          <w:iCs/>
        </w:rPr>
      </w:pPr>
      <w:r w:rsidRPr="009924DC">
        <w:rPr>
          <w:rFonts w:ascii="Arial" w:hAnsi="Arial" w:cs="Arial"/>
          <w:b w:val="0"/>
          <w:bCs/>
          <w:i w:val="0"/>
          <w:iCs/>
        </w:rPr>
        <w:t>Vir: Ministrstvo za finance.</w:t>
      </w:r>
    </w:p>
    <w:p w14:paraId="187EE824" w14:textId="579C5EFB" w:rsidR="009924DC" w:rsidRDefault="009924DC" w:rsidP="009924DC">
      <w:pPr>
        <w:rPr>
          <w:lang w:eastAsia="sl-SI"/>
        </w:rPr>
      </w:pPr>
    </w:p>
    <w:p w14:paraId="24F49BFA" w14:textId="571082A9" w:rsidR="009924DC" w:rsidRDefault="009924DC" w:rsidP="009924DC">
      <w:pPr>
        <w:rPr>
          <w:lang w:eastAsia="sl-SI"/>
        </w:rPr>
      </w:pPr>
    </w:p>
    <w:p w14:paraId="2F717A1E" w14:textId="2F6699E1" w:rsidR="009924DC" w:rsidRDefault="009924DC" w:rsidP="009924DC">
      <w:pPr>
        <w:rPr>
          <w:lang w:eastAsia="sl-SI"/>
        </w:rPr>
      </w:pPr>
    </w:p>
    <w:p w14:paraId="0E2A236F" w14:textId="019E12E0" w:rsidR="009924DC" w:rsidRDefault="009924DC" w:rsidP="009924DC">
      <w:pPr>
        <w:rPr>
          <w:lang w:eastAsia="sl-SI"/>
        </w:rPr>
      </w:pPr>
    </w:p>
    <w:p w14:paraId="2846BBAC" w14:textId="3C9A73FA" w:rsidR="009924DC" w:rsidRDefault="009924DC" w:rsidP="009924DC">
      <w:pPr>
        <w:rPr>
          <w:lang w:eastAsia="sl-SI"/>
        </w:rPr>
      </w:pPr>
    </w:p>
    <w:p w14:paraId="0C600F88" w14:textId="5C409E22" w:rsidR="009924DC" w:rsidRDefault="009924DC" w:rsidP="009924DC">
      <w:pPr>
        <w:rPr>
          <w:lang w:eastAsia="sl-SI"/>
        </w:rPr>
      </w:pPr>
    </w:p>
    <w:p w14:paraId="35FF745D" w14:textId="241FF0D9" w:rsidR="009924DC" w:rsidRDefault="009924DC" w:rsidP="009924DC">
      <w:pPr>
        <w:rPr>
          <w:lang w:eastAsia="sl-SI"/>
        </w:rPr>
      </w:pPr>
    </w:p>
    <w:p w14:paraId="78677F3C" w14:textId="358908CC" w:rsidR="009924DC" w:rsidRDefault="009924DC" w:rsidP="009924DC">
      <w:pPr>
        <w:rPr>
          <w:lang w:eastAsia="sl-SI"/>
        </w:rPr>
      </w:pPr>
    </w:p>
    <w:p w14:paraId="65235871" w14:textId="1804DB31" w:rsidR="009924DC" w:rsidRDefault="009924DC" w:rsidP="009924DC">
      <w:pPr>
        <w:rPr>
          <w:lang w:eastAsia="sl-SI"/>
        </w:rPr>
      </w:pPr>
    </w:p>
    <w:p w14:paraId="0D59AF1C" w14:textId="449F8383" w:rsidR="009924DC" w:rsidRDefault="009924DC" w:rsidP="009924DC">
      <w:pPr>
        <w:rPr>
          <w:lang w:eastAsia="sl-SI"/>
        </w:rPr>
      </w:pPr>
    </w:p>
    <w:p w14:paraId="3685173A" w14:textId="2AD8CF5C" w:rsidR="009924DC" w:rsidRDefault="009924DC" w:rsidP="009924DC">
      <w:pPr>
        <w:rPr>
          <w:lang w:eastAsia="sl-SI"/>
        </w:rPr>
      </w:pPr>
    </w:p>
    <w:p w14:paraId="5A97B43E" w14:textId="08EA94BB" w:rsidR="009924DC" w:rsidRDefault="009924DC" w:rsidP="009924DC">
      <w:pPr>
        <w:rPr>
          <w:lang w:eastAsia="sl-SI"/>
        </w:rPr>
      </w:pPr>
    </w:p>
    <w:p w14:paraId="2A58741F" w14:textId="77777777" w:rsidR="009924DC" w:rsidRPr="009924DC" w:rsidRDefault="009924DC" w:rsidP="009924DC">
      <w:pPr>
        <w:rPr>
          <w:lang w:eastAsia="sl-SI"/>
        </w:rPr>
      </w:pPr>
    </w:p>
    <w:tbl>
      <w:tblPr>
        <w:tblStyle w:val="ListTable3-Accent1"/>
        <w:tblW w:w="9356" w:type="dxa"/>
        <w:tblLayout w:type="fixed"/>
        <w:tblLook w:val="04A0" w:firstRow="1" w:lastRow="0" w:firstColumn="1" w:lastColumn="0" w:noHBand="0" w:noVBand="1"/>
      </w:tblPr>
      <w:tblGrid>
        <w:gridCol w:w="5409"/>
        <w:gridCol w:w="1171"/>
        <w:gridCol w:w="1388"/>
        <w:gridCol w:w="1388"/>
      </w:tblGrid>
      <w:tr w:rsidR="005A48F1" w:rsidRPr="00BD4849" w14:paraId="1754E53D" w14:textId="77777777" w:rsidTr="009F1410">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5409" w:type="dxa"/>
            <w:shd w:val="clear" w:color="auto" w:fill="B4C6E7" w:themeFill="accent5" w:themeFillTint="66"/>
            <w:noWrap/>
            <w:hideMark/>
          </w:tcPr>
          <w:p w14:paraId="35BA94EC" w14:textId="77777777" w:rsidR="005A48F1" w:rsidRPr="00BD4849" w:rsidRDefault="005A48F1" w:rsidP="009F1410">
            <w:pPr>
              <w:rPr>
                <w:rFonts w:ascii="Arial" w:eastAsia="Times New Roman" w:hAnsi="Arial" w:cs="Arial"/>
                <w:b w:val="0"/>
                <w:bCs w:val="0"/>
                <w:color w:val="auto"/>
                <w:sz w:val="20"/>
                <w:szCs w:val="20"/>
                <w:lang w:eastAsia="sl-SI"/>
              </w:rPr>
            </w:pPr>
            <w:r w:rsidRPr="00BD4849">
              <w:rPr>
                <w:rFonts w:ascii="Arial" w:eastAsia="Times New Roman" w:hAnsi="Arial" w:cs="Arial"/>
                <w:b w:val="0"/>
                <w:bCs w:val="0"/>
                <w:color w:val="auto"/>
                <w:sz w:val="20"/>
                <w:szCs w:val="20"/>
                <w:lang w:eastAsia="sl-SI"/>
              </w:rPr>
              <w:lastRenderedPageBreak/>
              <w:t>Tabela 4a. Napovedi prihodkov in izdatkov sektorja država (po glavnih agregatih)</w:t>
            </w:r>
          </w:p>
        </w:tc>
        <w:tc>
          <w:tcPr>
            <w:tcW w:w="1171" w:type="dxa"/>
            <w:shd w:val="clear" w:color="auto" w:fill="B4C6E7" w:themeFill="accent5" w:themeFillTint="66"/>
            <w:hideMark/>
          </w:tcPr>
          <w:p w14:paraId="51F0011E" w14:textId="77777777" w:rsidR="005A48F1" w:rsidRPr="00BD4849" w:rsidRDefault="005A48F1" w:rsidP="009F141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lang w:eastAsia="sl-SI"/>
              </w:rPr>
            </w:pPr>
            <w:r w:rsidRPr="00BD4849">
              <w:rPr>
                <w:rFonts w:ascii="Arial" w:eastAsia="Times New Roman" w:hAnsi="Arial" w:cs="Arial"/>
                <w:b w:val="0"/>
                <w:bCs w:val="0"/>
                <w:color w:val="auto"/>
                <w:sz w:val="20"/>
                <w:szCs w:val="20"/>
                <w:lang w:eastAsia="sl-SI"/>
              </w:rPr>
              <w:t xml:space="preserve">ESA </w:t>
            </w:r>
          </w:p>
          <w:p w14:paraId="7F67BE80" w14:textId="77777777" w:rsidR="005A48F1" w:rsidRPr="00BD4849" w:rsidRDefault="005A48F1" w:rsidP="009F141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lang w:eastAsia="sl-SI"/>
              </w:rPr>
            </w:pPr>
            <w:r w:rsidRPr="00BD4849">
              <w:rPr>
                <w:rFonts w:ascii="Arial" w:eastAsia="Times New Roman" w:hAnsi="Arial" w:cs="Arial"/>
                <w:b w:val="0"/>
                <w:bCs w:val="0"/>
                <w:color w:val="auto"/>
                <w:sz w:val="20"/>
                <w:szCs w:val="20"/>
                <w:lang w:eastAsia="sl-SI"/>
              </w:rPr>
              <w:t>koda</w:t>
            </w:r>
          </w:p>
        </w:tc>
        <w:tc>
          <w:tcPr>
            <w:tcW w:w="1388" w:type="dxa"/>
            <w:shd w:val="clear" w:color="auto" w:fill="B4C6E7" w:themeFill="accent5" w:themeFillTint="66"/>
            <w:hideMark/>
          </w:tcPr>
          <w:p w14:paraId="4A043633" w14:textId="77777777" w:rsidR="005A48F1" w:rsidRPr="00BD4849" w:rsidRDefault="005A48F1" w:rsidP="009F141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lang w:eastAsia="sl-SI"/>
              </w:rPr>
            </w:pPr>
            <w:r w:rsidRPr="00BD4849">
              <w:rPr>
                <w:rFonts w:ascii="Arial" w:eastAsia="Times New Roman" w:hAnsi="Arial" w:cs="Arial"/>
                <w:b w:val="0"/>
                <w:bCs w:val="0"/>
                <w:color w:val="auto"/>
                <w:sz w:val="20"/>
                <w:szCs w:val="20"/>
                <w:lang w:eastAsia="sl-SI"/>
              </w:rPr>
              <w:t xml:space="preserve">2023 </w:t>
            </w:r>
          </w:p>
          <w:p w14:paraId="1EA02C8E" w14:textId="77777777" w:rsidR="005A48F1" w:rsidRPr="00BD4849" w:rsidRDefault="005A48F1" w:rsidP="009F141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lang w:eastAsia="sl-SI"/>
              </w:rPr>
            </w:pPr>
            <w:r w:rsidRPr="00BD4849">
              <w:rPr>
                <w:rFonts w:ascii="Arial" w:eastAsia="Times New Roman" w:hAnsi="Arial" w:cs="Arial"/>
                <w:b w:val="0"/>
                <w:bCs w:val="0"/>
                <w:color w:val="auto"/>
                <w:sz w:val="20"/>
                <w:szCs w:val="20"/>
                <w:lang w:eastAsia="sl-SI"/>
              </w:rPr>
              <w:t>(% BDP)</w:t>
            </w:r>
          </w:p>
        </w:tc>
        <w:tc>
          <w:tcPr>
            <w:tcW w:w="1388" w:type="dxa"/>
            <w:shd w:val="clear" w:color="auto" w:fill="B4C6E7" w:themeFill="accent5" w:themeFillTint="66"/>
            <w:hideMark/>
          </w:tcPr>
          <w:p w14:paraId="01D9F7E4" w14:textId="77777777" w:rsidR="005A48F1" w:rsidRPr="00BD4849" w:rsidRDefault="005A48F1" w:rsidP="009F141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lang w:eastAsia="sl-SI"/>
              </w:rPr>
            </w:pPr>
            <w:r w:rsidRPr="00BD4849">
              <w:rPr>
                <w:rFonts w:ascii="Arial" w:eastAsia="Times New Roman" w:hAnsi="Arial" w:cs="Arial"/>
                <w:b w:val="0"/>
                <w:bCs w:val="0"/>
                <w:color w:val="auto"/>
                <w:sz w:val="20"/>
                <w:szCs w:val="20"/>
                <w:lang w:eastAsia="sl-SI"/>
              </w:rPr>
              <w:t xml:space="preserve">2024 </w:t>
            </w:r>
          </w:p>
          <w:p w14:paraId="22079110" w14:textId="77777777" w:rsidR="005A48F1" w:rsidRPr="00BD4849" w:rsidRDefault="005A48F1" w:rsidP="009F141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lang w:eastAsia="sl-SI"/>
              </w:rPr>
            </w:pPr>
            <w:r w:rsidRPr="00BD4849">
              <w:rPr>
                <w:rFonts w:ascii="Arial" w:eastAsia="Times New Roman" w:hAnsi="Arial" w:cs="Arial"/>
                <w:b w:val="0"/>
                <w:bCs w:val="0"/>
                <w:color w:val="auto"/>
                <w:sz w:val="20"/>
                <w:szCs w:val="20"/>
                <w:lang w:eastAsia="sl-SI"/>
              </w:rPr>
              <w:t>(% BDP)</w:t>
            </w:r>
          </w:p>
        </w:tc>
      </w:tr>
      <w:tr w:rsidR="005A48F1" w:rsidRPr="00BD4849" w14:paraId="089E163C"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409" w:type="dxa"/>
            <w:hideMark/>
          </w:tcPr>
          <w:p w14:paraId="2EEB1826"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Sektor država (S13)</w:t>
            </w:r>
          </w:p>
        </w:tc>
        <w:tc>
          <w:tcPr>
            <w:tcW w:w="1171" w:type="dxa"/>
            <w:hideMark/>
          </w:tcPr>
          <w:p w14:paraId="0C0A2C1F"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1388" w:type="dxa"/>
            <w:noWrap/>
            <w:hideMark/>
          </w:tcPr>
          <w:p w14:paraId="7D4B4B38"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1388" w:type="dxa"/>
            <w:noWrap/>
            <w:hideMark/>
          </w:tcPr>
          <w:p w14:paraId="4C9198C2"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r>
      <w:tr w:rsidR="005A48F1" w:rsidRPr="00BD4849" w14:paraId="0F63ED96" w14:textId="77777777" w:rsidTr="009F1410">
        <w:trPr>
          <w:trHeight w:val="300"/>
        </w:trPr>
        <w:tc>
          <w:tcPr>
            <w:cnfStyle w:val="001000000000" w:firstRow="0" w:lastRow="0" w:firstColumn="1" w:lastColumn="0" w:oddVBand="0" w:evenVBand="0" w:oddHBand="0" w:evenHBand="0" w:firstRowFirstColumn="0" w:firstRowLastColumn="0" w:lastRowFirstColumn="0" w:lastRowLastColumn="0"/>
            <w:tcW w:w="5409" w:type="dxa"/>
            <w:hideMark/>
          </w:tcPr>
          <w:p w14:paraId="33C7A169"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1. Cilj za skupne prihodke</w:t>
            </w:r>
          </w:p>
        </w:tc>
        <w:tc>
          <w:tcPr>
            <w:tcW w:w="1171" w:type="dxa"/>
            <w:hideMark/>
          </w:tcPr>
          <w:p w14:paraId="0C881A08"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TR</w:t>
            </w:r>
          </w:p>
        </w:tc>
        <w:tc>
          <w:tcPr>
            <w:tcW w:w="1388" w:type="dxa"/>
            <w:noWrap/>
            <w:hideMark/>
          </w:tcPr>
          <w:p w14:paraId="5C5B5310"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44,0</w:t>
            </w:r>
          </w:p>
        </w:tc>
        <w:tc>
          <w:tcPr>
            <w:tcW w:w="1388" w:type="dxa"/>
            <w:noWrap/>
            <w:hideMark/>
          </w:tcPr>
          <w:p w14:paraId="368E6275"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44,0</w:t>
            </w:r>
          </w:p>
        </w:tc>
      </w:tr>
      <w:tr w:rsidR="005A48F1" w:rsidRPr="00BD4849" w14:paraId="2F5BB5E8"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409" w:type="dxa"/>
            <w:hideMark/>
          </w:tcPr>
          <w:p w14:paraId="079E471F"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od tega:</w:t>
            </w:r>
          </w:p>
        </w:tc>
        <w:tc>
          <w:tcPr>
            <w:tcW w:w="1171" w:type="dxa"/>
            <w:hideMark/>
          </w:tcPr>
          <w:p w14:paraId="5E1B2981"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1388" w:type="dxa"/>
            <w:noWrap/>
            <w:hideMark/>
          </w:tcPr>
          <w:p w14:paraId="53143160"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1388" w:type="dxa"/>
            <w:noWrap/>
            <w:hideMark/>
          </w:tcPr>
          <w:p w14:paraId="48B6FED9"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r>
      <w:tr w:rsidR="005A48F1" w:rsidRPr="00BD4849" w14:paraId="15331E7C" w14:textId="77777777" w:rsidTr="009F1410">
        <w:trPr>
          <w:trHeight w:val="300"/>
        </w:trPr>
        <w:tc>
          <w:tcPr>
            <w:cnfStyle w:val="001000000000" w:firstRow="0" w:lastRow="0" w:firstColumn="1" w:lastColumn="0" w:oddVBand="0" w:evenVBand="0" w:oddHBand="0" w:evenHBand="0" w:firstRowFirstColumn="0" w:firstRowLastColumn="0" w:lastRowFirstColumn="0" w:lastRowLastColumn="0"/>
            <w:tcW w:w="5409" w:type="dxa"/>
            <w:hideMark/>
          </w:tcPr>
          <w:p w14:paraId="6C5E4E69"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1.1 Davki na proizvodnjo in uvoz</w:t>
            </w:r>
          </w:p>
        </w:tc>
        <w:tc>
          <w:tcPr>
            <w:tcW w:w="1171" w:type="dxa"/>
            <w:hideMark/>
          </w:tcPr>
          <w:p w14:paraId="78F2F6C5"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D.2</w:t>
            </w:r>
          </w:p>
        </w:tc>
        <w:tc>
          <w:tcPr>
            <w:tcW w:w="1388" w:type="dxa"/>
            <w:noWrap/>
            <w:hideMark/>
          </w:tcPr>
          <w:p w14:paraId="1BF1E1AC"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12,7</w:t>
            </w:r>
          </w:p>
        </w:tc>
        <w:tc>
          <w:tcPr>
            <w:tcW w:w="1388" w:type="dxa"/>
            <w:noWrap/>
            <w:hideMark/>
          </w:tcPr>
          <w:p w14:paraId="296B51F0"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12,7</w:t>
            </w:r>
          </w:p>
        </w:tc>
      </w:tr>
      <w:tr w:rsidR="005A48F1" w:rsidRPr="00BD4849" w14:paraId="7EEF7DDF"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409" w:type="dxa"/>
            <w:hideMark/>
          </w:tcPr>
          <w:p w14:paraId="65253AA9"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1.2 Tekoči davki na dohodke in premoženje</w:t>
            </w:r>
          </w:p>
        </w:tc>
        <w:tc>
          <w:tcPr>
            <w:tcW w:w="1171" w:type="dxa"/>
            <w:hideMark/>
          </w:tcPr>
          <w:p w14:paraId="60484766"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D.5</w:t>
            </w:r>
          </w:p>
        </w:tc>
        <w:tc>
          <w:tcPr>
            <w:tcW w:w="1388" w:type="dxa"/>
            <w:noWrap/>
            <w:hideMark/>
          </w:tcPr>
          <w:p w14:paraId="4FE8045F"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7,9</w:t>
            </w:r>
          </w:p>
        </w:tc>
        <w:tc>
          <w:tcPr>
            <w:tcW w:w="1388" w:type="dxa"/>
            <w:noWrap/>
            <w:hideMark/>
          </w:tcPr>
          <w:p w14:paraId="12FC9512"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8,0</w:t>
            </w:r>
          </w:p>
        </w:tc>
      </w:tr>
      <w:tr w:rsidR="005A48F1" w:rsidRPr="00BD4849" w14:paraId="103F0120" w14:textId="77777777" w:rsidTr="009F1410">
        <w:trPr>
          <w:trHeight w:val="300"/>
        </w:trPr>
        <w:tc>
          <w:tcPr>
            <w:cnfStyle w:val="001000000000" w:firstRow="0" w:lastRow="0" w:firstColumn="1" w:lastColumn="0" w:oddVBand="0" w:evenVBand="0" w:oddHBand="0" w:evenHBand="0" w:firstRowFirstColumn="0" w:firstRowLastColumn="0" w:lastRowFirstColumn="0" w:lastRowLastColumn="0"/>
            <w:tcW w:w="5409" w:type="dxa"/>
            <w:hideMark/>
          </w:tcPr>
          <w:p w14:paraId="44BCC5E7"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1.3 Davki na kapital</w:t>
            </w:r>
          </w:p>
        </w:tc>
        <w:tc>
          <w:tcPr>
            <w:tcW w:w="1171" w:type="dxa"/>
            <w:hideMark/>
          </w:tcPr>
          <w:p w14:paraId="19010C5B"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D.91</w:t>
            </w:r>
          </w:p>
        </w:tc>
        <w:tc>
          <w:tcPr>
            <w:tcW w:w="1388" w:type="dxa"/>
            <w:noWrap/>
            <w:hideMark/>
          </w:tcPr>
          <w:p w14:paraId="5843C5F1"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0,0</w:t>
            </w:r>
          </w:p>
        </w:tc>
        <w:tc>
          <w:tcPr>
            <w:tcW w:w="1388" w:type="dxa"/>
            <w:noWrap/>
            <w:hideMark/>
          </w:tcPr>
          <w:p w14:paraId="3B0D81F2"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0,0</w:t>
            </w:r>
          </w:p>
        </w:tc>
      </w:tr>
      <w:tr w:rsidR="005A48F1" w:rsidRPr="00BD4849" w14:paraId="21F20CBB"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409" w:type="dxa"/>
            <w:hideMark/>
          </w:tcPr>
          <w:p w14:paraId="5C1AE4CB"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1.4 Prispevki za socialno varnost</w:t>
            </w:r>
          </w:p>
        </w:tc>
        <w:tc>
          <w:tcPr>
            <w:tcW w:w="1171" w:type="dxa"/>
            <w:hideMark/>
          </w:tcPr>
          <w:p w14:paraId="0EC8141E"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D.61</w:t>
            </w:r>
          </w:p>
        </w:tc>
        <w:tc>
          <w:tcPr>
            <w:tcW w:w="1388" w:type="dxa"/>
            <w:noWrap/>
            <w:hideMark/>
          </w:tcPr>
          <w:p w14:paraId="2CB88A9B"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16,2</w:t>
            </w:r>
          </w:p>
        </w:tc>
        <w:tc>
          <w:tcPr>
            <w:tcW w:w="1388" w:type="dxa"/>
            <w:noWrap/>
            <w:hideMark/>
          </w:tcPr>
          <w:p w14:paraId="3EAA2FA1"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17,0</w:t>
            </w:r>
          </w:p>
        </w:tc>
      </w:tr>
      <w:tr w:rsidR="005A48F1" w:rsidRPr="00BD4849" w14:paraId="2C21E498" w14:textId="77777777" w:rsidTr="009F1410">
        <w:trPr>
          <w:trHeight w:val="300"/>
        </w:trPr>
        <w:tc>
          <w:tcPr>
            <w:cnfStyle w:val="001000000000" w:firstRow="0" w:lastRow="0" w:firstColumn="1" w:lastColumn="0" w:oddVBand="0" w:evenVBand="0" w:oddHBand="0" w:evenHBand="0" w:firstRowFirstColumn="0" w:firstRowLastColumn="0" w:lastRowFirstColumn="0" w:lastRowLastColumn="0"/>
            <w:tcW w:w="5409" w:type="dxa"/>
            <w:hideMark/>
          </w:tcPr>
          <w:p w14:paraId="5DDF2238"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1.5 Prihodki od lastnine</w:t>
            </w:r>
          </w:p>
        </w:tc>
        <w:tc>
          <w:tcPr>
            <w:tcW w:w="1171" w:type="dxa"/>
            <w:hideMark/>
          </w:tcPr>
          <w:p w14:paraId="5430B8B3"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D.4</w:t>
            </w:r>
          </w:p>
        </w:tc>
        <w:tc>
          <w:tcPr>
            <w:tcW w:w="1388" w:type="dxa"/>
            <w:noWrap/>
            <w:hideMark/>
          </w:tcPr>
          <w:p w14:paraId="6C2A9C9E"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0,8</w:t>
            </w:r>
          </w:p>
        </w:tc>
        <w:tc>
          <w:tcPr>
            <w:tcW w:w="1388" w:type="dxa"/>
            <w:noWrap/>
            <w:hideMark/>
          </w:tcPr>
          <w:p w14:paraId="39C74153"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0,7</w:t>
            </w:r>
          </w:p>
        </w:tc>
      </w:tr>
      <w:tr w:rsidR="005A48F1" w:rsidRPr="00BD4849" w14:paraId="103CF926"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409" w:type="dxa"/>
            <w:hideMark/>
          </w:tcPr>
          <w:p w14:paraId="2B4B7416"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1.6 Drugi prihodki</w:t>
            </w:r>
          </w:p>
        </w:tc>
        <w:tc>
          <w:tcPr>
            <w:tcW w:w="1171" w:type="dxa"/>
            <w:hideMark/>
          </w:tcPr>
          <w:p w14:paraId="08B133CE"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1388" w:type="dxa"/>
            <w:noWrap/>
            <w:hideMark/>
          </w:tcPr>
          <w:p w14:paraId="111D2813"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6,3</w:t>
            </w:r>
          </w:p>
        </w:tc>
        <w:tc>
          <w:tcPr>
            <w:tcW w:w="1388" w:type="dxa"/>
            <w:noWrap/>
            <w:hideMark/>
          </w:tcPr>
          <w:p w14:paraId="26972A42"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5,5</w:t>
            </w:r>
          </w:p>
        </w:tc>
      </w:tr>
      <w:tr w:rsidR="005A48F1" w:rsidRPr="00BD4849" w14:paraId="773302D1" w14:textId="77777777" w:rsidTr="009F1410">
        <w:trPr>
          <w:trHeight w:val="300"/>
        </w:trPr>
        <w:tc>
          <w:tcPr>
            <w:cnfStyle w:val="001000000000" w:firstRow="0" w:lastRow="0" w:firstColumn="1" w:lastColumn="0" w:oddVBand="0" w:evenVBand="0" w:oddHBand="0" w:evenHBand="0" w:firstRowFirstColumn="0" w:firstRowLastColumn="0" w:lastRowFirstColumn="0" w:lastRowLastColumn="0"/>
            <w:tcW w:w="5409" w:type="dxa"/>
            <w:hideMark/>
          </w:tcPr>
          <w:p w14:paraId="0E2EF21C"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p.m.: Davčno breme (D.2+D.5+D.61+D.91-D.995)</w:t>
            </w:r>
          </w:p>
        </w:tc>
        <w:tc>
          <w:tcPr>
            <w:tcW w:w="1171" w:type="dxa"/>
            <w:hideMark/>
          </w:tcPr>
          <w:p w14:paraId="3A0AE4B4"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1388" w:type="dxa"/>
            <w:noWrap/>
            <w:hideMark/>
          </w:tcPr>
          <w:p w14:paraId="4EF4A0A3"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36,9</w:t>
            </w:r>
          </w:p>
        </w:tc>
        <w:tc>
          <w:tcPr>
            <w:tcW w:w="1388" w:type="dxa"/>
            <w:noWrap/>
            <w:hideMark/>
          </w:tcPr>
          <w:p w14:paraId="19C35F7D"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37,7</w:t>
            </w:r>
          </w:p>
        </w:tc>
      </w:tr>
      <w:tr w:rsidR="005A48F1" w:rsidRPr="00BD4849" w14:paraId="050012E8"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409" w:type="dxa"/>
            <w:hideMark/>
          </w:tcPr>
          <w:p w14:paraId="7B0005E8"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2. Cilj za skupne odhodke</w:t>
            </w:r>
          </w:p>
        </w:tc>
        <w:tc>
          <w:tcPr>
            <w:tcW w:w="1171" w:type="dxa"/>
            <w:hideMark/>
          </w:tcPr>
          <w:p w14:paraId="4AEF8A65"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TE</w:t>
            </w:r>
          </w:p>
        </w:tc>
        <w:tc>
          <w:tcPr>
            <w:tcW w:w="1388" w:type="dxa"/>
            <w:noWrap/>
            <w:hideMark/>
          </w:tcPr>
          <w:p w14:paraId="629D1AEF"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48,4</w:t>
            </w:r>
          </w:p>
        </w:tc>
        <w:tc>
          <w:tcPr>
            <w:tcW w:w="1388" w:type="dxa"/>
            <w:noWrap/>
            <w:hideMark/>
          </w:tcPr>
          <w:p w14:paraId="401F1F49"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47,8</w:t>
            </w:r>
          </w:p>
        </w:tc>
      </w:tr>
      <w:tr w:rsidR="005A48F1" w:rsidRPr="00BD4849" w14:paraId="54988403" w14:textId="77777777" w:rsidTr="009F1410">
        <w:trPr>
          <w:trHeight w:val="300"/>
        </w:trPr>
        <w:tc>
          <w:tcPr>
            <w:cnfStyle w:val="001000000000" w:firstRow="0" w:lastRow="0" w:firstColumn="1" w:lastColumn="0" w:oddVBand="0" w:evenVBand="0" w:oddHBand="0" w:evenHBand="0" w:firstRowFirstColumn="0" w:firstRowLastColumn="0" w:lastRowFirstColumn="0" w:lastRowLastColumn="0"/>
            <w:tcW w:w="5409" w:type="dxa"/>
            <w:hideMark/>
          </w:tcPr>
          <w:p w14:paraId="6EE20A85"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od tega:</w:t>
            </w:r>
          </w:p>
        </w:tc>
        <w:tc>
          <w:tcPr>
            <w:tcW w:w="1171" w:type="dxa"/>
            <w:hideMark/>
          </w:tcPr>
          <w:p w14:paraId="70BA9204"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1388" w:type="dxa"/>
            <w:noWrap/>
            <w:hideMark/>
          </w:tcPr>
          <w:p w14:paraId="40808D7A"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1388" w:type="dxa"/>
            <w:noWrap/>
            <w:hideMark/>
          </w:tcPr>
          <w:p w14:paraId="1EC05C10"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r>
      <w:tr w:rsidR="005A48F1" w:rsidRPr="00BD4849" w14:paraId="43F620F9"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409" w:type="dxa"/>
            <w:hideMark/>
          </w:tcPr>
          <w:p w14:paraId="7A0D5BC0"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2.1 Sredstva za zaposlene</w:t>
            </w:r>
          </w:p>
        </w:tc>
        <w:tc>
          <w:tcPr>
            <w:tcW w:w="1171" w:type="dxa"/>
            <w:hideMark/>
          </w:tcPr>
          <w:p w14:paraId="6D85CDD5"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D.1</w:t>
            </w:r>
          </w:p>
        </w:tc>
        <w:tc>
          <w:tcPr>
            <w:tcW w:w="1388" w:type="dxa"/>
            <w:noWrap/>
            <w:hideMark/>
          </w:tcPr>
          <w:p w14:paraId="41365299"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11,4</w:t>
            </w:r>
          </w:p>
        </w:tc>
        <w:tc>
          <w:tcPr>
            <w:tcW w:w="1388" w:type="dxa"/>
            <w:noWrap/>
            <w:hideMark/>
          </w:tcPr>
          <w:p w14:paraId="5C0B98EA"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11,2</w:t>
            </w:r>
          </w:p>
        </w:tc>
      </w:tr>
      <w:tr w:rsidR="005A48F1" w:rsidRPr="00BD4849" w14:paraId="40530B3D" w14:textId="77777777" w:rsidTr="009F1410">
        <w:trPr>
          <w:trHeight w:val="300"/>
        </w:trPr>
        <w:tc>
          <w:tcPr>
            <w:cnfStyle w:val="001000000000" w:firstRow="0" w:lastRow="0" w:firstColumn="1" w:lastColumn="0" w:oddVBand="0" w:evenVBand="0" w:oddHBand="0" w:evenHBand="0" w:firstRowFirstColumn="0" w:firstRowLastColumn="0" w:lastRowFirstColumn="0" w:lastRowLastColumn="0"/>
            <w:tcW w:w="5409" w:type="dxa"/>
            <w:hideMark/>
          </w:tcPr>
          <w:p w14:paraId="545BD3BC"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2.2 Vmesna potrošnja</w:t>
            </w:r>
          </w:p>
        </w:tc>
        <w:tc>
          <w:tcPr>
            <w:tcW w:w="1171" w:type="dxa"/>
            <w:hideMark/>
          </w:tcPr>
          <w:p w14:paraId="61D6C6FC"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P.2</w:t>
            </w:r>
          </w:p>
        </w:tc>
        <w:tc>
          <w:tcPr>
            <w:tcW w:w="1388" w:type="dxa"/>
            <w:noWrap/>
            <w:hideMark/>
          </w:tcPr>
          <w:p w14:paraId="079C9CC6"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6,4</w:t>
            </w:r>
          </w:p>
        </w:tc>
        <w:tc>
          <w:tcPr>
            <w:tcW w:w="1388" w:type="dxa"/>
            <w:noWrap/>
            <w:hideMark/>
          </w:tcPr>
          <w:p w14:paraId="1E3708A3"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6,3</w:t>
            </w:r>
          </w:p>
        </w:tc>
      </w:tr>
      <w:tr w:rsidR="005A48F1" w:rsidRPr="00BD4849" w14:paraId="5B7FDFB0"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409" w:type="dxa"/>
            <w:hideMark/>
          </w:tcPr>
          <w:p w14:paraId="4CE2FB93"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2.3 Socialna nadomestila</w:t>
            </w:r>
          </w:p>
        </w:tc>
        <w:tc>
          <w:tcPr>
            <w:tcW w:w="1171" w:type="dxa"/>
            <w:hideMark/>
          </w:tcPr>
          <w:p w14:paraId="3ADA1D21"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D.62,D.63</w:t>
            </w:r>
          </w:p>
        </w:tc>
        <w:tc>
          <w:tcPr>
            <w:tcW w:w="1388" w:type="dxa"/>
            <w:noWrap/>
            <w:hideMark/>
          </w:tcPr>
          <w:p w14:paraId="5C9C55F3"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17,6</w:t>
            </w:r>
          </w:p>
        </w:tc>
        <w:tc>
          <w:tcPr>
            <w:tcW w:w="1388" w:type="dxa"/>
            <w:noWrap/>
            <w:hideMark/>
          </w:tcPr>
          <w:p w14:paraId="749A38BF"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18,3</w:t>
            </w:r>
          </w:p>
        </w:tc>
      </w:tr>
      <w:tr w:rsidR="005A48F1" w:rsidRPr="00BD4849" w14:paraId="74DBB0A4" w14:textId="77777777" w:rsidTr="009F1410">
        <w:trPr>
          <w:trHeight w:val="300"/>
        </w:trPr>
        <w:tc>
          <w:tcPr>
            <w:cnfStyle w:val="001000000000" w:firstRow="0" w:lastRow="0" w:firstColumn="1" w:lastColumn="0" w:oddVBand="0" w:evenVBand="0" w:oddHBand="0" w:evenHBand="0" w:firstRowFirstColumn="0" w:firstRowLastColumn="0" w:lastRowFirstColumn="0" w:lastRowLastColumn="0"/>
            <w:tcW w:w="5409" w:type="dxa"/>
            <w:hideMark/>
          </w:tcPr>
          <w:p w14:paraId="53B536C8"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od tega: socialni transferji brezposelnim</w:t>
            </w:r>
          </w:p>
        </w:tc>
        <w:tc>
          <w:tcPr>
            <w:tcW w:w="1171" w:type="dxa"/>
            <w:hideMark/>
          </w:tcPr>
          <w:p w14:paraId="6A037A4F"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1388" w:type="dxa"/>
            <w:noWrap/>
            <w:hideMark/>
          </w:tcPr>
          <w:p w14:paraId="227818DE"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0,2</w:t>
            </w:r>
          </w:p>
        </w:tc>
        <w:tc>
          <w:tcPr>
            <w:tcW w:w="1388" w:type="dxa"/>
            <w:noWrap/>
            <w:hideMark/>
          </w:tcPr>
          <w:p w14:paraId="745ED343"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0,2</w:t>
            </w:r>
          </w:p>
        </w:tc>
      </w:tr>
      <w:tr w:rsidR="005A48F1" w:rsidRPr="00BD4849" w14:paraId="7FBD6B61"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409" w:type="dxa"/>
            <w:hideMark/>
          </w:tcPr>
          <w:p w14:paraId="2B1474CC"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2.4 Izdatki za obresti ( =9 v Tab. 2.a)</w:t>
            </w:r>
          </w:p>
        </w:tc>
        <w:tc>
          <w:tcPr>
            <w:tcW w:w="1171" w:type="dxa"/>
            <w:hideMark/>
          </w:tcPr>
          <w:p w14:paraId="4AD17B45"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EDP D.41</w:t>
            </w:r>
          </w:p>
        </w:tc>
        <w:tc>
          <w:tcPr>
            <w:tcW w:w="1388" w:type="dxa"/>
            <w:noWrap/>
            <w:hideMark/>
          </w:tcPr>
          <w:p w14:paraId="6172D2A4"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1,2</w:t>
            </w:r>
          </w:p>
        </w:tc>
        <w:tc>
          <w:tcPr>
            <w:tcW w:w="1388" w:type="dxa"/>
            <w:noWrap/>
            <w:hideMark/>
          </w:tcPr>
          <w:p w14:paraId="0D07CFD9"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1,3</w:t>
            </w:r>
          </w:p>
        </w:tc>
      </w:tr>
      <w:tr w:rsidR="005A48F1" w:rsidRPr="00BD4849" w14:paraId="04EAFB42" w14:textId="77777777" w:rsidTr="009F1410">
        <w:trPr>
          <w:trHeight w:val="300"/>
        </w:trPr>
        <w:tc>
          <w:tcPr>
            <w:cnfStyle w:val="001000000000" w:firstRow="0" w:lastRow="0" w:firstColumn="1" w:lastColumn="0" w:oddVBand="0" w:evenVBand="0" w:oddHBand="0" w:evenHBand="0" w:firstRowFirstColumn="0" w:firstRowLastColumn="0" w:lastRowFirstColumn="0" w:lastRowLastColumn="0"/>
            <w:tcW w:w="5409" w:type="dxa"/>
            <w:hideMark/>
          </w:tcPr>
          <w:p w14:paraId="20CD673E"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2.5 Subvencije</w:t>
            </w:r>
          </w:p>
        </w:tc>
        <w:tc>
          <w:tcPr>
            <w:tcW w:w="1171" w:type="dxa"/>
            <w:hideMark/>
          </w:tcPr>
          <w:p w14:paraId="02FE8ADF"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D.3</w:t>
            </w:r>
          </w:p>
        </w:tc>
        <w:tc>
          <w:tcPr>
            <w:tcW w:w="1388" w:type="dxa"/>
            <w:noWrap/>
            <w:hideMark/>
          </w:tcPr>
          <w:p w14:paraId="7A223C37"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2,1</w:t>
            </w:r>
          </w:p>
        </w:tc>
        <w:tc>
          <w:tcPr>
            <w:tcW w:w="1388" w:type="dxa"/>
            <w:noWrap/>
            <w:hideMark/>
          </w:tcPr>
          <w:p w14:paraId="0E6CF476"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1,3</w:t>
            </w:r>
          </w:p>
        </w:tc>
      </w:tr>
      <w:tr w:rsidR="005A48F1" w:rsidRPr="00BD4849" w14:paraId="504AC665"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409" w:type="dxa"/>
            <w:hideMark/>
          </w:tcPr>
          <w:p w14:paraId="45B5C2C8"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2.6 Bruto investicije v osnovna sredstva</w:t>
            </w:r>
          </w:p>
        </w:tc>
        <w:tc>
          <w:tcPr>
            <w:tcW w:w="1171" w:type="dxa"/>
            <w:hideMark/>
          </w:tcPr>
          <w:p w14:paraId="68FE4826"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P.51</w:t>
            </w:r>
          </w:p>
        </w:tc>
        <w:tc>
          <w:tcPr>
            <w:tcW w:w="1388" w:type="dxa"/>
            <w:noWrap/>
            <w:hideMark/>
          </w:tcPr>
          <w:p w14:paraId="7E22BD4E"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6,3</w:t>
            </w:r>
          </w:p>
        </w:tc>
        <w:tc>
          <w:tcPr>
            <w:tcW w:w="1388" w:type="dxa"/>
            <w:noWrap/>
            <w:hideMark/>
          </w:tcPr>
          <w:p w14:paraId="15C561EF"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6,3</w:t>
            </w:r>
          </w:p>
        </w:tc>
      </w:tr>
      <w:tr w:rsidR="005A48F1" w:rsidRPr="00BD4849" w14:paraId="43053AEE" w14:textId="77777777" w:rsidTr="009F1410">
        <w:trPr>
          <w:trHeight w:val="300"/>
        </w:trPr>
        <w:tc>
          <w:tcPr>
            <w:cnfStyle w:val="001000000000" w:firstRow="0" w:lastRow="0" w:firstColumn="1" w:lastColumn="0" w:oddVBand="0" w:evenVBand="0" w:oddHBand="0" w:evenHBand="0" w:firstRowFirstColumn="0" w:firstRowLastColumn="0" w:lastRowFirstColumn="0" w:lastRowLastColumn="0"/>
            <w:tcW w:w="5409" w:type="dxa"/>
            <w:hideMark/>
          </w:tcPr>
          <w:p w14:paraId="5FA9EFD9"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2.7 Kapitalski transferji, odhodki</w:t>
            </w:r>
          </w:p>
        </w:tc>
        <w:tc>
          <w:tcPr>
            <w:tcW w:w="1171" w:type="dxa"/>
            <w:hideMark/>
          </w:tcPr>
          <w:p w14:paraId="15634BE6"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D.9</w:t>
            </w:r>
          </w:p>
        </w:tc>
        <w:tc>
          <w:tcPr>
            <w:tcW w:w="1388" w:type="dxa"/>
            <w:noWrap/>
            <w:hideMark/>
          </w:tcPr>
          <w:p w14:paraId="1D6377E5"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1,3</w:t>
            </w:r>
          </w:p>
        </w:tc>
        <w:tc>
          <w:tcPr>
            <w:tcW w:w="1388" w:type="dxa"/>
            <w:noWrap/>
            <w:hideMark/>
          </w:tcPr>
          <w:p w14:paraId="0BFB4EA8"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0,9</w:t>
            </w:r>
          </w:p>
        </w:tc>
      </w:tr>
      <w:tr w:rsidR="005A48F1" w:rsidRPr="00BD4849" w14:paraId="7B272EC7"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409" w:type="dxa"/>
            <w:hideMark/>
          </w:tcPr>
          <w:p w14:paraId="3AB28345"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2.8 Drugi odhodki</w:t>
            </w:r>
          </w:p>
        </w:tc>
        <w:tc>
          <w:tcPr>
            <w:tcW w:w="1171" w:type="dxa"/>
            <w:hideMark/>
          </w:tcPr>
          <w:p w14:paraId="6D62BA7E"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1388" w:type="dxa"/>
            <w:noWrap/>
            <w:hideMark/>
          </w:tcPr>
          <w:p w14:paraId="7F995819"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2,2</w:t>
            </w:r>
          </w:p>
        </w:tc>
        <w:tc>
          <w:tcPr>
            <w:tcW w:w="1388" w:type="dxa"/>
            <w:noWrap/>
            <w:hideMark/>
          </w:tcPr>
          <w:p w14:paraId="38D5BFAD"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2,2</w:t>
            </w:r>
          </w:p>
        </w:tc>
      </w:tr>
    </w:tbl>
    <w:p w14:paraId="293A8DD1" w14:textId="1607A507" w:rsidR="005A48F1" w:rsidRDefault="005A48F1" w:rsidP="009924DC">
      <w:pPr>
        <w:pStyle w:val="Caption"/>
        <w:ind w:left="0" w:firstLine="0"/>
        <w:rPr>
          <w:rFonts w:ascii="Arial" w:hAnsi="Arial" w:cs="Arial"/>
          <w:b w:val="0"/>
          <w:bCs/>
          <w:i w:val="0"/>
          <w:iCs/>
        </w:rPr>
      </w:pPr>
      <w:r w:rsidRPr="009924DC">
        <w:rPr>
          <w:rFonts w:ascii="Arial" w:hAnsi="Arial" w:cs="Arial"/>
          <w:b w:val="0"/>
          <w:bCs/>
          <w:i w:val="0"/>
          <w:iCs/>
        </w:rPr>
        <w:t>Vir: Ministrstvo za finance.</w:t>
      </w:r>
    </w:p>
    <w:p w14:paraId="3E52A8A1" w14:textId="77777777" w:rsidR="009924DC" w:rsidRPr="009924DC" w:rsidRDefault="009924DC" w:rsidP="009924DC">
      <w:pPr>
        <w:rPr>
          <w:lang w:eastAsia="sl-SI"/>
        </w:rPr>
      </w:pPr>
    </w:p>
    <w:tbl>
      <w:tblPr>
        <w:tblStyle w:val="ListTable3-Accent1"/>
        <w:tblW w:w="9356" w:type="dxa"/>
        <w:tblLayout w:type="fixed"/>
        <w:tblLook w:val="04A0" w:firstRow="1" w:lastRow="0" w:firstColumn="1" w:lastColumn="0" w:noHBand="0" w:noVBand="1"/>
      </w:tblPr>
      <w:tblGrid>
        <w:gridCol w:w="4700"/>
        <w:gridCol w:w="1391"/>
        <w:gridCol w:w="1088"/>
        <w:gridCol w:w="1088"/>
        <w:gridCol w:w="1089"/>
      </w:tblGrid>
      <w:tr w:rsidR="005A48F1" w:rsidRPr="00BD4849" w14:paraId="3722E40A" w14:textId="77777777" w:rsidTr="009F1410">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4700" w:type="dxa"/>
            <w:shd w:val="clear" w:color="auto" w:fill="B4C6E7" w:themeFill="accent5" w:themeFillTint="66"/>
            <w:noWrap/>
            <w:hideMark/>
          </w:tcPr>
          <w:p w14:paraId="465F58C7" w14:textId="77777777" w:rsidR="005A48F1" w:rsidRPr="00BD4849" w:rsidRDefault="005A48F1" w:rsidP="009F1410">
            <w:pPr>
              <w:rPr>
                <w:rFonts w:ascii="Arial" w:eastAsia="Times New Roman" w:hAnsi="Arial" w:cs="Arial"/>
                <w:b w:val="0"/>
                <w:bCs w:val="0"/>
                <w:color w:val="auto"/>
                <w:sz w:val="20"/>
                <w:szCs w:val="20"/>
                <w:lang w:eastAsia="sl-SI"/>
              </w:rPr>
            </w:pPr>
            <w:r w:rsidRPr="00BD4849">
              <w:rPr>
                <w:rFonts w:ascii="Arial" w:eastAsia="Times New Roman" w:hAnsi="Arial" w:cs="Arial"/>
                <w:b w:val="0"/>
                <w:bCs w:val="0"/>
                <w:color w:val="auto"/>
                <w:sz w:val="20"/>
                <w:szCs w:val="20"/>
                <w:lang w:eastAsia="sl-SI"/>
              </w:rPr>
              <w:t>Tabela 4b. Merilo rasti odhodkov</w:t>
            </w:r>
          </w:p>
        </w:tc>
        <w:tc>
          <w:tcPr>
            <w:tcW w:w="1391" w:type="dxa"/>
            <w:shd w:val="clear" w:color="auto" w:fill="B4C6E7" w:themeFill="accent5" w:themeFillTint="66"/>
            <w:hideMark/>
          </w:tcPr>
          <w:p w14:paraId="52DD9991" w14:textId="77777777" w:rsidR="005A48F1" w:rsidRPr="00BD4849" w:rsidRDefault="005A48F1" w:rsidP="009F141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lang w:eastAsia="sl-SI"/>
              </w:rPr>
            </w:pPr>
            <w:r w:rsidRPr="00BD4849">
              <w:rPr>
                <w:rFonts w:ascii="Arial" w:eastAsia="Times New Roman" w:hAnsi="Arial" w:cs="Arial"/>
                <w:b w:val="0"/>
                <w:bCs w:val="0"/>
                <w:color w:val="auto"/>
                <w:sz w:val="20"/>
                <w:szCs w:val="20"/>
                <w:lang w:eastAsia="sl-SI"/>
              </w:rPr>
              <w:t>2022 (raven v mio EUR)</w:t>
            </w:r>
          </w:p>
        </w:tc>
        <w:tc>
          <w:tcPr>
            <w:tcW w:w="1088" w:type="dxa"/>
            <w:shd w:val="clear" w:color="auto" w:fill="B4C6E7" w:themeFill="accent5" w:themeFillTint="66"/>
            <w:hideMark/>
          </w:tcPr>
          <w:p w14:paraId="1A593043" w14:textId="77777777" w:rsidR="005A48F1" w:rsidRPr="00BD4849" w:rsidRDefault="005A48F1" w:rsidP="009F141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lang w:eastAsia="sl-SI"/>
              </w:rPr>
            </w:pPr>
            <w:r w:rsidRPr="00BD4849">
              <w:rPr>
                <w:rFonts w:ascii="Arial" w:eastAsia="Times New Roman" w:hAnsi="Arial" w:cs="Arial"/>
                <w:b w:val="0"/>
                <w:bCs w:val="0"/>
                <w:color w:val="auto"/>
                <w:sz w:val="20"/>
                <w:szCs w:val="20"/>
                <w:lang w:eastAsia="sl-SI"/>
              </w:rPr>
              <w:t xml:space="preserve">2022 </w:t>
            </w:r>
          </w:p>
          <w:p w14:paraId="6A9D32FC" w14:textId="77777777" w:rsidR="005A48F1" w:rsidRPr="00BD4849" w:rsidRDefault="005A48F1" w:rsidP="009F141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lang w:eastAsia="sl-SI"/>
              </w:rPr>
            </w:pPr>
            <w:r w:rsidRPr="00BD4849">
              <w:rPr>
                <w:rFonts w:ascii="Arial" w:eastAsia="Times New Roman" w:hAnsi="Arial" w:cs="Arial"/>
                <w:b w:val="0"/>
                <w:bCs w:val="0"/>
                <w:color w:val="auto"/>
                <w:sz w:val="20"/>
                <w:szCs w:val="20"/>
                <w:lang w:eastAsia="sl-SI"/>
              </w:rPr>
              <w:t>(% BDP)</w:t>
            </w:r>
          </w:p>
        </w:tc>
        <w:tc>
          <w:tcPr>
            <w:tcW w:w="1088" w:type="dxa"/>
            <w:shd w:val="clear" w:color="auto" w:fill="B4C6E7" w:themeFill="accent5" w:themeFillTint="66"/>
            <w:hideMark/>
          </w:tcPr>
          <w:p w14:paraId="2BB9D3AD" w14:textId="77777777" w:rsidR="005A48F1" w:rsidRPr="00BD4849" w:rsidRDefault="005A48F1" w:rsidP="009F141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lang w:eastAsia="sl-SI"/>
              </w:rPr>
            </w:pPr>
            <w:r w:rsidRPr="00BD4849">
              <w:rPr>
                <w:rFonts w:ascii="Arial" w:eastAsia="Times New Roman" w:hAnsi="Arial" w:cs="Arial"/>
                <w:b w:val="0"/>
                <w:bCs w:val="0"/>
                <w:color w:val="auto"/>
                <w:sz w:val="20"/>
                <w:szCs w:val="20"/>
                <w:lang w:eastAsia="sl-SI"/>
              </w:rPr>
              <w:t xml:space="preserve">2023 </w:t>
            </w:r>
          </w:p>
          <w:p w14:paraId="12FA5D6E" w14:textId="77777777" w:rsidR="005A48F1" w:rsidRPr="00BD4849" w:rsidRDefault="005A48F1" w:rsidP="009F141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lang w:eastAsia="sl-SI"/>
              </w:rPr>
            </w:pPr>
            <w:r w:rsidRPr="00BD4849">
              <w:rPr>
                <w:rFonts w:ascii="Arial" w:eastAsia="Times New Roman" w:hAnsi="Arial" w:cs="Arial"/>
                <w:b w:val="0"/>
                <w:bCs w:val="0"/>
                <w:color w:val="auto"/>
                <w:sz w:val="20"/>
                <w:szCs w:val="20"/>
                <w:lang w:eastAsia="sl-SI"/>
              </w:rPr>
              <w:t>(% BDP)</w:t>
            </w:r>
          </w:p>
        </w:tc>
        <w:tc>
          <w:tcPr>
            <w:tcW w:w="1089" w:type="dxa"/>
            <w:shd w:val="clear" w:color="auto" w:fill="B4C6E7" w:themeFill="accent5" w:themeFillTint="66"/>
            <w:hideMark/>
          </w:tcPr>
          <w:p w14:paraId="29DF06AD" w14:textId="77777777" w:rsidR="005A48F1" w:rsidRPr="00BD4849" w:rsidRDefault="005A48F1" w:rsidP="009F141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lang w:eastAsia="sl-SI"/>
              </w:rPr>
            </w:pPr>
            <w:r w:rsidRPr="00BD4849">
              <w:rPr>
                <w:rFonts w:ascii="Arial" w:eastAsia="Times New Roman" w:hAnsi="Arial" w:cs="Arial"/>
                <w:b w:val="0"/>
                <w:bCs w:val="0"/>
                <w:color w:val="auto"/>
                <w:sz w:val="20"/>
                <w:szCs w:val="20"/>
                <w:lang w:eastAsia="sl-SI"/>
              </w:rPr>
              <w:t xml:space="preserve">2024 </w:t>
            </w:r>
          </w:p>
          <w:p w14:paraId="6C0FD9C9" w14:textId="77777777" w:rsidR="005A48F1" w:rsidRPr="00BD4849" w:rsidRDefault="005A48F1" w:rsidP="009F141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lang w:eastAsia="sl-SI"/>
              </w:rPr>
            </w:pPr>
            <w:r w:rsidRPr="00BD4849">
              <w:rPr>
                <w:rFonts w:ascii="Arial" w:eastAsia="Times New Roman" w:hAnsi="Arial" w:cs="Arial"/>
                <w:b w:val="0"/>
                <w:bCs w:val="0"/>
                <w:color w:val="auto"/>
                <w:sz w:val="20"/>
                <w:szCs w:val="20"/>
                <w:lang w:eastAsia="sl-SI"/>
              </w:rPr>
              <w:t>(% BDP)</w:t>
            </w:r>
          </w:p>
        </w:tc>
      </w:tr>
      <w:tr w:rsidR="005A48F1" w:rsidRPr="00BD4849" w14:paraId="312C535B"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00" w:type="dxa"/>
            <w:hideMark/>
          </w:tcPr>
          <w:p w14:paraId="50931C63"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1. Odhodki za programe EU, ki so popolnoma usklajeni s prihodki sredstev EU</w:t>
            </w:r>
          </w:p>
        </w:tc>
        <w:tc>
          <w:tcPr>
            <w:tcW w:w="1391" w:type="dxa"/>
            <w:noWrap/>
            <w:hideMark/>
          </w:tcPr>
          <w:p w14:paraId="36B4EA1E"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429,18</w:t>
            </w:r>
          </w:p>
        </w:tc>
        <w:tc>
          <w:tcPr>
            <w:tcW w:w="1088" w:type="dxa"/>
            <w:noWrap/>
            <w:hideMark/>
          </w:tcPr>
          <w:p w14:paraId="558646CE"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0,75</w:t>
            </w:r>
          </w:p>
        </w:tc>
        <w:tc>
          <w:tcPr>
            <w:tcW w:w="1088" w:type="dxa"/>
            <w:noWrap/>
            <w:hideMark/>
          </w:tcPr>
          <w:p w14:paraId="1B5738BC"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1,58</w:t>
            </w:r>
          </w:p>
        </w:tc>
        <w:tc>
          <w:tcPr>
            <w:tcW w:w="1089" w:type="dxa"/>
            <w:noWrap/>
            <w:hideMark/>
          </w:tcPr>
          <w:p w14:paraId="7C284D59"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1,59</w:t>
            </w:r>
          </w:p>
        </w:tc>
      </w:tr>
      <w:tr w:rsidR="005A48F1" w:rsidRPr="00BD4849" w14:paraId="0DE1EA65" w14:textId="77777777" w:rsidTr="009F1410">
        <w:trPr>
          <w:trHeight w:val="300"/>
        </w:trPr>
        <w:tc>
          <w:tcPr>
            <w:cnfStyle w:val="001000000000" w:firstRow="0" w:lastRow="0" w:firstColumn="1" w:lastColumn="0" w:oddVBand="0" w:evenVBand="0" w:oddHBand="0" w:evenHBand="0" w:firstRowFirstColumn="0" w:firstRowLastColumn="0" w:lastRowFirstColumn="0" w:lastRowLastColumn="0"/>
            <w:tcW w:w="4700" w:type="dxa"/>
            <w:hideMark/>
          </w:tcPr>
          <w:p w14:paraId="0C86A600"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1a. Od tega investicije v celoti vezane na prihodke iz EU proračuna</w:t>
            </w:r>
          </w:p>
        </w:tc>
        <w:tc>
          <w:tcPr>
            <w:tcW w:w="1391" w:type="dxa"/>
            <w:noWrap/>
            <w:hideMark/>
          </w:tcPr>
          <w:p w14:paraId="249AFC9B"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331,49</w:t>
            </w:r>
          </w:p>
        </w:tc>
        <w:tc>
          <w:tcPr>
            <w:tcW w:w="1088" w:type="dxa"/>
            <w:noWrap/>
            <w:hideMark/>
          </w:tcPr>
          <w:p w14:paraId="68D99F65"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0,58</w:t>
            </w:r>
          </w:p>
        </w:tc>
        <w:tc>
          <w:tcPr>
            <w:tcW w:w="1088" w:type="dxa"/>
            <w:noWrap/>
            <w:hideMark/>
          </w:tcPr>
          <w:p w14:paraId="7FC4E4C4"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1,20</w:t>
            </w:r>
          </w:p>
        </w:tc>
        <w:tc>
          <w:tcPr>
            <w:tcW w:w="1089" w:type="dxa"/>
            <w:noWrap/>
            <w:hideMark/>
          </w:tcPr>
          <w:p w14:paraId="3F8935CE"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1,15</w:t>
            </w:r>
          </w:p>
        </w:tc>
      </w:tr>
      <w:tr w:rsidR="005A48F1" w:rsidRPr="00BD4849" w14:paraId="201BBA81"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00" w:type="dxa"/>
            <w:hideMark/>
          </w:tcPr>
          <w:p w14:paraId="2EE9CDE7" w14:textId="77777777" w:rsidR="005A48F1" w:rsidRPr="00C139D9" w:rsidRDefault="005A48F1" w:rsidP="009F1410">
            <w:pPr>
              <w:rPr>
                <w:rFonts w:ascii="Arial" w:eastAsia="Times New Roman" w:hAnsi="Arial" w:cs="Arial"/>
                <w:b w:val="0"/>
                <w:bCs w:val="0"/>
                <w:sz w:val="20"/>
                <w:szCs w:val="20"/>
                <w:vertAlign w:val="superscript"/>
                <w:lang w:eastAsia="sl-SI"/>
              </w:rPr>
            </w:pPr>
            <w:r w:rsidRPr="00BD4849">
              <w:rPr>
                <w:rFonts w:ascii="Arial" w:eastAsia="Times New Roman" w:hAnsi="Arial" w:cs="Arial"/>
                <w:b w:val="0"/>
                <w:bCs w:val="0"/>
                <w:sz w:val="20"/>
                <w:szCs w:val="20"/>
                <w:lang w:eastAsia="sl-SI"/>
              </w:rPr>
              <w:t>2. Ciklični odhodki za nadomestila za brezposelnost</w:t>
            </w:r>
            <w:r>
              <w:rPr>
                <w:rFonts w:ascii="Arial" w:eastAsia="Times New Roman" w:hAnsi="Arial" w:cs="Arial"/>
                <w:b w:val="0"/>
                <w:bCs w:val="0"/>
                <w:sz w:val="20"/>
                <w:szCs w:val="20"/>
                <w:vertAlign w:val="superscript"/>
                <w:lang w:eastAsia="sl-SI"/>
              </w:rPr>
              <w:t>1</w:t>
            </w:r>
          </w:p>
        </w:tc>
        <w:tc>
          <w:tcPr>
            <w:tcW w:w="1391" w:type="dxa"/>
            <w:noWrap/>
            <w:hideMark/>
          </w:tcPr>
          <w:p w14:paraId="5A8CED02"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-93,22</w:t>
            </w:r>
          </w:p>
        </w:tc>
        <w:tc>
          <w:tcPr>
            <w:tcW w:w="1088" w:type="dxa"/>
            <w:noWrap/>
            <w:hideMark/>
          </w:tcPr>
          <w:p w14:paraId="6B6D5A9D"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-0,2</w:t>
            </w:r>
          </w:p>
        </w:tc>
        <w:tc>
          <w:tcPr>
            <w:tcW w:w="1088" w:type="dxa"/>
            <w:noWrap/>
            <w:hideMark/>
          </w:tcPr>
          <w:p w14:paraId="5D3A20A9"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-0,2</w:t>
            </w:r>
          </w:p>
        </w:tc>
        <w:tc>
          <w:tcPr>
            <w:tcW w:w="1089" w:type="dxa"/>
            <w:noWrap/>
            <w:hideMark/>
          </w:tcPr>
          <w:p w14:paraId="1A03D554"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-0,2</w:t>
            </w:r>
          </w:p>
        </w:tc>
      </w:tr>
      <w:tr w:rsidR="005A48F1" w:rsidRPr="00BD4849" w14:paraId="0D327B07" w14:textId="77777777" w:rsidTr="009F1410">
        <w:trPr>
          <w:trHeight w:val="300"/>
        </w:trPr>
        <w:tc>
          <w:tcPr>
            <w:cnfStyle w:val="001000000000" w:firstRow="0" w:lastRow="0" w:firstColumn="1" w:lastColumn="0" w:oddVBand="0" w:evenVBand="0" w:oddHBand="0" w:evenHBand="0" w:firstRowFirstColumn="0" w:firstRowLastColumn="0" w:lastRowFirstColumn="0" w:lastRowLastColumn="0"/>
            <w:tcW w:w="4700" w:type="dxa"/>
            <w:hideMark/>
          </w:tcPr>
          <w:p w14:paraId="62CEA92C"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3. Učinki diskrecijskih ukrepov v zvezi s prihodki</w:t>
            </w:r>
          </w:p>
        </w:tc>
        <w:tc>
          <w:tcPr>
            <w:tcW w:w="1391" w:type="dxa"/>
            <w:noWrap/>
            <w:hideMark/>
          </w:tcPr>
          <w:p w14:paraId="2D3CF3AC"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-363,10</w:t>
            </w:r>
          </w:p>
        </w:tc>
        <w:tc>
          <w:tcPr>
            <w:tcW w:w="1088" w:type="dxa"/>
            <w:noWrap/>
            <w:hideMark/>
          </w:tcPr>
          <w:p w14:paraId="165CDC89"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-0,6</w:t>
            </w:r>
          </w:p>
        </w:tc>
        <w:tc>
          <w:tcPr>
            <w:tcW w:w="1088" w:type="dxa"/>
            <w:noWrap/>
            <w:hideMark/>
          </w:tcPr>
          <w:p w14:paraId="03853F73"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Pr>
                <w:rFonts w:ascii="Arial" w:eastAsia="Times New Roman" w:hAnsi="Arial" w:cs="Arial"/>
                <w:sz w:val="20"/>
                <w:szCs w:val="20"/>
                <w:lang w:eastAsia="sl-SI"/>
              </w:rPr>
              <w:t>0,2</w:t>
            </w:r>
          </w:p>
        </w:tc>
        <w:tc>
          <w:tcPr>
            <w:tcW w:w="1089" w:type="dxa"/>
            <w:noWrap/>
            <w:hideMark/>
          </w:tcPr>
          <w:p w14:paraId="29DFE3CA"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0,2</w:t>
            </w:r>
          </w:p>
        </w:tc>
      </w:tr>
      <w:tr w:rsidR="005A48F1" w:rsidRPr="00BD4849" w14:paraId="01028BC0"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00" w:type="dxa"/>
            <w:hideMark/>
          </w:tcPr>
          <w:p w14:paraId="64A66952"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4. Povečanje prihodkov, ki jih ureja zakon</w:t>
            </w:r>
          </w:p>
        </w:tc>
        <w:tc>
          <w:tcPr>
            <w:tcW w:w="1391" w:type="dxa"/>
            <w:noWrap/>
            <w:hideMark/>
          </w:tcPr>
          <w:p w14:paraId="5F236E51"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p>
        </w:tc>
        <w:tc>
          <w:tcPr>
            <w:tcW w:w="1088" w:type="dxa"/>
            <w:noWrap/>
            <w:hideMark/>
          </w:tcPr>
          <w:p w14:paraId="6D4BF91B"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p>
        </w:tc>
        <w:tc>
          <w:tcPr>
            <w:tcW w:w="1088" w:type="dxa"/>
            <w:noWrap/>
            <w:hideMark/>
          </w:tcPr>
          <w:p w14:paraId="16A07F4A"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p>
        </w:tc>
        <w:tc>
          <w:tcPr>
            <w:tcW w:w="1089" w:type="dxa"/>
            <w:noWrap/>
            <w:hideMark/>
          </w:tcPr>
          <w:p w14:paraId="264004BD"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p>
        </w:tc>
      </w:tr>
    </w:tbl>
    <w:p w14:paraId="59B7E3FE" w14:textId="77777777" w:rsidR="005A48F1" w:rsidRPr="009924DC" w:rsidRDefault="005A48F1" w:rsidP="009924DC">
      <w:pPr>
        <w:pStyle w:val="Caption"/>
        <w:spacing w:after="0"/>
        <w:ind w:left="0" w:firstLine="0"/>
        <w:rPr>
          <w:rFonts w:ascii="Arial" w:hAnsi="Arial" w:cs="Arial"/>
          <w:b w:val="0"/>
          <w:bCs/>
          <w:i w:val="0"/>
          <w:iCs/>
        </w:rPr>
      </w:pPr>
      <w:r w:rsidRPr="009924DC">
        <w:rPr>
          <w:rFonts w:ascii="Arial" w:hAnsi="Arial" w:cs="Arial"/>
          <w:b w:val="0"/>
          <w:bCs/>
          <w:i w:val="0"/>
          <w:iCs/>
        </w:rPr>
        <w:t xml:space="preserve">Opomba: </w:t>
      </w:r>
      <w:r w:rsidRPr="009924DC">
        <w:rPr>
          <w:rFonts w:ascii="Arial" w:hAnsi="Arial" w:cs="Arial"/>
          <w:b w:val="0"/>
          <w:bCs/>
          <w:i w:val="0"/>
          <w:iCs/>
          <w:vertAlign w:val="superscript"/>
        </w:rPr>
        <w:t>1</w:t>
      </w:r>
      <w:r w:rsidRPr="009924DC">
        <w:rPr>
          <w:rFonts w:ascii="Arial" w:hAnsi="Arial" w:cs="Arial"/>
          <w:b w:val="0"/>
          <w:bCs/>
          <w:i w:val="0"/>
          <w:iCs/>
        </w:rPr>
        <w:t>COFOG 10.5 definicija nadomestil za brezposelnost.</w:t>
      </w:r>
    </w:p>
    <w:p w14:paraId="7EB27DA8" w14:textId="77777777" w:rsidR="005A48F1" w:rsidRPr="009924DC" w:rsidRDefault="005A48F1" w:rsidP="009924DC">
      <w:pPr>
        <w:pStyle w:val="Caption"/>
        <w:ind w:left="0" w:firstLine="0"/>
        <w:rPr>
          <w:rFonts w:ascii="Arial" w:hAnsi="Arial" w:cs="Arial"/>
          <w:b w:val="0"/>
          <w:bCs/>
          <w:i w:val="0"/>
          <w:iCs/>
        </w:rPr>
      </w:pPr>
      <w:r w:rsidRPr="009924DC">
        <w:rPr>
          <w:rFonts w:ascii="Arial" w:hAnsi="Arial" w:cs="Arial"/>
          <w:b w:val="0"/>
          <w:bCs/>
          <w:i w:val="0"/>
          <w:iCs/>
        </w:rPr>
        <w:t>Vir: Ministrstvo za finance.</w:t>
      </w:r>
    </w:p>
    <w:p w14:paraId="208BA166" w14:textId="77777777" w:rsidR="005A48F1" w:rsidRPr="00BD4849" w:rsidRDefault="005A48F1" w:rsidP="005A48F1"/>
    <w:p w14:paraId="27BB9A33" w14:textId="4D1D1780" w:rsidR="005A48F1" w:rsidRDefault="005A48F1" w:rsidP="005A48F1"/>
    <w:p w14:paraId="701B6AD4" w14:textId="66DE4558" w:rsidR="009924DC" w:rsidRDefault="009924DC" w:rsidP="005A48F1"/>
    <w:p w14:paraId="78172465" w14:textId="2ADC3852" w:rsidR="009924DC" w:rsidRDefault="009924DC" w:rsidP="005A48F1"/>
    <w:p w14:paraId="5D695E8E" w14:textId="77777777" w:rsidR="009924DC" w:rsidRPr="00BD4849" w:rsidRDefault="009924DC" w:rsidP="005A48F1"/>
    <w:tbl>
      <w:tblPr>
        <w:tblStyle w:val="ListTable3-Accent1"/>
        <w:tblW w:w="9387" w:type="dxa"/>
        <w:tblLayout w:type="fixed"/>
        <w:tblLook w:val="04A0" w:firstRow="1" w:lastRow="0" w:firstColumn="1" w:lastColumn="0" w:noHBand="0" w:noVBand="1"/>
      </w:tblPr>
      <w:tblGrid>
        <w:gridCol w:w="4248"/>
        <w:gridCol w:w="1284"/>
        <w:gridCol w:w="1285"/>
        <w:gridCol w:w="1285"/>
        <w:gridCol w:w="1285"/>
      </w:tblGrid>
      <w:tr w:rsidR="005A48F1" w:rsidRPr="00BD4849" w14:paraId="51CBF954" w14:textId="77777777" w:rsidTr="009F1410">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4248" w:type="dxa"/>
            <w:shd w:val="clear" w:color="auto" w:fill="B4C6E7" w:themeFill="accent5" w:themeFillTint="66"/>
            <w:noWrap/>
            <w:hideMark/>
          </w:tcPr>
          <w:p w14:paraId="63176FB1" w14:textId="77777777" w:rsidR="005A48F1" w:rsidRPr="00BD4849" w:rsidRDefault="005A48F1" w:rsidP="009F1410">
            <w:pPr>
              <w:rPr>
                <w:rFonts w:ascii="Arial" w:eastAsia="Times New Roman" w:hAnsi="Arial" w:cs="Arial"/>
                <w:b w:val="0"/>
                <w:bCs w:val="0"/>
                <w:color w:val="auto"/>
                <w:sz w:val="20"/>
                <w:szCs w:val="20"/>
                <w:lang w:eastAsia="sl-SI"/>
              </w:rPr>
            </w:pPr>
            <w:r w:rsidRPr="00BD4849">
              <w:rPr>
                <w:rFonts w:ascii="Arial" w:eastAsia="Times New Roman" w:hAnsi="Arial" w:cs="Arial"/>
                <w:b w:val="0"/>
                <w:bCs w:val="0"/>
                <w:color w:val="auto"/>
                <w:sz w:val="20"/>
                <w:szCs w:val="20"/>
                <w:lang w:eastAsia="sl-SI"/>
              </w:rPr>
              <w:lastRenderedPageBreak/>
              <w:t>Tabela 4c.i. Izdatki sektorja država po funkciji (izobraževanje, zdravstvo in zaposlovanje)</w:t>
            </w:r>
          </w:p>
        </w:tc>
        <w:tc>
          <w:tcPr>
            <w:tcW w:w="1284" w:type="dxa"/>
            <w:shd w:val="clear" w:color="auto" w:fill="B4C6E7" w:themeFill="accent5" w:themeFillTint="66"/>
            <w:hideMark/>
          </w:tcPr>
          <w:p w14:paraId="1524B8FD" w14:textId="77777777" w:rsidR="005A48F1" w:rsidRPr="00BD4849" w:rsidRDefault="005A48F1" w:rsidP="009F141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lang w:eastAsia="sl-SI"/>
              </w:rPr>
            </w:pPr>
            <w:r w:rsidRPr="00BD4849">
              <w:rPr>
                <w:rFonts w:ascii="Arial" w:eastAsia="Times New Roman" w:hAnsi="Arial" w:cs="Arial"/>
                <w:b w:val="0"/>
                <w:bCs w:val="0"/>
                <w:color w:val="auto"/>
                <w:sz w:val="20"/>
                <w:szCs w:val="20"/>
                <w:lang w:eastAsia="sl-SI"/>
              </w:rPr>
              <w:t xml:space="preserve">2023 </w:t>
            </w:r>
          </w:p>
          <w:p w14:paraId="3CD973AA" w14:textId="77777777" w:rsidR="005A48F1" w:rsidRPr="00BD4849" w:rsidRDefault="005A48F1" w:rsidP="009F141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lang w:eastAsia="sl-SI"/>
              </w:rPr>
            </w:pPr>
            <w:r w:rsidRPr="00BD4849">
              <w:rPr>
                <w:rFonts w:ascii="Arial" w:eastAsia="Times New Roman" w:hAnsi="Arial" w:cs="Arial"/>
                <w:b w:val="0"/>
                <w:bCs w:val="0"/>
                <w:color w:val="auto"/>
                <w:sz w:val="20"/>
                <w:szCs w:val="20"/>
                <w:lang w:eastAsia="sl-SI"/>
              </w:rPr>
              <w:t>(% BDP)</w:t>
            </w:r>
          </w:p>
        </w:tc>
        <w:tc>
          <w:tcPr>
            <w:tcW w:w="1285" w:type="dxa"/>
            <w:shd w:val="clear" w:color="auto" w:fill="B4C6E7" w:themeFill="accent5" w:themeFillTint="66"/>
            <w:hideMark/>
          </w:tcPr>
          <w:p w14:paraId="7D370B9C" w14:textId="77777777" w:rsidR="005A48F1" w:rsidRPr="00BD4849" w:rsidRDefault="005A48F1" w:rsidP="009F141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lang w:eastAsia="sl-SI"/>
              </w:rPr>
            </w:pPr>
            <w:r w:rsidRPr="00BD4849">
              <w:rPr>
                <w:rFonts w:ascii="Arial" w:eastAsia="Times New Roman" w:hAnsi="Arial" w:cs="Arial"/>
                <w:b w:val="0"/>
                <w:bCs w:val="0"/>
                <w:color w:val="auto"/>
                <w:sz w:val="20"/>
                <w:szCs w:val="20"/>
                <w:lang w:eastAsia="sl-SI"/>
              </w:rPr>
              <w:t xml:space="preserve">2023 </w:t>
            </w:r>
          </w:p>
          <w:p w14:paraId="43C54B1F" w14:textId="77777777" w:rsidR="005A48F1" w:rsidRPr="00BD4849" w:rsidRDefault="005A48F1" w:rsidP="009F141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lang w:eastAsia="sl-SI"/>
              </w:rPr>
            </w:pPr>
            <w:r w:rsidRPr="00BD4849">
              <w:rPr>
                <w:rFonts w:ascii="Arial" w:eastAsia="Times New Roman" w:hAnsi="Arial" w:cs="Arial"/>
                <w:b w:val="0"/>
                <w:bCs w:val="0"/>
                <w:color w:val="auto"/>
                <w:sz w:val="20"/>
                <w:szCs w:val="20"/>
                <w:lang w:eastAsia="sl-SI"/>
              </w:rPr>
              <w:t>(mio EUR)</w:t>
            </w:r>
          </w:p>
        </w:tc>
        <w:tc>
          <w:tcPr>
            <w:tcW w:w="1285" w:type="dxa"/>
            <w:shd w:val="clear" w:color="auto" w:fill="B4C6E7" w:themeFill="accent5" w:themeFillTint="66"/>
            <w:hideMark/>
          </w:tcPr>
          <w:p w14:paraId="02DFAA06" w14:textId="77777777" w:rsidR="005A48F1" w:rsidRPr="00BD4849" w:rsidRDefault="005A48F1" w:rsidP="009F141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lang w:eastAsia="sl-SI"/>
              </w:rPr>
            </w:pPr>
            <w:r w:rsidRPr="00BD4849">
              <w:rPr>
                <w:rFonts w:ascii="Arial" w:eastAsia="Times New Roman" w:hAnsi="Arial" w:cs="Arial"/>
                <w:b w:val="0"/>
                <w:bCs w:val="0"/>
                <w:color w:val="auto"/>
                <w:sz w:val="20"/>
                <w:szCs w:val="20"/>
                <w:lang w:eastAsia="sl-SI"/>
              </w:rPr>
              <w:t xml:space="preserve">2024 </w:t>
            </w:r>
          </w:p>
          <w:p w14:paraId="598A5FC6" w14:textId="77777777" w:rsidR="005A48F1" w:rsidRPr="00BD4849" w:rsidRDefault="005A48F1" w:rsidP="009F141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lang w:eastAsia="sl-SI"/>
              </w:rPr>
            </w:pPr>
            <w:r w:rsidRPr="00BD4849">
              <w:rPr>
                <w:rFonts w:ascii="Arial" w:eastAsia="Times New Roman" w:hAnsi="Arial" w:cs="Arial"/>
                <w:b w:val="0"/>
                <w:bCs w:val="0"/>
                <w:color w:val="auto"/>
                <w:sz w:val="20"/>
                <w:szCs w:val="20"/>
                <w:lang w:eastAsia="sl-SI"/>
              </w:rPr>
              <w:t>(% BDP)</w:t>
            </w:r>
          </w:p>
        </w:tc>
        <w:tc>
          <w:tcPr>
            <w:tcW w:w="1285" w:type="dxa"/>
            <w:shd w:val="clear" w:color="auto" w:fill="B4C6E7" w:themeFill="accent5" w:themeFillTint="66"/>
            <w:hideMark/>
          </w:tcPr>
          <w:p w14:paraId="2C892698" w14:textId="77777777" w:rsidR="005A48F1" w:rsidRPr="00BD4849" w:rsidRDefault="005A48F1" w:rsidP="009F141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lang w:eastAsia="sl-SI"/>
              </w:rPr>
            </w:pPr>
            <w:r w:rsidRPr="00BD4849">
              <w:rPr>
                <w:rFonts w:ascii="Arial" w:eastAsia="Times New Roman" w:hAnsi="Arial" w:cs="Arial"/>
                <w:b w:val="0"/>
                <w:bCs w:val="0"/>
                <w:color w:val="auto"/>
                <w:sz w:val="20"/>
                <w:szCs w:val="20"/>
                <w:lang w:eastAsia="sl-SI"/>
              </w:rPr>
              <w:t xml:space="preserve">2024 </w:t>
            </w:r>
          </w:p>
          <w:p w14:paraId="249A62C6" w14:textId="77777777" w:rsidR="005A48F1" w:rsidRPr="00BD4849" w:rsidRDefault="005A48F1" w:rsidP="009F141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lang w:eastAsia="sl-SI"/>
              </w:rPr>
            </w:pPr>
            <w:r w:rsidRPr="00BD4849">
              <w:rPr>
                <w:rFonts w:ascii="Arial" w:eastAsia="Times New Roman" w:hAnsi="Arial" w:cs="Arial"/>
                <w:b w:val="0"/>
                <w:bCs w:val="0"/>
                <w:color w:val="auto"/>
                <w:sz w:val="20"/>
                <w:szCs w:val="20"/>
                <w:lang w:eastAsia="sl-SI"/>
              </w:rPr>
              <w:t>(mio EUR)</w:t>
            </w:r>
          </w:p>
        </w:tc>
      </w:tr>
      <w:tr w:rsidR="005A48F1" w:rsidRPr="00BD4849" w14:paraId="5B56233F"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248" w:type="dxa"/>
            <w:hideMark/>
          </w:tcPr>
          <w:p w14:paraId="1928FC96"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Izobraževanje</w:t>
            </w:r>
          </w:p>
        </w:tc>
        <w:tc>
          <w:tcPr>
            <w:tcW w:w="1284" w:type="dxa"/>
            <w:noWrap/>
            <w:hideMark/>
          </w:tcPr>
          <w:p w14:paraId="546EBDA3"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xml:space="preserve">                            5,6 </w:t>
            </w:r>
          </w:p>
        </w:tc>
        <w:tc>
          <w:tcPr>
            <w:tcW w:w="1285" w:type="dxa"/>
            <w:noWrap/>
            <w:hideMark/>
          </w:tcPr>
          <w:p w14:paraId="376E0A6E"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xml:space="preserve">           3.527,6 </w:t>
            </w:r>
          </w:p>
        </w:tc>
        <w:tc>
          <w:tcPr>
            <w:tcW w:w="1285" w:type="dxa"/>
            <w:noWrap/>
            <w:hideMark/>
          </w:tcPr>
          <w:p w14:paraId="1392ED3D"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xml:space="preserve">                            5,5 </w:t>
            </w:r>
          </w:p>
        </w:tc>
        <w:tc>
          <w:tcPr>
            <w:tcW w:w="1285" w:type="dxa"/>
            <w:noWrap/>
            <w:hideMark/>
          </w:tcPr>
          <w:p w14:paraId="06A3F762"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xml:space="preserve">           3.719,9 </w:t>
            </w:r>
          </w:p>
        </w:tc>
      </w:tr>
      <w:tr w:rsidR="005A48F1" w:rsidRPr="00BD4849" w14:paraId="4CA802DB" w14:textId="77777777" w:rsidTr="009F1410">
        <w:trPr>
          <w:trHeight w:val="300"/>
        </w:trPr>
        <w:tc>
          <w:tcPr>
            <w:cnfStyle w:val="001000000000" w:firstRow="0" w:lastRow="0" w:firstColumn="1" w:lastColumn="0" w:oddVBand="0" w:evenVBand="0" w:oddHBand="0" w:evenHBand="0" w:firstRowFirstColumn="0" w:firstRowLastColumn="0" w:lastRowFirstColumn="0" w:lastRowLastColumn="0"/>
            <w:tcW w:w="4248" w:type="dxa"/>
            <w:hideMark/>
          </w:tcPr>
          <w:p w14:paraId="12930E04"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Zdravstveno varstvo</w:t>
            </w:r>
          </w:p>
        </w:tc>
        <w:tc>
          <w:tcPr>
            <w:tcW w:w="1284" w:type="dxa"/>
            <w:noWrap/>
            <w:hideMark/>
          </w:tcPr>
          <w:p w14:paraId="2E8D7909"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xml:space="preserve">                            7,8 </w:t>
            </w:r>
          </w:p>
        </w:tc>
        <w:tc>
          <w:tcPr>
            <w:tcW w:w="1285" w:type="dxa"/>
            <w:noWrap/>
            <w:hideMark/>
          </w:tcPr>
          <w:p w14:paraId="04690FFC"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xml:space="preserve">           4.881,0 </w:t>
            </w:r>
          </w:p>
        </w:tc>
        <w:tc>
          <w:tcPr>
            <w:tcW w:w="1285" w:type="dxa"/>
            <w:noWrap/>
            <w:hideMark/>
          </w:tcPr>
          <w:p w14:paraId="4D96F57C"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xml:space="preserve">                            7,6 </w:t>
            </w:r>
          </w:p>
        </w:tc>
        <w:tc>
          <w:tcPr>
            <w:tcW w:w="1285" w:type="dxa"/>
            <w:noWrap/>
            <w:hideMark/>
          </w:tcPr>
          <w:p w14:paraId="33548611"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xml:space="preserve">           5.146,4 </w:t>
            </w:r>
          </w:p>
        </w:tc>
      </w:tr>
      <w:tr w:rsidR="005A48F1" w:rsidRPr="00BD4849" w14:paraId="234AC329"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248" w:type="dxa"/>
            <w:hideMark/>
          </w:tcPr>
          <w:p w14:paraId="64826CBD" w14:textId="77777777" w:rsidR="005A48F1" w:rsidRPr="00BD4849" w:rsidRDefault="005A48F1" w:rsidP="009F1410">
            <w:pPr>
              <w:rPr>
                <w:rFonts w:ascii="Arial" w:eastAsia="Times New Roman" w:hAnsi="Arial" w:cs="Arial"/>
                <w:b w:val="0"/>
                <w:bCs w:val="0"/>
                <w:sz w:val="20"/>
                <w:szCs w:val="20"/>
                <w:vertAlign w:val="superscript"/>
                <w:lang w:eastAsia="sl-SI"/>
              </w:rPr>
            </w:pPr>
            <w:r w:rsidRPr="00BD4849">
              <w:rPr>
                <w:rFonts w:ascii="Arial" w:eastAsia="Times New Roman" w:hAnsi="Arial" w:cs="Arial"/>
                <w:b w:val="0"/>
                <w:bCs w:val="0"/>
                <w:sz w:val="20"/>
                <w:szCs w:val="20"/>
                <w:lang w:eastAsia="sl-SI"/>
              </w:rPr>
              <w:t>Zaposlovanje</w:t>
            </w:r>
            <w:r w:rsidRPr="00BD4849">
              <w:rPr>
                <w:rFonts w:ascii="Arial" w:eastAsia="Times New Roman" w:hAnsi="Arial" w:cs="Arial"/>
                <w:b w:val="0"/>
                <w:bCs w:val="0"/>
                <w:sz w:val="20"/>
                <w:szCs w:val="20"/>
                <w:vertAlign w:val="superscript"/>
                <w:lang w:eastAsia="sl-SI"/>
              </w:rPr>
              <w:t>1</w:t>
            </w:r>
          </w:p>
        </w:tc>
        <w:tc>
          <w:tcPr>
            <w:tcW w:w="1284" w:type="dxa"/>
            <w:noWrap/>
            <w:hideMark/>
          </w:tcPr>
          <w:p w14:paraId="7A927F0D"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p>
        </w:tc>
        <w:tc>
          <w:tcPr>
            <w:tcW w:w="1285" w:type="dxa"/>
            <w:noWrap/>
            <w:hideMark/>
          </w:tcPr>
          <w:p w14:paraId="6121013E"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p>
        </w:tc>
        <w:tc>
          <w:tcPr>
            <w:tcW w:w="1285" w:type="dxa"/>
            <w:noWrap/>
            <w:hideMark/>
          </w:tcPr>
          <w:p w14:paraId="4A399A8A"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p>
        </w:tc>
        <w:tc>
          <w:tcPr>
            <w:tcW w:w="1285" w:type="dxa"/>
            <w:noWrap/>
            <w:hideMark/>
          </w:tcPr>
          <w:p w14:paraId="1EEA7301"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p>
        </w:tc>
      </w:tr>
    </w:tbl>
    <w:p w14:paraId="062DAE8D" w14:textId="77777777" w:rsidR="005A48F1" w:rsidRPr="009924DC" w:rsidRDefault="005A48F1" w:rsidP="009924DC">
      <w:pPr>
        <w:pStyle w:val="Caption"/>
        <w:spacing w:after="0"/>
        <w:ind w:left="0" w:firstLine="0"/>
        <w:rPr>
          <w:rFonts w:ascii="Arial" w:hAnsi="Arial" w:cs="Arial"/>
          <w:b w:val="0"/>
          <w:bCs/>
          <w:i w:val="0"/>
          <w:iCs/>
        </w:rPr>
      </w:pPr>
      <w:r w:rsidRPr="009924DC">
        <w:rPr>
          <w:rFonts w:ascii="Arial" w:hAnsi="Arial" w:cs="Arial"/>
          <w:b w:val="0"/>
          <w:bCs/>
          <w:i w:val="0"/>
          <w:iCs/>
        </w:rPr>
        <w:t xml:space="preserve">Opomba: </w:t>
      </w:r>
      <w:r w:rsidRPr="009924DC">
        <w:rPr>
          <w:rFonts w:ascii="Arial" w:hAnsi="Arial" w:cs="Arial"/>
          <w:b w:val="0"/>
          <w:bCs/>
          <w:i w:val="0"/>
          <w:iCs/>
          <w:vertAlign w:val="superscript"/>
        </w:rPr>
        <w:t>1</w:t>
      </w:r>
      <w:r w:rsidRPr="009924DC">
        <w:rPr>
          <w:rFonts w:ascii="Arial" w:hAnsi="Arial" w:cs="Arial"/>
          <w:b w:val="0"/>
          <w:bCs/>
          <w:i w:val="0"/>
          <w:iCs/>
        </w:rPr>
        <w:t xml:space="preserve"> Ni ocene na podrobni ravni.</w:t>
      </w:r>
    </w:p>
    <w:p w14:paraId="218E029C" w14:textId="49B47E83" w:rsidR="005A48F1" w:rsidRDefault="005A48F1" w:rsidP="009924DC">
      <w:pPr>
        <w:pStyle w:val="Caption"/>
        <w:ind w:left="0" w:firstLine="0"/>
        <w:rPr>
          <w:rFonts w:ascii="Arial" w:hAnsi="Arial" w:cs="Arial"/>
          <w:b w:val="0"/>
          <w:bCs/>
          <w:i w:val="0"/>
          <w:iCs/>
        </w:rPr>
      </w:pPr>
      <w:r w:rsidRPr="009924DC">
        <w:rPr>
          <w:rFonts w:ascii="Arial" w:hAnsi="Arial" w:cs="Arial"/>
          <w:b w:val="0"/>
          <w:bCs/>
          <w:i w:val="0"/>
          <w:iCs/>
        </w:rPr>
        <w:t>Vir: Ministrstvo za finance.</w:t>
      </w:r>
    </w:p>
    <w:p w14:paraId="2C663585" w14:textId="77777777" w:rsidR="009924DC" w:rsidRPr="009924DC" w:rsidRDefault="009924DC" w:rsidP="009924DC">
      <w:pPr>
        <w:rPr>
          <w:lang w:eastAsia="sl-SI"/>
        </w:rPr>
      </w:pPr>
    </w:p>
    <w:tbl>
      <w:tblPr>
        <w:tblStyle w:val="ListTable3-Accent1"/>
        <w:tblW w:w="9356" w:type="dxa"/>
        <w:tblLook w:val="04A0" w:firstRow="1" w:lastRow="0" w:firstColumn="1" w:lastColumn="0" w:noHBand="0" w:noVBand="1"/>
      </w:tblPr>
      <w:tblGrid>
        <w:gridCol w:w="4351"/>
        <w:gridCol w:w="1365"/>
        <w:gridCol w:w="1820"/>
        <w:gridCol w:w="1820"/>
      </w:tblGrid>
      <w:tr w:rsidR="005A48F1" w:rsidRPr="00BD4849" w14:paraId="78124398" w14:textId="77777777" w:rsidTr="009F1410">
        <w:trPr>
          <w:cnfStyle w:val="100000000000" w:firstRow="1" w:lastRow="0" w:firstColumn="0" w:lastColumn="0" w:oddVBand="0" w:evenVBand="0" w:oddHBand="0" w:evenHBand="0" w:firstRowFirstColumn="0" w:firstRowLastColumn="0" w:lastRowFirstColumn="0" w:lastRowLastColumn="0"/>
          <w:trHeight w:val="525"/>
        </w:trPr>
        <w:tc>
          <w:tcPr>
            <w:cnfStyle w:val="001000000100" w:firstRow="0" w:lastRow="0" w:firstColumn="1" w:lastColumn="0" w:oddVBand="0" w:evenVBand="0" w:oddHBand="0" w:evenHBand="0" w:firstRowFirstColumn="1" w:firstRowLastColumn="0" w:lastRowFirstColumn="0" w:lastRowLastColumn="0"/>
            <w:tcW w:w="4351" w:type="dxa"/>
            <w:shd w:val="clear" w:color="auto" w:fill="B4C6E7" w:themeFill="accent5" w:themeFillTint="66"/>
            <w:noWrap/>
            <w:hideMark/>
          </w:tcPr>
          <w:p w14:paraId="6006D4AA" w14:textId="77777777" w:rsidR="005A48F1" w:rsidRPr="00BD4849" w:rsidRDefault="005A48F1" w:rsidP="009F1410">
            <w:pPr>
              <w:rPr>
                <w:rFonts w:ascii="Arial" w:eastAsia="Times New Roman" w:hAnsi="Arial" w:cs="Arial"/>
                <w:b w:val="0"/>
                <w:bCs w:val="0"/>
                <w:color w:val="auto"/>
                <w:sz w:val="20"/>
                <w:szCs w:val="20"/>
                <w:lang w:eastAsia="sl-SI"/>
              </w:rPr>
            </w:pPr>
            <w:r w:rsidRPr="00BD4849">
              <w:rPr>
                <w:rFonts w:ascii="Arial" w:eastAsia="Times New Roman" w:hAnsi="Arial" w:cs="Arial"/>
                <w:b w:val="0"/>
                <w:bCs w:val="0"/>
                <w:color w:val="auto"/>
                <w:sz w:val="20"/>
                <w:szCs w:val="20"/>
                <w:lang w:eastAsia="sl-SI"/>
              </w:rPr>
              <w:t>Tabela 4c.ii. Izdatki sektorja država po funkciji</w:t>
            </w:r>
          </w:p>
        </w:tc>
        <w:tc>
          <w:tcPr>
            <w:tcW w:w="1365" w:type="dxa"/>
            <w:shd w:val="clear" w:color="auto" w:fill="B4C6E7" w:themeFill="accent5" w:themeFillTint="66"/>
            <w:hideMark/>
          </w:tcPr>
          <w:p w14:paraId="01196E3B" w14:textId="77777777" w:rsidR="005A48F1" w:rsidRPr="00BD4849" w:rsidRDefault="005A48F1" w:rsidP="009F141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lang w:eastAsia="sl-SI"/>
              </w:rPr>
            </w:pPr>
            <w:r w:rsidRPr="00BD4849">
              <w:rPr>
                <w:rFonts w:ascii="Arial" w:eastAsia="Times New Roman" w:hAnsi="Arial" w:cs="Arial"/>
                <w:b w:val="0"/>
                <w:bCs w:val="0"/>
                <w:color w:val="auto"/>
                <w:sz w:val="20"/>
                <w:szCs w:val="20"/>
                <w:lang w:eastAsia="sl-SI"/>
              </w:rPr>
              <w:t>COFOG</w:t>
            </w:r>
          </w:p>
          <w:p w14:paraId="47A67333" w14:textId="77777777" w:rsidR="005A48F1" w:rsidRPr="00BD4849" w:rsidRDefault="005A48F1" w:rsidP="009F141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lang w:eastAsia="sl-SI"/>
              </w:rPr>
            </w:pPr>
            <w:r w:rsidRPr="00BD4849">
              <w:rPr>
                <w:rFonts w:ascii="Arial" w:eastAsia="Times New Roman" w:hAnsi="Arial" w:cs="Arial"/>
                <w:b w:val="0"/>
                <w:bCs w:val="0"/>
                <w:color w:val="auto"/>
                <w:sz w:val="20"/>
                <w:szCs w:val="20"/>
                <w:lang w:eastAsia="sl-SI"/>
              </w:rPr>
              <w:t>koda</w:t>
            </w:r>
          </w:p>
        </w:tc>
        <w:tc>
          <w:tcPr>
            <w:tcW w:w="1820" w:type="dxa"/>
            <w:shd w:val="clear" w:color="auto" w:fill="B4C6E7" w:themeFill="accent5" w:themeFillTint="66"/>
            <w:hideMark/>
          </w:tcPr>
          <w:p w14:paraId="579E33FC" w14:textId="77777777" w:rsidR="005A48F1" w:rsidRPr="00BD4849" w:rsidRDefault="005A48F1" w:rsidP="009F141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lang w:eastAsia="sl-SI"/>
              </w:rPr>
            </w:pPr>
            <w:r w:rsidRPr="00BD4849">
              <w:rPr>
                <w:rFonts w:ascii="Arial" w:eastAsia="Times New Roman" w:hAnsi="Arial" w:cs="Arial"/>
                <w:b w:val="0"/>
                <w:bCs w:val="0"/>
                <w:color w:val="auto"/>
                <w:sz w:val="20"/>
                <w:szCs w:val="20"/>
                <w:lang w:eastAsia="sl-SI"/>
              </w:rPr>
              <w:t xml:space="preserve">2023 </w:t>
            </w:r>
          </w:p>
          <w:p w14:paraId="6B3D2249" w14:textId="77777777" w:rsidR="005A48F1" w:rsidRPr="00BD4849" w:rsidRDefault="005A48F1" w:rsidP="009F141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lang w:eastAsia="sl-SI"/>
              </w:rPr>
            </w:pPr>
            <w:r w:rsidRPr="00BD4849">
              <w:rPr>
                <w:rFonts w:ascii="Arial" w:eastAsia="Times New Roman" w:hAnsi="Arial" w:cs="Arial"/>
                <w:b w:val="0"/>
                <w:bCs w:val="0"/>
                <w:color w:val="auto"/>
                <w:sz w:val="20"/>
                <w:szCs w:val="20"/>
                <w:lang w:eastAsia="sl-SI"/>
              </w:rPr>
              <w:t>(% BDP)</w:t>
            </w:r>
          </w:p>
        </w:tc>
        <w:tc>
          <w:tcPr>
            <w:tcW w:w="1820" w:type="dxa"/>
            <w:shd w:val="clear" w:color="auto" w:fill="B4C6E7" w:themeFill="accent5" w:themeFillTint="66"/>
            <w:hideMark/>
          </w:tcPr>
          <w:p w14:paraId="23593F43" w14:textId="77777777" w:rsidR="005A48F1" w:rsidRPr="00BD4849" w:rsidRDefault="005A48F1" w:rsidP="009F141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lang w:eastAsia="sl-SI"/>
              </w:rPr>
            </w:pPr>
            <w:r w:rsidRPr="00BD4849">
              <w:rPr>
                <w:rFonts w:ascii="Arial" w:eastAsia="Times New Roman" w:hAnsi="Arial" w:cs="Arial"/>
                <w:b w:val="0"/>
                <w:bCs w:val="0"/>
                <w:color w:val="auto"/>
                <w:sz w:val="20"/>
                <w:szCs w:val="20"/>
                <w:lang w:eastAsia="sl-SI"/>
              </w:rPr>
              <w:t>2024</w:t>
            </w:r>
          </w:p>
          <w:p w14:paraId="31DCA0D1" w14:textId="77777777" w:rsidR="005A48F1" w:rsidRPr="00BD4849" w:rsidRDefault="005A48F1" w:rsidP="009F141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lang w:eastAsia="sl-SI"/>
              </w:rPr>
            </w:pPr>
            <w:r w:rsidRPr="00BD4849">
              <w:rPr>
                <w:rFonts w:ascii="Arial" w:eastAsia="Times New Roman" w:hAnsi="Arial" w:cs="Arial"/>
                <w:b w:val="0"/>
                <w:bCs w:val="0"/>
                <w:color w:val="auto"/>
                <w:sz w:val="20"/>
                <w:szCs w:val="20"/>
                <w:lang w:eastAsia="sl-SI"/>
              </w:rPr>
              <w:t>(% BDP)</w:t>
            </w:r>
          </w:p>
        </w:tc>
      </w:tr>
      <w:tr w:rsidR="005A48F1" w:rsidRPr="00BD4849" w14:paraId="573046C0"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51" w:type="dxa"/>
            <w:hideMark/>
          </w:tcPr>
          <w:p w14:paraId="6FB81DF8"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1. Javna uprava</w:t>
            </w:r>
          </w:p>
        </w:tc>
        <w:tc>
          <w:tcPr>
            <w:tcW w:w="1365" w:type="dxa"/>
            <w:hideMark/>
          </w:tcPr>
          <w:p w14:paraId="0562A7C3"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1</w:t>
            </w:r>
          </w:p>
        </w:tc>
        <w:tc>
          <w:tcPr>
            <w:tcW w:w="1820" w:type="dxa"/>
            <w:noWrap/>
            <w:hideMark/>
          </w:tcPr>
          <w:p w14:paraId="34CA9046"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5,8</w:t>
            </w:r>
          </w:p>
        </w:tc>
        <w:tc>
          <w:tcPr>
            <w:tcW w:w="1820" w:type="dxa"/>
            <w:noWrap/>
            <w:hideMark/>
          </w:tcPr>
          <w:p w14:paraId="5A0D9C41"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5,7</w:t>
            </w:r>
          </w:p>
        </w:tc>
      </w:tr>
      <w:tr w:rsidR="005A48F1" w:rsidRPr="00BD4849" w14:paraId="3348610B" w14:textId="77777777" w:rsidTr="009F1410">
        <w:trPr>
          <w:trHeight w:val="300"/>
        </w:trPr>
        <w:tc>
          <w:tcPr>
            <w:cnfStyle w:val="001000000000" w:firstRow="0" w:lastRow="0" w:firstColumn="1" w:lastColumn="0" w:oddVBand="0" w:evenVBand="0" w:oddHBand="0" w:evenHBand="0" w:firstRowFirstColumn="0" w:firstRowLastColumn="0" w:lastRowFirstColumn="0" w:lastRowLastColumn="0"/>
            <w:tcW w:w="4351" w:type="dxa"/>
            <w:hideMark/>
          </w:tcPr>
          <w:p w14:paraId="7217051F"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2. Obramba</w:t>
            </w:r>
          </w:p>
        </w:tc>
        <w:tc>
          <w:tcPr>
            <w:tcW w:w="1365" w:type="dxa"/>
            <w:hideMark/>
          </w:tcPr>
          <w:p w14:paraId="782C5A23"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2</w:t>
            </w:r>
          </w:p>
        </w:tc>
        <w:tc>
          <w:tcPr>
            <w:tcW w:w="1820" w:type="dxa"/>
            <w:noWrap/>
            <w:hideMark/>
          </w:tcPr>
          <w:p w14:paraId="588AF5DC"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1,4</w:t>
            </w:r>
          </w:p>
        </w:tc>
        <w:tc>
          <w:tcPr>
            <w:tcW w:w="1820" w:type="dxa"/>
            <w:noWrap/>
            <w:hideMark/>
          </w:tcPr>
          <w:p w14:paraId="6606F095"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1,4</w:t>
            </w:r>
          </w:p>
        </w:tc>
      </w:tr>
      <w:tr w:rsidR="005A48F1" w:rsidRPr="00BD4849" w14:paraId="47DA9EB2"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51" w:type="dxa"/>
            <w:hideMark/>
          </w:tcPr>
          <w:p w14:paraId="7ABF9F76"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3. Javni red in varnost</w:t>
            </w:r>
          </w:p>
        </w:tc>
        <w:tc>
          <w:tcPr>
            <w:tcW w:w="1365" w:type="dxa"/>
            <w:hideMark/>
          </w:tcPr>
          <w:p w14:paraId="2455621D"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3</w:t>
            </w:r>
          </w:p>
        </w:tc>
        <w:tc>
          <w:tcPr>
            <w:tcW w:w="1820" w:type="dxa"/>
            <w:noWrap/>
            <w:hideMark/>
          </w:tcPr>
          <w:p w14:paraId="7AA1A9E7"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1,8</w:t>
            </w:r>
          </w:p>
        </w:tc>
        <w:tc>
          <w:tcPr>
            <w:tcW w:w="1820" w:type="dxa"/>
            <w:noWrap/>
            <w:hideMark/>
          </w:tcPr>
          <w:p w14:paraId="27000C0A"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1,7</w:t>
            </w:r>
          </w:p>
        </w:tc>
      </w:tr>
      <w:tr w:rsidR="005A48F1" w:rsidRPr="00BD4849" w14:paraId="17E95E8B" w14:textId="77777777" w:rsidTr="009F1410">
        <w:trPr>
          <w:trHeight w:val="300"/>
        </w:trPr>
        <w:tc>
          <w:tcPr>
            <w:cnfStyle w:val="001000000000" w:firstRow="0" w:lastRow="0" w:firstColumn="1" w:lastColumn="0" w:oddVBand="0" w:evenVBand="0" w:oddHBand="0" w:evenHBand="0" w:firstRowFirstColumn="0" w:firstRowLastColumn="0" w:lastRowFirstColumn="0" w:lastRowLastColumn="0"/>
            <w:tcW w:w="4351" w:type="dxa"/>
            <w:hideMark/>
          </w:tcPr>
          <w:p w14:paraId="2906DBF2"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4. Ekonomske dejavnosti</w:t>
            </w:r>
          </w:p>
        </w:tc>
        <w:tc>
          <w:tcPr>
            <w:tcW w:w="1365" w:type="dxa"/>
            <w:hideMark/>
          </w:tcPr>
          <w:p w14:paraId="07309F1F"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4</w:t>
            </w:r>
          </w:p>
        </w:tc>
        <w:tc>
          <w:tcPr>
            <w:tcW w:w="1820" w:type="dxa"/>
            <w:noWrap/>
            <w:hideMark/>
          </w:tcPr>
          <w:p w14:paraId="6F551152"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6,0</w:t>
            </w:r>
          </w:p>
        </w:tc>
        <w:tc>
          <w:tcPr>
            <w:tcW w:w="1820" w:type="dxa"/>
            <w:noWrap/>
            <w:hideMark/>
          </w:tcPr>
          <w:p w14:paraId="2D86654F"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5,9</w:t>
            </w:r>
          </w:p>
        </w:tc>
      </w:tr>
      <w:tr w:rsidR="005A48F1" w:rsidRPr="00BD4849" w14:paraId="58248F65"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51" w:type="dxa"/>
            <w:hideMark/>
          </w:tcPr>
          <w:p w14:paraId="6EDCC1FA"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5. Varstvo okolja</w:t>
            </w:r>
          </w:p>
        </w:tc>
        <w:tc>
          <w:tcPr>
            <w:tcW w:w="1365" w:type="dxa"/>
            <w:hideMark/>
          </w:tcPr>
          <w:p w14:paraId="260A789A"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5</w:t>
            </w:r>
          </w:p>
        </w:tc>
        <w:tc>
          <w:tcPr>
            <w:tcW w:w="1820" w:type="dxa"/>
            <w:noWrap/>
            <w:hideMark/>
          </w:tcPr>
          <w:p w14:paraId="7AC16B42"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0,9</w:t>
            </w:r>
          </w:p>
        </w:tc>
        <w:tc>
          <w:tcPr>
            <w:tcW w:w="1820" w:type="dxa"/>
            <w:noWrap/>
            <w:hideMark/>
          </w:tcPr>
          <w:p w14:paraId="693CAF78"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0,8</w:t>
            </w:r>
          </w:p>
        </w:tc>
      </w:tr>
      <w:tr w:rsidR="005A48F1" w:rsidRPr="00BD4849" w14:paraId="6DEC1D93" w14:textId="77777777" w:rsidTr="009F1410">
        <w:trPr>
          <w:trHeight w:val="300"/>
        </w:trPr>
        <w:tc>
          <w:tcPr>
            <w:cnfStyle w:val="001000000000" w:firstRow="0" w:lastRow="0" w:firstColumn="1" w:lastColumn="0" w:oddVBand="0" w:evenVBand="0" w:oddHBand="0" w:evenHBand="0" w:firstRowFirstColumn="0" w:firstRowLastColumn="0" w:lastRowFirstColumn="0" w:lastRowLastColumn="0"/>
            <w:tcW w:w="4351" w:type="dxa"/>
            <w:hideMark/>
          </w:tcPr>
          <w:p w14:paraId="0D9DF8C0"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6. Stanovanjske dejavnosti in urejanje okolja</w:t>
            </w:r>
          </w:p>
        </w:tc>
        <w:tc>
          <w:tcPr>
            <w:tcW w:w="1365" w:type="dxa"/>
            <w:hideMark/>
          </w:tcPr>
          <w:p w14:paraId="005C962D"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6</w:t>
            </w:r>
          </w:p>
        </w:tc>
        <w:tc>
          <w:tcPr>
            <w:tcW w:w="1820" w:type="dxa"/>
            <w:noWrap/>
            <w:hideMark/>
          </w:tcPr>
          <w:p w14:paraId="7AF9E734"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0,6</w:t>
            </w:r>
          </w:p>
        </w:tc>
        <w:tc>
          <w:tcPr>
            <w:tcW w:w="1820" w:type="dxa"/>
            <w:noWrap/>
            <w:hideMark/>
          </w:tcPr>
          <w:p w14:paraId="6027B232"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0,6</w:t>
            </w:r>
          </w:p>
        </w:tc>
      </w:tr>
      <w:tr w:rsidR="005A48F1" w:rsidRPr="00BD4849" w14:paraId="299959E8"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51" w:type="dxa"/>
            <w:hideMark/>
          </w:tcPr>
          <w:p w14:paraId="16378272"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7. Zdravstvo</w:t>
            </w:r>
          </w:p>
        </w:tc>
        <w:tc>
          <w:tcPr>
            <w:tcW w:w="1365" w:type="dxa"/>
            <w:hideMark/>
          </w:tcPr>
          <w:p w14:paraId="6A941492"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7</w:t>
            </w:r>
          </w:p>
        </w:tc>
        <w:tc>
          <w:tcPr>
            <w:tcW w:w="1820" w:type="dxa"/>
            <w:noWrap/>
            <w:hideMark/>
          </w:tcPr>
          <w:p w14:paraId="4DE617FB"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7,8</w:t>
            </w:r>
          </w:p>
        </w:tc>
        <w:tc>
          <w:tcPr>
            <w:tcW w:w="1820" w:type="dxa"/>
            <w:noWrap/>
            <w:hideMark/>
          </w:tcPr>
          <w:p w14:paraId="0F32C417"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7,6</w:t>
            </w:r>
          </w:p>
        </w:tc>
      </w:tr>
      <w:tr w:rsidR="005A48F1" w:rsidRPr="00BD4849" w14:paraId="4705A209" w14:textId="77777777" w:rsidTr="009F1410">
        <w:trPr>
          <w:trHeight w:val="300"/>
        </w:trPr>
        <w:tc>
          <w:tcPr>
            <w:cnfStyle w:val="001000000000" w:firstRow="0" w:lastRow="0" w:firstColumn="1" w:lastColumn="0" w:oddVBand="0" w:evenVBand="0" w:oddHBand="0" w:evenHBand="0" w:firstRowFirstColumn="0" w:firstRowLastColumn="0" w:lastRowFirstColumn="0" w:lastRowLastColumn="0"/>
            <w:tcW w:w="4351" w:type="dxa"/>
            <w:hideMark/>
          </w:tcPr>
          <w:p w14:paraId="7B1AF1EB"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8. Rekreacija, kultura in religija</w:t>
            </w:r>
          </w:p>
        </w:tc>
        <w:tc>
          <w:tcPr>
            <w:tcW w:w="1365" w:type="dxa"/>
            <w:hideMark/>
          </w:tcPr>
          <w:p w14:paraId="53BFC000"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8</w:t>
            </w:r>
          </w:p>
        </w:tc>
        <w:tc>
          <w:tcPr>
            <w:tcW w:w="1820" w:type="dxa"/>
            <w:noWrap/>
            <w:hideMark/>
          </w:tcPr>
          <w:p w14:paraId="7E35B51C"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1,2</w:t>
            </w:r>
          </w:p>
        </w:tc>
        <w:tc>
          <w:tcPr>
            <w:tcW w:w="1820" w:type="dxa"/>
            <w:noWrap/>
            <w:hideMark/>
          </w:tcPr>
          <w:p w14:paraId="6D71EFB3"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1,2</w:t>
            </w:r>
          </w:p>
        </w:tc>
      </w:tr>
      <w:tr w:rsidR="005A48F1" w:rsidRPr="00BD4849" w14:paraId="6B06623B"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51" w:type="dxa"/>
            <w:hideMark/>
          </w:tcPr>
          <w:p w14:paraId="3E25FE6C"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9. Izobraževanje</w:t>
            </w:r>
          </w:p>
        </w:tc>
        <w:tc>
          <w:tcPr>
            <w:tcW w:w="1365" w:type="dxa"/>
            <w:hideMark/>
          </w:tcPr>
          <w:p w14:paraId="529E5631"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9</w:t>
            </w:r>
          </w:p>
        </w:tc>
        <w:tc>
          <w:tcPr>
            <w:tcW w:w="1820" w:type="dxa"/>
            <w:noWrap/>
            <w:hideMark/>
          </w:tcPr>
          <w:p w14:paraId="1F5D714A"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5,6</w:t>
            </w:r>
          </w:p>
        </w:tc>
        <w:tc>
          <w:tcPr>
            <w:tcW w:w="1820" w:type="dxa"/>
            <w:noWrap/>
            <w:hideMark/>
          </w:tcPr>
          <w:p w14:paraId="5ECFF567"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5,5</w:t>
            </w:r>
          </w:p>
        </w:tc>
      </w:tr>
      <w:tr w:rsidR="005A48F1" w:rsidRPr="00BD4849" w14:paraId="4045D877" w14:textId="77777777" w:rsidTr="009F1410">
        <w:trPr>
          <w:trHeight w:val="300"/>
        </w:trPr>
        <w:tc>
          <w:tcPr>
            <w:cnfStyle w:val="001000000000" w:firstRow="0" w:lastRow="0" w:firstColumn="1" w:lastColumn="0" w:oddVBand="0" w:evenVBand="0" w:oddHBand="0" w:evenHBand="0" w:firstRowFirstColumn="0" w:firstRowLastColumn="0" w:lastRowFirstColumn="0" w:lastRowLastColumn="0"/>
            <w:tcW w:w="4351" w:type="dxa"/>
            <w:hideMark/>
          </w:tcPr>
          <w:p w14:paraId="6EF36E43"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10. Socialna zaščita</w:t>
            </w:r>
          </w:p>
        </w:tc>
        <w:tc>
          <w:tcPr>
            <w:tcW w:w="1365" w:type="dxa"/>
            <w:hideMark/>
          </w:tcPr>
          <w:p w14:paraId="0BD9F1DC"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10</w:t>
            </w:r>
          </w:p>
        </w:tc>
        <w:tc>
          <w:tcPr>
            <w:tcW w:w="1820" w:type="dxa"/>
            <w:noWrap/>
            <w:hideMark/>
          </w:tcPr>
          <w:p w14:paraId="43203F97"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17,5</w:t>
            </w:r>
          </w:p>
        </w:tc>
        <w:tc>
          <w:tcPr>
            <w:tcW w:w="1820" w:type="dxa"/>
            <w:noWrap/>
            <w:hideMark/>
          </w:tcPr>
          <w:p w14:paraId="47346650"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17,2</w:t>
            </w:r>
          </w:p>
        </w:tc>
      </w:tr>
      <w:tr w:rsidR="005A48F1" w:rsidRPr="00BD4849" w14:paraId="7BDD2063"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51" w:type="dxa"/>
            <w:hideMark/>
          </w:tcPr>
          <w:p w14:paraId="528E190F"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11. Skupaj izdatki države (=2 v Tab. 4a)</w:t>
            </w:r>
          </w:p>
        </w:tc>
        <w:tc>
          <w:tcPr>
            <w:tcW w:w="1365" w:type="dxa"/>
            <w:hideMark/>
          </w:tcPr>
          <w:p w14:paraId="30642765"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TE</w:t>
            </w:r>
          </w:p>
        </w:tc>
        <w:tc>
          <w:tcPr>
            <w:tcW w:w="1820" w:type="dxa"/>
            <w:noWrap/>
            <w:hideMark/>
          </w:tcPr>
          <w:p w14:paraId="0D482A75"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48,4</w:t>
            </w:r>
          </w:p>
        </w:tc>
        <w:tc>
          <w:tcPr>
            <w:tcW w:w="1820" w:type="dxa"/>
            <w:noWrap/>
            <w:hideMark/>
          </w:tcPr>
          <w:p w14:paraId="24917909"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47,8</w:t>
            </w:r>
          </w:p>
        </w:tc>
      </w:tr>
    </w:tbl>
    <w:p w14:paraId="6D307929" w14:textId="33199B9D" w:rsidR="005A48F1" w:rsidRDefault="005A48F1" w:rsidP="009924DC">
      <w:pPr>
        <w:pStyle w:val="Caption"/>
        <w:ind w:left="0" w:firstLine="0"/>
        <w:rPr>
          <w:rFonts w:ascii="Arial" w:hAnsi="Arial" w:cs="Arial"/>
          <w:b w:val="0"/>
          <w:bCs/>
          <w:i w:val="0"/>
          <w:iCs/>
        </w:rPr>
      </w:pPr>
      <w:r w:rsidRPr="009924DC">
        <w:rPr>
          <w:rFonts w:ascii="Arial" w:hAnsi="Arial" w:cs="Arial"/>
          <w:b w:val="0"/>
          <w:bCs/>
          <w:i w:val="0"/>
          <w:iCs/>
        </w:rPr>
        <w:t>Vir: Ministrstvo za finance.</w:t>
      </w:r>
    </w:p>
    <w:p w14:paraId="7873A887" w14:textId="081542B9" w:rsidR="009924DC" w:rsidRDefault="009924DC" w:rsidP="009924DC">
      <w:pPr>
        <w:rPr>
          <w:lang w:eastAsia="sl-SI"/>
        </w:rPr>
      </w:pPr>
    </w:p>
    <w:p w14:paraId="32AD7A77" w14:textId="443FF71B" w:rsidR="009924DC" w:rsidRDefault="009924DC" w:rsidP="009924DC">
      <w:pPr>
        <w:rPr>
          <w:lang w:eastAsia="sl-SI"/>
        </w:rPr>
      </w:pPr>
    </w:p>
    <w:p w14:paraId="64F79269" w14:textId="08B8AA8D" w:rsidR="009924DC" w:rsidRDefault="009924DC" w:rsidP="009924DC">
      <w:pPr>
        <w:rPr>
          <w:lang w:eastAsia="sl-SI"/>
        </w:rPr>
      </w:pPr>
    </w:p>
    <w:p w14:paraId="2F73A5FC" w14:textId="02B38852" w:rsidR="009924DC" w:rsidRDefault="009924DC" w:rsidP="009924DC">
      <w:pPr>
        <w:rPr>
          <w:lang w:eastAsia="sl-SI"/>
        </w:rPr>
      </w:pPr>
    </w:p>
    <w:p w14:paraId="3C81681D" w14:textId="4B83EE76" w:rsidR="009924DC" w:rsidRDefault="009924DC" w:rsidP="009924DC">
      <w:pPr>
        <w:rPr>
          <w:lang w:eastAsia="sl-SI"/>
        </w:rPr>
      </w:pPr>
    </w:p>
    <w:p w14:paraId="1F60121D" w14:textId="43A3B5EE" w:rsidR="009924DC" w:rsidRDefault="009924DC" w:rsidP="009924DC">
      <w:pPr>
        <w:rPr>
          <w:lang w:eastAsia="sl-SI"/>
        </w:rPr>
      </w:pPr>
    </w:p>
    <w:p w14:paraId="7A874BAA" w14:textId="336EC1A7" w:rsidR="009924DC" w:rsidRDefault="009924DC" w:rsidP="009924DC">
      <w:pPr>
        <w:rPr>
          <w:lang w:eastAsia="sl-SI"/>
        </w:rPr>
      </w:pPr>
    </w:p>
    <w:p w14:paraId="3B07F81D" w14:textId="3BC63F36" w:rsidR="009924DC" w:rsidRDefault="009924DC" w:rsidP="009924DC">
      <w:pPr>
        <w:rPr>
          <w:lang w:eastAsia="sl-SI"/>
        </w:rPr>
      </w:pPr>
    </w:p>
    <w:p w14:paraId="3F73C9D1" w14:textId="5812308A" w:rsidR="009924DC" w:rsidRDefault="009924DC" w:rsidP="009924DC">
      <w:pPr>
        <w:rPr>
          <w:lang w:eastAsia="sl-SI"/>
        </w:rPr>
      </w:pPr>
    </w:p>
    <w:p w14:paraId="4CDD0143" w14:textId="55864D17" w:rsidR="009924DC" w:rsidRDefault="009924DC" w:rsidP="009924DC">
      <w:pPr>
        <w:rPr>
          <w:lang w:eastAsia="sl-SI"/>
        </w:rPr>
      </w:pPr>
    </w:p>
    <w:p w14:paraId="1C485ED3" w14:textId="1F6A749C" w:rsidR="009924DC" w:rsidRDefault="009924DC" w:rsidP="009924DC">
      <w:pPr>
        <w:rPr>
          <w:lang w:eastAsia="sl-SI"/>
        </w:rPr>
      </w:pPr>
    </w:p>
    <w:p w14:paraId="520841BD" w14:textId="21CECAED" w:rsidR="009924DC" w:rsidRDefault="009924DC" w:rsidP="009924DC">
      <w:pPr>
        <w:rPr>
          <w:lang w:eastAsia="sl-SI"/>
        </w:rPr>
      </w:pPr>
    </w:p>
    <w:p w14:paraId="154BA2B8" w14:textId="11AE1E4D" w:rsidR="009924DC" w:rsidRDefault="009924DC" w:rsidP="009924DC">
      <w:pPr>
        <w:rPr>
          <w:lang w:eastAsia="sl-SI"/>
        </w:rPr>
      </w:pPr>
    </w:p>
    <w:p w14:paraId="5FCD1EF3" w14:textId="5B294C35" w:rsidR="009924DC" w:rsidRDefault="009924DC" w:rsidP="009924DC">
      <w:pPr>
        <w:rPr>
          <w:lang w:eastAsia="sl-SI"/>
        </w:rPr>
      </w:pPr>
    </w:p>
    <w:p w14:paraId="5A5D77BA" w14:textId="77777777" w:rsidR="009924DC" w:rsidRPr="009924DC" w:rsidRDefault="009924DC" w:rsidP="009924DC">
      <w:pPr>
        <w:rPr>
          <w:lang w:eastAsia="sl-SI"/>
        </w:rPr>
      </w:pPr>
    </w:p>
    <w:p w14:paraId="77A51C31" w14:textId="77777777" w:rsidR="005A48F1" w:rsidRPr="00B33972" w:rsidRDefault="005A48F1" w:rsidP="005A48F1">
      <w:pPr>
        <w:spacing w:after="0" w:line="240" w:lineRule="auto"/>
        <w:rPr>
          <w:rFonts w:ascii="Arial" w:eastAsia="Times New Roman" w:hAnsi="Arial" w:cs="Arial"/>
          <w:lang w:eastAsia="sl-SI"/>
        </w:rPr>
      </w:pPr>
      <w:r w:rsidRPr="00B33972">
        <w:rPr>
          <w:rFonts w:ascii="Arial" w:eastAsia="Times New Roman" w:hAnsi="Arial" w:cs="Arial"/>
          <w:lang w:eastAsia="sl-SI"/>
        </w:rPr>
        <w:t>Tabela 5a: Diskrecijski ukrepi po metodologiji ESA 2010 – COVID</w:t>
      </w:r>
    </w:p>
    <w:tbl>
      <w:tblPr>
        <w:tblStyle w:val="LightList-Accent5"/>
        <w:tblW w:w="9356" w:type="dxa"/>
        <w:tblLayout w:type="fixed"/>
        <w:tblLook w:val="04A0" w:firstRow="1" w:lastRow="0" w:firstColumn="1" w:lastColumn="0" w:noHBand="0" w:noVBand="1"/>
      </w:tblPr>
      <w:tblGrid>
        <w:gridCol w:w="841"/>
        <w:gridCol w:w="3685"/>
        <w:gridCol w:w="567"/>
        <w:gridCol w:w="997"/>
        <w:gridCol w:w="653"/>
        <w:gridCol w:w="99"/>
        <w:gridCol w:w="554"/>
        <w:gridCol w:w="60"/>
        <w:gridCol w:w="593"/>
        <w:gridCol w:w="56"/>
        <w:gridCol w:w="597"/>
        <w:gridCol w:w="37"/>
        <w:gridCol w:w="617"/>
      </w:tblGrid>
      <w:tr w:rsidR="005A48F1" w:rsidRPr="00BD4849" w14:paraId="0E1B78BE" w14:textId="77777777" w:rsidTr="009F1410">
        <w:trPr>
          <w:cnfStyle w:val="100000000000" w:firstRow="1" w:lastRow="0" w:firstColumn="0" w:lastColumn="0" w:oddVBand="0" w:evenVBand="0" w:oddHBand="0" w:evenHBand="0" w:firstRowFirstColumn="0" w:firstRowLastColumn="0" w:lastRowFirstColumn="0" w:lastRowLastColumn="0"/>
          <w:trHeight w:val="164"/>
          <w:tblHeader/>
        </w:trPr>
        <w:tc>
          <w:tcPr>
            <w:cnfStyle w:val="001000000000" w:firstRow="0" w:lastRow="0" w:firstColumn="1" w:lastColumn="0" w:oddVBand="0" w:evenVBand="0" w:oddHBand="0" w:evenHBand="0" w:firstRowFirstColumn="0" w:firstRowLastColumn="0" w:lastRowFirstColumn="0" w:lastRowLastColumn="0"/>
            <w:tcW w:w="449" w:type="pct"/>
            <w:shd w:val="clear" w:color="auto" w:fill="B4C6E7" w:themeFill="accent5" w:themeFillTint="66"/>
            <w:hideMark/>
          </w:tcPr>
          <w:p w14:paraId="14377F36" w14:textId="77777777" w:rsidR="005A48F1" w:rsidRPr="00BD4849" w:rsidRDefault="005A48F1" w:rsidP="009F1410">
            <w:pPr>
              <w:spacing w:line="20" w:lineRule="atLeast"/>
              <w:rPr>
                <w:rFonts w:ascii="Arial" w:hAnsi="Arial" w:cs="Arial"/>
                <w:b w:val="0"/>
                <w:color w:val="auto"/>
                <w:sz w:val="20"/>
                <w:szCs w:val="20"/>
                <w:lang w:val="sl-SI"/>
              </w:rPr>
            </w:pPr>
            <w:r w:rsidRPr="00BD4849">
              <w:rPr>
                <w:rFonts w:ascii="Arial" w:hAnsi="Arial" w:cs="Arial"/>
                <w:b w:val="0"/>
                <w:color w:val="auto"/>
                <w:sz w:val="20"/>
                <w:szCs w:val="20"/>
                <w:lang w:val="sl-SI"/>
              </w:rPr>
              <w:t>Ukrep</w:t>
            </w:r>
          </w:p>
        </w:tc>
        <w:tc>
          <w:tcPr>
            <w:tcW w:w="1969" w:type="pct"/>
            <w:shd w:val="clear" w:color="auto" w:fill="B4C6E7" w:themeFill="accent5" w:themeFillTint="66"/>
            <w:hideMark/>
          </w:tcPr>
          <w:p w14:paraId="3017F463" w14:textId="77777777" w:rsidR="005A48F1" w:rsidRPr="00BD4849" w:rsidRDefault="005A48F1" w:rsidP="009F1410">
            <w:pPr>
              <w:spacing w:line="20" w:lineRule="atLeast"/>
              <w:cnfStyle w:val="100000000000" w:firstRow="1" w:lastRow="0" w:firstColumn="0" w:lastColumn="0" w:oddVBand="0" w:evenVBand="0" w:oddHBand="0" w:evenHBand="0" w:firstRowFirstColumn="0" w:firstRowLastColumn="0" w:lastRowFirstColumn="0" w:lastRowLastColumn="0"/>
              <w:rPr>
                <w:rFonts w:ascii="Arial" w:hAnsi="Arial" w:cs="Arial"/>
                <w:bCs w:val="0"/>
                <w:sz w:val="20"/>
                <w:szCs w:val="20"/>
                <w:lang w:val="sl-SI"/>
              </w:rPr>
            </w:pPr>
            <w:r w:rsidRPr="00BD4849">
              <w:rPr>
                <w:rFonts w:ascii="Arial" w:hAnsi="Arial" w:cs="Arial"/>
                <w:b w:val="0"/>
                <w:color w:val="auto"/>
                <w:sz w:val="20"/>
                <w:szCs w:val="20"/>
                <w:lang w:val="sl-SI"/>
              </w:rPr>
              <w:t>Opis</w:t>
            </w:r>
          </w:p>
        </w:tc>
        <w:tc>
          <w:tcPr>
            <w:tcW w:w="303" w:type="pct"/>
            <w:shd w:val="clear" w:color="auto" w:fill="B4C6E7" w:themeFill="accent5" w:themeFillTint="66"/>
            <w:hideMark/>
          </w:tcPr>
          <w:p w14:paraId="22075588" w14:textId="77777777" w:rsidR="005A48F1" w:rsidRPr="00BD4849" w:rsidRDefault="005A48F1" w:rsidP="009F1410">
            <w:pPr>
              <w:spacing w:line="20" w:lineRule="atLeast"/>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16"/>
                <w:szCs w:val="16"/>
                <w:lang w:val="sl-SI"/>
              </w:rPr>
            </w:pPr>
            <w:r w:rsidRPr="00BD4849">
              <w:rPr>
                <w:rFonts w:ascii="Arial" w:hAnsi="Arial" w:cs="Arial"/>
                <w:b w:val="0"/>
                <w:color w:val="auto"/>
                <w:sz w:val="16"/>
                <w:szCs w:val="16"/>
                <w:lang w:val="sl-SI"/>
              </w:rPr>
              <w:t xml:space="preserve">ESA </w:t>
            </w:r>
          </w:p>
          <w:p w14:paraId="0E68F489" w14:textId="77777777" w:rsidR="005A48F1" w:rsidRPr="00BD4849" w:rsidRDefault="005A48F1" w:rsidP="009F1410">
            <w:pPr>
              <w:spacing w:line="20" w:lineRule="atLeast"/>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16"/>
                <w:szCs w:val="16"/>
                <w:lang w:val="sl-SI"/>
              </w:rPr>
            </w:pPr>
            <w:r w:rsidRPr="00BD4849">
              <w:rPr>
                <w:rFonts w:ascii="Arial" w:hAnsi="Arial" w:cs="Arial"/>
                <w:b w:val="0"/>
                <w:color w:val="auto"/>
                <w:sz w:val="16"/>
                <w:szCs w:val="16"/>
                <w:lang w:val="sl-SI"/>
              </w:rPr>
              <w:t>koda</w:t>
            </w:r>
          </w:p>
          <w:p w14:paraId="6B79F319" w14:textId="77777777" w:rsidR="005A48F1" w:rsidRPr="00BD4849" w:rsidRDefault="005A48F1" w:rsidP="009F1410">
            <w:pPr>
              <w:spacing w:line="20" w:lineRule="atLeast"/>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16"/>
                <w:szCs w:val="16"/>
                <w:lang w:val="sl-SI"/>
              </w:rPr>
            </w:pPr>
          </w:p>
        </w:tc>
        <w:tc>
          <w:tcPr>
            <w:tcW w:w="533" w:type="pct"/>
            <w:shd w:val="clear" w:color="auto" w:fill="B4C6E7" w:themeFill="accent5" w:themeFillTint="66"/>
            <w:hideMark/>
          </w:tcPr>
          <w:p w14:paraId="4070034A" w14:textId="77777777" w:rsidR="005A48F1" w:rsidRPr="00BD4849" w:rsidRDefault="005A48F1" w:rsidP="009F1410">
            <w:pPr>
              <w:spacing w:line="20" w:lineRule="atLeast"/>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16"/>
                <w:szCs w:val="16"/>
                <w:lang w:val="sl-SI"/>
              </w:rPr>
            </w:pPr>
            <w:r w:rsidRPr="00BD4849">
              <w:rPr>
                <w:rFonts w:ascii="Arial" w:hAnsi="Arial" w:cs="Arial"/>
                <w:b w:val="0"/>
                <w:color w:val="auto"/>
                <w:sz w:val="16"/>
                <w:szCs w:val="16"/>
                <w:lang w:val="sl-SI"/>
              </w:rPr>
              <w:t>Status (sprejet, načrtovan)</w:t>
            </w:r>
          </w:p>
        </w:tc>
        <w:tc>
          <w:tcPr>
            <w:tcW w:w="1745" w:type="pct"/>
            <w:gridSpan w:val="9"/>
            <w:shd w:val="clear" w:color="auto" w:fill="B4C6E7" w:themeFill="accent5" w:themeFillTint="66"/>
            <w:hideMark/>
          </w:tcPr>
          <w:p w14:paraId="243AF571" w14:textId="77777777" w:rsidR="005A48F1" w:rsidRPr="00BD4849" w:rsidRDefault="005A48F1" w:rsidP="009F1410">
            <w:pPr>
              <w:spacing w:line="20" w:lineRule="atLeast"/>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auto"/>
                <w:sz w:val="16"/>
                <w:szCs w:val="16"/>
                <w:lang w:val="sl-SI"/>
              </w:rPr>
            </w:pPr>
            <w:r w:rsidRPr="00BD4849">
              <w:rPr>
                <w:rFonts w:ascii="Arial" w:hAnsi="Arial" w:cs="Arial"/>
                <w:b w:val="0"/>
                <w:color w:val="auto"/>
                <w:sz w:val="16"/>
                <w:szCs w:val="16"/>
                <w:lang w:val="sl-SI"/>
              </w:rPr>
              <w:t xml:space="preserve">Fiskalni vpliv </w:t>
            </w:r>
          </w:p>
          <w:p w14:paraId="04E6B570" w14:textId="77777777" w:rsidR="005A48F1" w:rsidRPr="00BD4849" w:rsidRDefault="005A48F1" w:rsidP="009F1410">
            <w:pPr>
              <w:spacing w:line="20" w:lineRule="atLeast"/>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16"/>
                <w:szCs w:val="16"/>
                <w:lang w:val="sl-SI"/>
              </w:rPr>
            </w:pPr>
            <w:r w:rsidRPr="00BD4849">
              <w:rPr>
                <w:rFonts w:ascii="Arial" w:hAnsi="Arial" w:cs="Arial"/>
                <w:b w:val="0"/>
                <w:color w:val="auto"/>
                <w:sz w:val="16"/>
                <w:szCs w:val="16"/>
                <w:lang w:val="sl-SI"/>
              </w:rPr>
              <w:t xml:space="preserve">(v % BDP - sprememba glede na </w:t>
            </w:r>
          </w:p>
          <w:p w14:paraId="21CB44CF" w14:textId="77777777" w:rsidR="005A48F1" w:rsidRPr="00BD4849" w:rsidRDefault="005A48F1" w:rsidP="009F1410">
            <w:pPr>
              <w:spacing w:line="20" w:lineRule="atLeast"/>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16"/>
                <w:szCs w:val="16"/>
                <w:lang w:val="sl-SI"/>
              </w:rPr>
            </w:pPr>
            <w:r w:rsidRPr="00BD4849">
              <w:rPr>
                <w:rFonts w:ascii="Arial" w:hAnsi="Arial" w:cs="Arial"/>
                <w:b w:val="0"/>
                <w:color w:val="auto"/>
                <w:sz w:val="16"/>
                <w:szCs w:val="16"/>
                <w:lang w:val="sl-SI"/>
              </w:rPr>
              <w:t>prejšnje leto)</w:t>
            </w:r>
          </w:p>
        </w:tc>
      </w:tr>
      <w:tr w:rsidR="005A48F1" w:rsidRPr="00BD4849" w14:paraId="5EAFA2B7" w14:textId="77777777" w:rsidTr="009F1410">
        <w:trPr>
          <w:cnfStyle w:val="100000000000" w:firstRow="1" w:lastRow="0" w:firstColumn="0" w:lastColumn="0" w:oddVBand="0" w:evenVBand="0" w:oddHBand="0" w:evenHBand="0" w:firstRowFirstColumn="0" w:firstRowLastColumn="0" w:lastRowFirstColumn="0" w:lastRowLastColumn="0"/>
          <w:trHeight w:val="59"/>
          <w:tblHeader/>
        </w:trPr>
        <w:tc>
          <w:tcPr>
            <w:cnfStyle w:val="001000000000" w:firstRow="0" w:lastRow="0" w:firstColumn="1" w:lastColumn="0" w:oddVBand="0" w:evenVBand="0" w:oddHBand="0" w:evenHBand="0" w:firstRowFirstColumn="0" w:firstRowLastColumn="0" w:lastRowFirstColumn="0" w:lastRowLastColumn="0"/>
            <w:tcW w:w="449" w:type="pct"/>
            <w:shd w:val="clear" w:color="auto" w:fill="B4C6E7" w:themeFill="accent5" w:themeFillTint="66"/>
          </w:tcPr>
          <w:p w14:paraId="4EF3C5B3" w14:textId="77777777" w:rsidR="005A48F1" w:rsidRPr="00BD4849" w:rsidRDefault="005A48F1" w:rsidP="009F1410">
            <w:pPr>
              <w:spacing w:line="20" w:lineRule="atLeast"/>
              <w:rPr>
                <w:rFonts w:ascii="Arial" w:hAnsi="Arial" w:cs="Arial"/>
                <w:b w:val="0"/>
                <w:color w:val="auto"/>
                <w:sz w:val="20"/>
                <w:szCs w:val="20"/>
                <w:lang w:val="sl-SI"/>
              </w:rPr>
            </w:pPr>
          </w:p>
        </w:tc>
        <w:tc>
          <w:tcPr>
            <w:tcW w:w="1969" w:type="pct"/>
            <w:shd w:val="clear" w:color="auto" w:fill="B4C6E7" w:themeFill="accent5" w:themeFillTint="66"/>
          </w:tcPr>
          <w:p w14:paraId="78F43219" w14:textId="77777777" w:rsidR="005A48F1" w:rsidRPr="00BD4849" w:rsidRDefault="005A48F1" w:rsidP="009F1410">
            <w:pPr>
              <w:spacing w:line="20" w:lineRule="atLeast"/>
              <w:cnfStyle w:val="100000000000" w:firstRow="1" w:lastRow="0" w:firstColumn="0" w:lastColumn="0" w:oddVBand="0" w:evenVBand="0" w:oddHBand="0" w:evenHBand="0" w:firstRowFirstColumn="0" w:firstRowLastColumn="0" w:lastRowFirstColumn="0" w:lastRowLastColumn="0"/>
              <w:rPr>
                <w:rFonts w:ascii="Arial" w:hAnsi="Arial" w:cs="Arial"/>
                <w:bCs w:val="0"/>
                <w:color w:val="auto"/>
                <w:sz w:val="20"/>
                <w:szCs w:val="20"/>
                <w:shd w:val="clear" w:color="auto" w:fill="FFFFFF"/>
                <w:lang w:val="sl-SI" w:eastAsia="sl-SI"/>
              </w:rPr>
            </w:pPr>
          </w:p>
        </w:tc>
        <w:tc>
          <w:tcPr>
            <w:tcW w:w="303" w:type="pct"/>
            <w:shd w:val="clear" w:color="auto" w:fill="B4C6E7" w:themeFill="accent5" w:themeFillTint="66"/>
          </w:tcPr>
          <w:p w14:paraId="4B32F3A0" w14:textId="77777777" w:rsidR="005A48F1" w:rsidRPr="00BD4849" w:rsidRDefault="005A48F1" w:rsidP="009F1410">
            <w:pPr>
              <w:spacing w:line="20" w:lineRule="atLeast"/>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auto"/>
                <w:sz w:val="16"/>
                <w:szCs w:val="16"/>
                <w:lang w:val="sl-SI"/>
              </w:rPr>
            </w:pPr>
          </w:p>
        </w:tc>
        <w:tc>
          <w:tcPr>
            <w:tcW w:w="533" w:type="pct"/>
            <w:shd w:val="clear" w:color="auto" w:fill="B4C6E7" w:themeFill="accent5" w:themeFillTint="66"/>
          </w:tcPr>
          <w:p w14:paraId="7CB9156A" w14:textId="77777777" w:rsidR="005A48F1" w:rsidRPr="00BD4849" w:rsidRDefault="005A48F1" w:rsidP="009F1410">
            <w:pPr>
              <w:spacing w:line="20" w:lineRule="atLeast"/>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auto"/>
                <w:sz w:val="16"/>
                <w:szCs w:val="16"/>
                <w:lang w:val="sl-SI"/>
              </w:rPr>
            </w:pPr>
          </w:p>
        </w:tc>
        <w:tc>
          <w:tcPr>
            <w:tcW w:w="402" w:type="pct"/>
            <w:gridSpan w:val="2"/>
            <w:shd w:val="clear" w:color="auto" w:fill="B4C6E7" w:themeFill="accent5" w:themeFillTint="66"/>
          </w:tcPr>
          <w:p w14:paraId="637790F8" w14:textId="77777777" w:rsidR="005A48F1" w:rsidRPr="00BD4849" w:rsidRDefault="005A48F1" w:rsidP="009F1410">
            <w:pPr>
              <w:spacing w:line="20" w:lineRule="atLeast"/>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16"/>
                <w:szCs w:val="16"/>
                <w:lang w:val="sl-SI"/>
              </w:rPr>
            </w:pPr>
            <w:r w:rsidRPr="00BD4849">
              <w:rPr>
                <w:rFonts w:ascii="Arial" w:hAnsi="Arial" w:cs="Arial"/>
                <w:b w:val="0"/>
                <w:bCs w:val="0"/>
                <w:color w:val="auto"/>
                <w:sz w:val="16"/>
                <w:szCs w:val="16"/>
                <w:lang w:val="sl-SI"/>
              </w:rPr>
              <w:t>2020</w:t>
            </w:r>
          </w:p>
        </w:tc>
        <w:tc>
          <w:tcPr>
            <w:tcW w:w="328" w:type="pct"/>
            <w:gridSpan w:val="2"/>
            <w:shd w:val="clear" w:color="auto" w:fill="B4C6E7" w:themeFill="accent5" w:themeFillTint="66"/>
          </w:tcPr>
          <w:p w14:paraId="7D0177E5" w14:textId="77777777" w:rsidR="005A48F1" w:rsidRPr="00BD4849" w:rsidRDefault="005A48F1" w:rsidP="009F1410">
            <w:pPr>
              <w:spacing w:line="20" w:lineRule="atLeast"/>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16"/>
                <w:szCs w:val="16"/>
                <w:lang w:val="sl-SI"/>
              </w:rPr>
            </w:pPr>
            <w:r w:rsidRPr="00BD4849">
              <w:rPr>
                <w:rFonts w:ascii="Arial" w:hAnsi="Arial" w:cs="Arial"/>
                <w:b w:val="0"/>
                <w:bCs w:val="0"/>
                <w:color w:val="auto"/>
                <w:sz w:val="16"/>
                <w:szCs w:val="16"/>
                <w:lang w:val="sl-SI"/>
              </w:rPr>
              <w:t>2021</w:t>
            </w:r>
          </w:p>
        </w:tc>
        <w:tc>
          <w:tcPr>
            <w:tcW w:w="347" w:type="pct"/>
            <w:gridSpan w:val="2"/>
            <w:shd w:val="clear" w:color="auto" w:fill="B4C6E7" w:themeFill="accent5" w:themeFillTint="66"/>
          </w:tcPr>
          <w:p w14:paraId="3C618B6C" w14:textId="77777777" w:rsidR="005A48F1" w:rsidRPr="00BD4849" w:rsidRDefault="005A48F1" w:rsidP="009F1410">
            <w:pPr>
              <w:spacing w:line="20" w:lineRule="atLeast"/>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16"/>
                <w:szCs w:val="16"/>
                <w:lang w:val="sl-SI"/>
              </w:rPr>
            </w:pPr>
            <w:r w:rsidRPr="00BD4849">
              <w:rPr>
                <w:rFonts w:ascii="Arial" w:hAnsi="Arial" w:cs="Arial"/>
                <w:b w:val="0"/>
                <w:bCs w:val="0"/>
                <w:color w:val="auto"/>
                <w:sz w:val="16"/>
                <w:szCs w:val="16"/>
                <w:lang w:val="sl-SI"/>
              </w:rPr>
              <w:t>2022</w:t>
            </w:r>
          </w:p>
        </w:tc>
        <w:tc>
          <w:tcPr>
            <w:tcW w:w="339" w:type="pct"/>
            <w:gridSpan w:val="2"/>
            <w:shd w:val="clear" w:color="auto" w:fill="B4C6E7" w:themeFill="accent5" w:themeFillTint="66"/>
          </w:tcPr>
          <w:p w14:paraId="052E7233" w14:textId="77777777" w:rsidR="005A48F1" w:rsidRPr="00BD4849" w:rsidRDefault="005A48F1" w:rsidP="009F1410">
            <w:pPr>
              <w:spacing w:line="20" w:lineRule="atLeast"/>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16"/>
                <w:szCs w:val="16"/>
                <w:lang w:val="sl-SI"/>
              </w:rPr>
            </w:pPr>
            <w:r w:rsidRPr="00BD4849">
              <w:rPr>
                <w:rFonts w:ascii="Arial" w:hAnsi="Arial" w:cs="Arial"/>
                <w:b w:val="0"/>
                <w:bCs w:val="0"/>
                <w:color w:val="auto"/>
                <w:sz w:val="16"/>
                <w:szCs w:val="16"/>
                <w:lang w:val="sl-SI"/>
              </w:rPr>
              <w:t>2023</w:t>
            </w:r>
          </w:p>
        </w:tc>
        <w:tc>
          <w:tcPr>
            <w:tcW w:w="330" w:type="pct"/>
            <w:shd w:val="clear" w:color="auto" w:fill="B4C6E7" w:themeFill="accent5" w:themeFillTint="66"/>
          </w:tcPr>
          <w:p w14:paraId="61DFB856" w14:textId="77777777" w:rsidR="005A48F1" w:rsidRPr="00BD4849" w:rsidRDefault="005A48F1" w:rsidP="009F1410">
            <w:pPr>
              <w:spacing w:line="20" w:lineRule="atLeast"/>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16"/>
                <w:szCs w:val="16"/>
                <w:lang w:val="sl-SI"/>
              </w:rPr>
            </w:pPr>
            <w:r w:rsidRPr="00BD4849">
              <w:rPr>
                <w:rFonts w:ascii="Arial" w:hAnsi="Arial" w:cs="Arial"/>
                <w:b w:val="0"/>
                <w:bCs w:val="0"/>
                <w:color w:val="auto"/>
                <w:sz w:val="16"/>
                <w:szCs w:val="16"/>
                <w:lang w:val="sl-SI"/>
              </w:rPr>
              <w:t>2024</w:t>
            </w:r>
          </w:p>
        </w:tc>
      </w:tr>
      <w:tr w:rsidR="005A48F1" w:rsidRPr="008F301B" w14:paraId="6E2194FF" w14:textId="77777777" w:rsidTr="009F1410">
        <w:trPr>
          <w:cnfStyle w:val="000000100000" w:firstRow="0" w:lastRow="0" w:firstColumn="0" w:lastColumn="0" w:oddVBand="0" w:evenVBand="0" w:oddHBand="1" w:evenHBand="0" w:firstRowFirstColumn="0" w:firstRowLastColumn="0" w:lastRowFirstColumn="0" w:lastRowLastColumn="0"/>
          <w:trHeight w:val="63"/>
        </w:trPr>
        <w:tc>
          <w:tcPr>
            <w:cnfStyle w:val="001000000000" w:firstRow="0" w:lastRow="0" w:firstColumn="1" w:lastColumn="0" w:oddVBand="0" w:evenVBand="0" w:oddHBand="0" w:evenHBand="0" w:firstRowFirstColumn="0" w:firstRowLastColumn="0" w:lastRowFirstColumn="0" w:lastRowLastColumn="0"/>
            <w:tcW w:w="4331" w:type="pct"/>
            <w:gridSpan w:val="10"/>
          </w:tcPr>
          <w:p w14:paraId="130240C4" w14:textId="77777777" w:rsidR="005A48F1" w:rsidRPr="00BD4849" w:rsidRDefault="005A48F1" w:rsidP="009F1410">
            <w:pPr>
              <w:spacing w:line="20" w:lineRule="atLeast"/>
              <w:rPr>
                <w:rFonts w:ascii="Arial" w:hAnsi="Arial" w:cs="Arial"/>
                <w:bCs w:val="0"/>
                <w:iCs/>
                <w:sz w:val="20"/>
                <w:szCs w:val="20"/>
                <w:lang w:val="sl-SI"/>
              </w:rPr>
            </w:pPr>
            <w:r w:rsidRPr="00BD4849">
              <w:rPr>
                <w:rFonts w:ascii="Arial" w:hAnsi="Arial" w:cs="Arial"/>
                <w:bCs w:val="0"/>
                <w:iCs/>
                <w:sz w:val="20"/>
                <w:szCs w:val="20"/>
                <w:lang w:val="sl-SI"/>
              </w:rPr>
              <w:t>Ukrepi na strani prihodkov države</w:t>
            </w:r>
          </w:p>
        </w:tc>
        <w:tc>
          <w:tcPr>
            <w:tcW w:w="339" w:type="pct"/>
            <w:gridSpan w:val="2"/>
          </w:tcPr>
          <w:p w14:paraId="587B6376" w14:textId="77777777" w:rsidR="005A48F1" w:rsidRPr="00BD4849" w:rsidRDefault="005A48F1" w:rsidP="009F1410">
            <w:pPr>
              <w:spacing w:line="20" w:lineRule="atLeast"/>
              <w:cnfStyle w:val="000000100000" w:firstRow="0" w:lastRow="0" w:firstColumn="0" w:lastColumn="0" w:oddVBand="0" w:evenVBand="0" w:oddHBand="1" w:evenHBand="0" w:firstRowFirstColumn="0" w:firstRowLastColumn="0" w:lastRowFirstColumn="0" w:lastRowLastColumn="0"/>
              <w:rPr>
                <w:rFonts w:ascii="Arial" w:hAnsi="Arial" w:cs="Arial"/>
                <w:bCs/>
                <w:i/>
                <w:sz w:val="20"/>
                <w:szCs w:val="20"/>
                <w:lang w:val="sl-SI"/>
              </w:rPr>
            </w:pPr>
          </w:p>
        </w:tc>
        <w:tc>
          <w:tcPr>
            <w:tcW w:w="330" w:type="pct"/>
          </w:tcPr>
          <w:p w14:paraId="10A391EB" w14:textId="77777777" w:rsidR="005A48F1" w:rsidRPr="00BD4849" w:rsidRDefault="005A48F1" w:rsidP="009F1410">
            <w:pPr>
              <w:spacing w:line="20" w:lineRule="atLeast"/>
              <w:cnfStyle w:val="000000100000" w:firstRow="0" w:lastRow="0" w:firstColumn="0" w:lastColumn="0" w:oddVBand="0" w:evenVBand="0" w:oddHBand="1" w:evenHBand="0" w:firstRowFirstColumn="0" w:firstRowLastColumn="0" w:lastRowFirstColumn="0" w:lastRowLastColumn="0"/>
              <w:rPr>
                <w:rFonts w:ascii="Arial" w:hAnsi="Arial" w:cs="Arial"/>
                <w:bCs/>
                <w:i/>
                <w:sz w:val="20"/>
                <w:szCs w:val="20"/>
                <w:lang w:val="sl-SI"/>
              </w:rPr>
            </w:pPr>
          </w:p>
        </w:tc>
      </w:tr>
      <w:tr w:rsidR="005A48F1" w:rsidRPr="00BD4849" w14:paraId="61C6579B" w14:textId="77777777" w:rsidTr="009F1410">
        <w:trPr>
          <w:trHeight w:val="1452"/>
        </w:trPr>
        <w:tc>
          <w:tcPr>
            <w:cnfStyle w:val="001000000000" w:firstRow="0" w:lastRow="0" w:firstColumn="1" w:lastColumn="0" w:oddVBand="0" w:evenVBand="0" w:oddHBand="0" w:evenHBand="0" w:firstRowFirstColumn="0" w:firstRowLastColumn="0" w:lastRowFirstColumn="0" w:lastRowLastColumn="0"/>
            <w:tcW w:w="449" w:type="pct"/>
            <w:textDirection w:val="btLr"/>
          </w:tcPr>
          <w:p w14:paraId="195DF66C" w14:textId="77777777" w:rsidR="005A48F1" w:rsidRPr="00D1091B" w:rsidRDefault="005A48F1" w:rsidP="009F1410">
            <w:pPr>
              <w:spacing w:line="20" w:lineRule="atLeast"/>
              <w:ind w:left="113" w:right="113"/>
              <w:jc w:val="center"/>
              <w:rPr>
                <w:rFonts w:ascii="Arial" w:hAnsi="Arial" w:cs="Arial"/>
                <w:b w:val="0"/>
                <w:bCs w:val="0"/>
                <w:sz w:val="20"/>
                <w:szCs w:val="20"/>
                <w:lang w:val="sl-SI"/>
              </w:rPr>
            </w:pPr>
            <w:r w:rsidRPr="00D1091B">
              <w:rPr>
                <w:rFonts w:ascii="Arial" w:hAnsi="Arial" w:cs="Arial"/>
                <w:b w:val="0"/>
                <w:bCs w:val="0"/>
                <w:sz w:val="20"/>
                <w:szCs w:val="20"/>
                <w:lang w:val="sl-SI"/>
              </w:rPr>
              <w:t>UKREP NA DAVČNEM PODROČJU</w:t>
            </w:r>
          </w:p>
        </w:tc>
        <w:tc>
          <w:tcPr>
            <w:tcW w:w="1969" w:type="pct"/>
          </w:tcPr>
          <w:p w14:paraId="44C34368" w14:textId="77777777" w:rsidR="005A48F1" w:rsidRPr="00BD4849" w:rsidRDefault="005A48F1" w:rsidP="009F1410">
            <w:pPr>
              <w:spacing w:line="20" w:lineRule="atLeast"/>
              <w:cnfStyle w:val="000000000000" w:firstRow="0" w:lastRow="0" w:firstColumn="0" w:lastColumn="0" w:oddVBand="0" w:evenVBand="0" w:oddHBand="0" w:evenHBand="0" w:firstRowFirstColumn="0" w:firstRowLastColumn="0" w:lastRowFirstColumn="0" w:lastRowLastColumn="0"/>
              <w:rPr>
                <w:rFonts w:ascii="Arial" w:hAnsi="Arial" w:cs="Arial"/>
                <w:sz w:val="20"/>
                <w:szCs w:val="20"/>
                <w:shd w:val="clear" w:color="auto" w:fill="FFFFFF"/>
                <w:lang w:val="sl-SI" w:eastAsia="sl-SI"/>
              </w:rPr>
            </w:pPr>
            <w:r w:rsidRPr="00D1091B">
              <w:rPr>
                <w:rFonts w:ascii="Arial" w:hAnsi="Arial" w:cs="Arial"/>
                <w:sz w:val="20"/>
                <w:szCs w:val="20"/>
                <w:shd w:val="clear" w:color="auto" w:fill="FFFFFF"/>
                <w:lang w:val="sl-SI" w:eastAsia="sl-SI"/>
              </w:rPr>
              <w:t>Spremembe Zakona o dohodnini</w:t>
            </w:r>
            <w:r>
              <w:rPr>
                <w:rFonts w:ascii="Arial" w:hAnsi="Arial" w:cs="Arial"/>
                <w:sz w:val="20"/>
                <w:szCs w:val="20"/>
                <w:shd w:val="clear" w:color="auto" w:fill="FFFFFF"/>
                <w:lang w:val="sl-SI" w:eastAsia="sl-SI"/>
              </w:rPr>
              <w:t xml:space="preserve"> (</w:t>
            </w:r>
            <w:r w:rsidRPr="00D1091B">
              <w:rPr>
                <w:rFonts w:ascii="Arial" w:hAnsi="Arial" w:cs="Arial"/>
                <w:sz w:val="20"/>
                <w:szCs w:val="20"/>
                <w:shd w:val="clear" w:color="auto" w:fill="FFFFFF"/>
                <w:lang w:val="sl-SI" w:eastAsia="sl-SI"/>
              </w:rPr>
              <w:t>ZDoh-2Z)</w:t>
            </w:r>
            <w:r>
              <w:rPr>
                <w:rFonts w:ascii="Arial" w:hAnsi="Arial" w:cs="Arial"/>
                <w:sz w:val="20"/>
                <w:szCs w:val="20"/>
                <w:shd w:val="clear" w:color="auto" w:fill="FFFFFF"/>
                <w:lang w:val="sl-SI" w:eastAsia="sl-SI"/>
              </w:rPr>
              <w:t xml:space="preserve"> in sprejeta </w:t>
            </w:r>
            <w:r w:rsidRPr="00D1091B">
              <w:rPr>
                <w:rFonts w:ascii="Arial" w:hAnsi="Arial" w:cs="Arial"/>
                <w:sz w:val="20"/>
                <w:szCs w:val="20"/>
                <w:shd w:val="clear" w:color="auto" w:fill="FFFFFF"/>
                <w:lang w:val="sl-SI" w:eastAsia="sl-SI"/>
              </w:rPr>
              <w:t>novel</w:t>
            </w:r>
            <w:r>
              <w:rPr>
                <w:rFonts w:ascii="Arial" w:hAnsi="Arial" w:cs="Arial"/>
                <w:sz w:val="20"/>
                <w:szCs w:val="20"/>
                <w:shd w:val="clear" w:color="auto" w:fill="FFFFFF"/>
                <w:lang w:val="sl-SI" w:eastAsia="sl-SI"/>
              </w:rPr>
              <w:t>a</w:t>
            </w:r>
            <w:r w:rsidRPr="00D1091B">
              <w:rPr>
                <w:rFonts w:ascii="Arial" w:hAnsi="Arial" w:cs="Arial"/>
                <w:sz w:val="20"/>
                <w:szCs w:val="20"/>
                <w:shd w:val="clear" w:color="auto" w:fill="FFFFFF"/>
                <w:lang w:val="sl-SI" w:eastAsia="sl-SI"/>
              </w:rPr>
              <w:t xml:space="preserve"> ZDoh-2AA</w:t>
            </w:r>
            <w:r>
              <w:rPr>
                <w:rFonts w:ascii="Arial" w:hAnsi="Arial" w:cs="Arial"/>
                <w:sz w:val="20"/>
                <w:szCs w:val="20"/>
                <w:shd w:val="clear" w:color="auto" w:fill="FFFFFF"/>
                <w:lang w:val="sl-SI" w:eastAsia="sl-SI"/>
              </w:rPr>
              <w:t>.</w:t>
            </w:r>
          </w:p>
        </w:tc>
        <w:tc>
          <w:tcPr>
            <w:tcW w:w="303" w:type="pct"/>
          </w:tcPr>
          <w:p w14:paraId="11FDD323" w14:textId="77777777" w:rsidR="005A48F1" w:rsidRPr="00BD4849" w:rsidRDefault="005A48F1" w:rsidP="009F141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sl-SI"/>
              </w:rPr>
            </w:pPr>
            <w:r>
              <w:rPr>
                <w:rFonts w:ascii="Arial" w:hAnsi="Arial" w:cs="Arial"/>
                <w:sz w:val="16"/>
                <w:szCs w:val="16"/>
                <w:lang w:val="sl-SI"/>
              </w:rPr>
              <w:t>D.51</w:t>
            </w:r>
          </w:p>
        </w:tc>
        <w:tc>
          <w:tcPr>
            <w:tcW w:w="533" w:type="pct"/>
          </w:tcPr>
          <w:p w14:paraId="51999DD6" w14:textId="77777777" w:rsidR="005A48F1" w:rsidRPr="00BD4849" w:rsidRDefault="005A48F1" w:rsidP="009F141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sl-SI"/>
              </w:rPr>
            </w:pPr>
            <w:r>
              <w:rPr>
                <w:rFonts w:ascii="Arial" w:hAnsi="Arial" w:cs="Arial"/>
                <w:sz w:val="16"/>
                <w:szCs w:val="16"/>
                <w:lang w:val="sl-SI"/>
              </w:rPr>
              <w:t>Sprejet</w:t>
            </w:r>
          </w:p>
        </w:tc>
        <w:tc>
          <w:tcPr>
            <w:tcW w:w="349" w:type="pct"/>
          </w:tcPr>
          <w:p w14:paraId="0D48F675" w14:textId="77777777" w:rsidR="005A48F1" w:rsidRPr="00BD4849" w:rsidRDefault="005A48F1" w:rsidP="009F141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sl-SI"/>
              </w:rPr>
            </w:pPr>
            <w:r>
              <w:rPr>
                <w:rFonts w:ascii="Arial" w:hAnsi="Arial" w:cs="Arial"/>
                <w:sz w:val="16"/>
                <w:szCs w:val="16"/>
                <w:lang w:val="sl-SI"/>
              </w:rPr>
              <w:t>0,00</w:t>
            </w:r>
          </w:p>
        </w:tc>
        <w:tc>
          <w:tcPr>
            <w:tcW w:w="349" w:type="pct"/>
            <w:gridSpan w:val="2"/>
          </w:tcPr>
          <w:p w14:paraId="4323A691" w14:textId="77777777" w:rsidR="005A48F1" w:rsidRPr="00BD4849" w:rsidRDefault="005A48F1" w:rsidP="009F141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sl-SI"/>
              </w:rPr>
            </w:pPr>
            <w:r>
              <w:rPr>
                <w:rFonts w:ascii="Arial" w:hAnsi="Arial" w:cs="Arial"/>
                <w:sz w:val="16"/>
                <w:szCs w:val="16"/>
                <w:lang w:val="sl-SI"/>
              </w:rPr>
              <w:t>0,00</w:t>
            </w:r>
          </w:p>
        </w:tc>
        <w:tc>
          <w:tcPr>
            <w:tcW w:w="349" w:type="pct"/>
            <w:gridSpan w:val="2"/>
          </w:tcPr>
          <w:p w14:paraId="49B9EE21" w14:textId="77777777" w:rsidR="005A48F1" w:rsidRPr="00BD4849" w:rsidRDefault="005A48F1" w:rsidP="009F141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sl-SI"/>
              </w:rPr>
            </w:pPr>
            <w:r>
              <w:rPr>
                <w:rFonts w:ascii="Arial" w:hAnsi="Arial" w:cs="Arial"/>
                <w:sz w:val="16"/>
                <w:szCs w:val="16"/>
                <w:lang w:val="sl-SI"/>
              </w:rPr>
              <w:t>-0,27</w:t>
            </w:r>
          </w:p>
        </w:tc>
        <w:tc>
          <w:tcPr>
            <w:tcW w:w="349" w:type="pct"/>
            <w:gridSpan w:val="2"/>
          </w:tcPr>
          <w:p w14:paraId="7CF13F93" w14:textId="48AF596D" w:rsidR="005A48F1" w:rsidRPr="00BD4849" w:rsidRDefault="005A48F1" w:rsidP="009F141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sl-SI"/>
              </w:rPr>
            </w:pPr>
            <w:r>
              <w:rPr>
                <w:rFonts w:ascii="Arial" w:hAnsi="Arial" w:cs="Arial"/>
                <w:sz w:val="16"/>
                <w:szCs w:val="16"/>
                <w:lang w:val="sl-SI"/>
              </w:rPr>
              <w:t>0,1</w:t>
            </w:r>
            <w:r w:rsidR="006D5278">
              <w:rPr>
                <w:rFonts w:ascii="Arial" w:hAnsi="Arial" w:cs="Arial"/>
                <w:sz w:val="16"/>
                <w:szCs w:val="16"/>
                <w:lang w:val="sl-SI"/>
              </w:rPr>
              <w:t>4</w:t>
            </w:r>
          </w:p>
        </w:tc>
        <w:tc>
          <w:tcPr>
            <w:tcW w:w="350" w:type="pct"/>
            <w:gridSpan w:val="2"/>
          </w:tcPr>
          <w:p w14:paraId="4E20F791" w14:textId="77777777" w:rsidR="005A48F1" w:rsidRPr="00BD4849" w:rsidRDefault="005A48F1" w:rsidP="009F141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sl-SI"/>
              </w:rPr>
            </w:pPr>
            <w:r>
              <w:rPr>
                <w:rFonts w:ascii="Arial" w:hAnsi="Arial" w:cs="Arial"/>
                <w:sz w:val="16"/>
                <w:szCs w:val="16"/>
                <w:lang w:val="sl-SI"/>
              </w:rPr>
              <w:t>0,00</w:t>
            </w:r>
          </w:p>
        </w:tc>
      </w:tr>
      <w:tr w:rsidR="005A48F1" w:rsidRPr="00BD4849" w14:paraId="03542BB3" w14:textId="77777777" w:rsidTr="009F1410">
        <w:trPr>
          <w:cnfStyle w:val="000000100000" w:firstRow="0" w:lastRow="0" w:firstColumn="0" w:lastColumn="0" w:oddVBand="0" w:evenVBand="0" w:oddHBand="1" w:evenHBand="0" w:firstRowFirstColumn="0" w:firstRowLastColumn="0" w:lastRowFirstColumn="0" w:lastRowLastColumn="0"/>
          <w:trHeight w:val="178"/>
        </w:trPr>
        <w:tc>
          <w:tcPr>
            <w:cnfStyle w:val="001000000000" w:firstRow="0" w:lastRow="0" w:firstColumn="1" w:lastColumn="0" w:oddVBand="0" w:evenVBand="0" w:oddHBand="0" w:evenHBand="0" w:firstRowFirstColumn="0" w:firstRowLastColumn="0" w:lastRowFirstColumn="0" w:lastRowLastColumn="0"/>
            <w:tcW w:w="449" w:type="pct"/>
            <w:vMerge w:val="restart"/>
            <w:textDirection w:val="btLr"/>
          </w:tcPr>
          <w:p w14:paraId="111BBEA9" w14:textId="77777777" w:rsidR="005A48F1" w:rsidRPr="00BD4849" w:rsidRDefault="005A48F1" w:rsidP="009F1410">
            <w:pPr>
              <w:spacing w:line="20" w:lineRule="atLeast"/>
              <w:ind w:left="113" w:right="113"/>
              <w:jc w:val="center"/>
              <w:rPr>
                <w:rFonts w:ascii="Arial" w:hAnsi="Arial" w:cs="Arial"/>
                <w:sz w:val="20"/>
                <w:szCs w:val="20"/>
                <w:lang w:val="sl-SI"/>
              </w:rPr>
            </w:pPr>
            <w:r w:rsidRPr="00BD4849">
              <w:rPr>
                <w:rFonts w:ascii="Arial" w:hAnsi="Arial" w:cs="Arial"/>
                <w:b w:val="0"/>
                <w:bCs w:val="0"/>
                <w:sz w:val="20"/>
                <w:szCs w:val="20"/>
                <w:lang w:val="sl-SI"/>
              </w:rPr>
              <w:t>UKREPI NA DAVČNEM PODROČJU</w:t>
            </w:r>
          </w:p>
          <w:p w14:paraId="706E1BB4" w14:textId="77777777" w:rsidR="005A48F1" w:rsidRPr="00BD4849" w:rsidRDefault="005A48F1" w:rsidP="009F1410">
            <w:pPr>
              <w:spacing w:line="20" w:lineRule="atLeast"/>
              <w:ind w:left="113" w:right="113"/>
              <w:jc w:val="center"/>
              <w:rPr>
                <w:rFonts w:ascii="Arial" w:hAnsi="Arial" w:cs="Arial"/>
                <w:b w:val="0"/>
                <w:bCs w:val="0"/>
                <w:sz w:val="20"/>
                <w:szCs w:val="20"/>
                <w:lang w:val="sl-SI"/>
              </w:rPr>
            </w:pPr>
            <w:r w:rsidRPr="00BD4849">
              <w:rPr>
                <w:rFonts w:ascii="Arial" w:hAnsi="Arial" w:cs="Arial"/>
                <w:b w:val="0"/>
                <w:bCs w:val="0"/>
                <w:sz w:val="20"/>
                <w:szCs w:val="20"/>
                <w:lang w:val="sl-SI"/>
              </w:rPr>
              <w:t>(COVID)</w:t>
            </w:r>
          </w:p>
        </w:tc>
        <w:tc>
          <w:tcPr>
            <w:tcW w:w="1969" w:type="pct"/>
          </w:tcPr>
          <w:p w14:paraId="4B29BF14" w14:textId="77777777" w:rsidR="005A48F1" w:rsidRPr="00BD4849" w:rsidRDefault="005A48F1" w:rsidP="009F1410">
            <w:pPr>
              <w:spacing w:line="20" w:lineRule="atLeast"/>
              <w:cnfStyle w:val="000000100000" w:firstRow="0" w:lastRow="0" w:firstColumn="0" w:lastColumn="0" w:oddVBand="0" w:evenVBand="0" w:oddHBand="1" w:evenHBand="0" w:firstRowFirstColumn="0" w:firstRowLastColumn="0" w:lastRowFirstColumn="0" w:lastRowLastColumn="0"/>
              <w:rPr>
                <w:rFonts w:ascii="Arial" w:hAnsi="Arial" w:cs="Arial"/>
                <w:sz w:val="20"/>
                <w:szCs w:val="20"/>
                <w:shd w:val="clear" w:color="auto" w:fill="FFFFFF"/>
                <w:lang w:val="sl-SI" w:eastAsia="sl-SI"/>
              </w:rPr>
            </w:pPr>
            <w:r w:rsidRPr="00BD4849">
              <w:rPr>
                <w:rFonts w:ascii="Arial" w:hAnsi="Arial" w:cs="Arial"/>
                <w:sz w:val="20"/>
                <w:szCs w:val="20"/>
                <w:shd w:val="clear" w:color="auto" w:fill="FFFFFF"/>
                <w:lang w:val="sl-SI" w:eastAsia="sl-SI"/>
              </w:rPr>
              <w:t>Neobračunane in neplačane akontacije od dohodka iz dejavnosti in DDPO; odlog plačila davkov (dohodnina, DDPO)</w:t>
            </w:r>
          </w:p>
        </w:tc>
        <w:tc>
          <w:tcPr>
            <w:tcW w:w="303" w:type="pct"/>
          </w:tcPr>
          <w:p w14:paraId="1B943151" w14:textId="77777777" w:rsidR="005A48F1" w:rsidRPr="00BD4849" w:rsidRDefault="005A48F1" w:rsidP="009F141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sl-SI"/>
              </w:rPr>
            </w:pPr>
            <w:r w:rsidRPr="00BD4849">
              <w:rPr>
                <w:rFonts w:ascii="Arial" w:hAnsi="Arial" w:cs="Arial"/>
                <w:sz w:val="16"/>
                <w:szCs w:val="16"/>
                <w:lang w:val="sl-SI"/>
              </w:rPr>
              <w:t>D.51</w:t>
            </w:r>
          </w:p>
        </w:tc>
        <w:tc>
          <w:tcPr>
            <w:tcW w:w="533" w:type="pct"/>
          </w:tcPr>
          <w:p w14:paraId="1F34BC1B" w14:textId="77777777" w:rsidR="005A48F1" w:rsidRPr="00BD4849" w:rsidRDefault="005A48F1" w:rsidP="009F141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sl-SI"/>
              </w:rPr>
            </w:pPr>
            <w:r w:rsidRPr="00BD4849">
              <w:rPr>
                <w:rFonts w:ascii="Arial" w:hAnsi="Arial" w:cs="Arial"/>
                <w:sz w:val="16"/>
                <w:szCs w:val="16"/>
                <w:lang w:val="sl-SI"/>
              </w:rPr>
              <w:t>Sprejet</w:t>
            </w:r>
          </w:p>
        </w:tc>
        <w:tc>
          <w:tcPr>
            <w:tcW w:w="349" w:type="pct"/>
          </w:tcPr>
          <w:p w14:paraId="45211CD1" w14:textId="0F0FB0C4" w:rsidR="005A48F1" w:rsidRPr="00BD4849" w:rsidRDefault="006D5278" w:rsidP="009F141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sl-SI"/>
              </w:rPr>
            </w:pPr>
            <w:r>
              <w:rPr>
                <w:rFonts w:ascii="Arial" w:hAnsi="Arial" w:cs="Arial"/>
                <w:sz w:val="16"/>
                <w:szCs w:val="16"/>
                <w:lang w:val="sl-SI"/>
              </w:rPr>
              <w:t>-</w:t>
            </w:r>
            <w:r w:rsidR="005A48F1" w:rsidRPr="00BD4849">
              <w:rPr>
                <w:rFonts w:ascii="Arial" w:hAnsi="Arial" w:cs="Arial"/>
                <w:sz w:val="16"/>
                <w:szCs w:val="16"/>
                <w:lang w:val="sl-SI"/>
              </w:rPr>
              <w:t>0,43</w:t>
            </w:r>
          </w:p>
        </w:tc>
        <w:tc>
          <w:tcPr>
            <w:tcW w:w="349" w:type="pct"/>
            <w:gridSpan w:val="2"/>
          </w:tcPr>
          <w:p w14:paraId="225B62EE" w14:textId="67FD0D2B" w:rsidR="005A48F1" w:rsidRPr="00BD4849" w:rsidRDefault="005A48F1" w:rsidP="009F141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sl-SI"/>
              </w:rPr>
            </w:pPr>
            <w:r w:rsidRPr="00BD4849">
              <w:rPr>
                <w:rFonts w:ascii="Arial" w:hAnsi="Arial" w:cs="Arial"/>
                <w:sz w:val="16"/>
                <w:szCs w:val="16"/>
                <w:lang w:val="sl-SI"/>
              </w:rPr>
              <w:t>0,76</w:t>
            </w:r>
          </w:p>
        </w:tc>
        <w:tc>
          <w:tcPr>
            <w:tcW w:w="349" w:type="pct"/>
            <w:gridSpan w:val="2"/>
          </w:tcPr>
          <w:p w14:paraId="26EF189B" w14:textId="71EF0CC6" w:rsidR="005A48F1" w:rsidRPr="00BD4849" w:rsidRDefault="006D5278" w:rsidP="009F141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sl-SI"/>
              </w:rPr>
            </w:pPr>
            <w:r>
              <w:rPr>
                <w:rFonts w:ascii="Arial" w:hAnsi="Arial" w:cs="Arial"/>
                <w:sz w:val="16"/>
                <w:szCs w:val="16"/>
                <w:lang w:val="sl-SI"/>
              </w:rPr>
              <w:t>-</w:t>
            </w:r>
            <w:r w:rsidR="005A48F1" w:rsidRPr="00BD4849">
              <w:rPr>
                <w:rFonts w:ascii="Arial" w:hAnsi="Arial" w:cs="Arial"/>
                <w:sz w:val="16"/>
                <w:szCs w:val="16"/>
                <w:lang w:val="sl-SI"/>
              </w:rPr>
              <w:t>0,29</w:t>
            </w:r>
          </w:p>
        </w:tc>
        <w:tc>
          <w:tcPr>
            <w:tcW w:w="349" w:type="pct"/>
            <w:gridSpan w:val="2"/>
          </w:tcPr>
          <w:p w14:paraId="3D8FCB79" w14:textId="7ACA062E" w:rsidR="005A48F1" w:rsidRPr="00BD4849" w:rsidRDefault="006D5278" w:rsidP="009F141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sl-SI"/>
              </w:rPr>
            </w:pPr>
            <w:r>
              <w:rPr>
                <w:rFonts w:ascii="Arial" w:hAnsi="Arial" w:cs="Arial"/>
                <w:sz w:val="16"/>
                <w:szCs w:val="16"/>
                <w:lang w:val="sl-SI"/>
              </w:rPr>
              <w:t>-</w:t>
            </w:r>
            <w:r w:rsidR="005A48F1" w:rsidRPr="00BD4849">
              <w:rPr>
                <w:rFonts w:ascii="Arial" w:hAnsi="Arial" w:cs="Arial"/>
                <w:sz w:val="16"/>
                <w:szCs w:val="16"/>
                <w:lang w:val="sl-SI"/>
              </w:rPr>
              <w:t>0,03</w:t>
            </w:r>
          </w:p>
        </w:tc>
        <w:tc>
          <w:tcPr>
            <w:tcW w:w="350" w:type="pct"/>
            <w:gridSpan w:val="2"/>
          </w:tcPr>
          <w:p w14:paraId="507DC0A4" w14:textId="335C1576" w:rsidR="005A48F1" w:rsidRPr="00BD4849" w:rsidRDefault="006D5278" w:rsidP="009F141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sl-SI"/>
              </w:rPr>
            </w:pPr>
            <w:r>
              <w:rPr>
                <w:rFonts w:ascii="Arial" w:hAnsi="Arial" w:cs="Arial"/>
                <w:sz w:val="16"/>
                <w:szCs w:val="16"/>
                <w:lang w:val="sl-SI"/>
              </w:rPr>
              <w:t>-</w:t>
            </w:r>
            <w:r w:rsidR="005A48F1" w:rsidRPr="00BD4849">
              <w:rPr>
                <w:rFonts w:ascii="Arial" w:hAnsi="Arial" w:cs="Arial"/>
                <w:sz w:val="16"/>
                <w:szCs w:val="16"/>
                <w:lang w:val="sl-SI"/>
              </w:rPr>
              <w:t>0,01</w:t>
            </w:r>
          </w:p>
        </w:tc>
      </w:tr>
      <w:tr w:rsidR="005A48F1" w:rsidRPr="00BD4849" w14:paraId="13FDDD21" w14:textId="77777777" w:rsidTr="009F1410">
        <w:trPr>
          <w:trHeight w:val="42"/>
        </w:trPr>
        <w:tc>
          <w:tcPr>
            <w:cnfStyle w:val="001000000000" w:firstRow="0" w:lastRow="0" w:firstColumn="1" w:lastColumn="0" w:oddVBand="0" w:evenVBand="0" w:oddHBand="0" w:evenHBand="0" w:firstRowFirstColumn="0" w:firstRowLastColumn="0" w:lastRowFirstColumn="0" w:lastRowLastColumn="0"/>
            <w:tcW w:w="449" w:type="pct"/>
            <w:vMerge/>
          </w:tcPr>
          <w:p w14:paraId="4F1D1684" w14:textId="77777777" w:rsidR="005A48F1" w:rsidRPr="00BD4849" w:rsidRDefault="005A48F1" w:rsidP="009F1410">
            <w:pPr>
              <w:spacing w:line="20" w:lineRule="atLeast"/>
              <w:rPr>
                <w:rFonts w:ascii="Arial" w:hAnsi="Arial" w:cs="Arial"/>
                <w:b w:val="0"/>
                <w:bCs w:val="0"/>
                <w:sz w:val="20"/>
                <w:szCs w:val="20"/>
                <w:lang w:val="sl-SI"/>
              </w:rPr>
            </w:pPr>
          </w:p>
        </w:tc>
        <w:tc>
          <w:tcPr>
            <w:tcW w:w="1969" w:type="pct"/>
          </w:tcPr>
          <w:p w14:paraId="29F5B168" w14:textId="77777777" w:rsidR="005A48F1" w:rsidRPr="00BD4849" w:rsidRDefault="005A48F1" w:rsidP="009F1410">
            <w:pPr>
              <w:spacing w:line="20" w:lineRule="atLeast"/>
              <w:cnfStyle w:val="000000000000" w:firstRow="0" w:lastRow="0" w:firstColumn="0" w:lastColumn="0" w:oddVBand="0" w:evenVBand="0" w:oddHBand="0" w:evenHBand="0" w:firstRowFirstColumn="0" w:firstRowLastColumn="0" w:lastRowFirstColumn="0" w:lastRowLastColumn="0"/>
              <w:rPr>
                <w:rFonts w:ascii="Arial" w:hAnsi="Arial" w:cs="Arial"/>
                <w:sz w:val="20"/>
                <w:szCs w:val="20"/>
                <w:shd w:val="clear" w:color="auto" w:fill="FFFFFF"/>
                <w:lang w:val="sl-SI" w:eastAsia="sl-SI"/>
              </w:rPr>
            </w:pPr>
            <w:r w:rsidRPr="00BD4849">
              <w:rPr>
                <w:rFonts w:ascii="Arial" w:hAnsi="Arial" w:cs="Arial"/>
                <w:sz w:val="20"/>
                <w:szCs w:val="20"/>
                <w:shd w:val="clear" w:color="auto" w:fill="FFFFFF"/>
                <w:lang w:val="sl-SI" w:eastAsia="sl-SI"/>
              </w:rPr>
              <w:t>Odlog plačila davkov (DDV, trošarine)</w:t>
            </w:r>
          </w:p>
        </w:tc>
        <w:tc>
          <w:tcPr>
            <w:tcW w:w="303" w:type="pct"/>
          </w:tcPr>
          <w:p w14:paraId="51A39907" w14:textId="77777777" w:rsidR="005A48F1" w:rsidRPr="00BD4849" w:rsidRDefault="005A48F1" w:rsidP="009F141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sl-SI"/>
              </w:rPr>
            </w:pPr>
            <w:r w:rsidRPr="00BD4849">
              <w:rPr>
                <w:rFonts w:ascii="Arial" w:hAnsi="Arial" w:cs="Arial"/>
                <w:sz w:val="16"/>
                <w:szCs w:val="16"/>
                <w:lang w:val="sl-SI"/>
              </w:rPr>
              <w:t>D.21</w:t>
            </w:r>
          </w:p>
        </w:tc>
        <w:tc>
          <w:tcPr>
            <w:tcW w:w="533" w:type="pct"/>
          </w:tcPr>
          <w:p w14:paraId="0C328EDE" w14:textId="77777777" w:rsidR="005A48F1" w:rsidRPr="00BD4849" w:rsidRDefault="005A48F1" w:rsidP="009F141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sl-SI"/>
              </w:rPr>
            </w:pPr>
            <w:r w:rsidRPr="00BD4849">
              <w:rPr>
                <w:rFonts w:ascii="Arial" w:hAnsi="Arial" w:cs="Arial"/>
                <w:sz w:val="16"/>
                <w:szCs w:val="16"/>
                <w:lang w:val="sl-SI"/>
              </w:rPr>
              <w:t>Sprejet</w:t>
            </w:r>
          </w:p>
        </w:tc>
        <w:tc>
          <w:tcPr>
            <w:tcW w:w="349" w:type="pct"/>
          </w:tcPr>
          <w:p w14:paraId="0A9F8EA7" w14:textId="77777777" w:rsidR="005A48F1" w:rsidRPr="00BD4849" w:rsidRDefault="005A48F1" w:rsidP="009F141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sl-SI"/>
              </w:rPr>
            </w:pPr>
            <w:r w:rsidRPr="00BD4849">
              <w:rPr>
                <w:rFonts w:ascii="Arial" w:hAnsi="Arial" w:cs="Arial"/>
                <w:sz w:val="16"/>
                <w:szCs w:val="16"/>
                <w:lang w:val="sl-SI"/>
              </w:rPr>
              <w:t>0,36</w:t>
            </w:r>
          </w:p>
        </w:tc>
        <w:tc>
          <w:tcPr>
            <w:tcW w:w="349" w:type="pct"/>
            <w:gridSpan w:val="2"/>
          </w:tcPr>
          <w:p w14:paraId="26305265" w14:textId="77777777" w:rsidR="005A48F1" w:rsidRPr="00BD4849" w:rsidRDefault="005A48F1" w:rsidP="009F141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sl-SI"/>
              </w:rPr>
            </w:pPr>
            <w:r w:rsidRPr="00BD4849">
              <w:rPr>
                <w:rFonts w:ascii="Arial" w:hAnsi="Arial" w:cs="Arial"/>
                <w:sz w:val="16"/>
                <w:szCs w:val="16"/>
                <w:lang w:val="sl-SI"/>
              </w:rPr>
              <w:t>-0,54</w:t>
            </w:r>
          </w:p>
        </w:tc>
        <w:tc>
          <w:tcPr>
            <w:tcW w:w="349" w:type="pct"/>
            <w:gridSpan w:val="2"/>
          </w:tcPr>
          <w:p w14:paraId="26D5A93C" w14:textId="77777777" w:rsidR="005A48F1" w:rsidRPr="00BD4849" w:rsidRDefault="005A48F1" w:rsidP="009F141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sl-SI"/>
              </w:rPr>
            </w:pPr>
            <w:r w:rsidRPr="00BD4849">
              <w:rPr>
                <w:rFonts w:ascii="Arial" w:hAnsi="Arial" w:cs="Arial"/>
                <w:sz w:val="16"/>
                <w:szCs w:val="16"/>
                <w:lang w:val="sl-SI"/>
              </w:rPr>
              <w:t>0,08</w:t>
            </w:r>
          </w:p>
        </w:tc>
        <w:tc>
          <w:tcPr>
            <w:tcW w:w="349" w:type="pct"/>
            <w:gridSpan w:val="2"/>
          </w:tcPr>
          <w:p w14:paraId="6DCA33A4" w14:textId="77777777" w:rsidR="005A48F1" w:rsidRPr="00BD4849" w:rsidRDefault="005A48F1" w:rsidP="009F141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sl-SI"/>
              </w:rPr>
            </w:pPr>
            <w:r w:rsidRPr="00BD4849">
              <w:rPr>
                <w:rFonts w:ascii="Arial" w:hAnsi="Arial" w:cs="Arial"/>
                <w:sz w:val="16"/>
                <w:szCs w:val="16"/>
                <w:lang w:val="sl-SI"/>
              </w:rPr>
              <w:t>0,09</w:t>
            </w:r>
          </w:p>
        </w:tc>
        <w:tc>
          <w:tcPr>
            <w:tcW w:w="350" w:type="pct"/>
            <w:gridSpan w:val="2"/>
          </w:tcPr>
          <w:p w14:paraId="012C1A69" w14:textId="77777777" w:rsidR="005A48F1" w:rsidRPr="00BD4849" w:rsidRDefault="005A48F1" w:rsidP="009F141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sl-SI"/>
              </w:rPr>
            </w:pPr>
            <w:r w:rsidRPr="00BD4849">
              <w:rPr>
                <w:rFonts w:ascii="Arial" w:hAnsi="Arial" w:cs="Arial"/>
                <w:sz w:val="16"/>
                <w:szCs w:val="16"/>
                <w:lang w:val="sl-SI"/>
              </w:rPr>
              <w:t>0,02</w:t>
            </w:r>
          </w:p>
        </w:tc>
      </w:tr>
      <w:tr w:rsidR="005A48F1" w:rsidRPr="00BD4849" w14:paraId="3C34D11A" w14:textId="77777777" w:rsidTr="009F1410">
        <w:trPr>
          <w:cnfStyle w:val="000000100000" w:firstRow="0" w:lastRow="0" w:firstColumn="0" w:lastColumn="0" w:oddVBand="0" w:evenVBand="0" w:oddHBand="1" w:evenHBand="0" w:firstRowFirstColumn="0" w:firstRowLastColumn="0" w:lastRowFirstColumn="0" w:lastRowLastColumn="0"/>
          <w:trHeight w:val="42"/>
        </w:trPr>
        <w:tc>
          <w:tcPr>
            <w:cnfStyle w:val="001000000000" w:firstRow="0" w:lastRow="0" w:firstColumn="1" w:lastColumn="0" w:oddVBand="0" w:evenVBand="0" w:oddHBand="0" w:evenHBand="0" w:firstRowFirstColumn="0" w:firstRowLastColumn="0" w:lastRowFirstColumn="0" w:lastRowLastColumn="0"/>
            <w:tcW w:w="449" w:type="pct"/>
            <w:vMerge/>
          </w:tcPr>
          <w:p w14:paraId="0D18EA33" w14:textId="77777777" w:rsidR="005A48F1" w:rsidRPr="00BD4849" w:rsidRDefault="005A48F1" w:rsidP="009F1410">
            <w:pPr>
              <w:spacing w:line="20" w:lineRule="atLeast"/>
              <w:rPr>
                <w:rFonts w:ascii="Arial" w:hAnsi="Arial" w:cs="Arial"/>
                <w:b w:val="0"/>
                <w:bCs w:val="0"/>
                <w:sz w:val="20"/>
                <w:szCs w:val="20"/>
                <w:lang w:val="sl-SI"/>
              </w:rPr>
            </w:pPr>
          </w:p>
        </w:tc>
        <w:tc>
          <w:tcPr>
            <w:tcW w:w="1969" w:type="pct"/>
          </w:tcPr>
          <w:p w14:paraId="0FDD4FC7" w14:textId="77777777" w:rsidR="005A48F1" w:rsidRPr="00BD4849" w:rsidRDefault="005A48F1" w:rsidP="009F1410">
            <w:pPr>
              <w:spacing w:line="20" w:lineRule="atLeast"/>
              <w:cnfStyle w:val="000000100000" w:firstRow="0" w:lastRow="0" w:firstColumn="0" w:lastColumn="0" w:oddVBand="0" w:evenVBand="0" w:oddHBand="1" w:evenHBand="0" w:firstRowFirstColumn="0" w:firstRowLastColumn="0" w:lastRowFirstColumn="0" w:lastRowLastColumn="0"/>
              <w:rPr>
                <w:rFonts w:ascii="Arial" w:hAnsi="Arial" w:cs="Arial"/>
                <w:sz w:val="20"/>
                <w:szCs w:val="20"/>
                <w:shd w:val="clear" w:color="auto" w:fill="FFFFFF"/>
                <w:lang w:val="sl-SI" w:eastAsia="sl-SI"/>
              </w:rPr>
            </w:pPr>
            <w:r w:rsidRPr="00BD4849">
              <w:rPr>
                <w:rFonts w:ascii="Arial" w:hAnsi="Arial" w:cs="Arial"/>
                <w:sz w:val="20"/>
                <w:szCs w:val="20"/>
                <w:shd w:val="clear" w:color="auto" w:fill="FFFFFF"/>
                <w:lang w:val="sl-SI" w:eastAsia="sl-SI"/>
              </w:rPr>
              <w:t>Oprostitev plačila za vodno pravico; oprostitev plačila vodnega povračila; gojiteljem vodnih organizmov znižanje plačila vodnega povračila v višini 40% od celotne vrednosti; 50% znižanje davčne osnove katastrskega dohodka ter 65% osnove tržnih prihodkov (panj)</w:t>
            </w:r>
          </w:p>
        </w:tc>
        <w:tc>
          <w:tcPr>
            <w:tcW w:w="303" w:type="pct"/>
          </w:tcPr>
          <w:p w14:paraId="384A4BB0" w14:textId="77777777" w:rsidR="005A48F1" w:rsidRPr="00BD4849" w:rsidRDefault="005A48F1" w:rsidP="009F141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sl-SI"/>
              </w:rPr>
            </w:pPr>
            <w:r w:rsidRPr="00BD4849">
              <w:rPr>
                <w:rFonts w:ascii="Arial" w:hAnsi="Arial" w:cs="Arial"/>
                <w:sz w:val="16"/>
                <w:szCs w:val="16"/>
                <w:lang w:val="sl-SI"/>
              </w:rPr>
              <w:t>D.29</w:t>
            </w:r>
          </w:p>
        </w:tc>
        <w:tc>
          <w:tcPr>
            <w:tcW w:w="533" w:type="pct"/>
          </w:tcPr>
          <w:p w14:paraId="15467E96" w14:textId="77777777" w:rsidR="005A48F1" w:rsidRPr="00BD4849" w:rsidRDefault="005A48F1" w:rsidP="009F141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sl-SI"/>
              </w:rPr>
            </w:pPr>
            <w:r w:rsidRPr="00BD4849">
              <w:rPr>
                <w:rFonts w:ascii="Arial" w:hAnsi="Arial" w:cs="Arial"/>
                <w:sz w:val="16"/>
                <w:szCs w:val="16"/>
                <w:lang w:val="sl-SI"/>
              </w:rPr>
              <w:t>Sprejet</w:t>
            </w:r>
          </w:p>
        </w:tc>
        <w:tc>
          <w:tcPr>
            <w:tcW w:w="349" w:type="pct"/>
          </w:tcPr>
          <w:p w14:paraId="4C7301FB" w14:textId="6EB0285B" w:rsidR="005A48F1" w:rsidRPr="00BD4849" w:rsidRDefault="006D5278" w:rsidP="009F141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sl-SI"/>
              </w:rPr>
            </w:pPr>
            <w:r>
              <w:rPr>
                <w:rFonts w:ascii="Arial" w:hAnsi="Arial" w:cs="Arial"/>
                <w:sz w:val="16"/>
                <w:szCs w:val="16"/>
                <w:lang w:val="sl-SI"/>
              </w:rPr>
              <w:t>-</w:t>
            </w:r>
            <w:r w:rsidR="005A48F1" w:rsidRPr="00BD4849">
              <w:rPr>
                <w:rFonts w:ascii="Arial" w:hAnsi="Arial" w:cs="Arial"/>
                <w:sz w:val="16"/>
                <w:szCs w:val="16"/>
                <w:lang w:val="sl-SI"/>
              </w:rPr>
              <w:t>0,01</w:t>
            </w:r>
          </w:p>
        </w:tc>
        <w:tc>
          <w:tcPr>
            <w:tcW w:w="349" w:type="pct"/>
            <w:gridSpan w:val="2"/>
          </w:tcPr>
          <w:p w14:paraId="731FCA94" w14:textId="770918C0" w:rsidR="005A48F1" w:rsidRPr="00BD4849" w:rsidRDefault="005A48F1" w:rsidP="009F141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sl-SI"/>
              </w:rPr>
            </w:pPr>
            <w:r w:rsidRPr="00BD4849">
              <w:rPr>
                <w:rFonts w:ascii="Arial" w:hAnsi="Arial" w:cs="Arial"/>
                <w:sz w:val="16"/>
                <w:szCs w:val="16"/>
                <w:lang w:val="sl-SI"/>
              </w:rPr>
              <w:t>0,01</w:t>
            </w:r>
          </w:p>
        </w:tc>
        <w:tc>
          <w:tcPr>
            <w:tcW w:w="349" w:type="pct"/>
            <w:gridSpan w:val="2"/>
          </w:tcPr>
          <w:p w14:paraId="25AB8C26" w14:textId="77777777" w:rsidR="005A48F1" w:rsidRPr="00BD4849" w:rsidRDefault="005A48F1" w:rsidP="009F141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sl-SI"/>
              </w:rPr>
            </w:pPr>
            <w:r w:rsidRPr="00BD4849">
              <w:rPr>
                <w:rFonts w:ascii="Arial" w:hAnsi="Arial" w:cs="Arial"/>
                <w:sz w:val="16"/>
                <w:szCs w:val="16"/>
                <w:lang w:val="sl-SI"/>
              </w:rPr>
              <w:t>0,00</w:t>
            </w:r>
          </w:p>
        </w:tc>
        <w:tc>
          <w:tcPr>
            <w:tcW w:w="349" w:type="pct"/>
            <w:gridSpan w:val="2"/>
          </w:tcPr>
          <w:p w14:paraId="412C555D" w14:textId="77777777" w:rsidR="005A48F1" w:rsidRPr="00BD4849" w:rsidRDefault="005A48F1" w:rsidP="009F141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sl-SI"/>
              </w:rPr>
            </w:pPr>
            <w:r w:rsidRPr="00BD4849">
              <w:rPr>
                <w:rFonts w:ascii="Arial" w:hAnsi="Arial" w:cs="Arial"/>
                <w:sz w:val="16"/>
                <w:szCs w:val="16"/>
                <w:lang w:val="sl-SI"/>
              </w:rPr>
              <w:t>0,00</w:t>
            </w:r>
          </w:p>
        </w:tc>
        <w:tc>
          <w:tcPr>
            <w:tcW w:w="350" w:type="pct"/>
            <w:gridSpan w:val="2"/>
          </w:tcPr>
          <w:p w14:paraId="5CD3962B" w14:textId="77777777" w:rsidR="005A48F1" w:rsidRPr="00BD4849" w:rsidRDefault="005A48F1" w:rsidP="009F141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sl-SI"/>
              </w:rPr>
            </w:pPr>
            <w:r w:rsidRPr="00BD4849">
              <w:rPr>
                <w:rFonts w:ascii="Arial" w:hAnsi="Arial" w:cs="Arial"/>
                <w:sz w:val="16"/>
                <w:szCs w:val="16"/>
                <w:lang w:val="sl-SI"/>
              </w:rPr>
              <w:t>0,00</w:t>
            </w:r>
          </w:p>
        </w:tc>
      </w:tr>
      <w:tr w:rsidR="005A48F1" w:rsidRPr="008F301B" w14:paraId="25434F97" w14:textId="77777777" w:rsidTr="009F1410">
        <w:trPr>
          <w:trHeight w:val="59"/>
        </w:trPr>
        <w:tc>
          <w:tcPr>
            <w:cnfStyle w:val="001000000000" w:firstRow="0" w:lastRow="0" w:firstColumn="1" w:lastColumn="0" w:oddVBand="0" w:evenVBand="0" w:oddHBand="0" w:evenHBand="0" w:firstRowFirstColumn="0" w:firstRowLastColumn="0" w:lastRowFirstColumn="0" w:lastRowLastColumn="0"/>
            <w:tcW w:w="4670" w:type="pct"/>
            <w:gridSpan w:val="12"/>
          </w:tcPr>
          <w:p w14:paraId="5146B859" w14:textId="77777777" w:rsidR="005A48F1" w:rsidRPr="00BD4849" w:rsidRDefault="005A48F1" w:rsidP="009F1410">
            <w:pPr>
              <w:spacing w:line="20" w:lineRule="atLeast"/>
              <w:rPr>
                <w:rFonts w:ascii="Arial" w:hAnsi="Arial" w:cs="Arial"/>
                <w:iCs/>
                <w:sz w:val="16"/>
                <w:szCs w:val="16"/>
                <w:lang w:val="sl-SI"/>
              </w:rPr>
            </w:pPr>
            <w:r w:rsidRPr="00BD4849">
              <w:rPr>
                <w:rFonts w:ascii="Arial" w:hAnsi="Arial" w:cs="Arial"/>
                <w:iCs/>
                <w:sz w:val="16"/>
                <w:szCs w:val="16"/>
                <w:lang w:val="sl-SI"/>
              </w:rPr>
              <w:t>Ukrepi na strani izdatkov države</w:t>
            </w:r>
          </w:p>
        </w:tc>
        <w:tc>
          <w:tcPr>
            <w:tcW w:w="330" w:type="pct"/>
          </w:tcPr>
          <w:p w14:paraId="211B095F" w14:textId="77777777" w:rsidR="005A48F1" w:rsidRPr="00BD4849" w:rsidRDefault="005A48F1" w:rsidP="009F1410">
            <w:pPr>
              <w:spacing w:line="20" w:lineRule="atLeast"/>
              <w:cnfStyle w:val="000000000000" w:firstRow="0" w:lastRow="0" w:firstColumn="0" w:lastColumn="0" w:oddVBand="0" w:evenVBand="0" w:oddHBand="0" w:evenHBand="0" w:firstRowFirstColumn="0" w:firstRowLastColumn="0" w:lastRowFirstColumn="0" w:lastRowLastColumn="0"/>
              <w:rPr>
                <w:rFonts w:ascii="Arial" w:hAnsi="Arial" w:cs="Arial"/>
                <w:iCs/>
                <w:sz w:val="16"/>
                <w:szCs w:val="16"/>
                <w:lang w:val="sl-SI"/>
              </w:rPr>
            </w:pPr>
          </w:p>
        </w:tc>
      </w:tr>
      <w:tr w:rsidR="005A48F1" w:rsidRPr="00BD4849" w14:paraId="36C7D0A3" w14:textId="77777777" w:rsidTr="009F1410">
        <w:trPr>
          <w:cnfStyle w:val="000000100000" w:firstRow="0" w:lastRow="0" w:firstColumn="0" w:lastColumn="0" w:oddVBand="0" w:evenVBand="0" w:oddHBand="1" w:evenHBand="0" w:firstRowFirstColumn="0" w:firstRowLastColumn="0" w:lastRowFirstColumn="0" w:lastRowLastColumn="0"/>
          <w:trHeight w:val="602"/>
        </w:trPr>
        <w:tc>
          <w:tcPr>
            <w:cnfStyle w:val="001000000000" w:firstRow="0" w:lastRow="0" w:firstColumn="1" w:lastColumn="0" w:oddVBand="0" w:evenVBand="0" w:oddHBand="0" w:evenHBand="0" w:firstRowFirstColumn="0" w:firstRowLastColumn="0" w:lastRowFirstColumn="0" w:lastRowLastColumn="0"/>
            <w:tcW w:w="449" w:type="pct"/>
            <w:vMerge w:val="restart"/>
            <w:textDirection w:val="btLr"/>
            <w:hideMark/>
          </w:tcPr>
          <w:p w14:paraId="225111AC" w14:textId="77777777" w:rsidR="005A48F1" w:rsidRPr="00BD4849" w:rsidRDefault="005A48F1" w:rsidP="009F1410">
            <w:pPr>
              <w:spacing w:line="20" w:lineRule="atLeast"/>
              <w:ind w:left="113" w:right="113"/>
              <w:rPr>
                <w:rFonts w:ascii="Arial" w:hAnsi="Arial" w:cs="Arial"/>
                <w:sz w:val="20"/>
                <w:szCs w:val="20"/>
                <w:lang w:val="sl-SI"/>
              </w:rPr>
            </w:pPr>
            <w:r w:rsidRPr="00BD4849">
              <w:rPr>
                <w:rFonts w:ascii="Arial" w:hAnsi="Arial" w:cs="Arial"/>
                <w:b w:val="0"/>
                <w:bCs w:val="0"/>
                <w:sz w:val="20"/>
                <w:szCs w:val="20"/>
                <w:lang w:val="sl-SI"/>
              </w:rPr>
              <w:t>UKREPI NA PODROČJU DELA IN PRISPEVKOV</w:t>
            </w:r>
          </w:p>
          <w:p w14:paraId="1B1FC7B5" w14:textId="77777777" w:rsidR="005A48F1" w:rsidRPr="00BD4849" w:rsidRDefault="005A48F1" w:rsidP="009F1410">
            <w:pPr>
              <w:spacing w:line="20" w:lineRule="atLeast"/>
              <w:ind w:left="113" w:right="113"/>
              <w:rPr>
                <w:rFonts w:ascii="Arial" w:hAnsi="Arial" w:cs="Arial"/>
                <w:b w:val="0"/>
                <w:bCs w:val="0"/>
                <w:sz w:val="20"/>
                <w:szCs w:val="20"/>
                <w:lang w:val="sl-SI"/>
              </w:rPr>
            </w:pPr>
            <w:r w:rsidRPr="00BD4849">
              <w:rPr>
                <w:rFonts w:ascii="Arial" w:hAnsi="Arial" w:cs="Arial"/>
                <w:b w:val="0"/>
                <w:bCs w:val="0"/>
                <w:sz w:val="20"/>
                <w:szCs w:val="20"/>
                <w:lang w:val="sl-SI"/>
              </w:rPr>
              <w:t>(COVID)</w:t>
            </w:r>
          </w:p>
          <w:p w14:paraId="2D3D2486" w14:textId="77777777" w:rsidR="005A48F1" w:rsidRPr="00BD4849" w:rsidRDefault="005A48F1" w:rsidP="009F1410">
            <w:pPr>
              <w:spacing w:line="20" w:lineRule="atLeast"/>
              <w:ind w:left="113" w:right="113"/>
              <w:rPr>
                <w:rFonts w:ascii="Arial" w:hAnsi="Arial" w:cs="Arial"/>
                <w:b w:val="0"/>
                <w:bCs w:val="0"/>
                <w:sz w:val="20"/>
                <w:szCs w:val="20"/>
                <w:lang w:val="sl-SI"/>
              </w:rPr>
            </w:pPr>
          </w:p>
          <w:p w14:paraId="1DAF043F" w14:textId="77777777" w:rsidR="005A48F1" w:rsidRPr="00BD4849" w:rsidRDefault="005A48F1" w:rsidP="009F1410">
            <w:pPr>
              <w:spacing w:line="20" w:lineRule="atLeast"/>
              <w:ind w:left="113" w:right="113"/>
              <w:rPr>
                <w:rFonts w:ascii="Arial" w:hAnsi="Arial" w:cs="Arial"/>
                <w:b w:val="0"/>
                <w:bCs w:val="0"/>
                <w:sz w:val="20"/>
                <w:szCs w:val="20"/>
                <w:lang w:val="sl-SI"/>
              </w:rPr>
            </w:pPr>
          </w:p>
          <w:p w14:paraId="5E429703" w14:textId="77777777" w:rsidR="005A48F1" w:rsidRPr="00BD4849" w:rsidRDefault="005A48F1" w:rsidP="009F1410">
            <w:pPr>
              <w:spacing w:line="20" w:lineRule="atLeast"/>
              <w:ind w:left="113" w:right="113"/>
              <w:rPr>
                <w:rFonts w:ascii="Arial" w:hAnsi="Arial" w:cs="Arial"/>
                <w:b w:val="0"/>
                <w:bCs w:val="0"/>
                <w:sz w:val="20"/>
                <w:szCs w:val="20"/>
                <w:lang w:val="sl-SI"/>
              </w:rPr>
            </w:pPr>
          </w:p>
          <w:p w14:paraId="3BA83BC9" w14:textId="77777777" w:rsidR="005A48F1" w:rsidRPr="00BD4849" w:rsidRDefault="005A48F1" w:rsidP="009F1410">
            <w:pPr>
              <w:spacing w:line="20" w:lineRule="atLeast"/>
              <w:ind w:left="113" w:right="113"/>
              <w:rPr>
                <w:rFonts w:ascii="Arial" w:hAnsi="Arial" w:cs="Arial"/>
                <w:b w:val="0"/>
                <w:bCs w:val="0"/>
                <w:sz w:val="20"/>
                <w:szCs w:val="20"/>
                <w:lang w:val="sl-SI"/>
              </w:rPr>
            </w:pPr>
          </w:p>
          <w:p w14:paraId="400A64DD" w14:textId="77777777" w:rsidR="005A48F1" w:rsidRPr="00BD4849" w:rsidRDefault="005A48F1" w:rsidP="009F1410">
            <w:pPr>
              <w:spacing w:line="20" w:lineRule="atLeast"/>
              <w:ind w:left="113" w:right="113"/>
              <w:rPr>
                <w:rFonts w:ascii="Arial" w:hAnsi="Arial" w:cs="Arial"/>
                <w:b w:val="0"/>
                <w:bCs w:val="0"/>
                <w:sz w:val="20"/>
                <w:szCs w:val="20"/>
                <w:lang w:val="sl-SI"/>
              </w:rPr>
            </w:pPr>
          </w:p>
          <w:p w14:paraId="69CC39C4" w14:textId="77777777" w:rsidR="005A48F1" w:rsidRPr="00BD4849" w:rsidRDefault="005A48F1" w:rsidP="009F1410">
            <w:pPr>
              <w:spacing w:line="20" w:lineRule="atLeast"/>
              <w:ind w:left="113" w:right="113"/>
              <w:rPr>
                <w:rFonts w:ascii="Arial" w:hAnsi="Arial" w:cs="Arial"/>
                <w:b w:val="0"/>
                <w:bCs w:val="0"/>
                <w:sz w:val="20"/>
                <w:szCs w:val="20"/>
                <w:lang w:val="sl-SI"/>
              </w:rPr>
            </w:pPr>
          </w:p>
          <w:p w14:paraId="5AD0F8FB" w14:textId="77777777" w:rsidR="005A48F1" w:rsidRPr="00BD4849" w:rsidRDefault="005A48F1" w:rsidP="009F1410">
            <w:pPr>
              <w:spacing w:line="20" w:lineRule="atLeast"/>
              <w:ind w:left="113" w:right="113"/>
              <w:rPr>
                <w:rFonts w:ascii="Arial" w:hAnsi="Arial" w:cs="Arial"/>
                <w:b w:val="0"/>
                <w:bCs w:val="0"/>
                <w:sz w:val="20"/>
                <w:szCs w:val="20"/>
                <w:lang w:val="sl-SI"/>
              </w:rPr>
            </w:pPr>
          </w:p>
          <w:p w14:paraId="1DEC9ACA" w14:textId="77777777" w:rsidR="005A48F1" w:rsidRPr="00BD4849" w:rsidRDefault="005A48F1" w:rsidP="009F1410">
            <w:pPr>
              <w:ind w:left="113" w:right="113"/>
              <w:rPr>
                <w:rFonts w:ascii="Arial" w:hAnsi="Arial" w:cs="Arial"/>
                <w:b w:val="0"/>
                <w:bCs w:val="0"/>
                <w:sz w:val="20"/>
                <w:szCs w:val="20"/>
                <w:lang w:val="sl-SI"/>
              </w:rPr>
            </w:pPr>
          </w:p>
          <w:p w14:paraId="18FAF68D" w14:textId="77777777" w:rsidR="005A48F1" w:rsidRPr="00BD4849" w:rsidRDefault="005A48F1" w:rsidP="009F1410">
            <w:pPr>
              <w:ind w:left="113" w:right="113"/>
              <w:rPr>
                <w:rFonts w:ascii="Arial" w:hAnsi="Arial" w:cs="Arial"/>
                <w:b w:val="0"/>
                <w:bCs w:val="0"/>
                <w:sz w:val="20"/>
                <w:szCs w:val="20"/>
                <w:lang w:val="sl-SI"/>
              </w:rPr>
            </w:pPr>
          </w:p>
          <w:p w14:paraId="6ED1376B" w14:textId="77777777" w:rsidR="005A48F1" w:rsidRPr="00BD4849" w:rsidRDefault="005A48F1" w:rsidP="009F1410">
            <w:pPr>
              <w:ind w:left="113" w:right="113"/>
              <w:rPr>
                <w:rFonts w:ascii="Arial" w:hAnsi="Arial" w:cs="Arial"/>
                <w:b w:val="0"/>
                <w:bCs w:val="0"/>
                <w:sz w:val="20"/>
                <w:szCs w:val="20"/>
                <w:lang w:val="sl-SI"/>
              </w:rPr>
            </w:pPr>
          </w:p>
          <w:p w14:paraId="6B47E68D" w14:textId="77777777" w:rsidR="005A48F1" w:rsidRPr="00BD4849" w:rsidRDefault="005A48F1" w:rsidP="009F1410">
            <w:pPr>
              <w:ind w:left="113" w:right="113"/>
              <w:rPr>
                <w:rFonts w:ascii="Arial" w:hAnsi="Arial" w:cs="Arial"/>
                <w:b w:val="0"/>
                <w:bCs w:val="0"/>
                <w:sz w:val="20"/>
                <w:szCs w:val="20"/>
                <w:lang w:val="sl-SI"/>
              </w:rPr>
            </w:pPr>
          </w:p>
          <w:p w14:paraId="4064919B" w14:textId="77777777" w:rsidR="005A48F1" w:rsidRPr="00BD4849" w:rsidRDefault="005A48F1" w:rsidP="009F1410">
            <w:pPr>
              <w:ind w:left="113" w:right="113"/>
              <w:rPr>
                <w:rFonts w:ascii="Arial" w:hAnsi="Arial" w:cs="Arial"/>
                <w:b w:val="0"/>
                <w:bCs w:val="0"/>
                <w:sz w:val="20"/>
                <w:szCs w:val="20"/>
                <w:lang w:val="sl-SI"/>
              </w:rPr>
            </w:pPr>
          </w:p>
          <w:p w14:paraId="6D32ADD0" w14:textId="77777777" w:rsidR="005A48F1" w:rsidRPr="00BD4849" w:rsidRDefault="005A48F1" w:rsidP="009F1410">
            <w:pPr>
              <w:ind w:left="113" w:right="113"/>
              <w:rPr>
                <w:rFonts w:ascii="Arial" w:hAnsi="Arial" w:cs="Arial"/>
                <w:b w:val="0"/>
                <w:bCs w:val="0"/>
                <w:sz w:val="20"/>
                <w:szCs w:val="20"/>
                <w:lang w:val="sl-SI"/>
              </w:rPr>
            </w:pPr>
          </w:p>
          <w:p w14:paraId="4C4301D8" w14:textId="77777777" w:rsidR="005A48F1" w:rsidRPr="00BD4849" w:rsidRDefault="005A48F1" w:rsidP="009F1410">
            <w:pPr>
              <w:ind w:left="113" w:right="113"/>
              <w:rPr>
                <w:rFonts w:ascii="Arial" w:hAnsi="Arial" w:cs="Arial"/>
                <w:b w:val="0"/>
                <w:bCs w:val="0"/>
                <w:sz w:val="20"/>
                <w:szCs w:val="20"/>
                <w:lang w:val="sl-SI"/>
              </w:rPr>
            </w:pPr>
          </w:p>
          <w:p w14:paraId="41AA89EB" w14:textId="77777777" w:rsidR="005A48F1" w:rsidRPr="00BD4849" w:rsidRDefault="005A48F1" w:rsidP="009F1410">
            <w:pPr>
              <w:ind w:left="113" w:right="113"/>
              <w:rPr>
                <w:rFonts w:ascii="Arial" w:hAnsi="Arial" w:cs="Arial"/>
                <w:b w:val="0"/>
                <w:bCs w:val="0"/>
                <w:sz w:val="20"/>
                <w:szCs w:val="20"/>
                <w:lang w:val="sl-SI"/>
              </w:rPr>
            </w:pPr>
          </w:p>
          <w:p w14:paraId="4679DD07" w14:textId="77777777" w:rsidR="005A48F1" w:rsidRPr="00BD4849" w:rsidRDefault="005A48F1" w:rsidP="009F1410">
            <w:pPr>
              <w:ind w:left="113" w:right="113"/>
              <w:rPr>
                <w:rFonts w:ascii="Arial" w:hAnsi="Arial" w:cs="Arial"/>
                <w:b w:val="0"/>
                <w:bCs w:val="0"/>
                <w:sz w:val="20"/>
                <w:szCs w:val="20"/>
                <w:lang w:val="sl-SI"/>
              </w:rPr>
            </w:pPr>
          </w:p>
          <w:p w14:paraId="4C213B85" w14:textId="77777777" w:rsidR="005A48F1" w:rsidRPr="00BD4849" w:rsidRDefault="005A48F1" w:rsidP="009F1410">
            <w:pPr>
              <w:ind w:left="113" w:right="113"/>
              <w:rPr>
                <w:rFonts w:ascii="Arial" w:hAnsi="Arial" w:cs="Arial"/>
                <w:b w:val="0"/>
                <w:bCs w:val="0"/>
                <w:sz w:val="20"/>
                <w:szCs w:val="20"/>
                <w:lang w:val="sl-SI"/>
              </w:rPr>
            </w:pPr>
          </w:p>
          <w:p w14:paraId="31F53F53" w14:textId="77777777" w:rsidR="005A48F1" w:rsidRPr="00BD4849" w:rsidRDefault="005A48F1" w:rsidP="009F1410">
            <w:pPr>
              <w:ind w:left="113" w:right="113"/>
              <w:rPr>
                <w:rFonts w:ascii="Arial" w:hAnsi="Arial" w:cs="Arial"/>
                <w:b w:val="0"/>
                <w:bCs w:val="0"/>
                <w:sz w:val="20"/>
                <w:szCs w:val="20"/>
                <w:lang w:val="sl-SI"/>
              </w:rPr>
            </w:pPr>
          </w:p>
          <w:p w14:paraId="288B1D1C" w14:textId="77777777" w:rsidR="005A48F1" w:rsidRPr="00BD4849" w:rsidRDefault="005A48F1" w:rsidP="009F1410">
            <w:pPr>
              <w:ind w:left="113" w:right="113"/>
              <w:rPr>
                <w:rFonts w:ascii="Arial" w:hAnsi="Arial" w:cs="Arial"/>
                <w:b w:val="0"/>
                <w:bCs w:val="0"/>
                <w:sz w:val="20"/>
                <w:szCs w:val="20"/>
                <w:lang w:val="sl-SI"/>
              </w:rPr>
            </w:pPr>
          </w:p>
          <w:p w14:paraId="7BE8795C" w14:textId="77777777" w:rsidR="005A48F1" w:rsidRPr="00BD4849" w:rsidRDefault="005A48F1" w:rsidP="009F1410">
            <w:pPr>
              <w:ind w:left="113" w:right="113"/>
              <w:rPr>
                <w:rFonts w:ascii="Arial" w:hAnsi="Arial" w:cs="Arial"/>
                <w:b w:val="0"/>
                <w:bCs w:val="0"/>
                <w:sz w:val="20"/>
                <w:szCs w:val="20"/>
                <w:lang w:val="sl-SI"/>
              </w:rPr>
            </w:pPr>
          </w:p>
        </w:tc>
        <w:tc>
          <w:tcPr>
            <w:tcW w:w="1969" w:type="pct"/>
          </w:tcPr>
          <w:p w14:paraId="2084B57C" w14:textId="77777777" w:rsidR="005A48F1" w:rsidRPr="00BD4849" w:rsidRDefault="005A48F1" w:rsidP="009F1410">
            <w:pPr>
              <w:spacing w:line="20" w:lineRule="atLeas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sl-SI"/>
              </w:rPr>
            </w:pPr>
            <w:r w:rsidRPr="00BD4849">
              <w:rPr>
                <w:rFonts w:ascii="Arial" w:hAnsi="Arial" w:cs="Arial"/>
                <w:sz w:val="20"/>
                <w:szCs w:val="20"/>
                <w:lang w:val="sl-SI"/>
              </w:rPr>
              <w:t>Povračila prispevkov za PIZ (financiranje prispevkov za socialno varnost s strani državnega proračuna za vse delavce na čakanju, ki niso delali zaradi višje sile, oziroma za vse zaposlene, ki so med epidemijo delali); povračila nadomestil OZZ in nadomestila plače za čakanje na delo, odrejena karantena (zasebniki); subvencioniran del minimalne plače in delovnega časa (skrajšani del. čas); povračila kratke bolniške odsotnosti; nadomestila plače med začasno zadržanostjo od dela zaradi sobivanja (nege ožjega družinskega člana); nadomestila zaradi izolacije</w:t>
            </w:r>
          </w:p>
        </w:tc>
        <w:tc>
          <w:tcPr>
            <w:tcW w:w="303" w:type="pct"/>
          </w:tcPr>
          <w:p w14:paraId="1E3321A7" w14:textId="77777777" w:rsidR="005A48F1" w:rsidRPr="00BD4849" w:rsidRDefault="005A48F1" w:rsidP="009F141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sl-SI"/>
              </w:rPr>
            </w:pPr>
            <w:r w:rsidRPr="00BD4849">
              <w:rPr>
                <w:rFonts w:ascii="Arial" w:hAnsi="Arial" w:cs="Arial"/>
                <w:sz w:val="16"/>
                <w:szCs w:val="16"/>
                <w:lang w:val="sl-SI"/>
              </w:rPr>
              <w:t>D.3</w:t>
            </w:r>
          </w:p>
        </w:tc>
        <w:tc>
          <w:tcPr>
            <w:tcW w:w="533" w:type="pct"/>
            <w:hideMark/>
          </w:tcPr>
          <w:p w14:paraId="2A9EC1B6" w14:textId="77777777" w:rsidR="005A48F1" w:rsidRPr="00BD4849" w:rsidRDefault="005A48F1" w:rsidP="009F141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sl-SI"/>
              </w:rPr>
            </w:pPr>
            <w:r w:rsidRPr="00BD4849">
              <w:rPr>
                <w:rFonts w:ascii="Arial" w:hAnsi="Arial" w:cs="Arial"/>
                <w:sz w:val="16"/>
                <w:szCs w:val="16"/>
                <w:lang w:val="sl-SI"/>
              </w:rPr>
              <w:t xml:space="preserve">Sprejet </w:t>
            </w:r>
          </w:p>
        </w:tc>
        <w:tc>
          <w:tcPr>
            <w:tcW w:w="349" w:type="pct"/>
          </w:tcPr>
          <w:p w14:paraId="277A25E1" w14:textId="77777777" w:rsidR="005A48F1" w:rsidRPr="00BD4849" w:rsidRDefault="005A48F1" w:rsidP="009F141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sl-SI"/>
              </w:rPr>
            </w:pPr>
            <w:r w:rsidRPr="00BD4849">
              <w:rPr>
                <w:rFonts w:ascii="Arial" w:hAnsi="Arial" w:cs="Arial"/>
                <w:sz w:val="16"/>
                <w:szCs w:val="16"/>
                <w:lang w:val="sl-SI"/>
              </w:rPr>
              <w:t>2,18</w:t>
            </w:r>
          </w:p>
        </w:tc>
        <w:tc>
          <w:tcPr>
            <w:tcW w:w="349" w:type="pct"/>
            <w:gridSpan w:val="2"/>
          </w:tcPr>
          <w:p w14:paraId="140BFC83" w14:textId="77777777" w:rsidR="005A48F1" w:rsidRPr="00BD4849" w:rsidRDefault="005A48F1" w:rsidP="009F141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sl-SI"/>
              </w:rPr>
            </w:pPr>
            <w:r w:rsidRPr="00BD4849">
              <w:rPr>
                <w:rFonts w:ascii="Arial" w:hAnsi="Arial" w:cs="Arial"/>
                <w:sz w:val="16"/>
                <w:szCs w:val="16"/>
                <w:lang w:val="sl-SI"/>
              </w:rPr>
              <w:t>-1,63</w:t>
            </w:r>
          </w:p>
        </w:tc>
        <w:tc>
          <w:tcPr>
            <w:tcW w:w="349" w:type="pct"/>
            <w:gridSpan w:val="2"/>
          </w:tcPr>
          <w:p w14:paraId="2AE2E3EA" w14:textId="77777777" w:rsidR="005A48F1" w:rsidRPr="00BD4849" w:rsidRDefault="005A48F1" w:rsidP="009F141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sl-SI"/>
              </w:rPr>
            </w:pPr>
            <w:r w:rsidRPr="00BD4849">
              <w:rPr>
                <w:rFonts w:ascii="Arial" w:hAnsi="Arial" w:cs="Arial"/>
                <w:sz w:val="16"/>
                <w:szCs w:val="16"/>
                <w:lang w:val="sl-SI"/>
              </w:rPr>
              <w:t>-0,49</w:t>
            </w:r>
          </w:p>
        </w:tc>
        <w:tc>
          <w:tcPr>
            <w:tcW w:w="349" w:type="pct"/>
            <w:gridSpan w:val="2"/>
          </w:tcPr>
          <w:p w14:paraId="5D4E55EF" w14:textId="77777777" w:rsidR="005A48F1" w:rsidRPr="00BD4849" w:rsidRDefault="005A48F1" w:rsidP="009F141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sl-SI"/>
              </w:rPr>
            </w:pPr>
            <w:r w:rsidRPr="00BD4849">
              <w:rPr>
                <w:rFonts w:ascii="Arial" w:hAnsi="Arial" w:cs="Arial"/>
                <w:sz w:val="16"/>
                <w:szCs w:val="16"/>
                <w:lang w:val="sl-SI"/>
              </w:rPr>
              <w:t>-0,03</w:t>
            </w:r>
          </w:p>
        </w:tc>
        <w:tc>
          <w:tcPr>
            <w:tcW w:w="350" w:type="pct"/>
            <w:gridSpan w:val="2"/>
          </w:tcPr>
          <w:p w14:paraId="21438812" w14:textId="77777777" w:rsidR="005A48F1" w:rsidRPr="00BD4849" w:rsidRDefault="005A48F1" w:rsidP="009F141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sl-SI"/>
              </w:rPr>
            </w:pPr>
            <w:r w:rsidRPr="00BD4849">
              <w:rPr>
                <w:rFonts w:ascii="Arial" w:hAnsi="Arial" w:cs="Arial"/>
                <w:sz w:val="16"/>
                <w:szCs w:val="16"/>
                <w:lang w:val="sl-SI"/>
              </w:rPr>
              <w:t>-0,02</w:t>
            </w:r>
          </w:p>
        </w:tc>
      </w:tr>
      <w:tr w:rsidR="005A48F1" w:rsidRPr="00BD4849" w14:paraId="4104E437" w14:textId="77777777" w:rsidTr="009F1410">
        <w:trPr>
          <w:trHeight w:val="42"/>
        </w:trPr>
        <w:tc>
          <w:tcPr>
            <w:cnfStyle w:val="001000000000" w:firstRow="0" w:lastRow="0" w:firstColumn="1" w:lastColumn="0" w:oddVBand="0" w:evenVBand="0" w:oddHBand="0" w:evenHBand="0" w:firstRowFirstColumn="0" w:firstRowLastColumn="0" w:lastRowFirstColumn="0" w:lastRowLastColumn="0"/>
            <w:tcW w:w="449" w:type="pct"/>
            <w:vMerge/>
            <w:hideMark/>
          </w:tcPr>
          <w:p w14:paraId="2A9BDC9A" w14:textId="77777777" w:rsidR="005A48F1" w:rsidRPr="00BD4849" w:rsidRDefault="005A48F1" w:rsidP="009F1410">
            <w:pPr>
              <w:spacing w:line="20" w:lineRule="atLeast"/>
              <w:rPr>
                <w:rFonts w:ascii="Arial" w:hAnsi="Arial" w:cs="Arial"/>
                <w:b w:val="0"/>
                <w:bCs w:val="0"/>
                <w:sz w:val="20"/>
                <w:szCs w:val="20"/>
                <w:lang w:val="sl-SI"/>
              </w:rPr>
            </w:pPr>
          </w:p>
        </w:tc>
        <w:tc>
          <w:tcPr>
            <w:tcW w:w="1969" w:type="pct"/>
          </w:tcPr>
          <w:p w14:paraId="386ABC30" w14:textId="77777777" w:rsidR="005A48F1" w:rsidRPr="00BD4849" w:rsidRDefault="005A48F1" w:rsidP="009F1410">
            <w:pPr>
              <w:spacing w:line="20" w:lineRule="atLeas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sl-SI"/>
              </w:rPr>
            </w:pPr>
            <w:r w:rsidRPr="00BD4849">
              <w:rPr>
                <w:rFonts w:ascii="Arial" w:hAnsi="Arial" w:cs="Arial"/>
                <w:sz w:val="20"/>
                <w:szCs w:val="20"/>
                <w:lang w:val="sl-SI"/>
              </w:rPr>
              <w:t>Mesečni temeljni dohodek samozaposlenim, družbenikom, kmetom in verskim uslužbencem; povračilo izgubljenega dohodka - uveljavljanje denarnih pravic kmetov in samozaposlenih v karanteni, ter povračila prispevkov za PIZ (kmetje, družbeniki)</w:t>
            </w:r>
          </w:p>
        </w:tc>
        <w:tc>
          <w:tcPr>
            <w:tcW w:w="303" w:type="pct"/>
          </w:tcPr>
          <w:p w14:paraId="71C258C6" w14:textId="77777777" w:rsidR="005A48F1" w:rsidRPr="00D1091B" w:rsidRDefault="005A48F1" w:rsidP="009F141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sl-SI"/>
              </w:rPr>
            </w:pPr>
            <w:r w:rsidRPr="00D1091B">
              <w:rPr>
                <w:rFonts w:ascii="Arial" w:hAnsi="Arial" w:cs="Arial"/>
                <w:sz w:val="16"/>
                <w:szCs w:val="16"/>
                <w:lang w:val="sl-SI"/>
              </w:rPr>
              <w:t>D.62</w:t>
            </w:r>
          </w:p>
        </w:tc>
        <w:tc>
          <w:tcPr>
            <w:tcW w:w="533" w:type="pct"/>
            <w:hideMark/>
          </w:tcPr>
          <w:p w14:paraId="47D48DE1" w14:textId="77777777" w:rsidR="005A48F1" w:rsidRPr="00BD4849" w:rsidRDefault="005A48F1" w:rsidP="009F141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 xml:space="preserve">Sprejet </w:t>
            </w:r>
          </w:p>
          <w:p w14:paraId="4053C495" w14:textId="77777777" w:rsidR="005A48F1" w:rsidRPr="00BD4849" w:rsidRDefault="005A48F1" w:rsidP="009F141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sl-SI"/>
              </w:rPr>
            </w:pPr>
          </w:p>
        </w:tc>
        <w:tc>
          <w:tcPr>
            <w:tcW w:w="349" w:type="pct"/>
          </w:tcPr>
          <w:p w14:paraId="68A96BC8" w14:textId="77777777" w:rsidR="005A48F1" w:rsidRPr="00BD4849" w:rsidRDefault="005A48F1" w:rsidP="009F141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0,33</w:t>
            </w:r>
          </w:p>
        </w:tc>
        <w:tc>
          <w:tcPr>
            <w:tcW w:w="349" w:type="pct"/>
            <w:gridSpan w:val="2"/>
          </w:tcPr>
          <w:p w14:paraId="4698C7D3" w14:textId="77777777" w:rsidR="005A48F1" w:rsidRPr="00BD4849" w:rsidRDefault="005A48F1" w:rsidP="009F141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0,07</w:t>
            </w:r>
          </w:p>
        </w:tc>
        <w:tc>
          <w:tcPr>
            <w:tcW w:w="349" w:type="pct"/>
            <w:gridSpan w:val="2"/>
          </w:tcPr>
          <w:p w14:paraId="6E36C044" w14:textId="77777777" w:rsidR="005A48F1" w:rsidRPr="00BD4849" w:rsidRDefault="005A48F1" w:rsidP="009F141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-0,40</w:t>
            </w:r>
          </w:p>
        </w:tc>
        <w:tc>
          <w:tcPr>
            <w:tcW w:w="349" w:type="pct"/>
            <w:gridSpan w:val="2"/>
          </w:tcPr>
          <w:p w14:paraId="457AF002" w14:textId="77777777" w:rsidR="005A48F1" w:rsidRPr="00BD4849" w:rsidRDefault="005A48F1" w:rsidP="009F141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0,00</w:t>
            </w:r>
          </w:p>
        </w:tc>
        <w:tc>
          <w:tcPr>
            <w:tcW w:w="350" w:type="pct"/>
            <w:gridSpan w:val="2"/>
          </w:tcPr>
          <w:p w14:paraId="18564795" w14:textId="77777777" w:rsidR="005A48F1" w:rsidRPr="00BD4849" w:rsidRDefault="005A48F1" w:rsidP="009F141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0,00</w:t>
            </w:r>
          </w:p>
        </w:tc>
      </w:tr>
      <w:tr w:rsidR="005A48F1" w:rsidRPr="00BD4849" w14:paraId="70B181DA" w14:textId="77777777" w:rsidTr="009F1410">
        <w:trPr>
          <w:cnfStyle w:val="000000100000" w:firstRow="0" w:lastRow="0" w:firstColumn="0" w:lastColumn="0" w:oddVBand="0" w:evenVBand="0" w:oddHBand="1" w:evenHBand="0" w:firstRowFirstColumn="0" w:firstRowLastColumn="0" w:lastRowFirstColumn="0" w:lastRowLastColumn="0"/>
          <w:trHeight w:val="42"/>
        </w:trPr>
        <w:tc>
          <w:tcPr>
            <w:cnfStyle w:val="001000000000" w:firstRow="0" w:lastRow="0" w:firstColumn="1" w:lastColumn="0" w:oddVBand="0" w:evenVBand="0" w:oddHBand="0" w:evenHBand="0" w:firstRowFirstColumn="0" w:firstRowLastColumn="0" w:lastRowFirstColumn="0" w:lastRowLastColumn="0"/>
            <w:tcW w:w="449" w:type="pct"/>
            <w:vMerge/>
            <w:hideMark/>
          </w:tcPr>
          <w:p w14:paraId="73B3D796" w14:textId="77777777" w:rsidR="005A48F1" w:rsidRPr="00BD4849" w:rsidRDefault="005A48F1" w:rsidP="009F1410">
            <w:pPr>
              <w:spacing w:line="20" w:lineRule="atLeast"/>
              <w:rPr>
                <w:rFonts w:ascii="Arial" w:hAnsi="Arial" w:cs="Arial"/>
                <w:b w:val="0"/>
                <w:bCs w:val="0"/>
                <w:sz w:val="20"/>
                <w:szCs w:val="20"/>
                <w:lang w:val="sl-SI"/>
              </w:rPr>
            </w:pPr>
          </w:p>
        </w:tc>
        <w:tc>
          <w:tcPr>
            <w:tcW w:w="1969" w:type="pct"/>
          </w:tcPr>
          <w:p w14:paraId="55628BE1" w14:textId="77777777" w:rsidR="005A48F1" w:rsidRPr="00BD4849" w:rsidRDefault="005A48F1" w:rsidP="009F1410">
            <w:pPr>
              <w:spacing w:line="20" w:lineRule="atLeast"/>
              <w:cnfStyle w:val="000000100000" w:firstRow="0" w:lastRow="0" w:firstColumn="0" w:lastColumn="0" w:oddVBand="0" w:evenVBand="0" w:oddHBand="1" w:evenHBand="0" w:firstRowFirstColumn="0" w:firstRowLastColumn="0" w:lastRowFirstColumn="0" w:lastRowLastColumn="0"/>
              <w:rPr>
                <w:rFonts w:ascii="Arial" w:hAnsi="Arial" w:cs="Arial"/>
                <w:sz w:val="20"/>
                <w:szCs w:val="20"/>
                <w:shd w:val="clear" w:color="auto" w:fill="FFFFFF"/>
                <w:lang w:val="sl-SI" w:eastAsia="sl-SI"/>
              </w:rPr>
            </w:pPr>
            <w:r w:rsidRPr="00BD4849">
              <w:rPr>
                <w:rFonts w:ascii="Arial" w:hAnsi="Arial" w:cs="Arial"/>
                <w:sz w:val="20"/>
                <w:szCs w:val="20"/>
                <w:shd w:val="clear" w:color="auto" w:fill="FFFFFF"/>
                <w:lang w:val="sl-SI" w:eastAsia="sl-SI"/>
              </w:rPr>
              <w:t xml:space="preserve">Interventni ukrep povračila nadomestila plače - odrejena karantena; povračila kratke bolniške odsotnosti; skrajšani delovni čas; </w:t>
            </w:r>
            <w:r w:rsidRPr="00BD4849">
              <w:rPr>
                <w:rFonts w:ascii="Arial" w:hAnsi="Arial" w:cs="Arial"/>
                <w:sz w:val="20"/>
                <w:szCs w:val="20"/>
                <w:lang w:val="sl-SI"/>
              </w:rPr>
              <w:t>nadomestila zaradi izolacije</w:t>
            </w:r>
          </w:p>
        </w:tc>
        <w:tc>
          <w:tcPr>
            <w:tcW w:w="303" w:type="pct"/>
          </w:tcPr>
          <w:p w14:paraId="409D1047" w14:textId="77777777" w:rsidR="005A48F1" w:rsidRPr="00D1091B" w:rsidRDefault="005A48F1" w:rsidP="009F141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sl-SI"/>
              </w:rPr>
            </w:pPr>
            <w:r w:rsidRPr="00D1091B">
              <w:rPr>
                <w:rFonts w:ascii="Arial" w:hAnsi="Arial" w:cs="Arial"/>
                <w:sz w:val="16"/>
                <w:szCs w:val="16"/>
                <w:lang w:val="sl-SI"/>
              </w:rPr>
              <w:t>D.1</w:t>
            </w:r>
          </w:p>
        </w:tc>
        <w:tc>
          <w:tcPr>
            <w:tcW w:w="533" w:type="pct"/>
            <w:hideMark/>
          </w:tcPr>
          <w:p w14:paraId="64864FF4" w14:textId="77777777" w:rsidR="005A48F1" w:rsidRPr="00BD4849" w:rsidRDefault="005A48F1" w:rsidP="009F141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 xml:space="preserve">Sprejet </w:t>
            </w:r>
          </w:p>
        </w:tc>
        <w:tc>
          <w:tcPr>
            <w:tcW w:w="349" w:type="pct"/>
          </w:tcPr>
          <w:p w14:paraId="0FB62D84" w14:textId="77777777" w:rsidR="005A48F1" w:rsidRPr="00BD4849" w:rsidRDefault="005A48F1" w:rsidP="009F141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0,01</w:t>
            </w:r>
          </w:p>
        </w:tc>
        <w:tc>
          <w:tcPr>
            <w:tcW w:w="349" w:type="pct"/>
            <w:gridSpan w:val="2"/>
          </w:tcPr>
          <w:p w14:paraId="5AFCEDAE" w14:textId="77777777" w:rsidR="005A48F1" w:rsidRPr="00BD4849" w:rsidRDefault="005A48F1" w:rsidP="009F141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0,00</w:t>
            </w:r>
          </w:p>
        </w:tc>
        <w:tc>
          <w:tcPr>
            <w:tcW w:w="349" w:type="pct"/>
            <w:gridSpan w:val="2"/>
          </w:tcPr>
          <w:p w14:paraId="3437060D" w14:textId="77777777" w:rsidR="005A48F1" w:rsidRPr="00BD4849" w:rsidRDefault="005A48F1" w:rsidP="009F141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0,01</w:t>
            </w:r>
          </w:p>
        </w:tc>
        <w:tc>
          <w:tcPr>
            <w:tcW w:w="349" w:type="pct"/>
            <w:gridSpan w:val="2"/>
          </w:tcPr>
          <w:p w14:paraId="3DEFF265" w14:textId="77777777" w:rsidR="005A48F1" w:rsidRPr="00BD4849" w:rsidRDefault="005A48F1" w:rsidP="009F141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0,00</w:t>
            </w:r>
          </w:p>
        </w:tc>
        <w:tc>
          <w:tcPr>
            <w:tcW w:w="350" w:type="pct"/>
            <w:gridSpan w:val="2"/>
          </w:tcPr>
          <w:p w14:paraId="3932E615" w14:textId="77777777" w:rsidR="005A48F1" w:rsidRPr="00BD4849" w:rsidRDefault="005A48F1" w:rsidP="009F141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-0,02</w:t>
            </w:r>
          </w:p>
        </w:tc>
      </w:tr>
      <w:tr w:rsidR="005A48F1" w:rsidRPr="00BD4849" w14:paraId="28A402A1" w14:textId="77777777" w:rsidTr="009F1410">
        <w:trPr>
          <w:trHeight w:val="90"/>
        </w:trPr>
        <w:tc>
          <w:tcPr>
            <w:cnfStyle w:val="001000000000" w:firstRow="0" w:lastRow="0" w:firstColumn="1" w:lastColumn="0" w:oddVBand="0" w:evenVBand="0" w:oddHBand="0" w:evenHBand="0" w:firstRowFirstColumn="0" w:firstRowLastColumn="0" w:lastRowFirstColumn="0" w:lastRowLastColumn="0"/>
            <w:tcW w:w="449" w:type="pct"/>
            <w:vMerge w:val="restart"/>
            <w:textDirection w:val="btLr"/>
          </w:tcPr>
          <w:p w14:paraId="64CF7A4F" w14:textId="77777777" w:rsidR="005A48F1" w:rsidRPr="00BD4849" w:rsidRDefault="005A48F1" w:rsidP="009F1410">
            <w:pPr>
              <w:spacing w:line="20" w:lineRule="atLeast"/>
              <w:ind w:left="113" w:right="113"/>
              <w:rPr>
                <w:rFonts w:ascii="Arial" w:hAnsi="Arial" w:cs="Arial"/>
                <w:sz w:val="20"/>
                <w:szCs w:val="20"/>
                <w:lang w:val="sl-SI"/>
              </w:rPr>
            </w:pPr>
            <w:r w:rsidRPr="00BD4849">
              <w:rPr>
                <w:rFonts w:ascii="Arial" w:hAnsi="Arial" w:cs="Arial"/>
                <w:b w:val="0"/>
                <w:bCs w:val="0"/>
                <w:sz w:val="20"/>
                <w:szCs w:val="20"/>
                <w:lang w:val="sl-SI"/>
              </w:rPr>
              <w:t xml:space="preserve">UKREPI GOSPODARSTVA, </w:t>
            </w:r>
          </w:p>
          <w:p w14:paraId="06941B1E" w14:textId="77777777" w:rsidR="005A48F1" w:rsidRPr="00BD4849" w:rsidRDefault="005A48F1" w:rsidP="009F1410">
            <w:pPr>
              <w:spacing w:line="20" w:lineRule="atLeast"/>
              <w:ind w:left="113" w:right="113"/>
              <w:rPr>
                <w:rFonts w:ascii="Arial" w:hAnsi="Arial" w:cs="Arial"/>
                <w:b w:val="0"/>
                <w:bCs w:val="0"/>
                <w:sz w:val="20"/>
                <w:szCs w:val="20"/>
                <w:lang w:val="sl-SI"/>
              </w:rPr>
            </w:pPr>
            <w:r w:rsidRPr="00BD4849">
              <w:rPr>
                <w:rFonts w:ascii="Arial" w:hAnsi="Arial" w:cs="Arial"/>
                <w:b w:val="0"/>
                <w:bCs w:val="0"/>
                <w:sz w:val="20"/>
                <w:szCs w:val="20"/>
                <w:lang w:val="sl-SI"/>
              </w:rPr>
              <w:t>TURIZMA IN KMETIJSTVA</w:t>
            </w:r>
          </w:p>
          <w:p w14:paraId="7AE10F62" w14:textId="77777777" w:rsidR="005A48F1" w:rsidRPr="00BD4849" w:rsidRDefault="005A48F1" w:rsidP="009F1410">
            <w:pPr>
              <w:spacing w:line="20" w:lineRule="atLeast"/>
              <w:ind w:left="113" w:right="113"/>
              <w:rPr>
                <w:rFonts w:ascii="Arial" w:hAnsi="Arial" w:cs="Arial"/>
                <w:b w:val="0"/>
                <w:bCs w:val="0"/>
                <w:sz w:val="20"/>
                <w:szCs w:val="20"/>
                <w:lang w:val="sl-SI"/>
              </w:rPr>
            </w:pPr>
            <w:r w:rsidRPr="00BD4849">
              <w:rPr>
                <w:rFonts w:ascii="Arial" w:hAnsi="Arial" w:cs="Arial"/>
                <w:b w:val="0"/>
                <w:bCs w:val="0"/>
                <w:sz w:val="20"/>
                <w:szCs w:val="20"/>
                <w:lang w:val="sl-SI"/>
              </w:rPr>
              <w:t>(COVID)</w:t>
            </w:r>
          </w:p>
          <w:p w14:paraId="2718195D" w14:textId="77777777" w:rsidR="005A48F1" w:rsidRPr="00BD4849" w:rsidRDefault="005A48F1" w:rsidP="009F1410">
            <w:pPr>
              <w:spacing w:line="20" w:lineRule="atLeast"/>
              <w:ind w:left="113" w:right="113"/>
              <w:rPr>
                <w:rFonts w:ascii="Arial" w:hAnsi="Arial" w:cs="Arial"/>
                <w:b w:val="0"/>
                <w:bCs w:val="0"/>
                <w:sz w:val="20"/>
                <w:szCs w:val="20"/>
                <w:lang w:val="sl-SI"/>
              </w:rPr>
            </w:pPr>
          </w:p>
          <w:p w14:paraId="6291DAE0" w14:textId="77777777" w:rsidR="005A48F1" w:rsidRPr="00BD4849" w:rsidRDefault="005A48F1" w:rsidP="009F1410">
            <w:pPr>
              <w:spacing w:line="20" w:lineRule="atLeast"/>
              <w:ind w:left="113" w:right="113"/>
              <w:rPr>
                <w:rFonts w:ascii="Arial" w:hAnsi="Arial" w:cs="Arial"/>
                <w:b w:val="0"/>
                <w:bCs w:val="0"/>
                <w:sz w:val="20"/>
                <w:szCs w:val="20"/>
                <w:lang w:val="sl-SI"/>
              </w:rPr>
            </w:pPr>
          </w:p>
          <w:p w14:paraId="1086B844" w14:textId="77777777" w:rsidR="005A48F1" w:rsidRPr="00BD4849" w:rsidRDefault="005A48F1" w:rsidP="009F1410">
            <w:pPr>
              <w:spacing w:line="20" w:lineRule="atLeast"/>
              <w:ind w:left="113" w:right="113"/>
              <w:rPr>
                <w:rFonts w:ascii="Arial" w:hAnsi="Arial" w:cs="Arial"/>
                <w:b w:val="0"/>
                <w:bCs w:val="0"/>
                <w:sz w:val="20"/>
                <w:szCs w:val="20"/>
                <w:lang w:val="sl-SI"/>
              </w:rPr>
            </w:pPr>
          </w:p>
          <w:p w14:paraId="1B57C9F8" w14:textId="77777777" w:rsidR="005A48F1" w:rsidRPr="00BD4849" w:rsidRDefault="005A48F1" w:rsidP="009F1410">
            <w:pPr>
              <w:spacing w:line="20" w:lineRule="atLeast"/>
              <w:ind w:left="113" w:right="113"/>
              <w:rPr>
                <w:rFonts w:ascii="Arial" w:hAnsi="Arial" w:cs="Arial"/>
                <w:b w:val="0"/>
                <w:bCs w:val="0"/>
                <w:sz w:val="20"/>
                <w:szCs w:val="20"/>
                <w:lang w:val="sl-SI"/>
              </w:rPr>
            </w:pPr>
          </w:p>
          <w:p w14:paraId="11EBEA97" w14:textId="77777777" w:rsidR="005A48F1" w:rsidRPr="00BD4849" w:rsidRDefault="005A48F1" w:rsidP="009F1410">
            <w:pPr>
              <w:spacing w:line="20" w:lineRule="atLeast"/>
              <w:ind w:left="113" w:right="113"/>
              <w:rPr>
                <w:rFonts w:ascii="Arial" w:hAnsi="Arial" w:cs="Arial"/>
                <w:b w:val="0"/>
                <w:bCs w:val="0"/>
                <w:sz w:val="20"/>
                <w:szCs w:val="20"/>
                <w:lang w:val="sl-SI"/>
              </w:rPr>
            </w:pPr>
          </w:p>
          <w:p w14:paraId="22935EE0" w14:textId="77777777" w:rsidR="005A48F1" w:rsidRPr="00BD4849" w:rsidRDefault="005A48F1" w:rsidP="009F1410">
            <w:pPr>
              <w:spacing w:line="20" w:lineRule="atLeast"/>
              <w:ind w:left="113" w:right="113"/>
              <w:rPr>
                <w:rFonts w:ascii="Arial" w:hAnsi="Arial" w:cs="Arial"/>
                <w:b w:val="0"/>
                <w:bCs w:val="0"/>
                <w:sz w:val="20"/>
                <w:szCs w:val="20"/>
                <w:lang w:val="sl-SI"/>
              </w:rPr>
            </w:pPr>
          </w:p>
          <w:p w14:paraId="0AAB7DD0" w14:textId="77777777" w:rsidR="005A48F1" w:rsidRPr="00BD4849" w:rsidRDefault="005A48F1" w:rsidP="009F1410">
            <w:pPr>
              <w:spacing w:line="20" w:lineRule="atLeast"/>
              <w:ind w:left="113" w:right="113"/>
              <w:rPr>
                <w:rFonts w:ascii="Arial" w:hAnsi="Arial" w:cs="Arial"/>
                <w:b w:val="0"/>
                <w:bCs w:val="0"/>
                <w:sz w:val="20"/>
                <w:szCs w:val="20"/>
                <w:lang w:val="sl-SI"/>
              </w:rPr>
            </w:pPr>
          </w:p>
          <w:p w14:paraId="70063E25" w14:textId="77777777" w:rsidR="005A48F1" w:rsidRPr="00BD4849" w:rsidRDefault="005A48F1" w:rsidP="009F1410">
            <w:pPr>
              <w:spacing w:line="20" w:lineRule="atLeast"/>
              <w:ind w:left="113" w:right="113"/>
              <w:rPr>
                <w:rFonts w:ascii="Arial" w:hAnsi="Arial" w:cs="Arial"/>
                <w:b w:val="0"/>
                <w:bCs w:val="0"/>
                <w:sz w:val="20"/>
                <w:szCs w:val="20"/>
                <w:lang w:val="sl-SI"/>
              </w:rPr>
            </w:pPr>
          </w:p>
          <w:p w14:paraId="3A8B0A60" w14:textId="77777777" w:rsidR="005A48F1" w:rsidRPr="00BD4849" w:rsidRDefault="005A48F1" w:rsidP="009F1410">
            <w:pPr>
              <w:spacing w:line="20" w:lineRule="atLeast"/>
              <w:ind w:left="113" w:right="113"/>
              <w:rPr>
                <w:rFonts w:ascii="Arial" w:hAnsi="Arial" w:cs="Arial"/>
                <w:b w:val="0"/>
                <w:bCs w:val="0"/>
                <w:sz w:val="20"/>
                <w:szCs w:val="20"/>
                <w:lang w:val="sl-SI"/>
              </w:rPr>
            </w:pPr>
          </w:p>
          <w:p w14:paraId="0319E550" w14:textId="77777777" w:rsidR="005A48F1" w:rsidRPr="00BD4849" w:rsidRDefault="005A48F1" w:rsidP="009F1410">
            <w:pPr>
              <w:spacing w:line="20" w:lineRule="atLeast"/>
              <w:ind w:left="113" w:right="113"/>
              <w:rPr>
                <w:rFonts w:ascii="Arial" w:hAnsi="Arial" w:cs="Arial"/>
                <w:b w:val="0"/>
                <w:bCs w:val="0"/>
                <w:sz w:val="20"/>
                <w:szCs w:val="20"/>
                <w:lang w:val="sl-SI"/>
              </w:rPr>
            </w:pPr>
          </w:p>
          <w:p w14:paraId="137ED8C6" w14:textId="77777777" w:rsidR="005A48F1" w:rsidRPr="00BD4849" w:rsidRDefault="005A48F1" w:rsidP="009F1410">
            <w:pPr>
              <w:spacing w:line="20" w:lineRule="atLeast"/>
              <w:ind w:left="113" w:right="113"/>
              <w:rPr>
                <w:rFonts w:ascii="Arial" w:hAnsi="Arial" w:cs="Arial"/>
                <w:b w:val="0"/>
                <w:bCs w:val="0"/>
                <w:sz w:val="20"/>
                <w:szCs w:val="20"/>
                <w:lang w:val="sl-SI"/>
              </w:rPr>
            </w:pPr>
          </w:p>
          <w:p w14:paraId="044EEBF1" w14:textId="77777777" w:rsidR="005A48F1" w:rsidRPr="00BD4849" w:rsidRDefault="005A48F1" w:rsidP="009F1410">
            <w:pPr>
              <w:spacing w:line="20" w:lineRule="atLeast"/>
              <w:ind w:left="113" w:right="113"/>
              <w:rPr>
                <w:rFonts w:ascii="Arial" w:hAnsi="Arial" w:cs="Arial"/>
                <w:b w:val="0"/>
                <w:bCs w:val="0"/>
                <w:sz w:val="20"/>
                <w:szCs w:val="20"/>
                <w:lang w:val="sl-SI"/>
              </w:rPr>
            </w:pPr>
          </w:p>
          <w:p w14:paraId="62BE3605" w14:textId="77777777" w:rsidR="005A48F1" w:rsidRPr="00BD4849" w:rsidRDefault="005A48F1" w:rsidP="009F1410">
            <w:pPr>
              <w:spacing w:line="20" w:lineRule="atLeast"/>
              <w:ind w:left="113" w:right="113"/>
              <w:rPr>
                <w:rFonts w:ascii="Arial" w:hAnsi="Arial" w:cs="Arial"/>
                <w:b w:val="0"/>
                <w:bCs w:val="0"/>
                <w:sz w:val="20"/>
                <w:szCs w:val="20"/>
                <w:lang w:val="sl-SI"/>
              </w:rPr>
            </w:pPr>
          </w:p>
          <w:p w14:paraId="362B43DF" w14:textId="77777777" w:rsidR="005A48F1" w:rsidRPr="00BD4849" w:rsidRDefault="005A48F1" w:rsidP="009F1410">
            <w:pPr>
              <w:spacing w:line="20" w:lineRule="atLeast"/>
              <w:ind w:left="113" w:right="113"/>
              <w:rPr>
                <w:rFonts w:ascii="Arial" w:hAnsi="Arial" w:cs="Arial"/>
                <w:b w:val="0"/>
                <w:bCs w:val="0"/>
                <w:sz w:val="20"/>
                <w:szCs w:val="20"/>
                <w:lang w:val="sl-SI"/>
              </w:rPr>
            </w:pPr>
          </w:p>
        </w:tc>
        <w:tc>
          <w:tcPr>
            <w:tcW w:w="1969" w:type="pct"/>
          </w:tcPr>
          <w:p w14:paraId="34D784A0" w14:textId="77777777" w:rsidR="005A48F1" w:rsidRPr="00BD4849" w:rsidRDefault="005A48F1" w:rsidP="009F1410">
            <w:pPr>
              <w:spacing w:line="20" w:lineRule="atLeast"/>
              <w:cnfStyle w:val="000000000000" w:firstRow="0" w:lastRow="0" w:firstColumn="0" w:lastColumn="0" w:oddVBand="0" w:evenVBand="0" w:oddHBand="0" w:evenHBand="0" w:firstRowFirstColumn="0" w:firstRowLastColumn="0" w:lastRowFirstColumn="0" w:lastRowLastColumn="0"/>
              <w:rPr>
                <w:rFonts w:ascii="Arial" w:hAnsi="Arial" w:cs="Arial"/>
                <w:sz w:val="20"/>
                <w:szCs w:val="20"/>
                <w:shd w:val="clear" w:color="auto" w:fill="FFFFFF"/>
                <w:lang w:val="sl-SI" w:eastAsia="sl-SI"/>
              </w:rPr>
            </w:pPr>
            <w:r w:rsidRPr="00BD4849">
              <w:rPr>
                <w:rFonts w:ascii="Arial" w:hAnsi="Arial" w:cs="Arial"/>
                <w:sz w:val="20"/>
                <w:szCs w:val="20"/>
                <w:shd w:val="clear" w:color="auto" w:fill="FFFFFF"/>
                <w:lang w:val="sl-SI" w:eastAsia="sl-SI"/>
              </w:rPr>
              <w:t>Pomoč v obliki delnega povračila nekritih fiksnih stroškov</w:t>
            </w:r>
          </w:p>
        </w:tc>
        <w:tc>
          <w:tcPr>
            <w:tcW w:w="303" w:type="pct"/>
          </w:tcPr>
          <w:p w14:paraId="4B07B3F5" w14:textId="77777777" w:rsidR="005A48F1" w:rsidRPr="00D1091B" w:rsidRDefault="005A48F1" w:rsidP="009F141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sl-SI"/>
              </w:rPr>
            </w:pPr>
            <w:r w:rsidRPr="00D1091B">
              <w:rPr>
                <w:rFonts w:ascii="Arial" w:hAnsi="Arial" w:cs="Arial"/>
                <w:sz w:val="16"/>
                <w:szCs w:val="16"/>
                <w:lang w:val="sl-SI"/>
              </w:rPr>
              <w:t>D.3</w:t>
            </w:r>
          </w:p>
        </w:tc>
        <w:tc>
          <w:tcPr>
            <w:tcW w:w="533" w:type="pct"/>
          </w:tcPr>
          <w:p w14:paraId="018FA2F0" w14:textId="77777777" w:rsidR="005A48F1" w:rsidRPr="00BD4849" w:rsidRDefault="005A48F1" w:rsidP="009F141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Sprejet</w:t>
            </w:r>
          </w:p>
        </w:tc>
        <w:tc>
          <w:tcPr>
            <w:tcW w:w="349" w:type="pct"/>
          </w:tcPr>
          <w:p w14:paraId="7E6A77FF" w14:textId="77777777" w:rsidR="005A48F1" w:rsidRPr="00BD4849" w:rsidRDefault="005A48F1" w:rsidP="009F141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0,34</w:t>
            </w:r>
          </w:p>
        </w:tc>
        <w:tc>
          <w:tcPr>
            <w:tcW w:w="349" w:type="pct"/>
            <w:gridSpan w:val="2"/>
          </w:tcPr>
          <w:p w14:paraId="558A7549" w14:textId="77777777" w:rsidR="005A48F1" w:rsidRPr="00BD4849" w:rsidRDefault="005A48F1" w:rsidP="009F141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-0,06</w:t>
            </w:r>
          </w:p>
        </w:tc>
        <w:tc>
          <w:tcPr>
            <w:tcW w:w="349" w:type="pct"/>
            <w:gridSpan w:val="2"/>
          </w:tcPr>
          <w:p w14:paraId="3BC25C71" w14:textId="77777777" w:rsidR="005A48F1" w:rsidRPr="00BD4849" w:rsidRDefault="005A48F1" w:rsidP="009F141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-0,28</w:t>
            </w:r>
          </w:p>
        </w:tc>
        <w:tc>
          <w:tcPr>
            <w:tcW w:w="349" w:type="pct"/>
            <w:gridSpan w:val="2"/>
          </w:tcPr>
          <w:p w14:paraId="2A613C9C" w14:textId="77777777" w:rsidR="005A48F1" w:rsidRPr="00BD4849" w:rsidRDefault="005A48F1" w:rsidP="009F141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0,00</w:t>
            </w:r>
          </w:p>
        </w:tc>
        <w:tc>
          <w:tcPr>
            <w:tcW w:w="350" w:type="pct"/>
            <w:gridSpan w:val="2"/>
          </w:tcPr>
          <w:p w14:paraId="6F5EF32D" w14:textId="77777777" w:rsidR="005A48F1" w:rsidRPr="00BD4849" w:rsidRDefault="005A48F1" w:rsidP="009F141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0,00</w:t>
            </w:r>
          </w:p>
        </w:tc>
      </w:tr>
      <w:tr w:rsidR="005A48F1" w:rsidRPr="00BD4849" w14:paraId="247C0410" w14:textId="77777777" w:rsidTr="009F1410">
        <w:trPr>
          <w:cnfStyle w:val="000000100000" w:firstRow="0" w:lastRow="0" w:firstColumn="0" w:lastColumn="0" w:oddVBand="0" w:evenVBand="0" w:oddHBand="1" w:evenHBand="0" w:firstRowFirstColumn="0" w:firstRowLastColumn="0" w:lastRowFirstColumn="0" w:lastRowLastColumn="0"/>
          <w:trHeight w:val="42"/>
        </w:trPr>
        <w:tc>
          <w:tcPr>
            <w:cnfStyle w:val="001000000000" w:firstRow="0" w:lastRow="0" w:firstColumn="1" w:lastColumn="0" w:oddVBand="0" w:evenVBand="0" w:oddHBand="0" w:evenHBand="0" w:firstRowFirstColumn="0" w:firstRowLastColumn="0" w:lastRowFirstColumn="0" w:lastRowLastColumn="0"/>
            <w:tcW w:w="449" w:type="pct"/>
            <w:vMerge/>
            <w:hideMark/>
          </w:tcPr>
          <w:p w14:paraId="3705A8F0" w14:textId="77777777" w:rsidR="005A48F1" w:rsidRPr="00BD4849" w:rsidRDefault="005A48F1" w:rsidP="009F1410">
            <w:pPr>
              <w:spacing w:line="20" w:lineRule="atLeast"/>
              <w:rPr>
                <w:rFonts w:ascii="Arial" w:hAnsi="Arial" w:cs="Arial"/>
                <w:b w:val="0"/>
                <w:bCs w:val="0"/>
                <w:sz w:val="20"/>
                <w:szCs w:val="20"/>
                <w:lang w:val="sl-SI"/>
              </w:rPr>
            </w:pPr>
          </w:p>
        </w:tc>
        <w:tc>
          <w:tcPr>
            <w:tcW w:w="1969" w:type="pct"/>
          </w:tcPr>
          <w:p w14:paraId="6F2EDFD8" w14:textId="77777777" w:rsidR="005A48F1" w:rsidRPr="00BD4849" w:rsidRDefault="005A48F1" w:rsidP="009F1410">
            <w:pPr>
              <w:spacing w:line="20" w:lineRule="atLeast"/>
              <w:cnfStyle w:val="000000100000" w:firstRow="0" w:lastRow="0" w:firstColumn="0" w:lastColumn="0" w:oddVBand="0" w:evenVBand="0" w:oddHBand="1" w:evenHBand="0" w:firstRowFirstColumn="0" w:firstRowLastColumn="0" w:lastRowFirstColumn="0" w:lastRowLastColumn="0"/>
              <w:rPr>
                <w:rFonts w:ascii="Arial" w:hAnsi="Arial" w:cs="Arial"/>
                <w:sz w:val="20"/>
                <w:szCs w:val="20"/>
                <w:shd w:val="clear" w:color="auto" w:fill="FFFFFF"/>
                <w:lang w:val="sl-SI" w:eastAsia="sl-SI"/>
              </w:rPr>
            </w:pPr>
            <w:r w:rsidRPr="00BD4849">
              <w:rPr>
                <w:rFonts w:ascii="Arial" w:hAnsi="Arial" w:cs="Arial"/>
                <w:sz w:val="20"/>
                <w:szCs w:val="20"/>
                <w:shd w:val="clear" w:color="auto" w:fill="FFFFFF"/>
                <w:lang w:val="sl-SI" w:eastAsia="sl-SI"/>
              </w:rPr>
              <w:t xml:space="preserve">Krizni dodatek za zaposlene; finančno nadomestilo zaradi izpada dohodkov </w:t>
            </w:r>
            <w:r w:rsidRPr="00BD4849">
              <w:rPr>
                <w:rFonts w:ascii="Arial" w:hAnsi="Arial" w:cs="Arial"/>
                <w:sz w:val="20"/>
                <w:szCs w:val="20"/>
                <w:shd w:val="clear" w:color="auto" w:fill="FFFFFF"/>
                <w:lang w:val="sl-SI" w:eastAsia="sl-SI"/>
              </w:rPr>
              <w:lastRenderedPageBreak/>
              <w:t>(pridelovalcem, v kmetijstvu); podpore tržne ureditve za vino; pomoč prevoznikom (nadomestila za izpad prihodkov); pokrivanje obratovalnih stroškov letališča; pomoč gospodarskim subjektom za izvedbo hitrih testov; plačilo stroškov ravnanja z odpadno embalažo, povračila stroškov organizacije srečanj in dogodkov; sofinanciranje upravljavcev žičniških naprav in smučišč; pomoč delodajalcem za financiranje regresa za letni dopust idr.</w:t>
            </w:r>
          </w:p>
        </w:tc>
        <w:tc>
          <w:tcPr>
            <w:tcW w:w="303" w:type="pct"/>
          </w:tcPr>
          <w:p w14:paraId="744E4771" w14:textId="77777777" w:rsidR="005A48F1" w:rsidRPr="00D1091B" w:rsidRDefault="005A48F1" w:rsidP="009F141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sl-SI"/>
              </w:rPr>
            </w:pPr>
            <w:r w:rsidRPr="00D1091B">
              <w:rPr>
                <w:rFonts w:ascii="Arial" w:hAnsi="Arial" w:cs="Arial"/>
                <w:sz w:val="16"/>
                <w:szCs w:val="16"/>
                <w:lang w:val="sl-SI"/>
              </w:rPr>
              <w:lastRenderedPageBreak/>
              <w:t>D.3</w:t>
            </w:r>
          </w:p>
        </w:tc>
        <w:tc>
          <w:tcPr>
            <w:tcW w:w="533" w:type="pct"/>
          </w:tcPr>
          <w:p w14:paraId="7A17C27E" w14:textId="77777777" w:rsidR="005A48F1" w:rsidRPr="00BD4849" w:rsidRDefault="005A48F1" w:rsidP="009F141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Sprejet</w:t>
            </w:r>
          </w:p>
        </w:tc>
        <w:tc>
          <w:tcPr>
            <w:tcW w:w="349" w:type="pct"/>
          </w:tcPr>
          <w:p w14:paraId="7C8D5321" w14:textId="77777777" w:rsidR="005A48F1" w:rsidRPr="00BD4849" w:rsidRDefault="005A48F1" w:rsidP="009F141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0,13</w:t>
            </w:r>
          </w:p>
        </w:tc>
        <w:tc>
          <w:tcPr>
            <w:tcW w:w="349" w:type="pct"/>
            <w:gridSpan w:val="2"/>
          </w:tcPr>
          <w:p w14:paraId="54BB26D4" w14:textId="77777777" w:rsidR="005A48F1" w:rsidRPr="00BD4849" w:rsidRDefault="005A48F1" w:rsidP="009F141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0,03</w:t>
            </w:r>
          </w:p>
        </w:tc>
        <w:tc>
          <w:tcPr>
            <w:tcW w:w="349" w:type="pct"/>
            <w:gridSpan w:val="2"/>
          </w:tcPr>
          <w:p w14:paraId="2ACD6703" w14:textId="77777777" w:rsidR="005A48F1" w:rsidRPr="00BD4849" w:rsidRDefault="005A48F1" w:rsidP="009F141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-0,15</w:t>
            </w:r>
          </w:p>
        </w:tc>
        <w:tc>
          <w:tcPr>
            <w:tcW w:w="349" w:type="pct"/>
            <w:gridSpan w:val="2"/>
          </w:tcPr>
          <w:p w14:paraId="24F5A952" w14:textId="77777777" w:rsidR="005A48F1" w:rsidRPr="00BD4849" w:rsidRDefault="005A48F1" w:rsidP="009F141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0,00</w:t>
            </w:r>
          </w:p>
        </w:tc>
        <w:tc>
          <w:tcPr>
            <w:tcW w:w="350" w:type="pct"/>
            <w:gridSpan w:val="2"/>
          </w:tcPr>
          <w:p w14:paraId="7F6D7059" w14:textId="77777777" w:rsidR="005A48F1" w:rsidRPr="00BD4849" w:rsidRDefault="005A48F1" w:rsidP="009F141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0,00</w:t>
            </w:r>
          </w:p>
        </w:tc>
      </w:tr>
      <w:tr w:rsidR="005A48F1" w:rsidRPr="00BD4849" w14:paraId="182723C7" w14:textId="77777777" w:rsidTr="009F1410">
        <w:trPr>
          <w:trHeight w:val="42"/>
        </w:trPr>
        <w:tc>
          <w:tcPr>
            <w:cnfStyle w:val="001000000000" w:firstRow="0" w:lastRow="0" w:firstColumn="1" w:lastColumn="0" w:oddVBand="0" w:evenVBand="0" w:oddHBand="0" w:evenHBand="0" w:firstRowFirstColumn="0" w:firstRowLastColumn="0" w:lastRowFirstColumn="0" w:lastRowLastColumn="0"/>
            <w:tcW w:w="449" w:type="pct"/>
            <w:vMerge/>
          </w:tcPr>
          <w:p w14:paraId="44B4ABDC" w14:textId="77777777" w:rsidR="005A48F1" w:rsidRPr="00BD4849" w:rsidRDefault="005A48F1" w:rsidP="009F1410">
            <w:pPr>
              <w:spacing w:line="20" w:lineRule="atLeast"/>
              <w:rPr>
                <w:rFonts w:ascii="Arial" w:hAnsi="Arial" w:cs="Arial"/>
                <w:b w:val="0"/>
                <w:bCs w:val="0"/>
                <w:sz w:val="20"/>
                <w:szCs w:val="20"/>
                <w:lang w:val="sl-SI"/>
              </w:rPr>
            </w:pPr>
          </w:p>
        </w:tc>
        <w:tc>
          <w:tcPr>
            <w:tcW w:w="1969" w:type="pct"/>
          </w:tcPr>
          <w:p w14:paraId="6231ECCA" w14:textId="77777777" w:rsidR="005A48F1" w:rsidRPr="00BD4849" w:rsidRDefault="005A48F1" w:rsidP="009F1410">
            <w:pPr>
              <w:spacing w:line="20" w:lineRule="atLeast"/>
              <w:cnfStyle w:val="000000000000" w:firstRow="0" w:lastRow="0" w:firstColumn="0" w:lastColumn="0" w:oddVBand="0" w:evenVBand="0" w:oddHBand="0" w:evenHBand="0" w:firstRowFirstColumn="0" w:firstRowLastColumn="0" w:lastRowFirstColumn="0" w:lastRowLastColumn="0"/>
              <w:rPr>
                <w:rFonts w:ascii="Arial" w:hAnsi="Arial" w:cs="Arial"/>
                <w:sz w:val="20"/>
                <w:szCs w:val="20"/>
                <w:shd w:val="clear" w:color="auto" w:fill="FFFFFF"/>
                <w:lang w:val="sl-SI" w:eastAsia="sl-SI"/>
              </w:rPr>
            </w:pPr>
            <w:r w:rsidRPr="00BD4849">
              <w:rPr>
                <w:rFonts w:ascii="Arial" w:hAnsi="Arial" w:cs="Arial"/>
                <w:sz w:val="20"/>
                <w:szCs w:val="20"/>
                <w:shd w:val="clear" w:color="auto" w:fill="FFFFFF"/>
                <w:lang w:val="sl-SI" w:eastAsia="sl-SI"/>
              </w:rPr>
              <w:t>Turistični boni (bon 2020 in bon21)</w:t>
            </w:r>
          </w:p>
        </w:tc>
        <w:tc>
          <w:tcPr>
            <w:tcW w:w="303" w:type="pct"/>
          </w:tcPr>
          <w:p w14:paraId="3055E15E" w14:textId="77777777" w:rsidR="005A48F1" w:rsidRPr="00D1091B" w:rsidRDefault="005A48F1" w:rsidP="009F141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sl-SI"/>
              </w:rPr>
            </w:pPr>
            <w:r w:rsidRPr="00D1091B">
              <w:rPr>
                <w:rFonts w:ascii="Arial" w:hAnsi="Arial" w:cs="Arial"/>
                <w:sz w:val="16"/>
                <w:szCs w:val="16"/>
                <w:lang w:val="sl-SI"/>
              </w:rPr>
              <w:t>D.75</w:t>
            </w:r>
          </w:p>
        </w:tc>
        <w:tc>
          <w:tcPr>
            <w:tcW w:w="533" w:type="pct"/>
          </w:tcPr>
          <w:p w14:paraId="69B3A0C6" w14:textId="77777777" w:rsidR="005A48F1" w:rsidRPr="00BD4849" w:rsidRDefault="005A48F1" w:rsidP="009F141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Sprejet</w:t>
            </w:r>
          </w:p>
        </w:tc>
        <w:tc>
          <w:tcPr>
            <w:tcW w:w="349" w:type="pct"/>
          </w:tcPr>
          <w:p w14:paraId="2B2BACAA" w14:textId="77777777" w:rsidR="005A48F1" w:rsidRPr="00BD4849" w:rsidRDefault="005A48F1" w:rsidP="009F141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0,27</w:t>
            </w:r>
          </w:p>
        </w:tc>
        <w:tc>
          <w:tcPr>
            <w:tcW w:w="349" w:type="pct"/>
            <w:gridSpan w:val="2"/>
          </w:tcPr>
          <w:p w14:paraId="458BBC57" w14:textId="77777777" w:rsidR="005A48F1" w:rsidRPr="00BD4849" w:rsidRDefault="005A48F1" w:rsidP="009F141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0,20</w:t>
            </w:r>
          </w:p>
        </w:tc>
        <w:tc>
          <w:tcPr>
            <w:tcW w:w="349" w:type="pct"/>
            <w:gridSpan w:val="2"/>
          </w:tcPr>
          <w:p w14:paraId="1CC5337E" w14:textId="77777777" w:rsidR="005A48F1" w:rsidRPr="00BD4849" w:rsidRDefault="005A48F1" w:rsidP="009F141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-0,31</w:t>
            </w:r>
          </w:p>
        </w:tc>
        <w:tc>
          <w:tcPr>
            <w:tcW w:w="349" w:type="pct"/>
            <w:gridSpan w:val="2"/>
          </w:tcPr>
          <w:p w14:paraId="5455331A" w14:textId="77777777" w:rsidR="005A48F1" w:rsidRPr="00BD4849" w:rsidRDefault="005A48F1" w:rsidP="009F141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-0,16</w:t>
            </w:r>
          </w:p>
        </w:tc>
        <w:tc>
          <w:tcPr>
            <w:tcW w:w="350" w:type="pct"/>
            <w:gridSpan w:val="2"/>
          </w:tcPr>
          <w:p w14:paraId="63964D7A" w14:textId="77777777" w:rsidR="005A48F1" w:rsidRPr="00BD4849" w:rsidRDefault="005A48F1" w:rsidP="009F141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0,00</w:t>
            </w:r>
          </w:p>
        </w:tc>
      </w:tr>
      <w:tr w:rsidR="005A48F1" w:rsidRPr="00BD4849" w14:paraId="6EDE556E" w14:textId="77777777" w:rsidTr="009F1410">
        <w:trPr>
          <w:cnfStyle w:val="000000100000" w:firstRow="0" w:lastRow="0" w:firstColumn="0" w:lastColumn="0" w:oddVBand="0" w:evenVBand="0" w:oddHBand="1" w:evenHBand="0" w:firstRowFirstColumn="0" w:firstRowLastColumn="0" w:lastRowFirstColumn="0" w:lastRowLastColumn="0"/>
          <w:trHeight w:val="42"/>
        </w:trPr>
        <w:tc>
          <w:tcPr>
            <w:cnfStyle w:val="001000000000" w:firstRow="0" w:lastRow="0" w:firstColumn="1" w:lastColumn="0" w:oddVBand="0" w:evenVBand="0" w:oddHBand="0" w:evenHBand="0" w:firstRowFirstColumn="0" w:firstRowLastColumn="0" w:lastRowFirstColumn="0" w:lastRowLastColumn="0"/>
            <w:tcW w:w="449" w:type="pct"/>
            <w:vMerge/>
          </w:tcPr>
          <w:p w14:paraId="309456B2" w14:textId="77777777" w:rsidR="005A48F1" w:rsidRPr="00BD4849" w:rsidRDefault="005A48F1" w:rsidP="009F1410">
            <w:pPr>
              <w:spacing w:line="20" w:lineRule="atLeast"/>
              <w:rPr>
                <w:rFonts w:ascii="Arial" w:hAnsi="Arial" w:cs="Arial"/>
                <w:b w:val="0"/>
                <w:bCs w:val="0"/>
                <w:sz w:val="20"/>
                <w:szCs w:val="20"/>
                <w:lang w:val="sl-SI"/>
              </w:rPr>
            </w:pPr>
          </w:p>
        </w:tc>
        <w:tc>
          <w:tcPr>
            <w:tcW w:w="1969" w:type="pct"/>
          </w:tcPr>
          <w:p w14:paraId="45CEB67E" w14:textId="77777777" w:rsidR="005A48F1" w:rsidRPr="00BD4849" w:rsidRDefault="005A48F1" w:rsidP="009F1410">
            <w:pPr>
              <w:spacing w:line="20" w:lineRule="atLeast"/>
              <w:cnfStyle w:val="000000100000" w:firstRow="0" w:lastRow="0" w:firstColumn="0" w:lastColumn="0" w:oddVBand="0" w:evenVBand="0" w:oddHBand="1" w:evenHBand="0" w:firstRowFirstColumn="0" w:firstRowLastColumn="0" w:lastRowFirstColumn="0" w:lastRowLastColumn="0"/>
              <w:rPr>
                <w:rFonts w:ascii="Arial" w:hAnsi="Arial" w:cs="Arial"/>
                <w:sz w:val="20"/>
                <w:szCs w:val="20"/>
                <w:shd w:val="clear" w:color="auto" w:fill="FFFFFF"/>
                <w:lang w:val="sl-SI" w:eastAsia="sl-SI"/>
              </w:rPr>
            </w:pPr>
            <w:r w:rsidRPr="00BD4849">
              <w:rPr>
                <w:rFonts w:ascii="Arial" w:hAnsi="Arial" w:cs="Arial"/>
                <w:sz w:val="20"/>
                <w:szCs w:val="20"/>
                <w:shd w:val="clear" w:color="auto" w:fill="FFFFFF"/>
                <w:lang w:val="sl-SI" w:eastAsia="sl-SI"/>
              </w:rPr>
              <w:t>Spodbujanje podjetništva, razvoj internacionalizacije, razvoj / prestrukturiranje turizma (EU in slovenska udeležba); naložbe podjetij v raziskave, razvoj in inovacije idr.</w:t>
            </w:r>
          </w:p>
        </w:tc>
        <w:tc>
          <w:tcPr>
            <w:tcW w:w="303" w:type="pct"/>
          </w:tcPr>
          <w:p w14:paraId="263BD2B9" w14:textId="77777777" w:rsidR="005A48F1" w:rsidRPr="00D1091B" w:rsidRDefault="005A48F1" w:rsidP="009F141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sl-SI"/>
              </w:rPr>
            </w:pPr>
            <w:r w:rsidRPr="00D1091B">
              <w:rPr>
                <w:rFonts w:ascii="Arial" w:hAnsi="Arial" w:cs="Arial"/>
                <w:sz w:val="16"/>
                <w:szCs w:val="16"/>
                <w:lang w:val="sl-SI"/>
              </w:rPr>
              <w:t>D.3+P.51</w:t>
            </w:r>
          </w:p>
        </w:tc>
        <w:tc>
          <w:tcPr>
            <w:tcW w:w="533" w:type="pct"/>
          </w:tcPr>
          <w:p w14:paraId="600FB99A" w14:textId="77777777" w:rsidR="005A48F1" w:rsidRPr="00BD4849" w:rsidRDefault="005A48F1" w:rsidP="009F141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Sprejet</w:t>
            </w:r>
          </w:p>
        </w:tc>
        <w:tc>
          <w:tcPr>
            <w:tcW w:w="349" w:type="pct"/>
          </w:tcPr>
          <w:p w14:paraId="56504434" w14:textId="77777777" w:rsidR="005A48F1" w:rsidRPr="00BD4849" w:rsidRDefault="005A48F1" w:rsidP="009F141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0,09</w:t>
            </w:r>
          </w:p>
        </w:tc>
        <w:tc>
          <w:tcPr>
            <w:tcW w:w="349" w:type="pct"/>
            <w:gridSpan w:val="2"/>
          </w:tcPr>
          <w:p w14:paraId="60555103" w14:textId="77777777" w:rsidR="005A48F1" w:rsidRPr="00BD4849" w:rsidRDefault="005A48F1" w:rsidP="009F141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-0,01</w:t>
            </w:r>
          </w:p>
        </w:tc>
        <w:tc>
          <w:tcPr>
            <w:tcW w:w="349" w:type="pct"/>
            <w:gridSpan w:val="2"/>
          </w:tcPr>
          <w:p w14:paraId="4411BCED" w14:textId="77777777" w:rsidR="005A48F1" w:rsidRPr="00BD4849" w:rsidRDefault="005A48F1" w:rsidP="009F141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0,00</w:t>
            </w:r>
          </w:p>
        </w:tc>
        <w:tc>
          <w:tcPr>
            <w:tcW w:w="349" w:type="pct"/>
            <w:gridSpan w:val="2"/>
          </w:tcPr>
          <w:p w14:paraId="7789ABF5" w14:textId="77777777" w:rsidR="005A48F1" w:rsidRPr="00BD4849" w:rsidRDefault="005A48F1" w:rsidP="009F141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-0,07</w:t>
            </w:r>
          </w:p>
        </w:tc>
        <w:tc>
          <w:tcPr>
            <w:tcW w:w="350" w:type="pct"/>
            <w:gridSpan w:val="2"/>
          </w:tcPr>
          <w:p w14:paraId="7796CA5D" w14:textId="77777777" w:rsidR="005A48F1" w:rsidRPr="00BD4849" w:rsidRDefault="005A48F1" w:rsidP="009F141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-0,01</w:t>
            </w:r>
          </w:p>
        </w:tc>
      </w:tr>
      <w:tr w:rsidR="005A48F1" w:rsidRPr="00BD4849" w14:paraId="2E50C32A" w14:textId="77777777" w:rsidTr="009F1410">
        <w:trPr>
          <w:trHeight w:val="42"/>
        </w:trPr>
        <w:tc>
          <w:tcPr>
            <w:cnfStyle w:val="001000000000" w:firstRow="0" w:lastRow="0" w:firstColumn="1" w:lastColumn="0" w:oddVBand="0" w:evenVBand="0" w:oddHBand="0" w:evenHBand="0" w:firstRowFirstColumn="0" w:firstRowLastColumn="0" w:lastRowFirstColumn="0" w:lastRowLastColumn="0"/>
            <w:tcW w:w="449" w:type="pct"/>
            <w:vMerge/>
          </w:tcPr>
          <w:p w14:paraId="628062B5" w14:textId="77777777" w:rsidR="005A48F1" w:rsidRPr="00BD4849" w:rsidRDefault="005A48F1" w:rsidP="009F1410">
            <w:pPr>
              <w:spacing w:line="20" w:lineRule="atLeast"/>
              <w:rPr>
                <w:rFonts w:ascii="Arial" w:hAnsi="Arial" w:cs="Arial"/>
                <w:b w:val="0"/>
                <w:bCs w:val="0"/>
                <w:sz w:val="20"/>
                <w:szCs w:val="20"/>
                <w:lang w:val="sl-SI"/>
              </w:rPr>
            </w:pPr>
          </w:p>
        </w:tc>
        <w:tc>
          <w:tcPr>
            <w:tcW w:w="1969" w:type="pct"/>
          </w:tcPr>
          <w:p w14:paraId="72579C6F" w14:textId="77777777" w:rsidR="005A48F1" w:rsidRPr="00BD4849" w:rsidRDefault="005A48F1" w:rsidP="009F1410">
            <w:pPr>
              <w:spacing w:line="20" w:lineRule="atLeast"/>
              <w:cnfStyle w:val="000000000000" w:firstRow="0" w:lastRow="0" w:firstColumn="0" w:lastColumn="0" w:oddVBand="0" w:evenVBand="0" w:oddHBand="0" w:evenHBand="0" w:firstRowFirstColumn="0" w:firstRowLastColumn="0" w:lastRowFirstColumn="0" w:lastRowLastColumn="0"/>
              <w:rPr>
                <w:rFonts w:ascii="Arial" w:hAnsi="Arial" w:cs="Arial"/>
                <w:sz w:val="20"/>
                <w:szCs w:val="20"/>
                <w:shd w:val="clear" w:color="auto" w:fill="FFFFFF"/>
                <w:lang w:val="sl-SI" w:eastAsia="sl-SI"/>
              </w:rPr>
            </w:pPr>
            <w:r w:rsidRPr="00BD4849">
              <w:rPr>
                <w:rFonts w:ascii="Arial" w:hAnsi="Arial" w:cs="Arial"/>
                <w:sz w:val="20"/>
                <w:szCs w:val="20"/>
                <w:shd w:val="clear" w:color="auto" w:fill="FFFFFF"/>
                <w:lang w:val="sl-SI" w:eastAsia="sl-SI"/>
              </w:rPr>
              <w:t>Sredstva za garancije za bančne kredite - podjetja, ki jih je sedanja kriza najbolj prizadela, lahko koristijo posebna posojila Slovenskega podjetniškega sklada z državnim jamstvom</w:t>
            </w:r>
          </w:p>
        </w:tc>
        <w:tc>
          <w:tcPr>
            <w:tcW w:w="303" w:type="pct"/>
          </w:tcPr>
          <w:p w14:paraId="261930A2" w14:textId="77777777" w:rsidR="005A48F1" w:rsidRPr="00D1091B" w:rsidRDefault="005A48F1" w:rsidP="009F141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sl-SI"/>
              </w:rPr>
            </w:pPr>
            <w:r w:rsidRPr="00D1091B">
              <w:rPr>
                <w:rFonts w:ascii="Arial" w:hAnsi="Arial" w:cs="Arial"/>
                <w:sz w:val="16"/>
                <w:szCs w:val="16"/>
                <w:lang w:val="sl-SI"/>
              </w:rPr>
              <w:t>D.73</w:t>
            </w:r>
          </w:p>
        </w:tc>
        <w:tc>
          <w:tcPr>
            <w:tcW w:w="533" w:type="pct"/>
          </w:tcPr>
          <w:p w14:paraId="2F6B7651" w14:textId="77777777" w:rsidR="005A48F1" w:rsidRPr="00BD4849" w:rsidRDefault="005A48F1" w:rsidP="009F141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Sprejet</w:t>
            </w:r>
          </w:p>
        </w:tc>
        <w:tc>
          <w:tcPr>
            <w:tcW w:w="349" w:type="pct"/>
          </w:tcPr>
          <w:p w14:paraId="48A6D57F" w14:textId="77777777" w:rsidR="005A48F1" w:rsidRPr="00BD4849" w:rsidRDefault="005A48F1" w:rsidP="009F141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0,00</w:t>
            </w:r>
          </w:p>
        </w:tc>
        <w:tc>
          <w:tcPr>
            <w:tcW w:w="349" w:type="pct"/>
            <w:gridSpan w:val="2"/>
          </w:tcPr>
          <w:p w14:paraId="43593B55" w14:textId="77777777" w:rsidR="005A48F1" w:rsidRPr="00BD4849" w:rsidRDefault="005A48F1" w:rsidP="009F141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0,06</w:t>
            </w:r>
          </w:p>
        </w:tc>
        <w:tc>
          <w:tcPr>
            <w:tcW w:w="349" w:type="pct"/>
            <w:gridSpan w:val="2"/>
          </w:tcPr>
          <w:p w14:paraId="51460FAF" w14:textId="77777777" w:rsidR="005A48F1" w:rsidRPr="00BD4849" w:rsidRDefault="005A48F1" w:rsidP="009F141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-0,06</w:t>
            </w:r>
          </w:p>
        </w:tc>
        <w:tc>
          <w:tcPr>
            <w:tcW w:w="349" w:type="pct"/>
            <w:gridSpan w:val="2"/>
          </w:tcPr>
          <w:p w14:paraId="07D48452" w14:textId="77777777" w:rsidR="005A48F1" w:rsidRPr="00BD4849" w:rsidRDefault="005A48F1" w:rsidP="009F141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0,00</w:t>
            </w:r>
          </w:p>
        </w:tc>
        <w:tc>
          <w:tcPr>
            <w:tcW w:w="350" w:type="pct"/>
            <w:gridSpan w:val="2"/>
          </w:tcPr>
          <w:p w14:paraId="7EE4E5CC" w14:textId="77777777" w:rsidR="005A48F1" w:rsidRPr="00BD4849" w:rsidRDefault="005A48F1" w:rsidP="009F141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0,00</w:t>
            </w:r>
          </w:p>
        </w:tc>
      </w:tr>
      <w:tr w:rsidR="005A48F1" w:rsidRPr="00BD4849" w14:paraId="51061120" w14:textId="77777777" w:rsidTr="009F1410">
        <w:trPr>
          <w:cnfStyle w:val="000000100000" w:firstRow="0" w:lastRow="0" w:firstColumn="0" w:lastColumn="0" w:oddVBand="0" w:evenVBand="0" w:oddHBand="1"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449" w:type="pct"/>
            <w:vMerge w:val="restart"/>
            <w:textDirection w:val="btLr"/>
            <w:hideMark/>
          </w:tcPr>
          <w:p w14:paraId="6B5BE611" w14:textId="77777777" w:rsidR="005A48F1" w:rsidRPr="00BD4849" w:rsidRDefault="005A48F1" w:rsidP="009F1410">
            <w:pPr>
              <w:spacing w:line="20" w:lineRule="atLeast"/>
              <w:ind w:left="113" w:right="113"/>
              <w:rPr>
                <w:rFonts w:ascii="Arial" w:hAnsi="Arial" w:cs="Arial"/>
                <w:b w:val="0"/>
                <w:bCs w:val="0"/>
                <w:sz w:val="20"/>
                <w:szCs w:val="20"/>
                <w:lang w:val="sl-SI"/>
              </w:rPr>
            </w:pPr>
            <w:r w:rsidRPr="00BD4849">
              <w:rPr>
                <w:rFonts w:ascii="Arial" w:hAnsi="Arial" w:cs="Arial"/>
                <w:b w:val="0"/>
                <w:bCs w:val="0"/>
                <w:sz w:val="20"/>
                <w:szCs w:val="20"/>
                <w:lang w:val="sl-SI"/>
              </w:rPr>
              <w:t>UKREPI S PODROČJA ZDRAVSTVA</w:t>
            </w:r>
          </w:p>
          <w:p w14:paraId="3F9602C7" w14:textId="77777777" w:rsidR="005A48F1" w:rsidRPr="00BD4849" w:rsidRDefault="005A48F1" w:rsidP="009F1410">
            <w:pPr>
              <w:spacing w:line="20" w:lineRule="atLeast"/>
              <w:ind w:left="113" w:right="113"/>
              <w:rPr>
                <w:rFonts w:ascii="Arial" w:hAnsi="Arial" w:cs="Arial"/>
                <w:b w:val="0"/>
                <w:bCs w:val="0"/>
                <w:sz w:val="20"/>
                <w:szCs w:val="20"/>
                <w:lang w:val="sl-SI"/>
              </w:rPr>
            </w:pPr>
            <w:r w:rsidRPr="00BD4849">
              <w:rPr>
                <w:rFonts w:ascii="Arial" w:hAnsi="Arial" w:cs="Arial"/>
                <w:b w:val="0"/>
                <w:bCs w:val="0"/>
                <w:sz w:val="20"/>
                <w:szCs w:val="20"/>
                <w:lang w:val="sl-SI"/>
              </w:rPr>
              <w:t>(COVID)</w:t>
            </w:r>
          </w:p>
          <w:p w14:paraId="78F555A5" w14:textId="77777777" w:rsidR="005A48F1" w:rsidRPr="00BD4849" w:rsidRDefault="005A48F1" w:rsidP="009F1410">
            <w:pPr>
              <w:spacing w:line="20" w:lineRule="atLeast"/>
              <w:ind w:left="113" w:right="113"/>
              <w:rPr>
                <w:rFonts w:ascii="Arial" w:hAnsi="Arial" w:cs="Arial"/>
                <w:b w:val="0"/>
                <w:bCs w:val="0"/>
                <w:sz w:val="20"/>
                <w:szCs w:val="20"/>
                <w:lang w:val="sl-SI"/>
              </w:rPr>
            </w:pPr>
          </w:p>
          <w:p w14:paraId="76E39479" w14:textId="77777777" w:rsidR="005A48F1" w:rsidRPr="00BD4849" w:rsidRDefault="005A48F1" w:rsidP="009F1410">
            <w:pPr>
              <w:spacing w:line="20" w:lineRule="atLeast"/>
              <w:ind w:left="113" w:right="113"/>
              <w:rPr>
                <w:rFonts w:ascii="Arial" w:hAnsi="Arial" w:cs="Arial"/>
                <w:b w:val="0"/>
                <w:bCs w:val="0"/>
                <w:sz w:val="20"/>
                <w:szCs w:val="20"/>
                <w:lang w:val="sl-SI"/>
              </w:rPr>
            </w:pPr>
          </w:p>
          <w:p w14:paraId="13C3D7C7" w14:textId="77777777" w:rsidR="005A48F1" w:rsidRPr="00BD4849" w:rsidRDefault="005A48F1" w:rsidP="009F1410">
            <w:pPr>
              <w:spacing w:line="20" w:lineRule="atLeast"/>
              <w:ind w:left="113" w:right="113"/>
              <w:rPr>
                <w:rFonts w:ascii="Arial" w:hAnsi="Arial" w:cs="Arial"/>
                <w:b w:val="0"/>
                <w:bCs w:val="0"/>
                <w:sz w:val="20"/>
                <w:szCs w:val="20"/>
                <w:lang w:val="sl-SI"/>
              </w:rPr>
            </w:pPr>
          </w:p>
          <w:p w14:paraId="5B399D78" w14:textId="77777777" w:rsidR="005A48F1" w:rsidRPr="00BD4849" w:rsidRDefault="005A48F1" w:rsidP="009F1410">
            <w:pPr>
              <w:spacing w:line="20" w:lineRule="atLeast"/>
              <w:ind w:left="113" w:right="113"/>
              <w:rPr>
                <w:rFonts w:ascii="Arial" w:hAnsi="Arial" w:cs="Arial"/>
                <w:b w:val="0"/>
                <w:bCs w:val="0"/>
                <w:sz w:val="20"/>
                <w:szCs w:val="20"/>
                <w:lang w:val="sl-SI"/>
              </w:rPr>
            </w:pPr>
          </w:p>
          <w:p w14:paraId="4C5AFCEE" w14:textId="77777777" w:rsidR="005A48F1" w:rsidRPr="00BD4849" w:rsidRDefault="005A48F1" w:rsidP="009F1410">
            <w:pPr>
              <w:spacing w:line="20" w:lineRule="atLeast"/>
              <w:ind w:left="113" w:right="113"/>
              <w:rPr>
                <w:rFonts w:ascii="Arial" w:hAnsi="Arial" w:cs="Arial"/>
                <w:b w:val="0"/>
                <w:bCs w:val="0"/>
                <w:sz w:val="20"/>
                <w:szCs w:val="20"/>
                <w:lang w:val="sl-SI"/>
              </w:rPr>
            </w:pPr>
          </w:p>
          <w:p w14:paraId="59A6055C" w14:textId="77777777" w:rsidR="005A48F1" w:rsidRPr="00BD4849" w:rsidRDefault="005A48F1" w:rsidP="009F1410">
            <w:pPr>
              <w:spacing w:line="20" w:lineRule="atLeast"/>
              <w:ind w:left="113" w:right="113"/>
              <w:rPr>
                <w:rFonts w:ascii="Arial" w:hAnsi="Arial" w:cs="Arial"/>
                <w:b w:val="0"/>
                <w:bCs w:val="0"/>
                <w:sz w:val="20"/>
                <w:szCs w:val="20"/>
                <w:lang w:val="sl-SI"/>
              </w:rPr>
            </w:pPr>
          </w:p>
          <w:p w14:paraId="51287E86" w14:textId="77777777" w:rsidR="005A48F1" w:rsidRPr="00BD4849" w:rsidRDefault="005A48F1" w:rsidP="009F1410">
            <w:pPr>
              <w:spacing w:line="20" w:lineRule="atLeast"/>
              <w:ind w:left="113" w:right="113"/>
              <w:rPr>
                <w:rFonts w:ascii="Arial" w:hAnsi="Arial" w:cs="Arial"/>
                <w:b w:val="0"/>
                <w:bCs w:val="0"/>
                <w:sz w:val="20"/>
                <w:szCs w:val="20"/>
                <w:lang w:val="sl-SI"/>
              </w:rPr>
            </w:pPr>
          </w:p>
          <w:p w14:paraId="198ACE4C" w14:textId="77777777" w:rsidR="005A48F1" w:rsidRPr="00BD4849" w:rsidRDefault="005A48F1" w:rsidP="009F1410">
            <w:pPr>
              <w:spacing w:line="20" w:lineRule="atLeast"/>
              <w:ind w:left="113" w:right="113"/>
              <w:rPr>
                <w:rFonts w:ascii="Arial" w:hAnsi="Arial" w:cs="Arial"/>
                <w:b w:val="0"/>
                <w:bCs w:val="0"/>
                <w:sz w:val="20"/>
                <w:szCs w:val="20"/>
                <w:lang w:val="sl-SI"/>
              </w:rPr>
            </w:pPr>
          </w:p>
          <w:p w14:paraId="7D18F77F" w14:textId="77777777" w:rsidR="005A48F1" w:rsidRPr="00BD4849" w:rsidRDefault="005A48F1" w:rsidP="009F1410">
            <w:pPr>
              <w:spacing w:line="20" w:lineRule="atLeast"/>
              <w:ind w:left="113" w:right="113"/>
              <w:rPr>
                <w:rFonts w:ascii="Arial" w:hAnsi="Arial" w:cs="Arial"/>
                <w:b w:val="0"/>
                <w:bCs w:val="0"/>
                <w:sz w:val="20"/>
                <w:szCs w:val="20"/>
                <w:lang w:val="sl-SI"/>
              </w:rPr>
            </w:pPr>
          </w:p>
          <w:p w14:paraId="41DBC4B0" w14:textId="77777777" w:rsidR="005A48F1" w:rsidRPr="00BD4849" w:rsidRDefault="005A48F1" w:rsidP="009F1410">
            <w:pPr>
              <w:spacing w:line="20" w:lineRule="atLeast"/>
              <w:ind w:left="113" w:right="113"/>
              <w:rPr>
                <w:rFonts w:ascii="Arial" w:hAnsi="Arial" w:cs="Arial"/>
                <w:b w:val="0"/>
                <w:bCs w:val="0"/>
                <w:sz w:val="20"/>
                <w:szCs w:val="20"/>
                <w:lang w:val="sl-SI"/>
              </w:rPr>
            </w:pPr>
          </w:p>
          <w:p w14:paraId="27157007" w14:textId="77777777" w:rsidR="005A48F1" w:rsidRPr="00BD4849" w:rsidRDefault="005A48F1" w:rsidP="009F1410">
            <w:pPr>
              <w:spacing w:line="20" w:lineRule="atLeast"/>
              <w:ind w:left="113" w:right="113"/>
              <w:rPr>
                <w:rFonts w:ascii="Arial" w:hAnsi="Arial" w:cs="Arial"/>
                <w:b w:val="0"/>
                <w:bCs w:val="0"/>
                <w:sz w:val="20"/>
                <w:szCs w:val="20"/>
                <w:lang w:val="sl-SI"/>
              </w:rPr>
            </w:pPr>
          </w:p>
          <w:p w14:paraId="7C777915" w14:textId="77777777" w:rsidR="005A48F1" w:rsidRPr="00BD4849" w:rsidRDefault="005A48F1" w:rsidP="009F1410">
            <w:pPr>
              <w:spacing w:line="20" w:lineRule="atLeast"/>
              <w:ind w:left="113" w:right="113"/>
              <w:rPr>
                <w:rFonts w:ascii="Arial" w:hAnsi="Arial" w:cs="Arial"/>
                <w:b w:val="0"/>
                <w:bCs w:val="0"/>
                <w:sz w:val="20"/>
                <w:szCs w:val="20"/>
                <w:lang w:val="sl-SI"/>
              </w:rPr>
            </w:pPr>
          </w:p>
          <w:p w14:paraId="0E6D11D8" w14:textId="77777777" w:rsidR="005A48F1" w:rsidRPr="00BD4849" w:rsidRDefault="005A48F1" w:rsidP="009F1410">
            <w:pPr>
              <w:spacing w:line="20" w:lineRule="atLeast"/>
              <w:ind w:left="113" w:right="113"/>
              <w:rPr>
                <w:rFonts w:ascii="Arial" w:hAnsi="Arial" w:cs="Arial"/>
                <w:b w:val="0"/>
                <w:bCs w:val="0"/>
                <w:sz w:val="20"/>
                <w:szCs w:val="20"/>
                <w:lang w:val="sl-SI"/>
              </w:rPr>
            </w:pPr>
          </w:p>
          <w:p w14:paraId="09523EA6" w14:textId="77777777" w:rsidR="005A48F1" w:rsidRPr="00BD4849" w:rsidRDefault="005A48F1" w:rsidP="009F1410">
            <w:pPr>
              <w:spacing w:line="20" w:lineRule="atLeast"/>
              <w:ind w:left="113" w:right="113"/>
              <w:rPr>
                <w:rFonts w:ascii="Arial" w:hAnsi="Arial" w:cs="Arial"/>
                <w:b w:val="0"/>
                <w:bCs w:val="0"/>
                <w:sz w:val="20"/>
                <w:szCs w:val="20"/>
                <w:lang w:val="sl-SI"/>
              </w:rPr>
            </w:pPr>
          </w:p>
          <w:p w14:paraId="333A1C1B" w14:textId="77777777" w:rsidR="005A48F1" w:rsidRPr="00BD4849" w:rsidRDefault="005A48F1" w:rsidP="009F1410">
            <w:pPr>
              <w:spacing w:line="20" w:lineRule="atLeast"/>
              <w:ind w:left="113" w:right="113"/>
              <w:rPr>
                <w:rFonts w:ascii="Arial" w:hAnsi="Arial" w:cs="Arial"/>
                <w:b w:val="0"/>
                <w:bCs w:val="0"/>
                <w:sz w:val="20"/>
                <w:szCs w:val="20"/>
                <w:lang w:val="sl-SI"/>
              </w:rPr>
            </w:pPr>
          </w:p>
        </w:tc>
        <w:tc>
          <w:tcPr>
            <w:tcW w:w="1969" w:type="pct"/>
          </w:tcPr>
          <w:p w14:paraId="5754FB51" w14:textId="77777777" w:rsidR="005A48F1" w:rsidRPr="00BD4849" w:rsidRDefault="005A48F1" w:rsidP="009F1410">
            <w:pPr>
              <w:spacing w:line="20" w:lineRule="atLeast"/>
              <w:cnfStyle w:val="000000100000" w:firstRow="0" w:lastRow="0" w:firstColumn="0" w:lastColumn="0" w:oddVBand="0" w:evenVBand="0" w:oddHBand="1" w:evenHBand="0" w:firstRowFirstColumn="0" w:firstRowLastColumn="0" w:lastRowFirstColumn="0" w:lastRowLastColumn="0"/>
              <w:rPr>
                <w:rFonts w:ascii="Arial" w:hAnsi="Arial" w:cs="Arial"/>
                <w:sz w:val="20"/>
                <w:szCs w:val="20"/>
                <w:shd w:val="clear" w:color="auto" w:fill="FFFFFF"/>
                <w:lang w:val="sl-SI" w:eastAsia="sl-SI"/>
              </w:rPr>
            </w:pPr>
            <w:r w:rsidRPr="00BD4849">
              <w:rPr>
                <w:rFonts w:ascii="Arial" w:hAnsi="Arial" w:cs="Arial"/>
                <w:sz w:val="20"/>
                <w:szCs w:val="20"/>
                <w:shd w:val="clear" w:color="auto" w:fill="FFFFFF"/>
                <w:lang w:val="sl-SI" w:eastAsia="sl-SI"/>
              </w:rPr>
              <w:t>Povračilo izvajalcem zaradi izpada opravljanja zdravstvene dejavnosti - koncesionarji; uredba o izvajanju presejalnih programov za zgodnje odkrivanje okužb z virusom covid-19 - koncesionarji</w:t>
            </w:r>
          </w:p>
        </w:tc>
        <w:tc>
          <w:tcPr>
            <w:tcW w:w="303" w:type="pct"/>
          </w:tcPr>
          <w:p w14:paraId="723A4583" w14:textId="77777777" w:rsidR="005A48F1" w:rsidRPr="00D1091B" w:rsidRDefault="005A48F1" w:rsidP="009F141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sl-SI"/>
              </w:rPr>
            </w:pPr>
            <w:r w:rsidRPr="00D1091B">
              <w:rPr>
                <w:rFonts w:ascii="Arial" w:hAnsi="Arial" w:cs="Arial"/>
                <w:sz w:val="16"/>
                <w:szCs w:val="16"/>
                <w:lang w:val="sl-SI"/>
              </w:rPr>
              <w:t>D.3</w:t>
            </w:r>
          </w:p>
        </w:tc>
        <w:tc>
          <w:tcPr>
            <w:tcW w:w="533" w:type="pct"/>
            <w:hideMark/>
          </w:tcPr>
          <w:p w14:paraId="4089B2CB" w14:textId="77777777" w:rsidR="005A48F1" w:rsidRPr="00BD4849" w:rsidRDefault="005A48F1" w:rsidP="009F141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 xml:space="preserve">Sprejet </w:t>
            </w:r>
          </w:p>
        </w:tc>
        <w:tc>
          <w:tcPr>
            <w:tcW w:w="349" w:type="pct"/>
          </w:tcPr>
          <w:p w14:paraId="7D9CE77D" w14:textId="77777777" w:rsidR="005A48F1" w:rsidRPr="00BD4849" w:rsidRDefault="005A48F1" w:rsidP="009F141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0,03</w:t>
            </w:r>
          </w:p>
        </w:tc>
        <w:tc>
          <w:tcPr>
            <w:tcW w:w="349" w:type="pct"/>
            <w:gridSpan w:val="2"/>
          </w:tcPr>
          <w:p w14:paraId="0769AD23" w14:textId="77777777" w:rsidR="005A48F1" w:rsidRPr="00BD4849" w:rsidRDefault="005A48F1" w:rsidP="009F141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0,02</w:t>
            </w:r>
          </w:p>
        </w:tc>
        <w:tc>
          <w:tcPr>
            <w:tcW w:w="349" w:type="pct"/>
            <w:gridSpan w:val="2"/>
          </w:tcPr>
          <w:p w14:paraId="7C23BB9A" w14:textId="77777777" w:rsidR="005A48F1" w:rsidRPr="00BD4849" w:rsidRDefault="005A48F1" w:rsidP="009F141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-0,04</w:t>
            </w:r>
          </w:p>
        </w:tc>
        <w:tc>
          <w:tcPr>
            <w:tcW w:w="349" w:type="pct"/>
            <w:gridSpan w:val="2"/>
          </w:tcPr>
          <w:p w14:paraId="01E10360" w14:textId="77777777" w:rsidR="005A48F1" w:rsidRPr="00BD4849" w:rsidRDefault="005A48F1" w:rsidP="009F141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0,00</w:t>
            </w:r>
          </w:p>
        </w:tc>
        <w:tc>
          <w:tcPr>
            <w:tcW w:w="350" w:type="pct"/>
            <w:gridSpan w:val="2"/>
          </w:tcPr>
          <w:p w14:paraId="304B3A3D" w14:textId="77777777" w:rsidR="005A48F1" w:rsidRPr="00BD4849" w:rsidRDefault="005A48F1" w:rsidP="009F141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highlight w:val="cyan"/>
                <w:lang w:val="sl-SI"/>
              </w:rPr>
            </w:pPr>
            <w:r w:rsidRPr="00BD4849">
              <w:rPr>
                <w:rFonts w:ascii="Arial" w:hAnsi="Arial" w:cs="Arial"/>
                <w:sz w:val="18"/>
                <w:szCs w:val="18"/>
                <w:lang w:val="sl-SI"/>
              </w:rPr>
              <w:t>0,00</w:t>
            </w:r>
          </w:p>
        </w:tc>
      </w:tr>
      <w:tr w:rsidR="005A48F1" w:rsidRPr="00BD4849" w14:paraId="70F7F4CD" w14:textId="77777777" w:rsidTr="009F1410">
        <w:trPr>
          <w:trHeight w:val="42"/>
        </w:trPr>
        <w:tc>
          <w:tcPr>
            <w:cnfStyle w:val="001000000000" w:firstRow="0" w:lastRow="0" w:firstColumn="1" w:lastColumn="0" w:oddVBand="0" w:evenVBand="0" w:oddHBand="0" w:evenHBand="0" w:firstRowFirstColumn="0" w:firstRowLastColumn="0" w:lastRowFirstColumn="0" w:lastRowLastColumn="0"/>
            <w:tcW w:w="449" w:type="pct"/>
            <w:vMerge/>
          </w:tcPr>
          <w:p w14:paraId="70CBD6BB" w14:textId="77777777" w:rsidR="005A48F1" w:rsidRPr="00BD4849" w:rsidRDefault="005A48F1" w:rsidP="009F1410">
            <w:pPr>
              <w:spacing w:line="20" w:lineRule="atLeast"/>
              <w:rPr>
                <w:rFonts w:ascii="Arial" w:hAnsi="Arial" w:cs="Arial"/>
                <w:sz w:val="20"/>
                <w:szCs w:val="20"/>
                <w:lang w:val="sl-SI"/>
              </w:rPr>
            </w:pPr>
          </w:p>
        </w:tc>
        <w:tc>
          <w:tcPr>
            <w:tcW w:w="1969" w:type="pct"/>
          </w:tcPr>
          <w:p w14:paraId="56F9C988" w14:textId="77777777" w:rsidR="005A48F1" w:rsidRPr="00BD4849" w:rsidRDefault="005A48F1" w:rsidP="009F1410">
            <w:pPr>
              <w:spacing w:line="20" w:lineRule="atLeast"/>
              <w:cnfStyle w:val="000000000000" w:firstRow="0" w:lastRow="0" w:firstColumn="0" w:lastColumn="0" w:oddVBand="0" w:evenVBand="0" w:oddHBand="0" w:evenHBand="0" w:firstRowFirstColumn="0" w:firstRowLastColumn="0" w:lastRowFirstColumn="0" w:lastRowLastColumn="0"/>
              <w:rPr>
                <w:rFonts w:ascii="Arial" w:hAnsi="Arial" w:cs="Arial"/>
                <w:sz w:val="20"/>
                <w:szCs w:val="20"/>
                <w:shd w:val="clear" w:color="auto" w:fill="FFFFFF"/>
                <w:lang w:val="sl-SI" w:eastAsia="sl-SI"/>
              </w:rPr>
            </w:pPr>
            <w:r w:rsidRPr="00BD4849">
              <w:rPr>
                <w:rFonts w:ascii="Arial" w:hAnsi="Arial" w:cs="Arial"/>
                <w:sz w:val="20"/>
                <w:szCs w:val="20"/>
                <w:shd w:val="clear" w:color="auto" w:fill="FFFFFF"/>
                <w:lang w:val="sl-SI" w:eastAsia="sl-SI"/>
              </w:rPr>
              <w:t>Povračilo izvajalcem zaradi izpada opravljanja zdravstvene dejavnosti; kritje izpada prihodkov zaradi nezasedenih kapacitet in kritje najema dodatnih prostorov; ter ostalo (skupaj z covid rezervo tip 208), za skrajšanje čakalnih vrst, dostop do zdrav. storitev; cepiva covid-19 in ostalo</w:t>
            </w:r>
          </w:p>
        </w:tc>
        <w:tc>
          <w:tcPr>
            <w:tcW w:w="303" w:type="pct"/>
          </w:tcPr>
          <w:p w14:paraId="47B53B26" w14:textId="77777777" w:rsidR="005A48F1" w:rsidRPr="00D1091B" w:rsidRDefault="005A48F1" w:rsidP="009F141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sl-SI"/>
              </w:rPr>
            </w:pPr>
            <w:r w:rsidRPr="00D1091B">
              <w:rPr>
                <w:rFonts w:ascii="Arial" w:hAnsi="Arial" w:cs="Arial"/>
                <w:sz w:val="16"/>
                <w:szCs w:val="16"/>
                <w:lang w:val="sl-SI"/>
              </w:rPr>
              <w:t>D.75</w:t>
            </w:r>
          </w:p>
        </w:tc>
        <w:tc>
          <w:tcPr>
            <w:tcW w:w="533" w:type="pct"/>
          </w:tcPr>
          <w:p w14:paraId="0EAB0B5B" w14:textId="77777777" w:rsidR="005A48F1" w:rsidRPr="00BD4849" w:rsidRDefault="005A48F1" w:rsidP="009F141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 xml:space="preserve">Sprejet </w:t>
            </w:r>
          </w:p>
        </w:tc>
        <w:tc>
          <w:tcPr>
            <w:tcW w:w="349" w:type="pct"/>
          </w:tcPr>
          <w:p w14:paraId="52DF60C6" w14:textId="77777777" w:rsidR="005A48F1" w:rsidRPr="00BD4849" w:rsidRDefault="005A48F1" w:rsidP="009F141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0,22</w:t>
            </w:r>
          </w:p>
        </w:tc>
        <w:tc>
          <w:tcPr>
            <w:tcW w:w="349" w:type="pct"/>
            <w:gridSpan w:val="2"/>
          </w:tcPr>
          <w:p w14:paraId="5E90670A" w14:textId="77777777" w:rsidR="005A48F1" w:rsidRPr="00BD4849" w:rsidRDefault="005A48F1" w:rsidP="009F141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-0,16</w:t>
            </w:r>
          </w:p>
        </w:tc>
        <w:tc>
          <w:tcPr>
            <w:tcW w:w="349" w:type="pct"/>
            <w:gridSpan w:val="2"/>
          </w:tcPr>
          <w:p w14:paraId="64CDE60A" w14:textId="77777777" w:rsidR="005A48F1" w:rsidRPr="00BD4849" w:rsidRDefault="005A48F1" w:rsidP="009F141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0,04</w:t>
            </w:r>
          </w:p>
        </w:tc>
        <w:tc>
          <w:tcPr>
            <w:tcW w:w="349" w:type="pct"/>
            <w:gridSpan w:val="2"/>
          </w:tcPr>
          <w:p w14:paraId="49FEEDB1" w14:textId="77777777" w:rsidR="005A48F1" w:rsidRPr="00BD4849" w:rsidRDefault="005A48F1" w:rsidP="009F141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-0,10</w:t>
            </w:r>
          </w:p>
        </w:tc>
        <w:tc>
          <w:tcPr>
            <w:tcW w:w="350" w:type="pct"/>
            <w:gridSpan w:val="2"/>
          </w:tcPr>
          <w:p w14:paraId="53F173E5" w14:textId="77777777" w:rsidR="005A48F1" w:rsidRPr="00BD4849" w:rsidRDefault="005A48F1" w:rsidP="009F141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highlight w:val="cyan"/>
                <w:lang w:val="sl-SI"/>
              </w:rPr>
            </w:pPr>
            <w:r w:rsidRPr="00BD4849">
              <w:rPr>
                <w:rFonts w:ascii="Arial" w:hAnsi="Arial" w:cs="Arial"/>
                <w:sz w:val="18"/>
                <w:szCs w:val="18"/>
                <w:lang w:val="sl-SI"/>
              </w:rPr>
              <w:t>0,00</w:t>
            </w:r>
          </w:p>
        </w:tc>
      </w:tr>
      <w:tr w:rsidR="005A48F1" w:rsidRPr="00BD4849" w14:paraId="5CF59985" w14:textId="77777777" w:rsidTr="009F1410">
        <w:trPr>
          <w:cnfStyle w:val="000000100000" w:firstRow="0" w:lastRow="0" w:firstColumn="0" w:lastColumn="0" w:oddVBand="0" w:evenVBand="0" w:oddHBand="1" w:evenHBand="0" w:firstRowFirstColumn="0" w:firstRowLastColumn="0" w:lastRowFirstColumn="0" w:lastRowLastColumn="0"/>
          <w:trHeight w:val="42"/>
        </w:trPr>
        <w:tc>
          <w:tcPr>
            <w:cnfStyle w:val="001000000000" w:firstRow="0" w:lastRow="0" w:firstColumn="1" w:lastColumn="0" w:oddVBand="0" w:evenVBand="0" w:oddHBand="0" w:evenHBand="0" w:firstRowFirstColumn="0" w:firstRowLastColumn="0" w:lastRowFirstColumn="0" w:lastRowLastColumn="0"/>
            <w:tcW w:w="449" w:type="pct"/>
            <w:vMerge/>
          </w:tcPr>
          <w:p w14:paraId="737749CA" w14:textId="77777777" w:rsidR="005A48F1" w:rsidRPr="00BD4849" w:rsidRDefault="005A48F1" w:rsidP="009F1410">
            <w:pPr>
              <w:spacing w:line="20" w:lineRule="atLeast"/>
              <w:rPr>
                <w:rFonts w:ascii="Arial" w:hAnsi="Arial" w:cs="Arial"/>
                <w:sz w:val="20"/>
                <w:szCs w:val="20"/>
                <w:lang w:val="sl-SI"/>
              </w:rPr>
            </w:pPr>
          </w:p>
        </w:tc>
        <w:tc>
          <w:tcPr>
            <w:tcW w:w="1969" w:type="pct"/>
          </w:tcPr>
          <w:p w14:paraId="4256CB2F" w14:textId="77777777" w:rsidR="005A48F1" w:rsidRPr="00BD4849" w:rsidRDefault="005A48F1" w:rsidP="009F1410">
            <w:pPr>
              <w:spacing w:line="20" w:lineRule="atLeast"/>
              <w:cnfStyle w:val="000000100000" w:firstRow="0" w:lastRow="0" w:firstColumn="0" w:lastColumn="0" w:oddVBand="0" w:evenVBand="0" w:oddHBand="1" w:evenHBand="0" w:firstRowFirstColumn="0" w:firstRowLastColumn="0" w:lastRowFirstColumn="0" w:lastRowLastColumn="0"/>
              <w:rPr>
                <w:rFonts w:ascii="Arial" w:hAnsi="Arial" w:cs="Arial"/>
                <w:sz w:val="20"/>
                <w:szCs w:val="20"/>
                <w:shd w:val="clear" w:color="auto" w:fill="FFFFFF"/>
                <w:lang w:val="sl-SI" w:eastAsia="sl-SI"/>
              </w:rPr>
            </w:pPr>
            <w:r w:rsidRPr="00BD4849">
              <w:rPr>
                <w:rFonts w:ascii="Arial" w:hAnsi="Arial" w:cs="Arial"/>
                <w:sz w:val="20"/>
                <w:szCs w:val="20"/>
                <w:shd w:val="clear" w:color="auto" w:fill="FFFFFF"/>
                <w:lang w:val="sl-SI" w:eastAsia="sl-SI"/>
              </w:rPr>
              <w:t>Obvladovanje epidemije, financiranje zalog ZRSBR; zaščitna medicinska in varovalna oprema; nastanitve in prevozi; testiranja za covid-19; stroški testov; izvajanje mikrobioloških preiskav; izvajanje javne službe na NIJZ; uredba o izvajanju presejalnih programov za zgodnje odkrivanje okužb z virusom covid-19; nujni operativni center za epidemiološke preiskave, podaljšanja bolnišnična obravnava in zdravljenje s kisikom; hitri antigenski testi; financiranje ZZZS / covid-19 (zdravstvene storitve) idr.</w:t>
            </w:r>
          </w:p>
        </w:tc>
        <w:tc>
          <w:tcPr>
            <w:tcW w:w="303" w:type="pct"/>
          </w:tcPr>
          <w:p w14:paraId="16BDAD35" w14:textId="77777777" w:rsidR="005A48F1" w:rsidRPr="00D1091B" w:rsidRDefault="005A48F1" w:rsidP="009F141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sl-SI"/>
              </w:rPr>
            </w:pPr>
            <w:r w:rsidRPr="00D1091B">
              <w:rPr>
                <w:rFonts w:ascii="Arial" w:hAnsi="Arial" w:cs="Arial"/>
                <w:sz w:val="16"/>
                <w:szCs w:val="16"/>
                <w:lang w:val="sl-SI"/>
              </w:rPr>
              <w:t>P.2</w:t>
            </w:r>
          </w:p>
        </w:tc>
        <w:tc>
          <w:tcPr>
            <w:tcW w:w="533" w:type="pct"/>
          </w:tcPr>
          <w:p w14:paraId="05AA89A6" w14:textId="77777777" w:rsidR="005A48F1" w:rsidRPr="00BD4849" w:rsidRDefault="005A48F1" w:rsidP="009F141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Sprejet</w:t>
            </w:r>
          </w:p>
          <w:p w14:paraId="7A6F4C0A" w14:textId="77777777" w:rsidR="005A48F1" w:rsidRPr="00BD4849" w:rsidRDefault="005A48F1" w:rsidP="009F141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sl-SI"/>
              </w:rPr>
            </w:pPr>
          </w:p>
        </w:tc>
        <w:tc>
          <w:tcPr>
            <w:tcW w:w="349" w:type="pct"/>
          </w:tcPr>
          <w:p w14:paraId="1AC51851" w14:textId="77777777" w:rsidR="005A48F1" w:rsidRPr="00BD4849" w:rsidRDefault="005A48F1" w:rsidP="009F141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0,27</w:t>
            </w:r>
          </w:p>
        </w:tc>
        <w:tc>
          <w:tcPr>
            <w:tcW w:w="349" w:type="pct"/>
            <w:gridSpan w:val="2"/>
          </w:tcPr>
          <w:p w14:paraId="1642987F" w14:textId="77777777" w:rsidR="005A48F1" w:rsidRPr="00BD4849" w:rsidRDefault="005A48F1" w:rsidP="009F141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0,04</w:t>
            </w:r>
          </w:p>
        </w:tc>
        <w:tc>
          <w:tcPr>
            <w:tcW w:w="349" w:type="pct"/>
            <w:gridSpan w:val="2"/>
          </w:tcPr>
          <w:p w14:paraId="13E0F50A" w14:textId="77777777" w:rsidR="005A48F1" w:rsidRPr="00BD4849" w:rsidRDefault="005A48F1" w:rsidP="009F141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-0,17</w:t>
            </w:r>
          </w:p>
        </w:tc>
        <w:tc>
          <w:tcPr>
            <w:tcW w:w="349" w:type="pct"/>
            <w:gridSpan w:val="2"/>
          </w:tcPr>
          <w:p w14:paraId="38253D40" w14:textId="77777777" w:rsidR="005A48F1" w:rsidRPr="00BD4849" w:rsidRDefault="005A48F1" w:rsidP="009F141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-0,02</w:t>
            </w:r>
          </w:p>
        </w:tc>
        <w:tc>
          <w:tcPr>
            <w:tcW w:w="350" w:type="pct"/>
            <w:gridSpan w:val="2"/>
          </w:tcPr>
          <w:p w14:paraId="07AB9812" w14:textId="77777777" w:rsidR="005A48F1" w:rsidRPr="00BD4849" w:rsidRDefault="005A48F1" w:rsidP="009F141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highlight w:val="cyan"/>
                <w:lang w:val="sl-SI"/>
              </w:rPr>
            </w:pPr>
            <w:r w:rsidRPr="00BD4849">
              <w:rPr>
                <w:rFonts w:ascii="Arial" w:hAnsi="Arial" w:cs="Arial"/>
                <w:sz w:val="18"/>
                <w:szCs w:val="18"/>
                <w:lang w:val="sl-SI"/>
              </w:rPr>
              <w:t>-0,11</w:t>
            </w:r>
          </w:p>
        </w:tc>
      </w:tr>
      <w:tr w:rsidR="005A48F1" w:rsidRPr="00BD4849" w14:paraId="2DF7B8D9" w14:textId="77777777" w:rsidTr="009F1410">
        <w:trPr>
          <w:trHeight w:val="42"/>
        </w:trPr>
        <w:tc>
          <w:tcPr>
            <w:cnfStyle w:val="001000000000" w:firstRow="0" w:lastRow="0" w:firstColumn="1" w:lastColumn="0" w:oddVBand="0" w:evenVBand="0" w:oddHBand="0" w:evenHBand="0" w:firstRowFirstColumn="0" w:firstRowLastColumn="0" w:lastRowFirstColumn="0" w:lastRowLastColumn="0"/>
            <w:tcW w:w="449" w:type="pct"/>
            <w:vMerge/>
            <w:hideMark/>
          </w:tcPr>
          <w:p w14:paraId="550F58E2" w14:textId="77777777" w:rsidR="005A48F1" w:rsidRPr="00BD4849" w:rsidRDefault="005A48F1" w:rsidP="009F1410">
            <w:pPr>
              <w:spacing w:line="20" w:lineRule="atLeast"/>
              <w:rPr>
                <w:rFonts w:ascii="Arial" w:hAnsi="Arial" w:cs="Arial"/>
                <w:sz w:val="20"/>
                <w:szCs w:val="20"/>
                <w:lang w:val="sl-SI"/>
              </w:rPr>
            </w:pPr>
          </w:p>
        </w:tc>
        <w:tc>
          <w:tcPr>
            <w:tcW w:w="1969" w:type="pct"/>
          </w:tcPr>
          <w:p w14:paraId="48D1C093" w14:textId="77777777" w:rsidR="005A48F1" w:rsidRPr="00BD4849" w:rsidRDefault="005A48F1" w:rsidP="009F1410">
            <w:pPr>
              <w:spacing w:line="20" w:lineRule="atLeast"/>
              <w:cnfStyle w:val="000000000000" w:firstRow="0" w:lastRow="0" w:firstColumn="0" w:lastColumn="0" w:oddVBand="0" w:evenVBand="0" w:oddHBand="0" w:evenHBand="0" w:firstRowFirstColumn="0" w:firstRowLastColumn="0" w:lastRowFirstColumn="0" w:lastRowLastColumn="0"/>
              <w:rPr>
                <w:rFonts w:ascii="Arial" w:hAnsi="Arial" w:cs="Arial"/>
                <w:sz w:val="20"/>
                <w:szCs w:val="20"/>
                <w:shd w:val="clear" w:color="auto" w:fill="FFFFFF"/>
                <w:lang w:val="sl-SI" w:eastAsia="sl-SI"/>
              </w:rPr>
            </w:pPr>
            <w:r w:rsidRPr="00BD4849">
              <w:rPr>
                <w:rFonts w:ascii="Arial" w:hAnsi="Arial" w:cs="Arial"/>
                <w:sz w:val="20"/>
                <w:szCs w:val="20"/>
                <w:shd w:val="clear" w:color="auto" w:fill="FFFFFF"/>
                <w:lang w:val="sl-SI" w:eastAsia="sl-SI"/>
              </w:rPr>
              <w:t>Zagotavljanje sredstev ZZZS - 67.č člen ZIPRS2021; cepljenje proti covid-19 idr.</w:t>
            </w:r>
          </w:p>
        </w:tc>
        <w:tc>
          <w:tcPr>
            <w:tcW w:w="303" w:type="pct"/>
          </w:tcPr>
          <w:p w14:paraId="31D5A583" w14:textId="77777777" w:rsidR="005A48F1" w:rsidRPr="00D1091B" w:rsidRDefault="005A48F1" w:rsidP="009F141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sl-SI"/>
              </w:rPr>
            </w:pPr>
            <w:r w:rsidRPr="00D1091B">
              <w:rPr>
                <w:rFonts w:ascii="Arial" w:hAnsi="Arial" w:cs="Arial"/>
                <w:sz w:val="16"/>
                <w:szCs w:val="16"/>
                <w:lang w:val="sl-SI"/>
              </w:rPr>
              <w:t>D.63</w:t>
            </w:r>
          </w:p>
        </w:tc>
        <w:tc>
          <w:tcPr>
            <w:tcW w:w="533" w:type="pct"/>
          </w:tcPr>
          <w:p w14:paraId="6C3B71D2" w14:textId="77777777" w:rsidR="005A48F1" w:rsidRPr="00BD4849" w:rsidRDefault="005A48F1" w:rsidP="009F141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Sprejet</w:t>
            </w:r>
          </w:p>
        </w:tc>
        <w:tc>
          <w:tcPr>
            <w:tcW w:w="349" w:type="pct"/>
          </w:tcPr>
          <w:p w14:paraId="3F8A8052" w14:textId="77777777" w:rsidR="005A48F1" w:rsidRPr="00BD4849" w:rsidRDefault="005A48F1" w:rsidP="009F141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0,10</w:t>
            </w:r>
          </w:p>
        </w:tc>
        <w:tc>
          <w:tcPr>
            <w:tcW w:w="349" w:type="pct"/>
            <w:gridSpan w:val="2"/>
          </w:tcPr>
          <w:p w14:paraId="3F69AD85" w14:textId="77777777" w:rsidR="005A48F1" w:rsidRPr="00BD4849" w:rsidRDefault="005A48F1" w:rsidP="009F141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0,00</w:t>
            </w:r>
          </w:p>
        </w:tc>
        <w:tc>
          <w:tcPr>
            <w:tcW w:w="349" w:type="pct"/>
            <w:gridSpan w:val="2"/>
          </w:tcPr>
          <w:p w14:paraId="54329817" w14:textId="77777777" w:rsidR="005A48F1" w:rsidRPr="00BD4849" w:rsidRDefault="005A48F1" w:rsidP="009F141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highlight w:val="cyan"/>
                <w:lang w:val="sl-SI"/>
              </w:rPr>
            </w:pPr>
            <w:r w:rsidRPr="00BD4849">
              <w:rPr>
                <w:rFonts w:ascii="Arial" w:hAnsi="Arial" w:cs="Arial"/>
                <w:sz w:val="18"/>
                <w:szCs w:val="18"/>
                <w:lang w:val="sl-SI"/>
              </w:rPr>
              <w:t>-0,02</w:t>
            </w:r>
          </w:p>
        </w:tc>
        <w:tc>
          <w:tcPr>
            <w:tcW w:w="349" w:type="pct"/>
            <w:gridSpan w:val="2"/>
          </w:tcPr>
          <w:p w14:paraId="34017CDA" w14:textId="77777777" w:rsidR="005A48F1" w:rsidRPr="00BD4849" w:rsidRDefault="005A48F1" w:rsidP="009F141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highlight w:val="cyan"/>
                <w:lang w:val="sl-SI"/>
              </w:rPr>
            </w:pPr>
            <w:r w:rsidRPr="00BD4849">
              <w:rPr>
                <w:rFonts w:ascii="Arial" w:hAnsi="Arial" w:cs="Arial"/>
                <w:sz w:val="18"/>
                <w:szCs w:val="18"/>
                <w:lang w:val="sl-SI"/>
              </w:rPr>
              <w:t>-0,06</w:t>
            </w:r>
          </w:p>
        </w:tc>
        <w:tc>
          <w:tcPr>
            <w:tcW w:w="350" w:type="pct"/>
            <w:gridSpan w:val="2"/>
          </w:tcPr>
          <w:p w14:paraId="381F9083" w14:textId="77777777" w:rsidR="005A48F1" w:rsidRPr="00BD4849" w:rsidRDefault="005A48F1" w:rsidP="009F141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highlight w:val="cyan"/>
                <w:lang w:val="sl-SI"/>
              </w:rPr>
            </w:pPr>
            <w:r w:rsidRPr="00BD4849">
              <w:rPr>
                <w:rFonts w:ascii="Arial" w:hAnsi="Arial" w:cs="Arial"/>
                <w:sz w:val="18"/>
                <w:szCs w:val="18"/>
                <w:lang w:val="sl-SI"/>
              </w:rPr>
              <w:t>-0,02</w:t>
            </w:r>
          </w:p>
        </w:tc>
      </w:tr>
      <w:tr w:rsidR="005A48F1" w:rsidRPr="00BD4849" w14:paraId="2DEFCEBE" w14:textId="77777777" w:rsidTr="009F1410">
        <w:trPr>
          <w:cnfStyle w:val="000000100000" w:firstRow="0" w:lastRow="0" w:firstColumn="0" w:lastColumn="0" w:oddVBand="0" w:evenVBand="0" w:oddHBand="1" w:evenHBand="0" w:firstRowFirstColumn="0" w:firstRowLastColumn="0" w:lastRowFirstColumn="0" w:lastRowLastColumn="0"/>
          <w:trHeight w:val="42"/>
        </w:trPr>
        <w:tc>
          <w:tcPr>
            <w:cnfStyle w:val="001000000000" w:firstRow="0" w:lastRow="0" w:firstColumn="1" w:lastColumn="0" w:oddVBand="0" w:evenVBand="0" w:oddHBand="0" w:evenHBand="0" w:firstRowFirstColumn="0" w:firstRowLastColumn="0" w:lastRowFirstColumn="0" w:lastRowLastColumn="0"/>
            <w:tcW w:w="449" w:type="pct"/>
            <w:vMerge/>
          </w:tcPr>
          <w:p w14:paraId="137B2CB5" w14:textId="77777777" w:rsidR="005A48F1" w:rsidRPr="00BD4849" w:rsidRDefault="005A48F1" w:rsidP="009F1410">
            <w:pPr>
              <w:spacing w:line="20" w:lineRule="atLeast"/>
              <w:rPr>
                <w:rFonts w:ascii="Arial" w:hAnsi="Arial" w:cs="Arial"/>
                <w:sz w:val="20"/>
                <w:szCs w:val="20"/>
                <w:lang w:val="sl-SI"/>
              </w:rPr>
            </w:pPr>
          </w:p>
        </w:tc>
        <w:tc>
          <w:tcPr>
            <w:tcW w:w="1969" w:type="pct"/>
          </w:tcPr>
          <w:p w14:paraId="776EE75A" w14:textId="77777777" w:rsidR="005A48F1" w:rsidRPr="00BD4849" w:rsidRDefault="005A48F1" w:rsidP="009F1410">
            <w:pPr>
              <w:spacing w:line="20" w:lineRule="atLeast"/>
              <w:cnfStyle w:val="000000100000" w:firstRow="0" w:lastRow="0" w:firstColumn="0" w:lastColumn="0" w:oddVBand="0" w:evenVBand="0" w:oddHBand="1" w:evenHBand="0" w:firstRowFirstColumn="0" w:firstRowLastColumn="0" w:lastRowFirstColumn="0" w:lastRowLastColumn="0"/>
              <w:rPr>
                <w:rFonts w:ascii="Arial" w:hAnsi="Arial" w:cs="Arial"/>
                <w:sz w:val="20"/>
                <w:szCs w:val="20"/>
                <w:shd w:val="clear" w:color="auto" w:fill="FFFFFF"/>
                <w:lang w:val="sl-SI" w:eastAsia="sl-SI"/>
              </w:rPr>
            </w:pPr>
            <w:r w:rsidRPr="00BD4849">
              <w:rPr>
                <w:rFonts w:ascii="Arial" w:hAnsi="Arial" w:cs="Arial"/>
                <w:sz w:val="20"/>
                <w:szCs w:val="20"/>
                <w:shd w:val="clear" w:color="auto" w:fill="FFFFFF"/>
                <w:lang w:val="sl-SI" w:eastAsia="sl-SI"/>
              </w:rPr>
              <w:t>Zagotavljanje sredstev ZZZS (cepljenje proti covid-19)</w:t>
            </w:r>
          </w:p>
        </w:tc>
        <w:tc>
          <w:tcPr>
            <w:tcW w:w="303" w:type="pct"/>
          </w:tcPr>
          <w:p w14:paraId="74AE7276" w14:textId="77777777" w:rsidR="005A48F1" w:rsidRPr="00D1091B" w:rsidRDefault="005A48F1" w:rsidP="009F141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sl-SI"/>
              </w:rPr>
            </w:pPr>
            <w:r w:rsidRPr="00D1091B">
              <w:rPr>
                <w:rFonts w:ascii="Arial" w:hAnsi="Arial" w:cs="Arial"/>
                <w:sz w:val="16"/>
                <w:szCs w:val="16"/>
                <w:lang w:val="sl-SI"/>
              </w:rPr>
              <w:t>D.73</w:t>
            </w:r>
          </w:p>
        </w:tc>
        <w:tc>
          <w:tcPr>
            <w:tcW w:w="533" w:type="pct"/>
          </w:tcPr>
          <w:p w14:paraId="636A01FD" w14:textId="77777777" w:rsidR="005A48F1" w:rsidRPr="00BD4849" w:rsidRDefault="005A48F1" w:rsidP="009F141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Sprejet</w:t>
            </w:r>
          </w:p>
        </w:tc>
        <w:tc>
          <w:tcPr>
            <w:tcW w:w="349" w:type="pct"/>
          </w:tcPr>
          <w:p w14:paraId="74DB411E" w14:textId="77777777" w:rsidR="005A48F1" w:rsidRPr="00BD4849" w:rsidRDefault="005A48F1" w:rsidP="009F141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0,00</w:t>
            </w:r>
          </w:p>
        </w:tc>
        <w:tc>
          <w:tcPr>
            <w:tcW w:w="349" w:type="pct"/>
            <w:gridSpan w:val="2"/>
          </w:tcPr>
          <w:p w14:paraId="1A5DFF8E" w14:textId="77777777" w:rsidR="005A48F1" w:rsidRPr="00BD4849" w:rsidRDefault="005A48F1" w:rsidP="009F141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0,05</w:t>
            </w:r>
          </w:p>
        </w:tc>
        <w:tc>
          <w:tcPr>
            <w:tcW w:w="349" w:type="pct"/>
            <w:gridSpan w:val="2"/>
          </w:tcPr>
          <w:p w14:paraId="2321B48B" w14:textId="77777777" w:rsidR="005A48F1" w:rsidRPr="00BD4849" w:rsidRDefault="005A48F1" w:rsidP="009F141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highlight w:val="cyan"/>
                <w:lang w:val="sl-SI"/>
              </w:rPr>
            </w:pPr>
            <w:r w:rsidRPr="00BD4849">
              <w:rPr>
                <w:rFonts w:ascii="Arial" w:hAnsi="Arial" w:cs="Arial"/>
                <w:sz w:val="18"/>
                <w:szCs w:val="18"/>
                <w:lang w:val="sl-SI"/>
              </w:rPr>
              <w:t>-0,04</w:t>
            </w:r>
          </w:p>
        </w:tc>
        <w:tc>
          <w:tcPr>
            <w:tcW w:w="349" w:type="pct"/>
            <w:gridSpan w:val="2"/>
          </w:tcPr>
          <w:p w14:paraId="5F17F6AF" w14:textId="77777777" w:rsidR="005A48F1" w:rsidRPr="00BD4849" w:rsidRDefault="005A48F1" w:rsidP="009F141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highlight w:val="cyan"/>
                <w:lang w:val="sl-SI"/>
              </w:rPr>
            </w:pPr>
            <w:r w:rsidRPr="00BD4849">
              <w:rPr>
                <w:rFonts w:ascii="Arial" w:hAnsi="Arial" w:cs="Arial"/>
                <w:sz w:val="18"/>
                <w:szCs w:val="18"/>
                <w:lang w:val="sl-SI"/>
              </w:rPr>
              <w:t>-0,01</w:t>
            </w:r>
          </w:p>
        </w:tc>
        <w:tc>
          <w:tcPr>
            <w:tcW w:w="350" w:type="pct"/>
            <w:gridSpan w:val="2"/>
          </w:tcPr>
          <w:p w14:paraId="355F8EA3" w14:textId="77777777" w:rsidR="005A48F1" w:rsidRPr="00BD4849" w:rsidRDefault="005A48F1" w:rsidP="009F141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highlight w:val="cyan"/>
                <w:lang w:val="sl-SI"/>
              </w:rPr>
            </w:pPr>
            <w:r w:rsidRPr="00BD4849">
              <w:rPr>
                <w:rFonts w:ascii="Arial" w:hAnsi="Arial" w:cs="Arial"/>
                <w:sz w:val="18"/>
                <w:szCs w:val="18"/>
                <w:lang w:val="sl-SI"/>
              </w:rPr>
              <w:t>0,00</w:t>
            </w:r>
          </w:p>
        </w:tc>
      </w:tr>
      <w:tr w:rsidR="005A48F1" w:rsidRPr="00BD4849" w14:paraId="65D9D767" w14:textId="77777777" w:rsidTr="009F1410">
        <w:trPr>
          <w:trHeight w:val="42"/>
        </w:trPr>
        <w:tc>
          <w:tcPr>
            <w:cnfStyle w:val="001000000000" w:firstRow="0" w:lastRow="0" w:firstColumn="1" w:lastColumn="0" w:oddVBand="0" w:evenVBand="0" w:oddHBand="0" w:evenHBand="0" w:firstRowFirstColumn="0" w:firstRowLastColumn="0" w:lastRowFirstColumn="0" w:lastRowLastColumn="0"/>
            <w:tcW w:w="449" w:type="pct"/>
            <w:vMerge/>
          </w:tcPr>
          <w:p w14:paraId="63DB2C75" w14:textId="77777777" w:rsidR="005A48F1" w:rsidRPr="00BD4849" w:rsidRDefault="005A48F1" w:rsidP="009F1410">
            <w:pPr>
              <w:spacing w:line="20" w:lineRule="atLeast"/>
              <w:rPr>
                <w:rFonts w:ascii="Arial" w:hAnsi="Arial" w:cs="Arial"/>
                <w:sz w:val="20"/>
                <w:szCs w:val="20"/>
                <w:lang w:val="sl-SI"/>
              </w:rPr>
            </w:pPr>
          </w:p>
        </w:tc>
        <w:tc>
          <w:tcPr>
            <w:tcW w:w="1969" w:type="pct"/>
          </w:tcPr>
          <w:p w14:paraId="6A4571BF" w14:textId="77777777" w:rsidR="005A48F1" w:rsidRPr="00BD4849" w:rsidRDefault="005A48F1" w:rsidP="009F1410">
            <w:pPr>
              <w:spacing w:line="20" w:lineRule="atLeast"/>
              <w:cnfStyle w:val="000000000000" w:firstRow="0" w:lastRow="0" w:firstColumn="0" w:lastColumn="0" w:oddVBand="0" w:evenVBand="0" w:oddHBand="0" w:evenHBand="0" w:firstRowFirstColumn="0" w:firstRowLastColumn="0" w:lastRowFirstColumn="0" w:lastRowLastColumn="0"/>
              <w:rPr>
                <w:rFonts w:ascii="Arial" w:hAnsi="Arial" w:cs="Arial"/>
                <w:sz w:val="20"/>
                <w:szCs w:val="20"/>
                <w:shd w:val="clear" w:color="auto" w:fill="FFFFFF"/>
                <w:lang w:val="sl-SI" w:eastAsia="sl-SI"/>
              </w:rPr>
            </w:pPr>
            <w:r w:rsidRPr="00BD4849">
              <w:rPr>
                <w:rFonts w:ascii="Arial" w:hAnsi="Arial" w:cs="Arial"/>
                <w:sz w:val="20"/>
                <w:szCs w:val="20"/>
                <w:shd w:val="clear" w:color="auto" w:fill="FFFFFF"/>
                <w:lang w:val="sl-SI" w:eastAsia="sl-SI"/>
              </w:rPr>
              <w:t>Dodatni zdravstveni programi; skrajšanje čakalnih vrst; razpisi v zdravstvu; financiranje dodatnih kadrov v SVZ; zagotavljanje sredstev ZZZS (izolacija); zdravstvena infrastruktura; financiranje ZZZS (covid);  dodatek za prerazporeditve in povečan obseg dela in dodatki za delo s pacienti</w:t>
            </w:r>
          </w:p>
        </w:tc>
        <w:tc>
          <w:tcPr>
            <w:tcW w:w="303" w:type="pct"/>
          </w:tcPr>
          <w:p w14:paraId="0529A626" w14:textId="77777777" w:rsidR="005A48F1" w:rsidRPr="00D1091B" w:rsidRDefault="005A48F1" w:rsidP="009F141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sl-SI"/>
              </w:rPr>
            </w:pPr>
            <w:r w:rsidRPr="00D1091B">
              <w:rPr>
                <w:rFonts w:ascii="Arial" w:hAnsi="Arial" w:cs="Arial"/>
                <w:sz w:val="16"/>
                <w:szCs w:val="16"/>
                <w:lang w:val="sl-SI"/>
              </w:rPr>
              <w:t>D.1</w:t>
            </w:r>
          </w:p>
        </w:tc>
        <w:tc>
          <w:tcPr>
            <w:tcW w:w="533" w:type="pct"/>
          </w:tcPr>
          <w:p w14:paraId="29D7B9A7" w14:textId="77777777" w:rsidR="005A48F1" w:rsidRPr="00BD4849" w:rsidRDefault="005A48F1" w:rsidP="009F141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Sprejet</w:t>
            </w:r>
          </w:p>
        </w:tc>
        <w:tc>
          <w:tcPr>
            <w:tcW w:w="349" w:type="pct"/>
          </w:tcPr>
          <w:p w14:paraId="53F9F7D6" w14:textId="77777777" w:rsidR="005A48F1" w:rsidRPr="00BD4849" w:rsidRDefault="005A48F1" w:rsidP="009F141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0,01</w:t>
            </w:r>
          </w:p>
        </w:tc>
        <w:tc>
          <w:tcPr>
            <w:tcW w:w="349" w:type="pct"/>
            <w:gridSpan w:val="2"/>
          </w:tcPr>
          <w:p w14:paraId="37A5A11D" w14:textId="77777777" w:rsidR="005A48F1" w:rsidRPr="00BD4849" w:rsidRDefault="005A48F1" w:rsidP="009F141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0,02</w:t>
            </w:r>
          </w:p>
        </w:tc>
        <w:tc>
          <w:tcPr>
            <w:tcW w:w="349" w:type="pct"/>
            <w:gridSpan w:val="2"/>
          </w:tcPr>
          <w:p w14:paraId="68229D3D" w14:textId="77777777" w:rsidR="005A48F1" w:rsidRPr="00BD4849" w:rsidRDefault="005A48F1" w:rsidP="009F141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highlight w:val="cyan"/>
                <w:lang w:val="sl-SI"/>
              </w:rPr>
            </w:pPr>
            <w:r w:rsidRPr="00BD4849">
              <w:rPr>
                <w:rFonts w:ascii="Arial" w:hAnsi="Arial" w:cs="Arial"/>
                <w:sz w:val="18"/>
                <w:szCs w:val="18"/>
                <w:lang w:val="sl-SI"/>
              </w:rPr>
              <w:t>0,19</w:t>
            </w:r>
          </w:p>
        </w:tc>
        <w:tc>
          <w:tcPr>
            <w:tcW w:w="349" w:type="pct"/>
            <w:gridSpan w:val="2"/>
          </w:tcPr>
          <w:p w14:paraId="12F726D9" w14:textId="77777777" w:rsidR="005A48F1" w:rsidRPr="00BD4849" w:rsidRDefault="005A48F1" w:rsidP="009F141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highlight w:val="cyan"/>
                <w:lang w:val="sl-SI"/>
              </w:rPr>
            </w:pPr>
            <w:r w:rsidRPr="00BD4849">
              <w:rPr>
                <w:rFonts w:ascii="Arial" w:hAnsi="Arial" w:cs="Arial"/>
                <w:sz w:val="18"/>
                <w:szCs w:val="18"/>
                <w:lang w:val="sl-SI"/>
              </w:rPr>
              <w:t>-0,12</w:t>
            </w:r>
          </w:p>
        </w:tc>
        <w:tc>
          <w:tcPr>
            <w:tcW w:w="350" w:type="pct"/>
            <w:gridSpan w:val="2"/>
          </w:tcPr>
          <w:p w14:paraId="2E9A05B6" w14:textId="77777777" w:rsidR="005A48F1" w:rsidRPr="00BD4849" w:rsidRDefault="005A48F1" w:rsidP="009F141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highlight w:val="cyan"/>
                <w:lang w:val="sl-SI"/>
              </w:rPr>
            </w:pPr>
            <w:r w:rsidRPr="00BD4849">
              <w:rPr>
                <w:rFonts w:ascii="Arial" w:hAnsi="Arial" w:cs="Arial"/>
                <w:sz w:val="18"/>
                <w:szCs w:val="18"/>
                <w:lang w:val="sl-SI"/>
              </w:rPr>
              <w:t>-0,09</w:t>
            </w:r>
          </w:p>
        </w:tc>
      </w:tr>
      <w:tr w:rsidR="005A48F1" w:rsidRPr="00BD4849" w14:paraId="7FD21F3A" w14:textId="77777777" w:rsidTr="009F1410">
        <w:trPr>
          <w:cnfStyle w:val="000000100000" w:firstRow="0" w:lastRow="0" w:firstColumn="0" w:lastColumn="0" w:oddVBand="0" w:evenVBand="0" w:oddHBand="1" w:evenHBand="0" w:firstRowFirstColumn="0" w:firstRowLastColumn="0" w:lastRowFirstColumn="0" w:lastRowLastColumn="0"/>
          <w:trHeight w:val="42"/>
        </w:trPr>
        <w:tc>
          <w:tcPr>
            <w:cnfStyle w:val="001000000000" w:firstRow="0" w:lastRow="0" w:firstColumn="1" w:lastColumn="0" w:oddVBand="0" w:evenVBand="0" w:oddHBand="0" w:evenHBand="0" w:firstRowFirstColumn="0" w:firstRowLastColumn="0" w:lastRowFirstColumn="0" w:lastRowLastColumn="0"/>
            <w:tcW w:w="449" w:type="pct"/>
            <w:vMerge/>
          </w:tcPr>
          <w:p w14:paraId="712984C6" w14:textId="77777777" w:rsidR="005A48F1" w:rsidRPr="00BD4849" w:rsidRDefault="005A48F1" w:rsidP="009F1410">
            <w:pPr>
              <w:spacing w:line="20" w:lineRule="atLeast"/>
              <w:rPr>
                <w:rFonts w:ascii="Arial" w:hAnsi="Arial" w:cs="Arial"/>
                <w:sz w:val="20"/>
                <w:szCs w:val="20"/>
                <w:lang w:val="sl-SI"/>
              </w:rPr>
            </w:pPr>
          </w:p>
        </w:tc>
        <w:tc>
          <w:tcPr>
            <w:tcW w:w="1969" w:type="pct"/>
          </w:tcPr>
          <w:p w14:paraId="60D79185" w14:textId="77777777" w:rsidR="005A48F1" w:rsidRPr="00BD4849" w:rsidRDefault="005A48F1" w:rsidP="009F1410">
            <w:pPr>
              <w:spacing w:line="20" w:lineRule="atLeast"/>
              <w:cnfStyle w:val="000000100000" w:firstRow="0" w:lastRow="0" w:firstColumn="0" w:lastColumn="0" w:oddVBand="0" w:evenVBand="0" w:oddHBand="1" w:evenHBand="0" w:firstRowFirstColumn="0" w:firstRowLastColumn="0" w:lastRowFirstColumn="0" w:lastRowLastColumn="0"/>
              <w:rPr>
                <w:rFonts w:ascii="Arial" w:hAnsi="Arial" w:cs="Arial"/>
                <w:sz w:val="20"/>
                <w:szCs w:val="20"/>
                <w:shd w:val="clear" w:color="auto" w:fill="FFFFFF"/>
                <w:lang w:val="sl-SI" w:eastAsia="sl-SI"/>
              </w:rPr>
            </w:pPr>
            <w:r w:rsidRPr="00BD4849">
              <w:rPr>
                <w:rFonts w:ascii="Arial" w:hAnsi="Arial" w:cs="Arial"/>
                <w:sz w:val="20"/>
                <w:szCs w:val="20"/>
                <w:shd w:val="clear" w:color="auto" w:fill="FFFFFF"/>
                <w:lang w:val="sl-SI" w:eastAsia="sl-SI"/>
              </w:rPr>
              <w:t>Obvladovanje epidemije; kritje izpada prihodkov zaradi nezasedenih kapacitet izvajalcem soc. varstvenih storitev v javni mreži; financiranje dodatnih kadrov v SVZ; stroški testiranja in samotestiranj; hitri antigenski testi za pravne osebe</w:t>
            </w:r>
          </w:p>
        </w:tc>
        <w:tc>
          <w:tcPr>
            <w:tcW w:w="303" w:type="pct"/>
          </w:tcPr>
          <w:p w14:paraId="48F6833E" w14:textId="77777777" w:rsidR="005A48F1" w:rsidRPr="00D1091B" w:rsidRDefault="005A48F1" w:rsidP="009F141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sl-SI"/>
              </w:rPr>
            </w:pPr>
            <w:r w:rsidRPr="00D1091B">
              <w:rPr>
                <w:rFonts w:ascii="Arial" w:hAnsi="Arial" w:cs="Arial"/>
                <w:sz w:val="16"/>
                <w:szCs w:val="16"/>
                <w:lang w:val="sl-SI"/>
              </w:rPr>
              <w:t>D.3</w:t>
            </w:r>
          </w:p>
        </w:tc>
        <w:tc>
          <w:tcPr>
            <w:tcW w:w="533" w:type="pct"/>
          </w:tcPr>
          <w:p w14:paraId="3415B8E4" w14:textId="77777777" w:rsidR="005A48F1" w:rsidRPr="00BD4849" w:rsidRDefault="005A48F1" w:rsidP="009F141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Sprejet</w:t>
            </w:r>
          </w:p>
        </w:tc>
        <w:tc>
          <w:tcPr>
            <w:tcW w:w="349" w:type="pct"/>
          </w:tcPr>
          <w:p w14:paraId="4062D4BA" w14:textId="77777777" w:rsidR="005A48F1" w:rsidRPr="00BD4849" w:rsidRDefault="005A48F1" w:rsidP="009F141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0,00</w:t>
            </w:r>
          </w:p>
        </w:tc>
        <w:tc>
          <w:tcPr>
            <w:tcW w:w="349" w:type="pct"/>
            <w:gridSpan w:val="2"/>
          </w:tcPr>
          <w:p w14:paraId="2A87AB81" w14:textId="77777777" w:rsidR="005A48F1" w:rsidRPr="00BD4849" w:rsidRDefault="005A48F1" w:rsidP="009F141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0,07</w:t>
            </w:r>
          </w:p>
        </w:tc>
        <w:tc>
          <w:tcPr>
            <w:tcW w:w="349" w:type="pct"/>
            <w:gridSpan w:val="2"/>
          </w:tcPr>
          <w:p w14:paraId="31CB35BA" w14:textId="77777777" w:rsidR="005A48F1" w:rsidRPr="00BD4849" w:rsidRDefault="005A48F1" w:rsidP="009F141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highlight w:val="cyan"/>
                <w:lang w:val="sl-SI"/>
              </w:rPr>
            </w:pPr>
            <w:r w:rsidRPr="00BD4849">
              <w:rPr>
                <w:rFonts w:ascii="Arial" w:hAnsi="Arial" w:cs="Arial"/>
                <w:sz w:val="18"/>
                <w:szCs w:val="18"/>
                <w:lang w:val="sl-SI"/>
              </w:rPr>
              <w:t>0,03</w:t>
            </w:r>
          </w:p>
        </w:tc>
        <w:tc>
          <w:tcPr>
            <w:tcW w:w="349" w:type="pct"/>
            <w:gridSpan w:val="2"/>
          </w:tcPr>
          <w:p w14:paraId="5BD8ED72" w14:textId="77777777" w:rsidR="005A48F1" w:rsidRPr="00BD4849" w:rsidRDefault="005A48F1" w:rsidP="009F141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highlight w:val="cyan"/>
                <w:lang w:val="sl-SI"/>
              </w:rPr>
            </w:pPr>
            <w:r w:rsidRPr="00BD4849">
              <w:rPr>
                <w:rFonts w:ascii="Arial" w:hAnsi="Arial" w:cs="Arial"/>
                <w:sz w:val="18"/>
                <w:szCs w:val="18"/>
                <w:lang w:val="sl-SI"/>
              </w:rPr>
              <w:t>-0,11</w:t>
            </w:r>
          </w:p>
        </w:tc>
        <w:tc>
          <w:tcPr>
            <w:tcW w:w="350" w:type="pct"/>
            <w:gridSpan w:val="2"/>
          </w:tcPr>
          <w:p w14:paraId="2C1A1631" w14:textId="77777777" w:rsidR="005A48F1" w:rsidRPr="00BD4849" w:rsidRDefault="005A48F1" w:rsidP="009F141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highlight w:val="cyan"/>
                <w:lang w:val="sl-SI"/>
              </w:rPr>
            </w:pPr>
            <w:r w:rsidRPr="00BD4849">
              <w:rPr>
                <w:rFonts w:ascii="Arial" w:hAnsi="Arial" w:cs="Arial"/>
                <w:sz w:val="18"/>
                <w:szCs w:val="18"/>
                <w:lang w:val="sl-SI"/>
              </w:rPr>
              <w:t>0,00</w:t>
            </w:r>
          </w:p>
        </w:tc>
      </w:tr>
      <w:tr w:rsidR="005A48F1" w:rsidRPr="00BD4849" w14:paraId="61E1428E" w14:textId="77777777" w:rsidTr="009F1410">
        <w:trPr>
          <w:trHeight w:val="42"/>
        </w:trPr>
        <w:tc>
          <w:tcPr>
            <w:cnfStyle w:val="001000000000" w:firstRow="0" w:lastRow="0" w:firstColumn="1" w:lastColumn="0" w:oddVBand="0" w:evenVBand="0" w:oddHBand="0" w:evenHBand="0" w:firstRowFirstColumn="0" w:firstRowLastColumn="0" w:lastRowFirstColumn="0" w:lastRowLastColumn="0"/>
            <w:tcW w:w="449" w:type="pct"/>
            <w:vMerge/>
          </w:tcPr>
          <w:p w14:paraId="3B04F493" w14:textId="77777777" w:rsidR="005A48F1" w:rsidRPr="00BD4849" w:rsidRDefault="005A48F1" w:rsidP="009F1410">
            <w:pPr>
              <w:spacing w:line="20" w:lineRule="atLeast"/>
              <w:rPr>
                <w:rFonts w:ascii="Arial" w:hAnsi="Arial" w:cs="Arial"/>
                <w:sz w:val="20"/>
                <w:szCs w:val="20"/>
                <w:lang w:val="sl-SI"/>
              </w:rPr>
            </w:pPr>
          </w:p>
        </w:tc>
        <w:tc>
          <w:tcPr>
            <w:tcW w:w="1969" w:type="pct"/>
          </w:tcPr>
          <w:p w14:paraId="482772A9" w14:textId="77777777" w:rsidR="005A48F1" w:rsidRPr="00BD4849" w:rsidRDefault="005A48F1" w:rsidP="009F1410">
            <w:pPr>
              <w:spacing w:line="20" w:lineRule="atLeast"/>
              <w:cnfStyle w:val="000000000000" w:firstRow="0" w:lastRow="0" w:firstColumn="0" w:lastColumn="0" w:oddVBand="0" w:evenVBand="0" w:oddHBand="0" w:evenHBand="0" w:firstRowFirstColumn="0" w:firstRowLastColumn="0" w:lastRowFirstColumn="0" w:lastRowLastColumn="0"/>
              <w:rPr>
                <w:rFonts w:ascii="Arial" w:hAnsi="Arial" w:cs="Arial"/>
                <w:sz w:val="20"/>
                <w:szCs w:val="20"/>
                <w:shd w:val="clear" w:color="auto" w:fill="FFFFFF"/>
                <w:lang w:val="sl-SI" w:eastAsia="sl-SI"/>
              </w:rPr>
            </w:pPr>
            <w:r w:rsidRPr="00BD4849">
              <w:rPr>
                <w:rFonts w:ascii="Arial" w:hAnsi="Arial" w:cs="Arial"/>
                <w:sz w:val="20"/>
                <w:szCs w:val="20"/>
                <w:shd w:val="clear" w:color="auto" w:fill="FFFFFF"/>
                <w:lang w:val="sl-SI" w:eastAsia="sl-SI"/>
              </w:rPr>
              <w:t xml:space="preserve">Medicinska in varovalna oprema; sredstva za zdravstvene kapacitete / covid-19; zdravstvena infrastruktura – covid-19, testiranje </w:t>
            </w:r>
          </w:p>
        </w:tc>
        <w:tc>
          <w:tcPr>
            <w:tcW w:w="303" w:type="pct"/>
          </w:tcPr>
          <w:p w14:paraId="2C668D45" w14:textId="77777777" w:rsidR="005A48F1" w:rsidRPr="00D1091B" w:rsidRDefault="005A48F1" w:rsidP="009F141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sl-SI"/>
              </w:rPr>
            </w:pPr>
            <w:r w:rsidRPr="00D1091B">
              <w:rPr>
                <w:rFonts w:ascii="Arial" w:hAnsi="Arial" w:cs="Arial"/>
                <w:sz w:val="16"/>
                <w:szCs w:val="16"/>
                <w:lang w:val="sl-SI"/>
              </w:rPr>
              <w:t>P.51</w:t>
            </w:r>
          </w:p>
        </w:tc>
        <w:tc>
          <w:tcPr>
            <w:tcW w:w="533" w:type="pct"/>
          </w:tcPr>
          <w:p w14:paraId="75465BAB" w14:textId="77777777" w:rsidR="005A48F1" w:rsidRPr="00BD4849" w:rsidRDefault="005A48F1" w:rsidP="009F141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Sprejet</w:t>
            </w:r>
          </w:p>
        </w:tc>
        <w:tc>
          <w:tcPr>
            <w:tcW w:w="349" w:type="pct"/>
          </w:tcPr>
          <w:p w14:paraId="27379387" w14:textId="77777777" w:rsidR="005A48F1" w:rsidRPr="00BD4849" w:rsidRDefault="005A48F1" w:rsidP="009F141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0,03</w:t>
            </w:r>
          </w:p>
        </w:tc>
        <w:tc>
          <w:tcPr>
            <w:tcW w:w="349" w:type="pct"/>
            <w:gridSpan w:val="2"/>
          </w:tcPr>
          <w:p w14:paraId="1A2364CF" w14:textId="77777777" w:rsidR="005A48F1" w:rsidRPr="00BD4849" w:rsidRDefault="005A48F1" w:rsidP="009F141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0,02</w:t>
            </w:r>
          </w:p>
        </w:tc>
        <w:tc>
          <w:tcPr>
            <w:tcW w:w="349" w:type="pct"/>
            <w:gridSpan w:val="2"/>
          </w:tcPr>
          <w:p w14:paraId="5ADF069B" w14:textId="77777777" w:rsidR="005A48F1" w:rsidRPr="00BD4849" w:rsidRDefault="005A48F1" w:rsidP="009F141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highlight w:val="cyan"/>
                <w:lang w:val="sl-SI"/>
              </w:rPr>
            </w:pPr>
            <w:r w:rsidRPr="00BD4849">
              <w:rPr>
                <w:rFonts w:ascii="Arial" w:hAnsi="Arial" w:cs="Arial"/>
                <w:sz w:val="18"/>
                <w:szCs w:val="18"/>
                <w:lang w:val="sl-SI"/>
              </w:rPr>
              <w:t>-0,05</w:t>
            </w:r>
          </w:p>
        </w:tc>
        <w:tc>
          <w:tcPr>
            <w:tcW w:w="349" w:type="pct"/>
            <w:gridSpan w:val="2"/>
          </w:tcPr>
          <w:p w14:paraId="390D44FF" w14:textId="77777777" w:rsidR="005A48F1" w:rsidRPr="00BD4849" w:rsidRDefault="005A48F1" w:rsidP="009F141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highlight w:val="cyan"/>
                <w:lang w:val="sl-SI"/>
              </w:rPr>
            </w:pPr>
            <w:r w:rsidRPr="00BD4849">
              <w:rPr>
                <w:rFonts w:ascii="Arial" w:hAnsi="Arial" w:cs="Arial"/>
                <w:sz w:val="18"/>
                <w:szCs w:val="18"/>
                <w:lang w:val="sl-SI"/>
              </w:rPr>
              <w:t>0,00</w:t>
            </w:r>
          </w:p>
        </w:tc>
        <w:tc>
          <w:tcPr>
            <w:tcW w:w="350" w:type="pct"/>
            <w:gridSpan w:val="2"/>
          </w:tcPr>
          <w:p w14:paraId="4D1CB890" w14:textId="77777777" w:rsidR="005A48F1" w:rsidRPr="00BD4849" w:rsidRDefault="005A48F1" w:rsidP="009F141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highlight w:val="cyan"/>
                <w:lang w:val="sl-SI"/>
              </w:rPr>
            </w:pPr>
            <w:r w:rsidRPr="00BD4849">
              <w:rPr>
                <w:rFonts w:ascii="Arial" w:hAnsi="Arial" w:cs="Arial"/>
                <w:sz w:val="18"/>
                <w:szCs w:val="18"/>
                <w:lang w:val="sl-SI"/>
              </w:rPr>
              <w:t>0,00</w:t>
            </w:r>
          </w:p>
        </w:tc>
      </w:tr>
      <w:tr w:rsidR="005A48F1" w:rsidRPr="00BD4849" w14:paraId="47DF69D0" w14:textId="77777777" w:rsidTr="009F1410">
        <w:trPr>
          <w:cnfStyle w:val="000000100000" w:firstRow="0" w:lastRow="0" w:firstColumn="0" w:lastColumn="0" w:oddVBand="0" w:evenVBand="0" w:oddHBand="1" w:evenHBand="0" w:firstRowFirstColumn="0" w:firstRowLastColumn="0" w:lastRowFirstColumn="0" w:lastRowLastColumn="0"/>
          <w:trHeight w:val="42"/>
        </w:trPr>
        <w:tc>
          <w:tcPr>
            <w:cnfStyle w:val="001000000000" w:firstRow="0" w:lastRow="0" w:firstColumn="1" w:lastColumn="0" w:oddVBand="0" w:evenVBand="0" w:oddHBand="0" w:evenHBand="0" w:firstRowFirstColumn="0" w:firstRowLastColumn="0" w:lastRowFirstColumn="0" w:lastRowLastColumn="0"/>
            <w:tcW w:w="449" w:type="pct"/>
            <w:vMerge/>
          </w:tcPr>
          <w:p w14:paraId="19C31E0D" w14:textId="77777777" w:rsidR="005A48F1" w:rsidRPr="00BD4849" w:rsidRDefault="005A48F1" w:rsidP="009F1410">
            <w:pPr>
              <w:spacing w:line="20" w:lineRule="atLeast"/>
              <w:rPr>
                <w:rFonts w:ascii="Arial" w:hAnsi="Arial" w:cs="Arial"/>
                <w:sz w:val="20"/>
                <w:szCs w:val="20"/>
                <w:lang w:val="sl-SI"/>
              </w:rPr>
            </w:pPr>
          </w:p>
        </w:tc>
        <w:tc>
          <w:tcPr>
            <w:tcW w:w="1969" w:type="pct"/>
          </w:tcPr>
          <w:p w14:paraId="6D6491BE" w14:textId="77777777" w:rsidR="005A48F1" w:rsidRPr="00BD4849" w:rsidRDefault="005A48F1" w:rsidP="009F1410">
            <w:pPr>
              <w:spacing w:line="20" w:lineRule="atLeast"/>
              <w:cnfStyle w:val="000000100000" w:firstRow="0" w:lastRow="0" w:firstColumn="0" w:lastColumn="0" w:oddVBand="0" w:evenVBand="0" w:oddHBand="1" w:evenHBand="0" w:firstRowFirstColumn="0" w:firstRowLastColumn="0" w:lastRowFirstColumn="0" w:lastRowLastColumn="0"/>
              <w:rPr>
                <w:rFonts w:ascii="Arial" w:hAnsi="Arial" w:cs="Arial"/>
                <w:sz w:val="20"/>
                <w:szCs w:val="20"/>
                <w:shd w:val="clear" w:color="auto" w:fill="FFFFFF"/>
                <w:lang w:val="sl-SI" w:eastAsia="sl-SI"/>
              </w:rPr>
            </w:pPr>
            <w:r w:rsidRPr="00BD4849">
              <w:rPr>
                <w:rFonts w:ascii="Arial" w:hAnsi="Arial" w:cs="Arial"/>
                <w:sz w:val="20"/>
                <w:szCs w:val="20"/>
                <w:shd w:val="clear" w:color="auto" w:fill="FFFFFF"/>
                <w:lang w:val="sl-SI" w:eastAsia="sl-SI"/>
              </w:rPr>
              <w:t>Cepiva / covid-19</w:t>
            </w:r>
          </w:p>
        </w:tc>
        <w:tc>
          <w:tcPr>
            <w:tcW w:w="303" w:type="pct"/>
          </w:tcPr>
          <w:p w14:paraId="463808A1" w14:textId="77777777" w:rsidR="005A48F1" w:rsidRPr="00D1091B" w:rsidRDefault="005A48F1" w:rsidP="009F141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sl-SI"/>
              </w:rPr>
            </w:pPr>
            <w:r w:rsidRPr="00D1091B">
              <w:rPr>
                <w:rFonts w:ascii="Arial" w:hAnsi="Arial" w:cs="Arial"/>
                <w:sz w:val="16"/>
                <w:szCs w:val="16"/>
                <w:lang w:val="sl-SI"/>
              </w:rPr>
              <w:t>P52+</w:t>
            </w:r>
          </w:p>
          <w:p w14:paraId="6EAFE3D3" w14:textId="77777777" w:rsidR="005A48F1" w:rsidRPr="00D1091B" w:rsidRDefault="005A48F1" w:rsidP="009F141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sl-SI"/>
              </w:rPr>
            </w:pPr>
            <w:r w:rsidRPr="00D1091B">
              <w:rPr>
                <w:rFonts w:ascii="Arial" w:hAnsi="Arial" w:cs="Arial"/>
                <w:sz w:val="16"/>
                <w:szCs w:val="16"/>
                <w:lang w:val="sl-SI"/>
              </w:rPr>
              <w:t>P53</w:t>
            </w:r>
          </w:p>
        </w:tc>
        <w:tc>
          <w:tcPr>
            <w:tcW w:w="533" w:type="pct"/>
          </w:tcPr>
          <w:p w14:paraId="6CC3FF99" w14:textId="77777777" w:rsidR="005A48F1" w:rsidRPr="00BD4849" w:rsidRDefault="005A48F1" w:rsidP="009F141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Sprejet</w:t>
            </w:r>
          </w:p>
        </w:tc>
        <w:tc>
          <w:tcPr>
            <w:tcW w:w="349" w:type="pct"/>
          </w:tcPr>
          <w:p w14:paraId="36318ACA" w14:textId="77777777" w:rsidR="005A48F1" w:rsidRPr="00BD4849" w:rsidRDefault="005A48F1" w:rsidP="009F141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0,00</w:t>
            </w:r>
          </w:p>
        </w:tc>
        <w:tc>
          <w:tcPr>
            <w:tcW w:w="349" w:type="pct"/>
            <w:gridSpan w:val="2"/>
          </w:tcPr>
          <w:p w14:paraId="25A64B1D" w14:textId="77777777" w:rsidR="005A48F1" w:rsidRPr="00BD4849" w:rsidRDefault="005A48F1" w:rsidP="009F141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0,13</w:t>
            </w:r>
          </w:p>
        </w:tc>
        <w:tc>
          <w:tcPr>
            <w:tcW w:w="349" w:type="pct"/>
            <w:gridSpan w:val="2"/>
          </w:tcPr>
          <w:p w14:paraId="779C684E" w14:textId="77777777" w:rsidR="005A48F1" w:rsidRPr="00BD4849" w:rsidRDefault="005A48F1" w:rsidP="009F141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highlight w:val="cyan"/>
                <w:lang w:val="sl-SI"/>
              </w:rPr>
            </w:pPr>
            <w:r w:rsidRPr="00BD4849">
              <w:rPr>
                <w:rFonts w:ascii="Arial" w:hAnsi="Arial" w:cs="Arial"/>
                <w:sz w:val="18"/>
                <w:szCs w:val="18"/>
                <w:lang w:val="sl-SI"/>
              </w:rPr>
              <w:t>-0,01</w:t>
            </w:r>
          </w:p>
        </w:tc>
        <w:tc>
          <w:tcPr>
            <w:tcW w:w="349" w:type="pct"/>
            <w:gridSpan w:val="2"/>
          </w:tcPr>
          <w:p w14:paraId="465A7132" w14:textId="77777777" w:rsidR="005A48F1" w:rsidRPr="00BD4849" w:rsidRDefault="005A48F1" w:rsidP="009F141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highlight w:val="cyan"/>
                <w:lang w:val="sl-SI"/>
              </w:rPr>
            </w:pPr>
            <w:r w:rsidRPr="00BD4849">
              <w:rPr>
                <w:rFonts w:ascii="Arial" w:hAnsi="Arial" w:cs="Arial"/>
                <w:sz w:val="18"/>
                <w:szCs w:val="18"/>
                <w:lang w:val="sl-SI"/>
              </w:rPr>
              <w:t>-0,09</w:t>
            </w:r>
          </w:p>
        </w:tc>
        <w:tc>
          <w:tcPr>
            <w:tcW w:w="350" w:type="pct"/>
            <w:gridSpan w:val="2"/>
          </w:tcPr>
          <w:p w14:paraId="16B5648E" w14:textId="77777777" w:rsidR="005A48F1" w:rsidRPr="00BD4849" w:rsidRDefault="005A48F1" w:rsidP="009F141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highlight w:val="cyan"/>
                <w:lang w:val="sl-SI"/>
              </w:rPr>
            </w:pPr>
            <w:r w:rsidRPr="00BD4849">
              <w:rPr>
                <w:rFonts w:ascii="Arial" w:hAnsi="Arial" w:cs="Arial"/>
                <w:sz w:val="18"/>
                <w:szCs w:val="18"/>
                <w:lang w:val="sl-SI"/>
              </w:rPr>
              <w:t>-0,03</w:t>
            </w:r>
          </w:p>
        </w:tc>
      </w:tr>
      <w:tr w:rsidR="005A48F1" w:rsidRPr="00BD4849" w14:paraId="77794E14" w14:textId="77777777" w:rsidTr="009F1410">
        <w:trPr>
          <w:trHeight w:val="369"/>
        </w:trPr>
        <w:tc>
          <w:tcPr>
            <w:cnfStyle w:val="001000000000" w:firstRow="0" w:lastRow="0" w:firstColumn="1" w:lastColumn="0" w:oddVBand="0" w:evenVBand="0" w:oddHBand="0" w:evenHBand="0" w:firstRowFirstColumn="0" w:firstRowLastColumn="0" w:lastRowFirstColumn="0" w:lastRowLastColumn="0"/>
            <w:tcW w:w="449" w:type="pct"/>
            <w:textDirection w:val="btLr"/>
            <w:hideMark/>
          </w:tcPr>
          <w:p w14:paraId="60EB1C50" w14:textId="77777777" w:rsidR="005A48F1" w:rsidRPr="00BD4849" w:rsidRDefault="005A48F1" w:rsidP="009F1410">
            <w:pPr>
              <w:spacing w:line="20" w:lineRule="atLeast"/>
              <w:ind w:left="113" w:right="113"/>
              <w:rPr>
                <w:rFonts w:ascii="Arial" w:hAnsi="Arial" w:cs="Arial"/>
                <w:b w:val="0"/>
                <w:bCs w:val="0"/>
                <w:sz w:val="20"/>
                <w:szCs w:val="20"/>
                <w:lang w:val="sl-SI"/>
              </w:rPr>
            </w:pPr>
            <w:r w:rsidRPr="00BD4849">
              <w:rPr>
                <w:rFonts w:ascii="Arial" w:hAnsi="Arial" w:cs="Arial"/>
                <w:b w:val="0"/>
                <w:bCs w:val="0"/>
                <w:sz w:val="20"/>
                <w:szCs w:val="20"/>
                <w:lang w:val="sl-SI"/>
              </w:rPr>
              <w:t>UKREPI NA PODROČJU SOCIALNEGA VARSTVA</w:t>
            </w:r>
          </w:p>
          <w:p w14:paraId="36AA1B67" w14:textId="77777777" w:rsidR="005A48F1" w:rsidRPr="00BD4849" w:rsidRDefault="005A48F1" w:rsidP="009F1410">
            <w:pPr>
              <w:spacing w:line="20" w:lineRule="atLeast"/>
              <w:ind w:left="113" w:right="113"/>
              <w:rPr>
                <w:rFonts w:ascii="Arial" w:hAnsi="Arial" w:cs="Arial"/>
                <w:b w:val="0"/>
                <w:bCs w:val="0"/>
                <w:sz w:val="20"/>
                <w:szCs w:val="20"/>
                <w:lang w:val="sl-SI"/>
              </w:rPr>
            </w:pPr>
            <w:r w:rsidRPr="00BD4849">
              <w:rPr>
                <w:rFonts w:ascii="Arial" w:hAnsi="Arial" w:cs="Arial"/>
                <w:b w:val="0"/>
                <w:bCs w:val="0"/>
                <w:sz w:val="20"/>
                <w:szCs w:val="20"/>
                <w:lang w:val="sl-SI"/>
              </w:rPr>
              <w:t>(COVID)</w:t>
            </w:r>
          </w:p>
          <w:p w14:paraId="36EA1F4D" w14:textId="77777777" w:rsidR="005A48F1" w:rsidRPr="00BD4849" w:rsidRDefault="005A48F1" w:rsidP="009F1410">
            <w:pPr>
              <w:spacing w:line="20" w:lineRule="atLeast"/>
              <w:ind w:right="113" w:firstLine="113"/>
              <w:rPr>
                <w:rFonts w:ascii="Arial" w:hAnsi="Arial" w:cs="Arial"/>
                <w:b w:val="0"/>
                <w:bCs w:val="0"/>
                <w:sz w:val="20"/>
                <w:szCs w:val="20"/>
                <w:lang w:val="sl-SI"/>
              </w:rPr>
            </w:pPr>
          </w:p>
          <w:p w14:paraId="4EBFA17E" w14:textId="77777777" w:rsidR="005A48F1" w:rsidRPr="00BD4849" w:rsidRDefault="005A48F1" w:rsidP="009F1410">
            <w:pPr>
              <w:spacing w:line="20" w:lineRule="atLeast"/>
              <w:ind w:right="113" w:firstLine="113"/>
              <w:rPr>
                <w:rFonts w:ascii="Arial" w:hAnsi="Arial" w:cs="Arial"/>
                <w:b w:val="0"/>
                <w:bCs w:val="0"/>
                <w:sz w:val="20"/>
                <w:szCs w:val="20"/>
                <w:lang w:val="sl-SI"/>
              </w:rPr>
            </w:pPr>
          </w:p>
          <w:p w14:paraId="28A3346B" w14:textId="77777777" w:rsidR="005A48F1" w:rsidRPr="00BD4849" w:rsidRDefault="005A48F1" w:rsidP="009F1410">
            <w:pPr>
              <w:spacing w:line="20" w:lineRule="atLeast"/>
              <w:ind w:right="113" w:firstLine="113"/>
              <w:rPr>
                <w:rFonts w:ascii="Arial" w:hAnsi="Arial" w:cs="Arial"/>
                <w:b w:val="0"/>
                <w:bCs w:val="0"/>
                <w:sz w:val="20"/>
                <w:szCs w:val="20"/>
                <w:lang w:val="sl-SI"/>
              </w:rPr>
            </w:pPr>
          </w:p>
        </w:tc>
        <w:tc>
          <w:tcPr>
            <w:tcW w:w="1969" w:type="pct"/>
          </w:tcPr>
          <w:p w14:paraId="181EB7F4" w14:textId="77777777" w:rsidR="005A48F1" w:rsidRPr="00BD4849" w:rsidRDefault="005A48F1" w:rsidP="009F1410">
            <w:pPr>
              <w:spacing w:line="20" w:lineRule="atLeast"/>
              <w:cnfStyle w:val="000000000000" w:firstRow="0" w:lastRow="0" w:firstColumn="0" w:lastColumn="0" w:oddVBand="0" w:evenVBand="0" w:oddHBand="0" w:evenHBand="0" w:firstRowFirstColumn="0" w:firstRowLastColumn="0" w:lastRowFirstColumn="0" w:lastRowLastColumn="0"/>
              <w:rPr>
                <w:rFonts w:ascii="Arial" w:hAnsi="Arial" w:cs="Arial"/>
                <w:sz w:val="20"/>
                <w:szCs w:val="20"/>
                <w:shd w:val="clear" w:color="auto" w:fill="FFFFFF"/>
                <w:lang w:val="sl-SI" w:eastAsia="sl-SI"/>
              </w:rPr>
            </w:pPr>
            <w:r w:rsidRPr="00BD4849">
              <w:rPr>
                <w:rFonts w:ascii="Arial" w:hAnsi="Arial" w:cs="Arial"/>
                <w:sz w:val="20"/>
                <w:szCs w:val="20"/>
                <w:shd w:val="clear" w:color="auto" w:fill="FFFFFF"/>
                <w:lang w:val="sl-SI" w:eastAsia="sl-SI"/>
              </w:rPr>
              <w:t>Solidarnostni dodatek upokojencem; dodatki za ranljive skupine (enkratni solidarnostni dodatek za brezposelne osebe; povečan znesek dodatka za velike družine; solidarnostni dodatki za otroke, novorojence, študente doma in v tujini ter druge ranljive skupine); začasno denarno nadomestilo plače zaradi izgube zaposlitve; pomoč izvajalcem institucionalnega varstva; pomoč izvajalcem storitve pomoč družini na domu; socialna vključenost in zmanjšanje tveganja revščine idr.</w:t>
            </w:r>
          </w:p>
        </w:tc>
        <w:tc>
          <w:tcPr>
            <w:tcW w:w="303" w:type="pct"/>
          </w:tcPr>
          <w:p w14:paraId="6D83BF44" w14:textId="77777777" w:rsidR="005A48F1" w:rsidRPr="00D1091B" w:rsidRDefault="005A48F1" w:rsidP="009F141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sl-SI"/>
              </w:rPr>
            </w:pPr>
            <w:r w:rsidRPr="00D1091B">
              <w:rPr>
                <w:rFonts w:ascii="Arial" w:hAnsi="Arial" w:cs="Arial"/>
                <w:sz w:val="16"/>
                <w:szCs w:val="16"/>
                <w:lang w:val="sl-SI"/>
              </w:rPr>
              <w:t>D.62+ D.63</w:t>
            </w:r>
          </w:p>
        </w:tc>
        <w:tc>
          <w:tcPr>
            <w:tcW w:w="533" w:type="pct"/>
          </w:tcPr>
          <w:p w14:paraId="724D734F" w14:textId="77777777" w:rsidR="005A48F1" w:rsidRPr="00BD4849" w:rsidRDefault="005A48F1" w:rsidP="009F141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Sprejet</w:t>
            </w:r>
          </w:p>
        </w:tc>
        <w:tc>
          <w:tcPr>
            <w:tcW w:w="349" w:type="pct"/>
          </w:tcPr>
          <w:p w14:paraId="204D9536" w14:textId="77777777" w:rsidR="005A48F1" w:rsidRPr="00BD4849" w:rsidRDefault="005A48F1" w:rsidP="009F141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0,42</w:t>
            </w:r>
          </w:p>
        </w:tc>
        <w:tc>
          <w:tcPr>
            <w:tcW w:w="349" w:type="pct"/>
            <w:gridSpan w:val="2"/>
          </w:tcPr>
          <w:p w14:paraId="5B6207AA" w14:textId="77777777" w:rsidR="005A48F1" w:rsidRPr="00BD4849" w:rsidRDefault="005A48F1" w:rsidP="009F141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-0,22</w:t>
            </w:r>
          </w:p>
        </w:tc>
        <w:tc>
          <w:tcPr>
            <w:tcW w:w="349" w:type="pct"/>
            <w:gridSpan w:val="2"/>
          </w:tcPr>
          <w:p w14:paraId="5ACCF6CC" w14:textId="77777777" w:rsidR="005A48F1" w:rsidRPr="00BD4849" w:rsidRDefault="005A48F1" w:rsidP="009F141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-0,18</w:t>
            </w:r>
          </w:p>
        </w:tc>
        <w:tc>
          <w:tcPr>
            <w:tcW w:w="349" w:type="pct"/>
            <w:gridSpan w:val="2"/>
          </w:tcPr>
          <w:p w14:paraId="0424DB7C" w14:textId="77777777" w:rsidR="005A48F1" w:rsidRPr="00BD4849" w:rsidRDefault="005A48F1" w:rsidP="009F141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-0,01</w:t>
            </w:r>
          </w:p>
        </w:tc>
        <w:tc>
          <w:tcPr>
            <w:tcW w:w="350" w:type="pct"/>
            <w:gridSpan w:val="2"/>
          </w:tcPr>
          <w:p w14:paraId="1504E2B1" w14:textId="77777777" w:rsidR="005A48F1" w:rsidRPr="00BD4849" w:rsidRDefault="005A48F1" w:rsidP="009F141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-0,01</w:t>
            </w:r>
          </w:p>
        </w:tc>
      </w:tr>
      <w:tr w:rsidR="005A48F1" w:rsidRPr="00BD4849" w14:paraId="7E398369" w14:textId="77777777" w:rsidTr="009F1410">
        <w:trPr>
          <w:cnfStyle w:val="000000100000" w:firstRow="0" w:lastRow="0" w:firstColumn="0" w:lastColumn="0" w:oddVBand="0" w:evenVBand="0" w:oddHBand="1" w:evenHBand="0" w:firstRowFirstColumn="0" w:firstRowLastColumn="0" w:lastRowFirstColumn="0" w:lastRowLastColumn="0"/>
          <w:trHeight w:val="362"/>
        </w:trPr>
        <w:tc>
          <w:tcPr>
            <w:cnfStyle w:val="001000000000" w:firstRow="0" w:lastRow="0" w:firstColumn="1" w:lastColumn="0" w:oddVBand="0" w:evenVBand="0" w:oddHBand="0" w:evenHBand="0" w:firstRowFirstColumn="0" w:firstRowLastColumn="0" w:lastRowFirstColumn="0" w:lastRowLastColumn="0"/>
            <w:tcW w:w="449" w:type="pct"/>
            <w:vMerge w:val="restart"/>
            <w:textDirection w:val="btLr"/>
          </w:tcPr>
          <w:p w14:paraId="03B554CC" w14:textId="77777777" w:rsidR="005A48F1" w:rsidRPr="00BD4849" w:rsidRDefault="005A48F1" w:rsidP="009F1410">
            <w:pPr>
              <w:spacing w:line="20" w:lineRule="atLeast"/>
              <w:ind w:left="113" w:right="113"/>
              <w:rPr>
                <w:rFonts w:ascii="Arial" w:hAnsi="Arial" w:cs="Arial"/>
                <w:b w:val="0"/>
                <w:bCs w:val="0"/>
                <w:sz w:val="20"/>
                <w:szCs w:val="20"/>
                <w:lang w:val="sl-SI"/>
              </w:rPr>
            </w:pPr>
            <w:r w:rsidRPr="00BD4849">
              <w:rPr>
                <w:rFonts w:ascii="Arial" w:hAnsi="Arial" w:cs="Arial"/>
                <w:b w:val="0"/>
                <w:bCs w:val="0"/>
                <w:sz w:val="20"/>
                <w:szCs w:val="20"/>
                <w:lang w:val="sl-SI"/>
              </w:rPr>
              <w:t xml:space="preserve">UKREPI NA PODROČJU </w:t>
            </w:r>
          </w:p>
          <w:p w14:paraId="5E82CF94" w14:textId="77777777" w:rsidR="005A48F1" w:rsidRPr="00BD4849" w:rsidRDefault="005A48F1" w:rsidP="009F1410">
            <w:pPr>
              <w:spacing w:line="20" w:lineRule="atLeast"/>
              <w:ind w:left="113" w:right="113"/>
              <w:rPr>
                <w:rFonts w:ascii="Arial" w:hAnsi="Arial" w:cs="Arial"/>
                <w:b w:val="0"/>
                <w:bCs w:val="0"/>
                <w:sz w:val="20"/>
                <w:szCs w:val="20"/>
                <w:lang w:val="sl-SI"/>
              </w:rPr>
            </w:pPr>
            <w:r w:rsidRPr="00BD4849">
              <w:rPr>
                <w:rFonts w:ascii="Arial" w:hAnsi="Arial" w:cs="Arial"/>
                <w:b w:val="0"/>
                <w:bCs w:val="0"/>
                <w:sz w:val="20"/>
                <w:szCs w:val="20"/>
                <w:lang w:val="sl-SI"/>
              </w:rPr>
              <w:t>PLAČ IN NAGRAJEVANJA</w:t>
            </w:r>
          </w:p>
          <w:p w14:paraId="5B6246D1" w14:textId="77777777" w:rsidR="005A48F1" w:rsidRPr="00BD4849" w:rsidRDefault="005A48F1" w:rsidP="009F1410">
            <w:pPr>
              <w:spacing w:line="20" w:lineRule="atLeast"/>
              <w:ind w:left="113" w:right="113"/>
              <w:rPr>
                <w:rFonts w:ascii="Arial" w:hAnsi="Arial" w:cs="Arial"/>
                <w:b w:val="0"/>
                <w:bCs w:val="0"/>
                <w:sz w:val="20"/>
                <w:szCs w:val="20"/>
                <w:lang w:val="sl-SI"/>
              </w:rPr>
            </w:pPr>
            <w:r w:rsidRPr="00BD4849">
              <w:rPr>
                <w:rFonts w:ascii="Arial" w:hAnsi="Arial" w:cs="Arial"/>
                <w:b w:val="0"/>
                <w:bCs w:val="0"/>
                <w:sz w:val="20"/>
                <w:szCs w:val="20"/>
                <w:lang w:val="sl-SI"/>
              </w:rPr>
              <w:t>(COVID)</w:t>
            </w:r>
          </w:p>
          <w:p w14:paraId="6443A8E6" w14:textId="77777777" w:rsidR="005A48F1" w:rsidRPr="00BD4849" w:rsidRDefault="005A48F1" w:rsidP="009F1410">
            <w:pPr>
              <w:spacing w:line="20" w:lineRule="atLeast"/>
              <w:ind w:left="113" w:right="113"/>
              <w:rPr>
                <w:rFonts w:ascii="Arial" w:hAnsi="Arial" w:cs="Arial"/>
                <w:b w:val="0"/>
                <w:bCs w:val="0"/>
                <w:sz w:val="20"/>
                <w:szCs w:val="20"/>
                <w:lang w:val="sl-SI"/>
              </w:rPr>
            </w:pPr>
          </w:p>
          <w:p w14:paraId="12B36BC1" w14:textId="77777777" w:rsidR="005A48F1" w:rsidRPr="00BD4849" w:rsidRDefault="005A48F1" w:rsidP="009F1410">
            <w:pPr>
              <w:spacing w:line="20" w:lineRule="atLeast"/>
              <w:ind w:left="113" w:right="113"/>
              <w:rPr>
                <w:rFonts w:ascii="Arial" w:hAnsi="Arial" w:cs="Arial"/>
                <w:b w:val="0"/>
                <w:bCs w:val="0"/>
                <w:sz w:val="20"/>
                <w:szCs w:val="20"/>
                <w:lang w:val="sl-SI"/>
              </w:rPr>
            </w:pPr>
          </w:p>
        </w:tc>
        <w:tc>
          <w:tcPr>
            <w:tcW w:w="1969" w:type="pct"/>
          </w:tcPr>
          <w:p w14:paraId="083989AF" w14:textId="77777777" w:rsidR="005A48F1" w:rsidRPr="00BD4849" w:rsidRDefault="005A48F1" w:rsidP="009F1410">
            <w:pPr>
              <w:spacing w:line="20" w:lineRule="atLeast"/>
              <w:cnfStyle w:val="000000100000" w:firstRow="0" w:lastRow="0" w:firstColumn="0" w:lastColumn="0" w:oddVBand="0" w:evenVBand="0" w:oddHBand="1" w:evenHBand="0" w:firstRowFirstColumn="0" w:firstRowLastColumn="0" w:lastRowFirstColumn="0" w:lastRowLastColumn="0"/>
              <w:rPr>
                <w:rFonts w:ascii="Arial" w:hAnsi="Arial" w:cs="Arial"/>
                <w:sz w:val="20"/>
                <w:szCs w:val="20"/>
                <w:highlight w:val="magenta"/>
                <w:shd w:val="clear" w:color="auto" w:fill="FFFFFF"/>
                <w:lang w:val="sl-SI" w:eastAsia="sl-SI"/>
              </w:rPr>
            </w:pPr>
            <w:r w:rsidRPr="00BD4849">
              <w:rPr>
                <w:rFonts w:ascii="Arial" w:hAnsi="Arial" w:cs="Arial"/>
                <w:sz w:val="20"/>
                <w:szCs w:val="20"/>
                <w:shd w:val="clear" w:color="auto" w:fill="FFFFFF"/>
                <w:lang w:val="sl-SI" w:eastAsia="sl-SI"/>
              </w:rPr>
              <w:t>Dodatki za delo v nevarnih razmerah (nagrajevanje zaposlenih po 71. čl. ZIUZEOP in dodatki po 123. čl. in 125. čl. ZIUOPDVE); dodatki za neposredno delo s covid pacienti (dodatek pri delu z obolelimi; dodatki študentom; dodatki uslužbencem na delovnih mestih plačne skupine J v dejavnosti zdravstva in socialnega varstva), idr.</w:t>
            </w:r>
          </w:p>
        </w:tc>
        <w:tc>
          <w:tcPr>
            <w:tcW w:w="303" w:type="pct"/>
          </w:tcPr>
          <w:p w14:paraId="2263A564" w14:textId="77777777" w:rsidR="005A48F1" w:rsidRPr="00D1091B" w:rsidRDefault="005A48F1" w:rsidP="009F141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sl-SI"/>
              </w:rPr>
            </w:pPr>
            <w:r w:rsidRPr="00D1091B">
              <w:rPr>
                <w:rFonts w:ascii="Arial" w:hAnsi="Arial" w:cs="Arial"/>
                <w:sz w:val="16"/>
                <w:szCs w:val="16"/>
                <w:lang w:val="sl-SI"/>
              </w:rPr>
              <w:t xml:space="preserve">D.1 </w:t>
            </w:r>
          </w:p>
        </w:tc>
        <w:tc>
          <w:tcPr>
            <w:tcW w:w="533" w:type="pct"/>
          </w:tcPr>
          <w:p w14:paraId="63CCA440" w14:textId="77777777" w:rsidR="005A48F1" w:rsidRPr="00BD4849" w:rsidRDefault="005A48F1" w:rsidP="009F141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Sprejet</w:t>
            </w:r>
          </w:p>
        </w:tc>
        <w:tc>
          <w:tcPr>
            <w:tcW w:w="349" w:type="pct"/>
          </w:tcPr>
          <w:p w14:paraId="3CC60A8F" w14:textId="77777777" w:rsidR="005A48F1" w:rsidRPr="00BD4849" w:rsidRDefault="005A48F1" w:rsidP="009F141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0,61</w:t>
            </w:r>
          </w:p>
        </w:tc>
        <w:tc>
          <w:tcPr>
            <w:tcW w:w="349" w:type="pct"/>
            <w:gridSpan w:val="2"/>
          </w:tcPr>
          <w:p w14:paraId="148FEB97" w14:textId="77777777" w:rsidR="005A48F1" w:rsidRPr="00BD4849" w:rsidRDefault="005A48F1" w:rsidP="009F141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0,63</w:t>
            </w:r>
          </w:p>
        </w:tc>
        <w:tc>
          <w:tcPr>
            <w:tcW w:w="349" w:type="pct"/>
            <w:gridSpan w:val="2"/>
          </w:tcPr>
          <w:p w14:paraId="704DB8F3" w14:textId="77777777" w:rsidR="005A48F1" w:rsidRPr="00BD4849" w:rsidRDefault="005A48F1" w:rsidP="009F141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-1,20</w:t>
            </w:r>
          </w:p>
        </w:tc>
        <w:tc>
          <w:tcPr>
            <w:tcW w:w="349" w:type="pct"/>
            <w:gridSpan w:val="2"/>
          </w:tcPr>
          <w:p w14:paraId="70BD2BD9" w14:textId="77777777" w:rsidR="005A48F1" w:rsidRPr="00BD4849" w:rsidRDefault="005A48F1" w:rsidP="009F141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-0,04</w:t>
            </w:r>
          </w:p>
        </w:tc>
        <w:tc>
          <w:tcPr>
            <w:tcW w:w="350" w:type="pct"/>
            <w:gridSpan w:val="2"/>
          </w:tcPr>
          <w:p w14:paraId="2448217D" w14:textId="77777777" w:rsidR="005A48F1" w:rsidRPr="00BD4849" w:rsidRDefault="005A48F1" w:rsidP="009F141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0,00</w:t>
            </w:r>
          </w:p>
        </w:tc>
      </w:tr>
      <w:tr w:rsidR="005A48F1" w:rsidRPr="00BD4849" w14:paraId="576BDCDE" w14:textId="77777777" w:rsidTr="009F1410">
        <w:trPr>
          <w:trHeight w:val="249"/>
        </w:trPr>
        <w:tc>
          <w:tcPr>
            <w:cnfStyle w:val="001000000000" w:firstRow="0" w:lastRow="0" w:firstColumn="1" w:lastColumn="0" w:oddVBand="0" w:evenVBand="0" w:oddHBand="0" w:evenHBand="0" w:firstRowFirstColumn="0" w:firstRowLastColumn="0" w:lastRowFirstColumn="0" w:lastRowLastColumn="0"/>
            <w:tcW w:w="449" w:type="pct"/>
            <w:vMerge/>
          </w:tcPr>
          <w:p w14:paraId="7F734C86" w14:textId="77777777" w:rsidR="005A48F1" w:rsidRPr="00BD4849" w:rsidRDefault="005A48F1" w:rsidP="009F1410">
            <w:pPr>
              <w:spacing w:line="20" w:lineRule="atLeast"/>
              <w:rPr>
                <w:rFonts w:ascii="Arial" w:hAnsi="Arial" w:cs="Arial"/>
                <w:b w:val="0"/>
                <w:bCs w:val="0"/>
                <w:sz w:val="20"/>
                <w:szCs w:val="20"/>
                <w:lang w:val="sl-SI"/>
              </w:rPr>
            </w:pPr>
          </w:p>
        </w:tc>
        <w:tc>
          <w:tcPr>
            <w:tcW w:w="1969" w:type="pct"/>
          </w:tcPr>
          <w:p w14:paraId="054BBAC7" w14:textId="77777777" w:rsidR="005A48F1" w:rsidRPr="00BD4849" w:rsidRDefault="005A48F1" w:rsidP="009F1410">
            <w:pPr>
              <w:spacing w:line="20" w:lineRule="atLeast"/>
              <w:cnfStyle w:val="000000000000" w:firstRow="0" w:lastRow="0" w:firstColumn="0" w:lastColumn="0" w:oddVBand="0" w:evenVBand="0" w:oddHBand="0" w:evenHBand="0" w:firstRowFirstColumn="0" w:firstRowLastColumn="0" w:lastRowFirstColumn="0" w:lastRowLastColumn="0"/>
              <w:rPr>
                <w:rFonts w:ascii="Arial" w:hAnsi="Arial" w:cs="Arial"/>
                <w:sz w:val="20"/>
                <w:szCs w:val="20"/>
                <w:highlight w:val="magenta"/>
                <w:shd w:val="clear" w:color="auto" w:fill="FFFFFF"/>
                <w:lang w:val="sl-SI" w:eastAsia="sl-SI"/>
              </w:rPr>
            </w:pPr>
            <w:r w:rsidRPr="00BD4849">
              <w:rPr>
                <w:rFonts w:ascii="Arial" w:hAnsi="Arial" w:cs="Arial"/>
                <w:sz w:val="20"/>
                <w:szCs w:val="20"/>
                <w:shd w:val="clear" w:color="auto" w:fill="FFFFFF"/>
                <w:lang w:val="sl-SI" w:eastAsia="sl-SI"/>
              </w:rPr>
              <w:t>Dodatki za delo v nevarnih razmerah (dodatki po 71. čl. ZIUZEOP - koncesionarji; dodatki po 123. čl. ZIUOPDVE - zasebni izvajalci)</w:t>
            </w:r>
          </w:p>
        </w:tc>
        <w:tc>
          <w:tcPr>
            <w:tcW w:w="303" w:type="pct"/>
          </w:tcPr>
          <w:p w14:paraId="45490EC7" w14:textId="77777777" w:rsidR="005A48F1" w:rsidRPr="00D1091B" w:rsidRDefault="005A48F1" w:rsidP="009F141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sl-SI"/>
              </w:rPr>
            </w:pPr>
            <w:r w:rsidRPr="00D1091B">
              <w:rPr>
                <w:rFonts w:ascii="Arial" w:hAnsi="Arial" w:cs="Arial"/>
                <w:sz w:val="16"/>
                <w:szCs w:val="16"/>
                <w:lang w:val="sl-SI"/>
              </w:rPr>
              <w:t>D.3</w:t>
            </w:r>
          </w:p>
        </w:tc>
        <w:tc>
          <w:tcPr>
            <w:tcW w:w="533" w:type="pct"/>
          </w:tcPr>
          <w:p w14:paraId="1EC8C1C2" w14:textId="77777777" w:rsidR="005A48F1" w:rsidRPr="00BD4849" w:rsidRDefault="005A48F1" w:rsidP="009F141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Sprejet</w:t>
            </w:r>
          </w:p>
        </w:tc>
        <w:tc>
          <w:tcPr>
            <w:tcW w:w="349" w:type="pct"/>
          </w:tcPr>
          <w:p w14:paraId="16BE04AC" w14:textId="77777777" w:rsidR="005A48F1" w:rsidRPr="00BD4849" w:rsidRDefault="005A48F1" w:rsidP="009F141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0,03</w:t>
            </w:r>
          </w:p>
        </w:tc>
        <w:tc>
          <w:tcPr>
            <w:tcW w:w="349" w:type="pct"/>
            <w:gridSpan w:val="2"/>
          </w:tcPr>
          <w:p w14:paraId="12C6021E" w14:textId="77777777" w:rsidR="005A48F1" w:rsidRPr="00BD4849" w:rsidRDefault="005A48F1" w:rsidP="009F141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0,07</w:t>
            </w:r>
          </w:p>
        </w:tc>
        <w:tc>
          <w:tcPr>
            <w:tcW w:w="349" w:type="pct"/>
            <w:gridSpan w:val="2"/>
          </w:tcPr>
          <w:p w14:paraId="514C0540" w14:textId="77777777" w:rsidR="005A48F1" w:rsidRPr="00BD4849" w:rsidRDefault="005A48F1" w:rsidP="009F141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-0,10</w:t>
            </w:r>
          </w:p>
        </w:tc>
        <w:tc>
          <w:tcPr>
            <w:tcW w:w="349" w:type="pct"/>
            <w:gridSpan w:val="2"/>
          </w:tcPr>
          <w:p w14:paraId="6C72459C" w14:textId="77777777" w:rsidR="005A48F1" w:rsidRPr="00BD4849" w:rsidRDefault="005A48F1" w:rsidP="009F141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0,00</w:t>
            </w:r>
          </w:p>
        </w:tc>
        <w:tc>
          <w:tcPr>
            <w:tcW w:w="350" w:type="pct"/>
            <w:gridSpan w:val="2"/>
          </w:tcPr>
          <w:p w14:paraId="76E557F2" w14:textId="77777777" w:rsidR="005A48F1" w:rsidRPr="00BD4849" w:rsidRDefault="005A48F1" w:rsidP="009F141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0,00</w:t>
            </w:r>
          </w:p>
        </w:tc>
      </w:tr>
      <w:tr w:rsidR="005A48F1" w:rsidRPr="00BD4849" w14:paraId="7F71CDA1" w14:textId="77777777" w:rsidTr="009F1410">
        <w:trPr>
          <w:cnfStyle w:val="000000100000" w:firstRow="0" w:lastRow="0" w:firstColumn="0" w:lastColumn="0" w:oddVBand="0" w:evenVBand="0" w:oddHBand="1"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449" w:type="pct"/>
            <w:vMerge w:val="restart"/>
            <w:textDirection w:val="btLr"/>
          </w:tcPr>
          <w:p w14:paraId="60051786" w14:textId="77777777" w:rsidR="005A48F1" w:rsidRPr="00BD4849" w:rsidRDefault="005A48F1" w:rsidP="009F1410">
            <w:pPr>
              <w:spacing w:line="20" w:lineRule="atLeast"/>
              <w:ind w:left="113" w:right="113"/>
              <w:rPr>
                <w:rFonts w:ascii="Arial" w:hAnsi="Arial" w:cs="Arial"/>
                <w:b w:val="0"/>
                <w:bCs w:val="0"/>
                <w:sz w:val="20"/>
                <w:szCs w:val="20"/>
                <w:lang w:val="sl-SI"/>
              </w:rPr>
            </w:pPr>
            <w:r w:rsidRPr="00BD4849">
              <w:rPr>
                <w:rFonts w:ascii="Arial" w:hAnsi="Arial" w:cs="Arial"/>
                <w:b w:val="0"/>
                <w:bCs w:val="0"/>
                <w:sz w:val="20"/>
                <w:szCs w:val="20"/>
                <w:lang w:val="sl-SI"/>
              </w:rPr>
              <w:t>OSTALI (COVID) UKREPI (POMOČ JAVNEMU SEKTORJU: VRTCI, DIJAŠKI IN ŠTUDENTSKI DOMOVI, GASILCI, ŠPORTNE ORGANIZACIJE IDR.)</w:t>
            </w:r>
          </w:p>
          <w:p w14:paraId="3E645894" w14:textId="77777777" w:rsidR="005A48F1" w:rsidRPr="00BD4849" w:rsidRDefault="005A48F1" w:rsidP="009F1410">
            <w:pPr>
              <w:spacing w:line="20" w:lineRule="atLeast"/>
              <w:ind w:left="113" w:right="113"/>
              <w:rPr>
                <w:rFonts w:ascii="Arial" w:hAnsi="Arial" w:cs="Arial"/>
                <w:b w:val="0"/>
                <w:bCs w:val="0"/>
                <w:sz w:val="20"/>
                <w:szCs w:val="20"/>
                <w:lang w:val="sl-SI"/>
              </w:rPr>
            </w:pPr>
          </w:p>
          <w:p w14:paraId="2AA70AFF" w14:textId="77777777" w:rsidR="005A48F1" w:rsidRPr="00BD4849" w:rsidRDefault="005A48F1" w:rsidP="009F1410">
            <w:pPr>
              <w:spacing w:line="20" w:lineRule="atLeast"/>
              <w:ind w:left="113" w:right="113"/>
              <w:rPr>
                <w:rFonts w:ascii="Arial" w:hAnsi="Arial" w:cs="Arial"/>
                <w:b w:val="0"/>
                <w:bCs w:val="0"/>
                <w:sz w:val="20"/>
                <w:szCs w:val="20"/>
                <w:lang w:val="sl-SI"/>
              </w:rPr>
            </w:pPr>
          </w:p>
          <w:p w14:paraId="655D9B52" w14:textId="77777777" w:rsidR="005A48F1" w:rsidRPr="00BD4849" w:rsidRDefault="005A48F1" w:rsidP="009F1410">
            <w:pPr>
              <w:spacing w:line="20" w:lineRule="atLeast"/>
              <w:ind w:left="113" w:right="113"/>
              <w:rPr>
                <w:rFonts w:ascii="Arial" w:hAnsi="Arial" w:cs="Arial"/>
                <w:b w:val="0"/>
                <w:bCs w:val="0"/>
                <w:sz w:val="20"/>
                <w:szCs w:val="20"/>
                <w:lang w:val="sl-SI"/>
              </w:rPr>
            </w:pPr>
          </w:p>
          <w:p w14:paraId="531C8BF4" w14:textId="77777777" w:rsidR="005A48F1" w:rsidRPr="00BD4849" w:rsidRDefault="005A48F1" w:rsidP="009F1410">
            <w:pPr>
              <w:spacing w:line="20" w:lineRule="atLeast"/>
              <w:ind w:left="113" w:right="113"/>
              <w:rPr>
                <w:rFonts w:ascii="Arial" w:hAnsi="Arial" w:cs="Arial"/>
                <w:b w:val="0"/>
                <w:bCs w:val="0"/>
                <w:sz w:val="20"/>
                <w:szCs w:val="20"/>
                <w:lang w:val="sl-SI"/>
              </w:rPr>
            </w:pPr>
          </w:p>
          <w:p w14:paraId="0931F074" w14:textId="77777777" w:rsidR="005A48F1" w:rsidRPr="00BD4849" w:rsidRDefault="005A48F1" w:rsidP="009F1410">
            <w:pPr>
              <w:spacing w:line="20" w:lineRule="atLeast"/>
              <w:ind w:left="113" w:right="113"/>
              <w:rPr>
                <w:rFonts w:ascii="Arial" w:hAnsi="Arial" w:cs="Arial"/>
                <w:b w:val="0"/>
                <w:bCs w:val="0"/>
                <w:sz w:val="20"/>
                <w:szCs w:val="20"/>
                <w:lang w:val="sl-SI"/>
              </w:rPr>
            </w:pPr>
          </w:p>
          <w:p w14:paraId="5BE23954" w14:textId="77777777" w:rsidR="005A48F1" w:rsidRPr="00BD4849" w:rsidRDefault="005A48F1" w:rsidP="009F1410">
            <w:pPr>
              <w:spacing w:line="20" w:lineRule="atLeast"/>
              <w:ind w:left="113" w:right="113"/>
              <w:rPr>
                <w:rFonts w:ascii="Arial" w:hAnsi="Arial" w:cs="Arial"/>
                <w:b w:val="0"/>
                <w:bCs w:val="0"/>
                <w:sz w:val="20"/>
                <w:szCs w:val="20"/>
                <w:lang w:val="sl-SI"/>
              </w:rPr>
            </w:pPr>
          </w:p>
          <w:p w14:paraId="10BE2548" w14:textId="77777777" w:rsidR="005A48F1" w:rsidRPr="00BD4849" w:rsidRDefault="005A48F1" w:rsidP="009F1410">
            <w:pPr>
              <w:spacing w:line="20" w:lineRule="atLeast"/>
              <w:ind w:left="113" w:right="113"/>
              <w:rPr>
                <w:rFonts w:ascii="Arial" w:hAnsi="Arial" w:cs="Arial"/>
                <w:b w:val="0"/>
                <w:bCs w:val="0"/>
                <w:sz w:val="20"/>
                <w:szCs w:val="20"/>
                <w:lang w:val="sl-SI"/>
              </w:rPr>
            </w:pPr>
          </w:p>
        </w:tc>
        <w:tc>
          <w:tcPr>
            <w:tcW w:w="1969" w:type="pct"/>
          </w:tcPr>
          <w:p w14:paraId="69A905DC" w14:textId="77777777" w:rsidR="005A48F1" w:rsidRPr="00BD4849" w:rsidRDefault="005A48F1" w:rsidP="009F1410">
            <w:pPr>
              <w:spacing w:line="20" w:lineRule="atLeast"/>
              <w:cnfStyle w:val="000000100000" w:firstRow="0" w:lastRow="0" w:firstColumn="0" w:lastColumn="0" w:oddVBand="0" w:evenVBand="0" w:oddHBand="1" w:evenHBand="0" w:firstRowFirstColumn="0" w:firstRowLastColumn="0" w:lastRowFirstColumn="0" w:lastRowLastColumn="0"/>
              <w:rPr>
                <w:rFonts w:ascii="Arial" w:hAnsi="Arial" w:cs="Arial"/>
                <w:sz w:val="20"/>
                <w:szCs w:val="20"/>
                <w:shd w:val="clear" w:color="auto" w:fill="FFFFFF"/>
                <w:lang w:val="sl-SI" w:eastAsia="sl-SI"/>
              </w:rPr>
            </w:pPr>
            <w:r w:rsidRPr="00BD4849">
              <w:rPr>
                <w:rFonts w:ascii="Arial" w:hAnsi="Arial" w:cs="Arial"/>
                <w:sz w:val="20"/>
                <w:szCs w:val="20"/>
                <w:shd w:val="clear" w:color="auto" w:fill="FFFFFF"/>
                <w:lang w:val="sl-SI" w:eastAsia="sl-SI"/>
              </w:rPr>
              <w:t>Sofinanciranje zaščite in reševanja lokalnim skupnostim (občinam se zagotovi sredstva za poplačilo dela nastalih stroškov na področju zaščite, reševanja in pomoči v času epidemije / po PKP zakonodaji), idr.</w:t>
            </w:r>
          </w:p>
        </w:tc>
        <w:tc>
          <w:tcPr>
            <w:tcW w:w="303" w:type="pct"/>
          </w:tcPr>
          <w:p w14:paraId="1452A66F" w14:textId="77777777" w:rsidR="005A48F1" w:rsidRPr="00D1091B" w:rsidRDefault="005A48F1" w:rsidP="009F141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sl-SI"/>
              </w:rPr>
            </w:pPr>
            <w:r w:rsidRPr="00D1091B">
              <w:rPr>
                <w:rFonts w:ascii="Arial" w:hAnsi="Arial" w:cs="Arial"/>
                <w:sz w:val="16"/>
                <w:szCs w:val="16"/>
                <w:lang w:val="sl-SI"/>
              </w:rPr>
              <w:t>P.2</w:t>
            </w:r>
          </w:p>
        </w:tc>
        <w:tc>
          <w:tcPr>
            <w:tcW w:w="533" w:type="pct"/>
          </w:tcPr>
          <w:p w14:paraId="41C7BE2D" w14:textId="77777777" w:rsidR="005A48F1" w:rsidRPr="00BD4849" w:rsidRDefault="005A48F1" w:rsidP="009F141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Sprejet</w:t>
            </w:r>
          </w:p>
        </w:tc>
        <w:tc>
          <w:tcPr>
            <w:tcW w:w="349" w:type="pct"/>
          </w:tcPr>
          <w:p w14:paraId="26D793A0" w14:textId="77777777" w:rsidR="005A48F1" w:rsidRPr="00BD4849" w:rsidRDefault="005A48F1" w:rsidP="009F141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0,01</w:t>
            </w:r>
          </w:p>
        </w:tc>
        <w:tc>
          <w:tcPr>
            <w:tcW w:w="349" w:type="pct"/>
            <w:gridSpan w:val="2"/>
          </w:tcPr>
          <w:p w14:paraId="37471B58" w14:textId="77777777" w:rsidR="005A48F1" w:rsidRPr="00BD4849" w:rsidRDefault="005A48F1" w:rsidP="009F141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-0,01</w:t>
            </w:r>
          </w:p>
        </w:tc>
        <w:tc>
          <w:tcPr>
            <w:tcW w:w="349" w:type="pct"/>
            <w:gridSpan w:val="2"/>
          </w:tcPr>
          <w:p w14:paraId="3DF0DDFA" w14:textId="77777777" w:rsidR="005A48F1" w:rsidRPr="00BD4849" w:rsidRDefault="005A48F1" w:rsidP="009F141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0,00</w:t>
            </w:r>
          </w:p>
        </w:tc>
        <w:tc>
          <w:tcPr>
            <w:tcW w:w="349" w:type="pct"/>
            <w:gridSpan w:val="2"/>
          </w:tcPr>
          <w:p w14:paraId="5C80A5F2" w14:textId="77777777" w:rsidR="005A48F1" w:rsidRPr="00BD4849" w:rsidRDefault="005A48F1" w:rsidP="009F141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0,00</w:t>
            </w:r>
          </w:p>
        </w:tc>
        <w:tc>
          <w:tcPr>
            <w:tcW w:w="350" w:type="pct"/>
            <w:gridSpan w:val="2"/>
          </w:tcPr>
          <w:p w14:paraId="4E6B24DB" w14:textId="77777777" w:rsidR="005A48F1" w:rsidRPr="00BD4849" w:rsidRDefault="005A48F1" w:rsidP="009F141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0,00</w:t>
            </w:r>
          </w:p>
        </w:tc>
      </w:tr>
      <w:tr w:rsidR="005A48F1" w:rsidRPr="00BD4849" w14:paraId="41A4ACD7" w14:textId="77777777" w:rsidTr="009F1410">
        <w:trPr>
          <w:trHeight w:val="42"/>
        </w:trPr>
        <w:tc>
          <w:tcPr>
            <w:cnfStyle w:val="001000000000" w:firstRow="0" w:lastRow="0" w:firstColumn="1" w:lastColumn="0" w:oddVBand="0" w:evenVBand="0" w:oddHBand="0" w:evenHBand="0" w:firstRowFirstColumn="0" w:firstRowLastColumn="0" w:lastRowFirstColumn="0" w:lastRowLastColumn="0"/>
            <w:tcW w:w="449" w:type="pct"/>
            <w:vMerge/>
          </w:tcPr>
          <w:p w14:paraId="4BEAA527" w14:textId="77777777" w:rsidR="005A48F1" w:rsidRPr="00BD4849" w:rsidRDefault="005A48F1" w:rsidP="009F1410">
            <w:pPr>
              <w:spacing w:line="20" w:lineRule="atLeast"/>
              <w:rPr>
                <w:rFonts w:ascii="Arial" w:hAnsi="Arial" w:cs="Arial"/>
                <w:b w:val="0"/>
                <w:bCs w:val="0"/>
                <w:sz w:val="20"/>
                <w:szCs w:val="20"/>
                <w:lang w:val="sl-SI"/>
              </w:rPr>
            </w:pPr>
          </w:p>
        </w:tc>
        <w:tc>
          <w:tcPr>
            <w:tcW w:w="1969" w:type="pct"/>
          </w:tcPr>
          <w:p w14:paraId="03CEB931" w14:textId="77777777" w:rsidR="005A48F1" w:rsidRPr="00BD4849" w:rsidRDefault="005A48F1" w:rsidP="009F1410">
            <w:pPr>
              <w:spacing w:line="20" w:lineRule="atLeast"/>
              <w:cnfStyle w:val="000000000000" w:firstRow="0" w:lastRow="0" w:firstColumn="0" w:lastColumn="0" w:oddVBand="0" w:evenVBand="0" w:oddHBand="0" w:evenHBand="0" w:firstRowFirstColumn="0" w:firstRowLastColumn="0" w:lastRowFirstColumn="0" w:lastRowLastColumn="0"/>
              <w:rPr>
                <w:rFonts w:ascii="Arial" w:hAnsi="Arial" w:cs="Arial"/>
                <w:sz w:val="20"/>
                <w:szCs w:val="20"/>
                <w:shd w:val="clear" w:color="auto" w:fill="FFFFFF"/>
                <w:lang w:val="sl-SI" w:eastAsia="sl-SI"/>
              </w:rPr>
            </w:pPr>
            <w:r w:rsidRPr="00BD4849">
              <w:rPr>
                <w:rFonts w:ascii="Arial" w:hAnsi="Arial" w:cs="Arial"/>
                <w:sz w:val="20"/>
                <w:szCs w:val="20"/>
                <w:shd w:val="clear" w:color="auto" w:fill="FFFFFF"/>
                <w:lang w:val="sl-SI" w:eastAsia="sl-SI"/>
              </w:rPr>
              <w:t>Pokrivanje izpada plačil staršev za vrtce (tudi zasebne vrtce); topli obroki za učence in dijake</w:t>
            </w:r>
          </w:p>
        </w:tc>
        <w:tc>
          <w:tcPr>
            <w:tcW w:w="303" w:type="pct"/>
          </w:tcPr>
          <w:p w14:paraId="2CA32F1F" w14:textId="77777777" w:rsidR="005A48F1" w:rsidRPr="00D1091B" w:rsidRDefault="005A48F1" w:rsidP="009F141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sl-SI"/>
              </w:rPr>
            </w:pPr>
            <w:r w:rsidRPr="00D1091B">
              <w:rPr>
                <w:rFonts w:ascii="Arial" w:hAnsi="Arial" w:cs="Arial"/>
                <w:sz w:val="16"/>
                <w:szCs w:val="16"/>
                <w:lang w:val="sl-SI"/>
              </w:rPr>
              <w:t>D.62+D.63</w:t>
            </w:r>
          </w:p>
        </w:tc>
        <w:tc>
          <w:tcPr>
            <w:tcW w:w="533" w:type="pct"/>
          </w:tcPr>
          <w:p w14:paraId="0B537315" w14:textId="77777777" w:rsidR="005A48F1" w:rsidRPr="00BD4849" w:rsidRDefault="005A48F1" w:rsidP="009F141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Sprejet</w:t>
            </w:r>
          </w:p>
        </w:tc>
        <w:tc>
          <w:tcPr>
            <w:tcW w:w="349" w:type="pct"/>
          </w:tcPr>
          <w:p w14:paraId="1B72B6A9" w14:textId="77777777" w:rsidR="005A48F1" w:rsidRPr="00BD4849" w:rsidRDefault="005A48F1" w:rsidP="009F141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0,02</w:t>
            </w:r>
          </w:p>
        </w:tc>
        <w:tc>
          <w:tcPr>
            <w:tcW w:w="349" w:type="pct"/>
            <w:gridSpan w:val="2"/>
          </w:tcPr>
          <w:p w14:paraId="1AD6368E" w14:textId="77777777" w:rsidR="005A48F1" w:rsidRPr="00BD4849" w:rsidRDefault="005A48F1" w:rsidP="009F141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0,01</w:t>
            </w:r>
          </w:p>
        </w:tc>
        <w:tc>
          <w:tcPr>
            <w:tcW w:w="349" w:type="pct"/>
            <w:gridSpan w:val="2"/>
          </w:tcPr>
          <w:p w14:paraId="26F7B22A" w14:textId="77777777" w:rsidR="005A48F1" w:rsidRPr="00BD4849" w:rsidRDefault="005A48F1" w:rsidP="009F141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-0,03</w:t>
            </w:r>
          </w:p>
        </w:tc>
        <w:tc>
          <w:tcPr>
            <w:tcW w:w="349" w:type="pct"/>
            <w:gridSpan w:val="2"/>
          </w:tcPr>
          <w:p w14:paraId="077AC12A" w14:textId="77777777" w:rsidR="005A48F1" w:rsidRPr="00BD4849" w:rsidRDefault="005A48F1" w:rsidP="009F141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0,00</w:t>
            </w:r>
          </w:p>
        </w:tc>
        <w:tc>
          <w:tcPr>
            <w:tcW w:w="350" w:type="pct"/>
            <w:gridSpan w:val="2"/>
          </w:tcPr>
          <w:p w14:paraId="0B511BD0" w14:textId="77777777" w:rsidR="005A48F1" w:rsidRPr="00BD4849" w:rsidRDefault="005A48F1" w:rsidP="009F141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0,00</w:t>
            </w:r>
          </w:p>
        </w:tc>
      </w:tr>
      <w:tr w:rsidR="005A48F1" w:rsidRPr="00BD4849" w14:paraId="6B82DDBE" w14:textId="77777777" w:rsidTr="009F1410">
        <w:trPr>
          <w:cnfStyle w:val="000000100000" w:firstRow="0" w:lastRow="0" w:firstColumn="0" w:lastColumn="0" w:oddVBand="0" w:evenVBand="0" w:oddHBand="1" w:evenHBand="0" w:firstRowFirstColumn="0" w:firstRowLastColumn="0" w:lastRowFirstColumn="0" w:lastRowLastColumn="0"/>
          <w:trHeight w:val="42"/>
        </w:trPr>
        <w:tc>
          <w:tcPr>
            <w:cnfStyle w:val="001000000000" w:firstRow="0" w:lastRow="0" w:firstColumn="1" w:lastColumn="0" w:oddVBand="0" w:evenVBand="0" w:oddHBand="0" w:evenHBand="0" w:firstRowFirstColumn="0" w:firstRowLastColumn="0" w:lastRowFirstColumn="0" w:lastRowLastColumn="0"/>
            <w:tcW w:w="449" w:type="pct"/>
            <w:vMerge/>
          </w:tcPr>
          <w:p w14:paraId="6587895F" w14:textId="77777777" w:rsidR="005A48F1" w:rsidRPr="00BD4849" w:rsidRDefault="005A48F1" w:rsidP="009F1410">
            <w:pPr>
              <w:spacing w:line="20" w:lineRule="atLeast"/>
              <w:rPr>
                <w:rFonts w:ascii="Arial" w:hAnsi="Arial" w:cs="Arial"/>
                <w:b w:val="0"/>
                <w:bCs w:val="0"/>
                <w:sz w:val="20"/>
                <w:szCs w:val="20"/>
                <w:lang w:val="sl-SI"/>
              </w:rPr>
            </w:pPr>
          </w:p>
        </w:tc>
        <w:tc>
          <w:tcPr>
            <w:tcW w:w="1969" w:type="pct"/>
          </w:tcPr>
          <w:p w14:paraId="1BADF67A" w14:textId="77777777" w:rsidR="005A48F1" w:rsidRPr="00BD4849" w:rsidRDefault="005A48F1" w:rsidP="009F1410">
            <w:pPr>
              <w:spacing w:line="20" w:lineRule="atLeast"/>
              <w:cnfStyle w:val="000000100000" w:firstRow="0" w:lastRow="0" w:firstColumn="0" w:lastColumn="0" w:oddVBand="0" w:evenVBand="0" w:oddHBand="1" w:evenHBand="0" w:firstRowFirstColumn="0" w:firstRowLastColumn="0" w:lastRowFirstColumn="0" w:lastRowLastColumn="0"/>
              <w:rPr>
                <w:rFonts w:ascii="Arial" w:hAnsi="Arial" w:cs="Arial"/>
                <w:sz w:val="20"/>
                <w:szCs w:val="20"/>
                <w:shd w:val="clear" w:color="auto" w:fill="FFFFFF"/>
                <w:lang w:val="sl-SI" w:eastAsia="sl-SI"/>
              </w:rPr>
            </w:pPr>
            <w:r w:rsidRPr="00BD4849">
              <w:rPr>
                <w:rFonts w:ascii="Arial" w:hAnsi="Arial" w:cs="Arial"/>
                <w:sz w:val="20"/>
                <w:szCs w:val="20"/>
                <w:shd w:val="clear" w:color="auto" w:fill="FFFFFF"/>
                <w:lang w:val="sl-SI" w:eastAsia="sl-SI"/>
              </w:rPr>
              <w:t>Pokrivanje izpada javnih storitev (izvajalci javnih služb, ki v času trajanja epidemije ne izvajajo javnih storitev, teh uporabnikom ne zaračunavajo); nadomestila izvajalcu prevoza potnikov - železniški promet; financiranje zasebnih vrtcev; pokrivanje omejenega obsega storitev dijaških domov;</w:t>
            </w:r>
            <w:r w:rsidRPr="00BD4849">
              <w:rPr>
                <w:rFonts w:ascii="Arial" w:hAnsi="Arial" w:cs="Arial"/>
                <w:sz w:val="20"/>
                <w:szCs w:val="20"/>
                <w:lang w:val="sl-SI"/>
              </w:rPr>
              <w:t xml:space="preserve"> </w:t>
            </w:r>
            <w:r w:rsidRPr="00BD4849">
              <w:rPr>
                <w:rFonts w:ascii="Arial" w:hAnsi="Arial" w:cs="Arial"/>
                <w:sz w:val="20"/>
                <w:szCs w:val="20"/>
                <w:shd w:val="clear" w:color="auto" w:fill="FFFFFF"/>
                <w:lang w:val="sl-SI" w:eastAsia="sl-SI"/>
              </w:rPr>
              <w:t>pokrivanje izpada prihodkov v študentskih domovih, in ostalo: humanitarna pomoč, donacije, pomoč športnim zvezam za izvedbo hitrih testov; sofinanciranje prostovoljnih gasilskih društev,</w:t>
            </w:r>
            <w:r w:rsidRPr="00BD4849">
              <w:rPr>
                <w:rFonts w:ascii="Arial" w:hAnsi="Arial" w:cs="Arial"/>
                <w:sz w:val="20"/>
                <w:szCs w:val="20"/>
                <w:lang w:val="sl-SI"/>
              </w:rPr>
              <w:t xml:space="preserve"> </w:t>
            </w:r>
            <w:r w:rsidRPr="00BD4849">
              <w:rPr>
                <w:rFonts w:ascii="Arial" w:hAnsi="Arial" w:cs="Arial"/>
                <w:sz w:val="20"/>
                <w:szCs w:val="20"/>
                <w:shd w:val="clear" w:color="auto" w:fill="FFFFFF"/>
                <w:lang w:val="sl-SI" w:eastAsia="sl-SI"/>
              </w:rPr>
              <w:t>denarna odškodnina zaradi škode, nastale zaradi cepljenja s cepivom proti covid-19 idr.</w:t>
            </w:r>
          </w:p>
        </w:tc>
        <w:tc>
          <w:tcPr>
            <w:tcW w:w="303" w:type="pct"/>
          </w:tcPr>
          <w:p w14:paraId="7BD56E8C" w14:textId="77777777" w:rsidR="005A48F1" w:rsidRPr="00D1091B" w:rsidRDefault="005A48F1" w:rsidP="009F141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sl-SI"/>
              </w:rPr>
            </w:pPr>
            <w:r w:rsidRPr="00D1091B">
              <w:rPr>
                <w:rFonts w:ascii="Arial" w:hAnsi="Arial" w:cs="Arial"/>
                <w:sz w:val="16"/>
                <w:szCs w:val="16"/>
                <w:lang w:val="sl-SI"/>
              </w:rPr>
              <w:t>D.73+D.74+ D.75</w:t>
            </w:r>
          </w:p>
        </w:tc>
        <w:tc>
          <w:tcPr>
            <w:tcW w:w="533" w:type="pct"/>
          </w:tcPr>
          <w:p w14:paraId="45FEF4F5" w14:textId="77777777" w:rsidR="005A48F1" w:rsidRPr="00BD4849" w:rsidRDefault="005A48F1" w:rsidP="009F141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Sprejet</w:t>
            </w:r>
          </w:p>
        </w:tc>
        <w:tc>
          <w:tcPr>
            <w:tcW w:w="349" w:type="pct"/>
          </w:tcPr>
          <w:p w14:paraId="61083DD5" w14:textId="77777777" w:rsidR="005A48F1" w:rsidRPr="00BD4849" w:rsidRDefault="005A48F1" w:rsidP="009F141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0,08</w:t>
            </w:r>
          </w:p>
        </w:tc>
        <w:tc>
          <w:tcPr>
            <w:tcW w:w="349" w:type="pct"/>
            <w:gridSpan w:val="2"/>
          </w:tcPr>
          <w:p w14:paraId="143904A0" w14:textId="77777777" w:rsidR="005A48F1" w:rsidRPr="00BD4849" w:rsidRDefault="005A48F1" w:rsidP="009F141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-0,01</w:t>
            </w:r>
          </w:p>
        </w:tc>
        <w:tc>
          <w:tcPr>
            <w:tcW w:w="349" w:type="pct"/>
            <w:gridSpan w:val="2"/>
          </w:tcPr>
          <w:p w14:paraId="6A732558" w14:textId="77777777" w:rsidR="005A48F1" w:rsidRPr="00BD4849" w:rsidRDefault="005A48F1" w:rsidP="009F141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-0,05</w:t>
            </w:r>
          </w:p>
        </w:tc>
        <w:tc>
          <w:tcPr>
            <w:tcW w:w="349" w:type="pct"/>
            <w:gridSpan w:val="2"/>
          </w:tcPr>
          <w:p w14:paraId="5E6C9C26" w14:textId="77777777" w:rsidR="005A48F1" w:rsidRPr="00BD4849" w:rsidRDefault="005A48F1" w:rsidP="009F141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-0,01</w:t>
            </w:r>
          </w:p>
        </w:tc>
        <w:tc>
          <w:tcPr>
            <w:tcW w:w="350" w:type="pct"/>
            <w:gridSpan w:val="2"/>
          </w:tcPr>
          <w:p w14:paraId="07AF4F53" w14:textId="77777777" w:rsidR="005A48F1" w:rsidRPr="00BD4849" w:rsidRDefault="005A48F1" w:rsidP="009F141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0,00</w:t>
            </w:r>
          </w:p>
        </w:tc>
      </w:tr>
      <w:tr w:rsidR="005A48F1" w:rsidRPr="00BD4849" w14:paraId="520B1341" w14:textId="77777777" w:rsidTr="009F1410">
        <w:trPr>
          <w:trHeight w:val="391"/>
        </w:trPr>
        <w:tc>
          <w:tcPr>
            <w:cnfStyle w:val="001000000000" w:firstRow="0" w:lastRow="0" w:firstColumn="1" w:lastColumn="0" w:oddVBand="0" w:evenVBand="0" w:oddHBand="0" w:evenHBand="0" w:firstRowFirstColumn="0" w:firstRowLastColumn="0" w:lastRowFirstColumn="0" w:lastRowLastColumn="0"/>
            <w:tcW w:w="449" w:type="pct"/>
            <w:vMerge/>
          </w:tcPr>
          <w:p w14:paraId="1681C3E1" w14:textId="77777777" w:rsidR="005A48F1" w:rsidRPr="00BD4849" w:rsidRDefault="005A48F1" w:rsidP="009F1410">
            <w:pPr>
              <w:spacing w:line="20" w:lineRule="atLeast"/>
              <w:rPr>
                <w:rFonts w:ascii="Arial" w:hAnsi="Arial" w:cs="Arial"/>
                <w:b w:val="0"/>
                <w:bCs w:val="0"/>
                <w:sz w:val="20"/>
                <w:szCs w:val="20"/>
                <w:lang w:val="sl-SI"/>
              </w:rPr>
            </w:pPr>
          </w:p>
        </w:tc>
        <w:tc>
          <w:tcPr>
            <w:tcW w:w="1969" w:type="pct"/>
          </w:tcPr>
          <w:p w14:paraId="0B4439FA" w14:textId="77777777" w:rsidR="005A48F1" w:rsidRPr="00BD4849" w:rsidRDefault="005A48F1" w:rsidP="009F1410">
            <w:pPr>
              <w:spacing w:line="20" w:lineRule="atLeast"/>
              <w:cnfStyle w:val="000000000000" w:firstRow="0" w:lastRow="0" w:firstColumn="0" w:lastColumn="0" w:oddVBand="0" w:evenVBand="0" w:oddHBand="0" w:evenHBand="0" w:firstRowFirstColumn="0" w:firstRowLastColumn="0" w:lastRowFirstColumn="0" w:lastRowLastColumn="0"/>
              <w:rPr>
                <w:rFonts w:ascii="Arial" w:hAnsi="Arial" w:cs="Arial"/>
                <w:sz w:val="20"/>
                <w:szCs w:val="20"/>
                <w:shd w:val="clear" w:color="auto" w:fill="FFFFFF"/>
                <w:lang w:val="sl-SI" w:eastAsia="sl-SI"/>
              </w:rPr>
            </w:pPr>
            <w:r w:rsidRPr="00BD4849">
              <w:rPr>
                <w:rFonts w:ascii="Arial" w:hAnsi="Arial" w:cs="Arial"/>
                <w:sz w:val="20"/>
                <w:szCs w:val="20"/>
                <w:shd w:val="clear" w:color="auto" w:fill="FFFFFF"/>
                <w:lang w:val="sl-SI" w:eastAsia="sl-SI"/>
              </w:rPr>
              <w:t>Obvladovanje epidemije, zaščitna oprema, financiranje IKT, IKT-infrastruktura, investicije idr.</w:t>
            </w:r>
          </w:p>
        </w:tc>
        <w:tc>
          <w:tcPr>
            <w:tcW w:w="303" w:type="pct"/>
          </w:tcPr>
          <w:p w14:paraId="5370D7E1" w14:textId="77777777" w:rsidR="005A48F1" w:rsidRPr="00D1091B" w:rsidRDefault="005A48F1" w:rsidP="009F141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sl-SI"/>
              </w:rPr>
            </w:pPr>
            <w:r w:rsidRPr="00D1091B">
              <w:rPr>
                <w:rFonts w:ascii="Arial" w:hAnsi="Arial" w:cs="Arial"/>
                <w:sz w:val="16"/>
                <w:szCs w:val="16"/>
                <w:lang w:val="sl-SI"/>
              </w:rPr>
              <w:t>P.51</w:t>
            </w:r>
          </w:p>
        </w:tc>
        <w:tc>
          <w:tcPr>
            <w:tcW w:w="533" w:type="pct"/>
          </w:tcPr>
          <w:p w14:paraId="2B16A516" w14:textId="77777777" w:rsidR="005A48F1" w:rsidRPr="00BD4849" w:rsidRDefault="005A48F1" w:rsidP="009F141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Sprejet</w:t>
            </w:r>
          </w:p>
        </w:tc>
        <w:tc>
          <w:tcPr>
            <w:tcW w:w="349" w:type="pct"/>
          </w:tcPr>
          <w:p w14:paraId="1EC8085F" w14:textId="77777777" w:rsidR="005A48F1" w:rsidRPr="00BD4849" w:rsidRDefault="005A48F1" w:rsidP="009F141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0,02</w:t>
            </w:r>
          </w:p>
        </w:tc>
        <w:tc>
          <w:tcPr>
            <w:tcW w:w="349" w:type="pct"/>
            <w:gridSpan w:val="2"/>
          </w:tcPr>
          <w:p w14:paraId="7AF5F402" w14:textId="77777777" w:rsidR="005A48F1" w:rsidRPr="00BD4849" w:rsidRDefault="005A48F1" w:rsidP="009F141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0,02</w:t>
            </w:r>
          </w:p>
        </w:tc>
        <w:tc>
          <w:tcPr>
            <w:tcW w:w="349" w:type="pct"/>
            <w:gridSpan w:val="2"/>
          </w:tcPr>
          <w:p w14:paraId="489EE637" w14:textId="77777777" w:rsidR="005A48F1" w:rsidRPr="00BD4849" w:rsidRDefault="005A48F1" w:rsidP="009F141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0,00</w:t>
            </w:r>
          </w:p>
        </w:tc>
        <w:tc>
          <w:tcPr>
            <w:tcW w:w="349" w:type="pct"/>
            <w:gridSpan w:val="2"/>
          </w:tcPr>
          <w:p w14:paraId="12F29EA1" w14:textId="77777777" w:rsidR="005A48F1" w:rsidRPr="00BD4849" w:rsidRDefault="005A48F1" w:rsidP="009F141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0,05</w:t>
            </w:r>
          </w:p>
        </w:tc>
        <w:tc>
          <w:tcPr>
            <w:tcW w:w="350" w:type="pct"/>
            <w:gridSpan w:val="2"/>
          </w:tcPr>
          <w:p w14:paraId="00BC4761" w14:textId="77777777" w:rsidR="005A48F1" w:rsidRPr="00BD4849" w:rsidRDefault="005A48F1" w:rsidP="009F141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sl-SI"/>
              </w:rPr>
            </w:pPr>
            <w:r w:rsidRPr="00BD4849">
              <w:rPr>
                <w:rFonts w:ascii="Arial" w:hAnsi="Arial" w:cs="Arial"/>
                <w:sz w:val="18"/>
                <w:szCs w:val="18"/>
                <w:lang w:val="sl-SI"/>
              </w:rPr>
              <w:t>-0,10</w:t>
            </w:r>
          </w:p>
        </w:tc>
      </w:tr>
    </w:tbl>
    <w:p w14:paraId="0DEE753E" w14:textId="77777777" w:rsidR="005A48F1" w:rsidRPr="009924DC" w:rsidRDefault="005A48F1" w:rsidP="009924DC">
      <w:pPr>
        <w:pStyle w:val="Caption"/>
        <w:ind w:left="0" w:firstLine="0"/>
        <w:rPr>
          <w:rFonts w:ascii="Arial" w:hAnsi="Arial" w:cs="Arial"/>
          <w:b w:val="0"/>
          <w:bCs/>
          <w:i w:val="0"/>
          <w:iCs/>
        </w:rPr>
      </w:pPr>
      <w:r w:rsidRPr="009924DC">
        <w:rPr>
          <w:rFonts w:ascii="Arial" w:hAnsi="Arial" w:cs="Arial"/>
          <w:b w:val="0"/>
          <w:bCs/>
          <w:i w:val="0"/>
          <w:iCs/>
        </w:rPr>
        <w:t>Vir: Ministrstvo za finance.</w:t>
      </w:r>
    </w:p>
    <w:p w14:paraId="10147530" w14:textId="77777777" w:rsidR="005A48F1" w:rsidRPr="00BD4849" w:rsidRDefault="005A48F1" w:rsidP="005A48F1">
      <w:r w:rsidRPr="00BD4849">
        <w:br w:type="page"/>
      </w:r>
    </w:p>
    <w:p w14:paraId="7BE0659C" w14:textId="77777777" w:rsidR="005A48F1" w:rsidRPr="00B33972" w:rsidRDefault="005A48F1" w:rsidP="005A48F1">
      <w:pPr>
        <w:spacing w:after="0" w:line="240" w:lineRule="auto"/>
        <w:rPr>
          <w:rFonts w:ascii="Arial" w:eastAsia="Times New Roman" w:hAnsi="Arial" w:cs="Arial"/>
          <w:lang w:eastAsia="sl-SI"/>
        </w:rPr>
      </w:pPr>
      <w:r w:rsidRPr="00B33972">
        <w:rPr>
          <w:rFonts w:ascii="Arial" w:eastAsia="Times New Roman" w:hAnsi="Arial" w:cs="Arial"/>
          <w:lang w:eastAsia="sl-SI"/>
        </w:rPr>
        <w:lastRenderedPageBreak/>
        <w:t>Tabela 5b: Diskrecijski ukrepi po metodologiji ESA 2010 – ukrepi za blaženje draginje in energetske krize</w:t>
      </w:r>
    </w:p>
    <w:tbl>
      <w:tblPr>
        <w:tblStyle w:val="ListTable3-Accent1"/>
        <w:tblW w:w="9356" w:type="dxa"/>
        <w:tblLayout w:type="fixed"/>
        <w:tblLook w:val="04A0" w:firstRow="1" w:lastRow="0" w:firstColumn="1" w:lastColumn="0" w:noHBand="0" w:noVBand="1"/>
      </w:tblPr>
      <w:tblGrid>
        <w:gridCol w:w="4396"/>
        <w:gridCol w:w="1006"/>
        <w:gridCol w:w="1241"/>
        <w:gridCol w:w="904"/>
        <w:gridCol w:w="904"/>
        <w:gridCol w:w="905"/>
      </w:tblGrid>
      <w:tr w:rsidR="005A48F1" w:rsidRPr="00BD4849" w14:paraId="04A2DB90" w14:textId="77777777" w:rsidTr="009924DC">
        <w:trPr>
          <w:cnfStyle w:val="100000000000" w:firstRow="1" w:lastRow="0" w:firstColumn="0" w:lastColumn="0" w:oddVBand="0" w:evenVBand="0" w:oddHBand="0" w:evenHBand="0" w:firstRowFirstColumn="0" w:firstRowLastColumn="0" w:lastRowFirstColumn="0" w:lastRowLastColumn="0"/>
          <w:trHeight w:val="672"/>
        </w:trPr>
        <w:tc>
          <w:tcPr>
            <w:cnfStyle w:val="001000000100" w:firstRow="0" w:lastRow="0" w:firstColumn="1" w:lastColumn="0" w:oddVBand="0" w:evenVBand="0" w:oddHBand="0" w:evenHBand="0" w:firstRowFirstColumn="1" w:firstRowLastColumn="0" w:lastRowFirstColumn="0" w:lastRowLastColumn="0"/>
            <w:tcW w:w="4396" w:type="dxa"/>
            <w:shd w:val="clear" w:color="auto" w:fill="B4C6E7" w:themeFill="accent5" w:themeFillTint="66"/>
            <w:hideMark/>
          </w:tcPr>
          <w:p w14:paraId="6AA71432" w14:textId="77777777" w:rsidR="005A48F1" w:rsidRPr="00BD4849" w:rsidRDefault="005A48F1" w:rsidP="009F1410">
            <w:pPr>
              <w:rPr>
                <w:rFonts w:ascii="Arial" w:eastAsia="Times New Roman" w:hAnsi="Arial" w:cs="Arial"/>
                <w:b w:val="0"/>
                <w:bCs w:val="0"/>
                <w:color w:val="auto"/>
                <w:sz w:val="20"/>
                <w:szCs w:val="20"/>
                <w:lang w:eastAsia="sl-SI"/>
              </w:rPr>
            </w:pPr>
            <w:r w:rsidRPr="00BD4849">
              <w:rPr>
                <w:rFonts w:ascii="Arial" w:eastAsia="Times New Roman" w:hAnsi="Arial" w:cs="Arial"/>
                <w:b w:val="0"/>
                <w:bCs w:val="0"/>
                <w:color w:val="auto"/>
                <w:sz w:val="20"/>
                <w:szCs w:val="20"/>
                <w:lang w:eastAsia="sl-SI"/>
              </w:rPr>
              <w:t>Opis</w:t>
            </w:r>
          </w:p>
        </w:tc>
        <w:tc>
          <w:tcPr>
            <w:tcW w:w="1006" w:type="dxa"/>
            <w:shd w:val="clear" w:color="auto" w:fill="B4C6E7" w:themeFill="accent5" w:themeFillTint="66"/>
            <w:hideMark/>
          </w:tcPr>
          <w:p w14:paraId="26BEAC31" w14:textId="77777777" w:rsidR="005A48F1" w:rsidRPr="00BD4849" w:rsidRDefault="005A48F1" w:rsidP="009F1410">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lang w:eastAsia="sl-SI"/>
              </w:rPr>
            </w:pPr>
            <w:r w:rsidRPr="00BD4849">
              <w:rPr>
                <w:rFonts w:ascii="Arial" w:eastAsia="Times New Roman" w:hAnsi="Arial" w:cs="Arial"/>
                <w:b w:val="0"/>
                <w:bCs w:val="0"/>
                <w:color w:val="auto"/>
                <w:sz w:val="20"/>
                <w:szCs w:val="20"/>
                <w:lang w:eastAsia="sl-SI"/>
              </w:rPr>
              <w:t>ESA</w:t>
            </w:r>
          </w:p>
          <w:p w14:paraId="7BE08819" w14:textId="77777777" w:rsidR="005A48F1" w:rsidRPr="00BD4849" w:rsidRDefault="005A48F1" w:rsidP="009F1410">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lang w:eastAsia="sl-SI"/>
              </w:rPr>
            </w:pPr>
            <w:r w:rsidRPr="00BD4849">
              <w:rPr>
                <w:rFonts w:ascii="Arial" w:eastAsia="Times New Roman" w:hAnsi="Arial" w:cs="Arial"/>
                <w:b w:val="0"/>
                <w:bCs w:val="0"/>
                <w:color w:val="auto"/>
                <w:sz w:val="20"/>
                <w:szCs w:val="20"/>
                <w:lang w:eastAsia="sl-SI"/>
              </w:rPr>
              <w:t>koda</w:t>
            </w:r>
          </w:p>
        </w:tc>
        <w:tc>
          <w:tcPr>
            <w:tcW w:w="1241" w:type="dxa"/>
            <w:shd w:val="clear" w:color="auto" w:fill="B4C6E7" w:themeFill="accent5" w:themeFillTint="66"/>
            <w:hideMark/>
          </w:tcPr>
          <w:p w14:paraId="6FD21F0A" w14:textId="77777777" w:rsidR="005A48F1" w:rsidRPr="00BD4849" w:rsidRDefault="005A48F1" w:rsidP="009F1410">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lang w:eastAsia="sl-SI"/>
              </w:rPr>
            </w:pPr>
            <w:r w:rsidRPr="00BD4849">
              <w:rPr>
                <w:rFonts w:ascii="Arial" w:eastAsia="Times New Roman" w:hAnsi="Arial" w:cs="Arial"/>
                <w:b w:val="0"/>
                <w:bCs w:val="0"/>
                <w:color w:val="auto"/>
                <w:sz w:val="20"/>
                <w:szCs w:val="20"/>
                <w:lang w:eastAsia="sl-SI"/>
              </w:rPr>
              <w:t>Status (sprejet, načrtovan)</w:t>
            </w:r>
          </w:p>
        </w:tc>
        <w:tc>
          <w:tcPr>
            <w:tcW w:w="2713" w:type="dxa"/>
            <w:gridSpan w:val="3"/>
            <w:shd w:val="clear" w:color="auto" w:fill="B4C6E7" w:themeFill="accent5" w:themeFillTint="66"/>
          </w:tcPr>
          <w:p w14:paraId="6AFDBB7D" w14:textId="77777777" w:rsidR="005A48F1" w:rsidRPr="00BD4849" w:rsidRDefault="005A48F1" w:rsidP="009F1410">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lang w:eastAsia="sl-SI"/>
              </w:rPr>
            </w:pPr>
            <w:r w:rsidRPr="00BD4849">
              <w:rPr>
                <w:rFonts w:ascii="Arial" w:eastAsia="Times New Roman" w:hAnsi="Arial" w:cs="Arial"/>
                <w:b w:val="0"/>
                <w:bCs w:val="0"/>
                <w:color w:val="auto"/>
                <w:sz w:val="20"/>
                <w:szCs w:val="20"/>
                <w:lang w:eastAsia="sl-SI"/>
              </w:rPr>
              <w:t>Fiskalni vpliv</w:t>
            </w:r>
          </w:p>
          <w:p w14:paraId="230EAA2A" w14:textId="77777777" w:rsidR="005A48F1" w:rsidRPr="00BD4849" w:rsidRDefault="005A48F1" w:rsidP="009F1410">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lang w:eastAsia="sl-SI"/>
              </w:rPr>
            </w:pPr>
            <w:r w:rsidRPr="00BD4849">
              <w:rPr>
                <w:rFonts w:ascii="Arial" w:eastAsia="Times New Roman" w:hAnsi="Arial" w:cs="Arial"/>
                <w:b w:val="0"/>
                <w:bCs w:val="0"/>
                <w:color w:val="auto"/>
                <w:sz w:val="20"/>
                <w:szCs w:val="20"/>
                <w:lang w:eastAsia="sl-SI"/>
              </w:rPr>
              <w:t>(v % BDP - sprememba glede na prejšnje leto)</w:t>
            </w:r>
          </w:p>
        </w:tc>
      </w:tr>
      <w:tr w:rsidR="005A48F1" w:rsidRPr="00BD4849" w14:paraId="6D50AAAA" w14:textId="77777777" w:rsidTr="009F1410">
        <w:trPr>
          <w:cnfStyle w:val="000000100000" w:firstRow="0" w:lastRow="0" w:firstColumn="0" w:lastColumn="0" w:oddVBand="0" w:evenVBand="0" w:oddHBand="1" w:evenHBand="0" w:firstRowFirstColumn="0" w:firstRowLastColumn="0" w:lastRowFirstColumn="0" w:lastRowLastColumn="0"/>
          <w:trHeight w:val="147"/>
        </w:trPr>
        <w:tc>
          <w:tcPr>
            <w:cnfStyle w:val="001000000000" w:firstRow="0" w:lastRow="0" w:firstColumn="1" w:lastColumn="0" w:oddVBand="0" w:evenVBand="0" w:oddHBand="0" w:evenHBand="0" w:firstRowFirstColumn="0" w:firstRowLastColumn="0" w:lastRowFirstColumn="0" w:lastRowLastColumn="0"/>
            <w:tcW w:w="4396" w:type="dxa"/>
            <w:shd w:val="clear" w:color="auto" w:fill="B4C6E7" w:themeFill="accent5" w:themeFillTint="66"/>
          </w:tcPr>
          <w:p w14:paraId="76CDCFAB" w14:textId="77777777" w:rsidR="005A48F1" w:rsidRPr="00BD4849" w:rsidRDefault="005A48F1" w:rsidP="009F1410">
            <w:pPr>
              <w:rPr>
                <w:rFonts w:ascii="Arial" w:eastAsia="Times New Roman" w:hAnsi="Arial" w:cs="Arial"/>
                <w:b w:val="0"/>
                <w:bCs w:val="0"/>
                <w:sz w:val="20"/>
                <w:szCs w:val="20"/>
                <w:lang w:eastAsia="sl-SI"/>
              </w:rPr>
            </w:pPr>
          </w:p>
        </w:tc>
        <w:tc>
          <w:tcPr>
            <w:tcW w:w="1006" w:type="dxa"/>
            <w:shd w:val="clear" w:color="auto" w:fill="B4C6E7" w:themeFill="accent5" w:themeFillTint="66"/>
          </w:tcPr>
          <w:p w14:paraId="50A4C157" w14:textId="77777777" w:rsidR="005A48F1" w:rsidRPr="00BD4849" w:rsidRDefault="005A48F1" w:rsidP="009F141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p>
        </w:tc>
        <w:tc>
          <w:tcPr>
            <w:tcW w:w="1241" w:type="dxa"/>
            <w:shd w:val="clear" w:color="auto" w:fill="B4C6E7" w:themeFill="accent5" w:themeFillTint="66"/>
          </w:tcPr>
          <w:p w14:paraId="5B9A07F0" w14:textId="77777777" w:rsidR="005A48F1" w:rsidRPr="00BD4849" w:rsidRDefault="005A48F1" w:rsidP="009F141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p>
        </w:tc>
        <w:tc>
          <w:tcPr>
            <w:tcW w:w="904" w:type="dxa"/>
            <w:shd w:val="clear" w:color="auto" w:fill="B4C6E7" w:themeFill="accent5" w:themeFillTint="66"/>
          </w:tcPr>
          <w:p w14:paraId="3F2F5A27" w14:textId="77777777" w:rsidR="005A48F1" w:rsidRPr="00BD4849" w:rsidRDefault="005A48F1" w:rsidP="009F141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sz w:val="20"/>
                <w:szCs w:val="20"/>
                <w:lang w:eastAsia="sl-SI"/>
              </w:rPr>
            </w:pPr>
            <w:r w:rsidRPr="00BD4849">
              <w:rPr>
                <w:rFonts w:ascii="Arial" w:eastAsia="Times New Roman" w:hAnsi="Arial" w:cs="Arial"/>
                <w:b/>
                <w:bCs/>
                <w:sz w:val="20"/>
                <w:szCs w:val="20"/>
                <w:lang w:eastAsia="sl-SI"/>
              </w:rPr>
              <w:t>2022</w:t>
            </w:r>
          </w:p>
        </w:tc>
        <w:tc>
          <w:tcPr>
            <w:tcW w:w="904" w:type="dxa"/>
            <w:shd w:val="clear" w:color="auto" w:fill="B4C6E7" w:themeFill="accent5" w:themeFillTint="66"/>
          </w:tcPr>
          <w:p w14:paraId="16A26D73" w14:textId="77777777" w:rsidR="005A48F1" w:rsidRPr="00BD4849" w:rsidRDefault="005A48F1" w:rsidP="009F141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sz w:val="20"/>
                <w:szCs w:val="20"/>
                <w:lang w:eastAsia="sl-SI"/>
              </w:rPr>
            </w:pPr>
            <w:r w:rsidRPr="00BD4849">
              <w:rPr>
                <w:rFonts w:ascii="Arial" w:eastAsia="Times New Roman" w:hAnsi="Arial" w:cs="Arial"/>
                <w:b/>
                <w:bCs/>
                <w:sz w:val="20"/>
                <w:szCs w:val="20"/>
                <w:lang w:eastAsia="sl-SI"/>
              </w:rPr>
              <w:t>2023</w:t>
            </w:r>
          </w:p>
        </w:tc>
        <w:tc>
          <w:tcPr>
            <w:tcW w:w="905" w:type="dxa"/>
            <w:shd w:val="clear" w:color="auto" w:fill="B4C6E7" w:themeFill="accent5" w:themeFillTint="66"/>
            <w:noWrap/>
          </w:tcPr>
          <w:p w14:paraId="704DA21A" w14:textId="77777777" w:rsidR="005A48F1" w:rsidRPr="00BD4849" w:rsidRDefault="005A48F1" w:rsidP="009F141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sz w:val="20"/>
                <w:szCs w:val="20"/>
                <w:lang w:eastAsia="sl-SI"/>
              </w:rPr>
            </w:pPr>
            <w:r w:rsidRPr="00BD4849">
              <w:rPr>
                <w:rFonts w:ascii="Arial" w:eastAsia="Times New Roman" w:hAnsi="Arial" w:cs="Arial"/>
                <w:b/>
                <w:bCs/>
                <w:sz w:val="20"/>
                <w:szCs w:val="20"/>
                <w:lang w:eastAsia="sl-SI"/>
              </w:rPr>
              <w:t>2024</w:t>
            </w:r>
          </w:p>
        </w:tc>
      </w:tr>
      <w:tr w:rsidR="005A48F1" w:rsidRPr="008F301B" w14:paraId="500A009D" w14:textId="77777777" w:rsidTr="009F1410">
        <w:trPr>
          <w:trHeight w:val="289"/>
        </w:trPr>
        <w:tc>
          <w:tcPr>
            <w:cnfStyle w:val="001000000000" w:firstRow="0" w:lastRow="0" w:firstColumn="1" w:lastColumn="0" w:oddVBand="0" w:evenVBand="0" w:oddHBand="0" w:evenHBand="0" w:firstRowFirstColumn="0" w:firstRowLastColumn="0" w:lastRowFirstColumn="0" w:lastRowLastColumn="0"/>
            <w:tcW w:w="4396" w:type="dxa"/>
          </w:tcPr>
          <w:p w14:paraId="4AB03943" w14:textId="77777777" w:rsidR="005A48F1" w:rsidRPr="00DA397A" w:rsidRDefault="005A48F1" w:rsidP="009924DC">
            <w:pPr>
              <w:rPr>
                <w:rFonts w:ascii="Arial" w:eastAsia="Times New Roman" w:hAnsi="Arial" w:cs="Arial"/>
                <w:b w:val="0"/>
                <w:bCs w:val="0"/>
                <w:sz w:val="20"/>
                <w:szCs w:val="20"/>
                <w:lang w:eastAsia="sl-SI"/>
              </w:rPr>
            </w:pPr>
            <w:r w:rsidRPr="00DA397A">
              <w:rPr>
                <w:rFonts w:ascii="Arial" w:eastAsia="Times New Roman" w:hAnsi="Arial" w:cs="Arial"/>
                <w:b w:val="0"/>
                <w:bCs w:val="0"/>
                <w:sz w:val="20"/>
                <w:szCs w:val="20"/>
                <w:lang w:eastAsia="sl-SI"/>
              </w:rPr>
              <w:t>Ukrepi na strani prihodkov države</w:t>
            </w:r>
            <w:r>
              <w:rPr>
                <w:rFonts w:ascii="Arial" w:eastAsia="Times New Roman" w:hAnsi="Arial" w:cs="Arial"/>
                <w:b w:val="0"/>
                <w:bCs w:val="0"/>
                <w:sz w:val="20"/>
                <w:szCs w:val="20"/>
                <w:lang w:eastAsia="sl-SI"/>
              </w:rPr>
              <w:t>:</w:t>
            </w:r>
          </w:p>
        </w:tc>
        <w:tc>
          <w:tcPr>
            <w:tcW w:w="1006" w:type="dxa"/>
          </w:tcPr>
          <w:p w14:paraId="6591A2C5" w14:textId="77777777" w:rsidR="005A48F1" w:rsidRPr="00BD4849" w:rsidRDefault="005A48F1" w:rsidP="009F141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p>
        </w:tc>
        <w:tc>
          <w:tcPr>
            <w:tcW w:w="1241" w:type="dxa"/>
            <w:noWrap/>
          </w:tcPr>
          <w:p w14:paraId="1F1E3AD5" w14:textId="77777777" w:rsidR="005A48F1" w:rsidRPr="00BD4849" w:rsidRDefault="005A48F1" w:rsidP="009F141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p>
        </w:tc>
        <w:tc>
          <w:tcPr>
            <w:tcW w:w="904" w:type="dxa"/>
          </w:tcPr>
          <w:p w14:paraId="65C3B9FE"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p>
        </w:tc>
        <w:tc>
          <w:tcPr>
            <w:tcW w:w="904" w:type="dxa"/>
          </w:tcPr>
          <w:p w14:paraId="20C34374"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p>
        </w:tc>
        <w:tc>
          <w:tcPr>
            <w:tcW w:w="905" w:type="dxa"/>
          </w:tcPr>
          <w:p w14:paraId="7DFF8E7B"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p>
        </w:tc>
      </w:tr>
      <w:tr w:rsidR="005A48F1" w:rsidRPr="00BD4849" w14:paraId="0E70A0B9" w14:textId="77777777" w:rsidTr="009F1410">
        <w:trPr>
          <w:cnfStyle w:val="000000100000" w:firstRow="0" w:lastRow="0" w:firstColumn="0" w:lastColumn="0" w:oddVBand="0" w:evenVBand="0" w:oddHBand="1" w:evenHBand="0" w:firstRowFirstColumn="0" w:firstRowLastColumn="0" w:lastRowFirstColumn="0" w:lastRowLastColumn="0"/>
          <w:trHeight w:val="1035"/>
        </w:trPr>
        <w:tc>
          <w:tcPr>
            <w:cnfStyle w:val="001000000000" w:firstRow="0" w:lastRow="0" w:firstColumn="1" w:lastColumn="0" w:oddVBand="0" w:evenVBand="0" w:oddHBand="0" w:evenHBand="0" w:firstRowFirstColumn="0" w:firstRowLastColumn="0" w:lastRowFirstColumn="0" w:lastRowLastColumn="0"/>
            <w:tcW w:w="4396" w:type="dxa"/>
            <w:hideMark/>
          </w:tcPr>
          <w:p w14:paraId="2AC671A9" w14:textId="77777777" w:rsidR="005A48F1" w:rsidRPr="00BD4849" w:rsidRDefault="005A48F1" w:rsidP="009924DC">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 xml:space="preserve">Skupen izpad prihodkov zaradi znižanj trošarin energijskim produktom (goriva, kurilno olje, zemeljski plin), znižanje DDV iz 22% na 9,5%, znižanje CO2 taks, OVE +SPTE prispevkov. </w:t>
            </w:r>
          </w:p>
        </w:tc>
        <w:tc>
          <w:tcPr>
            <w:tcW w:w="1006" w:type="dxa"/>
            <w:hideMark/>
          </w:tcPr>
          <w:p w14:paraId="1A032615" w14:textId="77777777" w:rsidR="005A48F1" w:rsidRPr="00BD4849" w:rsidRDefault="005A48F1" w:rsidP="009F141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D.21</w:t>
            </w:r>
          </w:p>
        </w:tc>
        <w:tc>
          <w:tcPr>
            <w:tcW w:w="1241" w:type="dxa"/>
            <w:noWrap/>
            <w:hideMark/>
          </w:tcPr>
          <w:p w14:paraId="05D8A443" w14:textId="77777777" w:rsidR="005A48F1" w:rsidRPr="00BD4849" w:rsidRDefault="005A48F1" w:rsidP="009F141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Sprejet</w:t>
            </w:r>
          </w:p>
        </w:tc>
        <w:tc>
          <w:tcPr>
            <w:tcW w:w="904" w:type="dxa"/>
            <w:hideMark/>
          </w:tcPr>
          <w:p w14:paraId="63224D65" w14:textId="77777777" w:rsidR="005A48F1" w:rsidRPr="00BD4849" w:rsidRDefault="005A48F1" w:rsidP="009F141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-0,37</w:t>
            </w:r>
          </w:p>
        </w:tc>
        <w:tc>
          <w:tcPr>
            <w:tcW w:w="904" w:type="dxa"/>
            <w:hideMark/>
          </w:tcPr>
          <w:p w14:paraId="35FFF83B" w14:textId="2F36DE57" w:rsidR="005A48F1" w:rsidRPr="00BD4849" w:rsidRDefault="005A48F1" w:rsidP="009F141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w:t>
            </w:r>
            <w:r w:rsidR="006D5278">
              <w:rPr>
                <w:rFonts w:ascii="Arial" w:eastAsia="Times New Roman" w:hAnsi="Arial" w:cs="Arial"/>
                <w:sz w:val="20"/>
                <w:szCs w:val="20"/>
                <w:lang w:eastAsia="sl-SI"/>
              </w:rPr>
              <w:t>11</w:t>
            </w:r>
          </w:p>
        </w:tc>
        <w:tc>
          <w:tcPr>
            <w:tcW w:w="905" w:type="dxa"/>
            <w:hideMark/>
          </w:tcPr>
          <w:p w14:paraId="37E2AF6C" w14:textId="7E0150D0" w:rsidR="005A48F1" w:rsidRPr="00BD4849" w:rsidRDefault="005A48F1" w:rsidP="009F141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0,2</w:t>
            </w:r>
            <w:r w:rsidR="006D5278">
              <w:rPr>
                <w:rFonts w:ascii="Arial" w:eastAsia="Times New Roman" w:hAnsi="Arial" w:cs="Arial"/>
                <w:sz w:val="20"/>
                <w:szCs w:val="20"/>
                <w:lang w:eastAsia="sl-SI"/>
              </w:rPr>
              <w:t>6</w:t>
            </w:r>
          </w:p>
        </w:tc>
      </w:tr>
      <w:tr w:rsidR="005A48F1" w:rsidRPr="00BD4849" w14:paraId="79E92316" w14:textId="77777777" w:rsidTr="009F1410">
        <w:trPr>
          <w:trHeight w:val="315"/>
        </w:trPr>
        <w:tc>
          <w:tcPr>
            <w:cnfStyle w:val="001000000000" w:firstRow="0" w:lastRow="0" w:firstColumn="1" w:lastColumn="0" w:oddVBand="0" w:evenVBand="0" w:oddHBand="0" w:evenHBand="0" w:firstRowFirstColumn="0" w:firstRowLastColumn="0" w:lastRowFirstColumn="0" w:lastRowLastColumn="0"/>
            <w:tcW w:w="4396" w:type="dxa"/>
            <w:hideMark/>
          </w:tcPr>
          <w:p w14:paraId="11D28E8F" w14:textId="77777777" w:rsidR="005A48F1" w:rsidRPr="00DA397A" w:rsidRDefault="005A48F1" w:rsidP="009924DC">
            <w:pPr>
              <w:rPr>
                <w:rFonts w:ascii="Arial" w:eastAsia="Times New Roman" w:hAnsi="Arial" w:cs="Arial"/>
                <w:sz w:val="20"/>
                <w:szCs w:val="20"/>
                <w:lang w:eastAsia="sl-SI"/>
              </w:rPr>
            </w:pPr>
            <w:r w:rsidRPr="00DA397A">
              <w:rPr>
                <w:rFonts w:ascii="Arial" w:eastAsia="Times New Roman" w:hAnsi="Arial" w:cs="Arial"/>
                <w:sz w:val="20"/>
                <w:szCs w:val="20"/>
                <w:lang w:eastAsia="sl-SI"/>
              </w:rPr>
              <w:t>Prihodkovni vpliv skupaj</w:t>
            </w:r>
            <w:r>
              <w:rPr>
                <w:rFonts w:ascii="Arial" w:eastAsia="Times New Roman" w:hAnsi="Arial" w:cs="Arial"/>
                <w:sz w:val="20"/>
                <w:szCs w:val="20"/>
                <w:lang w:eastAsia="sl-SI"/>
              </w:rPr>
              <w:t>:</w:t>
            </w:r>
          </w:p>
        </w:tc>
        <w:tc>
          <w:tcPr>
            <w:tcW w:w="1006" w:type="dxa"/>
            <w:hideMark/>
          </w:tcPr>
          <w:p w14:paraId="55B3C403" w14:textId="77777777" w:rsidR="005A48F1" w:rsidRPr="00BD4849" w:rsidRDefault="005A48F1" w:rsidP="009F141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p>
        </w:tc>
        <w:tc>
          <w:tcPr>
            <w:tcW w:w="1241" w:type="dxa"/>
            <w:noWrap/>
            <w:hideMark/>
          </w:tcPr>
          <w:p w14:paraId="6C738C8A" w14:textId="77777777" w:rsidR="005A48F1" w:rsidRPr="00BD4849" w:rsidRDefault="005A48F1" w:rsidP="009F141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p>
        </w:tc>
        <w:tc>
          <w:tcPr>
            <w:tcW w:w="904" w:type="dxa"/>
            <w:hideMark/>
          </w:tcPr>
          <w:p w14:paraId="27E38817" w14:textId="77777777" w:rsidR="005A48F1" w:rsidRPr="00BD4849" w:rsidRDefault="005A48F1" w:rsidP="009F141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-0,37</w:t>
            </w:r>
          </w:p>
        </w:tc>
        <w:tc>
          <w:tcPr>
            <w:tcW w:w="904" w:type="dxa"/>
            <w:hideMark/>
          </w:tcPr>
          <w:p w14:paraId="5EE89ADE" w14:textId="24671C02" w:rsidR="005A48F1" w:rsidRPr="00BD4849" w:rsidRDefault="005A48F1" w:rsidP="009F141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w:t>
            </w:r>
            <w:r w:rsidR="006D5278">
              <w:rPr>
                <w:rFonts w:ascii="Arial" w:eastAsia="Times New Roman" w:hAnsi="Arial" w:cs="Arial"/>
                <w:sz w:val="20"/>
                <w:szCs w:val="20"/>
                <w:lang w:eastAsia="sl-SI"/>
              </w:rPr>
              <w:t>11</w:t>
            </w:r>
          </w:p>
        </w:tc>
        <w:tc>
          <w:tcPr>
            <w:tcW w:w="905" w:type="dxa"/>
            <w:hideMark/>
          </w:tcPr>
          <w:p w14:paraId="1C8A1F8D" w14:textId="774EA2F6" w:rsidR="005A48F1" w:rsidRPr="00BD4849" w:rsidRDefault="005A48F1" w:rsidP="009F141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0,2</w:t>
            </w:r>
            <w:r w:rsidR="006D5278">
              <w:rPr>
                <w:rFonts w:ascii="Arial" w:eastAsia="Times New Roman" w:hAnsi="Arial" w:cs="Arial"/>
                <w:sz w:val="20"/>
                <w:szCs w:val="20"/>
                <w:lang w:eastAsia="sl-SI"/>
              </w:rPr>
              <w:t>6</w:t>
            </w:r>
          </w:p>
        </w:tc>
      </w:tr>
      <w:tr w:rsidR="005A48F1" w:rsidRPr="00BD4849" w14:paraId="759B6594" w14:textId="77777777" w:rsidTr="009924D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396" w:type="dxa"/>
          </w:tcPr>
          <w:p w14:paraId="7FF3EC0A" w14:textId="77777777" w:rsidR="005A48F1" w:rsidRPr="00BD4849" w:rsidRDefault="005A48F1" w:rsidP="009924DC">
            <w:pPr>
              <w:rPr>
                <w:rFonts w:ascii="Arial" w:eastAsia="Times New Roman" w:hAnsi="Arial" w:cs="Arial"/>
                <w:b w:val="0"/>
                <w:bCs w:val="0"/>
                <w:sz w:val="20"/>
                <w:szCs w:val="20"/>
                <w:lang w:eastAsia="sl-SI"/>
              </w:rPr>
            </w:pPr>
          </w:p>
        </w:tc>
        <w:tc>
          <w:tcPr>
            <w:tcW w:w="1006" w:type="dxa"/>
          </w:tcPr>
          <w:p w14:paraId="4BB32EF2" w14:textId="77777777" w:rsidR="005A48F1" w:rsidRPr="00BD4849" w:rsidRDefault="005A48F1" w:rsidP="009F141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p>
        </w:tc>
        <w:tc>
          <w:tcPr>
            <w:tcW w:w="1241" w:type="dxa"/>
            <w:noWrap/>
          </w:tcPr>
          <w:p w14:paraId="341CE8BC" w14:textId="77777777" w:rsidR="005A48F1" w:rsidRPr="00BD4849" w:rsidRDefault="005A48F1" w:rsidP="009F141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p>
        </w:tc>
        <w:tc>
          <w:tcPr>
            <w:tcW w:w="904" w:type="dxa"/>
          </w:tcPr>
          <w:p w14:paraId="54194093" w14:textId="77777777" w:rsidR="005A48F1" w:rsidRPr="00BD4849" w:rsidRDefault="005A48F1" w:rsidP="009F141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p>
        </w:tc>
        <w:tc>
          <w:tcPr>
            <w:tcW w:w="904" w:type="dxa"/>
          </w:tcPr>
          <w:p w14:paraId="67CF1DCB" w14:textId="77777777" w:rsidR="005A48F1" w:rsidRPr="00BD4849" w:rsidRDefault="005A48F1" w:rsidP="009F141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p>
        </w:tc>
        <w:tc>
          <w:tcPr>
            <w:tcW w:w="905" w:type="dxa"/>
          </w:tcPr>
          <w:p w14:paraId="0FB6DF26" w14:textId="77777777" w:rsidR="005A48F1" w:rsidRPr="00BD4849" w:rsidRDefault="005A48F1" w:rsidP="009F141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p>
        </w:tc>
      </w:tr>
      <w:tr w:rsidR="005A48F1" w:rsidRPr="008F301B" w14:paraId="237627E5" w14:textId="77777777" w:rsidTr="009F1410">
        <w:trPr>
          <w:trHeight w:val="260"/>
        </w:trPr>
        <w:tc>
          <w:tcPr>
            <w:cnfStyle w:val="001000000000" w:firstRow="0" w:lastRow="0" w:firstColumn="1" w:lastColumn="0" w:oddVBand="0" w:evenVBand="0" w:oddHBand="0" w:evenHBand="0" w:firstRowFirstColumn="0" w:firstRowLastColumn="0" w:lastRowFirstColumn="0" w:lastRowLastColumn="0"/>
            <w:tcW w:w="4396" w:type="dxa"/>
          </w:tcPr>
          <w:p w14:paraId="6594E87B" w14:textId="77777777" w:rsidR="005A48F1" w:rsidRPr="00DA397A" w:rsidRDefault="005A48F1" w:rsidP="009924DC">
            <w:pPr>
              <w:rPr>
                <w:rFonts w:ascii="Arial" w:eastAsia="Times New Roman" w:hAnsi="Arial" w:cs="Arial"/>
                <w:b w:val="0"/>
                <w:bCs w:val="0"/>
                <w:sz w:val="20"/>
                <w:szCs w:val="20"/>
                <w:lang w:eastAsia="sl-SI"/>
              </w:rPr>
            </w:pPr>
            <w:r w:rsidRPr="00DA397A">
              <w:rPr>
                <w:rFonts w:ascii="Arial" w:eastAsia="Times New Roman" w:hAnsi="Arial" w:cs="Arial"/>
                <w:b w:val="0"/>
                <w:bCs w:val="0"/>
                <w:sz w:val="20"/>
                <w:szCs w:val="20"/>
                <w:lang w:eastAsia="sl-SI"/>
              </w:rPr>
              <w:t>Ukrepi na strani izdatkov države</w:t>
            </w:r>
            <w:r>
              <w:rPr>
                <w:rFonts w:ascii="Arial" w:eastAsia="Times New Roman" w:hAnsi="Arial" w:cs="Arial"/>
                <w:b w:val="0"/>
                <w:bCs w:val="0"/>
                <w:sz w:val="20"/>
                <w:szCs w:val="20"/>
                <w:lang w:eastAsia="sl-SI"/>
              </w:rPr>
              <w:t>:</w:t>
            </w:r>
          </w:p>
        </w:tc>
        <w:tc>
          <w:tcPr>
            <w:tcW w:w="1006" w:type="dxa"/>
          </w:tcPr>
          <w:p w14:paraId="1CA7B17E" w14:textId="77777777" w:rsidR="005A48F1" w:rsidRPr="00BD4849" w:rsidRDefault="005A48F1" w:rsidP="009F141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p>
        </w:tc>
        <w:tc>
          <w:tcPr>
            <w:tcW w:w="1241" w:type="dxa"/>
            <w:noWrap/>
          </w:tcPr>
          <w:p w14:paraId="6850FD72" w14:textId="77777777" w:rsidR="005A48F1" w:rsidRPr="00BD4849" w:rsidRDefault="005A48F1" w:rsidP="009F141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p>
        </w:tc>
        <w:tc>
          <w:tcPr>
            <w:tcW w:w="904" w:type="dxa"/>
          </w:tcPr>
          <w:p w14:paraId="0617F3FB" w14:textId="77777777" w:rsidR="005A48F1" w:rsidRPr="00BD4849" w:rsidRDefault="005A48F1" w:rsidP="009F141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p>
        </w:tc>
        <w:tc>
          <w:tcPr>
            <w:tcW w:w="904" w:type="dxa"/>
          </w:tcPr>
          <w:p w14:paraId="5FF7976F" w14:textId="77777777" w:rsidR="005A48F1" w:rsidRPr="00BD4849" w:rsidRDefault="005A48F1" w:rsidP="009F141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p>
        </w:tc>
        <w:tc>
          <w:tcPr>
            <w:tcW w:w="905" w:type="dxa"/>
          </w:tcPr>
          <w:p w14:paraId="38796075" w14:textId="77777777" w:rsidR="005A48F1" w:rsidRPr="00BD4849" w:rsidRDefault="005A48F1" w:rsidP="009F141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p>
        </w:tc>
      </w:tr>
      <w:tr w:rsidR="005A48F1" w:rsidRPr="00BD4849" w14:paraId="047F54C6" w14:textId="77777777" w:rsidTr="009F1410">
        <w:trPr>
          <w:cnfStyle w:val="000000100000" w:firstRow="0" w:lastRow="0" w:firstColumn="0" w:lastColumn="0" w:oddVBand="0" w:evenVBand="0" w:oddHBand="1" w:evenHBand="0" w:firstRowFirstColumn="0" w:firstRowLastColumn="0" w:lastRowFirstColumn="0" w:lastRowLastColumn="0"/>
          <w:trHeight w:val="1035"/>
        </w:trPr>
        <w:tc>
          <w:tcPr>
            <w:cnfStyle w:val="001000000000" w:firstRow="0" w:lastRow="0" w:firstColumn="1" w:lastColumn="0" w:oddVBand="0" w:evenVBand="0" w:oddHBand="0" w:evenHBand="0" w:firstRowFirstColumn="0" w:firstRowLastColumn="0" w:lastRowFirstColumn="0" w:lastRowLastColumn="0"/>
            <w:tcW w:w="4396" w:type="dxa"/>
            <w:hideMark/>
          </w:tcPr>
          <w:p w14:paraId="06E5494C" w14:textId="77777777" w:rsidR="005A48F1" w:rsidRPr="00BD4849" w:rsidRDefault="005A48F1" w:rsidP="009924DC">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 xml:space="preserve">Subvencije podjetjem za blaženje posledic povečanih cen energije;  podpora kmetijstvu in ribištvo, ohranitev delovnih mest; kompenzacija dobaviteljem električne energije in zemeljskega plina. </w:t>
            </w:r>
          </w:p>
        </w:tc>
        <w:tc>
          <w:tcPr>
            <w:tcW w:w="1006" w:type="dxa"/>
            <w:hideMark/>
          </w:tcPr>
          <w:p w14:paraId="25399891" w14:textId="77777777" w:rsidR="005A48F1" w:rsidRPr="00BD4849" w:rsidRDefault="005A48F1" w:rsidP="009F141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D3</w:t>
            </w:r>
          </w:p>
        </w:tc>
        <w:tc>
          <w:tcPr>
            <w:tcW w:w="1241" w:type="dxa"/>
            <w:noWrap/>
            <w:hideMark/>
          </w:tcPr>
          <w:p w14:paraId="2D9EAFBE" w14:textId="77777777" w:rsidR="005A48F1" w:rsidRPr="00BD4849" w:rsidRDefault="005A48F1" w:rsidP="009F141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Sprejet</w:t>
            </w:r>
          </w:p>
        </w:tc>
        <w:tc>
          <w:tcPr>
            <w:tcW w:w="904" w:type="dxa"/>
            <w:hideMark/>
          </w:tcPr>
          <w:p w14:paraId="3BC8E749" w14:textId="77777777" w:rsidR="005A48F1" w:rsidRPr="00BD4849" w:rsidRDefault="005A48F1" w:rsidP="009F141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0,35</w:t>
            </w:r>
          </w:p>
        </w:tc>
        <w:tc>
          <w:tcPr>
            <w:tcW w:w="904" w:type="dxa"/>
            <w:hideMark/>
          </w:tcPr>
          <w:p w14:paraId="255DBE80" w14:textId="7BAD0A79" w:rsidR="005A48F1" w:rsidRPr="00BD4849" w:rsidRDefault="005A48F1" w:rsidP="009F141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0,4</w:t>
            </w:r>
            <w:r w:rsidR="006D5278">
              <w:rPr>
                <w:rFonts w:ascii="Arial" w:eastAsia="Times New Roman" w:hAnsi="Arial" w:cs="Arial"/>
                <w:sz w:val="20"/>
                <w:szCs w:val="20"/>
                <w:lang w:eastAsia="sl-SI"/>
              </w:rPr>
              <w:t>0</w:t>
            </w:r>
          </w:p>
        </w:tc>
        <w:tc>
          <w:tcPr>
            <w:tcW w:w="905" w:type="dxa"/>
            <w:hideMark/>
          </w:tcPr>
          <w:p w14:paraId="18620C52" w14:textId="676AB6AB" w:rsidR="005A48F1" w:rsidRPr="00BD4849" w:rsidRDefault="005A48F1" w:rsidP="009F141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-0,7</w:t>
            </w:r>
            <w:r w:rsidR="006D5278">
              <w:rPr>
                <w:rFonts w:ascii="Arial" w:eastAsia="Times New Roman" w:hAnsi="Arial" w:cs="Arial"/>
                <w:sz w:val="20"/>
                <w:szCs w:val="20"/>
                <w:lang w:eastAsia="sl-SI"/>
              </w:rPr>
              <w:t>5</w:t>
            </w:r>
          </w:p>
        </w:tc>
      </w:tr>
      <w:tr w:rsidR="005A48F1" w:rsidRPr="00BD4849" w14:paraId="7341F498" w14:textId="77777777" w:rsidTr="009F1410">
        <w:trPr>
          <w:trHeight w:val="525"/>
        </w:trPr>
        <w:tc>
          <w:tcPr>
            <w:cnfStyle w:val="001000000000" w:firstRow="0" w:lastRow="0" w:firstColumn="1" w:lastColumn="0" w:oddVBand="0" w:evenVBand="0" w:oddHBand="0" w:evenHBand="0" w:firstRowFirstColumn="0" w:firstRowLastColumn="0" w:lastRowFirstColumn="0" w:lastRowLastColumn="0"/>
            <w:tcW w:w="4396" w:type="dxa"/>
            <w:hideMark/>
          </w:tcPr>
          <w:p w14:paraId="23E3DF23" w14:textId="77777777" w:rsidR="005A48F1" w:rsidRPr="00BD4849" w:rsidRDefault="005A48F1" w:rsidP="009924DC">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Operater prenosnega omrežja elektroenergetskega sistema ELES - rekapitalizacija</w:t>
            </w:r>
          </w:p>
        </w:tc>
        <w:tc>
          <w:tcPr>
            <w:tcW w:w="1006" w:type="dxa"/>
            <w:hideMark/>
          </w:tcPr>
          <w:p w14:paraId="77F405D2" w14:textId="77777777" w:rsidR="005A48F1" w:rsidRPr="00BD4849" w:rsidRDefault="005A48F1" w:rsidP="009F141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D3</w:t>
            </w:r>
          </w:p>
        </w:tc>
        <w:tc>
          <w:tcPr>
            <w:tcW w:w="1241" w:type="dxa"/>
            <w:noWrap/>
            <w:hideMark/>
          </w:tcPr>
          <w:p w14:paraId="67904DC3" w14:textId="77777777" w:rsidR="005A48F1" w:rsidRPr="00BD4849" w:rsidRDefault="005A48F1" w:rsidP="009F141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Sprejet</w:t>
            </w:r>
          </w:p>
        </w:tc>
        <w:tc>
          <w:tcPr>
            <w:tcW w:w="904" w:type="dxa"/>
            <w:hideMark/>
          </w:tcPr>
          <w:p w14:paraId="26041113" w14:textId="77777777" w:rsidR="005A48F1" w:rsidRPr="00BD4849" w:rsidRDefault="005A48F1" w:rsidP="009F141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p>
        </w:tc>
        <w:tc>
          <w:tcPr>
            <w:tcW w:w="904" w:type="dxa"/>
            <w:hideMark/>
          </w:tcPr>
          <w:p w14:paraId="050FDA93" w14:textId="77777777" w:rsidR="005A48F1" w:rsidRPr="00BD4849" w:rsidRDefault="005A48F1" w:rsidP="009F141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0,27</w:t>
            </w:r>
          </w:p>
        </w:tc>
        <w:tc>
          <w:tcPr>
            <w:tcW w:w="905" w:type="dxa"/>
            <w:hideMark/>
          </w:tcPr>
          <w:p w14:paraId="4C40F69E" w14:textId="77507B9C" w:rsidR="005A48F1" w:rsidRPr="00BD4849" w:rsidRDefault="005A48F1" w:rsidP="009F141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-0,2</w:t>
            </w:r>
            <w:r w:rsidR="006D5278">
              <w:rPr>
                <w:rFonts w:ascii="Arial" w:eastAsia="Times New Roman" w:hAnsi="Arial" w:cs="Arial"/>
                <w:sz w:val="20"/>
                <w:szCs w:val="20"/>
                <w:lang w:eastAsia="sl-SI"/>
              </w:rPr>
              <w:t>7</w:t>
            </w:r>
          </w:p>
        </w:tc>
      </w:tr>
      <w:tr w:rsidR="005A48F1" w:rsidRPr="00BD4849" w14:paraId="23187644" w14:textId="77777777" w:rsidTr="009F1410">
        <w:trPr>
          <w:cnfStyle w:val="000000100000" w:firstRow="0" w:lastRow="0" w:firstColumn="0" w:lastColumn="0" w:oddVBand="0" w:evenVBand="0" w:oddHBand="1" w:evenHBand="0" w:firstRowFirstColumn="0" w:firstRowLastColumn="0" w:lastRowFirstColumn="0" w:lastRowLastColumn="0"/>
          <w:trHeight w:val="780"/>
        </w:trPr>
        <w:tc>
          <w:tcPr>
            <w:cnfStyle w:val="001000000000" w:firstRow="0" w:lastRow="0" w:firstColumn="1" w:lastColumn="0" w:oddVBand="0" w:evenVBand="0" w:oddHBand="0" w:evenHBand="0" w:firstRowFirstColumn="0" w:firstRowLastColumn="0" w:lastRowFirstColumn="0" w:lastRowLastColumn="0"/>
            <w:tcW w:w="4396" w:type="dxa"/>
            <w:hideMark/>
          </w:tcPr>
          <w:p w14:paraId="44516C52" w14:textId="77777777" w:rsidR="005A48F1" w:rsidRPr="00BD4849" w:rsidRDefault="005A48F1" w:rsidP="009924DC">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Socialni transferji gospodinjstvom v 2023; draginjski dodatki za otroke, dodatki najbolj ranljivim, omejitve dviga oskrbnin, nastanitve v ŠD, šolske malice</w:t>
            </w:r>
          </w:p>
        </w:tc>
        <w:tc>
          <w:tcPr>
            <w:tcW w:w="1006" w:type="dxa"/>
            <w:hideMark/>
          </w:tcPr>
          <w:p w14:paraId="02B55E6F" w14:textId="77777777" w:rsidR="005A48F1" w:rsidRPr="00BD4849" w:rsidRDefault="005A48F1" w:rsidP="009F141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D62/D63</w:t>
            </w:r>
          </w:p>
        </w:tc>
        <w:tc>
          <w:tcPr>
            <w:tcW w:w="1241" w:type="dxa"/>
            <w:noWrap/>
            <w:hideMark/>
          </w:tcPr>
          <w:p w14:paraId="02F4773C" w14:textId="77777777" w:rsidR="005A48F1" w:rsidRPr="00BD4849" w:rsidRDefault="005A48F1" w:rsidP="009F141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Sprejet</w:t>
            </w:r>
          </w:p>
        </w:tc>
        <w:tc>
          <w:tcPr>
            <w:tcW w:w="904" w:type="dxa"/>
            <w:hideMark/>
          </w:tcPr>
          <w:p w14:paraId="778EE108" w14:textId="77777777" w:rsidR="005A48F1" w:rsidRPr="00BD4849" w:rsidRDefault="005A48F1" w:rsidP="009F141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0,35</w:t>
            </w:r>
          </w:p>
        </w:tc>
        <w:tc>
          <w:tcPr>
            <w:tcW w:w="904" w:type="dxa"/>
            <w:hideMark/>
          </w:tcPr>
          <w:p w14:paraId="3F5BF580" w14:textId="3854DC33" w:rsidR="005A48F1" w:rsidRPr="00BD4849" w:rsidRDefault="005A48F1" w:rsidP="009F141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-0,2</w:t>
            </w:r>
            <w:r w:rsidR="006D5278">
              <w:rPr>
                <w:rFonts w:ascii="Arial" w:eastAsia="Times New Roman" w:hAnsi="Arial" w:cs="Arial"/>
                <w:sz w:val="20"/>
                <w:szCs w:val="20"/>
                <w:lang w:eastAsia="sl-SI"/>
              </w:rPr>
              <w:t>8</w:t>
            </w:r>
          </w:p>
        </w:tc>
        <w:tc>
          <w:tcPr>
            <w:tcW w:w="905" w:type="dxa"/>
            <w:hideMark/>
          </w:tcPr>
          <w:p w14:paraId="45E5FC9A" w14:textId="7F731F28" w:rsidR="005A48F1" w:rsidRPr="00BD4849" w:rsidRDefault="005A48F1" w:rsidP="009F141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-0,0</w:t>
            </w:r>
            <w:r w:rsidR="006D5278">
              <w:rPr>
                <w:rFonts w:ascii="Arial" w:eastAsia="Times New Roman" w:hAnsi="Arial" w:cs="Arial"/>
                <w:sz w:val="20"/>
                <w:szCs w:val="20"/>
                <w:lang w:eastAsia="sl-SI"/>
              </w:rPr>
              <w:t>7</w:t>
            </w:r>
          </w:p>
        </w:tc>
      </w:tr>
      <w:tr w:rsidR="005A48F1" w:rsidRPr="00BD4849" w14:paraId="0B7D6A85" w14:textId="77777777" w:rsidTr="009F1410">
        <w:trPr>
          <w:trHeight w:val="315"/>
        </w:trPr>
        <w:tc>
          <w:tcPr>
            <w:cnfStyle w:val="001000000000" w:firstRow="0" w:lastRow="0" w:firstColumn="1" w:lastColumn="0" w:oddVBand="0" w:evenVBand="0" w:oddHBand="0" w:evenHBand="0" w:firstRowFirstColumn="0" w:firstRowLastColumn="0" w:lastRowFirstColumn="0" w:lastRowLastColumn="0"/>
            <w:tcW w:w="4396" w:type="dxa"/>
            <w:hideMark/>
          </w:tcPr>
          <w:p w14:paraId="7C7DCBC4" w14:textId="77777777" w:rsidR="005A48F1" w:rsidRPr="00DA397A" w:rsidRDefault="005A48F1" w:rsidP="009924DC">
            <w:pPr>
              <w:rPr>
                <w:rFonts w:ascii="Arial" w:eastAsia="Times New Roman" w:hAnsi="Arial" w:cs="Arial"/>
                <w:sz w:val="20"/>
                <w:szCs w:val="20"/>
                <w:lang w:eastAsia="sl-SI"/>
              </w:rPr>
            </w:pPr>
            <w:r w:rsidRPr="00DA397A">
              <w:rPr>
                <w:rFonts w:ascii="Arial" w:eastAsia="Times New Roman" w:hAnsi="Arial" w:cs="Arial"/>
                <w:sz w:val="20"/>
                <w:szCs w:val="20"/>
                <w:lang w:eastAsia="sl-SI"/>
              </w:rPr>
              <w:t>Izdatkovni vpliv skupaj</w:t>
            </w:r>
            <w:r>
              <w:rPr>
                <w:rFonts w:ascii="Arial" w:eastAsia="Times New Roman" w:hAnsi="Arial" w:cs="Arial"/>
                <w:sz w:val="20"/>
                <w:szCs w:val="20"/>
                <w:lang w:eastAsia="sl-SI"/>
              </w:rPr>
              <w:t>:</w:t>
            </w:r>
          </w:p>
        </w:tc>
        <w:tc>
          <w:tcPr>
            <w:tcW w:w="1006" w:type="dxa"/>
            <w:hideMark/>
          </w:tcPr>
          <w:p w14:paraId="00FF1FD5"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1241" w:type="dxa"/>
            <w:noWrap/>
            <w:hideMark/>
          </w:tcPr>
          <w:p w14:paraId="5674EB25" w14:textId="77777777" w:rsidR="005A48F1" w:rsidRPr="00BD4849" w:rsidRDefault="005A48F1" w:rsidP="009F141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p>
        </w:tc>
        <w:tc>
          <w:tcPr>
            <w:tcW w:w="904" w:type="dxa"/>
            <w:hideMark/>
          </w:tcPr>
          <w:p w14:paraId="5E6DD032" w14:textId="77777777" w:rsidR="005A48F1" w:rsidRPr="00BD4849" w:rsidRDefault="005A48F1" w:rsidP="009F141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0,70</w:t>
            </w:r>
          </w:p>
        </w:tc>
        <w:tc>
          <w:tcPr>
            <w:tcW w:w="904" w:type="dxa"/>
            <w:hideMark/>
          </w:tcPr>
          <w:p w14:paraId="35D8E6BB" w14:textId="53293669" w:rsidR="005A48F1" w:rsidRPr="00BD4849" w:rsidRDefault="005A48F1" w:rsidP="009F141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w:t>
            </w:r>
            <w:r w:rsidR="006D5278">
              <w:rPr>
                <w:rFonts w:ascii="Arial" w:eastAsia="Times New Roman" w:hAnsi="Arial" w:cs="Arial"/>
                <w:sz w:val="20"/>
                <w:szCs w:val="20"/>
                <w:lang w:eastAsia="sl-SI"/>
              </w:rPr>
              <w:t>39</w:t>
            </w:r>
          </w:p>
        </w:tc>
        <w:tc>
          <w:tcPr>
            <w:tcW w:w="905" w:type="dxa"/>
            <w:hideMark/>
          </w:tcPr>
          <w:p w14:paraId="5D18623B" w14:textId="36143D49" w:rsidR="005A48F1" w:rsidRPr="00BD4849" w:rsidRDefault="005A48F1" w:rsidP="009F141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-1,0</w:t>
            </w:r>
            <w:r w:rsidR="006D5278">
              <w:rPr>
                <w:rFonts w:ascii="Arial" w:eastAsia="Times New Roman" w:hAnsi="Arial" w:cs="Arial"/>
                <w:sz w:val="20"/>
                <w:szCs w:val="20"/>
                <w:lang w:eastAsia="sl-SI"/>
              </w:rPr>
              <w:t>9</w:t>
            </w:r>
          </w:p>
        </w:tc>
      </w:tr>
    </w:tbl>
    <w:p w14:paraId="656C382C" w14:textId="4C3D7ECF" w:rsidR="005A48F1" w:rsidRDefault="005A48F1" w:rsidP="009924DC">
      <w:pPr>
        <w:pStyle w:val="Caption"/>
        <w:spacing w:before="0" w:after="0"/>
        <w:ind w:left="0" w:firstLine="0"/>
        <w:rPr>
          <w:rFonts w:ascii="Arial" w:hAnsi="Arial" w:cs="Arial"/>
          <w:b w:val="0"/>
          <w:bCs/>
          <w:i w:val="0"/>
          <w:iCs/>
        </w:rPr>
      </w:pPr>
      <w:r w:rsidRPr="009924DC">
        <w:rPr>
          <w:rFonts w:ascii="Arial" w:hAnsi="Arial" w:cs="Arial"/>
          <w:b w:val="0"/>
          <w:bCs/>
          <w:i w:val="0"/>
          <w:iCs/>
        </w:rPr>
        <w:t>Vir: Ministrstvo za finance.</w:t>
      </w:r>
    </w:p>
    <w:p w14:paraId="6E36B957" w14:textId="77777777" w:rsidR="009924DC" w:rsidRPr="009924DC" w:rsidRDefault="009924DC" w:rsidP="009924DC">
      <w:pPr>
        <w:spacing w:after="0"/>
        <w:rPr>
          <w:rFonts w:ascii="Arial" w:hAnsi="Arial" w:cs="Arial"/>
          <w:lang w:eastAsia="sl-SI"/>
        </w:rPr>
      </w:pPr>
    </w:p>
    <w:p w14:paraId="03B3D13F" w14:textId="0190DE3B" w:rsidR="005A48F1" w:rsidRPr="00B33972" w:rsidRDefault="005A48F1" w:rsidP="005A48F1">
      <w:pPr>
        <w:spacing w:after="0" w:line="240" w:lineRule="auto"/>
        <w:rPr>
          <w:rFonts w:ascii="Arial" w:eastAsia="Times New Roman" w:hAnsi="Arial" w:cs="Arial"/>
          <w:lang w:eastAsia="sl-SI"/>
        </w:rPr>
      </w:pPr>
      <w:r w:rsidRPr="00B33972">
        <w:rPr>
          <w:rFonts w:ascii="Arial" w:eastAsia="Times New Roman" w:hAnsi="Arial" w:cs="Arial"/>
          <w:lang w:eastAsia="sl-SI"/>
        </w:rPr>
        <w:t>Tabela 5c: Diskrecijski ukrepi po metodologiji ESA 2010 – trenutno načrtovana sredstva za odpravo posledic naravnih nesreč</w:t>
      </w:r>
    </w:p>
    <w:tbl>
      <w:tblPr>
        <w:tblStyle w:val="ListTable3-Accent1"/>
        <w:tblW w:w="9356" w:type="dxa"/>
        <w:tblLayout w:type="fixed"/>
        <w:tblLook w:val="04A0" w:firstRow="1" w:lastRow="0" w:firstColumn="1" w:lastColumn="0" w:noHBand="0" w:noVBand="1"/>
      </w:tblPr>
      <w:tblGrid>
        <w:gridCol w:w="4536"/>
        <w:gridCol w:w="835"/>
        <w:gridCol w:w="1199"/>
        <w:gridCol w:w="928"/>
        <w:gridCol w:w="929"/>
        <w:gridCol w:w="929"/>
      </w:tblGrid>
      <w:tr w:rsidR="005A48F1" w:rsidRPr="00BD4849" w14:paraId="5E8A97F9" w14:textId="77777777" w:rsidTr="009F1410">
        <w:trPr>
          <w:cnfStyle w:val="100000000000" w:firstRow="1" w:lastRow="0" w:firstColumn="0" w:lastColumn="0" w:oddVBand="0" w:evenVBand="0" w:oddHBand="0" w:evenHBand="0" w:firstRowFirstColumn="0" w:firstRowLastColumn="0" w:lastRowFirstColumn="0" w:lastRowLastColumn="0"/>
          <w:trHeight w:val="780"/>
        </w:trPr>
        <w:tc>
          <w:tcPr>
            <w:cnfStyle w:val="001000000100" w:firstRow="0" w:lastRow="0" w:firstColumn="1" w:lastColumn="0" w:oddVBand="0" w:evenVBand="0" w:oddHBand="0" w:evenHBand="0" w:firstRowFirstColumn="1" w:firstRowLastColumn="0" w:lastRowFirstColumn="0" w:lastRowLastColumn="0"/>
            <w:tcW w:w="4536" w:type="dxa"/>
            <w:shd w:val="clear" w:color="auto" w:fill="B4C6E7" w:themeFill="accent5" w:themeFillTint="66"/>
          </w:tcPr>
          <w:p w14:paraId="246F0886" w14:textId="77777777" w:rsidR="005A48F1" w:rsidRPr="00BD4849" w:rsidRDefault="005A48F1" w:rsidP="009F1410">
            <w:pPr>
              <w:rPr>
                <w:rFonts w:ascii="Arial" w:eastAsia="Times New Roman" w:hAnsi="Arial" w:cs="Arial"/>
                <w:b w:val="0"/>
                <w:bCs w:val="0"/>
                <w:color w:val="auto"/>
                <w:sz w:val="20"/>
                <w:szCs w:val="20"/>
                <w:lang w:eastAsia="sl-SI"/>
              </w:rPr>
            </w:pPr>
            <w:r w:rsidRPr="00BD4849">
              <w:rPr>
                <w:rFonts w:ascii="Arial" w:eastAsia="Times New Roman" w:hAnsi="Arial" w:cs="Arial"/>
                <w:b w:val="0"/>
                <w:bCs w:val="0"/>
                <w:color w:val="auto"/>
                <w:sz w:val="20"/>
                <w:szCs w:val="20"/>
                <w:lang w:eastAsia="sl-SI"/>
              </w:rPr>
              <w:t>Opis</w:t>
            </w:r>
          </w:p>
        </w:tc>
        <w:tc>
          <w:tcPr>
            <w:tcW w:w="835" w:type="dxa"/>
            <w:shd w:val="clear" w:color="auto" w:fill="B4C6E7" w:themeFill="accent5" w:themeFillTint="66"/>
          </w:tcPr>
          <w:p w14:paraId="52A6BDB7" w14:textId="77777777" w:rsidR="005A48F1" w:rsidRPr="00BD4849" w:rsidRDefault="005A48F1" w:rsidP="009F1410">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lang w:eastAsia="sl-SI"/>
              </w:rPr>
            </w:pPr>
            <w:r w:rsidRPr="00BD4849">
              <w:rPr>
                <w:rFonts w:ascii="Arial" w:eastAsia="Times New Roman" w:hAnsi="Arial" w:cs="Arial"/>
                <w:b w:val="0"/>
                <w:bCs w:val="0"/>
                <w:color w:val="auto"/>
                <w:sz w:val="20"/>
                <w:szCs w:val="20"/>
                <w:lang w:eastAsia="sl-SI"/>
              </w:rPr>
              <w:t>ESA</w:t>
            </w:r>
          </w:p>
          <w:p w14:paraId="61C908CB" w14:textId="77777777" w:rsidR="005A48F1" w:rsidRPr="00BD4849" w:rsidRDefault="005A48F1" w:rsidP="009F1410">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lang w:eastAsia="sl-SI"/>
              </w:rPr>
            </w:pPr>
            <w:r w:rsidRPr="00BD4849">
              <w:rPr>
                <w:rFonts w:ascii="Arial" w:eastAsia="Times New Roman" w:hAnsi="Arial" w:cs="Arial"/>
                <w:b w:val="0"/>
                <w:bCs w:val="0"/>
                <w:color w:val="auto"/>
                <w:sz w:val="20"/>
                <w:szCs w:val="20"/>
                <w:lang w:eastAsia="sl-SI"/>
              </w:rPr>
              <w:t>koda</w:t>
            </w:r>
          </w:p>
        </w:tc>
        <w:tc>
          <w:tcPr>
            <w:tcW w:w="1199" w:type="dxa"/>
            <w:shd w:val="clear" w:color="auto" w:fill="B4C6E7" w:themeFill="accent5" w:themeFillTint="66"/>
          </w:tcPr>
          <w:p w14:paraId="7863427D" w14:textId="77777777" w:rsidR="005A48F1" w:rsidRPr="00BD4849" w:rsidRDefault="005A48F1" w:rsidP="009F1410">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lang w:eastAsia="sl-SI"/>
              </w:rPr>
            </w:pPr>
            <w:r w:rsidRPr="00BD4849">
              <w:rPr>
                <w:rFonts w:ascii="Arial" w:eastAsia="Times New Roman" w:hAnsi="Arial" w:cs="Arial"/>
                <w:b w:val="0"/>
                <w:bCs w:val="0"/>
                <w:color w:val="auto"/>
                <w:sz w:val="20"/>
                <w:szCs w:val="20"/>
                <w:lang w:eastAsia="sl-SI"/>
              </w:rPr>
              <w:t>Status (sprejet, načrtovan)</w:t>
            </w:r>
          </w:p>
        </w:tc>
        <w:tc>
          <w:tcPr>
            <w:tcW w:w="2786" w:type="dxa"/>
            <w:gridSpan w:val="3"/>
            <w:shd w:val="clear" w:color="auto" w:fill="B4C6E7" w:themeFill="accent5" w:themeFillTint="66"/>
          </w:tcPr>
          <w:p w14:paraId="12FAA116" w14:textId="77777777" w:rsidR="005A48F1" w:rsidRPr="00BD4849" w:rsidRDefault="005A48F1" w:rsidP="009F1410">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lang w:eastAsia="sl-SI"/>
              </w:rPr>
            </w:pPr>
            <w:r w:rsidRPr="00BD4849">
              <w:rPr>
                <w:rFonts w:ascii="Arial" w:eastAsia="Times New Roman" w:hAnsi="Arial" w:cs="Arial"/>
                <w:b w:val="0"/>
                <w:bCs w:val="0"/>
                <w:color w:val="auto"/>
                <w:sz w:val="20"/>
                <w:szCs w:val="20"/>
                <w:lang w:eastAsia="sl-SI"/>
              </w:rPr>
              <w:t>Fiskalni vpliv</w:t>
            </w:r>
          </w:p>
          <w:p w14:paraId="34027D38" w14:textId="77777777" w:rsidR="005A48F1" w:rsidRPr="00BD4849" w:rsidRDefault="005A48F1" w:rsidP="009F1410">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lang w:eastAsia="sl-SI"/>
              </w:rPr>
            </w:pPr>
            <w:r w:rsidRPr="00BD4849">
              <w:rPr>
                <w:rFonts w:ascii="Arial" w:eastAsia="Times New Roman" w:hAnsi="Arial" w:cs="Arial"/>
                <w:b w:val="0"/>
                <w:bCs w:val="0"/>
                <w:color w:val="auto"/>
                <w:sz w:val="20"/>
                <w:szCs w:val="20"/>
                <w:lang w:eastAsia="sl-SI"/>
              </w:rPr>
              <w:t>(v % BDP - sprememba glede na prejšnje leto)</w:t>
            </w:r>
          </w:p>
        </w:tc>
      </w:tr>
      <w:tr w:rsidR="005A48F1" w:rsidRPr="00BD4849" w14:paraId="7DF945DE" w14:textId="77777777" w:rsidTr="009F1410">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4536" w:type="dxa"/>
            <w:shd w:val="clear" w:color="auto" w:fill="B4C6E7" w:themeFill="accent5" w:themeFillTint="66"/>
            <w:hideMark/>
          </w:tcPr>
          <w:p w14:paraId="05F50201" w14:textId="77777777" w:rsidR="005A48F1" w:rsidRPr="00BD4849" w:rsidRDefault="005A48F1" w:rsidP="009F1410">
            <w:pPr>
              <w:rPr>
                <w:rFonts w:ascii="Arial" w:eastAsia="Times New Roman" w:hAnsi="Arial" w:cs="Arial"/>
                <w:sz w:val="20"/>
                <w:szCs w:val="20"/>
                <w:lang w:eastAsia="sl-SI"/>
              </w:rPr>
            </w:pPr>
          </w:p>
        </w:tc>
        <w:tc>
          <w:tcPr>
            <w:tcW w:w="835" w:type="dxa"/>
            <w:shd w:val="clear" w:color="auto" w:fill="B4C6E7" w:themeFill="accent5" w:themeFillTint="66"/>
            <w:hideMark/>
          </w:tcPr>
          <w:p w14:paraId="235A8BF9" w14:textId="77777777" w:rsidR="005A48F1" w:rsidRPr="00BD4849" w:rsidRDefault="005A48F1" w:rsidP="009F141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p>
        </w:tc>
        <w:tc>
          <w:tcPr>
            <w:tcW w:w="1199" w:type="dxa"/>
            <w:shd w:val="clear" w:color="auto" w:fill="B4C6E7" w:themeFill="accent5" w:themeFillTint="66"/>
          </w:tcPr>
          <w:p w14:paraId="63B89E5B" w14:textId="77777777" w:rsidR="005A48F1" w:rsidRPr="00BD4849" w:rsidRDefault="005A48F1" w:rsidP="009F141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p>
        </w:tc>
        <w:tc>
          <w:tcPr>
            <w:tcW w:w="928" w:type="dxa"/>
            <w:shd w:val="clear" w:color="auto" w:fill="B4C6E7" w:themeFill="accent5" w:themeFillTint="66"/>
            <w:hideMark/>
          </w:tcPr>
          <w:p w14:paraId="3C9FED2A" w14:textId="77777777" w:rsidR="005A48F1" w:rsidRPr="00BD4849" w:rsidRDefault="005A48F1" w:rsidP="009F141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sz w:val="20"/>
                <w:szCs w:val="20"/>
                <w:lang w:eastAsia="sl-SI"/>
              </w:rPr>
            </w:pPr>
            <w:r w:rsidRPr="00BD4849">
              <w:rPr>
                <w:rFonts w:ascii="Arial" w:eastAsia="Times New Roman" w:hAnsi="Arial" w:cs="Arial"/>
                <w:b/>
                <w:bCs/>
                <w:sz w:val="20"/>
                <w:szCs w:val="20"/>
                <w:lang w:eastAsia="sl-SI"/>
              </w:rPr>
              <w:t>2023</w:t>
            </w:r>
          </w:p>
        </w:tc>
        <w:tc>
          <w:tcPr>
            <w:tcW w:w="929" w:type="dxa"/>
            <w:shd w:val="clear" w:color="auto" w:fill="B4C6E7" w:themeFill="accent5" w:themeFillTint="66"/>
            <w:hideMark/>
          </w:tcPr>
          <w:p w14:paraId="5E5A3182" w14:textId="77777777" w:rsidR="005A48F1" w:rsidRPr="00BD4849" w:rsidRDefault="005A48F1" w:rsidP="009F141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sz w:val="20"/>
                <w:szCs w:val="20"/>
                <w:lang w:eastAsia="sl-SI"/>
              </w:rPr>
            </w:pPr>
            <w:r w:rsidRPr="00BD4849">
              <w:rPr>
                <w:rFonts w:ascii="Arial" w:eastAsia="Times New Roman" w:hAnsi="Arial" w:cs="Arial"/>
                <w:b/>
                <w:bCs/>
                <w:sz w:val="20"/>
                <w:szCs w:val="20"/>
                <w:lang w:eastAsia="sl-SI"/>
              </w:rPr>
              <w:t>2024</w:t>
            </w:r>
          </w:p>
        </w:tc>
        <w:tc>
          <w:tcPr>
            <w:tcW w:w="929" w:type="dxa"/>
            <w:shd w:val="clear" w:color="auto" w:fill="B4C6E7" w:themeFill="accent5" w:themeFillTint="66"/>
            <w:noWrap/>
            <w:hideMark/>
          </w:tcPr>
          <w:p w14:paraId="452A2C7B" w14:textId="77777777" w:rsidR="005A48F1" w:rsidRPr="00BD4849" w:rsidRDefault="005A48F1" w:rsidP="009F141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sz w:val="20"/>
                <w:szCs w:val="20"/>
                <w:lang w:eastAsia="sl-SI"/>
              </w:rPr>
            </w:pPr>
            <w:r w:rsidRPr="00BD4849">
              <w:rPr>
                <w:rFonts w:ascii="Arial" w:eastAsia="Times New Roman" w:hAnsi="Arial" w:cs="Arial"/>
                <w:b/>
                <w:bCs/>
                <w:sz w:val="20"/>
                <w:szCs w:val="20"/>
                <w:lang w:eastAsia="sl-SI"/>
              </w:rPr>
              <w:t>2025</w:t>
            </w:r>
          </w:p>
        </w:tc>
      </w:tr>
      <w:tr w:rsidR="005A48F1" w:rsidRPr="008F301B" w14:paraId="1BA24F04" w14:textId="77777777" w:rsidTr="009F1410">
        <w:trPr>
          <w:trHeight w:val="315"/>
        </w:trPr>
        <w:tc>
          <w:tcPr>
            <w:cnfStyle w:val="001000000000" w:firstRow="0" w:lastRow="0" w:firstColumn="1" w:lastColumn="0" w:oddVBand="0" w:evenVBand="0" w:oddHBand="0" w:evenHBand="0" w:firstRowFirstColumn="0" w:firstRowLastColumn="0" w:lastRowFirstColumn="0" w:lastRowLastColumn="0"/>
            <w:tcW w:w="4536" w:type="dxa"/>
            <w:hideMark/>
          </w:tcPr>
          <w:p w14:paraId="5EFA5806" w14:textId="77777777" w:rsidR="005A48F1" w:rsidRPr="00DA397A" w:rsidRDefault="005A48F1" w:rsidP="009F1410">
            <w:pPr>
              <w:rPr>
                <w:rFonts w:ascii="Arial" w:eastAsia="Times New Roman" w:hAnsi="Arial" w:cs="Arial"/>
                <w:b w:val="0"/>
                <w:bCs w:val="0"/>
                <w:sz w:val="20"/>
                <w:szCs w:val="20"/>
                <w:lang w:eastAsia="sl-SI"/>
              </w:rPr>
            </w:pPr>
            <w:r w:rsidRPr="00DA397A">
              <w:rPr>
                <w:rFonts w:ascii="Arial" w:eastAsia="Times New Roman" w:hAnsi="Arial" w:cs="Arial"/>
                <w:b w:val="0"/>
                <w:bCs w:val="0"/>
                <w:sz w:val="20"/>
                <w:szCs w:val="20"/>
                <w:lang w:eastAsia="sl-SI"/>
              </w:rPr>
              <w:t>Ukrepi na strani prihodkov države</w:t>
            </w:r>
            <w:r>
              <w:rPr>
                <w:rFonts w:ascii="Arial" w:eastAsia="Times New Roman" w:hAnsi="Arial" w:cs="Arial"/>
                <w:b w:val="0"/>
                <w:bCs w:val="0"/>
                <w:sz w:val="20"/>
                <w:szCs w:val="20"/>
                <w:lang w:eastAsia="sl-SI"/>
              </w:rPr>
              <w:t>:</w:t>
            </w:r>
          </w:p>
        </w:tc>
        <w:tc>
          <w:tcPr>
            <w:tcW w:w="835" w:type="dxa"/>
            <w:hideMark/>
          </w:tcPr>
          <w:p w14:paraId="450FBA1E" w14:textId="77777777" w:rsidR="005A48F1" w:rsidRPr="00BD4849" w:rsidRDefault="005A48F1" w:rsidP="009F141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p>
        </w:tc>
        <w:tc>
          <w:tcPr>
            <w:tcW w:w="1199" w:type="dxa"/>
          </w:tcPr>
          <w:p w14:paraId="0763E5DF" w14:textId="77777777" w:rsidR="005A48F1" w:rsidRPr="00BD4849" w:rsidRDefault="005A48F1" w:rsidP="009F141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p>
        </w:tc>
        <w:tc>
          <w:tcPr>
            <w:tcW w:w="928" w:type="dxa"/>
            <w:hideMark/>
          </w:tcPr>
          <w:p w14:paraId="1E764EBE" w14:textId="77777777" w:rsidR="005A48F1" w:rsidRPr="00BD4849" w:rsidRDefault="005A48F1" w:rsidP="009F141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p>
        </w:tc>
        <w:tc>
          <w:tcPr>
            <w:tcW w:w="929" w:type="dxa"/>
            <w:hideMark/>
          </w:tcPr>
          <w:p w14:paraId="3BB78160" w14:textId="77777777" w:rsidR="005A48F1" w:rsidRPr="00BD4849" w:rsidRDefault="005A48F1" w:rsidP="009F141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p>
        </w:tc>
        <w:tc>
          <w:tcPr>
            <w:tcW w:w="929" w:type="dxa"/>
            <w:noWrap/>
            <w:hideMark/>
          </w:tcPr>
          <w:p w14:paraId="09EB1C1E" w14:textId="77777777" w:rsidR="005A48F1" w:rsidRPr="00BD4849" w:rsidRDefault="005A48F1" w:rsidP="009F141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p>
        </w:tc>
      </w:tr>
      <w:tr w:rsidR="005A48F1" w:rsidRPr="00BD4849" w14:paraId="2DD4120C" w14:textId="77777777" w:rsidTr="009F1410">
        <w:trPr>
          <w:cnfStyle w:val="000000100000" w:firstRow="0" w:lastRow="0" w:firstColumn="0" w:lastColumn="0" w:oddVBand="0" w:evenVBand="0" w:oddHBand="1" w:evenHBand="0" w:firstRowFirstColumn="0" w:firstRowLastColumn="0" w:lastRowFirstColumn="0" w:lastRowLastColumn="0"/>
          <w:trHeight w:val="370"/>
        </w:trPr>
        <w:tc>
          <w:tcPr>
            <w:cnfStyle w:val="001000000000" w:firstRow="0" w:lastRow="0" w:firstColumn="1" w:lastColumn="0" w:oddVBand="0" w:evenVBand="0" w:oddHBand="0" w:evenHBand="0" w:firstRowFirstColumn="0" w:firstRowLastColumn="0" w:lastRowFirstColumn="0" w:lastRowLastColumn="0"/>
            <w:tcW w:w="4536" w:type="dxa"/>
            <w:hideMark/>
          </w:tcPr>
          <w:p w14:paraId="3CBE150F" w14:textId="77777777" w:rsidR="005A48F1" w:rsidRPr="00DA397A" w:rsidRDefault="005A48F1" w:rsidP="009F1410">
            <w:pPr>
              <w:rPr>
                <w:rFonts w:ascii="Arial" w:eastAsia="Times New Roman" w:hAnsi="Arial" w:cs="Arial"/>
                <w:b w:val="0"/>
                <w:bCs w:val="0"/>
                <w:sz w:val="20"/>
                <w:szCs w:val="20"/>
                <w:lang w:eastAsia="sl-SI"/>
              </w:rPr>
            </w:pPr>
            <w:r w:rsidRPr="00DA397A">
              <w:rPr>
                <w:rFonts w:ascii="Arial" w:eastAsia="Times New Roman" w:hAnsi="Arial" w:cs="Arial"/>
                <w:b w:val="0"/>
                <w:bCs w:val="0"/>
                <w:sz w:val="20"/>
                <w:szCs w:val="20"/>
                <w:lang w:eastAsia="sl-SI"/>
              </w:rPr>
              <w:t>Solidarnostni prispevek</w:t>
            </w:r>
          </w:p>
        </w:tc>
        <w:tc>
          <w:tcPr>
            <w:tcW w:w="835" w:type="dxa"/>
            <w:hideMark/>
          </w:tcPr>
          <w:p w14:paraId="633ABAA9" w14:textId="77777777" w:rsidR="005A48F1" w:rsidRPr="00BD4849" w:rsidRDefault="005A48F1" w:rsidP="009F141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D51</w:t>
            </w:r>
          </w:p>
        </w:tc>
        <w:tc>
          <w:tcPr>
            <w:tcW w:w="1199" w:type="dxa"/>
          </w:tcPr>
          <w:p w14:paraId="5F17D9E8" w14:textId="77777777" w:rsidR="005A48F1" w:rsidRPr="00BD4849" w:rsidRDefault="005A48F1" w:rsidP="009F141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Sprejet</w:t>
            </w:r>
          </w:p>
        </w:tc>
        <w:tc>
          <w:tcPr>
            <w:tcW w:w="928" w:type="dxa"/>
            <w:hideMark/>
          </w:tcPr>
          <w:p w14:paraId="310F846E" w14:textId="77777777" w:rsidR="005A48F1" w:rsidRPr="00BD4849" w:rsidRDefault="005A48F1" w:rsidP="009F141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0,25</w:t>
            </w:r>
          </w:p>
        </w:tc>
        <w:tc>
          <w:tcPr>
            <w:tcW w:w="929" w:type="dxa"/>
            <w:hideMark/>
          </w:tcPr>
          <w:p w14:paraId="3B58400F" w14:textId="278B5B43" w:rsidR="005A48F1" w:rsidRPr="00BD4849" w:rsidRDefault="006D5278" w:rsidP="009F141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Pr>
                <w:rFonts w:ascii="Arial" w:eastAsia="Times New Roman" w:hAnsi="Arial" w:cs="Arial"/>
                <w:sz w:val="20"/>
                <w:szCs w:val="20"/>
                <w:lang w:eastAsia="sl-SI"/>
              </w:rPr>
              <w:t>-</w:t>
            </w:r>
            <w:r w:rsidR="005A48F1" w:rsidRPr="00BD4849">
              <w:rPr>
                <w:rFonts w:ascii="Arial" w:eastAsia="Times New Roman" w:hAnsi="Arial" w:cs="Arial"/>
                <w:sz w:val="20"/>
                <w:szCs w:val="20"/>
                <w:lang w:eastAsia="sl-SI"/>
              </w:rPr>
              <w:t>0,0</w:t>
            </w:r>
            <w:r>
              <w:rPr>
                <w:rFonts w:ascii="Arial" w:eastAsia="Times New Roman" w:hAnsi="Arial" w:cs="Arial"/>
                <w:sz w:val="20"/>
                <w:szCs w:val="20"/>
                <w:lang w:eastAsia="sl-SI"/>
              </w:rPr>
              <w:t>2</w:t>
            </w:r>
          </w:p>
        </w:tc>
        <w:tc>
          <w:tcPr>
            <w:tcW w:w="929" w:type="dxa"/>
            <w:hideMark/>
          </w:tcPr>
          <w:p w14:paraId="439E5FF5" w14:textId="2A1E312C" w:rsidR="005A48F1" w:rsidRPr="00BD4849" w:rsidRDefault="005A48F1" w:rsidP="009F141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-0,2</w:t>
            </w:r>
            <w:r w:rsidR="006D5278">
              <w:rPr>
                <w:rFonts w:ascii="Arial" w:eastAsia="Times New Roman" w:hAnsi="Arial" w:cs="Arial"/>
                <w:sz w:val="20"/>
                <w:szCs w:val="20"/>
                <w:lang w:eastAsia="sl-SI"/>
              </w:rPr>
              <w:t>4</w:t>
            </w:r>
          </w:p>
        </w:tc>
      </w:tr>
      <w:tr w:rsidR="005A48F1" w:rsidRPr="00BD4849" w14:paraId="08FD3FF9" w14:textId="77777777" w:rsidTr="009F1410">
        <w:trPr>
          <w:trHeight w:val="315"/>
        </w:trPr>
        <w:tc>
          <w:tcPr>
            <w:cnfStyle w:val="001000000000" w:firstRow="0" w:lastRow="0" w:firstColumn="1" w:lastColumn="0" w:oddVBand="0" w:evenVBand="0" w:oddHBand="0" w:evenHBand="0" w:firstRowFirstColumn="0" w:firstRowLastColumn="0" w:lastRowFirstColumn="0" w:lastRowLastColumn="0"/>
            <w:tcW w:w="4536" w:type="dxa"/>
            <w:hideMark/>
          </w:tcPr>
          <w:p w14:paraId="3BC51A3F"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 xml:space="preserve">Enkratni ukrep ne usklajevanja osnov in lestvic za dohodnino </w:t>
            </w:r>
          </w:p>
        </w:tc>
        <w:tc>
          <w:tcPr>
            <w:tcW w:w="835" w:type="dxa"/>
            <w:hideMark/>
          </w:tcPr>
          <w:p w14:paraId="138CAC18" w14:textId="77777777" w:rsidR="005A48F1" w:rsidRPr="00BD4849" w:rsidRDefault="005A48F1" w:rsidP="009F141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D51</w:t>
            </w:r>
          </w:p>
        </w:tc>
        <w:tc>
          <w:tcPr>
            <w:tcW w:w="1199" w:type="dxa"/>
          </w:tcPr>
          <w:p w14:paraId="16B2D9F5" w14:textId="77777777" w:rsidR="005A48F1" w:rsidRPr="00BD4849" w:rsidRDefault="005A48F1" w:rsidP="009F141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Sprejet</w:t>
            </w:r>
          </w:p>
        </w:tc>
        <w:tc>
          <w:tcPr>
            <w:tcW w:w="928" w:type="dxa"/>
            <w:hideMark/>
          </w:tcPr>
          <w:p w14:paraId="6660392F" w14:textId="77777777" w:rsidR="005A48F1" w:rsidRPr="00BD4849" w:rsidRDefault="005A48F1" w:rsidP="009F141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p>
        </w:tc>
        <w:tc>
          <w:tcPr>
            <w:tcW w:w="929" w:type="dxa"/>
            <w:hideMark/>
          </w:tcPr>
          <w:p w14:paraId="147EAE39" w14:textId="77777777" w:rsidR="005A48F1" w:rsidRPr="00BD4849" w:rsidRDefault="005A48F1" w:rsidP="009F141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0,15</w:t>
            </w:r>
          </w:p>
        </w:tc>
        <w:tc>
          <w:tcPr>
            <w:tcW w:w="929" w:type="dxa"/>
            <w:hideMark/>
          </w:tcPr>
          <w:p w14:paraId="5AEE74A2" w14:textId="7F5EBB82" w:rsidR="005A48F1" w:rsidRPr="00BD4849" w:rsidRDefault="005A48F1" w:rsidP="009F141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-0,1</w:t>
            </w:r>
            <w:r w:rsidR="006D5278">
              <w:rPr>
                <w:rFonts w:ascii="Arial" w:eastAsia="Times New Roman" w:hAnsi="Arial" w:cs="Arial"/>
                <w:sz w:val="20"/>
                <w:szCs w:val="20"/>
                <w:lang w:eastAsia="sl-SI"/>
              </w:rPr>
              <w:t>5</w:t>
            </w:r>
          </w:p>
        </w:tc>
      </w:tr>
      <w:tr w:rsidR="005A48F1" w:rsidRPr="00BD4849" w14:paraId="76624999" w14:textId="77777777" w:rsidTr="009F141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4536" w:type="dxa"/>
            <w:hideMark/>
          </w:tcPr>
          <w:p w14:paraId="768BF41E" w14:textId="77777777" w:rsidR="005A48F1" w:rsidRPr="00DA397A" w:rsidRDefault="005A48F1" w:rsidP="009F1410">
            <w:pPr>
              <w:rPr>
                <w:rFonts w:ascii="Arial" w:eastAsia="Times New Roman" w:hAnsi="Arial" w:cs="Arial"/>
                <w:sz w:val="20"/>
                <w:szCs w:val="20"/>
                <w:lang w:eastAsia="sl-SI"/>
              </w:rPr>
            </w:pPr>
            <w:r w:rsidRPr="00DA397A">
              <w:rPr>
                <w:rFonts w:ascii="Arial" w:eastAsia="Times New Roman" w:hAnsi="Arial" w:cs="Arial"/>
                <w:sz w:val="20"/>
                <w:szCs w:val="20"/>
                <w:lang w:eastAsia="sl-SI"/>
              </w:rPr>
              <w:t>Prihodkovni vpliv skupaj</w:t>
            </w:r>
            <w:r>
              <w:rPr>
                <w:rFonts w:ascii="Arial" w:eastAsia="Times New Roman" w:hAnsi="Arial" w:cs="Arial"/>
                <w:sz w:val="20"/>
                <w:szCs w:val="20"/>
                <w:lang w:eastAsia="sl-SI"/>
              </w:rPr>
              <w:t>:</w:t>
            </w:r>
          </w:p>
        </w:tc>
        <w:tc>
          <w:tcPr>
            <w:tcW w:w="835" w:type="dxa"/>
            <w:hideMark/>
          </w:tcPr>
          <w:p w14:paraId="722119BB" w14:textId="77777777" w:rsidR="005A48F1" w:rsidRPr="00BD4849" w:rsidRDefault="005A48F1" w:rsidP="009F141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p>
        </w:tc>
        <w:tc>
          <w:tcPr>
            <w:tcW w:w="1199" w:type="dxa"/>
          </w:tcPr>
          <w:p w14:paraId="7AE51E6E" w14:textId="77777777" w:rsidR="005A48F1" w:rsidRPr="00BD4849" w:rsidRDefault="005A48F1" w:rsidP="009F141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p>
        </w:tc>
        <w:tc>
          <w:tcPr>
            <w:tcW w:w="928" w:type="dxa"/>
            <w:hideMark/>
          </w:tcPr>
          <w:p w14:paraId="42CD59C5" w14:textId="77777777" w:rsidR="005A48F1" w:rsidRPr="00BD4849" w:rsidRDefault="005A48F1" w:rsidP="009F141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0,25</w:t>
            </w:r>
          </w:p>
        </w:tc>
        <w:tc>
          <w:tcPr>
            <w:tcW w:w="929" w:type="dxa"/>
            <w:hideMark/>
          </w:tcPr>
          <w:p w14:paraId="5AF9C57D" w14:textId="1ED0E1E8" w:rsidR="005A48F1" w:rsidRPr="00BD4849" w:rsidRDefault="005A48F1" w:rsidP="009F141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0,1</w:t>
            </w:r>
            <w:r w:rsidR="006D5278">
              <w:rPr>
                <w:rFonts w:ascii="Arial" w:eastAsia="Times New Roman" w:hAnsi="Arial" w:cs="Arial"/>
                <w:sz w:val="20"/>
                <w:szCs w:val="20"/>
                <w:lang w:eastAsia="sl-SI"/>
              </w:rPr>
              <w:t>3</w:t>
            </w:r>
          </w:p>
        </w:tc>
        <w:tc>
          <w:tcPr>
            <w:tcW w:w="929" w:type="dxa"/>
            <w:hideMark/>
          </w:tcPr>
          <w:p w14:paraId="3B1A2DF8" w14:textId="5248F8F2" w:rsidR="005A48F1" w:rsidRPr="00BD4849" w:rsidRDefault="005A48F1" w:rsidP="009F141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-0,3</w:t>
            </w:r>
            <w:r w:rsidR="006D5278">
              <w:rPr>
                <w:rFonts w:ascii="Arial" w:eastAsia="Times New Roman" w:hAnsi="Arial" w:cs="Arial"/>
                <w:sz w:val="20"/>
                <w:szCs w:val="20"/>
                <w:lang w:eastAsia="sl-SI"/>
              </w:rPr>
              <w:t>9</w:t>
            </w:r>
          </w:p>
        </w:tc>
      </w:tr>
      <w:tr w:rsidR="005A48F1" w:rsidRPr="00BD4849" w14:paraId="71A9B1BD" w14:textId="77777777" w:rsidTr="009F1410">
        <w:trPr>
          <w:trHeight w:val="70"/>
        </w:trPr>
        <w:tc>
          <w:tcPr>
            <w:cnfStyle w:val="001000000000" w:firstRow="0" w:lastRow="0" w:firstColumn="1" w:lastColumn="0" w:oddVBand="0" w:evenVBand="0" w:oddHBand="0" w:evenHBand="0" w:firstRowFirstColumn="0" w:firstRowLastColumn="0" w:lastRowFirstColumn="0" w:lastRowLastColumn="0"/>
            <w:tcW w:w="4536" w:type="dxa"/>
          </w:tcPr>
          <w:p w14:paraId="33AE6FDD" w14:textId="77777777" w:rsidR="005A48F1" w:rsidRPr="00DA397A" w:rsidRDefault="005A48F1" w:rsidP="009F1410">
            <w:pPr>
              <w:rPr>
                <w:rFonts w:ascii="Arial" w:eastAsia="Times New Roman" w:hAnsi="Arial" w:cs="Arial"/>
                <w:sz w:val="20"/>
                <w:szCs w:val="20"/>
                <w:lang w:eastAsia="sl-SI"/>
              </w:rPr>
            </w:pPr>
          </w:p>
        </w:tc>
        <w:tc>
          <w:tcPr>
            <w:tcW w:w="835" w:type="dxa"/>
          </w:tcPr>
          <w:p w14:paraId="46063FBC" w14:textId="77777777" w:rsidR="005A48F1" w:rsidRPr="00BD4849" w:rsidRDefault="005A48F1" w:rsidP="009F141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p>
        </w:tc>
        <w:tc>
          <w:tcPr>
            <w:tcW w:w="1199" w:type="dxa"/>
          </w:tcPr>
          <w:p w14:paraId="78C7EFF4" w14:textId="77777777" w:rsidR="005A48F1" w:rsidRPr="00BD4849" w:rsidRDefault="005A48F1" w:rsidP="009F141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p>
        </w:tc>
        <w:tc>
          <w:tcPr>
            <w:tcW w:w="928" w:type="dxa"/>
          </w:tcPr>
          <w:p w14:paraId="294D499F" w14:textId="77777777" w:rsidR="005A48F1" w:rsidRPr="00BD4849" w:rsidRDefault="005A48F1" w:rsidP="009F141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p>
        </w:tc>
        <w:tc>
          <w:tcPr>
            <w:tcW w:w="929" w:type="dxa"/>
          </w:tcPr>
          <w:p w14:paraId="150E147C" w14:textId="77777777" w:rsidR="005A48F1" w:rsidRPr="00BD4849" w:rsidRDefault="005A48F1" w:rsidP="009F141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p>
        </w:tc>
        <w:tc>
          <w:tcPr>
            <w:tcW w:w="929" w:type="dxa"/>
          </w:tcPr>
          <w:p w14:paraId="5834839B" w14:textId="77777777" w:rsidR="005A48F1" w:rsidRPr="00BD4849" w:rsidRDefault="005A48F1" w:rsidP="009F141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p>
        </w:tc>
      </w:tr>
      <w:tr w:rsidR="005A48F1" w:rsidRPr="008F301B" w14:paraId="0FDBE892" w14:textId="77777777" w:rsidTr="009924DC">
        <w:trPr>
          <w:cnfStyle w:val="000000100000" w:firstRow="0" w:lastRow="0" w:firstColumn="0" w:lastColumn="0" w:oddVBand="0" w:evenVBand="0" w:oddHBand="1" w:evenHBand="0"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4536" w:type="dxa"/>
            <w:hideMark/>
          </w:tcPr>
          <w:p w14:paraId="16149719" w14:textId="77777777" w:rsidR="005A48F1" w:rsidRPr="00DA397A" w:rsidRDefault="005A48F1" w:rsidP="009F1410">
            <w:pPr>
              <w:rPr>
                <w:rFonts w:ascii="Arial" w:eastAsia="Times New Roman" w:hAnsi="Arial" w:cs="Arial"/>
                <w:b w:val="0"/>
                <w:bCs w:val="0"/>
                <w:sz w:val="20"/>
                <w:szCs w:val="20"/>
                <w:lang w:eastAsia="sl-SI"/>
              </w:rPr>
            </w:pPr>
            <w:r w:rsidRPr="00DA397A">
              <w:rPr>
                <w:rFonts w:ascii="Arial" w:eastAsia="Times New Roman" w:hAnsi="Arial" w:cs="Arial"/>
                <w:b w:val="0"/>
                <w:bCs w:val="0"/>
                <w:sz w:val="20"/>
                <w:szCs w:val="20"/>
                <w:lang w:eastAsia="sl-SI"/>
              </w:rPr>
              <w:t>Ukrepi na strani izdatkov države</w:t>
            </w:r>
            <w:r>
              <w:rPr>
                <w:rFonts w:ascii="Arial" w:eastAsia="Times New Roman" w:hAnsi="Arial" w:cs="Arial"/>
                <w:b w:val="0"/>
                <w:bCs w:val="0"/>
                <w:sz w:val="20"/>
                <w:szCs w:val="20"/>
                <w:lang w:eastAsia="sl-SI"/>
              </w:rPr>
              <w:t>:</w:t>
            </w:r>
          </w:p>
        </w:tc>
        <w:tc>
          <w:tcPr>
            <w:tcW w:w="835" w:type="dxa"/>
            <w:hideMark/>
          </w:tcPr>
          <w:p w14:paraId="2EF5623D" w14:textId="77777777" w:rsidR="005A48F1" w:rsidRPr="00BD4849" w:rsidRDefault="005A48F1" w:rsidP="009F141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p>
        </w:tc>
        <w:tc>
          <w:tcPr>
            <w:tcW w:w="1199" w:type="dxa"/>
          </w:tcPr>
          <w:p w14:paraId="16C694EE" w14:textId="77777777" w:rsidR="005A48F1" w:rsidRPr="00BD4849" w:rsidRDefault="005A48F1" w:rsidP="009F141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p>
        </w:tc>
        <w:tc>
          <w:tcPr>
            <w:tcW w:w="928" w:type="dxa"/>
            <w:hideMark/>
          </w:tcPr>
          <w:p w14:paraId="5B4C2EF9" w14:textId="77777777" w:rsidR="005A48F1" w:rsidRPr="00BD4849" w:rsidRDefault="005A48F1" w:rsidP="009F141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p>
        </w:tc>
        <w:tc>
          <w:tcPr>
            <w:tcW w:w="929" w:type="dxa"/>
            <w:hideMark/>
          </w:tcPr>
          <w:p w14:paraId="14B2EF5C" w14:textId="77777777" w:rsidR="005A48F1" w:rsidRPr="00BD4849" w:rsidRDefault="005A48F1" w:rsidP="009F141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p>
        </w:tc>
        <w:tc>
          <w:tcPr>
            <w:tcW w:w="929" w:type="dxa"/>
            <w:hideMark/>
          </w:tcPr>
          <w:p w14:paraId="2F955B4A" w14:textId="77777777" w:rsidR="005A48F1" w:rsidRPr="00BD4849" w:rsidRDefault="005A48F1" w:rsidP="009F141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p>
        </w:tc>
      </w:tr>
      <w:tr w:rsidR="005A48F1" w:rsidRPr="00BD4849" w14:paraId="5463249D" w14:textId="77777777" w:rsidTr="009F1410">
        <w:trPr>
          <w:trHeight w:val="780"/>
        </w:trPr>
        <w:tc>
          <w:tcPr>
            <w:cnfStyle w:val="001000000000" w:firstRow="0" w:lastRow="0" w:firstColumn="1" w:lastColumn="0" w:oddVBand="0" w:evenVBand="0" w:oddHBand="0" w:evenHBand="0" w:firstRowFirstColumn="0" w:firstRowLastColumn="0" w:lastRowFirstColumn="0" w:lastRowLastColumn="0"/>
            <w:tcW w:w="4536" w:type="dxa"/>
            <w:hideMark/>
          </w:tcPr>
          <w:p w14:paraId="0275F5D8"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 xml:space="preserve">Obnova objektov, občinski infrastrukturni in javni objekti, izvedba geotehničnih ukrepov, tehnična podpora Izvedba interventnih ukrepov na cestni, železniški infrastrukturi ter vodna infrastruktura. </w:t>
            </w:r>
          </w:p>
        </w:tc>
        <w:tc>
          <w:tcPr>
            <w:tcW w:w="835" w:type="dxa"/>
            <w:hideMark/>
          </w:tcPr>
          <w:p w14:paraId="026519EB" w14:textId="77777777" w:rsidR="005A48F1" w:rsidRPr="00BD4849" w:rsidRDefault="005A48F1" w:rsidP="009F141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P51</w:t>
            </w:r>
          </w:p>
        </w:tc>
        <w:tc>
          <w:tcPr>
            <w:tcW w:w="1199" w:type="dxa"/>
          </w:tcPr>
          <w:p w14:paraId="7B9FF38F" w14:textId="77777777" w:rsidR="005A48F1" w:rsidRPr="00BD4849" w:rsidRDefault="005A48F1" w:rsidP="009F141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Sprejet</w:t>
            </w:r>
          </w:p>
        </w:tc>
        <w:tc>
          <w:tcPr>
            <w:tcW w:w="928" w:type="dxa"/>
            <w:hideMark/>
          </w:tcPr>
          <w:p w14:paraId="424FA5B6" w14:textId="77777777" w:rsidR="005A48F1" w:rsidRPr="00BD4849" w:rsidRDefault="005A48F1" w:rsidP="009F141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0,08</w:t>
            </w:r>
          </w:p>
        </w:tc>
        <w:tc>
          <w:tcPr>
            <w:tcW w:w="929" w:type="dxa"/>
            <w:hideMark/>
          </w:tcPr>
          <w:p w14:paraId="0495178E" w14:textId="476D2D66" w:rsidR="005A48F1" w:rsidRPr="00BD4849" w:rsidRDefault="005A48F1" w:rsidP="009F141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0,6</w:t>
            </w:r>
            <w:r w:rsidR="006D5278">
              <w:rPr>
                <w:rFonts w:ascii="Arial" w:eastAsia="Times New Roman" w:hAnsi="Arial" w:cs="Arial"/>
                <w:sz w:val="20"/>
                <w:szCs w:val="20"/>
                <w:lang w:eastAsia="sl-SI"/>
              </w:rPr>
              <w:t>1</w:t>
            </w:r>
          </w:p>
        </w:tc>
        <w:tc>
          <w:tcPr>
            <w:tcW w:w="929" w:type="dxa"/>
            <w:hideMark/>
          </w:tcPr>
          <w:p w14:paraId="66B54D4B" w14:textId="641FA975" w:rsidR="005A48F1" w:rsidRPr="00BD4849" w:rsidRDefault="005A48F1" w:rsidP="009F141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-0,6</w:t>
            </w:r>
            <w:r w:rsidR="006D5278">
              <w:rPr>
                <w:rFonts w:ascii="Arial" w:eastAsia="Times New Roman" w:hAnsi="Arial" w:cs="Arial"/>
                <w:sz w:val="20"/>
                <w:szCs w:val="20"/>
                <w:lang w:eastAsia="sl-SI"/>
              </w:rPr>
              <w:t>9</w:t>
            </w:r>
          </w:p>
        </w:tc>
      </w:tr>
      <w:tr w:rsidR="005A48F1" w:rsidRPr="00BD4849" w14:paraId="466F3582" w14:textId="77777777" w:rsidTr="009F1410">
        <w:trPr>
          <w:cnfStyle w:val="000000100000" w:firstRow="0" w:lastRow="0" w:firstColumn="0" w:lastColumn="0" w:oddVBand="0" w:evenVBand="0" w:oddHBand="1" w:evenHBand="0" w:firstRowFirstColumn="0" w:firstRowLastColumn="0" w:lastRowFirstColumn="0" w:lastRowLastColumn="0"/>
          <w:trHeight w:val="780"/>
        </w:trPr>
        <w:tc>
          <w:tcPr>
            <w:cnfStyle w:val="001000000000" w:firstRow="0" w:lastRow="0" w:firstColumn="1" w:lastColumn="0" w:oddVBand="0" w:evenVBand="0" w:oddHBand="0" w:evenHBand="0" w:firstRowFirstColumn="0" w:firstRowLastColumn="0" w:lastRowFirstColumn="0" w:lastRowLastColumn="0"/>
            <w:tcW w:w="4536" w:type="dxa"/>
            <w:hideMark/>
          </w:tcPr>
          <w:p w14:paraId="7A808A3A"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Povrnjena škoda zaradi izpada prihodkov, uničenih strojev in zalog in čakanje na delo; solidarnostni ukrepi in izredne pomoči, prerazporeditve Rdečemu križu in Karitasu.</w:t>
            </w:r>
          </w:p>
        </w:tc>
        <w:tc>
          <w:tcPr>
            <w:tcW w:w="835" w:type="dxa"/>
            <w:hideMark/>
          </w:tcPr>
          <w:p w14:paraId="3043C231" w14:textId="77777777" w:rsidR="005A48F1" w:rsidRPr="00BD4849" w:rsidRDefault="005A48F1" w:rsidP="009F141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D75</w:t>
            </w:r>
          </w:p>
        </w:tc>
        <w:tc>
          <w:tcPr>
            <w:tcW w:w="1199" w:type="dxa"/>
          </w:tcPr>
          <w:p w14:paraId="327D93AA" w14:textId="77777777" w:rsidR="005A48F1" w:rsidRPr="00BD4849" w:rsidRDefault="005A48F1" w:rsidP="009F141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Sprejet</w:t>
            </w:r>
          </w:p>
        </w:tc>
        <w:tc>
          <w:tcPr>
            <w:tcW w:w="928" w:type="dxa"/>
            <w:hideMark/>
          </w:tcPr>
          <w:p w14:paraId="1696ADA3" w14:textId="77777777" w:rsidR="005A48F1" w:rsidRPr="00BD4849" w:rsidRDefault="005A48F1" w:rsidP="009F141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0,20</w:t>
            </w:r>
          </w:p>
        </w:tc>
        <w:tc>
          <w:tcPr>
            <w:tcW w:w="929" w:type="dxa"/>
            <w:hideMark/>
          </w:tcPr>
          <w:p w14:paraId="2D9007A1" w14:textId="6DDED0ED" w:rsidR="005A48F1" w:rsidRPr="00BD4849" w:rsidRDefault="005A48F1" w:rsidP="009F141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w:t>
            </w:r>
            <w:r w:rsidR="006D5278">
              <w:rPr>
                <w:rFonts w:ascii="Arial" w:eastAsia="Times New Roman" w:hAnsi="Arial" w:cs="Arial"/>
                <w:sz w:val="20"/>
                <w:szCs w:val="20"/>
                <w:lang w:eastAsia="sl-SI"/>
              </w:rPr>
              <w:t>29</w:t>
            </w:r>
          </w:p>
        </w:tc>
        <w:tc>
          <w:tcPr>
            <w:tcW w:w="929" w:type="dxa"/>
            <w:hideMark/>
          </w:tcPr>
          <w:p w14:paraId="098174EC" w14:textId="1F22CA24" w:rsidR="005A48F1" w:rsidRPr="00BD4849" w:rsidRDefault="005A48F1" w:rsidP="009F141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-0,4</w:t>
            </w:r>
            <w:r w:rsidR="006D5278">
              <w:rPr>
                <w:rFonts w:ascii="Arial" w:eastAsia="Times New Roman" w:hAnsi="Arial" w:cs="Arial"/>
                <w:sz w:val="20"/>
                <w:szCs w:val="20"/>
                <w:lang w:eastAsia="sl-SI"/>
              </w:rPr>
              <w:t>9</w:t>
            </w:r>
          </w:p>
        </w:tc>
      </w:tr>
      <w:tr w:rsidR="005A48F1" w:rsidRPr="00BD4849" w14:paraId="5FB9E887" w14:textId="77777777" w:rsidTr="009F1410">
        <w:trPr>
          <w:trHeight w:val="315"/>
        </w:trPr>
        <w:tc>
          <w:tcPr>
            <w:cnfStyle w:val="001000000000" w:firstRow="0" w:lastRow="0" w:firstColumn="1" w:lastColumn="0" w:oddVBand="0" w:evenVBand="0" w:oddHBand="0" w:evenHBand="0" w:firstRowFirstColumn="0" w:firstRowLastColumn="0" w:lastRowFirstColumn="0" w:lastRowLastColumn="0"/>
            <w:tcW w:w="4536" w:type="dxa"/>
            <w:hideMark/>
          </w:tcPr>
          <w:p w14:paraId="3364A9C6"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 xml:space="preserve">Ukrepi povezani z okoljem in obnovo gospodarske in javne infrastrukture. </w:t>
            </w:r>
          </w:p>
        </w:tc>
        <w:tc>
          <w:tcPr>
            <w:tcW w:w="835" w:type="dxa"/>
            <w:hideMark/>
          </w:tcPr>
          <w:p w14:paraId="37D1D9D6" w14:textId="77777777" w:rsidR="005A48F1" w:rsidRPr="00BD4849" w:rsidRDefault="005A48F1" w:rsidP="009F141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D9</w:t>
            </w:r>
          </w:p>
        </w:tc>
        <w:tc>
          <w:tcPr>
            <w:tcW w:w="1199" w:type="dxa"/>
          </w:tcPr>
          <w:p w14:paraId="089EB678" w14:textId="77777777" w:rsidR="005A48F1" w:rsidRPr="00BD4849" w:rsidRDefault="005A48F1" w:rsidP="009F141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Sprejet</w:t>
            </w:r>
          </w:p>
        </w:tc>
        <w:tc>
          <w:tcPr>
            <w:tcW w:w="928" w:type="dxa"/>
            <w:hideMark/>
          </w:tcPr>
          <w:p w14:paraId="4BCAD742" w14:textId="77777777" w:rsidR="005A48F1" w:rsidRPr="00BD4849" w:rsidRDefault="005A48F1" w:rsidP="009F141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0,57</w:t>
            </w:r>
          </w:p>
        </w:tc>
        <w:tc>
          <w:tcPr>
            <w:tcW w:w="929" w:type="dxa"/>
            <w:hideMark/>
          </w:tcPr>
          <w:p w14:paraId="3FB0EB9F" w14:textId="4092D927" w:rsidR="005A48F1" w:rsidRPr="00BD4849" w:rsidRDefault="005A48F1" w:rsidP="009F141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-0,1</w:t>
            </w:r>
            <w:r w:rsidR="006D5278">
              <w:rPr>
                <w:rFonts w:ascii="Arial" w:eastAsia="Times New Roman" w:hAnsi="Arial" w:cs="Arial"/>
                <w:sz w:val="20"/>
                <w:szCs w:val="20"/>
                <w:lang w:eastAsia="sl-SI"/>
              </w:rPr>
              <w:t>7</w:t>
            </w:r>
          </w:p>
        </w:tc>
        <w:tc>
          <w:tcPr>
            <w:tcW w:w="929" w:type="dxa"/>
            <w:hideMark/>
          </w:tcPr>
          <w:p w14:paraId="014C1B24" w14:textId="5F1BB85F" w:rsidR="005A48F1" w:rsidRPr="00BD4849" w:rsidRDefault="005A48F1" w:rsidP="009F141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w:t>
            </w:r>
            <w:r w:rsidR="006D5278">
              <w:rPr>
                <w:rFonts w:ascii="Arial" w:eastAsia="Times New Roman" w:hAnsi="Arial" w:cs="Arial"/>
                <w:sz w:val="20"/>
                <w:szCs w:val="20"/>
                <w:lang w:eastAsia="sl-SI"/>
              </w:rPr>
              <w:t>40</w:t>
            </w:r>
          </w:p>
        </w:tc>
      </w:tr>
      <w:tr w:rsidR="005A48F1" w:rsidRPr="00BD4849" w14:paraId="332F9A1C" w14:textId="77777777" w:rsidTr="009F141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4536" w:type="dxa"/>
            <w:hideMark/>
          </w:tcPr>
          <w:p w14:paraId="7A1A6293" w14:textId="77777777" w:rsidR="005A48F1" w:rsidRPr="00DA397A" w:rsidRDefault="005A48F1" w:rsidP="009F1410">
            <w:pPr>
              <w:rPr>
                <w:rFonts w:ascii="Arial" w:eastAsia="Times New Roman" w:hAnsi="Arial" w:cs="Arial"/>
                <w:sz w:val="20"/>
                <w:szCs w:val="20"/>
                <w:lang w:eastAsia="sl-SI"/>
              </w:rPr>
            </w:pPr>
            <w:r w:rsidRPr="00DA397A">
              <w:rPr>
                <w:rFonts w:ascii="Arial" w:eastAsia="Times New Roman" w:hAnsi="Arial" w:cs="Arial"/>
                <w:sz w:val="20"/>
                <w:szCs w:val="20"/>
                <w:lang w:eastAsia="sl-SI"/>
              </w:rPr>
              <w:t>Izdatkovni vpliv skupaj</w:t>
            </w:r>
            <w:r>
              <w:rPr>
                <w:rFonts w:ascii="Arial" w:eastAsia="Times New Roman" w:hAnsi="Arial" w:cs="Arial"/>
                <w:sz w:val="20"/>
                <w:szCs w:val="20"/>
                <w:lang w:eastAsia="sl-SI"/>
              </w:rPr>
              <w:t>:</w:t>
            </w:r>
          </w:p>
        </w:tc>
        <w:tc>
          <w:tcPr>
            <w:tcW w:w="835" w:type="dxa"/>
            <w:hideMark/>
          </w:tcPr>
          <w:p w14:paraId="61449D68" w14:textId="77777777" w:rsidR="005A48F1" w:rsidRPr="00BD4849" w:rsidRDefault="005A48F1" w:rsidP="009F141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p>
        </w:tc>
        <w:tc>
          <w:tcPr>
            <w:tcW w:w="1199" w:type="dxa"/>
          </w:tcPr>
          <w:p w14:paraId="2057904D" w14:textId="77777777" w:rsidR="005A48F1" w:rsidRPr="00BD4849" w:rsidRDefault="005A48F1" w:rsidP="009F141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p>
        </w:tc>
        <w:tc>
          <w:tcPr>
            <w:tcW w:w="928" w:type="dxa"/>
            <w:hideMark/>
          </w:tcPr>
          <w:p w14:paraId="5A479491" w14:textId="77777777" w:rsidR="005A48F1" w:rsidRPr="00BD4849" w:rsidRDefault="005A48F1" w:rsidP="009F141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0,85</w:t>
            </w:r>
          </w:p>
        </w:tc>
        <w:tc>
          <w:tcPr>
            <w:tcW w:w="929" w:type="dxa"/>
            <w:hideMark/>
          </w:tcPr>
          <w:p w14:paraId="071B5A2B" w14:textId="67858533" w:rsidR="005A48F1" w:rsidRPr="00BD4849" w:rsidRDefault="005A48F1" w:rsidP="009F141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0,7</w:t>
            </w:r>
            <w:r w:rsidR="006D5278">
              <w:rPr>
                <w:rFonts w:ascii="Arial" w:eastAsia="Times New Roman" w:hAnsi="Arial" w:cs="Arial"/>
                <w:sz w:val="20"/>
                <w:szCs w:val="20"/>
                <w:lang w:eastAsia="sl-SI"/>
              </w:rPr>
              <w:t>3</w:t>
            </w:r>
          </w:p>
        </w:tc>
        <w:tc>
          <w:tcPr>
            <w:tcW w:w="929" w:type="dxa"/>
            <w:hideMark/>
          </w:tcPr>
          <w:p w14:paraId="3F5ECEC8" w14:textId="44E3DC1A" w:rsidR="005A48F1" w:rsidRPr="00BD4849" w:rsidRDefault="005A48F1" w:rsidP="009F141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-1,</w:t>
            </w:r>
            <w:r w:rsidR="006D5278">
              <w:rPr>
                <w:rFonts w:ascii="Arial" w:eastAsia="Times New Roman" w:hAnsi="Arial" w:cs="Arial"/>
                <w:sz w:val="20"/>
                <w:szCs w:val="20"/>
                <w:lang w:eastAsia="sl-SI"/>
              </w:rPr>
              <w:t>58</w:t>
            </w:r>
          </w:p>
        </w:tc>
      </w:tr>
      <w:tr w:rsidR="005A48F1" w:rsidRPr="00BD4849" w14:paraId="7ADCE97A" w14:textId="77777777" w:rsidTr="009F1410">
        <w:trPr>
          <w:trHeight w:val="92"/>
        </w:trPr>
        <w:tc>
          <w:tcPr>
            <w:cnfStyle w:val="001000000000" w:firstRow="0" w:lastRow="0" w:firstColumn="1" w:lastColumn="0" w:oddVBand="0" w:evenVBand="0" w:oddHBand="0" w:evenHBand="0" w:firstRowFirstColumn="0" w:firstRowLastColumn="0" w:lastRowFirstColumn="0" w:lastRowLastColumn="0"/>
            <w:tcW w:w="4536" w:type="dxa"/>
            <w:hideMark/>
          </w:tcPr>
          <w:p w14:paraId="4437FAA4"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Ukrep finančnih instrumentov SID banka</w:t>
            </w:r>
          </w:p>
        </w:tc>
        <w:tc>
          <w:tcPr>
            <w:tcW w:w="835" w:type="dxa"/>
            <w:hideMark/>
          </w:tcPr>
          <w:p w14:paraId="32973095" w14:textId="77777777" w:rsidR="005A48F1" w:rsidRPr="00BD4849" w:rsidRDefault="005A48F1" w:rsidP="009F141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p>
        </w:tc>
        <w:tc>
          <w:tcPr>
            <w:tcW w:w="1199" w:type="dxa"/>
          </w:tcPr>
          <w:p w14:paraId="6D2F9726" w14:textId="77777777" w:rsidR="005A48F1" w:rsidRPr="00BD4849" w:rsidRDefault="005A48F1" w:rsidP="009F141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p>
        </w:tc>
        <w:tc>
          <w:tcPr>
            <w:tcW w:w="928" w:type="dxa"/>
            <w:hideMark/>
          </w:tcPr>
          <w:p w14:paraId="55C67089" w14:textId="77777777" w:rsidR="005A48F1" w:rsidRPr="00BD4849" w:rsidRDefault="005A48F1" w:rsidP="009F141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0,24</w:t>
            </w:r>
          </w:p>
        </w:tc>
        <w:tc>
          <w:tcPr>
            <w:tcW w:w="929" w:type="dxa"/>
            <w:hideMark/>
          </w:tcPr>
          <w:p w14:paraId="38D8089E" w14:textId="5B7F4B68" w:rsidR="005A48F1" w:rsidRPr="00BD4849" w:rsidRDefault="006D5278" w:rsidP="009F141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Pr>
                <w:rFonts w:ascii="Arial" w:eastAsia="Times New Roman" w:hAnsi="Arial" w:cs="Arial"/>
                <w:sz w:val="20"/>
                <w:szCs w:val="20"/>
                <w:lang w:eastAsia="sl-SI"/>
              </w:rPr>
              <w:t>-</w:t>
            </w:r>
            <w:r w:rsidR="005A48F1" w:rsidRPr="00BD4849">
              <w:rPr>
                <w:rFonts w:ascii="Arial" w:eastAsia="Times New Roman" w:hAnsi="Arial" w:cs="Arial"/>
                <w:sz w:val="20"/>
                <w:szCs w:val="20"/>
                <w:lang w:eastAsia="sl-SI"/>
              </w:rPr>
              <w:t>0,0</w:t>
            </w:r>
            <w:r>
              <w:rPr>
                <w:rFonts w:ascii="Arial" w:eastAsia="Times New Roman" w:hAnsi="Arial" w:cs="Arial"/>
                <w:sz w:val="20"/>
                <w:szCs w:val="20"/>
                <w:lang w:eastAsia="sl-SI"/>
              </w:rPr>
              <w:t>2</w:t>
            </w:r>
          </w:p>
        </w:tc>
        <w:tc>
          <w:tcPr>
            <w:tcW w:w="929" w:type="dxa"/>
            <w:hideMark/>
          </w:tcPr>
          <w:p w14:paraId="52CF6EDD" w14:textId="737A78F9" w:rsidR="005A48F1" w:rsidRPr="00BD4849" w:rsidRDefault="005A48F1" w:rsidP="009F141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-0,2</w:t>
            </w:r>
            <w:r w:rsidR="006D5278">
              <w:rPr>
                <w:rFonts w:ascii="Arial" w:eastAsia="Times New Roman" w:hAnsi="Arial" w:cs="Arial"/>
                <w:sz w:val="20"/>
                <w:szCs w:val="20"/>
                <w:lang w:eastAsia="sl-SI"/>
              </w:rPr>
              <w:t>2</w:t>
            </w:r>
          </w:p>
        </w:tc>
      </w:tr>
    </w:tbl>
    <w:p w14:paraId="07F5DB52" w14:textId="77777777" w:rsidR="005A48F1" w:rsidRPr="009924DC" w:rsidRDefault="005A48F1" w:rsidP="009924DC">
      <w:pPr>
        <w:pStyle w:val="Caption"/>
        <w:spacing w:before="0" w:after="0"/>
        <w:ind w:left="0" w:firstLine="0"/>
        <w:rPr>
          <w:rFonts w:ascii="Arial" w:hAnsi="Arial" w:cs="Arial"/>
          <w:b w:val="0"/>
          <w:bCs/>
          <w:i w:val="0"/>
          <w:iCs/>
        </w:rPr>
      </w:pPr>
      <w:r w:rsidRPr="009924DC">
        <w:rPr>
          <w:rFonts w:ascii="Arial" w:hAnsi="Arial" w:cs="Arial"/>
          <w:b w:val="0"/>
          <w:bCs/>
          <w:i w:val="0"/>
          <w:iCs/>
        </w:rPr>
        <w:t>Vir: Ministrstvo za finance.</w:t>
      </w:r>
    </w:p>
    <w:p w14:paraId="11843046" w14:textId="25E5C9EA" w:rsidR="005A48F1" w:rsidRPr="00F4141D" w:rsidRDefault="005A48F1" w:rsidP="005A48F1">
      <w:pPr>
        <w:spacing w:line="240" w:lineRule="auto"/>
        <w:jc w:val="both"/>
        <w:rPr>
          <w:rFonts w:ascii="Arial" w:hAnsi="Arial" w:cs="Arial"/>
        </w:rPr>
      </w:pPr>
      <w:r w:rsidRPr="00F4141D">
        <w:rPr>
          <w:rFonts w:ascii="Arial" w:hAnsi="Arial" w:cs="Arial"/>
        </w:rPr>
        <w:lastRenderedPageBreak/>
        <w:t>Tabela 6: Ukrepi Osnutka proračunskega načrta 2024, ki naslavljajo Priporočila Sveta z dne 14. julija 2023 v zvezi z nacionalnim reformnim programom Slovenije za leto 2023 in mnenje Sveta o programu stabilnosti Slovenije za leto 2023</w:t>
      </w:r>
    </w:p>
    <w:tbl>
      <w:tblPr>
        <w:tblStyle w:val="TableGrid"/>
        <w:tblW w:w="0" w:type="auto"/>
        <w:tblLook w:val="04A0" w:firstRow="1" w:lastRow="0" w:firstColumn="1" w:lastColumn="0" w:noHBand="0" w:noVBand="1"/>
      </w:tblPr>
      <w:tblGrid>
        <w:gridCol w:w="3020"/>
        <w:gridCol w:w="4063"/>
        <w:gridCol w:w="1979"/>
      </w:tblGrid>
      <w:tr w:rsidR="005A48F1" w:rsidRPr="00F97482" w14:paraId="08A42513" w14:textId="77777777" w:rsidTr="009F1410">
        <w:tc>
          <w:tcPr>
            <w:tcW w:w="3020" w:type="dxa"/>
            <w:shd w:val="clear" w:color="auto" w:fill="D9D9D9" w:themeFill="background1" w:themeFillShade="D9"/>
          </w:tcPr>
          <w:p w14:paraId="173CBA62" w14:textId="77777777" w:rsidR="005A48F1" w:rsidRPr="00F97482" w:rsidRDefault="005A48F1" w:rsidP="009F1410">
            <w:pPr>
              <w:jc w:val="both"/>
              <w:rPr>
                <w:b/>
                <w:bCs/>
              </w:rPr>
            </w:pPr>
            <w:r w:rsidRPr="00F97482">
              <w:rPr>
                <w:b/>
                <w:bCs/>
              </w:rPr>
              <w:t>Priporočilo:</w:t>
            </w:r>
          </w:p>
        </w:tc>
        <w:tc>
          <w:tcPr>
            <w:tcW w:w="4063" w:type="dxa"/>
            <w:shd w:val="clear" w:color="auto" w:fill="D9D9D9" w:themeFill="background1" w:themeFillShade="D9"/>
          </w:tcPr>
          <w:p w14:paraId="0FC709FC" w14:textId="77777777" w:rsidR="005A48F1" w:rsidRPr="00F97482" w:rsidRDefault="005A48F1" w:rsidP="009F1410">
            <w:pPr>
              <w:jc w:val="both"/>
              <w:rPr>
                <w:b/>
                <w:bCs/>
              </w:rPr>
            </w:pPr>
            <w:r w:rsidRPr="00F97482">
              <w:rPr>
                <w:b/>
                <w:bCs/>
              </w:rPr>
              <w:t>Ukrepi:</w:t>
            </w:r>
          </w:p>
        </w:tc>
        <w:tc>
          <w:tcPr>
            <w:tcW w:w="1979" w:type="dxa"/>
            <w:shd w:val="clear" w:color="auto" w:fill="D9D9D9" w:themeFill="background1" w:themeFillShade="D9"/>
          </w:tcPr>
          <w:p w14:paraId="61D6CDDB" w14:textId="77777777" w:rsidR="005A48F1" w:rsidRPr="00F97482" w:rsidRDefault="005A48F1" w:rsidP="009F1410">
            <w:pPr>
              <w:jc w:val="both"/>
              <w:rPr>
                <w:b/>
                <w:bCs/>
              </w:rPr>
            </w:pPr>
            <w:r w:rsidRPr="00F97482">
              <w:rPr>
                <w:b/>
                <w:bCs/>
              </w:rPr>
              <w:t>Naslavljanje:</w:t>
            </w:r>
          </w:p>
        </w:tc>
      </w:tr>
      <w:tr w:rsidR="005A48F1" w:rsidRPr="0029569E" w14:paraId="16F8E998" w14:textId="77777777" w:rsidTr="009F1410">
        <w:tc>
          <w:tcPr>
            <w:tcW w:w="3020" w:type="dxa"/>
            <w:shd w:val="clear" w:color="auto" w:fill="8EAADB" w:themeFill="accent5" w:themeFillTint="99"/>
          </w:tcPr>
          <w:p w14:paraId="1C2F0D91" w14:textId="77777777" w:rsidR="005A48F1" w:rsidRPr="0029569E" w:rsidRDefault="005A48F1" w:rsidP="009F1410">
            <w:pPr>
              <w:jc w:val="both"/>
              <w:rPr>
                <w:rFonts w:ascii="Calibri" w:hAnsi="Calibri" w:cs="Calibri"/>
                <w:b/>
                <w:bCs/>
                <w:iCs/>
              </w:rPr>
            </w:pPr>
            <w:r w:rsidRPr="0029569E">
              <w:rPr>
                <w:rFonts w:ascii="Calibri" w:hAnsi="Calibri" w:cs="Calibri"/>
                <w:b/>
                <w:bCs/>
                <w:iCs/>
              </w:rPr>
              <w:t>CSR 1</w:t>
            </w:r>
          </w:p>
          <w:p w14:paraId="542827FA" w14:textId="77777777" w:rsidR="005A48F1" w:rsidRPr="0029569E" w:rsidRDefault="005A48F1" w:rsidP="009F1410">
            <w:pPr>
              <w:jc w:val="both"/>
              <w:rPr>
                <w:rFonts w:ascii="Calibri" w:hAnsi="Calibri" w:cs="Calibri"/>
                <w:b/>
                <w:bCs/>
                <w:iCs/>
              </w:rPr>
            </w:pPr>
          </w:p>
        </w:tc>
        <w:tc>
          <w:tcPr>
            <w:tcW w:w="4063" w:type="dxa"/>
            <w:shd w:val="clear" w:color="auto" w:fill="8EAADB" w:themeFill="accent5" w:themeFillTint="99"/>
          </w:tcPr>
          <w:p w14:paraId="2392736B" w14:textId="77777777" w:rsidR="005A48F1" w:rsidRPr="0029569E" w:rsidRDefault="005A48F1" w:rsidP="009F1410">
            <w:pPr>
              <w:jc w:val="both"/>
              <w:rPr>
                <w:rFonts w:ascii="Calibri" w:hAnsi="Calibri" w:cs="Calibri"/>
                <w:b/>
                <w:bCs/>
                <w:iCs/>
              </w:rPr>
            </w:pPr>
          </w:p>
        </w:tc>
        <w:tc>
          <w:tcPr>
            <w:tcW w:w="1979" w:type="dxa"/>
            <w:shd w:val="clear" w:color="auto" w:fill="8EAADB" w:themeFill="accent5" w:themeFillTint="99"/>
          </w:tcPr>
          <w:p w14:paraId="4462A24B" w14:textId="77777777" w:rsidR="005A48F1" w:rsidRPr="0029569E" w:rsidRDefault="005A48F1" w:rsidP="009F1410">
            <w:pPr>
              <w:jc w:val="both"/>
              <w:rPr>
                <w:rFonts w:ascii="Calibri" w:hAnsi="Calibri" w:cs="Calibri"/>
                <w:b/>
                <w:bCs/>
                <w:iCs/>
              </w:rPr>
            </w:pPr>
          </w:p>
        </w:tc>
      </w:tr>
      <w:tr w:rsidR="005A48F1" w:rsidRPr="00F97482" w14:paraId="010FA1F7" w14:textId="77777777" w:rsidTr="009F1410">
        <w:tc>
          <w:tcPr>
            <w:tcW w:w="3020" w:type="dxa"/>
            <w:shd w:val="clear" w:color="auto" w:fill="D9D9D9" w:themeFill="background1" w:themeFillShade="D9"/>
          </w:tcPr>
          <w:p w14:paraId="66263798" w14:textId="77777777" w:rsidR="005A48F1" w:rsidRPr="005D3DF2" w:rsidRDefault="005A48F1" w:rsidP="009F1410">
            <w:pPr>
              <w:jc w:val="both"/>
              <w:rPr>
                <w:b/>
                <w:bCs/>
              </w:rPr>
            </w:pPr>
            <w:r w:rsidRPr="005D3DF2">
              <w:rPr>
                <w:b/>
                <w:bCs/>
              </w:rPr>
              <w:t>v letih 2023 in 2024 čim prej postopoma odpravi veljavne izredne energetske podporne ukrepe, pri čemer uporabi s tem povezane prihranke za zmanjšanje javnofinančnega primanjkljaja. Če bodo zaradi ponovnih zvišanj cen energije potrebni novi ali nadaljnji podporni ukrepi, zagotovi, da bodo ti podporni ukrepi usmerjeni v zaščito ranljivih gospodinjstev in podjetij, da bodo fiskalno vzdržni in da bodo ohranili spodbude za varčevanje z energijo;</w:t>
            </w:r>
          </w:p>
          <w:p w14:paraId="632FB814" w14:textId="77777777" w:rsidR="005A48F1" w:rsidRPr="00F97482" w:rsidRDefault="005A48F1" w:rsidP="009F1410">
            <w:pPr>
              <w:jc w:val="both"/>
            </w:pPr>
          </w:p>
        </w:tc>
        <w:tc>
          <w:tcPr>
            <w:tcW w:w="4063" w:type="dxa"/>
          </w:tcPr>
          <w:p w14:paraId="38B5CCC1" w14:textId="77777777" w:rsidR="005A48F1" w:rsidRPr="009924DC" w:rsidRDefault="005A48F1" w:rsidP="009F1410">
            <w:pPr>
              <w:jc w:val="both"/>
              <w:rPr>
                <w:rFonts w:cstheme="minorHAnsi"/>
              </w:rPr>
            </w:pPr>
            <w:r w:rsidRPr="009924DC">
              <w:rPr>
                <w:rFonts w:cstheme="minorHAnsi"/>
              </w:rPr>
              <w:t xml:space="preserve">Energetski podporni ukrepi, ki so bili sprejeti zaradi energetske krize, se postopoma odpravljajo. (podrobnosti tabela 3 v DBP) </w:t>
            </w:r>
          </w:p>
          <w:p w14:paraId="317CDAC3" w14:textId="77777777" w:rsidR="005A48F1" w:rsidRPr="009924DC" w:rsidRDefault="005A48F1" w:rsidP="009F1410">
            <w:pPr>
              <w:jc w:val="both"/>
              <w:rPr>
                <w:rFonts w:cstheme="minorHAnsi"/>
              </w:rPr>
            </w:pPr>
          </w:p>
          <w:p w14:paraId="1DE12BBB" w14:textId="77777777" w:rsidR="005A48F1" w:rsidRPr="009924DC" w:rsidRDefault="005A48F1" w:rsidP="009F1410">
            <w:pPr>
              <w:jc w:val="both"/>
              <w:rPr>
                <w:rFonts w:cstheme="minorHAnsi"/>
              </w:rPr>
            </w:pPr>
            <w:r w:rsidRPr="009924DC">
              <w:rPr>
                <w:rFonts w:cstheme="minorHAnsi"/>
              </w:rPr>
              <w:t>Z letom 2024 bo regulacija cen zemeljskega plina prenehala, za električno energijo pa se morda obeta podražitev in morebitno podaljšanje cenovnih omejitev izključno za najbolj ranljive skupine.</w:t>
            </w:r>
          </w:p>
          <w:p w14:paraId="625763F2" w14:textId="77777777" w:rsidR="005A48F1" w:rsidRPr="009924DC" w:rsidRDefault="005A48F1" w:rsidP="009F1410">
            <w:pPr>
              <w:jc w:val="both"/>
              <w:rPr>
                <w:rFonts w:cstheme="minorHAnsi"/>
              </w:rPr>
            </w:pPr>
          </w:p>
          <w:p w14:paraId="4DA231E6" w14:textId="77777777" w:rsidR="005A48F1" w:rsidRPr="009924DC" w:rsidRDefault="005A48F1" w:rsidP="009F1410">
            <w:pPr>
              <w:jc w:val="both"/>
              <w:rPr>
                <w:rFonts w:cstheme="minorHAnsi"/>
              </w:rPr>
            </w:pPr>
            <w:r w:rsidRPr="009924DC">
              <w:rPr>
                <w:rFonts w:cstheme="minorHAnsi"/>
              </w:rPr>
              <w:t>Manjši del izplačil pomoči podjetjem se glede na zakonsko časovnico pričakuje tudi še v letu 2024. Poleg teh ukrepov z neposrednim javnofinančnim učinkom so bili sprejeti tudi poroštveni zakoni za elektroenergetska podjetja (292 mio EUR) in drugi likvidnostni ukrepi za sistemskega operaterja prenosnega omrežja v RS, preko SID banke pa so bila omogočena tudi likvidnostna posojila za podjetja.</w:t>
            </w:r>
          </w:p>
          <w:p w14:paraId="62612F7A" w14:textId="77777777" w:rsidR="005A48F1" w:rsidRPr="009924DC" w:rsidRDefault="005A48F1" w:rsidP="009F1410">
            <w:pPr>
              <w:jc w:val="both"/>
              <w:rPr>
                <w:rFonts w:cstheme="minorHAnsi"/>
              </w:rPr>
            </w:pPr>
          </w:p>
          <w:p w14:paraId="45673CE0" w14:textId="77777777" w:rsidR="005A48F1" w:rsidRPr="009924DC" w:rsidRDefault="001C6FA5" w:rsidP="009F1410">
            <w:pPr>
              <w:jc w:val="both"/>
              <w:rPr>
                <w:rFonts w:cstheme="minorHAnsi"/>
                <w:i/>
                <w:iCs/>
              </w:rPr>
            </w:pPr>
            <w:hyperlink r:id="rId34" w:history="1">
              <w:r w:rsidR="005A48F1" w:rsidRPr="009924DC">
                <w:rPr>
                  <w:rStyle w:val="Hyperlink"/>
                  <w:rFonts w:cstheme="minorHAnsi"/>
                  <w:i/>
                  <w:iCs/>
                </w:rPr>
                <w:t>https://www.energetika-portal.si/podrocja/energetika/ukrepi-za-omilitev-draginje-na-podrocju-energetike/</w:t>
              </w:r>
            </w:hyperlink>
            <w:r w:rsidR="005A48F1" w:rsidRPr="009924DC">
              <w:rPr>
                <w:rFonts w:cstheme="minorHAnsi"/>
                <w:i/>
                <w:iCs/>
              </w:rPr>
              <w:t xml:space="preserve"> </w:t>
            </w:r>
          </w:p>
          <w:p w14:paraId="24974A3F" w14:textId="77777777" w:rsidR="005A48F1" w:rsidRPr="009924DC" w:rsidRDefault="005A48F1" w:rsidP="005A48F1">
            <w:pPr>
              <w:pStyle w:val="ListParagraph"/>
              <w:numPr>
                <w:ilvl w:val="0"/>
                <w:numId w:val="27"/>
              </w:numPr>
              <w:contextualSpacing w:val="0"/>
              <w:rPr>
                <w:rFonts w:asciiTheme="minorHAnsi" w:hAnsiTheme="minorHAnsi" w:cstheme="minorHAnsi"/>
              </w:rPr>
            </w:pPr>
            <w:r w:rsidRPr="009924DC">
              <w:rPr>
                <w:rFonts w:asciiTheme="minorHAnsi" w:hAnsiTheme="minorHAnsi" w:cstheme="minorHAnsi"/>
              </w:rPr>
              <w:t>Zakon o nujnem posredovanju za obravnavo visokih cen energije (ZNPOVCE) (Uradni list RS, št. 158/22)</w:t>
            </w:r>
          </w:p>
          <w:p w14:paraId="5B0829CD" w14:textId="77777777" w:rsidR="005A48F1" w:rsidRPr="009924DC" w:rsidRDefault="005A48F1" w:rsidP="005A48F1">
            <w:pPr>
              <w:pStyle w:val="ListParagraph"/>
              <w:numPr>
                <w:ilvl w:val="0"/>
                <w:numId w:val="27"/>
              </w:numPr>
              <w:contextualSpacing w:val="0"/>
              <w:rPr>
                <w:rFonts w:asciiTheme="minorHAnsi" w:hAnsiTheme="minorHAnsi" w:cstheme="minorHAnsi"/>
              </w:rPr>
            </w:pPr>
            <w:r w:rsidRPr="009924DC">
              <w:rPr>
                <w:rFonts w:asciiTheme="minorHAnsi" w:hAnsiTheme="minorHAnsi" w:cstheme="minorHAnsi"/>
              </w:rPr>
              <w:t>Uredba o določitvi cene električne energije (Uradni list RS, št. </w:t>
            </w:r>
            <w:hyperlink r:id="rId35" w:tgtFrame="_blank" w:tooltip="Uredba o določitvi cene električne energije" w:history="1">
              <w:r w:rsidRPr="009924DC">
                <w:rPr>
                  <w:rFonts w:asciiTheme="minorHAnsi" w:hAnsiTheme="minorHAnsi" w:cstheme="minorHAnsi"/>
                </w:rPr>
                <w:t>45/23</w:t>
              </w:r>
            </w:hyperlink>
            <w:r w:rsidRPr="009924DC">
              <w:rPr>
                <w:rFonts w:asciiTheme="minorHAnsi" w:hAnsiTheme="minorHAnsi" w:cstheme="minorHAnsi"/>
              </w:rPr>
              <w:t>)</w:t>
            </w:r>
          </w:p>
          <w:p w14:paraId="63389249" w14:textId="77777777" w:rsidR="005A48F1" w:rsidRPr="009924DC" w:rsidRDefault="005A48F1" w:rsidP="005A48F1">
            <w:pPr>
              <w:pStyle w:val="ListParagraph"/>
              <w:numPr>
                <w:ilvl w:val="0"/>
                <w:numId w:val="27"/>
              </w:numPr>
              <w:contextualSpacing w:val="0"/>
              <w:rPr>
                <w:rFonts w:asciiTheme="minorHAnsi" w:hAnsiTheme="minorHAnsi" w:cstheme="minorHAnsi"/>
              </w:rPr>
            </w:pPr>
            <w:r w:rsidRPr="009924DC">
              <w:rPr>
                <w:rFonts w:asciiTheme="minorHAnsi" w:hAnsiTheme="minorHAnsi" w:cstheme="minorHAnsi"/>
              </w:rPr>
              <w:t>Uredba o določitvi cene električne energije za nekatere pravne osebe javnega prava, za izvajalce javno veljavnih programov vzgoje in</w:t>
            </w:r>
            <w:r w:rsidRPr="009924DC">
              <w:rPr>
                <w:rFonts w:asciiTheme="minorHAnsi" w:hAnsiTheme="minorHAnsi" w:cstheme="minorHAnsi"/>
                <w:i/>
                <w:iCs/>
              </w:rPr>
              <w:t xml:space="preserve"> </w:t>
            </w:r>
            <w:r w:rsidRPr="009924DC">
              <w:rPr>
                <w:rFonts w:asciiTheme="minorHAnsi" w:hAnsiTheme="minorHAnsi" w:cstheme="minorHAnsi"/>
              </w:rPr>
              <w:t>izobraževanje ter za izvajalce socialno varstvenih storitev, socialnovarstvenih programov in programov v podporo družini (Ur. l. RS, št. 162/2022)</w:t>
            </w:r>
          </w:p>
          <w:p w14:paraId="0C50DB2E" w14:textId="77777777" w:rsidR="005A48F1" w:rsidRPr="009924DC" w:rsidRDefault="005A48F1" w:rsidP="005A48F1">
            <w:pPr>
              <w:pStyle w:val="ListParagraph"/>
              <w:numPr>
                <w:ilvl w:val="0"/>
                <w:numId w:val="27"/>
              </w:numPr>
              <w:contextualSpacing w:val="0"/>
              <w:rPr>
                <w:rFonts w:asciiTheme="minorHAnsi" w:hAnsiTheme="minorHAnsi" w:cstheme="minorHAnsi"/>
              </w:rPr>
            </w:pPr>
            <w:r w:rsidRPr="009924DC">
              <w:rPr>
                <w:rFonts w:asciiTheme="minorHAnsi" w:hAnsiTheme="minorHAnsi" w:cstheme="minorHAnsi"/>
              </w:rPr>
              <w:t>Uredba o določitvi cene električne energije za mikro, mala in srednja podjetja (Uradni list RS, št. </w:t>
            </w:r>
            <w:hyperlink r:id="rId36" w:tgtFrame="_blank" w:tooltip="Uredba o določitvi cene električne energije za mikro, mala in srednja podjetja" w:history="1">
              <w:r w:rsidRPr="009924DC">
                <w:rPr>
                  <w:rFonts w:asciiTheme="minorHAnsi" w:hAnsiTheme="minorHAnsi" w:cstheme="minorHAnsi"/>
                </w:rPr>
                <w:t>45/23</w:t>
              </w:r>
            </w:hyperlink>
            <w:r w:rsidRPr="009924DC">
              <w:rPr>
                <w:rFonts w:asciiTheme="minorHAnsi" w:hAnsiTheme="minorHAnsi" w:cstheme="minorHAnsi"/>
                <w:b/>
                <w:bCs/>
                <w:color w:val="626060"/>
                <w:shd w:val="clear" w:color="auto" w:fill="FFFFFF"/>
              </w:rPr>
              <w:t>)</w:t>
            </w:r>
            <w:r w:rsidRPr="009924DC">
              <w:rPr>
                <w:rFonts w:asciiTheme="minorHAnsi" w:hAnsiTheme="minorHAnsi" w:cstheme="minorHAnsi"/>
              </w:rPr>
              <w:t xml:space="preserve"> </w:t>
            </w:r>
          </w:p>
          <w:p w14:paraId="14F53354" w14:textId="77777777" w:rsidR="005A48F1" w:rsidRPr="009924DC" w:rsidRDefault="005A48F1" w:rsidP="005A48F1">
            <w:pPr>
              <w:pStyle w:val="ListParagraph"/>
              <w:numPr>
                <w:ilvl w:val="0"/>
                <w:numId w:val="27"/>
              </w:numPr>
              <w:contextualSpacing w:val="0"/>
              <w:rPr>
                <w:rFonts w:asciiTheme="minorHAnsi" w:hAnsiTheme="minorHAnsi" w:cstheme="minorHAnsi"/>
              </w:rPr>
            </w:pPr>
            <w:r w:rsidRPr="009924DC">
              <w:rPr>
                <w:rFonts w:asciiTheme="minorHAnsi" w:hAnsiTheme="minorHAnsi" w:cstheme="minorHAnsi"/>
              </w:rPr>
              <w:t>Uredba o določitvi cen zemeljskega plina iz plinskega sistema (Uradni list RS, št. 45/23)</w:t>
            </w:r>
          </w:p>
          <w:p w14:paraId="1DBED929" w14:textId="77777777" w:rsidR="005A48F1" w:rsidRPr="009924DC" w:rsidRDefault="005A48F1" w:rsidP="005A48F1">
            <w:pPr>
              <w:pStyle w:val="ListParagraph"/>
              <w:numPr>
                <w:ilvl w:val="0"/>
                <w:numId w:val="27"/>
              </w:numPr>
              <w:contextualSpacing w:val="0"/>
              <w:rPr>
                <w:rFonts w:asciiTheme="minorHAnsi" w:hAnsiTheme="minorHAnsi" w:cstheme="minorHAnsi"/>
              </w:rPr>
            </w:pPr>
            <w:r w:rsidRPr="009924DC">
              <w:rPr>
                <w:rFonts w:asciiTheme="minorHAnsi" w:hAnsiTheme="minorHAnsi" w:cstheme="minorHAnsi"/>
              </w:rPr>
              <w:lastRenderedPageBreak/>
              <w:t xml:space="preserve">Uredba o določitvi cene zemeljskega plina iz plinskega sistema za nekatere pravne osebe javnega prava, za izvajalce javno veljavnih programov vzgoje in izobraževanja, za izvajalce socialno varstvenih storitev, socialnovarstvenih programov in programov v podporo družini (Uradni list RS, št. 162/22) </w:t>
            </w:r>
          </w:p>
          <w:p w14:paraId="3D9DC3D9" w14:textId="77777777" w:rsidR="005A48F1" w:rsidRPr="009924DC" w:rsidRDefault="005A48F1" w:rsidP="005A48F1">
            <w:pPr>
              <w:pStyle w:val="ListParagraph"/>
              <w:numPr>
                <w:ilvl w:val="0"/>
                <w:numId w:val="27"/>
              </w:numPr>
              <w:contextualSpacing w:val="0"/>
              <w:rPr>
                <w:rFonts w:asciiTheme="minorHAnsi" w:hAnsiTheme="minorHAnsi" w:cstheme="minorHAnsi"/>
              </w:rPr>
            </w:pPr>
            <w:r w:rsidRPr="009924DC">
              <w:rPr>
                <w:rFonts w:asciiTheme="minorHAnsi" w:hAnsiTheme="minorHAnsi" w:cstheme="minorHAnsi"/>
              </w:rPr>
              <w:t>Uredba o oblikovanju cene toplote iz daljinskega ogrevanja (Uradni list RS, št. 9/23)</w:t>
            </w:r>
          </w:p>
          <w:p w14:paraId="686F4062" w14:textId="77777777" w:rsidR="005A48F1" w:rsidRPr="009924DC" w:rsidRDefault="005A48F1" w:rsidP="005A48F1">
            <w:pPr>
              <w:pStyle w:val="ListParagraph"/>
              <w:numPr>
                <w:ilvl w:val="0"/>
                <w:numId w:val="27"/>
              </w:numPr>
              <w:contextualSpacing w:val="0"/>
              <w:rPr>
                <w:rFonts w:asciiTheme="minorHAnsi" w:hAnsiTheme="minorHAnsi" w:cstheme="minorHAnsi"/>
              </w:rPr>
            </w:pPr>
            <w:r w:rsidRPr="009924DC">
              <w:rPr>
                <w:rFonts w:asciiTheme="minorHAnsi" w:hAnsiTheme="minorHAnsi" w:cstheme="minorHAnsi"/>
              </w:rPr>
              <w:t>Uredba o določitvi nadomestila dobaviteljem električne energije (Uradni list RS, št. 4/23)</w:t>
            </w:r>
          </w:p>
          <w:p w14:paraId="0F05E6AA" w14:textId="77777777" w:rsidR="005A48F1" w:rsidRPr="009924DC" w:rsidRDefault="005A48F1" w:rsidP="005A48F1">
            <w:pPr>
              <w:pStyle w:val="ListParagraph"/>
              <w:numPr>
                <w:ilvl w:val="0"/>
                <w:numId w:val="27"/>
              </w:numPr>
              <w:contextualSpacing w:val="0"/>
              <w:rPr>
                <w:rFonts w:asciiTheme="minorHAnsi" w:hAnsiTheme="minorHAnsi" w:cstheme="minorHAnsi"/>
              </w:rPr>
            </w:pPr>
            <w:r w:rsidRPr="009924DC">
              <w:rPr>
                <w:rFonts w:asciiTheme="minorHAnsi" w:hAnsiTheme="minorHAnsi" w:cstheme="minorHAnsi"/>
              </w:rPr>
              <w:t>Uredba o določitvi nadomestila dobaviteljem zemeljskega plina (Uradni list RS, št. 4/23)</w:t>
            </w:r>
          </w:p>
          <w:p w14:paraId="706ED348" w14:textId="77777777" w:rsidR="005A48F1" w:rsidRPr="009924DC" w:rsidRDefault="005A48F1" w:rsidP="005A48F1">
            <w:pPr>
              <w:pStyle w:val="ListParagraph"/>
              <w:numPr>
                <w:ilvl w:val="0"/>
                <w:numId w:val="27"/>
              </w:numPr>
              <w:contextualSpacing w:val="0"/>
              <w:rPr>
                <w:rFonts w:asciiTheme="minorHAnsi" w:hAnsiTheme="minorHAnsi" w:cstheme="minorHAnsi"/>
              </w:rPr>
            </w:pPr>
            <w:r w:rsidRPr="009924DC">
              <w:rPr>
                <w:rFonts w:asciiTheme="minorHAnsi" w:hAnsiTheme="minorHAnsi" w:cstheme="minorHAnsi"/>
              </w:rPr>
              <w:t>Uredba o določitvi nadomestila distributerjem toplote iz sistemov daljinskega ogrevanja (Uradni list RS, št. 74/23)</w:t>
            </w:r>
          </w:p>
        </w:tc>
        <w:tc>
          <w:tcPr>
            <w:tcW w:w="1979" w:type="dxa"/>
          </w:tcPr>
          <w:p w14:paraId="66AC74F4" w14:textId="77777777" w:rsidR="005A48F1" w:rsidRPr="00F97482" w:rsidRDefault="005A48F1" w:rsidP="009F1410">
            <w:pPr>
              <w:jc w:val="both"/>
            </w:pPr>
            <w:r w:rsidRPr="00F97482">
              <w:rPr>
                <w:rFonts w:ascii="Calibri" w:hAnsi="Calibri" w:cs="Calibri"/>
              </w:rPr>
              <w:lastRenderedPageBreak/>
              <w:t xml:space="preserve">Ukrepi </w:t>
            </w:r>
            <w:r>
              <w:rPr>
                <w:rFonts w:ascii="Calibri" w:hAnsi="Calibri" w:cs="Calibri"/>
              </w:rPr>
              <w:t xml:space="preserve">delno </w:t>
            </w:r>
            <w:r w:rsidRPr="00F97482">
              <w:rPr>
                <w:rFonts w:ascii="Calibri" w:hAnsi="Calibri" w:cs="Calibri"/>
              </w:rPr>
              <w:t xml:space="preserve">naslavljajo </w:t>
            </w:r>
            <w:r>
              <w:rPr>
                <w:rFonts w:ascii="Calibri" w:hAnsi="Calibri" w:cs="Calibri"/>
              </w:rPr>
              <w:t>priporočila</w:t>
            </w:r>
            <w:r w:rsidRPr="00F97482">
              <w:rPr>
                <w:rFonts w:ascii="Calibri" w:hAnsi="Calibri" w:cs="Calibri"/>
              </w:rPr>
              <w:t>.</w:t>
            </w:r>
          </w:p>
        </w:tc>
      </w:tr>
      <w:tr w:rsidR="005A48F1" w:rsidRPr="00F97482" w14:paraId="124DA645" w14:textId="77777777" w:rsidTr="009F1410">
        <w:tc>
          <w:tcPr>
            <w:tcW w:w="3020" w:type="dxa"/>
            <w:shd w:val="clear" w:color="auto" w:fill="D9D9D9" w:themeFill="background1" w:themeFillShade="D9"/>
          </w:tcPr>
          <w:p w14:paraId="4FC534BB" w14:textId="77777777" w:rsidR="005A48F1" w:rsidRPr="005D3DF2" w:rsidRDefault="005A48F1" w:rsidP="009F1410">
            <w:pPr>
              <w:jc w:val="both"/>
              <w:rPr>
                <w:b/>
                <w:bCs/>
              </w:rPr>
            </w:pPr>
            <w:r w:rsidRPr="005715AB">
              <w:rPr>
                <w:b/>
                <w:bCs/>
              </w:rPr>
              <w:t>zagotovi preudarno fiskalno politiko, zlasti z omejitvijo nominalnega povečanja nacionalno financiranih neto primarnih odhodkov v letu 2024 na največ 5,5 % (20);</w:t>
            </w:r>
          </w:p>
        </w:tc>
        <w:tc>
          <w:tcPr>
            <w:tcW w:w="4063" w:type="dxa"/>
          </w:tcPr>
          <w:p w14:paraId="5B84C605" w14:textId="37804620" w:rsidR="005A48F1" w:rsidRPr="005D3DF2" w:rsidRDefault="00F4141D" w:rsidP="009F1410">
            <w:pPr>
              <w:jc w:val="both"/>
              <w:rPr>
                <w:rFonts w:ascii="Calibri" w:hAnsi="Calibri" w:cs="Calibri"/>
                <w:iCs/>
                <w:highlight w:val="yellow"/>
              </w:rPr>
            </w:pPr>
            <w:r>
              <w:t>Ocenjena r</w:t>
            </w:r>
            <w:r w:rsidR="005A48F1">
              <w:t xml:space="preserve">ast </w:t>
            </w:r>
            <w:r w:rsidR="005A48F1">
              <w:rPr>
                <w:color w:val="000000"/>
              </w:rPr>
              <w:t xml:space="preserve">nacionalno financiranih neto primarnih odhodkov v letu 2024 </w:t>
            </w:r>
            <w:r>
              <w:rPr>
                <w:color w:val="000000"/>
              </w:rPr>
              <w:t xml:space="preserve">je </w:t>
            </w:r>
            <w:r w:rsidR="005A48F1">
              <w:rPr>
                <w:color w:val="000000"/>
              </w:rPr>
              <w:t>nižja od priporočene</w:t>
            </w:r>
            <w:r>
              <w:rPr>
                <w:color w:val="000000"/>
              </w:rPr>
              <w:t>.</w:t>
            </w:r>
          </w:p>
        </w:tc>
        <w:tc>
          <w:tcPr>
            <w:tcW w:w="1979" w:type="dxa"/>
          </w:tcPr>
          <w:p w14:paraId="0FAD9C30" w14:textId="1FB1A23B" w:rsidR="005A48F1" w:rsidRPr="00F97482" w:rsidRDefault="005A48F1" w:rsidP="009F1410">
            <w:pPr>
              <w:jc w:val="both"/>
              <w:rPr>
                <w:rFonts w:ascii="Calibri" w:hAnsi="Calibri" w:cs="Calibri"/>
              </w:rPr>
            </w:pPr>
            <w:r>
              <w:t>Ukrepi naslavljajo priporočila</w:t>
            </w:r>
            <w:r w:rsidR="00262F66">
              <w:t>.</w:t>
            </w:r>
          </w:p>
        </w:tc>
      </w:tr>
      <w:tr w:rsidR="005A48F1" w:rsidRPr="003C30FC" w14:paraId="3116A502" w14:textId="77777777" w:rsidTr="009F1410">
        <w:tc>
          <w:tcPr>
            <w:tcW w:w="3020" w:type="dxa"/>
            <w:shd w:val="clear" w:color="auto" w:fill="D9D9D9" w:themeFill="background1" w:themeFillShade="D9"/>
          </w:tcPr>
          <w:p w14:paraId="47F06DD2" w14:textId="77777777" w:rsidR="005A48F1" w:rsidRPr="005D3DF2" w:rsidRDefault="005A48F1" w:rsidP="009F1410">
            <w:pPr>
              <w:jc w:val="both"/>
              <w:rPr>
                <w:b/>
                <w:bCs/>
              </w:rPr>
            </w:pPr>
            <w:r w:rsidRPr="005D3DF2">
              <w:rPr>
                <w:b/>
                <w:bCs/>
              </w:rPr>
              <w:t>ohrani nacionalno financirane javne naložbe in zagotovi učinkovito črpanje nepovratnih sredstev iz mehanizma in drugih sredstev Unije, zlasti za spodbujanje zelenega in digitalnega prehoda;</w:t>
            </w:r>
          </w:p>
        </w:tc>
        <w:tc>
          <w:tcPr>
            <w:tcW w:w="4063" w:type="dxa"/>
          </w:tcPr>
          <w:p w14:paraId="6DB1F970" w14:textId="77777777" w:rsidR="005A48F1" w:rsidRPr="003C30FC" w:rsidRDefault="005A48F1" w:rsidP="009F1410">
            <w:pPr>
              <w:jc w:val="both"/>
              <w:rPr>
                <w:rFonts w:ascii="Calibri" w:hAnsi="Calibri" w:cs="Calibri"/>
                <w:iCs/>
              </w:rPr>
            </w:pPr>
            <w:r w:rsidRPr="003C30FC">
              <w:rPr>
                <w:rFonts w:ascii="Calibri" w:hAnsi="Calibri" w:cs="Calibri"/>
                <w:iCs/>
              </w:rPr>
              <w:t>Tudi v dopolnjenem načrtu za okrevanje in odpornost se upošteva določene deleže zelenega in digitalnega financiranja. Ohranja se veliko večino javnih naložb, ki so izvedljive v letih izvajanja NOO. Povečuje se javne investicije iz povratnih virov predvsem za javno železniško infrastrukturo.</w:t>
            </w:r>
          </w:p>
          <w:p w14:paraId="5FBB29F5" w14:textId="77777777" w:rsidR="005A48F1" w:rsidRPr="003C30FC" w:rsidRDefault="005A48F1" w:rsidP="009F1410">
            <w:pPr>
              <w:jc w:val="both"/>
              <w:rPr>
                <w:rFonts w:ascii="Calibri" w:hAnsi="Calibri" w:cs="Calibri"/>
                <w:iCs/>
              </w:rPr>
            </w:pPr>
            <w:r w:rsidRPr="003C30FC">
              <w:rPr>
                <w:rFonts w:ascii="Calibri" w:hAnsi="Calibri" w:cs="Calibri"/>
                <w:iCs/>
              </w:rPr>
              <w:t>Poleg tega se s poglavjem REPowerEU zagotavlja še dodatno financiranje naložb na področju zmanjševanja odvisnosti od ruskih fosilnih goriv.</w:t>
            </w:r>
          </w:p>
          <w:p w14:paraId="2A4587FA" w14:textId="77777777" w:rsidR="005A48F1" w:rsidRPr="003C30FC" w:rsidRDefault="005A48F1" w:rsidP="009F1410">
            <w:pPr>
              <w:jc w:val="both"/>
              <w:rPr>
                <w:rFonts w:ascii="Calibri" w:hAnsi="Calibri" w:cs="Calibri"/>
                <w:iCs/>
              </w:rPr>
            </w:pPr>
            <w:r w:rsidRPr="003C30FC">
              <w:rPr>
                <w:rFonts w:ascii="Calibri" w:hAnsi="Calibri" w:cs="Calibri"/>
                <w:iCs/>
              </w:rPr>
              <w:t xml:space="preserve">V luči izrednih razmer zaradi poplav v avgustu 2023 pa je Slovenija konec avgusta Evropski komisiji posredovala tudi seznam možnih področij za najem dodatnih posojil iz Mehanizma za okrevanje in odpornost za namen financiranja na področjih povečanja zmogljivosti železniške infrastrukture, trajnostne prenove stavb in zmanjševanja poplavne ogroženosti ter zmanjševanja tveganja za druge podnebno pogojene nesreče. </w:t>
            </w:r>
          </w:p>
        </w:tc>
        <w:tc>
          <w:tcPr>
            <w:tcW w:w="1979" w:type="dxa"/>
          </w:tcPr>
          <w:p w14:paraId="487E51D8" w14:textId="77777777" w:rsidR="005A48F1" w:rsidRPr="003C30FC" w:rsidRDefault="005A48F1" w:rsidP="009F1410">
            <w:pPr>
              <w:jc w:val="both"/>
              <w:rPr>
                <w:rFonts w:ascii="Calibri" w:hAnsi="Calibri" w:cs="Calibri"/>
              </w:rPr>
            </w:pPr>
            <w:r w:rsidRPr="003C30FC">
              <w:rPr>
                <w:rFonts w:ascii="Calibri" w:hAnsi="Calibri" w:cs="Calibri"/>
              </w:rPr>
              <w:t>Ukrepi</w:t>
            </w:r>
            <w:r>
              <w:rPr>
                <w:rFonts w:ascii="Calibri" w:hAnsi="Calibri" w:cs="Calibri"/>
              </w:rPr>
              <w:t xml:space="preserve"> </w:t>
            </w:r>
            <w:r w:rsidRPr="003C30FC">
              <w:rPr>
                <w:rFonts w:ascii="Calibri" w:hAnsi="Calibri" w:cs="Calibri"/>
              </w:rPr>
              <w:t>naslavljajo priporočila.</w:t>
            </w:r>
          </w:p>
        </w:tc>
      </w:tr>
      <w:tr w:rsidR="005A48F1" w:rsidRPr="00F97482" w14:paraId="6F30AFB7" w14:textId="77777777" w:rsidTr="009F1410">
        <w:tc>
          <w:tcPr>
            <w:tcW w:w="3020" w:type="dxa"/>
            <w:shd w:val="clear" w:color="auto" w:fill="D9D9D9" w:themeFill="background1" w:themeFillShade="D9"/>
          </w:tcPr>
          <w:p w14:paraId="4CC519E3" w14:textId="77777777" w:rsidR="005A48F1" w:rsidRDefault="005A48F1" w:rsidP="009F1410">
            <w:pPr>
              <w:jc w:val="both"/>
            </w:pPr>
            <w:r w:rsidRPr="005715AB">
              <w:rPr>
                <w:b/>
                <w:bCs/>
              </w:rPr>
              <w:lastRenderedPageBreak/>
              <w:t>v obdobju po letu 2024 še naprej izvaja srednjeročno fiskalno strategijo postopne in vzdržne konsolidacije v kombinaciji z naložbami in</w:t>
            </w:r>
            <w:r w:rsidRPr="005715AB">
              <w:t xml:space="preserve"> </w:t>
            </w:r>
            <w:r w:rsidRPr="005715AB">
              <w:rPr>
                <w:b/>
                <w:bCs/>
              </w:rPr>
              <w:t>reformami, ki spodbujajo večjo trajnostno rast, da bi dosegla preudaren srednjeročni fiskalni položaj;</w:t>
            </w:r>
          </w:p>
        </w:tc>
        <w:tc>
          <w:tcPr>
            <w:tcW w:w="4063" w:type="dxa"/>
          </w:tcPr>
          <w:p w14:paraId="407F0357" w14:textId="77777777" w:rsidR="005A48F1" w:rsidRPr="005D3DF2" w:rsidRDefault="005A48F1" w:rsidP="009F1410">
            <w:pPr>
              <w:jc w:val="both"/>
              <w:rPr>
                <w:rFonts w:ascii="Calibri" w:hAnsi="Calibri" w:cs="Calibri"/>
                <w:iCs/>
                <w:highlight w:val="yellow"/>
              </w:rPr>
            </w:pPr>
            <w:r w:rsidRPr="005715AB">
              <w:t>Naslednje leto bo pripravljena srednjeročna fiskalna strategija po letu 2024, ki bo zagotavljala postopno konsolidacijo in spodbujala rast. Ob tem bo ohranjala visoko raven investicij. Postopnost konsolidacije, obdobje strategije in raven investicij bo odvisna tudi od morebitnih spremenjenih fiskalnih pravil na ravni EU. Najpomembnejše strukturne reforme so definirane že v NOO in se bodo upoštevale tudi v fiskalni strategiji.  </w:t>
            </w:r>
          </w:p>
        </w:tc>
        <w:tc>
          <w:tcPr>
            <w:tcW w:w="1979" w:type="dxa"/>
          </w:tcPr>
          <w:p w14:paraId="63AFED55" w14:textId="77777777" w:rsidR="005A48F1" w:rsidRPr="00F97482" w:rsidRDefault="005A48F1" w:rsidP="009F1410">
            <w:pPr>
              <w:jc w:val="both"/>
              <w:rPr>
                <w:rFonts w:ascii="Calibri" w:hAnsi="Calibri" w:cs="Calibri"/>
              </w:rPr>
            </w:pPr>
            <w:r w:rsidRPr="00F97482">
              <w:rPr>
                <w:rFonts w:ascii="Calibri" w:hAnsi="Calibri" w:cs="Calibri"/>
              </w:rPr>
              <w:t xml:space="preserve">Ukrepi naslavljajo </w:t>
            </w:r>
            <w:r>
              <w:rPr>
                <w:rFonts w:ascii="Calibri" w:hAnsi="Calibri" w:cs="Calibri"/>
              </w:rPr>
              <w:t>priporočila</w:t>
            </w:r>
            <w:r w:rsidRPr="00F97482">
              <w:rPr>
                <w:rFonts w:ascii="Calibri" w:hAnsi="Calibri" w:cs="Calibri"/>
              </w:rPr>
              <w:t>.</w:t>
            </w:r>
          </w:p>
        </w:tc>
      </w:tr>
      <w:tr w:rsidR="005A48F1" w:rsidRPr="00F97482" w14:paraId="6ADCC0DA" w14:textId="77777777" w:rsidTr="009F1410">
        <w:tc>
          <w:tcPr>
            <w:tcW w:w="3020" w:type="dxa"/>
            <w:shd w:val="clear" w:color="auto" w:fill="D9D9D9" w:themeFill="background1" w:themeFillShade="D9"/>
          </w:tcPr>
          <w:p w14:paraId="39D1F784" w14:textId="77777777" w:rsidR="005A48F1" w:rsidRDefault="005A48F1" w:rsidP="009F1410">
            <w:pPr>
              <w:jc w:val="both"/>
              <w:rPr>
                <w:b/>
                <w:bCs/>
              </w:rPr>
            </w:pPr>
            <w:r w:rsidRPr="005D3DF2">
              <w:rPr>
                <w:b/>
                <w:bCs/>
              </w:rPr>
              <w:t xml:space="preserve">zagotovi dolgoročno javnofinančno vzdržnost sistemov zdravstvenega varstva in dolgotrajne oskrbe; </w:t>
            </w:r>
          </w:p>
          <w:p w14:paraId="47115C7E" w14:textId="77777777" w:rsidR="005A48F1" w:rsidRDefault="005A48F1" w:rsidP="009F1410">
            <w:pPr>
              <w:jc w:val="both"/>
              <w:rPr>
                <w:b/>
                <w:bCs/>
              </w:rPr>
            </w:pPr>
          </w:p>
          <w:p w14:paraId="001629F1" w14:textId="77777777" w:rsidR="005A48F1" w:rsidRDefault="005A48F1" w:rsidP="009F1410">
            <w:pPr>
              <w:jc w:val="both"/>
              <w:rPr>
                <w:b/>
                <w:bCs/>
              </w:rPr>
            </w:pPr>
          </w:p>
          <w:p w14:paraId="6D539FB2" w14:textId="77777777" w:rsidR="005A48F1" w:rsidRDefault="005A48F1" w:rsidP="009F1410">
            <w:pPr>
              <w:jc w:val="both"/>
              <w:rPr>
                <w:b/>
                <w:bCs/>
              </w:rPr>
            </w:pPr>
          </w:p>
          <w:p w14:paraId="3C2262C2" w14:textId="77777777" w:rsidR="005A48F1" w:rsidRDefault="005A48F1" w:rsidP="009F1410">
            <w:pPr>
              <w:jc w:val="both"/>
              <w:rPr>
                <w:b/>
                <w:bCs/>
              </w:rPr>
            </w:pPr>
          </w:p>
          <w:p w14:paraId="0E336DBE" w14:textId="77777777" w:rsidR="005A48F1" w:rsidRDefault="005A48F1" w:rsidP="009F1410">
            <w:pPr>
              <w:jc w:val="both"/>
              <w:rPr>
                <w:b/>
                <w:bCs/>
              </w:rPr>
            </w:pPr>
          </w:p>
          <w:p w14:paraId="6605CD84" w14:textId="77777777" w:rsidR="005A48F1" w:rsidRDefault="005A48F1" w:rsidP="009F1410">
            <w:pPr>
              <w:jc w:val="both"/>
              <w:rPr>
                <w:b/>
                <w:bCs/>
              </w:rPr>
            </w:pPr>
          </w:p>
          <w:p w14:paraId="07AA2356" w14:textId="77777777" w:rsidR="005A48F1" w:rsidRDefault="005A48F1" w:rsidP="009F1410">
            <w:pPr>
              <w:jc w:val="both"/>
              <w:rPr>
                <w:b/>
                <w:bCs/>
              </w:rPr>
            </w:pPr>
          </w:p>
          <w:p w14:paraId="251A60AD" w14:textId="77777777" w:rsidR="005A48F1" w:rsidRDefault="005A48F1" w:rsidP="009F1410">
            <w:pPr>
              <w:jc w:val="both"/>
              <w:rPr>
                <w:b/>
                <w:bCs/>
              </w:rPr>
            </w:pPr>
          </w:p>
          <w:p w14:paraId="7FFB9CCB" w14:textId="77777777" w:rsidR="005A48F1" w:rsidRDefault="005A48F1" w:rsidP="009F1410">
            <w:pPr>
              <w:jc w:val="both"/>
              <w:rPr>
                <w:b/>
                <w:bCs/>
              </w:rPr>
            </w:pPr>
          </w:p>
          <w:p w14:paraId="72BB10AD" w14:textId="77777777" w:rsidR="005A48F1" w:rsidRDefault="005A48F1" w:rsidP="009F1410">
            <w:pPr>
              <w:jc w:val="both"/>
              <w:rPr>
                <w:b/>
                <w:bCs/>
              </w:rPr>
            </w:pPr>
          </w:p>
          <w:p w14:paraId="0D7BC3A6" w14:textId="77777777" w:rsidR="005A48F1" w:rsidRDefault="005A48F1" w:rsidP="009F1410">
            <w:pPr>
              <w:jc w:val="both"/>
              <w:rPr>
                <w:b/>
                <w:bCs/>
              </w:rPr>
            </w:pPr>
          </w:p>
          <w:p w14:paraId="600D6216" w14:textId="77777777" w:rsidR="005A48F1" w:rsidRDefault="005A48F1" w:rsidP="009F1410">
            <w:pPr>
              <w:jc w:val="both"/>
              <w:rPr>
                <w:b/>
                <w:bCs/>
              </w:rPr>
            </w:pPr>
          </w:p>
          <w:p w14:paraId="7C78DB54" w14:textId="77777777" w:rsidR="005A48F1" w:rsidRDefault="005A48F1" w:rsidP="009F1410">
            <w:pPr>
              <w:jc w:val="both"/>
              <w:rPr>
                <w:b/>
                <w:bCs/>
              </w:rPr>
            </w:pPr>
          </w:p>
          <w:p w14:paraId="43831097" w14:textId="77777777" w:rsidR="005A48F1" w:rsidRDefault="005A48F1" w:rsidP="009F1410">
            <w:pPr>
              <w:jc w:val="both"/>
              <w:rPr>
                <w:b/>
                <w:bCs/>
              </w:rPr>
            </w:pPr>
          </w:p>
          <w:p w14:paraId="16203A10" w14:textId="77777777" w:rsidR="005A48F1" w:rsidRDefault="005A48F1" w:rsidP="009F1410">
            <w:pPr>
              <w:jc w:val="both"/>
              <w:rPr>
                <w:b/>
                <w:bCs/>
              </w:rPr>
            </w:pPr>
          </w:p>
          <w:p w14:paraId="6D603D0B" w14:textId="77777777" w:rsidR="005A48F1" w:rsidRDefault="005A48F1" w:rsidP="009F1410">
            <w:pPr>
              <w:jc w:val="both"/>
              <w:rPr>
                <w:b/>
                <w:bCs/>
              </w:rPr>
            </w:pPr>
          </w:p>
          <w:p w14:paraId="2012C8E8" w14:textId="77777777" w:rsidR="005A48F1" w:rsidRDefault="005A48F1" w:rsidP="009F1410">
            <w:pPr>
              <w:jc w:val="both"/>
              <w:rPr>
                <w:b/>
                <w:bCs/>
              </w:rPr>
            </w:pPr>
          </w:p>
          <w:p w14:paraId="0BB23424" w14:textId="77777777" w:rsidR="005A48F1" w:rsidRDefault="005A48F1" w:rsidP="009F1410">
            <w:pPr>
              <w:jc w:val="both"/>
              <w:rPr>
                <w:b/>
                <w:bCs/>
              </w:rPr>
            </w:pPr>
          </w:p>
          <w:p w14:paraId="4E8703F9" w14:textId="77777777" w:rsidR="005A48F1" w:rsidRDefault="005A48F1" w:rsidP="009F1410">
            <w:pPr>
              <w:jc w:val="both"/>
              <w:rPr>
                <w:b/>
                <w:bCs/>
              </w:rPr>
            </w:pPr>
          </w:p>
          <w:p w14:paraId="2CB03875" w14:textId="77777777" w:rsidR="005A48F1" w:rsidRDefault="005A48F1" w:rsidP="009F1410">
            <w:pPr>
              <w:jc w:val="both"/>
              <w:rPr>
                <w:b/>
                <w:bCs/>
              </w:rPr>
            </w:pPr>
          </w:p>
          <w:p w14:paraId="7F72A18A" w14:textId="77777777" w:rsidR="005A48F1" w:rsidRDefault="005A48F1" w:rsidP="009F1410">
            <w:pPr>
              <w:jc w:val="both"/>
              <w:rPr>
                <w:b/>
                <w:bCs/>
              </w:rPr>
            </w:pPr>
          </w:p>
          <w:p w14:paraId="6BAC1E72" w14:textId="77777777" w:rsidR="005A48F1" w:rsidRDefault="005A48F1" w:rsidP="009F1410">
            <w:pPr>
              <w:jc w:val="both"/>
              <w:rPr>
                <w:b/>
                <w:bCs/>
              </w:rPr>
            </w:pPr>
          </w:p>
          <w:p w14:paraId="4518EA3C" w14:textId="77777777" w:rsidR="005A48F1" w:rsidRDefault="005A48F1" w:rsidP="009F1410">
            <w:pPr>
              <w:jc w:val="both"/>
              <w:rPr>
                <w:b/>
                <w:bCs/>
              </w:rPr>
            </w:pPr>
          </w:p>
          <w:p w14:paraId="67DECC26" w14:textId="77777777" w:rsidR="005A48F1" w:rsidRDefault="005A48F1" w:rsidP="009F1410">
            <w:pPr>
              <w:jc w:val="both"/>
              <w:rPr>
                <w:b/>
                <w:bCs/>
              </w:rPr>
            </w:pPr>
          </w:p>
          <w:p w14:paraId="694AAB2A" w14:textId="77777777" w:rsidR="005A48F1" w:rsidRDefault="005A48F1" w:rsidP="009F1410">
            <w:pPr>
              <w:jc w:val="both"/>
              <w:rPr>
                <w:b/>
                <w:bCs/>
              </w:rPr>
            </w:pPr>
          </w:p>
          <w:p w14:paraId="70955088" w14:textId="77777777" w:rsidR="005A48F1" w:rsidRDefault="005A48F1" w:rsidP="009F1410">
            <w:pPr>
              <w:jc w:val="both"/>
              <w:rPr>
                <w:b/>
                <w:bCs/>
              </w:rPr>
            </w:pPr>
          </w:p>
          <w:p w14:paraId="2B3F6F4A" w14:textId="77777777" w:rsidR="005A48F1" w:rsidRDefault="005A48F1" w:rsidP="009F1410">
            <w:pPr>
              <w:jc w:val="both"/>
              <w:rPr>
                <w:b/>
                <w:bCs/>
              </w:rPr>
            </w:pPr>
          </w:p>
          <w:p w14:paraId="3B9D235A" w14:textId="77777777" w:rsidR="005A48F1" w:rsidRDefault="005A48F1" w:rsidP="009F1410">
            <w:pPr>
              <w:jc w:val="both"/>
              <w:rPr>
                <w:b/>
                <w:bCs/>
              </w:rPr>
            </w:pPr>
          </w:p>
          <w:p w14:paraId="166219C0" w14:textId="77777777" w:rsidR="005A48F1" w:rsidRDefault="005A48F1" w:rsidP="009F1410">
            <w:pPr>
              <w:jc w:val="both"/>
              <w:rPr>
                <w:b/>
                <w:bCs/>
              </w:rPr>
            </w:pPr>
          </w:p>
          <w:p w14:paraId="4C829D5C" w14:textId="77777777" w:rsidR="005A48F1" w:rsidRDefault="005A48F1" w:rsidP="009F1410">
            <w:pPr>
              <w:jc w:val="both"/>
              <w:rPr>
                <w:b/>
                <w:bCs/>
              </w:rPr>
            </w:pPr>
          </w:p>
          <w:p w14:paraId="49DBBE9E" w14:textId="77777777" w:rsidR="005A48F1" w:rsidRDefault="005A48F1" w:rsidP="009F1410">
            <w:pPr>
              <w:jc w:val="both"/>
              <w:rPr>
                <w:b/>
                <w:bCs/>
              </w:rPr>
            </w:pPr>
          </w:p>
          <w:p w14:paraId="0E2C9855" w14:textId="77777777" w:rsidR="005A48F1" w:rsidRDefault="005A48F1" w:rsidP="009F1410">
            <w:pPr>
              <w:jc w:val="both"/>
              <w:rPr>
                <w:b/>
                <w:bCs/>
              </w:rPr>
            </w:pPr>
          </w:p>
          <w:p w14:paraId="5FDC9BB1" w14:textId="77777777" w:rsidR="005A48F1" w:rsidRDefault="005A48F1" w:rsidP="009F1410">
            <w:pPr>
              <w:jc w:val="both"/>
              <w:rPr>
                <w:b/>
                <w:bCs/>
              </w:rPr>
            </w:pPr>
          </w:p>
          <w:p w14:paraId="2D4DB297" w14:textId="77777777" w:rsidR="005A48F1" w:rsidRDefault="005A48F1" w:rsidP="009F1410">
            <w:pPr>
              <w:jc w:val="both"/>
              <w:rPr>
                <w:b/>
                <w:bCs/>
              </w:rPr>
            </w:pPr>
          </w:p>
          <w:p w14:paraId="18C903CE" w14:textId="77777777" w:rsidR="005A48F1" w:rsidRDefault="005A48F1" w:rsidP="009F1410">
            <w:pPr>
              <w:jc w:val="both"/>
              <w:rPr>
                <w:b/>
                <w:bCs/>
              </w:rPr>
            </w:pPr>
          </w:p>
          <w:p w14:paraId="72A3AB1B" w14:textId="77777777" w:rsidR="005A48F1" w:rsidRDefault="005A48F1" w:rsidP="009F1410">
            <w:pPr>
              <w:jc w:val="both"/>
              <w:rPr>
                <w:b/>
                <w:bCs/>
              </w:rPr>
            </w:pPr>
          </w:p>
          <w:p w14:paraId="0BE830A2" w14:textId="77777777" w:rsidR="005A48F1" w:rsidRDefault="005A48F1" w:rsidP="009F1410">
            <w:pPr>
              <w:jc w:val="both"/>
              <w:rPr>
                <w:b/>
                <w:bCs/>
              </w:rPr>
            </w:pPr>
          </w:p>
          <w:p w14:paraId="659E7A36" w14:textId="77777777" w:rsidR="005A48F1" w:rsidRDefault="005A48F1" w:rsidP="009F1410">
            <w:pPr>
              <w:jc w:val="both"/>
              <w:rPr>
                <w:b/>
                <w:bCs/>
              </w:rPr>
            </w:pPr>
          </w:p>
          <w:p w14:paraId="0BC34EC6" w14:textId="77777777" w:rsidR="005A48F1" w:rsidRDefault="005A48F1" w:rsidP="009F1410">
            <w:pPr>
              <w:jc w:val="both"/>
              <w:rPr>
                <w:b/>
                <w:bCs/>
              </w:rPr>
            </w:pPr>
          </w:p>
          <w:p w14:paraId="5EB1BDA5" w14:textId="77777777" w:rsidR="005A48F1" w:rsidRDefault="005A48F1" w:rsidP="009F1410">
            <w:pPr>
              <w:jc w:val="both"/>
              <w:rPr>
                <w:b/>
                <w:bCs/>
              </w:rPr>
            </w:pPr>
          </w:p>
          <w:p w14:paraId="63C55A3A" w14:textId="77777777" w:rsidR="005A48F1" w:rsidRDefault="005A48F1" w:rsidP="009F1410">
            <w:pPr>
              <w:jc w:val="both"/>
              <w:rPr>
                <w:b/>
                <w:bCs/>
              </w:rPr>
            </w:pPr>
          </w:p>
          <w:p w14:paraId="25234381" w14:textId="77777777" w:rsidR="005A48F1" w:rsidRDefault="005A48F1" w:rsidP="009F1410">
            <w:pPr>
              <w:jc w:val="both"/>
              <w:rPr>
                <w:b/>
                <w:bCs/>
              </w:rPr>
            </w:pPr>
          </w:p>
          <w:p w14:paraId="54E17CEF" w14:textId="77777777" w:rsidR="005A48F1" w:rsidRDefault="005A48F1" w:rsidP="009F1410">
            <w:pPr>
              <w:jc w:val="both"/>
              <w:rPr>
                <w:b/>
                <w:bCs/>
              </w:rPr>
            </w:pPr>
          </w:p>
          <w:p w14:paraId="6982CB31" w14:textId="77777777" w:rsidR="005A48F1" w:rsidRDefault="005A48F1" w:rsidP="009F1410">
            <w:pPr>
              <w:jc w:val="both"/>
              <w:rPr>
                <w:b/>
                <w:bCs/>
              </w:rPr>
            </w:pPr>
          </w:p>
          <w:p w14:paraId="59BA05FE" w14:textId="77777777" w:rsidR="005A48F1" w:rsidRDefault="005A48F1" w:rsidP="009F1410">
            <w:pPr>
              <w:jc w:val="both"/>
              <w:rPr>
                <w:b/>
                <w:bCs/>
              </w:rPr>
            </w:pPr>
          </w:p>
          <w:p w14:paraId="5084D064" w14:textId="77777777" w:rsidR="005A48F1" w:rsidRPr="005D3DF2" w:rsidRDefault="005A48F1" w:rsidP="009F1410">
            <w:pPr>
              <w:jc w:val="both"/>
              <w:rPr>
                <w:b/>
                <w:bCs/>
              </w:rPr>
            </w:pPr>
            <w:r w:rsidRPr="005D3DF2">
              <w:rPr>
                <w:b/>
                <w:bCs/>
              </w:rPr>
              <w:t>ponovno uravnoteži davčne prihodke v smeri rasti prijaznejših in bolj trajnostnih virov;</w:t>
            </w:r>
          </w:p>
        </w:tc>
        <w:tc>
          <w:tcPr>
            <w:tcW w:w="4063" w:type="dxa"/>
          </w:tcPr>
          <w:p w14:paraId="123B747B" w14:textId="77777777" w:rsidR="005A48F1" w:rsidRDefault="005A48F1" w:rsidP="009F1410">
            <w:pPr>
              <w:jc w:val="both"/>
              <w:rPr>
                <w:bCs/>
              </w:rPr>
            </w:pPr>
            <w:r w:rsidRPr="00B01A70">
              <w:rPr>
                <w:bCs/>
              </w:rPr>
              <w:lastRenderedPageBreak/>
              <w:t>Ključna reforma, sprejeta v letu 2023, je sprejetje Zakona o dolgotrajni oskrbi, ki bo uveljavljen z letom 2024. Zakon predstavlja celovito in sistemsko rešitev na področju socialnega varstva, saj ure</w:t>
            </w:r>
            <w:r>
              <w:rPr>
                <w:bCs/>
              </w:rPr>
              <w:t>j</w:t>
            </w:r>
            <w:r w:rsidRPr="00B01A70">
              <w:rPr>
                <w:bCs/>
              </w:rPr>
              <w:t>a tako izvedbeni del k</w:t>
            </w:r>
            <w:r>
              <w:rPr>
                <w:bCs/>
              </w:rPr>
              <w:t xml:space="preserve">ot področje financiranja. </w:t>
            </w:r>
            <w:r w:rsidRPr="00466C4E">
              <w:rPr>
                <w:bCs/>
              </w:rPr>
              <w:t xml:space="preserve">Ena ključnih sistemskih novosti, ki jo uvaja Zakon o dolgotrajni oskrbi je </w:t>
            </w:r>
            <w:r>
              <w:rPr>
                <w:bCs/>
              </w:rPr>
              <w:t xml:space="preserve">tako </w:t>
            </w:r>
            <w:r w:rsidRPr="00466C4E">
              <w:rPr>
                <w:bCs/>
              </w:rPr>
              <w:t>zagotovljen sistem javnega financiranja. Poleg letnega proračunskega deleža bodo delež prispevali tudi delavci, delodajalci in upokojenci. Uveljavljanje novih storitev dolgotrajne oskrbe bo potekalo postopoma. Prva sprememba bo začela veljati že z začetkom leta 2024 in se bo nanašala na status oskrbovancev družinskih članov. V letu 2025 (julija) bo uvedena dolgotrajna oskrba na domu, e-oskrba in prispevek za dolgotrajno oskrbo. Konec leta 2025 (decembra) pa je določena krepitev področja dolgotrajne oskrbe v instituciji in denarni prejemek.</w:t>
            </w:r>
          </w:p>
          <w:p w14:paraId="0DF05898" w14:textId="77777777" w:rsidR="005A48F1" w:rsidRDefault="005A48F1" w:rsidP="009F1410">
            <w:pPr>
              <w:jc w:val="both"/>
              <w:rPr>
                <w:bCs/>
              </w:rPr>
            </w:pPr>
          </w:p>
          <w:p w14:paraId="588384C0" w14:textId="77777777" w:rsidR="005A48F1" w:rsidRDefault="005A48F1" w:rsidP="009F1410">
            <w:pPr>
              <w:jc w:val="both"/>
              <w:rPr>
                <w:rFonts w:ascii="Calibri" w:hAnsi="Calibri" w:cs="Calibri"/>
              </w:rPr>
            </w:pPr>
            <w:r w:rsidRPr="00466C4E">
              <w:rPr>
                <w:rFonts w:ascii="Calibri" w:hAnsi="Calibri" w:cs="Calibri"/>
              </w:rPr>
              <w:t xml:space="preserve">Poleg priprav zdravstvene reforme so bile septembra 2023 predstavljene usmeritve zdravstvene politike za leti 2024 in 2025. Naslovljene so prednostne naloge na področju zdravstva, s katerimi bo v naslednjih dveh letih zagotovljena večja stabilnost zdravstvenega sistema. Cilj je povečana dostopnost do zdravstvenih storitev, izboljšani bodo izidi zdravljenja preko izmenjave dobrih praks med zdravstvenimi izvajalci, hkrati pa bo z razvojem in optimizacijo organizacije dela ter procesov zmanjšana neenakost med prebivalci na ravni države in posameznih regij. </w:t>
            </w:r>
          </w:p>
          <w:p w14:paraId="4888A92B" w14:textId="77777777" w:rsidR="005A48F1" w:rsidRDefault="005A48F1" w:rsidP="009F1410">
            <w:pPr>
              <w:jc w:val="both"/>
              <w:rPr>
                <w:rFonts w:ascii="Calibri" w:hAnsi="Calibri" w:cs="Calibri"/>
              </w:rPr>
            </w:pPr>
          </w:p>
          <w:p w14:paraId="3DCEB448" w14:textId="77777777" w:rsidR="005A48F1" w:rsidRDefault="005A48F1" w:rsidP="009F1410">
            <w:pPr>
              <w:jc w:val="both"/>
              <w:rPr>
                <w:rFonts w:ascii="Calibri" w:hAnsi="Calibri" w:cs="Calibri"/>
              </w:rPr>
            </w:pPr>
            <w:r w:rsidRPr="003C30FC">
              <w:rPr>
                <w:rFonts w:ascii="Calibri" w:hAnsi="Calibri" w:cs="Calibri"/>
              </w:rPr>
              <w:lastRenderedPageBreak/>
              <w:t>Septembra na Vladi sprejeti ZIPRS2425</w:t>
            </w:r>
            <w:r>
              <w:rPr>
                <w:rFonts w:ascii="Calibri" w:hAnsi="Calibri" w:cs="Calibri"/>
              </w:rPr>
              <w:t>, ki je v obravnavi v državnem zboru,</w:t>
            </w:r>
            <w:r w:rsidRPr="003C30FC">
              <w:rPr>
                <w:rFonts w:ascii="Calibri" w:hAnsi="Calibri" w:cs="Calibri"/>
              </w:rPr>
              <w:t xml:space="preserve"> na področju zdravstva opredeljuje, da se iz državnega proračuna ZZZS v letu 2024 zagotavlja sredstva v višini do največ 420 milijonov eurov za vzdržnost sistema zdravstvenega varstva, ki jih ZZZS lahko uporabi za natančno določene namene.</w:t>
            </w:r>
            <w:r w:rsidRPr="00466C4E">
              <w:rPr>
                <w:rFonts w:ascii="Calibri" w:hAnsi="Calibri" w:cs="Calibri"/>
              </w:rPr>
              <w:t xml:space="preserve"> </w:t>
            </w:r>
          </w:p>
          <w:p w14:paraId="3DE709F2" w14:textId="77777777" w:rsidR="005A48F1" w:rsidRDefault="005A48F1" w:rsidP="009F1410">
            <w:pPr>
              <w:jc w:val="both"/>
              <w:rPr>
                <w:rFonts w:ascii="Calibri" w:hAnsi="Calibri" w:cs="Calibri"/>
                <w:iCs/>
                <w:highlight w:val="yellow"/>
              </w:rPr>
            </w:pPr>
          </w:p>
          <w:p w14:paraId="63754FF2" w14:textId="77777777" w:rsidR="005A48F1" w:rsidRPr="005D3DF2" w:rsidRDefault="005A48F1" w:rsidP="009F1410">
            <w:pPr>
              <w:spacing w:after="160" w:line="259" w:lineRule="auto"/>
              <w:jc w:val="both"/>
              <w:rPr>
                <w:rFonts w:ascii="Calibri" w:hAnsi="Calibri" w:cs="Calibri"/>
                <w:iCs/>
                <w:highlight w:val="yellow"/>
              </w:rPr>
            </w:pPr>
            <w:r w:rsidRPr="00466C4E">
              <w:t xml:space="preserve">Odpravljeni so bili ukrepi na davčnem področju, ki so zasledovali cilj omilitve cen določenih energentov. Tako se nižja stopnja DDV za dobave električne energije, zemeljskega plina, daljinskega ogrevanja in lesa za kurjavo ni podaljšala. Enako pa smo v okviru regulacije cene pogonskih goriv postopno zviševali zneske trošarine na bencin in dizel ter tako že presegli nivo trošarin, ki so veljale pred znižanjem v februarju 2022. S tem smo deloma tako naslavljali tudi uravnoteženost javnih financ, saj bi v nasprotnem primeru morali za nadomestitev izpada najti druge vire oz. znižati odhodke. </w:t>
            </w:r>
          </w:p>
        </w:tc>
        <w:tc>
          <w:tcPr>
            <w:tcW w:w="1979" w:type="dxa"/>
          </w:tcPr>
          <w:p w14:paraId="2688D83F" w14:textId="77777777" w:rsidR="005A48F1" w:rsidRPr="00F97482" w:rsidRDefault="005A48F1" w:rsidP="009F1410">
            <w:pPr>
              <w:jc w:val="both"/>
              <w:rPr>
                <w:rFonts w:ascii="Calibri" w:hAnsi="Calibri" w:cs="Calibri"/>
              </w:rPr>
            </w:pPr>
            <w:r>
              <w:rPr>
                <w:rFonts w:ascii="Calibri" w:hAnsi="Calibri" w:cs="Calibri"/>
              </w:rPr>
              <w:lastRenderedPageBreak/>
              <w:t>Ukrepi delno naslavljajo priporočila</w:t>
            </w:r>
          </w:p>
        </w:tc>
      </w:tr>
      <w:tr w:rsidR="005A48F1" w:rsidRPr="0029569E" w14:paraId="70789ABD" w14:textId="77777777" w:rsidTr="009F1410">
        <w:tc>
          <w:tcPr>
            <w:tcW w:w="3020" w:type="dxa"/>
            <w:shd w:val="clear" w:color="auto" w:fill="8EAADB" w:themeFill="accent5" w:themeFillTint="99"/>
          </w:tcPr>
          <w:p w14:paraId="31DF4E7A" w14:textId="77777777" w:rsidR="005A48F1" w:rsidRDefault="005A48F1" w:rsidP="009F1410">
            <w:pPr>
              <w:jc w:val="both"/>
              <w:rPr>
                <w:rFonts w:ascii="Calibri" w:hAnsi="Calibri" w:cs="Calibri"/>
                <w:b/>
                <w:bCs/>
                <w:iCs/>
              </w:rPr>
            </w:pPr>
            <w:r w:rsidRPr="0029569E">
              <w:rPr>
                <w:rFonts w:ascii="Calibri" w:hAnsi="Calibri" w:cs="Calibri"/>
                <w:b/>
                <w:bCs/>
                <w:iCs/>
              </w:rPr>
              <w:t>CSR 2</w:t>
            </w:r>
          </w:p>
          <w:p w14:paraId="5ED26BB8" w14:textId="77777777" w:rsidR="005A48F1" w:rsidRPr="0029569E" w:rsidRDefault="005A48F1" w:rsidP="009F1410">
            <w:pPr>
              <w:jc w:val="both"/>
              <w:rPr>
                <w:rFonts w:ascii="Calibri" w:hAnsi="Calibri" w:cs="Calibri"/>
                <w:b/>
                <w:bCs/>
                <w:iCs/>
              </w:rPr>
            </w:pPr>
          </w:p>
        </w:tc>
        <w:tc>
          <w:tcPr>
            <w:tcW w:w="4063" w:type="dxa"/>
            <w:shd w:val="clear" w:color="auto" w:fill="8EAADB" w:themeFill="accent5" w:themeFillTint="99"/>
          </w:tcPr>
          <w:p w14:paraId="497B6409" w14:textId="77777777" w:rsidR="005A48F1" w:rsidRPr="0029569E" w:rsidRDefault="005A48F1" w:rsidP="009F1410">
            <w:pPr>
              <w:jc w:val="both"/>
              <w:rPr>
                <w:rFonts w:ascii="Calibri" w:hAnsi="Calibri" w:cs="Calibri"/>
                <w:b/>
                <w:bCs/>
                <w:iCs/>
              </w:rPr>
            </w:pPr>
          </w:p>
        </w:tc>
        <w:tc>
          <w:tcPr>
            <w:tcW w:w="1979" w:type="dxa"/>
            <w:shd w:val="clear" w:color="auto" w:fill="8EAADB" w:themeFill="accent5" w:themeFillTint="99"/>
          </w:tcPr>
          <w:p w14:paraId="1DB98038" w14:textId="77777777" w:rsidR="005A48F1" w:rsidRPr="0029569E" w:rsidRDefault="005A48F1" w:rsidP="009F1410">
            <w:pPr>
              <w:jc w:val="both"/>
              <w:rPr>
                <w:rFonts w:ascii="Calibri" w:hAnsi="Calibri" w:cs="Calibri"/>
                <w:b/>
                <w:bCs/>
                <w:iCs/>
              </w:rPr>
            </w:pPr>
          </w:p>
        </w:tc>
      </w:tr>
      <w:tr w:rsidR="005A48F1" w14:paraId="2DC6058C" w14:textId="77777777" w:rsidTr="009F1410">
        <w:tc>
          <w:tcPr>
            <w:tcW w:w="3020" w:type="dxa"/>
            <w:shd w:val="clear" w:color="auto" w:fill="D9D9D9" w:themeFill="background1" w:themeFillShade="D9"/>
          </w:tcPr>
          <w:p w14:paraId="5DD53FEA" w14:textId="77777777" w:rsidR="005A48F1" w:rsidRPr="0029569E" w:rsidRDefault="005A48F1" w:rsidP="009F1410">
            <w:pPr>
              <w:jc w:val="both"/>
              <w:rPr>
                <w:b/>
                <w:bCs/>
                <w:shd w:val="clear" w:color="auto" w:fill="F2F2F2" w:themeFill="background1" w:themeFillShade="F2"/>
              </w:rPr>
            </w:pPr>
            <w:r w:rsidRPr="0029569E">
              <w:rPr>
                <w:b/>
                <w:bCs/>
                <w:shd w:val="clear" w:color="auto" w:fill="F2F2F2" w:themeFill="background1" w:themeFillShade="F2"/>
              </w:rPr>
              <w:t>zagotovi učinkovito strukturo upravljanja in okrepi upravno zmogljivost, da se omogoči hitro in dosledno izvajanje</w:t>
            </w:r>
          </w:p>
          <w:p w14:paraId="5901EC91" w14:textId="77777777" w:rsidR="005A48F1" w:rsidRPr="0029569E" w:rsidRDefault="005A48F1" w:rsidP="009F1410">
            <w:pPr>
              <w:jc w:val="both"/>
              <w:rPr>
                <w:b/>
                <w:bCs/>
                <w:shd w:val="clear" w:color="auto" w:fill="F2F2F2" w:themeFill="background1" w:themeFillShade="F2"/>
              </w:rPr>
            </w:pPr>
            <w:r w:rsidRPr="0029569E">
              <w:rPr>
                <w:b/>
                <w:bCs/>
                <w:shd w:val="clear" w:color="auto" w:fill="F2F2F2" w:themeFill="background1" w:themeFillShade="F2"/>
              </w:rPr>
              <w:t>načrta za okrevanje in odpornost; hitro dokonča poglavje REPowerEU, da bi se lahko čim prej začelo izvajati;</w:t>
            </w:r>
          </w:p>
          <w:p w14:paraId="39DD5A7B" w14:textId="77777777" w:rsidR="005A48F1" w:rsidRPr="00F97482" w:rsidRDefault="005A48F1" w:rsidP="009F1410">
            <w:pPr>
              <w:jc w:val="both"/>
              <w:rPr>
                <w:i/>
                <w:iCs/>
              </w:rPr>
            </w:pPr>
            <w:r w:rsidRPr="0029569E">
              <w:rPr>
                <w:b/>
                <w:bCs/>
                <w:shd w:val="clear" w:color="auto" w:fill="F2F2F2" w:themeFill="background1" w:themeFillShade="F2"/>
              </w:rPr>
              <w:t>nadaljuje hitro izvajanje programov kohezijske politike ob tesnem dopolnjevanju in v sinergiji z načrtom za okrevanje in odpornost;</w:t>
            </w:r>
          </w:p>
        </w:tc>
        <w:tc>
          <w:tcPr>
            <w:tcW w:w="4063" w:type="dxa"/>
          </w:tcPr>
          <w:p w14:paraId="7BE4F86C" w14:textId="77777777" w:rsidR="005A48F1" w:rsidRPr="00BD564E" w:rsidRDefault="005A48F1" w:rsidP="009F1410">
            <w:pPr>
              <w:jc w:val="both"/>
            </w:pPr>
            <w:r>
              <w:t xml:space="preserve">Učinkovita struktura upravljanja izvajanja načrta za okrevanje in odpornost je že zagotovljena v okviru URSOO (manjše povečanje kadrovskega načrta, dosledno izvajanje priporočil revizijskih organov, nadgradnje IT </w:t>
            </w:r>
            <w:r w:rsidRPr="003C30FC">
              <w:t xml:space="preserve">sistemov). Prav tako je zagotovljeno redno poročanje o izvajanju načrta za okrevanje in odpornost vladi, s čimer se zagotavlja celovita priprava in izvajanje ukrepov. </w:t>
            </w:r>
          </w:p>
          <w:p w14:paraId="1A1B3BFA" w14:textId="77777777" w:rsidR="005A48F1" w:rsidRDefault="005A48F1" w:rsidP="009F1410">
            <w:pPr>
              <w:jc w:val="both"/>
            </w:pPr>
          </w:p>
          <w:p w14:paraId="21D8994C" w14:textId="77777777" w:rsidR="005A48F1" w:rsidRPr="002B633F" w:rsidRDefault="005A48F1" w:rsidP="009F1410">
            <w:pPr>
              <w:spacing w:after="160" w:line="259" w:lineRule="auto"/>
              <w:jc w:val="both"/>
              <w:rPr>
                <w:strike/>
              </w:rPr>
            </w:pPr>
          </w:p>
        </w:tc>
        <w:tc>
          <w:tcPr>
            <w:tcW w:w="1979" w:type="dxa"/>
          </w:tcPr>
          <w:p w14:paraId="0D7DCA49" w14:textId="77777777" w:rsidR="005A48F1" w:rsidRDefault="005A48F1" w:rsidP="009F1410">
            <w:pPr>
              <w:jc w:val="both"/>
            </w:pPr>
            <w:r w:rsidRPr="00F97482">
              <w:rPr>
                <w:rFonts w:ascii="Calibri" w:hAnsi="Calibri" w:cs="Calibri"/>
              </w:rPr>
              <w:t xml:space="preserve">Ukrepi naslavljajo </w:t>
            </w:r>
            <w:r>
              <w:rPr>
                <w:rFonts w:ascii="Calibri" w:hAnsi="Calibri" w:cs="Calibri"/>
              </w:rPr>
              <w:t>priporočila</w:t>
            </w:r>
            <w:r w:rsidRPr="00F97482">
              <w:rPr>
                <w:rFonts w:ascii="Calibri" w:hAnsi="Calibri" w:cs="Calibri"/>
              </w:rPr>
              <w:t>.</w:t>
            </w:r>
          </w:p>
        </w:tc>
      </w:tr>
      <w:tr w:rsidR="005A48F1" w:rsidRPr="0029569E" w14:paraId="4A0334A4" w14:textId="77777777" w:rsidTr="009F1410">
        <w:tc>
          <w:tcPr>
            <w:tcW w:w="3020" w:type="dxa"/>
            <w:shd w:val="clear" w:color="auto" w:fill="8EAADB" w:themeFill="accent5" w:themeFillTint="99"/>
          </w:tcPr>
          <w:p w14:paraId="20CF9A16" w14:textId="77777777" w:rsidR="005A48F1" w:rsidRDefault="005A48F1" w:rsidP="009F1410">
            <w:pPr>
              <w:jc w:val="both"/>
              <w:rPr>
                <w:rFonts w:ascii="Calibri" w:hAnsi="Calibri" w:cs="Calibri"/>
                <w:b/>
                <w:bCs/>
                <w:iCs/>
              </w:rPr>
            </w:pPr>
            <w:r w:rsidRPr="0029569E">
              <w:rPr>
                <w:rFonts w:ascii="Calibri" w:hAnsi="Calibri" w:cs="Calibri"/>
                <w:b/>
                <w:bCs/>
                <w:iCs/>
              </w:rPr>
              <w:t>CSR 3</w:t>
            </w:r>
          </w:p>
          <w:p w14:paraId="575709BE" w14:textId="77777777" w:rsidR="005A48F1" w:rsidRPr="0029569E" w:rsidRDefault="005A48F1" w:rsidP="009F1410">
            <w:pPr>
              <w:jc w:val="both"/>
              <w:rPr>
                <w:rFonts w:ascii="Calibri" w:hAnsi="Calibri" w:cs="Calibri"/>
                <w:b/>
                <w:bCs/>
                <w:iCs/>
              </w:rPr>
            </w:pPr>
          </w:p>
        </w:tc>
        <w:tc>
          <w:tcPr>
            <w:tcW w:w="4063" w:type="dxa"/>
            <w:shd w:val="clear" w:color="auto" w:fill="8EAADB" w:themeFill="accent5" w:themeFillTint="99"/>
          </w:tcPr>
          <w:p w14:paraId="411DB05D" w14:textId="77777777" w:rsidR="005A48F1" w:rsidRPr="0029569E" w:rsidRDefault="005A48F1" w:rsidP="009F1410">
            <w:pPr>
              <w:jc w:val="both"/>
              <w:rPr>
                <w:rFonts w:ascii="Calibri" w:hAnsi="Calibri" w:cs="Calibri"/>
                <w:b/>
                <w:bCs/>
                <w:iCs/>
              </w:rPr>
            </w:pPr>
          </w:p>
        </w:tc>
        <w:tc>
          <w:tcPr>
            <w:tcW w:w="1979" w:type="dxa"/>
            <w:shd w:val="clear" w:color="auto" w:fill="8EAADB" w:themeFill="accent5" w:themeFillTint="99"/>
          </w:tcPr>
          <w:p w14:paraId="2B03C0AB" w14:textId="77777777" w:rsidR="005A48F1" w:rsidRPr="0029569E" w:rsidRDefault="005A48F1" w:rsidP="009F1410">
            <w:pPr>
              <w:jc w:val="both"/>
              <w:rPr>
                <w:rFonts w:ascii="Calibri" w:hAnsi="Calibri" w:cs="Calibri"/>
                <w:b/>
                <w:bCs/>
                <w:iCs/>
              </w:rPr>
            </w:pPr>
          </w:p>
        </w:tc>
      </w:tr>
      <w:tr w:rsidR="005A48F1" w14:paraId="712343D2" w14:textId="77777777" w:rsidTr="009F1410">
        <w:tc>
          <w:tcPr>
            <w:tcW w:w="3020" w:type="dxa"/>
            <w:shd w:val="clear" w:color="auto" w:fill="D9D9D9" w:themeFill="background1" w:themeFillShade="D9"/>
          </w:tcPr>
          <w:p w14:paraId="78074D38" w14:textId="77777777" w:rsidR="005A48F1" w:rsidRDefault="005A48F1" w:rsidP="009F1410">
            <w:pPr>
              <w:jc w:val="both"/>
              <w:rPr>
                <w:b/>
                <w:bCs/>
              </w:rPr>
            </w:pPr>
            <w:r w:rsidRPr="0029569E">
              <w:rPr>
                <w:b/>
                <w:bCs/>
              </w:rPr>
              <w:t xml:space="preserve">nadaljuje prizadevanja za diverzifikacijo uvoza plina in zmanjša splošno odvisnost od fosilnih goriv s pospeševanjem uvajanja obnovljivih virov energije, zlasti z nadaljnjo poenostavitvijo in skrajšanjem postopkov za izdajo dovoljenj ter krepitvijo </w:t>
            </w:r>
            <w:r w:rsidRPr="0029569E">
              <w:rPr>
                <w:b/>
                <w:bCs/>
              </w:rPr>
              <w:lastRenderedPageBreak/>
              <w:t xml:space="preserve">elektroenergetskega omrežja in izboljšanjem njegovega upravljanja, tudi z digitalizacijo; </w:t>
            </w:r>
          </w:p>
          <w:p w14:paraId="4B2A4EC9" w14:textId="77777777" w:rsidR="005A48F1" w:rsidRDefault="005A48F1" w:rsidP="009F1410">
            <w:pPr>
              <w:jc w:val="both"/>
              <w:rPr>
                <w:b/>
                <w:bCs/>
              </w:rPr>
            </w:pPr>
            <w:r w:rsidRPr="0029569E">
              <w:rPr>
                <w:b/>
                <w:bCs/>
              </w:rPr>
              <w:t xml:space="preserve">poveča izvajanje ukrepov za energetsko učinkovitost, zlasti v stavbnem sektorju, spodbuja elektrifikacijo prometnega sektorja ter </w:t>
            </w:r>
          </w:p>
          <w:p w14:paraId="311D4F29" w14:textId="77777777" w:rsidR="005A48F1" w:rsidRDefault="005A48F1" w:rsidP="009F1410">
            <w:pPr>
              <w:jc w:val="both"/>
              <w:rPr>
                <w:b/>
                <w:bCs/>
              </w:rPr>
            </w:pPr>
          </w:p>
          <w:p w14:paraId="4C729F13" w14:textId="77777777" w:rsidR="005A48F1" w:rsidRDefault="005A48F1" w:rsidP="009F1410">
            <w:pPr>
              <w:jc w:val="both"/>
              <w:rPr>
                <w:b/>
                <w:bCs/>
              </w:rPr>
            </w:pPr>
          </w:p>
          <w:p w14:paraId="644D8B2B" w14:textId="77777777" w:rsidR="005A48F1" w:rsidRDefault="005A48F1" w:rsidP="009F1410">
            <w:pPr>
              <w:jc w:val="both"/>
              <w:rPr>
                <w:b/>
                <w:bCs/>
              </w:rPr>
            </w:pPr>
          </w:p>
          <w:p w14:paraId="0DE0E6B6" w14:textId="77777777" w:rsidR="005A48F1" w:rsidRDefault="005A48F1" w:rsidP="009F1410">
            <w:pPr>
              <w:jc w:val="both"/>
              <w:rPr>
                <w:b/>
                <w:bCs/>
              </w:rPr>
            </w:pPr>
          </w:p>
          <w:p w14:paraId="07FF91C9" w14:textId="77777777" w:rsidR="005A48F1" w:rsidRDefault="005A48F1" w:rsidP="009F1410">
            <w:pPr>
              <w:jc w:val="both"/>
              <w:rPr>
                <w:b/>
                <w:bCs/>
              </w:rPr>
            </w:pPr>
          </w:p>
          <w:p w14:paraId="7288924D" w14:textId="77777777" w:rsidR="005A48F1" w:rsidRDefault="005A48F1" w:rsidP="009F1410">
            <w:pPr>
              <w:jc w:val="both"/>
              <w:rPr>
                <w:b/>
                <w:bCs/>
              </w:rPr>
            </w:pPr>
          </w:p>
          <w:p w14:paraId="7C617C58" w14:textId="77777777" w:rsidR="005A48F1" w:rsidRDefault="005A48F1" w:rsidP="009F1410">
            <w:pPr>
              <w:jc w:val="both"/>
              <w:rPr>
                <w:b/>
                <w:bCs/>
              </w:rPr>
            </w:pPr>
          </w:p>
          <w:p w14:paraId="42EC3D38" w14:textId="77777777" w:rsidR="005A48F1" w:rsidRDefault="005A48F1" w:rsidP="009F1410">
            <w:pPr>
              <w:jc w:val="both"/>
              <w:rPr>
                <w:b/>
                <w:bCs/>
              </w:rPr>
            </w:pPr>
          </w:p>
          <w:p w14:paraId="7BF573EB" w14:textId="77777777" w:rsidR="005A48F1" w:rsidRDefault="005A48F1" w:rsidP="009F1410">
            <w:pPr>
              <w:jc w:val="both"/>
              <w:rPr>
                <w:b/>
                <w:bCs/>
              </w:rPr>
            </w:pPr>
          </w:p>
          <w:p w14:paraId="126CF1C4" w14:textId="77777777" w:rsidR="005A48F1" w:rsidRDefault="005A48F1" w:rsidP="009F1410">
            <w:pPr>
              <w:jc w:val="both"/>
              <w:rPr>
                <w:b/>
                <w:bCs/>
              </w:rPr>
            </w:pPr>
          </w:p>
          <w:p w14:paraId="78839530" w14:textId="77777777" w:rsidR="005A48F1" w:rsidRDefault="005A48F1" w:rsidP="009F1410">
            <w:pPr>
              <w:jc w:val="both"/>
              <w:rPr>
                <w:b/>
                <w:bCs/>
              </w:rPr>
            </w:pPr>
          </w:p>
          <w:p w14:paraId="6AFF39FC" w14:textId="77777777" w:rsidR="005A48F1" w:rsidRDefault="005A48F1" w:rsidP="009F1410">
            <w:pPr>
              <w:jc w:val="both"/>
              <w:rPr>
                <w:b/>
                <w:bCs/>
              </w:rPr>
            </w:pPr>
          </w:p>
          <w:p w14:paraId="5C6079F2" w14:textId="77777777" w:rsidR="005A48F1" w:rsidRDefault="005A48F1" w:rsidP="009F1410">
            <w:pPr>
              <w:jc w:val="both"/>
              <w:rPr>
                <w:b/>
                <w:bCs/>
              </w:rPr>
            </w:pPr>
          </w:p>
          <w:p w14:paraId="7C332D6D" w14:textId="77777777" w:rsidR="005A48F1" w:rsidRDefault="005A48F1" w:rsidP="009F1410">
            <w:pPr>
              <w:jc w:val="both"/>
              <w:rPr>
                <w:b/>
                <w:bCs/>
              </w:rPr>
            </w:pPr>
          </w:p>
          <w:p w14:paraId="526299BF" w14:textId="77777777" w:rsidR="005A48F1" w:rsidRDefault="005A48F1" w:rsidP="009F1410">
            <w:pPr>
              <w:jc w:val="both"/>
              <w:rPr>
                <w:b/>
                <w:bCs/>
              </w:rPr>
            </w:pPr>
          </w:p>
          <w:p w14:paraId="2BB104A3" w14:textId="77777777" w:rsidR="005A48F1" w:rsidRDefault="005A48F1" w:rsidP="009F1410">
            <w:pPr>
              <w:jc w:val="both"/>
              <w:rPr>
                <w:b/>
                <w:bCs/>
              </w:rPr>
            </w:pPr>
          </w:p>
          <w:p w14:paraId="410BA94C" w14:textId="77777777" w:rsidR="005A48F1" w:rsidRDefault="005A48F1" w:rsidP="009F1410">
            <w:pPr>
              <w:jc w:val="both"/>
              <w:rPr>
                <w:b/>
                <w:bCs/>
              </w:rPr>
            </w:pPr>
          </w:p>
          <w:p w14:paraId="776A9868" w14:textId="77777777" w:rsidR="005A48F1" w:rsidRDefault="005A48F1" w:rsidP="009F1410">
            <w:pPr>
              <w:jc w:val="both"/>
              <w:rPr>
                <w:b/>
                <w:bCs/>
              </w:rPr>
            </w:pPr>
          </w:p>
          <w:p w14:paraId="4F65B8C7" w14:textId="77777777" w:rsidR="005A48F1" w:rsidRDefault="005A48F1" w:rsidP="009F1410">
            <w:pPr>
              <w:jc w:val="both"/>
              <w:rPr>
                <w:b/>
                <w:bCs/>
              </w:rPr>
            </w:pPr>
          </w:p>
          <w:p w14:paraId="0C6E92D2" w14:textId="77777777" w:rsidR="005A48F1" w:rsidRDefault="005A48F1" w:rsidP="009F1410">
            <w:pPr>
              <w:jc w:val="both"/>
              <w:rPr>
                <w:b/>
                <w:bCs/>
              </w:rPr>
            </w:pPr>
          </w:p>
          <w:p w14:paraId="090344AE" w14:textId="77777777" w:rsidR="005A48F1" w:rsidRDefault="005A48F1" w:rsidP="009F1410">
            <w:pPr>
              <w:jc w:val="both"/>
              <w:rPr>
                <w:b/>
                <w:bCs/>
              </w:rPr>
            </w:pPr>
          </w:p>
          <w:p w14:paraId="5D6E7823" w14:textId="77777777" w:rsidR="005A48F1" w:rsidRDefault="005A48F1" w:rsidP="009F1410">
            <w:pPr>
              <w:jc w:val="both"/>
              <w:rPr>
                <w:b/>
                <w:bCs/>
              </w:rPr>
            </w:pPr>
          </w:p>
          <w:p w14:paraId="7203C801" w14:textId="77777777" w:rsidR="005A48F1" w:rsidRDefault="005A48F1" w:rsidP="009F1410">
            <w:pPr>
              <w:jc w:val="both"/>
              <w:rPr>
                <w:b/>
                <w:bCs/>
              </w:rPr>
            </w:pPr>
          </w:p>
          <w:p w14:paraId="161CC0C8" w14:textId="77777777" w:rsidR="005A48F1" w:rsidRDefault="005A48F1" w:rsidP="009F1410">
            <w:pPr>
              <w:jc w:val="both"/>
              <w:rPr>
                <w:b/>
                <w:bCs/>
              </w:rPr>
            </w:pPr>
          </w:p>
          <w:p w14:paraId="681C7A37" w14:textId="77777777" w:rsidR="005A48F1" w:rsidRDefault="005A48F1" w:rsidP="009F1410">
            <w:pPr>
              <w:jc w:val="both"/>
              <w:rPr>
                <w:b/>
                <w:bCs/>
              </w:rPr>
            </w:pPr>
          </w:p>
          <w:p w14:paraId="27898DB6" w14:textId="77777777" w:rsidR="005A48F1" w:rsidRDefault="005A48F1" w:rsidP="009F1410">
            <w:pPr>
              <w:jc w:val="both"/>
              <w:rPr>
                <w:b/>
                <w:bCs/>
              </w:rPr>
            </w:pPr>
          </w:p>
          <w:p w14:paraId="630E5103" w14:textId="77777777" w:rsidR="005A48F1" w:rsidRDefault="005A48F1" w:rsidP="009F1410">
            <w:pPr>
              <w:jc w:val="both"/>
              <w:rPr>
                <w:b/>
                <w:bCs/>
              </w:rPr>
            </w:pPr>
          </w:p>
          <w:p w14:paraId="3746CE63" w14:textId="77777777" w:rsidR="005A48F1" w:rsidRDefault="005A48F1" w:rsidP="009F1410">
            <w:pPr>
              <w:jc w:val="both"/>
              <w:rPr>
                <w:b/>
                <w:bCs/>
              </w:rPr>
            </w:pPr>
          </w:p>
          <w:p w14:paraId="32686DD4" w14:textId="77777777" w:rsidR="005A48F1" w:rsidRDefault="005A48F1" w:rsidP="009F1410">
            <w:pPr>
              <w:jc w:val="both"/>
              <w:rPr>
                <w:b/>
                <w:bCs/>
              </w:rPr>
            </w:pPr>
          </w:p>
          <w:p w14:paraId="6B4A2AE4" w14:textId="77777777" w:rsidR="005A48F1" w:rsidRDefault="005A48F1" w:rsidP="009F1410">
            <w:pPr>
              <w:jc w:val="both"/>
              <w:rPr>
                <w:b/>
                <w:bCs/>
              </w:rPr>
            </w:pPr>
          </w:p>
          <w:p w14:paraId="175C549B" w14:textId="77777777" w:rsidR="005A48F1" w:rsidRDefault="005A48F1" w:rsidP="009F1410">
            <w:pPr>
              <w:jc w:val="both"/>
              <w:rPr>
                <w:b/>
                <w:bCs/>
              </w:rPr>
            </w:pPr>
          </w:p>
          <w:p w14:paraId="4C2687D0" w14:textId="77777777" w:rsidR="005A48F1" w:rsidRDefault="005A48F1" w:rsidP="009F1410">
            <w:pPr>
              <w:jc w:val="both"/>
              <w:rPr>
                <w:b/>
                <w:bCs/>
              </w:rPr>
            </w:pPr>
          </w:p>
          <w:p w14:paraId="7D3517AB" w14:textId="77777777" w:rsidR="005A48F1" w:rsidRDefault="005A48F1" w:rsidP="009F1410">
            <w:pPr>
              <w:jc w:val="both"/>
              <w:rPr>
                <w:b/>
                <w:bCs/>
              </w:rPr>
            </w:pPr>
          </w:p>
          <w:p w14:paraId="78D9E48B" w14:textId="77777777" w:rsidR="005A48F1" w:rsidRDefault="005A48F1" w:rsidP="009F1410">
            <w:pPr>
              <w:jc w:val="both"/>
              <w:rPr>
                <w:b/>
                <w:bCs/>
              </w:rPr>
            </w:pPr>
          </w:p>
          <w:p w14:paraId="5A219837" w14:textId="77777777" w:rsidR="005A48F1" w:rsidRDefault="005A48F1" w:rsidP="009F1410">
            <w:pPr>
              <w:jc w:val="both"/>
              <w:rPr>
                <w:b/>
                <w:bCs/>
              </w:rPr>
            </w:pPr>
          </w:p>
          <w:p w14:paraId="55D9493A" w14:textId="77777777" w:rsidR="005A48F1" w:rsidRDefault="005A48F1" w:rsidP="009F1410">
            <w:pPr>
              <w:jc w:val="both"/>
              <w:rPr>
                <w:b/>
                <w:bCs/>
              </w:rPr>
            </w:pPr>
          </w:p>
          <w:p w14:paraId="0BDB0858" w14:textId="77777777" w:rsidR="005A48F1" w:rsidRDefault="005A48F1" w:rsidP="009F1410">
            <w:pPr>
              <w:jc w:val="both"/>
              <w:rPr>
                <w:b/>
                <w:bCs/>
              </w:rPr>
            </w:pPr>
          </w:p>
          <w:p w14:paraId="6CDBDC60" w14:textId="77777777" w:rsidR="005A48F1" w:rsidRDefault="005A48F1" w:rsidP="009F1410">
            <w:pPr>
              <w:jc w:val="both"/>
              <w:rPr>
                <w:b/>
                <w:bCs/>
              </w:rPr>
            </w:pPr>
          </w:p>
          <w:p w14:paraId="49A248DC" w14:textId="77777777" w:rsidR="005A48F1" w:rsidRDefault="005A48F1" w:rsidP="009F1410">
            <w:pPr>
              <w:jc w:val="both"/>
              <w:rPr>
                <w:b/>
                <w:bCs/>
              </w:rPr>
            </w:pPr>
          </w:p>
          <w:p w14:paraId="71D1EEAB" w14:textId="77777777" w:rsidR="005A48F1" w:rsidRDefault="005A48F1" w:rsidP="009F1410">
            <w:pPr>
              <w:jc w:val="both"/>
              <w:rPr>
                <w:b/>
                <w:bCs/>
              </w:rPr>
            </w:pPr>
          </w:p>
          <w:p w14:paraId="1DBE12A8" w14:textId="77777777" w:rsidR="005A48F1" w:rsidRDefault="005A48F1" w:rsidP="009F1410">
            <w:pPr>
              <w:jc w:val="both"/>
              <w:rPr>
                <w:b/>
                <w:bCs/>
              </w:rPr>
            </w:pPr>
          </w:p>
          <w:p w14:paraId="1FDE6650" w14:textId="77777777" w:rsidR="005A48F1" w:rsidRDefault="005A48F1" w:rsidP="009F1410">
            <w:pPr>
              <w:jc w:val="both"/>
              <w:rPr>
                <w:b/>
                <w:bCs/>
              </w:rPr>
            </w:pPr>
          </w:p>
          <w:p w14:paraId="3207D624" w14:textId="77777777" w:rsidR="005A48F1" w:rsidRDefault="005A48F1" w:rsidP="009F1410">
            <w:pPr>
              <w:jc w:val="both"/>
              <w:rPr>
                <w:b/>
                <w:bCs/>
              </w:rPr>
            </w:pPr>
          </w:p>
          <w:p w14:paraId="71AEFD10" w14:textId="77777777" w:rsidR="005A48F1" w:rsidRDefault="005A48F1" w:rsidP="009F1410">
            <w:pPr>
              <w:jc w:val="both"/>
              <w:rPr>
                <w:b/>
                <w:bCs/>
              </w:rPr>
            </w:pPr>
          </w:p>
          <w:p w14:paraId="612F54C8" w14:textId="77777777" w:rsidR="005A48F1" w:rsidRDefault="005A48F1" w:rsidP="009F1410">
            <w:pPr>
              <w:jc w:val="both"/>
              <w:rPr>
                <w:b/>
                <w:bCs/>
              </w:rPr>
            </w:pPr>
          </w:p>
          <w:p w14:paraId="6FD4742A" w14:textId="77777777" w:rsidR="005A48F1" w:rsidRDefault="005A48F1" w:rsidP="009F1410">
            <w:pPr>
              <w:jc w:val="both"/>
              <w:rPr>
                <w:b/>
                <w:bCs/>
              </w:rPr>
            </w:pPr>
          </w:p>
          <w:p w14:paraId="44796498" w14:textId="77777777" w:rsidR="005A48F1" w:rsidRDefault="005A48F1" w:rsidP="009F1410">
            <w:pPr>
              <w:jc w:val="both"/>
              <w:rPr>
                <w:b/>
                <w:bCs/>
              </w:rPr>
            </w:pPr>
          </w:p>
          <w:p w14:paraId="00150672" w14:textId="77777777" w:rsidR="005A48F1" w:rsidRDefault="005A48F1" w:rsidP="009F1410">
            <w:pPr>
              <w:jc w:val="both"/>
              <w:rPr>
                <w:b/>
                <w:bCs/>
              </w:rPr>
            </w:pPr>
          </w:p>
          <w:p w14:paraId="41A4F41E" w14:textId="77777777" w:rsidR="005A48F1" w:rsidRDefault="005A48F1" w:rsidP="009F1410">
            <w:pPr>
              <w:jc w:val="both"/>
              <w:rPr>
                <w:b/>
                <w:bCs/>
              </w:rPr>
            </w:pPr>
          </w:p>
          <w:p w14:paraId="7035FF49" w14:textId="77777777" w:rsidR="005A48F1" w:rsidRDefault="005A48F1" w:rsidP="009F1410">
            <w:pPr>
              <w:jc w:val="both"/>
              <w:rPr>
                <w:b/>
                <w:bCs/>
              </w:rPr>
            </w:pPr>
          </w:p>
          <w:p w14:paraId="628F7992" w14:textId="77777777" w:rsidR="005A48F1" w:rsidRDefault="005A48F1" w:rsidP="009F1410">
            <w:pPr>
              <w:jc w:val="both"/>
              <w:rPr>
                <w:b/>
                <w:bCs/>
              </w:rPr>
            </w:pPr>
          </w:p>
          <w:p w14:paraId="3537BF2A" w14:textId="77777777" w:rsidR="005A48F1" w:rsidRDefault="005A48F1" w:rsidP="009F1410">
            <w:pPr>
              <w:jc w:val="both"/>
              <w:rPr>
                <w:b/>
                <w:bCs/>
              </w:rPr>
            </w:pPr>
          </w:p>
          <w:p w14:paraId="36AD8207" w14:textId="77777777" w:rsidR="005A48F1" w:rsidRDefault="005A48F1" w:rsidP="009F1410">
            <w:pPr>
              <w:jc w:val="both"/>
              <w:rPr>
                <w:b/>
                <w:bCs/>
              </w:rPr>
            </w:pPr>
          </w:p>
          <w:p w14:paraId="3962233B" w14:textId="77777777" w:rsidR="005A48F1" w:rsidRDefault="005A48F1" w:rsidP="009F1410">
            <w:pPr>
              <w:jc w:val="both"/>
              <w:rPr>
                <w:b/>
                <w:bCs/>
              </w:rPr>
            </w:pPr>
          </w:p>
          <w:p w14:paraId="04EE5C5D" w14:textId="77777777" w:rsidR="005A48F1" w:rsidRDefault="005A48F1" w:rsidP="009F1410">
            <w:pPr>
              <w:jc w:val="both"/>
              <w:rPr>
                <w:b/>
                <w:bCs/>
              </w:rPr>
            </w:pPr>
          </w:p>
          <w:p w14:paraId="475A0BAA" w14:textId="77777777" w:rsidR="005A48F1" w:rsidRDefault="005A48F1" w:rsidP="009F1410">
            <w:pPr>
              <w:jc w:val="both"/>
              <w:rPr>
                <w:b/>
                <w:bCs/>
              </w:rPr>
            </w:pPr>
          </w:p>
          <w:p w14:paraId="647E5538" w14:textId="77777777" w:rsidR="005A48F1" w:rsidRDefault="005A48F1" w:rsidP="009F1410">
            <w:pPr>
              <w:jc w:val="both"/>
              <w:rPr>
                <w:b/>
                <w:bCs/>
              </w:rPr>
            </w:pPr>
          </w:p>
          <w:p w14:paraId="5D9824BA" w14:textId="77777777" w:rsidR="005A48F1" w:rsidRDefault="005A48F1" w:rsidP="009F1410">
            <w:pPr>
              <w:jc w:val="both"/>
              <w:rPr>
                <w:b/>
                <w:bCs/>
              </w:rPr>
            </w:pPr>
          </w:p>
          <w:p w14:paraId="30C5D62D" w14:textId="77777777" w:rsidR="005A48F1" w:rsidRDefault="005A48F1" w:rsidP="009F1410">
            <w:pPr>
              <w:jc w:val="both"/>
              <w:rPr>
                <w:b/>
                <w:bCs/>
              </w:rPr>
            </w:pPr>
          </w:p>
          <w:p w14:paraId="30B657B0" w14:textId="77777777" w:rsidR="005A48F1" w:rsidRDefault="005A48F1" w:rsidP="009F1410">
            <w:pPr>
              <w:jc w:val="both"/>
              <w:rPr>
                <w:b/>
                <w:bCs/>
              </w:rPr>
            </w:pPr>
          </w:p>
          <w:p w14:paraId="5E4EBE85" w14:textId="77777777" w:rsidR="005A48F1" w:rsidRDefault="005A48F1" w:rsidP="009F1410">
            <w:pPr>
              <w:jc w:val="both"/>
              <w:rPr>
                <w:b/>
                <w:bCs/>
              </w:rPr>
            </w:pPr>
          </w:p>
          <w:p w14:paraId="0DEFEE61" w14:textId="77777777" w:rsidR="005A48F1" w:rsidRDefault="005A48F1" w:rsidP="009F1410">
            <w:pPr>
              <w:jc w:val="both"/>
              <w:rPr>
                <w:b/>
                <w:bCs/>
              </w:rPr>
            </w:pPr>
          </w:p>
          <w:p w14:paraId="4898AE98" w14:textId="77777777" w:rsidR="005A48F1" w:rsidRDefault="005A48F1" w:rsidP="009F1410">
            <w:pPr>
              <w:jc w:val="both"/>
              <w:rPr>
                <w:b/>
                <w:bCs/>
              </w:rPr>
            </w:pPr>
          </w:p>
          <w:p w14:paraId="246ECF44" w14:textId="77777777" w:rsidR="005A48F1" w:rsidRDefault="005A48F1" w:rsidP="009F1410">
            <w:pPr>
              <w:jc w:val="both"/>
              <w:rPr>
                <w:b/>
                <w:bCs/>
              </w:rPr>
            </w:pPr>
          </w:p>
          <w:p w14:paraId="4A123992" w14:textId="77777777" w:rsidR="005A48F1" w:rsidRDefault="005A48F1" w:rsidP="009F1410">
            <w:pPr>
              <w:jc w:val="both"/>
              <w:rPr>
                <w:b/>
                <w:bCs/>
              </w:rPr>
            </w:pPr>
          </w:p>
          <w:p w14:paraId="38377606" w14:textId="77777777" w:rsidR="005A48F1" w:rsidRDefault="005A48F1" w:rsidP="009F1410">
            <w:pPr>
              <w:jc w:val="both"/>
              <w:rPr>
                <w:b/>
                <w:bCs/>
              </w:rPr>
            </w:pPr>
          </w:p>
          <w:p w14:paraId="42B791CE" w14:textId="77777777" w:rsidR="005A48F1" w:rsidRDefault="005A48F1" w:rsidP="009F1410">
            <w:pPr>
              <w:jc w:val="both"/>
              <w:rPr>
                <w:b/>
                <w:bCs/>
              </w:rPr>
            </w:pPr>
          </w:p>
          <w:p w14:paraId="17616C92" w14:textId="77777777" w:rsidR="005A48F1" w:rsidRDefault="005A48F1" w:rsidP="009F1410">
            <w:pPr>
              <w:jc w:val="both"/>
              <w:rPr>
                <w:b/>
                <w:bCs/>
              </w:rPr>
            </w:pPr>
          </w:p>
          <w:p w14:paraId="0F8EE3A0" w14:textId="77777777" w:rsidR="005A48F1" w:rsidRDefault="005A48F1" w:rsidP="009F1410">
            <w:pPr>
              <w:jc w:val="both"/>
              <w:rPr>
                <w:b/>
                <w:bCs/>
              </w:rPr>
            </w:pPr>
          </w:p>
          <w:p w14:paraId="77BF28A5" w14:textId="77777777" w:rsidR="005A48F1" w:rsidRDefault="005A48F1" w:rsidP="009F1410">
            <w:pPr>
              <w:jc w:val="both"/>
              <w:rPr>
                <w:b/>
                <w:bCs/>
              </w:rPr>
            </w:pPr>
          </w:p>
          <w:p w14:paraId="7B8732A1" w14:textId="77777777" w:rsidR="005A48F1" w:rsidRDefault="005A48F1" w:rsidP="009F1410">
            <w:pPr>
              <w:jc w:val="both"/>
              <w:rPr>
                <w:b/>
                <w:bCs/>
              </w:rPr>
            </w:pPr>
          </w:p>
          <w:p w14:paraId="0CAE51E3" w14:textId="77777777" w:rsidR="005A48F1" w:rsidRDefault="005A48F1" w:rsidP="009F1410">
            <w:pPr>
              <w:jc w:val="both"/>
              <w:rPr>
                <w:b/>
                <w:bCs/>
              </w:rPr>
            </w:pPr>
          </w:p>
          <w:p w14:paraId="16882DA3" w14:textId="77777777" w:rsidR="005A48F1" w:rsidRDefault="005A48F1" w:rsidP="009F1410">
            <w:pPr>
              <w:jc w:val="both"/>
              <w:rPr>
                <w:b/>
                <w:bCs/>
              </w:rPr>
            </w:pPr>
          </w:p>
          <w:p w14:paraId="014B743A" w14:textId="77777777" w:rsidR="005A48F1" w:rsidRDefault="005A48F1" w:rsidP="009F1410">
            <w:pPr>
              <w:jc w:val="both"/>
              <w:rPr>
                <w:b/>
                <w:bCs/>
              </w:rPr>
            </w:pPr>
          </w:p>
          <w:p w14:paraId="46B6766A" w14:textId="77777777" w:rsidR="005A48F1" w:rsidRDefault="005A48F1" w:rsidP="009F1410">
            <w:pPr>
              <w:jc w:val="both"/>
              <w:rPr>
                <w:b/>
                <w:bCs/>
              </w:rPr>
            </w:pPr>
          </w:p>
          <w:p w14:paraId="60E993D4" w14:textId="77777777" w:rsidR="005A48F1" w:rsidRDefault="005A48F1" w:rsidP="009F1410">
            <w:pPr>
              <w:jc w:val="both"/>
              <w:rPr>
                <w:b/>
                <w:bCs/>
              </w:rPr>
            </w:pPr>
          </w:p>
          <w:p w14:paraId="7BD910B7" w14:textId="77777777" w:rsidR="005A48F1" w:rsidRDefault="005A48F1" w:rsidP="009F1410">
            <w:pPr>
              <w:jc w:val="both"/>
              <w:rPr>
                <w:b/>
                <w:bCs/>
              </w:rPr>
            </w:pPr>
          </w:p>
          <w:p w14:paraId="5163417A" w14:textId="77777777" w:rsidR="005A48F1" w:rsidRDefault="005A48F1" w:rsidP="009F1410">
            <w:pPr>
              <w:jc w:val="both"/>
              <w:rPr>
                <w:b/>
                <w:bCs/>
                <w:shd w:val="clear" w:color="auto" w:fill="F2F2F2" w:themeFill="background1" w:themeFillShade="F2"/>
              </w:rPr>
            </w:pPr>
            <w:r w:rsidRPr="0029569E">
              <w:rPr>
                <w:b/>
                <w:bCs/>
              </w:rPr>
              <w:t xml:space="preserve">okrepi </w:t>
            </w:r>
            <w:r w:rsidRPr="008B51E2">
              <w:rPr>
                <w:b/>
                <w:bCs/>
              </w:rPr>
              <w:t>prizadevanja politike za zagotavljanje in pridobivanje spretnosti in kompetenc, potrebnih za zeleni prehod.</w:t>
            </w:r>
          </w:p>
          <w:p w14:paraId="67D3CF0B" w14:textId="77777777" w:rsidR="005A48F1" w:rsidRDefault="005A48F1" w:rsidP="009F1410">
            <w:pPr>
              <w:jc w:val="both"/>
              <w:rPr>
                <w:b/>
                <w:bCs/>
                <w:shd w:val="clear" w:color="auto" w:fill="F2F2F2" w:themeFill="background1" w:themeFillShade="F2"/>
              </w:rPr>
            </w:pPr>
          </w:p>
          <w:p w14:paraId="43BABE26" w14:textId="77777777" w:rsidR="005A48F1" w:rsidRDefault="005A48F1" w:rsidP="009F1410">
            <w:pPr>
              <w:jc w:val="both"/>
              <w:rPr>
                <w:b/>
                <w:bCs/>
                <w:shd w:val="clear" w:color="auto" w:fill="F2F2F2" w:themeFill="background1" w:themeFillShade="F2"/>
              </w:rPr>
            </w:pPr>
          </w:p>
          <w:p w14:paraId="6E1D99E2" w14:textId="77777777" w:rsidR="005A48F1" w:rsidRDefault="005A48F1" w:rsidP="009F1410">
            <w:pPr>
              <w:jc w:val="both"/>
              <w:rPr>
                <w:b/>
                <w:bCs/>
                <w:shd w:val="clear" w:color="auto" w:fill="F2F2F2" w:themeFill="background1" w:themeFillShade="F2"/>
              </w:rPr>
            </w:pPr>
          </w:p>
          <w:p w14:paraId="00A56A64" w14:textId="77777777" w:rsidR="005A48F1" w:rsidRDefault="005A48F1" w:rsidP="009F1410">
            <w:pPr>
              <w:jc w:val="both"/>
              <w:rPr>
                <w:b/>
                <w:bCs/>
                <w:shd w:val="clear" w:color="auto" w:fill="F2F2F2" w:themeFill="background1" w:themeFillShade="F2"/>
              </w:rPr>
            </w:pPr>
          </w:p>
          <w:p w14:paraId="64EF3865" w14:textId="77777777" w:rsidR="005A48F1" w:rsidRDefault="005A48F1" w:rsidP="009F1410">
            <w:pPr>
              <w:jc w:val="both"/>
              <w:rPr>
                <w:b/>
                <w:bCs/>
                <w:shd w:val="clear" w:color="auto" w:fill="F2F2F2" w:themeFill="background1" w:themeFillShade="F2"/>
              </w:rPr>
            </w:pPr>
          </w:p>
          <w:p w14:paraId="48537221" w14:textId="77777777" w:rsidR="005A48F1" w:rsidRDefault="005A48F1" w:rsidP="009F1410">
            <w:pPr>
              <w:jc w:val="both"/>
              <w:rPr>
                <w:b/>
                <w:bCs/>
                <w:shd w:val="clear" w:color="auto" w:fill="F2F2F2" w:themeFill="background1" w:themeFillShade="F2"/>
              </w:rPr>
            </w:pPr>
          </w:p>
          <w:p w14:paraId="444E2F75" w14:textId="77777777" w:rsidR="005A48F1" w:rsidRDefault="005A48F1" w:rsidP="009F1410">
            <w:pPr>
              <w:jc w:val="both"/>
              <w:rPr>
                <w:b/>
                <w:bCs/>
                <w:shd w:val="clear" w:color="auto" w:fill="F2F2F2" w:themeFill="background1" w:themeFillShade="F2"/>
              </w:rPr>
            </w:pPr>
          </w:p>
          <w:p w14:paraId="067F82AF" w14:textId="77777777" w:rsidR="005A48F1" w:rsidRDefault="005A48F1" w:rsidP="009F1410">
            <w:pPr>
              <w:jc w:val="both"/>
              <w:rPr>
                <w:b/>
                <w:bCs/>
                <w:shd w:val="clear" w:color="auto" w:fill="F2F2F2" w:themeFill="background1" w:themeFillShade="F2"/>
              </w:rPr>
            </w:pPr>
          </w:p>
          <w:p w14:paraId="64C52B9E" w14:textId="77777777" w:rsidR="005A48F1" w:rsidRDefault="005A48F1" w:rsidP="009F1410">
            <w:pPr>
              <w:jc w:val="both"/>
              <w:rPr>
                <w:b/>
                <w:bCs/>
                <w:shd w:val="clear" w:color="auto" w:fill="F2F2F2" w:themeFill="background1" w:themeFillShade="F2"/>
              </w:rPr>
            </w:pPr>
          </w:p>
          <w:p w14:paraId="7B274781" w14:textId="77777777" w:rsidR="005A48F1" w:rsidRDefault="005A48F1" w:rsidP="009F1410">
            <w:pPr>
              <w:jc w:val="both"/>
              <w:rPr>
                <w:b/>
                <w:bCs/>
                <w:shd w:val="clear" w:color="auto" w:fill="F2F2F2" w:themeFill="background1" w:themeFillShade="F2"/>
              </w:rPr>
            </w:pPr>
          </w:p>
          <w:p w14:paraId="2CEF0A6A" w14:textId="77777777" w:rsidR="005A48F1" w:rsidRDefault="005A48F1" w:rsidP="009F1410">
            <w:pPr>
              <w:jc w:val="both"/>
              <w:rPr>
                <w:b/>
                <w:bCs/>
                <w:shd w:val="clear" w:color="auto" w:fill="F2F2F2" w:themeFill="background1" w:themeFillShade="F2"/>
              </w:rPr>
            </w:pPr>
          </w:p>
          <w:p w14:paraId="696F435F" w14:textId="77777777" w:rsidR="005A48F1" w:rsidRPr="0029569E" w:rsidRDefault="005A48F1" w:rsidP="009F1410">
            <w:pPr>
              <w:jc w:val="both"/>
              <w:rPr>
                <w:b/>
                <w:bCs/>
                <w:shd w:val="clear" w:color="auto" w:fill="F2F2F2" w:themeFill="background1" w:themeFillShade="F2"/>
              </w:rPr>
            </w:pPr>
          </w:p>
        </w:tc>
        <w:tc>
          <w:tcPr>
            <w:tcW w:w="4063" w:type="dxa"/>
          </w:tcPr>
          <w:p w14:paraId="6C787C8F" w14:textId="77777777" w:rsidR="005A48F1" w:rsidRPr="00014298" w:rsidRDefault="005A48F1" w:rsidP="009F1410">
            <w:pPr>
              <w:jc w:val="both"/>
              <w:rPr>
                <w:rFonts w:ascii="Calibri" w:hAnsi="Calibri" w:cs="Calibri"/>
                <w:iCs/>
              </w:rPr>
            </w:pPr>
            <w:r w:rsidRPr="00014298">
              <w:rPr>
                <w:rFonts w:ascii="Calibri" w:hAnsi="Calibri" w:cs="Calibri"/>
                <w:iCs/>
              </w:rPr>
              <w:lastRenderedPageBreak/>
              <w:t xml:space="preserve">V mesecu juliju 2023 je bil sprejet nov </w:t>
            </w:r>
            <w:r w:rsidRPr="00014298">
              <w:rPr>
                <w:rFonts w:ascii="Calibri" w:hAnsi="Calibri" w:cs="Calibri"/>
                <w:b/>
                <w:bCs/>
                <w:iCs/>
              </w:rPr>
              <w:t>Zakon o uvajanju naprav za proizvodnjo električne energije iz obnovljivih virov energije (ZUNPEOVE),</w:t>
            </w:r>
            <w:r w:rsidRPr="00014298">
              <w:rPr>
                <w:rFonts w:ascii="Calibri" w:hAnsi="Calibri" w:cs="Calibri"/>
                <w:iCs/>
              </w:rPr>
              <w:t xml:space="preserve"> ki predstavlja enega izmed prvih in ključnih korakov k večanju deleža energije iz OVE. Zakon na področju umeščanja proizvodnih naprav iz OVE v osnovi na tem področju določa proaktivnejšo vlogo države in naslavlja </w:t>
            </w:r>
            <w:r w:rsidRPr="00014298">
              <w:rPr>
                <w:rFonts w:ascii="Calibri" w:hAnsi="Calibri" w:cs="Calibri"/>
                <w:iCs/>
              </w:rPr>
              <w:lastRenderedPageBreak/>
              <w:t xml:space="preserve">urejanje zahteve vzpostavitve območij prednostnega umeščanja OVE ter določanje nekaterih posebnosti umeščanja naprav OVE na teh območjih, posebnosti prostorskega načrtovanja, celovite presoje in presoje vplivov na okolje, regulativne peskovnike in dvojno rabo prostora na nekaterih območjih, kjer obstaja neizkoriščen potencial. </w:t>
            </w:r>
          </w:p>
          <w:p w14:paraId="654F6D1D" w14:textId="77777777" w:rsidR="005A48F1" w:rsidRPr="00014298" w:rsidRDefault="005A48F1" w:rsidP="009F1410">
            <w:pPr>
              <w:jc w:val="both"/>
              <w:rPr>
                <w:rFonts w:ascii="Calibri" w:hAnsi="Calibri" w:cs="Calibri"/>
                <w:iCs/>
              </w:rPr>
            </w:pPr>
          </w:p>
          <w:p w14:paraId="3319D26B" w14:textId="77777777" w:rsidR="005A48F1" w:rsidRPr="00014298" w:rsidRDefault="005A48F1" w:rsidP="009F1410">
            <w:pPr>
              <w:jc w:val="both"/>
              <w:rPr>
                <w:rFonts w:ascii="Calibri" w:hAnsi="Calibri" w:cs="Calibri"/>
                <w:iCs/>
              </w:rPr>
            </w:pPr>
            <w:r w:rsidRPr="00014298">
              <w:rPr>
                <w:rFonts w:ascii="Calibri" w:hAnsi="Calibri" w:cs="Calibri"/>
                <w:iCs/>
              </w:rPr>
              <w:t xml:space="preserve">Vlada RS je v mesecu juniju skladno z začasnim okvirom EU izdala </w:t>
            </w:r>
            <w:r w:rsidRPr="00014298">
              <w:rPr>
                <w:rFonts w:ascii="Calibri" w:hAnsi="Calibri" w:cs="Calibri"/>
                <w:b/>
                <w:bCs/>
                <w:iCs/>
              </w:rPr>
              <w:t>novo Uredbo o pomoči za pospeševanje uvajanja energije iz obnovljivih virov, shranjevanja in toplote iz obnovljivih virov.</w:t>
            </w:r>
            <w:r w:rsidRPr="00014298">
              <w:rPr>
                <w:rFonts w:ascii="Calibri" w:hAnsi="Calibri" w:cs="Calibri"/>
                <w:iCs/>
              </w:rPr>
              <w:t xml:space="preserve"> Do pomoči bodo upravičene investicije v nove proizvodne naprave iz obnovljivih virov za proizvodnjo električne energije in toplote in za hranilnike električne energije in toplote v kombinaciji s proizvodnjo. </w:t>
            </w:r>
          </w:p>
          <w:p w14:paraId="00AA2765" w14:textId="77777777" w:rsidR="005A48F1" w:rsidRPr="00014298" w:rsidRDefault="005A48F1" w:rsidP="009F1410">
            <w:pPr>
              <w:jc w:val="both"/>
              <w:rPr>
                <w:rFonts w:ascii="Calibri" w:hAnsi="Calibri" w:cs="Calibri"/>
                <w:iCs/>
              </w:rPr>
            </w:pPr>
            <w:r w:rsidRPr="00014298">
              <w:rPr>
                <w:rFonts w:ascii="Calibri" w:hAnsi="Calibri" w:cs="Calibri"/>
                <w:iCs/>
              </w:rPr>
              <w:t xml:space="preserve">URE: </w:t>
            </w:r>
            <w:r w:rsidRPr="00014298">
              <w:rPr>
                <w:rFonts w:ascii="Calibri" w:hAnsi="Calibri" w:cs="Calibri"/>
                <w:b/>
                <w:bCs/>
                <w:iCs/>
              </w:rPr>
              <w:t>Nov način obračunavanja omrežnine</w:t>
            </w:r>
            <w:r w:rsidRPr="00014298">
              <w:rPr>
                <w:rFonts w:ascii="Calibri" w:hAnsi="Calibri" w:cs="Calibri"/>
                <w:iCs/>
              </w:rPr>
              <w:t>, ki ga bo Agencija za energijo uvedla predvidoma 1. marca 2024 (Akt o metodologiji za obračunavanje omrežnine za elektrooperaterje), bo nagrajeval tiste, ki bodo varčni, hkrati pa bo omogočil in finančno nagrajeval prilagodljivost pri odjemu, med drugim pri polnjenju avtomobila ali delovanju toplotne črpalke glede na obratovanje sončne elektrarne in obremenitev omrežja.</w:t>
            </w:r>
          </w:p>
          <w:p w14:paraId="1AB5FCF9" w14:textId="77777777" w:rsidR="005A48F1" w:rsidRPr="00014298" w:rsidRDefault="005A48F1" w:rsidP="009F1410">
            <w:pPr>
              <w:jc w:val="both"/>
              <w:rPr>
                <w:rFonts w:ascii="Calibri" w:hAnsi="Calibri" w:cs="Calibri"/>
                <w:iCs/>
              </w:rPr>
            </w:pPr>
          </w:p>
          <w:p w14:paraId="52B6A789" w14:textId="77777777" w:rsidR="005A48F1" w:rsidRPr="00014298" w:rsidRDefault="005A48F1" w:rsidP="009F1410">
            <w:pPr>
              <w:pStyle w:val="NormalWeb"/>
              <w:shd w:val="clear" w:color="auto" w:fill="FFFFFF"/>
              <w:spacing w:before="0" w:beforeAutospacing="0"/>
              <w:jc w:val="both"/>
              <w:rPr>
                <w:rFonts w:ascii="Calibri" w:eastAsiaTheme="minorHAnsi" w:hAnsi="Calibri" w:cs="Calibri"/>
                <w:iCs/>
                <w:sz w:val="22"/>
                <w:szCs w:val="22"/>
                <w:lang w:eastAsia="en-US"/>
              </w:rPr>
            </w:pPr>
            <w:r w:rsidRPr="00014298">
              <w:rPr>
                <w:rFonts w:ascii="Calibri" w:eastAsiaTheme="minorHAnsi" w:hAnsi="Calibri" w:cs="Calibri"/>
                <w:iCs/>
                <w:sz w:val="22"/>
                <w:szCs w:val="22"/>
                <w:lang w:eastAsia="en-US"/>
              </w:rPr>
              <w:t xml:space="preserve">Ključni cilj sprejetega </w:t>
            </w:r>
            <w:r w:rsidRPr="00014298">
              <w:rPr>
                <w:rFonts w:ascii="Calibri" w:eastAsiaTheme="minorHAnsi" w:hAnsi="Calibri" w:cs="Calibri"/>
                <w:b/>
                <w:bCs/>
                <w:iCs/>
                <w:sz w:val="22"/>
                <w:szCs w:val="22"/>
                <w:lang w:eastAsia="en-US"/>
              </w:rPr>
              <w:t>Zakona o infrastrukturi za alternativna goriva in spodbujanju prehoda na alternativna goriva v prometu</w:t>
            </w:r>
            <w:r w:rsidRPr="00014298">
              <w:rPr>
                <w:rFonts w:ascii="Calibri" w:eastAsiaTheme="minorHAnsi" w:hAnsi="Calibri" w:cs="Calibri"/>
                <w:iCs/>
                <w:sz w:val="22"/>
                <w:szCs w:val="22"/>
                <w:lang w:eastAsia="en-US"/>
              </w:rPr>
              <w:t xml:space="preserve"> je vzpostavitev goste, javno dostopne in interoperabilne mreže polnilne in oskrbovalne infrastrukture za alternativna goriva v prometu, zagotoviti skladen državni, regionalni in lokalni razvoj mreže polnilnih in oskrbovalnih mest ter povečati delež vozil na alternativna goriva. Z zakonom se uvajajo tri temeljne ravni razvoja infrastrukture za alternativna goriva. Za doseganje okoljskih in energetskih ciljev v sektorju prometa se uvaja namenski vir za sofinanciranje ukrepov prehoda na alternativna goriva. Zakon pa vzpostavlja ustanovitev centra za spodbujanje prehoda na alternativna goriva kot izvedbenega telesa za dodeljevanje namenskih sredstev za </w:t>
            </w:r>
            <w:r w:rsidRPr="00014298">
              <w:rPr>
                <w:rFonts w:ascii="Calibri" w:eastAsiaTheme="minorHAnsi" w:hAnsi="Calibri" w:cs="Calibri"/>
                <w:iCs/>
                <w:sz w:val="22"/>
                <w:szCs w:val="22"/>
                <w:lang w:eastAsia="en-US"/>
              </w:rPr>
              <w:lastRenderedPageBreak/>
              <w:t>ukrepe, ki bodo pospešili prehod na alternativna goriva v prometu.</w:t>
            </w:r>
          </w:p>
          <w:p w14:paraId="44461843" w14:textId="77777777" w:rsidR="005A48F1" w:rsidRPr="00014298" w:rsidRDefault="005A48F1" w:rsidP="009F1410">
            <w:pPr>
              <w:jc w:val="both"/>
              <w:rPr>
                <w:rFonts w:ascii="Calibri" w:hAnsi="Calibri" w:cs="Calibri"/>
                <w:iCs/>
              </w:rPr>
            </w:pPr>
            <w:r w:rsidRPr="00014298">
              <w:rPr>
                <w:rFonts w:ascii="Calibri" w:hAnsi="Calibri" w:cs="Calibri"/>
                <w:iCs/>
              </w:rPr>
              <w:t xml:space="preserve">Vlada Republike Slovenije je februarja 2023 sprejela tudi </w:t>
            </w:r>
            <w:r w:rsidRPr="00014298">
              <w:rPr>
                <w:rFonts w:ascii="Calibri" w:hAnsi="Calibri" w:cs="Calibri"/>
                <w:b/>
                <w:bCs/>
                <w:iCs/>
              </w:rPr>
              <w:t>Uredbo o nadomestilu za kritje posrednih stroškov zaradi stroškov emisij toplogrednih plinov v korist določenih sektorjev ali delov sektorjev, ki so izpostavljeni tveganju premestitve emisije CO2.</w:t>
            </w:r>
            <w:r w:rsidRPr="00014298">
              <w:rPr>
                <w:rFonts w:ascii="Calibri" w:hAnsi="Calibri" w:cs="Calibri"/>
                <w:iCs/>
              </w:rPr>
              <w:t xml:space="preserve"> Namen sredstev za kritje posrednih stroškov je pomoč sektorjem ali delom sektorjev, ki so izpostavljeni resničnemu tveganju premestitve emisije CO2, za nadomestitev povišanj cen električne energije, ki so posledica vključitve stroškov emisij toplogrednih plinov zaradi sistema Unije za trgovanje s pravicami do emisije, v katerega je vključen tudi energetski sektor. Širši cilj Uredbe je torej omejevanje premestitve emisij CO2 v tretje države ter ohranjanje konkurenčnosti slovenskih podjetij v sektorjih, ki so izpostavljeni temu tveganju (elektrointenzivna podjetja). </w:t>
            </w:r>
          </w:p>
          <w:p w14:paraId="501D8A45" w14:textId="77777777" w:rsidR="005A48F1" w:rsidRPr="00014298" w:rsidRDefault="005A48F1" w:rsidP="009F1410">
            <w:pPr>
              <w:jc w:val="both"/>
            </w:pPr>
          </w:p>
          <w:p w14:paraId="184E614B" w14:textId="77777777" w:rsidR="005A48F1" w:rsidRPr="00014298" w:rsidRDefault="005A48F1" w:rsidP="009F1410">
            <w:pPr>
              <w:jc w:val="both"/>
            </w:pPr>
          </w:p>
          <w:p w14:paraId="11F74720" w14:textId="77777777" w:rsidR="005A48F1" w:rsidRPr="00014298" w:rsidRDefault="005A48F1" w:rsidP="009F1410">
            <w:pPr>
              <w:jc w:val="both"/>
            </w:pPr>
            <w:r w:rsidRPr="00014298">
              <w:t xml:space="preserve">Izvajajo se projekti energetske prenove stavb. Namen je povečati energetsko učinkovitost stavb, kjer s celovitimi prenovami načrtujemo vsaj 30-odstotno zmanjšanje porabe primarne energije na teh stavbah v primerjavi s porabo pred energetsko prenovo. </w:t>
            </w:r>
          </w:p>
          <w:p w14:paraId="56705809" w14:textId="77777777" w:rsidR="005A48F1" w:rsidRPr="00014298" w:rsidRDefault="005A48F1" w:rsidP="009F1410">
            <w:pPr>
              <w:jc w:val="both"/>
            </w:pPr>
          </w:p>
          <w:p w14:paraId="2EEE4110" w14:textId="77777777" w:rsidR="005A48F1" w:rsidRPr="00014298" w:rsidRDefault="005A48F1" w:rsidP="009F1410">
            <w:pPr>
              <w:jc w:val="both"/>
              <w:rPr>
                <w:rFonts w:ascii="Calibri" w:hAnsi="Calibri" w:cs="Calibri"/>
                <w:iCs/>
              </w:rPr>
            </w:pPr>
            <w:r w:rsidRPr="00014298">
              <w:t xml:space="preserve">Na področju izobraževanja </w:t>
            </w:r>
            <w:r w:rsidRPr="00014298">
              <w:rPr>
                <w:bCs/>
              </w:rPr>
              <w:t xml:space="preserve">je Vlada Republike Slovenije je sprejela </w:t>
            </w:r>
            <w:r w:rsidRPr="00014298">
              <w:rPr>
                <w:b/>
              </w:rPr>
              <w:t>Strategijo in akcijski načrt za ozelenitev javne izobraževalne in raziskovalne infrastrukture v Sloveniji do leta 2030</w:t>
            </w:r>
            <w:r w:rsidRPr="00014298">
              <w:rPr>
                <w:bCs/>
              </w:rPr>
              <w:t xml:space="preserve">. Strategija in akcijski načrt za ozelenitev javne izobraževalne in raziskovalne infrastrukture v Sloveniji do leta 2030 je strateški dokument in podlaga za sistematični in razvojno usmerjeni sistem vlaganja v javno izobraževalno in raziskovalno infrastrukturo Slovenije do leta 2030. Tako načrtovana investicijska vlaganja lahko učinkovito prispevajo k zelenemu in digitalnemu prehodu ter bolj trajnostnemu izobraževalnemu in raziskovalnemu stavbnemu fondu. </w:t>
            </w:r>
          </w:p>
        </w:tc>
        <w:tc>
          <w:tcPr>
            <w:tcW w:w="1979" w:type="dxa"/>
          </w:tcPr>
          <w:p w14:paraId="0542DCF5" w14:textId="77777777" w:rsidR="005A48F1" w:rsidRPr="00F97482" w:rsidRDefault="005A48F1" w:rsidP="009F1410">
            <w:pPr>
              <w:jc w:val="both"/>
              <w:rPr>
                <w:rFonts w:ascii="Calibri" w:hAnsi="Calibri" w:cs="Calibri"/>
              </w:rPr>
            </w:pPr>
            <w:r w:rsidRPr="00F97482">
              <w:rPr>
                <w:rFonts w:ascii="Calibri" w:hAnsi="Calibri" w:cs="Calibri"/>
              </w:rPr>
              <w:lastRenderedPageBreak/>
              <w:t xml:space="preserve">Ukrepi naslavljajo </w:t>
            </w:r>
            <w:r>
              <w:rPr>
                <w:rFonts w:ascii="Calibri" w:hAnsi="Calibri" w:cs="Calibri"/>
              </w:rPr>
              <w:t>priporočila</w:t>
            </w:r>
            <w:r w:rsidRPr="00F97482">
              <w:rPr>
                <w:rFonts w:ascii="Calibri" w:hAnsi="Calibri" w:cs="Calibri"/>
              </w:rPr>
              <w:t>.</w:t>
            </w:r>
          </w:p>
        </w:tc>
      </w:tr>
    </w:tbl>
    <w:p w14:paraId="70EDBE8E" w14:textId="77777777" w:rsidR="005A48F1" w:rsidRDefault="005A48F1" w:rsidP="005A48F1">
      <w:pPr>
        <w:spacing w:line="240" w:lineRule="auto"/>
        <w:jc w:val="both"/>
      </w:pPr>
    </w:p>
    <w:p w14:paraId="0793E958" w14:textId="725E34D3" w:rsidR="00330415" w:rsidRPr="009924DC" w:rsidRDefault="00330415" w:rsidP="00330415">
      <w:pPr>
        <w:spacing w:after="0" w:line="240" w:lineRule="auto"/>
        <w:rPr>
          <w:rFonts w:ascii="Arial" w:eastAsia="Times New Roman" w:hAnsi="Arial" w:cs="Arial"/>
          <w:lang w:eastAsia="sl-SI"/>
        </w:rPr>
      </w:pPr>
      <w:r w:rsidRPr="009924DC">
        <w:rPr>
          <w:rFonts w:ascii="Arial" w:eastAsia="Times New Roman" w:hAnsi="Arial" w:cs="Arial"/>
          <w:lang w:eastAsia="sl-SI"/>
        </w:rPr>
        <w:lastRenderedPageBreak/>
        <w:t xml:space="preserve">Tabela </w:t>
      </w:r>
      <w:r w:rsidR="001C6FA5">
        <w:rPr>
          <w:rFonts w:ascii="Arial" w:eastAsia="Times New Roman" w:hAnsi="Arial" w:cs="Arial"/>
          <w:lang w:eastAsia="sl-SI"/>
        </w:rPr>
        <w:t>7</w:t>
      </w:r>
      <w:r w:rsidRPr="009924DC">
        <w:rPr>
          <w:rFonts w:ascii="Arial" w:eastAsia="Times New Roman" w:hAnsi="Arial" w:cs="Arial"/>
          <w:lang w:eastAsia="sl-SI"/>
        </w:rPr>
        <w:t>: Stanje poroštev, sprejetih/objavljenih v skladu z Osnutkom proračunskega načrta 2024</w:t>
      </w:r>
    </w:p>
    <w:tbl>
      <w:tblPr>
        <w:tblStyle w:val="ListTable3-Accent1"/>
        <w:tblW w:w="5000" w:type="pct"/>
        <w:tblLook w:val="04A0" w:firstRow="1" w:lastRow="0" w:firstColumn="1" w:lastColumn="0" w:noHBand="0" w:noVBand="1"/>
        <w:tblDescription w:val="Stanje poroštev sprejetih do leta 2023. Štirje ukrepi kot odgovor na COVID in štirje drugi ukrepi."/>
      </w:tblPr>
      <w:tblGrid>
        <w:gridCol w:w="2124"/>
        <w:gridCol w:w="3168"/>
        <w:gridCol w:w="1260"/>
        <w:gridCol w:w="1256"/>
        <w:gridCol w:w="1254"/>
      </w:tblGrid>
      <w:tr w:rsidR="00330415" w14:paraId="25564411" w14:textId="77777777" w:rsidTr="00330415">
        <w:trPr>
          <w:cnfStyle w:val="100000000000" w:firstRow="1" w:lastRow="0" w:firstColumn="0" w:lastColumn="0" w:oddVBand="0" w:evenVBand="0" w:oddHBand="0" w:evenHBand="0" w:firstRowFirstColumn="0" w:firstRowLastColumn="0" w:lastRowFirstColumn="0" w:lastRowLastColumn="0"/>
          <w:trHeight w:val="309"/>
        </w:trPr>
        <w:tc>
          <w:tcPr>
            <w:cnfStyle w:val="001000000100" w:firstRow="0" w:lastRow="0" w:firstColumn="1" w:lastColumn="0" w:oddVBand="0" w:evenVBand="0" w:oddHBand="0" w:evenHBand="0" w:firstRowFirstColumn="1" w:firstRowLastColumn="0" w:lastRowFirstColumn="0" w:lastRowLastColumn="0"/>
            <w:tcW w:w="1172" w:type="pct"/>
            <w:tcBorders>
              <w:top w:val="single" w:sz="4" w:space="0" w:color="5B9BD5" w:themeColor="accent1"/>
              <w:left w:val="single" w:sz="4" w:space="0" w:color="5B9BD5" w:themeColor="accent1"/>
            </w:tcBorders>
            <w:shd w:val="clear" w:color="auto" w:fill="B4C6E7" w:themeFill="accent5" w:themeFillTint="66"/>
            <w:hideMark/>
          </w:tcPr>
          <w:p w14:paraId="506B90D6" w14:textId="77777777" w:rsidR="00330415" w:rsidRDefault="00330415">
            <w:pPr>
              <w:rPr>
                <w:rFonts w:ascii="Arial" w:eastAsia="Times New Roman" w:hAnsi="Arial" w:cs="Arial"/>
                <w:color w:val="auto"/>
                <w:sz w:val="18"/>
                <w:szCs w:val="18"/>
                <w:lang w:eastAsia="sl-SI"/>
              </w:rPr>
            </w:pPr>
            <w:r>
              <w:rPr>
                <w:rFonts w:ascii="Arial" w:eastAsia="Times New Roman" w:hAnsi="Arial" w:cs="Arial"/>
                <w:color w:val="auto"/>
                <w:sz w:val="18"/>
                <w:szCs w:val="18"/>
                <w:lang w:eastAsia="sl-SI"/>
              </w:rPr>
              <w:t> </w:t>
            </w:r>
          </w:p>
        </w:tc>
        <w:tc>
          <w:tcPr>
            <w:tcW w:w="1748" w:type="pct"/>
            <w:tcBorders>
              <w:top w:val="single" w:sz="4" w:space="0" w:color="5B9BD5" w:themeColor="accent1"/>
              <w:left w:val="nil"/>
              <w:bottom w:val="nil"/>
              <w:right w:val="nil"/>
            </w:tcBorders>
            <w:shd w:val="clear" w:color="auto" w:fill="B4C6E7" w:themeFill="accent5" w:themeFillTint="66"/>
            <w:hideMark/>
          </w:tcPr>
          <w:p w14:paraId="49A0409A" w14:textId="77777777" w:rsidR="00330415" w:rsidRDefault="00330415">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18"/>
                <w:szCs w:val="18"/>
                <w:lang w:eastAsia="sl-SI"/>
              </w:rPr>
            </w:pPr>
            <w:r>
              <w:rPr>
                <w:rFonts w:ascii="Arial" w:eastAsia="Times New Roman" w:hAnsi="Arial" w:cs="Arial"/>
                <w:color w:val="auto"/>
                <w:sz w:val="18"/>
                <w:szCs w:val="18"/>
                <w:lang w:eastAsia="sl-SI"/>
              </w:rPr>
              <w:t>Ukrepi</w:t>
            </w:r>
          </w:p>
        </w:tc>
        <w:tc>
          <w:tcPr>
            <w:tcW w:w="695" w:type="pct"/>
            <w:tcBorders>
              <w:top w:val="single" w:sz="4" w:space="0" w:color="5B9BD5" w:themeColor="accent1"/>
              <w:left w:val="nil"/>
              <w:bottom w:val="nil"/>
              <w:right w:val="nil"/>
            </w:tcBorders>
            <w:shd w:val="clear" w:color="auto" w:fill="B4C6E7" w:themeFill="accent5" w:themeFillTint="66"/>
            <w:hideMark/>
          </w:tcPr>
          <w:p w14:paraId="23DB2C23" w14:textId="77777777" w:rsidR="00330415" w:rsidRDefault="00330415">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18"/>
                <w:szCs w:val="18"/>
                <w:lang w:eastAsia="sl-SI"/>
              </w:rPr>
            </w:pPr>
            <w:r>
              <w:rPr>
                <w:rFonts w:ascii="Arial" w:eastAsia="Times New Roman" w:hAnsi="Arial" w:cs="Arial"/>
                <w:color w:val="auto"/>
                <w:sz w:val="18"/>
                <w:szCs w:val="18"/>
                <w:lang w:eastAsia="sl-SI"/>
              </w:rPr>
              <w:t>Datum sprejetja</w:t>
            </w:r>
          </w:p>
        </w:tc>
        <w:tc>
          <w:tcPr>
            <w:tcW w:w="693" w:type="pct"/>
            <w:tcBorders>
              <w:top w:val="single" w:sz="4" w:space="0" w:color="5B9BD5" w:themeColor="accent1"/>
              <w:left w:val="nil"/>
              <w:bottom w:val="nil"/>
              <w:right w:val="nil"/>
            </w:tcBorders>
            <w:shd w:val="clear" w:color="auto" w:fill="B4C6E7" w:themeFill="accent5" w:themeFillTint="66"/>
            <w:hideMark/>
          </w:tcPr>
          <w:p w14:paraId="2A390C8A" w14:textId="77777777" w:rsidR="00330415" w:rsidRDefault="00330415">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18"/>
                <w:szCs w:val="18"/>
                <w:lang w:eastAsia="sl-SI"/>
              </w:rPr>
            </w:pPr>
            <w:r>
              <w:rPr>
                <w:rFonts w:ascii="Arial" w:eastAsia="Times New Roman" w:hAnsi="Arial" w:cs="Arial"/>
                <w:color w:val="auto"/>
                <w:sz w:val="18"/>
                <w:szCs w:val="18"/>
                <w:lang w:eastAsia="sl-SI"/>
              </w:rPr>
              <w:t>Najvišji znesek pogojnih obveznosti (v % BDP)</w:t>
            </w:r>
          </w:p>
        </w:tc>
        <w:tc>
          <w:tcPr>
            <w:tcW w:w="692" w:type="pct"/>
            <w:tcBorders>
              <w:top w:val="single" w:sz="4" w:space="0" w:color="5B9BD5" w:themeColor="accent1"/>
              <w:left w:val="nil"/>
              <w:bottom w:val="nil"/>
              <w:right w:val="single" w:sz="4" w:space="0" w:color="5B9BD5" w:themeColor="accent1"/>
            </w:tcBorders>
            <w:shd w:val="clear" w:color="auto" w:fill="B4C6E7" w:themeFill="accent5" w:themeFillTint="66"/>
            <w:hideMark/>
          </w:tcPr>
          <w:p w14:paraId="69A2CB18" w14:textId="77777777" w:rsidR="00330415" w:rsidRDefault="00330415">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18"/>
                <w:szCs w:val="18"/>
                <w:lang w:eastAsia="sl-SI"/>
              </w:rPr>
            </w:pPr>
            <w:r>
              <w:rPr>
                <w:rFonts w:ascii="Arial" w:eastAsia="Times New Roman" w:hAnsi="Arial" w:cs="Arial"/>
                <w:color w:val="auto"/>
                <w:sz w:val="18"/>
                <w:szCs w:val="18"/>
                <w:lang w:eastAsia="sl-SI"/>
              </w:rPr>
              <w:t>Prevideno koriščenje (v % BDP)</w:t>
            </w:r>
          </w:p>
        </w:tc>
      </w:tr>
      <w:tr w:rsidR="00330415" w14:paraId="3C18DF41" w14:textId="77777777" w:rsidTr="00330415">
        <w:trPr>
          <w:cnfStyle w:val="000000100000" w:firstRow="0" w:lastRow="0" w:firstColumn="0" w:lastColumn="0" w:oddVBand="0" w:evenVBand="0" w:oddHBand="1" w:evenHBand="0" w:firstRowFirstColumn="0" w:firstRowLastColumn="0" w:lastRowFirstColumn="0" w:lastRowLastColumn="0"/>
          <w:trHeight w:val="309"/>
        </w:trPr>
        <w:tc>
          <w:tcPr>
            <w:cnfStyle w:val="001000000000" w:firstRow="0" w:lastRow="0" w:firstColumn="1" w:lastColumn="0" w:oddVBand="0" w:evenVBand="0" w:oddHBand="0" w:evenHBand="0" w:firstRowFirstColumn="0" w:firstRowLastColumn="0" w:lastRowFirstColumn="0" w:lastRowLastColumn="0"/>
            <w:tcW w:w="1172" w:type="pct"/>
            <w:vMerge w:val="restart"/>
            <w:tcBorders>
              <w:left w:val="single" w:sz="4" w:space="0" w:color="5B9BD5" w:themeColor="accent1"/>
            </w:tcBorders>
            <w:hideMark/>
          </w:tcPr>
          <w:p w14:paraId="797E0CAD" w14:textId="77777777" w:rsidR="00330415" w:rsidRDefault="00330415">
            <w:pPr>
              <w:rPr>
                <w:rFonts w:ascii="Arial" w:eastAsia="Times New Roman" w:hAnsi="Arial" w:cs="Arial"/>
                <w:sz w:val="18"/>
                <w:szCs w:val="18"/>
                <w:lang w:eastAsia="sl-SI"/>
              </w:rPr>
            </w:pPr>
            <w:r>
              <w:rPr>
                <w:rFonts w:ascii="Arial" w:eastAsia="Times New Roman" w:hAnsi="Arial" w:cs="Arial"/>
                <w:sz w:val="18"/>
                <w:szCs w:val="18"/>
                <w:lang w:eastAsia="sl-SI"/>
              </w:rPr>
              <w:t xml:space="preserve">Kot odgovor na COVID-19 </w:t>
            </w:r>
          </w:p>
        </w:tc>
        <w:tc>
          <w:tcPr>
            <w:tcW w:w="1748" w:type="pct"/>
            <w:tcBorders>
              <w:left w:val="nil"/>
              <w:right w:val="nil"/>
            </w:tcBorders>
            <w:hideMark/>
          </w:tcPr>
          <w:p w14:paraId="73B93424" w14:textId="77777777" w:rsidR="00330415" w:rsidRDefault="00330415">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sl-SI"/>
              </w:rPr>
            </w:pPr>
            <w:r>
              <w:rPr>
                <w:rFonts w:ascii="Arial" w:eastAsia="Times New Roman" w:hAnsi="Arial" w:cs="Arial"/>
                <w:sz w:val="18"/>
                <w:szCs w:val="18"/>
                <w:lang w:eastAsia="sl-SI"/>
              </w:rPr>
              <w:t>Zakon o poroštvu Republike Slovenije v Evropskem instrumentu za začasno podporo za ublažitev tveganj za brezposelnost v izrednih razmerah (SURE) po izbruhu COVID-19 (ZPEIPUTB)</w:t>
            </w:r>
          </w:p>
        </w:tc>
        <w:tc>
          <w:tcPr>
            <w:tcW w:w="695" w:type="pct"/>
            <w:tcBorders>
              <w:left w:val="nil"/>
              <w:right w:val="nil"/>
            </w:tcBorders>
            <w:hideMark/>
          </w:tcPr>
          <w:p w14:paraId="23124D7A" w14:textId="77777777" w:rsidR="00330415" w:rsidRDefault="00330415">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sl-SI"/>
              </w:rPr>
            </w:pPr>
            <w:r>
              <w:rPr>
                <w:rFonts w:ascii="Arial" w:eastAsia="Times New Roman" w:hAnsi="Arial" w:cs="Arial"/>
                <w:sz w:val="18"/>
                <w:szCs w:val="18"/>
                <w:lang w:eastAsia="sl-SI"/>
              </w:rPr>
              <w:t>29/05/2020</w:t>
            </w:r>
          </w:p>
        </w:tc>
        <w:tc>
          <w:tcPr>
            <w:tcW w:w="693" w:type="pct"/>
            <w:tcBorders>
              <w:left w:val="nil"/>
              <w:right w:val="nil"/>
            </w:tcBorders>
            <w:hideMark/>
          </w:tcPr>
          <w:p w14:paraId="103319AA" w14:textId="77777777" w:rsidR="00330415" w:rsidRDefault="00330415">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sl-SI"/>
              </w:rPr>
            </w:pPr>
            <w:r>
              <w:rPr>
                <w:rFonts w:ascii="Arial" w:hAnsi="Arial" w:cs="Arial"/>
                <w:color w:val="000000"/>
                <w:sz w:val="18"/>
                <w:szCs w:val="18"/>
              </w:rPr>
              <w:t>0,14</w:t>
            </w:r>
          </w:p>
        </w:tc>
        <w:tc>
          <w:tcPr>
            <w:tcW w:w="692" w:type="pct"/>
            <w:tcBorders>
              <w:left w:val="nil"/>
              <w:right w:val="single" w:sz="4" w:space="0" w:color="5B9BD5" w:themeColor="accent1"/>
            </w:tcBorders>
            <w:hideMark/>
          </w:tcPr>
          <w:p w14:paraId="136C4828" w14:textId="77777777" w:rsidR="00330415" w:rsidRDefault="00330415">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sl-SI"/>
              </w:rPr>
            </w:pPr>
            <w:r>
              <w:rPr>
                <w:rFonts w:ascii="Arial" w:hAnsi="Arial" w:cs="Arial"/>
                <w:color w:val="000000"/>
                <w:sz w:val="18"/>
                <w:szCs w:val="18"/>
              </w:rPr>
              <w:t>0,14</w:t>
            </w:r>
          </w:p>
        </w:tc>
      </w:tr>
      <w:tr w:rsidR="00330415" w14:paraId="3E187D41" w14:textId="77777777" w:rsidTr="00330415">
        <w:trPr>
          <w:trHeight w:val="309"/>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5B9BD5" w:themeColor="accent1"/>
              <w:left w:val="single" w:sz="4" w:space="0" w:color="5B9BD5" w:themeColor="accent1"/>
              <w:bottom w:val="single" w:sz="4" w:space="0" w:color="5B9BD5" w:themeColor="accent1"/>
            </w:tcBorders>
            <w:vAlign w:val="center"/>
            <w:hideMark/>
          </w:tcPr>
          <w:p w14:paraId="21398759" w14:textId="77777777" w:rsidR="00330415" w:rsidRDefault="00330415">
            <w:pPr>
              <w:rPr>
                <w:rFonts w:ascii="Arial" w:eastAsia="Times New Roman" w:hAnsi="Arial" w:cs="Arial"/>
                <w:sz w:val="18"/>
                <w:szCs w:val="18"/>
                <w:lang w:eastAsia="sl-SI"/>
              </w:rPr>
            </w:pPr>
          </w:p>
        </w:tc>
        <w:tc>
          <w:tcPr>
            <w:tcW w:w="1748" w:type="pct"/>
            <w:tcBorders>
              <w:top w:val="nil"/>
              <w:left w:val="nil"/>
              <w:bottom w:val="nil"/>
              <w:right w:val="nil"/>
            </w:tcBorders>
            <w:hideMark/>
          </w:tcPr>
          <w:p w14:paraId="370A26CB" w14:textId="77777777" w:rsidR="00330415" w:rsidRDefault="00330415">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sl-SI"/>
              </w:rPr>
            </w:pPr>
            <w:r>
              <w:rPr>
                <w:rFonts w:ascii="Arial" w:eastAsia="Times New Roman" w:hAnsi="Arial" w:cs="Arial"/>
                <w:sz w:val="18"/>
                <w:szCs w:val="18"/>
                <w:lang w:eastAsia="sl-SI"/>
              </w:rPr>
              <w:t>Zakon o zagotovitvi dodatne likvidnosti gospodarstvu za omilitev posledic epidemije COVID-19 (ZDLGPE)</w:t>
            </w:r>
          </w:p>
        </w:tc>
        <w:tc>
          <w:tcPr>
            <w:tcW w:w="695" w:type="pct"/>
            <w:tcBorders>
              <w:top w:val="nil"/>
              <w:left w:val="nil"/>
              <w:bottom w:val="nil"/>
              <w:right w:val="nil"/>
            </w:tcBorders>
            <w:hideMark/>
          </w:tcPr>
          <w:p w14:paraId="1B7EFBD6" w14:textId="77777777" w:rsidR="00330415" w:rsidRDefault="00330415">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sl-SI"/>
              </w:rPr>
            </w:pPr>
            <w:r>
              <w:rPr>
                <w:rFonts w:ascii="Arial" w:eastAsia="Times New Roman" w:hAnsi="Arial" w:cs="Arial"/>
                <w:sz w:val="18"/>
                <w:szCs w:val="18"/>
                <w:lang w:eastAsia="sl-SI"/>
              </w:rPr>
              <w:t>28/04/2020</w:t>
            </w:r>
          </w:p>
        </w:tc>
        <w:tc>
          <w:tcPr>
            <w:tcW w:w="693" w:type="pct"/>
            <w:tcBorders>
              <w:top w:val="nil"/>
              <w:left w:val="nil"/>
              <w:bottom w:val="nil"/>
              <w:right w:val="nil"/>
            </w:tcBorders>
            <w:hideMark/>
          </w:tcPr>
          <w:p w14:paraId="718FFC28" w14:textId="77777777" w:rsidR="00330415" w:rsidRDefault="00330415">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sl-SI"/>
              </w:rPr>
            </w:pPr>
            <w:r>
              <w:rPr>
                <w:rFonts w:ascii="Arial" w:hAnsi="Arial" w:cs="Arial"/>
                <w:color w:val="000000"/>
                <w:sz w:val="18"/>
                <w:szCs w:val="18"/>
              </w:rPr>
              <w:t>3,18</w:t>
            </w:r>
          </w:p>
        </w:tc>
        <w:tc>
          <w:tcPr>
            <w:tcW w:w="692" w:type="pct"/>
            <w:tcBorders>
              <w:top w:val="nil"/>
              <w:left w:val="nil"/>
              <w:bottom w:val="nil"/>
              <w:right w:val="single" w:sz="4" w:space="0" w:color="5B9BD5" w:themeColor="accent1"/>
            </w:tcBorders>
            <w:hideMark/>
          </w:tcPr>
          <w:p w14:paraId="3BC98C4F" w14:textId="77777777" w:rsidR="00330415" w:rsidRDefault="00330415">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sl-SI"/>
              </w:rPr>
            </w:pPr>
            <w:r>
              <w:rPr>
                <w:rFonts w:ascii="Arial" w:hAnsi="Arial" w:cs="Arial"/>
                <w:color w:val="000000"/>
                <w:sz w:val="18"/>
                <w:szCs w:val="18"/>
              </w:rPr>
              <w:t>0,13</w:t>
            </w:r>
          </w:p>
        </w:tc>
      </w:tr>
      <w:tr w:rsidR="00330415" w14:paraId="1591C237" w14:textId="77777777" w:rsidTr="00330415">
        <w:trPr>
          <w:cnfStyle w:val="000000100000" w:firstRow="0" w:lastRow="0" w:firstColumn="0" w:lastColumn="0" w:oddVBand="0" w:evenVBand="0" w:oddHBand="1"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0" w:type="auto"/>
            <w:vMerge/>
            <w:tcBorders>
              <w:left w:val="single" w:sz="4" w:space="0" w:color="5B9BD5" w:themeColor="accent1"/>
            </w:tcBorders>
            <w:vAlign w:val="center"/>
            <w:hideMark/>
          </w:tcPr>
          <w:p w14:paraId="4C89F630" w14:textId="77777777" w:rsidR="00330415" w:rsidRDefault="00330415">
            <w:pPr>
              <w:rPr>
                <w:rFonts w:ascii="Arial" w:eastAsia="Times New Roman" w:hAnsi="Arial" w:cs="Arial"/>
                <w:sz w:val="18"/>
                <w:szCs w:val="18"/>
                <w:lang w:eastAsia="sl-SI"/>
              </w:rPr>
            </w:pPr>
          </w:p>
        </w:tc>
        <w:tc>
          <w:tcPr>
            <w:tcW w:w="1748" w:type="pct"/>
            <w:tcBorders>
              <w:left w:val="nil"/>
              <w:right w:val="nil"/>
            </w:tcBorders>
            <w:hideMark/>
          </w:tcPr>
          <w:p w14:paraId="63B66587" w14:textId="77777777" w:rsidR="00330415" w:rsidRDefault="00330415">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sl-SI"/>
              </w:rPr>
            </w:pPr>
            <w:r>
              <w:rPr>
                <w:rFonts w:ascii="Arial" w:eastAsia="Times New Roman" w:hAnsi="Arial" w:cs="Arial"/>
                <w:sz w:val="18"/>
                <w:szCs w:val="18"/>
                <w:lang w:eastAsia="sl-SI"/>
              </w:rPr>
              <w:t>Zakon o interventnih ukrepih za zajezitev epidemije COVID-19 in omilitev njenih posledic za državljane in gospodarstvo (ZIUZEOP)</w:t>
            </w:r>
          </w:p>
        </w:tc>
        <w:tc>
          <w:tcPr>
            <w:tcW w:w="695" w:type="pct"/>
            <w:tcBorders>
              <w:left w:val="nil"/>
              <w:right w:val="nil"/>
            </w:tcBorders>
            <w:hideMark/>
          </w:tcPr>
          <w:p w14:paraId="6761E0EE" w14:textId="77777777" w:rsidR="00330415" w:rsidRDefault="00330415">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sl-SI"/>
              </w:rPr>
            </w:pPr>
            <w:r>
              <w:rPr>
                <w:rFonts w:ascii="Arial" w:eastAsia="Times New Roman" w:hAnsi="Arial" w:cs="Arial"/>
                <w:sz w:val="18"/>
                <w:szCs w:val="18"/>
                <w:lang w:eastAsia="sl-SI"/>
              </w:rPr>
              <w:t>02/04/2020</w:t>
            </w:r>
          </w:p>
        </w:tc>
        <w:tc>
          <w:tcPr>
            <w:tcW w:w="693" w:type="pct"/>
            <w:tcBorders>
              <w:left w:val="nil"/>
              <w:right w:val="nil"/>
            </w:tcBorders>
            <w:hideMark/>
          </w:tcPr>
          <w:p w14:paraId="30FEF217" w14:textId="77777777" w:rsidR="00330415" w:rsidRDefault="00330415">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sl-SI"/>
              </w:rPr>
            </w:pPr>
            <w:r>
              <w:rPr>
                <w:rFonts w:ascii="Arial" w:hAnsi="Arial" w:cs="Arial"/>
                <w:color w:val="000000"/>
                <w:sz w:val="18"/>
                <w:szCs w:val="18"/>
              </w:rPr>
              <w:t>0,32</w:t>
            </w:r>
          </w:p>
        </w:tc>
        <w:tc>
          <w:tcPr>
            <w:tcW w:w="692" w:type="pct"/>
            <w:tcBorders>
              <w:left w:val="nil"/>
              <w:right w:val="single" w:sz="4" w:space="0" w:color="5B9BD5" w:themeColor="accent1"/>
            </w:tcBorders>
            <w:hideMark/>
          </w:tcPr>
          <w:p w14:paraId="3F9A17D9" w14:textId="77777777" w:rsidR="00330415" w:rsidRDefault="00330415">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sl-SI"/>
              </w:rPr>
            </w:pPr>
            <w:r>
              <w:rPr>
                <w:rFonts w:ascii="Arial" w:hAnsi="Arial" w:cs="Arial"/>
                <w:color w:val="000000"/>
                <w:sz w:val="18"/>
                <w:szCs w:val="18"/>
              </w:rPr>
              <w:t>0,09</w:t>
            </w:r>
          </w:p>
        </w:tc>
      </w:tr>
      <w:tr w:rsidR="00330415" w14:paraId="03837BA8" w14:textId="77777777" w:rsidTr="00330415">
        <w:trPr>
          <w:trHeight w:val="349"/>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5B9BD5" w:themeColor="accent1"/>
              <w:left w:val="single" w:sz="4" w:space="0" w:color="5B9BD5" w:themeColor="accent1"/>
              <w:bottom w:val="single" w:sz="4" w:space="0" w:color="5B9BD5" w:themeColor="accent1"/>
            </w:tcBorders>
            <w:vAlign w:val="center"/>
            <w:hideMark/>
          </w:tcPr>
          <w:p w14:paraId="13D47E6B" w14:textId="77777777" w:rsidR="00330415" w:rsidRDefault="00330415">
            <w:pPr>
              <w:rPr>
                <w:rFonts w:ascii="Arial" w:eastAsia="Times New Roman" w:hAnsi="Arial" w:cs="Arial"/>
                <w:sz w:val="18"/>
                <w:szCs w:val="18"/>
                <w:lang w:eastAsia="sl-SI"/>
              </w:rPr>
            </w:pPr>
          </w:p>
        </w:tc>
        <w:tc>
          <w:tcPr>
            <w:tcW w:w="1748" w:type="pct"/>
            <w:tcBorders>
              <w:top w:val="nil"/>
              <w:left w:val="nil"/>
              <w:bottom w:val="nil"/>
              <w:right w:val="nil"/>
            </w:tcBorders>
            <w:hideMark/>
          </w:tcPr>
          <w:p w14:paraId="5A027874" w14:textId="77777777" w:rsidR="00330415" w:rsidRDefault="00330415">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sl-SI"/>
              </w:rPr>
            </w:pPr>
            <w:r>
              <w:rPr>
                <w:rFonts w:ascii="Arial" w:eastAsia="Times New Roman" w:hAnsi="Arial" w:cs="Arial"/>
                <w:sz w:val="18"/>
                <w:szCs w:val="18"/>
                <w:lang w:eastAsia="sl-SI"/>
              </w:rPr>
              <w:t>Zakon o jamstvu Republike Slovenije v Panevropskem garancijskem skladu  (ZJPGS)</w:t>
            </w:r>
          </w:p>
        </w:tc>
        <w:tc>
          <w:tcPr>
            <w:tcW w:w="695" w:type="pct"/>
            <w:tcBorders>
              <w:top w:val="nil"/>
              <w:left w:val="nil"/>
              <w:bottom w:val="nil"/>
              <w:right w:val="nil"/>
            </w:tcBorders>
            <w:hideMark/>
          </w:tcPr>
          <w:p w14:paraId="2BD3F314" w14:textId="77777777" w:rsidR="00330415" w:rsidRDefault="00330415">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sl-SI"/>
              </w:rPr>
            </w:pPr>
            <w:r>
              <w:rPr>
                <w:rFonts w:ascii="Arial" w:eastAsia="Times New Roman" w:hAnsi="Arial" w:cs="Arial"/>
                <w:sz w:val="18"/>
                <w:szCs w:val="18"/>
                <w:lang w:eastAsia="sl-SI"/>
              </w:rPr>
              <w:t>03/03/2021</w:t>
            </w:r>
          </w:p>
        </w:tc>
        <w:tc>
          <w:tcPr>
            <w:tcW w:w="693" w:type="pct"/>
            <w:tcBorders>
              <w:top w:val="nil"/>
              <w:left w:val="nil"/>
              <w:bottom w:val="nil"/>
              <w:right w:val="nil"/>
            </w:tcBorders>
            <w:hideMark/>
          </w:tcPr>
          <w:p w14:paraId="7D21002F" w14:textId="77777777" w:rsidR="00330415" w:rsidRDefault="00330415">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sl-SI"/>
              </w:rPr>
            </w:pPr>
            <w:r>
              <w:rPr>
                <w:rFonts w:ascii="Arial" w:hAnsi="Arial" w:cs="Arial"/>
                <w:color w:val="000000"/>
                <w:sz w:val="18"/>
                <w:szCs w:val="18"/>
              </w:rPr>
              <w:t>0,11</w:t>
            </w:r>
          </w:p>
        </w:tc>
        <w:tc>
          <w:tcPr>
            <w:tcW w:w="692" w:type="pct"/>
            <w:tcBorders>
              <w:top w:val="nil"/>
              <w:left w:val="nil"/>
              <w:bottom w:val="nil"/>
              <w:right w:val="single" w:sz="4" w:space="0" w:color="5B9BD5" w:themeColor="accent1"/>
            </w:tcBorders>
            <w:hideMark/>
          </w:tcPr>
          <w:p w14:paraId="7610F492" w14:textId="77777777" w:rsidR="00330415" w:rsidRDefault="00330415">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sl-SI"/>
              </w:rPr>
            </w:pPr>
            <w:r>
              <w:rPr>
                <w:rFonts w:ascii="Arial" w:hAnsi="Arial" w:cs="Arial"/>
                <w:color w:val="000000"/>
                <w:sz w:val="18"/>
                <w:szCs w:val="18"/>
              </w:rPr>
              <w:t>0,11</w:t>
            </w:r>
          </w:p>
        </w:tc>
      </w:tr>
      <w:tr w:rsidR="00330415" w14:paraId="3F299A70" w14:textId="77777777" w:rsidTr="00330415">
        <w:trPr>
          <w:cnfStyle w:val="000000100000" w:firstRow="0" w:lastRow="0" w:firstColumn="0" w:lastColumn="0" w:oddVBand="0" w:evenVBand="0" w:oddHBand="1" w:evenHBand="0" w:firstRowFirstColumn="0" w:firstRowLastColumn="0" w:lastRowFirstColumn="0" w:lastRowLastColumn="0"/>
          <w:trHeight w:val="309"/>
        </w:trPr>
        <w:tc>
          <w:tcPr>
            <w:cnfStyle w:val="001000000000" w:firstRow="0" w:lastRow="0" w:firstColumn="1" w:lastColumn="0" w:oddVBand="0" w:evenVBand="0" w:oddHBand="0" w:evenHBand="0" w:firstRowFirstColumn="0" w:firstRowLastColumn="0" w:lastRowFirstColumn="0" w:lastRowLastColumn="0"/>
            <w:tcW w:w="0" w:type="auto"/>
            <w:vMerge/>
            <w:tcBorders>
              <w:left w:val="single" w:sz="4" w:space="0" w:color="5B9BD5" w:themeColor="accent1"/>
            </w:tcBorders>
            <w:vAlign w:val="center"/>
            <w:hideMark/>
          </w:tcPr>
          <w:p w14:paraId="662B7DD2" w14:textId="77777777" w:rsidR="00330415" w:rsidRDefault="00330415">
            <w:pPr>
              <w:rPr>
                <w:rFonts w:ascii="Arial" w:eastAsia="Times New Roman" w:hAnsi="Arial" w:cs="Arial"/>
                <w:sz w:val="18"/>
                <w:szCs w:val="18"/>
                <w:lang w:eastAsia="sl-SI"/>
              </w:rPr>
            </w:pPr>
          </w:p>
        </w:tc>
        <w:tc>
          <w:tcPr>
            <w:tcW w:w="1748" w:type="pct"/>
            <w:tcBorders>
              <w:left w:val="nil"/>
              <w:right w:val="nil"/>
            </w:tcBorders>
            <w:hideMark/>
          </w:tcPr>
          <w:p w14:paraId="2D86DE6C" w14:textId="77777777" w:rsidR="00330415" w:rsidRDefault="00330415">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sz w:val="18"/>
                <w:szCs w:val="18"/>
                <w:lang w:eastAsia="sl-SI"/>
              </w:rPr>
            </w:pPr>
            <w:r>
              <w:rPr>
                <w:rFonts w:ascii="Arial" w:eastAsia="Times New Roman" w:hAnsi="Arial" w:cs="Arial"/>
                <w:b/>
                <w:bCs/>
                <w:sz w:val="18"/>
                <w:szCs w:val="18"/>
                <w:lang w:eastAsia="sl-SI"/>
              </w:rPr>
              <w:t>Vmesni seštevek</w:t>
            </w:r>
          </w:p>
        </w:tc>
        <w:tc>
          <w:tcPr>
            <w:tcW w:w="695" w:type="pct"/>
            <w:tcBorders>
              <w:left w:val="nil"/>
              <w:right w:val="nil"/>
            </w:tcBorders>
          </w:tcPr>
          <w:p w14:paraId="2A0F95C0" w14:textId="77777777" w:rsidR="00330415" w:rsidRDefault="00330415">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sz w:val="18"/>
                <w:szCs w:val="18"/>
                <w:lang w:eastAsia="sl-SI"/>
              </w:rPr>
            </w:pPr>
          </w:p>
        </w:tc>
        <w:tc>
          <w:tcPr>
            <w:tcW w:w="693" w:type="pct"/>
            <w:tcBorders>
              <w:left w:val="nil"/>
              <w:right w:val="nil"/>
            </w:tcBorders>
            <w:hideMark/>
          </w:tcPr>
          <w:p w14:paraId="32F0A94A" w14:textId="77777777" w:rsidR="00330415" w:rsidRDefault="00330415">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sz w:val="18"/>
                <w:szCs w:val="18"/>
                <w:lang w:eastAsia="sl-SI"/>
              </w:rPr>
            </w:pPr>
            <w:r>
              <w:rPr>
                <w:rFonts w:ascii="Arial" w:eastAsia="Times New Roman" w:hAnsi="Arial" w:cs="Arial"/>
                <w:b/>
                <w:bCs/>
                <w:sz w:val="18"/>
                <w:szCs w:val="18"/>
                <w:lang w:eastAsia="sl-SI"/>
              </w:rPr>
              <w:t>3,74</w:t>
            </w:r>
          </w:p>
        </w:tc>
        <w:tc>
          <w:tcPr>
            <w:tcW w:w="692" w:type="pct"/>
            <w:tcBorders>
              <w:left w:val="nil"/>
              <w:right w:val="single" w:sz="4" w:space="0" w:color="5B9BD5" w:themeColor="accent1"/>
            </w:tcBorders>
            <w:hideMark/>
          </w:tcPr>
          <w:p w14:paraId="559B3ABF" w14:textId="77777777" w:rsidR="00330415" w:rsidRDefault="00330415">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sz w:val="18"/>
                <w:szCs w:val="18"/>
                <w:lang w:eastAsia="sl-SI"/>
              </w:rPr>
            </w:pPr>
            <w:r>
              <w:rPr>
                <w:rFonts w:ascii="Arial" w:hAnsi="Arial" w:cs="Arial"/>
                <w:b/>
                <w:bCs/>
                <w:color w:val="000000"/>
                <w:sz w:val="18"/>
                <w:szCs w:val="18"/>
              </w:rPr>
              <w:t>0,48</w:t>
            </w:r>
          </w:p>
        </w:tc>
      </w:tr>
      <w:tr w:rsidR="00330415" w14:paraId="3E972044" w14:textId="77777777" w:rsidTr="00330415">
        <w:trPr>
          <w:trHeight w:val="309"/>
        </w:trPr>
        <w:tc>
          <w:tcPr>
            <w:cnfStyle w:val="001000000000" w:firstRow="0" w:lastRow="0" w:firstColumn="1" w:lastColumn="0" w:oddVBand="0" w:evenVBand="0" w:oddHBand="0" w:evenHBand="0" w:firstRowFirstColumn="0" w:firstRowLastColumn="0" w:lastRowFirstColumn="0" w:lastRowLastColumn="0"/>
            <w:tcW w:w="1172" w:type="pct"/>
            <w:vMerge w:val="restart"/>
            <w:tcBorders>
              <w:top w:val="nil"/>
              <w:left w:val="single" w:sz="4" w:space="0" w:color="5B9BD5" w:themeColor="accent1"/>
              <w:bottom w:val="single" w:sz="4" w:space="0" w:color="5B9BD5" w:themeColor="accent1"/>
            </w:tcBorders>
            <w:hideMark/>
          </w:tcPr>
          <w:p w14:paraId="3A16877D" w14:textId="77777777" w:rsidR="00330415" w:rsidRDefault="00330415">
            <w:pPr>
              <w:rPr>
                <w:rFonts w:ascii="Arial" w:eastAsia="Times New Roman" w:hAnsi="Arial" w:cs="Arial"/>
                <w:sz w:val="18"/>
                <w:szCs w:val="18"/>
                <w:lang w:eastAsia="sl-SI"/>
              </w:rPr>
            </w:pPr>
            <w:r>
              <w:rPr>
                <w:rFonts w:ascii="Arial" w:eastAsia="Times New Roman" w:hAnsi="Arial" w:cs="Arial"/>
                <w:sz w:val="18"/>
                <w:szCs w:val="18"/>
                <w:lang w:eastAsia="sl-SI"/>
              </w:rPr>
              <w:t>Drugi</w:t>
            </w:r>
          </w:p>
        </w:tc>
        <w:tc>
          <w:tcPr>
            <w:tcW w:w="1748" w:type="pct"/>
            <w:tcBorders>
              <w:top w:val="nil"/>
              <w:left w:val="nil"/>
              <w:bottom w:val="nil"/>
              <w:right w:val="nil"/>
            </w:tcBorders>
            <w:hideMark/>
          </w:tcPr>
          <w:p w14:paraId="0D58A739" w14:textId="77777777" w:rsidR="00330415" w:rsidRDefault="00330415">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sl-SI"/>
              </w:rPr>
            </w:pPr>
            <w:r>
              <w:rPr>
                <w:rFonts w:ascii="Arial" w:eastAsia="Times New Roman" w:hAnsi="Arial" w:cs="Arial"/>
                <w:sz w:val="18"/>
                <w:szCs w:val="18"/>
                <w:lang w:eastAsia="sl-SI"/>
              </w:rPr>
              <w:t>Zakon o poroštvu Republike Slovenije za obveznosti iz naslova kreditov, najetih za zagotavljanje likvidnosti na organiziranih trgih električne energije ter emisijskih kuponov in obveznosti iz nakupa dodatnih količin zemeljskega plina izven trga Evropske Unije (ZPKEEKP)</w:t>
            </w:r>
          </w:p>
        </w:tc>
        <w:tc>
          <w:tcPr>
            <w:tcW w:w="695" w:type="pct"/>
            <w:tcBorders>
              <w:top w:val="nil"/>
              <w:left w:val="nil"/>
              <w:bottom w:val="nil"/>
              <w:right w:val="nil"/>
            </w:tcBorders>
            <w:hideMark/>
          </w:tcPr>
          <w:p w14:paraId="1D13DCE6" w14:textId="77777777" w:rsidR="00330415" w:rsidRDefault="00330415">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FF0000"/>
                <w:sz w:val="18"/>
                <w:szCs w:val="18"/>
                <w:lang w:eastAsia="sl-SI"/>
              </w:rPr>
            </w:pPr>
            <w:r>
              <w:rPr>
                <w:rFonts w:ascii="Arial" w:hAnsi="Arial" w:cs="Arial"/>
                <w:color w:val="000000"/>
                <w:sz w:val="18"/>
                <w:szCs w:val="18"/>
              </w:rPr>
              <w:t>13/09/2022</w:t>
            </w:r>
          </w:p>
        </w:tc>
        <w:tc>
          <w:tcPr>
            <w:tcW w:w="693" w:type="pct"/>
            <w:tcBorders>
              <w:top w:val="nil"/>
              <w:left w:val="nil"/>
              <w:bottom w:val="nil"/>
              <w:right w:val="nil"/>
            </w:tcBorders>
            <w:hideMark/>
          </w:tcPr>
          <w:p w14:paraId="1E0E16F5" w14:textId="77777777" w:rsidR="00330415" w:rsidRDefault="00330415">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FF0000"/>
                <w:sz w:val="18"/>
                <w:szCs w:val="18"/>
                <w:lang w:eastAsia="sl-SI"/>
              </w:rPr>
            </w:pPr>
            <w:r>
              <w:rPr>
                <w:rFonts w:ascii="Arial" w:hAnsi="Arial" w:cs="Arial"/>
                <w:color w:val="000000"/>
                <w:sz w:val="18"/>
                <w:szCs w:val="18"/>
              </w:rPr>
              <w:t>2,03</w:t>
            </w:r>
          </w:p>
        </w:tc>
        <w:tc>
          <w:tcPr>
            <w:tcW w:w="692" w:type="pct"/>
            <w:tcBorders>
              <w:top w:val="nil"/>
              <w:left w:val="nil"/>
              <w:bottom w:val="nil"/>
              <w:right w:val="single" w:sz="4" w:space="0" w:color="5B9BD5" w:themeColor="accent1"/>
            </w:tcBorders>
            <w:hideMark/>
          </w:tcPr>
          <w:p w14:paraId="1D937FB6" w14:textId="77777777" w:rsidR="00330415" w:rsidRDefault="00330415">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FF0000"/>
                <w:sz w:val="18"/>
                <w:szCs w:val="18"/>
                <w:lang w:eastAsia="sl-SI"/>
              </w:rPr>
            </w:pPr>
            <w:r>
              <w:rPr>
                <w:rFonts w:ascii="Arial" w:eastAsia="Times New Roman" w:hAnsi="Arial" w:cs="Arial"/>
                <w:sz w:val="18"/>
                <w:szCs w:val="18"/>
                <w:lang w:eastAsia="sl-SI"/>
              </w:rPr>
              <w:t>2,03</w:t>
            </w:r>
          </w:p>
        </w:tc>
      </w:tr>
      <w:tr w:rsidR="00330415" w14:paraId="080A646C" w14:textId="77777777" w:rsidTr="00330415">
        <w:trPr>
          <w:cnfStyle w:val="000000100000" w:firstRow="0" w:lastRow="0" w:firstColumn="0" w:lastColumn="0" w:oddVBand="0" w:evenVBand="0" w:oddHBand="1" w:evenHBand="0" w:firstRowFirstColumn="0" w:firstRowLastColumn="0" w:lastRowFirstColumn="0" w:lastRowLastColumn="0"/>
          <w:trHeight w:val="309"/>
        </w:trPr>
        <w:tc>
          <w:tcPr>
            <w:cnfStyle w:val="001000000000" w:firstRow="0" w:lastRow="0" w:firstColumn="1" w:lastColumn="0" w:oddVBand="0" w:evenVBand="0" w:oddHBand="0" w:evenHBand="0" w:firstRowFirstColumn="0" w:firstRowLastColumn="0" w:lastRowFirstColumn="0" w:lastRowLastColumn="0"/>
            <w:tcW w:w="0" w:type="auto"/>
            <w:vMerge/>
            <w:tcBorders>
              <w:top w:val="nil"/>
              <w:left w:val="single" w:sz="4" w:space="0" w:color="5B9BD5" w:themeColor="accent1"/>
            </w:tcBorders>
            <w:vAlign w:val="center"/>
            <w:hideMark/>
          </w:tcPr>
          <w:p w14:paraId="46BD9E8E" w14:textId="77777777" w:rsidR="00330415" w:rsidRDefault="00330415">
            <w:pPr>
              <w:rPr>
                <w:rFonts w:ascii="Arial" w:eastAsia="Times New Roman" w:hAnsi="Arial" w:cs="Arial"/>
                <w:sz w:val="18"/>
                <w:szCs w:val="18"/>
                <w:lang w:eastAsia="sl-SI"/>
              </w:rPr>
            </w:pPr>
          </w:p>
        </w:tc>
        <w:tc>
          <w:tcPr>
            <w:tcW w:w="1748" w:type="pct"/>
            <w:tcBorders>
              <w:left w:val="nil"/>
              <w:right w:val="nil"/>
            </w:tcBorders>
            <w:hideMark/>
          </w:tcPr>
          <w:p w14:paraId="73787CDB" w14:textId="77777777" w:rsidR="00330415" w:rsidRDefault="00330415">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sl-SI"/>
              </w:rPr>
            </w:pPr>
            <w:r>
              <w:rPr>
                <w:rFonts w:ascii="Arial" w:eastAsia="Times New Roman" w:hAnsi="Arial" w:cs="Arial"/>
                <w:sz w:val="18"/>
                <w:szCs w:val="18"/>
                <w:lang w:eastAsia="sl-SI"/>
              </w:rPr>
              <w:t>Zakon o stanovanjski jamstveni shemi za mlade (ZSJSM)</w:t>
            </w:r>
          </w:p>
        </w:tc>
        <w:tc>
          <w:tcPr>
            <w:tcW w:w="695" w:type="pct"/>
            <w:tcBorders>
              <w:left w:val="nil"/>
              <w:right w:val="nil"/>
            </w:tcBorders>
            <w:hideMark/>
          </w:tcPr>
          <w:p w14:paraId="705AE480" w14:textId="77777777" w:rsidR="00330415" w:rsidRDefault="00330415">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sl-SI"/>
              </w:rPr>
            </w:pPr>
            <w:r>
              <w:rPr>
                <w:rFonts w:ascii="Arial" w:hAnsi="Arial" w:cs="Arial"/>
                <w:color w:val="000000"/>
                <w:sz w:val="18"/>
                <w:szCs w:val="18"/>
              </w:rPr>
              <w:t>06/04/2022</w:t>
            </w:r>
          </w:p>
        </w:tc>
        <w:tc>
          <w:tcPr>
            <w:tcW w:w="693" w:type="pct"/>
            <w:tcBorders>
              <w:left w:val="nil"/>
              <w:right w:val="nil"/>
            </w:tcBorders>
            <w:hideMark/>
          </w:tcPr>
          <w:p w14:paraId="69FD07F2" w14:textId="77777777" w:rsidR="00330415" w:rsidRDefault="00330415">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sl-SI"/>
              </w:rPr>
            </w:pPr>
            <w:r>
              <w:rPr>
                <w:rFonts w:ascii="Arial" w:hAnsi="Arial" w:cs="Arial"/>
                <w:color w:val="000000"/>
                <w:sz w:val="18"/>
                <w:szCs w:val="18"/>
              </w:rPr>
              <w:t>0,48</w:t>
            </w:r>
          </w:p>
        </w:tc>
        <w:tc>
          <w:tcPr>
            <w:tcW w:w="692" w:type="pct"/>
            <w:tcBorders>
              <w:left w:val="nil"/>
              <w:right w:val="single" w:sz="4" w:space="0" w:color="5B9BD5" w:themeColor="accent1"/>
            </w:tcBorders>
            <w:hideMark/>
          </w:tcPr>
          <w:p w14:paraId="2B26BC16" w14:textId="77777777" w:rsidR="00330415" w:rsidRDefault="00330415">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sl-SI"/>
              </w:rPr>
            </w:pPr>
            <w:r>
              <w:rPr>
                <w:rFonts w:ascii="Arial" w:hAnsi="Arial" w:cs="Arial"/>
                <w:color w:val="000000"/>
                <w:sz w:val="18"/>
                <w:szCs w:val="18"/>
              </w:rPr>
              <w:t>0,16</w:t>
            </w:r>
          </w:p>
        </w:tc>
      </w:tr>
      <w:tr w:rsidR="00330415" w14:paraId="417BDA66" w14:textId="77777777" w:rsidTr="00330415">
        <w:trPr>
          <w:trHeight w:val="309"/>
        </w:trPr>
        <w:tc>
          <w:tcPr>
            <w:cnfStyle w:val="001000000000" w:firstRow="0" w:lastRow="0" w:firstColumn="1" w:lastColumn="0" w:oddVBand="0" w:evenVBand="0" w:oddHBand="0" w:evenHBand="0" w:firstRowFirstColumn="0" w:firstRowLastColumn="0" w:lastRowFirstColumn="0" w:lastRowLastColumn="0"/>
            <w:tcW w:w="0" w:type="auto"/>
            <w:vMerge/>
            <w:tcBorders>
              <w:top w:val="nil"/>
              <w:left w:val="single" w:sz="4" w:space="0" w:color="5B9BD5" w:themeColor="accent1"/>
              <w:bottom w:val="single" w:sz="4" w:space="0" w:color="5B9BD5" w:themeColor="accent1"/>
            </w:tcBorders>
            <w:vAlign w:val="center"/>
            <w:hideMark/>
          </w:tcPr>
          <w:p w14:paraId="11BB4134" w14:textId="77777777" w:rsidR="00330415" w:rsidRDefault="00330415">
            <w:pPr>
              <w:rPr>
                <w:rFonts w:ascii="Arial" w:eastAsia="Times New Roman" w:hAnsi="Arial" w:cs="Arial"/>
                <w:sz w:val="18"/>
                <w:szCs w:val="18"/>
                <w:lang w:eastAsia="sl-SI"/>
              </w:rPr>
            </w:pPr>
          </w:p>
        </w:tc>
        <w:tc>
          <w:tcPr>
            <w:tcW w:w="1748" w:type="pct"/>
            <w:tcBorders>
              <w:top w:val="nil"/>
              <w:left w:val="nil"/>
              <w:bottom w:val="nil"/>
              <w:right w:val="nil"/>
            </w:tcBorders>
            <w:hideMark/>
          </w:tcPr>
          <w:p w14:paraId="57C123AF" w14:textId="77777777" w:rsidR="00330415" w:rsidRDefault="00330415">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sl-SI"/>
              </w:rPr>
            </w:pPr>
            <w:r>
              <w:rPr>
                <w:rFonts w:ascii="Arial" w:eastAsia="Times New Roman" w:hAnsi="Arial" w:cs="Arial"/>
                <w:sz w:val="18"/>
                <w:szCs w:val="18"/>
                <w:lang w:eastAsia="sl-SI"/>
              </w:rPr>
              <w:t>Zakon o poroštvu Republike Slovenije za obveznosti družbe DARS, d. d., iz naslova kreditov in dolžniških vrednostnih papirjev, najetih oziroma izdanih za financiranje avtocestnih projektov v višini do 392,44 mio EUR (ZPKFAP)</w:t>
            </w:r>
          </w:p>
        </w:tc>
        <w:tc>
          <w:tcPr>
            <w:tcW w:w="695" w:type="pct"/>
            <w:tcBorders>
              <w:top w:val="nil"/>
              <w:left w:val="nil"/>
              <w:bottom w:val="nil"/>
              <w:right w:val="nil"/>
            </w:tcBorders>
            <w:hideMark/>
          </w:tcPr>
          <w:p w14:paraId="2782C878" w14:textId="77777777" w:rsidR="00330415" w:rsidRDefault="00330415">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sl-SI"/>
              </w:rPr>
            </w:pPr>
            <w:r>
              <w:rPr>
                <w:rFonts w:ascii="Arial" w:hAnsi="Arial" w:cs="Arial"/>
                <w:color w:val="000000"/>
                <w:sz w:val="18"/>
                <w:szCs w:val="18"/>
              </w:rPr>
              <w:t>06/04/2022</w:t>
            </w:r>
          </w:p>
        </w:tc>
        <w:tc>
          <w:tcPr>
            <w:tcW w:w="693" w:type="pct"/>
            <w:tcBorders>
              <w:top w:val="nil"/>
              <w:left w:val="nil"/>
              <w:bottom w:val="nil"/>
              <w:right w:val="nil"/>
            </w:tcBorders>
            <w:hideMark/>
          </w:tcPr>
          <w:p w14:paraId="5F51598A" w14:textId="77777777" w:rsidR="00330415" w:rsidRDefault="00330415">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sl-SI"/>
              </w:rPr>
            </w:pPr>
            <w:r>
              <w:rPr>
                <w:rFonts w:ascii="Arial" w:hAnsi="Arial" w:cs="Arial"/>
                <w:color w:val="000000"/>
                <w:sz w:val="18"/>
                <w:szCs w:val="18"/>
              </w:rPr>
              <w:t>0,62</w:t>
            </w:r>
          </w:p>
        </w:tc>
        <w:tc>
          <w:tcPr>
            <w:tcW w:w="692" w:type="pct"/>
            <w:tcBorders>
              <w:top w:val="nil"/>
              <w:left w:val="nil"/>
              <w:bottom w:val="nil"/>
              <w:right w:val="single" w:sz="4" w:space="0" w:color="5B9BD5" w:themeColor="accent1"/>
            </w:tcBorders>
            <w:hideMark/>
          </w:tcPr>
          <w:p w14:paraId="4EE4FAF1" w14:textId="77777777" w:rsidR="00330415" w:rsidRDefault="00330415">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sl-SI"/>
              </w:rPr>
            </w:pPr>
            <w:r>
              <w:rPr>
                <w:rFonts w:ascii="Arial" w:hAnsi="Arial" w:cs="Arial"/>
                <w:color w:val="000000"/>
                <w:sz w:val="18"/>
                <w:szCs w:val="18"/>
              </w:rPr>
              <w:t>0,0</w:t>
            </w:r>
          </w:p>
        </w:tc>
      </w:tr>
      <w:tr w:rsidR="00330415" w14:paraId="18EB15D1" w14:textId="77777777" w:rsidTr="00330415">
        <w:trPr>
          <w:cnfStyle w:val="000000100000" w:firstRow="0" w:lastRow="0" w:firstColumn="0" w:lastColumn="0" w:oddVBand="0" w:evenVBand="0" w:oddHBand="1" w:evenHBand="0" w:firstRowFirstColumn="0" w:firstRowLastColumn="0" w:lastRowFirstColumn="0" w:lastRowLastColumn="0"/>
          <w:trHeight w:val="309"/>
        </w:trPr>
        <w:tc>
          <w:tcPr>
            <w:cnfStyle w:val="001000000000" w:firstRow="0" w:lastRow="0" w:firstColumn="1" w:lastColumn="0" w:oddVBand="0" w:evenVBand="0" w:oddHBand="0" w:evenHBand="0" w:firstRowFirstColumn="0" w:firstRowLastColumn="0" w:lastRowFirstColumn="0" w:lastRowLastColumn="0"/>
            <w:tcW w:w="0" w:type="auto"/>
            <w:vMerge/>
            <w:tcBorders>
              <w:top w:val="nil"/>
              <w:left w:val="single" w:sz="4" w:space="0" w:color="5B9BD5" w:themeColor="accent1"/>
            </w:tcBorders>
            <w:vAlign w:val="center"/>
            <w:hideMark/>
          </w:tcPr>
          <w:p w14:paraId="477655A5" w14:textId="77777777" w:rsidR="00330415" w:rsidRDefault="00330415">
            <w:pPr>
              <w:rPr>
                <w:rFonts w:ascii="Arial" w:eastAsia="Times New Roman" w:hAnsi="Arial" w:cs="Arial"/>
                <w:sz w:val="18"/>
                <w:szCs w:val="18"/>
                <w:lang w:eastAsia="sl-SI"/>
              </w:rPr>
            </w:pPr>
          </w:p>
        </w:tc>
        <w:tc>
          <w:tcPr>
            <w:tcW w:w="1748" w:type="pct"/>
            <w:tcBorders>
              <w:left w:val="nil"/>
              <w:right w:val="nil"/>
            </w:tcBorders>
            <w:hideMark/>
          </w:tcPr>
          <w:p w14:paraId="21C06592" w14:textId="77777777" w:rsidR="00330415" w:rsidRDefault="00330415">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sl-SI"/>
              </w:rPr>
            </w:pPr>
            <w:r>
              <w:rPr>
                <w:rFonts w:ascii="Arial" w:eastAsia="Times New Roman" w:hAnsi="Arial" w:cs="Arial"/>
                <w:sz w:val="18"/>
                <w:szCs w:val="18"/>
                <w:lang w:eastAsia="sl-SI"/>
              </w:rPr>
              <w:t>Zakona o okrepitvi skupnega sklada za rezervacije z jamstvom Republike Slovenije za zagotavljanje izredne makrofinančne pomoči Ukrajini (ZOSRIMP)</w:t>
            </w:r>
          </w:p>
        </w:tc>
        <w:tc>
          <w:tcPr>
            <w:tcW w:w="695" w:type="pct"/>
            <w:tcBorders>
              <w:left w:val="nil"/>
              <w:right w:val="nil"/>
            </w:tcBorders>
            <w:hideMark/>
          </w:tcPr>
          <w:p w14:paraId="6D056894" w14:textId="77777777" w:rsidR="00330415" w:rsidRDefault="00330415">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sl-SI"/>
              </w:rPr>
            </w:pPr>
            <w:r>
              <w:rPr>
                <w:rFonts w:ascii="Arial" w:eastAsia="Times New Roman" w:hAnsi="Arial" w:cs="Arial"/>
                <w:sz w:val="18"/>
                <w:szCs w:val="18"/>
                <w:lang w:eastAsia="sl-SI"/>
              </w:rPr>
              <w:t>27/01/2023</w:t>
            </w:r>
          </w:p>
        </w:tc>
        <w:tc>
          <w:tcPr>
            <w:tcW w:w="693" w:type="pct"/>
            <w:tcBorders>
              <w:left w:val="nil"/>
              <w:right w:val="nil"/>
            </w:tcBorders>
            <w:hideMark/>
          </w:tcPr>
          <w:p w14:paraId="0389EE1B" w14:textId="77777777" w:rsidR="00330415" w:rsidRDefault="0033041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Pr>
                <w:rFonts w:ascii="Arial" w:hAnsi="Arial" w:cs="Arial"/>
                <w:color w:val="000000"/>
                <w:sz w:val="18"/>
                <w:szCs w:val="18"/>
              </w:rPr>
              <w:t>0,02</w:t>
            </w:r>
          </w:p>
        </w:tc>
        <w:tc>
          <w:tcPr>
            <w:tcW w:w="692" w:type="pct"/>
            <w:tcBorders>
              <w:left w:val="nil"/>
              <w:right w:val="single" w:sz="4" w:space="0" w:color="5B9BD5" w:themeColor="accent1"/>
            </w:tcBorders>
            <w:hideMark/>
          </w:tcPr>
          <w:p w14:paraId="5D802A7E" w14:textId="77777777" w:rsidR="00330415" w:rsidRDefault="0033041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Pr>
                <w:rFonts w:ascii="Arial" w:hAnsi="Arial" w:cs="Arial"/>
                <w:color w:val="000000"/>
                <w:sz w:val="18"/>
                <w:szCs w:val="18"/>
              </w:rPr>
              <w:t>0,02</w:t>
            </w:r>
          </w:p>
        </w:tc>
      </w:tr>
      <w:tr w:rsidR="00330415" w14:paraId="329A8E36" w14:textId="77777777" w:rsidTr="00330415">
        <w:trPr>
          <w:trHeight w:val="309"/>
        </w:trPr>
        <w:tc>
          <w:tcPr>
            <w:cnfStyle w:val="001000000000" w:firstRow="0" w:lastRow="0" w:firstColumn="1" w:lastColumn="0" w:oddVBand="0" w:evenVBand="0" w:oddHBand="0" w:evenHBand="0" w:firstRowFirstColumn="0" w:firstRowLastColumn="0" w:lastRowFirstColumn="0" w:lastRowLastColumn="0"/>
            <w:tcW w:w="0" w:type="auto"/>
            <w:vMerge/>
            <w:tcBorders>
              <w:top w:val="nil"/>
              <w:left w:val="single" w:sz="4" w:space="0" w:color="5B9BD5" w:themeColor="accent1"/>
              <w:bottom w:val="single" w:sz="4" w:space="0" w:color="5B9BD5" w:themeColor="accent1"/>
            </w:tcBorders>
            <w:vAlign w:val="center"/>
            <w:hideMark/>
          </w:tcPr>
          <w:p w14:paraId="0DB0B7F0" w14:textId="77777777" w:rsidR="00330415" w:rsidRDefault="00330415">
            <w:pPr>
              <w:rPr>
                <w:rFonts w:ascii="Arial" w:eastAsia="Times New Roman" w:hAnsi="Arial" w:cs="Arial"/>
                <w:sz w:val="18"/>
                <w:szCs w:val="18"/>
                <w:lang w:eastAsia="sl-SI"/>
              </w:rPr>
            </w:pPr>
          </w:p>
        </w:tc>
        <w:tc>
          <w:tcPr>
            <w:tcW w:w="1748" w:type="pct"/>
            <w:tcBorders>
              <w:top w:val="nil"/>
              <w:left w:val="nil"/>
              <w:bottom w:val="nil"/>
              <w:right w:val="nil"/>
            </w:tcBorders>
            <w:hideMark/>
          </w:tcPr>
          <w:p w14:paraId="4F8D30D4" w14:textId="77777777" w:rsidR="00330415" w:rsidRDefault="00330415">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sl-SI"/>
              </w:rPr>
            </w:pPr>
            <w:r>
              <w:rPr>
                <w:rFonts w:ascii="Arial" w:eastAsia="Times New Roman" w:hAnsi="Arial" w:cs="Arial"/>
                <w:b/>
                <w:bCs/>
                <w:sz w:val="18"/>
                <w:szCs w:val="18"/>
                <w:lang w:eastAsia="sl-SI"/>
              </w:rPr>
              <w:t>Vmesni seštevek</w:t>
            </w:r>
          </w:p>
        </w:tc>
        <w:tc>
          <w:tcPr>
            <w:tcW w:w="695" w:type="pct"/>
            <w:tcBorders>
              <w:top w:val="nil"/>
              <w:left w:val="nil"/>
              <w:bottom w:val="nil"/>
              <w:right w:val="nil"/>
            </w:tcBorders>
          </w:tcPr>
          <w:p w14:paraId="76970928" w14:textId="77777777" w:rsidR="00330415" w:rsidRDefault="00330415">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sl-SI"/>
              </w:rPr>
            </w:pPr>
          </w:p>
        </w:tc>
        <w:tc>
          <w:tcPr>
            <w:tcW w:w="693" w:type="pct"/>
            <w:tcBorders>
              <w:top w:val="nil"/>
              <w:left w:val="nil"/>
              <w:bottom w:val="nil"/>
              <w:right w:val="nil"/>
            </w:tcBorders>
            <w:hideMark/>
          </w:tcPr>
          <w:p w14:paraId="1B474310" w14:textId="77777777" w:rsidR="00330415" w:rsidRDefault="00330415">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sl-SI"/>
              </w:rPr>
            </w:pPr>
            <w:r>
              <w:rPr>
                <w:rFonts w:ascii="Arial" w:hAnsi="Arial" w:cs="Arial"/>
                <w:b/>
                <w:bCs/>
                <w:color w:val="000000"/>
                <w:sz w:val="18"/>
                <w:szCs w:val="18"/>
              </w:rPr>
              <w:t>3,15</w:t>
            </w:r>
          </w:p>
        </w:tc>
        <w:tc>
          <w:tcPr>
            <w:tcW w:w="692" w:type="pct"/>
            <w:tcBorders>
              <w:top w:val="nil"/>
              <w:left w:val="nil"/>
              <w:bottom w:val="nil"/>
              <w:right w:val="single" w:sz="4" w:space="0" w:color="5B9BD5" w:themeColor="accent1"/>
            </w:tcBorders>
            <w:hideMark/>
          </w:tcPr>
          <w:p w14:paraId="17E47649" w14:textId="77777777" w:rsidR="00330415" w:rsidRDefault="00330415">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sl-SI"/>
              </w:rPr>
            </w:pPr>
            <w:r>
              <w:rPr>
                <w:rFonts w:ascii="Arial" w:hAnsi="Arial" w:cs="Arial"/>
                <w:b/>
                <w:bCs/>
                <w:color w:val="000000"/>
                <w:sz w:val="18"/>
                <w:szCs w:val="18"/>
              </w:rPr>
              <w:t>2,21</w:t>
            </w:r>
          </w:p>
        </w:tc>
      </w:tr>
      <w:tr w:rsidR="00330415" w14:paraId="423A4366" w14:textId="77777777" w:rsidTr="00330415">
        <w:trPr>
          <w:cnfStyle w:val="000000100000" w:firstRow="0" w:lastRow="0" w:firstColumn="0" w:lastColumn="0" w:oddVBand="0" w:evenVBand="0" w:oddHBand="1" w:evenHBand="0" w:firstRowFirstColumn="0" w:firstRowLastColumn="0" w:lastRowFirstColumn="0" w:lastRowLastColumn="0"/>
          <w:trHeight w:val="309"/>
        </w:trPr>
        <w:tc>
          <w:tcPr>
            <w:cnfStyle w:val="001000000000" w:firstRow="0" w:lastRow="0" w:firstColumn="1" w:lastColumn="0" w:oddVBand="0" w:evenVBand="0" w:oddHBand="0" w:evenHBand="0" w:firstRowFirstColumn="0" w:firstRowLastColumn="0" w:lastRowFirstColumn="0" w:lastRowLastColumn="0"/>
            <w:tcW w:w="0" w:type="auto"/>
            <w:vMerge/>
            <w:tcBorders>
              <w:top w:val="nil"/>
              <w:left w:val="single" w:sz="4" w:space="0" w:color="5B9BD5" w:themeColor="accent1"/>
            </w:tcBorders>
            <w:vAlign w:val="center"/>
            <w:hideMark/>
          </w:tcPr>
          <w:p w14:paraId="6E4E703A" w14:textId="77777777" w:rsidR="00330415" w:rsidRDefault="00330415">
            <w:pPr>
              <w:rPr>
                <w:rFonts w:ascii="Arial" w:eastAsia="Times New Roman" w:hAnsi="Arial" w:cs="Arial"/>
                <w:sz w:val="18"/>
                <w:szCs w:val="18"/>
                <w:lang w:eastAsia="sl-SI"/>
              </w:rPr>
            </w:pPr>
          </w:p>
        </w:tc>
        <w:tc>
          <w:tcPr>
            <w:tcW w:w="1748" w:type="pct"/>
            <w:tcBorders>
              <w:left w:val="nil"/>
              <w:right w:val="nil"/>
            </w:tcBorders>
            <w:hideMark/>
          </w:tcPr>
          <w:p w14:paraId="52344D44" w14:textId="77777777" w:rsidR="00330415" w:rsidRDefault="00330415">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sz w:val="18"/>
                <w:szCs w:val="18"/>
                <w:lang w:eastAsia="sl-SI"/>
              </w:rPr>
            </w:pPr>
            <w:r>
              <w:rPr>
                <w:rFonts w:ascii="Arial" w:eastAsia="Times New Roman" w:hAnsi="Arial" w:cs="Arial"/>
                <w:b/>
                <w:bCs/>
                <w:sz w:val="18"/>
                <w:szCs w:val="18"/>
                <w:lang w:eastAsia="sl-SI"/>
              </w:rPr>
              <w:t>Skupaj</w:t>
            </w:r>
          </w:p>
        </w:tc>
        <w:tc>
          <w:tcPr>
            <w:tcW w:w="695" w:type="pct"/>
            <w:tcBorders>
              <w:left w:val="nil"/>
              <w:right w:val="nil"/>
            </w:tcBorders>
          </w:tcPr>
          <w:p w14:paraId="3B850EA2" w14:textId="77777777" w:rsidR="00330415" w:rsidRDefault="00330415">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sz w:val="18"/>
                <w:szCs w:val="18"/>
                <w:lang w:eastAsia="sl-SI"/>
              </w:rPr>
            </w:pPr>
          </w:p>
        </w:tc>
        <w:tc>
          <w:tcPr>
            <w:tcW w:w="693" w:type="pct"/>
            <w:tcBorders>
              <w:left w:val="nil"/>
              <w:right w:val="nil"/>
            </w:tcBorders>
            <w:hideMark/>
          </w:tcPr>
          <w:p w14:paraId="7A8F2A06" w14:textId="77777777" w:rsidR="00330415" w:rsidRDefault="00330415">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FF0000"/>
                <w:sz w:val="18"/>
                <w:szCs w:val="18"/>
                <w:lang w:eastAsia="sl-SI"/>
              </w:rPr>
            </w:pPr>
            <w:r>
              <w:rPr>
                <w:rFonts w:ascii="Arial" w:hAnsi="Arial" w:cs="Arial"/>
                <w:b/>
                <w:bCs/>
                <w:color w:val="000000"/>
                <w:sz w:val="18"/>
                <w:szCs w:val="18"/>
              </w:rPr>
              <w:t>6,90</w:t>
            </w:r>
          </w:p>
        </w:tc>
        <w:tc>
          <w:tcPr>
            <w:tcW w:w="692" w:type="pct"/>
            <w:tcBorders>
              <w:left w:val="nil"/>
              <w:right w:val="single" w:sz="4" w:space="0" w:color="5B9BD5" w:themeColor="accent1"/>
            </w:tcBorders>
            <w:hideMark/>
          </w:tcPr>
          <w:p w14:paraId="614C2BD4" w14:textId="77777777" w:rsidR="00330415" w:rsidRDefault="00330415">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FF0000"/>
                <w:sz w:val="18"/>
                <w:szCs w:val="18"/>
                <w:lang w:eastAsia="sl-SI"/>
              </w:rPr>
            </w:pPr>
            <w:r>
              <w:rPr>
                <w:rFonts w:ascii="Arial" w:hAnsi="Arial" w:cs="Arial"/>
                <w:b/>
                <w:bCs/>
                <w:color w:val="000000"/>
                <w:sz w:val="18"/>
                <w:szCs w:val="18"/>
              </w:rPr>
              <w:t>2,69</w:t>
            </w:r>
          </w:p>
        </w:tc>
      </w:tr>
    </w:tbl>
    <w:p w14:paraId="503882A9" w14:textId="77777777" w:rsidR="00330415" w:rsidRPr="009924DC" w:rsidRDefault="00330415" w:rsidP="009924DC">
      <w:pPr>
        <w:pStyle w:val="Caption"/>
        <w:ind w:left="0" w:firstLine="0"/>
        <w:rPr>
          <w:rFonts w:ascii="Arial" w:eastAsiaTheme="minorHAnsi" w:hAnsi="Arial" w:cs="Arial"/>
          <w:b w:val="0"/>
          <w:bCs/>
          <w:i w:val="0"/>
          <w:iCs/>
          <w:szCs w:val="18"/>
          <w:lang w:eastAsia="en-US"/>
        </w:rPr>
      </w:pPr>
      <w:r w:rsidRPr="009924DC">
        <w:rPr>
          <w:rFonts w:ascii="Arial" w:hAnsi="Arial" w:cs="Arial"/>
          <w:b w:val="0"/>
          <w:bCs/>
          <w:i w:val="0"/>
          <w:iCs/>
        </w:rPr>
        <w:t>Vir: Ministrstvo za finance.</w:t>
      </w:r>
    </w:p>
    <w:p w14:paraId="6BB443BF" w14:textId="77777777" w:rsidR="005A48F1" w:rsidRDefault="005A48F1" w:rsidP="005A48F1">
      <w:pPr>
        <w:jc w:val="both"/>
        <w:rPr>
          <w:bCs/>
        </w:rPr>
      </w:pPr>
    </w:p>
    <w:p w14:paraId="3A5A9FC7" w14:textId="77777777" w:rsidR="009924DC" w:rsidRDefault="009924DC" w:rsidP="005A48F1">
      <w:pPr>
        <w:spacing w:after="0" w:line="240" w:lineRule="auto"/>
        <w:rPr>
          <w:rFonts w:ascii="Arial" w:eastAsia="Times New Roman" w:hAnsi="Arial" w:cs="Arial"/>
          <w:sz w:val="20"/>
          <w:szCs w:val="20"/>
          <w:lang w:eastAsia="sl-SI"/>
        </w:rPr>
      </w:pPr>
    </w:p>
    <w:p w14:paraId="24FE070E" w14:textId="77777777" w:rsidR="009924DC" w:rsidRDefault="009924DC" w:rsidP="005A48F1">
      <w:pPr>
        <w:spacing w:after="0" w:line="240" w:lineRule="auto"/>
        <w:rPr>
          <w:rFonts w:ascii="Arial" w:eastAsia="Times New Roman" w:hAnsi="Arial" w:cs="Arial"/>
          <w:sz w:val="20"/>
          <w:szCs w:val="20"/>
          <w:lang w:eastAsia="sl-SI"/>
        </w:rPr>
      </w:pPr>
    </w:p>
    <w:p w14:paraId="7696255D" w14:textId="77777777" w:rsidR="009924DC" w:rsidRDefault="009924DC" w:rsidP="005A48F1">
      <w:pPr>
        <w:spacing w:after="0" w:line="240" w:lineRule="auto"/>
        <w:rPr>
          <w:rFonts w:ascii="Arial" w:eastAsia="Times New Roman" w:hAnsi="Arial" w:cs="Arial"/>
          <w:sz w:val="20"/>
          <w:szCs w:val="20"/>
          <w:lang w:eastAsia="sl-SI"/>
        </w:rPr>
      </w:pPr>
    </w:p>
    <w:p w14:paraId="0098DF0B" w14:textId="77777777" w:rsidR="009924DC" w:rsidRDefault="009924DC" w:rsidP="005A48F1">
      <w:pPr>
        <w:spacing w:after="0" w:line="240" w:lineRule="auto"/>
        <w:rPr>
          <w:rFonts w:ascii="Arial" w:eastAsia="Times New Roman" w:hAnsi="Arial" w:cs="Arial"/>
          <w:sz w:val="20"/>
          <w:szCs w:val="20"/>
          <w:lang w:eastAsia="sl-SI"/>
        </w:rPr>
      </w:pPr>
    </w:p>
    <w:p w14:paraId="445DF4D7" w14:textId="77777777" w:rsidR="009924DC" w:rsidRDefault="009924DC" w:rsidP="005A48F1">
      <w:pPr>
        <w:spacing w:after="0" w:line="240" w:lineRule="auto"/>
        <w:rPr>
          <w:rFonts w:ascii="Arial" w:eastAsia="Times New Roman" w:hAnsi="Arial" w:cs="Arial"/>
          <w:sz w:val="20"/>
          <w:szCs w:val="20"/>
          <w:lang w:eastAsia="sl-SI"/>
        </w:rPr>
      </w:pPr>
    </w:p>
    <w:p w14:paraId="41733EE4" w14:textId="77777777" w:rsidR="009924DC" w:rsidRDefault="009924DC" w:rsidP="005A48F1">
      <w:pPr>
        <w:spacing w:after="0" w:line="240" w:lineRule="auto"/>
        <w:rPr>
          <w:rFonts w:ascii="Arial" w:eastAsia="Times New Roman" w:hAnsi="Arial" w:cs="Arial"/>
          <w:sz w:val="20"/>
          <w:szCs w:val="20"/>
          <w:lang w:eastAsia="sl-SI"/>
        </w:rPr>
      </w:pPr>
    </w:p>
    <w:p w14:paraId="2EB5E392" w14:textId="77777777" w:rsidR="009924DC" w:rsidRDefault="009924DC" w:rsidP="005A48F1">
      <w:pPr>
        <w:spacing w:after="0" w:line="240" w:lineRule="auto"/>
        <w:rPr>
          <w:rFonts w:ascii="Arial" w:eastAsia="Times New Roman" w:hAnsi="Arial" w:cs="Arial"/>
          <w:sz w:val="20"/>
          <w:szCs w:val="20"/>
          <w:lang w:eastAsia="sl-SI"/>
        </w:rPr>
      </w:pPr>
    </w:p>
    <w:p w14:paraId="71585033" w14:textId="77777777" w:rsidR="009924DC" w:rsidRDefault="009924DC" w:rsidP="005A48F1">
      <w:pPr>
        <w:spacing w:after="0" w:line="240" w:lineRule="auto"/>
        <w:rPr>
          <w:rFonts w:ascii="Arial" w:eastAsia="Times New Roman" w:hAnsi="Arial" w:cs="Arial"/>
          <w:sz w:val="20"/>
          <w:szCs w:val="20"/>
          <w:lang w:eastAsia="sl-SI"/>
        </w:rPr>
      </w:pPr>
    </w:p>
    <w:p w14:paraId="57E59A5F" w14:textId="3E0F5EDC" w:rsidR="005A48F1" w:rsidRPr="009924DC" w:rsidRDefault="005A48F1" w:rsidP="005A48F1">
      <w:pPr>
        <w:spacing w:after="0" w:line="240" w:lineRule="auto"/>
        <w:rPr>
          <w:rFonts w:ascii="Arial" w:eastAsia="Times New Roman" w:hAnsi="Arial" w:cs="Arial"/>
          <w:lang w:eastAsia="sl-SI"/>
        </w:rPr>
      </w:pPr>
      <w:r w:rsidRPr="009924DC">
        <w:rPr>
          <w:rFonts w:ascii="Arial" w:eastAsia="Times New Roman" w:hAnsi="Arial" w:cs="Arial"/>
          <w:lang w:eastAsia="sl-SI"/>
        </w:rPr>
        <w:lastRenderedPageBreak/>
        <w:t xml:space="preserve">Tabela </w:t>
      </w:r>
      <w:r w:rsidR="001C6FA5">
        <w:rPr>
          <w:rFonts w:ascii="Arial" w:eastAsia="Times New Roman" w:hAnsi="Arial" w:cs="Arial"/>
          <w:lang w:eastAsia="sl-SI"/>
        </w:rPr>
        <w:t>8</w:t>
      </w:r>
      <w:r w:rsidRPr="009924DC">
        <w:rPr>
          <w:rFonts w:ascii="Arial" w:eastAsia="Times New Roman" w:hAnsi="Arial" w:cs="Arial"/>
          <w:lang w:eastAsia="sl-SI"/>
        </w:rPr>
        <w:t>: Vpliv NOO na projekcije – NEPOVRATNA SREDSTVA</w:t>
      </w:r>
    </w:p>
    <w:tbl>
      <w:tblPr>
        <w:tblStyle w:val="ListTable3-Accent5"/>
        <w:tblW w:w="9356" w:type="dxa"/>
        <w:tblLayout w:type="fixed"/>
        <w:tblLook w:val="04A0" w:firstRow="1" w:lastRow="0" w:firstColumn="1" w:lastColumn="0" w:noHBand="0" w:noVBand="1"/>
      </w:tblPr>
      <w:tblGrid>
        <w:gridCol w:w="2972"/>
        <w:gridCol w:w="702"/>
        <w:gridCol w:w="210"/>
        <w:gridCol w:w="737"/>
        <w:gridCol w:w="175"/>
        <w:gridCol w:w="772"/>
        <w:gridCol w:w="140"/>
        <w:gridCol w:w="807"/>
        <w:gridCol w:w="105"/>
        <w:gridCol w:w="842"/>
        <w:gridCol w:w="70"/>
        <w:gridCol w:w="877"/>
        <w:gridCol w:w="35"/>
        <w:gridCol w:w="912"/>
      </w:tblGrid>
      <w:tr w:rsidR="005A48F1" w:rsidRPr="00BD4849" w14:paraId="2840AAFA" w14:textId="77777777" w:rsidTr="009F1410">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2972" w:type="dxa"/>
            <w:shd w:val="clear" w:color="auto" w:fill="B4C6E7" w:themeFill="accent5" w:themeFillTint="66"/>
            <w:noWrap/>
            <w:hideMark/>
          </w:tcPr>
          <w:p w14:paraId="1E6017F0" w14:textId="77777777" w:rsidR="005A48F1" w:rsidRPr="00BD4849" w:rsidRDefault="005A48F1" w:rsidP="009F1410">
            <w:pPr>
              <w:rPr>
                <w:rFonts w:ascii="Arial" w:eastAsia="Times New Roman" w:hAnsi="Arial" w:cs="Arial"/>
                <w:b w:val="0"/>
                <w:bCs w:val="0"/>
                <w:color w:val="auto"/>
                <w:sz w:val="20"/>
                <w:szCs w:val="20"/>
                <w:lang w:eastAsia="sl-SI"/>
              </w:rPr>
            </w:pPr>
          </w:p>
        </w:tc>
        <w:tc>
          <w:tcPr>
            <w:tcW w:w="912" w:type="dxa"/>
            <w:gridSpan w:val="2"/>
            <w:shd w:val="clear" w:color="auto" w:fill="B4C6E7" w:themeFill="accent5" w:themeFillTint="66"/>
            <w:hideMark/>
          </w:tcPr>
          <w:p w14:paraId="67831B77" w14:textId="77777777" w:rsidR="005A48F1" w:rsidRPr="00BD4849" w:rsidRDefault="005A48F1" w:rsidP="009F141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lang w:eastAsia="sl-SI"/>
              </w:rPr>
            </w:pPr>
            <w:r w:rsidRPr="00BD4849">
              <w:rPr>
                <w:rFonts w:ascii="Arial" w:eastAsia="Times New Roman" w:hAnsi="Arial" w:cs="Arial"/>
                <w:b w:val="0"/>
                <w:bCs w:val="0"/>
                <w:color w:val="auto"/>
                <w:sz w:val="20"/>
                <w:szCs w:val="20"/>
                <w:lang w:eastAsia="sl-SI"/>
              </w:rPr>
              <w:t xml:space="preserve">2020 </w:t>
            </w:r>
          </w:p>
        </w:tc>
        <w:tc>
          <w:tcPr>
            <w:tcW w:w="912" w:type="dxa"/>
            <w:gridSpan w:val="2"/>
            <w:shd w:val="clear" w:color="auto" w:fill="B4C6E7" w:themeFill="accent5" w:themeFillTint="66"/>
            <w:hideMark/>
          </w:tcPr>
          <w:p w14:paraId="2BC196CC" w14:textId="77777777" w:rsidR="005A48F1" w:rsidRPr="00BD4849" w:rsidRDefault="005A48F1" w:rsidP="009F141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lang w:eastAsia="sl-SI"/>
              </w:rPr>
            </w:pPr>
            <w:r w:rsidRPr="00BD4849">
              <w:rPr>
                <w:rFonts w:ascii="Arial" w:eastAsia="Times New Roman" w:hAnsi="Arial" w:cs="Arial"/>
                <w:b w:val="0"/>
                <w:bCs w:val="0"/>
                <w:color w:val="auto"/>
                <w:sz w:val="20"/>
                <w:szCs w:val="20"/>
                <w:lang w:eastAsia="sl-SI"/>
              </w:rPr>
              <w:t xml:space="preserve">2021 </w:t>
            </w:r>
          </w:p>
        </w:tc>
        <w:tc>
          <w:tcPr>
            <w:tcW w:w="912" w:type="dxa"/>
            <w:gridSpan w:val="2"/>
            <w:shd w:val="clear" w:color="auto" w:fill="B4C6E7" w:themeFill="accent5" w:themeFillTint="66"/>
            <w:hideMark/>
          </w:tcPr>
          <w:p w14:paraId="3CC2DF89" w14:textId="77777777" w:rsidR="005A48F1" w:rsidRPr="00BD4849" w:rsidRDefault="005A48F1" w:rsidP="009F141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lang w:eastAsia="sl-SI"/>
              </w:rPr>
            </w:pPr>
            <w:r w:rsidRPr="00BD4849">
              <w:rPr>
                <w:rFonts w:ascii="Arial" w:eastAsia="Times New Roman" w:hAnsi="Arial" w:cs="Arial"/>
                <w:b w:val="0"/>
                <w:bCs w:val="0"/>
                <w:color w:val="auto"/>
                <w:sz w:val="20"/>
                <w:szCs w:val="20"/>
                <w:lang w:eastAsia="sl-SI"/>
              </w:rPr>
              <w:t xml:space="preserve">2022 </w:t>
            </w:r>
          </w:p>
        </w:tc>
        <w:tc>
          <w:tcPr>
            <w:tcW w:w="912" w:type="dxa"/>
            <w:gridSpan w:val="2"/>
            <w:shd w:val="clear" w:color="auto" w:fill="B4C6E7" w:themeFill="accent5" w:themeFillTint="66"/>
            <w:hideMark/>
          </w:tcPr>
          <w:p w14:paraId="1B0652EE" w14:textId="77777777" w:rsidR="005A48F1" w:rsidRPr="00BD4849" w:rsidRDefault="005A48F1" w:rsidP="009F141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lang w:eastAsia="sl-SI"/>
              </w:rPr>
            </w:pPr>
            <w:r w:rsidRPr="00BD4849">
              <w:rPr>
                <w:rFonts w:ascii="Arial" w:eastAsia="Times New Roman" w:hAnsi="Arial" w:cs="Arial"/>
                <w:b w:val="0"/>
                <w:bCs w:val="0"/>
                <w:color w:val="auto"/>
                <w:sz w:val="20"/>
                <w:szCs w:val="20"/>
                <w:lang w:eastAsia="sl-SI"/>
              </w:rPr>
              <w:t xml:space="preserve">2023 </w:t>
            </w:r>
          </w:p>
        </w:tc>
        <w:tc>
          <w:tcPr>
            <w:tcW w:w="912" w:type="dxa"/>
            <w:gridSpan w:val="2"/>
            <w:shd w:val="clear" w:color="auto" w:fill="B4C6E7" w:themeFill="accent5" w:themeFillTint="66"/>
            <w:hideMark/>
          </w:tcPr>
          <w:p w14:paraId="5CA824DD" w14:textId="77777777" w:rsidR="005A48F1" w:rsidRPr="00BD4849" w:rsidRDefault="005A48F1" w:rsidP="009F141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lang w:eastAsia="sl-SI"/>
              </w:rPr>
            </w:pPr>
            <w:r w:rsidRPr="00BD4849">
              <w:rPr>
                <w:rFonts w:ascii="Arial" w:eastAsia="Times New Roman" w:hAnsi="Arial" w:cs="Arial"/>
                <w:b w:val="0"/>
                <w:bCs w:val="0"/>
                <w:color w:val="auto"/>
                <w:sz w:val="20"/>
                <w:szCs w:val="20"/>
                <w:lang w:eastAsia="sl-SI"/>
              </w:rPr>
              <w:t xml:space="preserve">2024 </w:t>
            </w:r>
          </w:p>
        </w:tc>
        <w:tc>
          <w:tcPr>
            <w:tcW w:w="912" w:type="dxa"/>
            <w:gridSpan w:val="2"/>
            <w:shd w:val="clear" w:color="auto" w:fill="B4C6E7" w:themeFill="accent5" w:themeFillTint="66"/>
            <w:hideMark/>
          </w:tcPr>
          <w:p w14:paraId="399B192A" w14:textId="77777777" w:rsidR="005A48F1" w:rsidRPr="00BD4849" w:rsidRDefault="005A48F1" w:rsidP="009F141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lang w:eastAsia="sl-SI"/>
              </w:rPr>
            </w:pPr>
            <w:r w:rsidRPr="00BD4849">
              <w:rPr>
                <w:rFonts w:ascii="Arial" w:eastAsia="Times New Roman" w:hAnsi="Arial" w:cs="Arial"/>
                <w:b w:val="0"/>
                <w:bCs w:val="0"/>
                <w:color w:val="auto"/>
                <w:sz w:val="20"/>
                <w:szCs w:val="20"/>
                <w:lang w:eastAsia="sl-SI"/>
              </w:rPr>
              <w:t xml:space="preserve">2025 </w:t>
            </w:r>
          </w:p>
        </w:tc>
        <w:tc>
          <w:tcPr>
            <w:tcW w:w="912" w:type="dxa"/>
            <w:shd w:val="clear" w:color="auto" w:fill="B4C6E7" w:themeFill="accent5" w:themeFillTint="66"/>
            <w:hideMark/>
          </w:tcPr>
          <w:p w14:paraId="0E2122CC" w14:textId="77777777" w:rsidR="005A48F1" w:rsidRPr="00BD4849" w:rsidRDefault="005A48F1" w:rsidP="009F141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lang w:eastAsia="sl-SI"/>
              </w:rPr>
            </w:pPr>
            <w:r w:rsidRPr="00BD4849">
              <w:rPr>
                <w:rFonts w:ascii="Arial" w:eastAsia="Times New Roman" w:hAnsi="Arial" w:cs="Arial"/>
                <w:b w:val="0"/>
                <w:bCs w:val="0"/>
                <w:color w:val="auto"/>
                <w:sz w:val="20"/>
                <w:szCs w:val="20"/>
                <w:lang w:eastAsia="sl-SI"/>
              </w:rPr>
              <w:t xml:space="preserve">2026 </w:t>
            </w:r>
          </w:p>
        </w:tc>
      </w:tr>
      <w:tr w:rsidR="005A48F1" w:rsidRPr="00BD4849" w14:paraId="220F285A"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72" w:type="dxa"/>
            <w:hideMark/>
          </w:tcPr>
          <w:p w14:paraId="53EBFB81" w14:textId="77777777" w:rsidR="005A48F1" w:rsidRPr="00BD4849" w:rsidRDefault="005A48F1" w:rsidP="009F1410">
            <w:pPr>
              <w:rPr>
                <w:rFonts w:ascii="Arial" w:eastAsia="Times New Roman" w:hAnsi="Arial" w:cs="Arial"/>
                <w:b w:val="0"/>
                <w:bCs w:val="0"/>
                <w:sz w:val="20"/>
                <w:szCs w:val="20"/>
                <w:lang w:eastAsia="sl-SI"/>
              </w:rPr>
            </w:pPr>
          </w:p>
        </w:tc>
        <w:tc>
          <w:tcPr>
            <w:tcW w:w="6384" w:type="dxa"/>
            <w:gridSpan w:val="13"/>
            <w:noWrap/>
            <w:hideMark/>
          </w:tcPr>
          <w:p w14:paraId="1F1C7708"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Prihodki od nepovratnih sredstev (v % BDP)</w:t>
            </w:r>
          </w:p>
        </w:tc>
      </w:tr>
      <w:tr w:rsidR="005A48F1" w:rsidRPr="00BD4849" w14:paraId="203529C3" w14:textId="77777777" w:rsidTr="009F1410">
        <w:trPr>
          <w:trHeight w:val="300"/>
        </w:trPr>
        <w:tc>
          <w:tcPr>
            <w:cnfStyle w:val="001000000000" w:firstRow="0" w:lastRow="0" w:firstColumn="1" w:lastColumn="0" w:oddVBand="0" w:evenVBand="0" w:oddHBand="0" w:evenHBand="0" w:firstRowFirstColumn="0" w:firstRowLastColumn="0" w:lastRowFirstColumn="0" w:lastRowLastColumn="0"/>
            <w:tcW w:w="2972" w:type="dxa"/>
            <w:hideMark/>
          </w:tcPr>
          <w:p w14:paraId="3A8BD23F"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1. SREDSTVA RRF, vključena v napovedi prihodkov</w:t>
            </w:r>
          </w:p>
        </w:tc>
        <w:tc>
          <w:tcPr>
            <w:tcW w:w="912" w:type="dxa"/>
            <w:gridSpan w:val="2"/>
            <w:noWrap/>
            <w:hideMark/>
          </w:tcPr>
          <w:p w14:paraId="210D94A7"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p>
        </w:tc>
        <w:tc>
          <w:tcPr>
            <w:tcW w:w="912" w:type="dxa"/>
            <w:gridSpan w:val="2"/>
            <w:noWrap/>
            <w:hideMark/>
          </w:tcPr>
          <w:p w14:paraId="210C9560"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0,2</w:t>
            </w:r>
          </w:p>
        </w:tc>
        <w:tc>
          <w:tcPr>
            <w:tcW w:w="912" w:type="dxa"/>
            <w:gridSpan w:val="2"/>
            <w:noWrap/>
            <w:hideMark/>
          </w:tcPr>
          <w:p w14:paraId="7ACB3B05"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0,2</w:t>
            </w:r>
          </w:p>
        </w:tc>
        <w:tc>
          <w:tcPr>
            <w:tcW w:w="912" w:type="dxa"/>
            <w:gridSpan w:val="2"/>
            <w:noWrap/>
            <w:hideMark/>
          </w:tcPr>
          <w:p w14:paraId="61A42307"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0,6</w:t>
            </w:r>
          </w:p>
        </w:tc>
        <w:tc>
          <w:tcPr>
            <w:tcW w:w="912" w:type="dxa"/>
            <w:gridSpan w:val="2"/>
            <w:noWrap/>
            <w:hideMark/>
          </w:tcPr>
          <w:p w14:paraId="70E0B941"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0,5</w:t>
            </w:r>
          </w:p>
        </w:tc>
        <w:tc>
          <w:tcPr>
            <w:tcW w:w="912" w:type="dxa"/>
            <w:gridSpan w:val="2"/>
            <w:noWrap/>
            <w:hideMark/>
          </w:tcPr>
          <w:p w14:paraId="782FDA29"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0,6</w:t>
            </w:r>
          </w:p>
        </w:tc>
        <w:tc>
          <w:tcPr>
            <w:tcW w:w="912" w:type="dxa"/>
            <w:noWrap/>
            <w:hideMark/>
          </w:tcPr>
          <w:p w14:paraId="5ED1584B"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0,3</w:t>
            </w:r>
          </w:p>
        </w:tc>
      </w:tr>
      <w:tr w:rsidR="005A48F1" w:rsidRPr="00BD4849" w14:paraId="2D0902FB"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72" w:type="dxa"/>
            <w:hideMark/>
          </w:tcPr>
          <w:p w14:paraId="328FE2A0"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2. Denarna izplačila nepovratnih sredstev RRF iz EU</w:t>
            </w:r>
          </w:p>
        </w:tc>
        <w:tc>
          <w:tcPr>
            <w:tcW w:w="912" w:type="dxa"/>
            <w:gridSpan w:val="2"/>
            <w:noWrap/>
            <w:hideMark/>
          </w:tcPr>
          <w:p w14:paraId="54F5E439"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p>
        </w:tc>
        <w:tc>
          <w:tcPr>
            <w:tcW w:w="912" w:type="dxa"/>
            <w:gridSpan w:val="2"/>
            <w:noWrap/>
            <w:hideMark/>
          </w:tcPr>
          <w:p w14:paraId="78413F36"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0,4</w:t>
            </w:r>
          </w:p>
        </w:tc>
        <w:tc>
          <w:tcPr>
            <w:tcW w:w="912" w:type="dxa"/>
            <w:gridSpan w:val="2"/>
            <w:noWrap/>
            <w:hideMark/>
          </w:tcPr>
          <w:p w14:paraId="7A22F905"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0,0</w:t>
            </w:r>
          </w:p>
        </w:tc>
        <w:tc>
          <w:tcPr>
            <w:tcW w:w="912" w:type="dxa"/>
            <w:gridSpan w:val="2"/>
            <w:noWrap/>
            <w:hideMark/>
          </w:tcPr>
          <w:p w14:paraId="2AB81F24"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0,5</w:t>
            </w:r>
          </w:p>
        </w:tc>
        <w:tc>
          <w:tcPr>
            <w:tcW w:w="912" w:type="dxa"/>
            <w:gridSpan w:val="2"/>
            <w:noWrap/>
            <w:hideMark/>
          </w:tcPr>
          <w:p w14:paraId="748F7853"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0,5</w:t>
            </w:r>
          </w:p>
        </w:tc>
        <w:tc>
          <w:tcPr>
            <w:tcW w:w="912" w:type="dxa"/>
            <w:gridSpan w:val="2"/>
            <w:noWrap/>
            <w:hideMark/>
          </w:tcPr>
          <w:p w14:paraId="3F07F699"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0,4</w:t>
            </w:r>
          </w:p>
        </w:tc>
        <w:tc>
          <w:tcPr>
            <w:tcW w:w="912" w:type="dxa"/>
            <w:noWrap/>
            <w:hideMark/>
          </w:tcPr>
          <w:p w14:paraId="2F8C1B88"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0,6</w:t>
            </w:r>
          </w:p>
        </w:tc>
      </w:tr>
      <w:tr w:rsidR="005A48F1" w:rsidRPr="00BD4849" w14:paraId="54436A6A" w14:textId="77777777" w:rsidTr="009F1410">
        <w:trPr>
          <w:trHeight w:val="300"/>
        </w:trPr>
        <w:tc>
          <w:tcPr>
            <w:cnfStyle w:val="001000000000" w:firstRow="0" w:lastRow="0" w:firstColumn="1" w:lastColumn="0" w:oddVBand="0" w:evenVBand="0" w:oddHBand="0" w:evenHBand="0" w:firstRowFirstColumn="0" w:firstRowLastColumn="0" w:lastRowFirstColumn="0" w:lastRowLastColumn="0"/>
            <w:tcW w:w="2972" w:type="dxa"/>
            <w:hideMark/>
          </w:tcPr>
          <w:p w14:paraId="4DC4111A" w14:textId="77777777" w:rsidR="005A48F1" w:rsidRPr="00BD4849" w:rsidRDefault="005A48F1" w:rsidP="009F1410">
            <w:pPr>
              <w:rPr>
                <w:rFonts w:ascii="Arial" w:eastAsia="Times New Roman" w:hAnsi="Arial" w:cs="Arial"/>
                <w:b w:val="0"/>
                <w:bCs w:val="0"/>
                <w:sz w:val="20"/>
                <w:szCs w:val="20"/>
                <w:lang w:eastAsia="sl-SI"/>
              </w:rPr>
            </w:pPr>
          </w:p>
        </w:tc>
        <w:tc>
          <w:tcPr>
            <w:tcW w:w="6384" w:type="dxa"/>
            <w:gridSpan w:val="13"/>
            <w:noWrap/>
            <w:hideMark/>
          </w:tcPr>
          <w:p w14:paraId="75D0FBF1"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Odhodki financirani iz nepovratnih sredstev RRF (v % BDP)</w:t>
            </w:r>
          </w:p>
          <w:p w14:paraId="6D5E4329"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p>
        </w:tc>
      </w:tr>
      <w:tr w:rsidR="005A48F1" w:rsidRPr="00BD4849" w14:paraId="67530A6D"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72" w:type="dxa"/>
            <w:hideMark/>
          </w:tcPr>
          <w:p w14:paraId="39563B5A"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3.</w:t>
            </w:r>
            <w:r w:rsidRPr="00BD4849">
              <w:rPr>
                <w:b w:val="0"/>
                <w:bCs w:val="0"/>
              </w:rPr>
              <w:t xml:space="preserve"> </w:t>
            </w:r>
            <w:r w:rsidRPr="00BD4849">
              <w:rPr>
                <w:rFonts w:ascii="Arial" w:eastAsia="Times New Roman" w:hAnsi="Arial" w:cs="Arial"/>
                <w:b w:val="0"/>
                <w:bCs w:val="0"/>
                <w:sz w:val="20"/>
                <w:szCs w:val="20"/>
                <w:lang w:eastAsia="sl-SI"/>
              </w:rPr>
              <w:t>SKUPAJ TEKOČI ODHODKI</w:t>
            </w:r>
          </w:p>
        </w:tc>
        <w:tc>
          <w:tcPr>
            <w:tcW w:w="912" w:type="dxa"/>
            <w:gridSpan w:val="2"/>
            <w:noWrap/>
            <w:hideMark/>
          </w:tcPr>
          <w:p w14:paraId="3C2FB32D"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p>
        </w:tc>
        <w:tc>
          <w:tcPr>
            <w:tcW w:w="912" w:type="dxa"/>
            <w:gridSpan w:val="2"/>
            <w:noWrap/>
            <w:hideMark/>
          </w:tcPr>
          <w:p w14:paraId="0CF9AA21"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0,0</w:t>
            </w:r>
          </w:p>
        </w:tc>
        <w:tc>
          <w:tcPr>
            <w:tcW w:w="912" w:type="dxa"/>
            <w:gridSpan w:val="2"/>
            <w:noWrap/>
            <w:hideMark/>
          </w:tcPr>
          <w:p w14:paraId="6100733A"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0,0</w:t>
            </w:r>
          </w:p>
        </w:tc>
        <w:tc>
          <w:tcPr>
            <w:tcW w:w="912" w:type="dxa"/>
            <w:gridSpan w:val="2"/>
            <w:noWrap/>
            <w:hideMark/>
          </w:tcPr>
          <w:p w14:paraId="69515D99"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0,2</w:t>
            </w:r>
          </w:p>
        </w:tc>
        <w:tc>
          <w:tcPr>
            <w:tcW w:w="912" w:type="dxa"/>
            <w:gridSpan w:val="2"/>
            <w:noWrap/>
            <w:hideMark/>
          </w:tcPr>
          <w:p w14:paraId="71809524"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0,3</w:t>
            </w:r>
          </w:p>
        </w:tc>
        <w:tc>
          <w:tcPr>
            <w:tcW w:w="912" w:type="dxa"/>
            <w:gridSpan w:val="2"/>
            <w:noWrap/>
            <w:hideMark/>
          </w:tcPr>
          <w:p w14:paraId="6CE668C2"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0,2</w:t>
            </w:r>
          </w:p>
        </w:tc>
        <w:tc>
          <w:tcPr>
            <w:tcW w:w="912" w:type="dxa"/>
            <w:noWrap/>
            <w:hideMark/>
          </w:tcPr>
          <w:p w14:paraId="5E4DBCDB"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0,1</w:t>
            </w:r>
          </w:p>
        </w:tc>
      </w:tr>
      <w:tr w:rsidR="005A48F1" w:rsidRPr="00BD4849" w14:paraId="5791528A" w14:textId="77777777" w:rsidTr="009F1410">
        <w:trPr>
          <w:trHeight w:val="300"/>
        </w:trPr>
        <w:tc>
          <w:tcPr>
            <w:cnfStyle w:val="001000000000" w:firstRow="0" w:lastRow="0" w:firstColumn="1" w:lastColumn="0" w:oddVBand="0" w:evenVBand="0" w:oddHBand="0" w:evenHBand="0" w:firstRowFirstColumn="0" w:firstRowLastColumn="0" w:lastRowFirstColumn="0" w:lastRowLastColumn="0"/>
            <w:tcW w:w="2972" w:type="dxa"/>
            <w:hideMark/>
          </w:tcPr>
          <w:p w14:paraId="77C3F4E0"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Od tega:</w:t>
            </w:r>
          </w:p>
        </w:tc>
        <w:tc>
          <w:tcPr>
            <w:tcW w:w="912" w:type="dxa"/>
            <w:gridSpan w:val="2"/>
            <w:noWrap/>
            <w:hideMark/>
          </w:tcPr>
          <w:p w14:paraId="33962A30"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912" w:type="dxa"/>
            <w:gridSpan w:val="2"/>
            <w:noWrap/>
            <w:hideMark/>
          </w:tcPr>
          <w:p w14:paraId="22DD542C"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912" w:type="dxa"/>
            <w:gridSpan w:val="2"/>
            <w:noWrap/>
            <w:hideMark/>
          </w:tcPr>
          <w:p w14:paraId="1FF2E292"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912" w:type="dxa"/>
            <w:gridSpan w:val="2"/>
            <w:noWrap/>
            <w:hideMark/>
          </w:tcPr>
          <w:p w14:paraId="43EAB290"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912" w:type="dxa"/>
            <w:gridSpan w:val="2"/>
            <w:noWrap/>
            <w:hideMark/>
          </w:tcPr>
          <w:p w14:paraId="1DD108A5"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912" w:type="dxa"/>
            <w:gridSpan w:val="2"/>
            <w:noWrap/>
            <w:hideMark/>
          </w:tcPr>
          <w:p w14:paraId="77455C9B"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912" w:type="dxa"/>
            <w:noWrap/>
            <w:hideMark/>
          </w:tcPr>
          <w:p w14:paraId="3AFEAF21"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r>
      <w:tr w:rsidR="005A48F1" w:rsidRPr="00BD4849" w14:paraId="411CD200"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72" w:type="dxa"/>
            <w:hideMark/>
          </w:tcPr>
          <w:p w14:paraId="7D1851E5"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 Sredstva za zaposlene D.1</w:t>
            </w:r>
          </w:p>
        </w:tc>
        <w:tc>
          <w:tcPr>
            <w:tcW w:w="912" w:type="dxa"/>
            <w:gridSpan w:val="2"/>
            <w:noWrap/>
            <w:hideMark/>
          </w:tcPr>
          <w:p w14:paraId="290AAF43"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p>
        </w:tc>
        <w:tc>
          <w:tcPr>
            <w:tcW w:w="912" w:type="dxa"/>
            <w:gridSpan w:val="2"/>
            <w:noWrap/>
            <w:hideMark/>
          </w:tcPr>
          <w:p w14:paraId="19F25491"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0,0</w:t>
            </w:r>
          </w:p>
        </w:tc>
        <w:tc>
          <w:tcPr>
            <w:tcW w:w="912" w:type="dxa"/>
            <w:gridSpan w:val="2"/>
            <w:noWrap/>
            <w:hideMark/>
          </w:tcPr>
          <w:p w14:paraId="00A2ED23"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0,0</w:t>
            </w:r>
          </w:p>
        </w:tc>
        <w:tc>
          <w:tcPr>
            <w:tcW w:w="912" w:type="dxa"/>
            <w:gridSpan w:val="2"/>
            <w:noWrap/>
            <w:hideMark/>
          </w:tcPr>
          <w:p w14:paraId="056FFC82"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0,0</w:t>
            </w:r>
          </w:p>
        </w:tc>
        <w:tc>
          <w:tcPr>
            <w:tcW w:w="912" w:type="dxa"/>
            <w:gridSpan w:val="2"/>
            <w:noWrap/>
            <w:hideMark/>
          </w:tcPr>
          <w:p w14:paraId="3436C1D3"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0,0</w:t>
            </w:r>
          </w:p>
        </w:tc>
        <w:tc>
          <w:tcPr>
            <w:tcW w:w="912" w:type="dxa"/>
            <w:gridSpan w:val="2"/>
            <w:noWrap/>
            <w:hideMark/>
          </w:tcPr>
          <w:p w14:paraId="33B67C46"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0,0</w:t>
            </w:r>
          </w:p>
        </w:tc>
        <w:tc>
          <w:tcPr>
            <w:tcW w:w="912" w:type="dxa"/>
            <w:noWrap/>
            <w:hideMark/>
          </w:tcPr>
          <w:p w14:paraId="7ACA61F4"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0,0</w:t>
            </w:r>
          </w:p>
        </w:tc>
      </w:tr>
      <w:tr w:rsidR="005A48F1" w:rsidRPr="00BD4849" w14:paraId="50980596" w14:textId="77777777" w:rsidTr="009F1410">
        <w:trPr>
          <w:trHeight w:val="300"/>
        </w:trPr>
        <w:tc>
          <w:tcPr>
            <w:cnfStyle w:val="001000000000" w:firstRow="0" w:lastRow="0" w:firstColumn="1" w:lastColumn="0" w:oddVBand="0" w:evenVBand="0" w:oddHBand="0" w:evenHBand="0" w:firstRowFirstColumn="0" w:firstRowLastColumn="0" w:lastRowFirstColumn="0" w:lastRowLastColumn="0"/>
            <w:tcW w:w="2972" w:type="dxa"/>
            <w:hideMark/>
          </w:tcPr>
          <w:p w14:paraId="09B13214"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 Vmesna potrošnja P.2</w:t>
            </w:r>
          </w:p>
        </w:tc>
        <w:tc>
          <w:tcPr>
            <w:tcW w:w="912" w:type="dxa"/>
            <w:gridSpan w:val="2"/>
            <w:noWrap/>
            <w:hideMark/>
          </w:tcPr>
          <w:p w14:paraId="6DDAE834"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p>
        </w:tc>
        <w:tc>
          <w:tcPr>
            <w:tcW w:w="912" w:type="dxa"/>
            <w:gridSpan w:val="2"/>
            <w:noWrap/>
            <w:hideMark/>
          </w:tcPr>
          <w:p w14:paraId="020B02EA"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0,0</w:t>
            </w:r>
          </w:p>
        </w:tc>
        <w:tc>
          <w:tcPr>
            <w:tcW w:w="912" w:type="dxa"/>
            <w:gridSpan w:val="2"/>
            <w:noWrap/>
            <w:hideMark/>
          </w:tcPr>
          <w:p w14:paraId="7B7B6D66"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0,0</w:t>
            </w:r>
          </w:p>
        </w:tc>
        <w:tc>
          <w:tcPr>
            <w:tcW w:w="912" w:type="dxa"/>
            <w:gridSpan w:val="2"/>
            <w:noWrap/>
            <w:hideMark/>
          </w:tcPr>
          <w:p w14:paraId="4920CA35"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0,0</w:t>
            </w:r>
          </w:p>
        </w:tc>
        <w:tc>
          <w:tcPr>
            <w:tcW w:w="912" w:type="dxa"/>
            <w:gridSpan w:val="2"/>
            <w:noWrap/>
            <w:hideMark/>
          </w:tcPr>
          <w:p w14:paraId="09FA303E"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0,1</w:t>
            </w:r>
          </w:p>
        </w:tc>
        <w:tc>
          <w:tcPr>
            <w:tcW w:w="912" w:type="dxa"/>
            <w:gridSpan w:val="2"/>
            <w:noWrap/>
            <w:hideMark/>
          </w:tcPr>
          <w:p w14:paraId="5E197DF5"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0,1</w:t>
            </w:r>
          </w:p>
        </w:tc>
        <w:tc>
          <w:tcPr>
            <w:tcW w:w="912" w:type="dxa"/>
            <w:noWrap/>
            <w:hideMark/>
          </w:tcPr>
          <w:p w14:paraId="13020C21"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0,0</w:t>
            </w:r>
          </w:p>
        </w:tc>
      </w:tr>
      <w:tr w:rsidR="005A48F1" w:rsidRPr="00BD4849" w14:paraId="6E31FBD6"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72" w:type="dxa"/>
            <w:hideMark/>
          </w:tcPr>
          <w:p w14:paraId="731B1CC9"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 Socialna plačila D.62+D.632</w:t>
            </w:r>
          </w:p>
        </w:tc>
        <w:tc>
          <w:tcPr>
            <w:tcW w:w="912" w:type="dxa"/>
            <w:gridSpan w:val="2"/>
            <w:noWrap/>
            <w:hideMark/>
          </w:tcPr>
          <w:p w14:paraId="722C4E4B"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p>
        </w:tc>
        <w:tc>
          <w:tcPr>
            <w:tcW w:w="912" w:type="dxa"/>
            <w:gridSpan w:val="2"/>
            <w:noWrap/>
            <w:hideMark/>
          </w:tcPr>
          <w:p w14:paraId="28C47614"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p>
        </w:tc>
        <w:tc>
          <w:tcPr>
            <w:tcW w:w="912" w:type="dxa"/>
            <w:gridSpan w:val="2"/>
            <w:noWrap/>
            <w:hideMark/>
          </w:tcPr>
          <w:p w14:paraId="13F2A739"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p>
        </w:tc>
        <w:tc>
          <w:tcPr>
            <w:tcW w:w="912" w:type="dxa"/>
            <w:gridSpan w:val="2"/>
            <w:noWrap/>
            <w:hideMark/>
          </w:tcPr>
          <w:p w14:paraId="5F05F3E5"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p>
        </w:tc>
        <w:tc>
          <w:tcPr>
            <w:tcW w:w="912" w:type="dxa"/>
            <w:gridSpan w:val="2"/>
            <w:noWrap/>
            <w:hideMark/>
          </w:tcPr>
          <w:p w14:paraId="026A8F42"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p>
        </w:tc>
        <w:tc>
          <w:tcPr>
            <w:tcW w:w="912" w:type="dxa"/>
            <w:gridSpan w:val="2"/>
            <w:noWrap/>
            <w:hideMark/>
          </w:tcPr>
          <w:p w14:paraId="4D067C24"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p>
        </w:tc>
        <w:tc>
          <w:tcPr>
            <w:tcW w:w="912" w:type="dxa"/>
            <w:noWrap/>
            <w:hideMark/>
          </w:tcPr>
          <w:p w14:paraId="0CD54E85"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p>
        </w:tc>
      </w:tr>
      <w:tr w:rsidR="005A48F1" w:rsidRPr="00BD4849" w14:paraId="72E8241D" w14:textId="77777777" w:rsidTr="009F1410">
        <w:trPr>
          <w:trHeight w:val="300"/>
        </w:trPr>
        <w:tc>
          <w:tcPr>
            <w:cnfStyle w:val="001000000000" w:firstRow="0" w:lastRow="0" w:firstColumn="1" w:lastColumn="0" w:oddVBand="0" w:evenVBand="0" w:oddHBand="0" w:evenHBand="0" w:firstRowFirstColumn="0" w:firstRowLastColumn="0" w:lastRowFirstColumn="0" w:lastRowLastColumn="0"/>
            <w:tcW w:w="2972" w:type="dxa"/>
            <w:hideMark/>
          </w:tcPr>
          <w:p w14:paraId="0E973170"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 Odhodki za obresti D.41</w:t>
            </w:r>
          </w:p>
        </w:tc>
        <w:tc>
          <w:tcPr>
            <w:tcW w:w="912" w:type="dxa"/>
            <w:gridSpan w:val="2"/>
            <w:noWrap/>
            <w:hideMark/>
          </w:tcPr>
          <w:p w14:paraId="5950505B"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p>
        </w:tc>
        <w:tc>
          <w:tcPr>
            <w:tcW w:w="912" w:type="dxa"/>
            <w:gridSpan w:val="2"/>
            <w:noWrap/>
            <w:hideMark/>
          </w:tcPr>
          <w:p w14:paraId="79279583"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p>
        </w:tc>
        <w:tc>
          <w:tcPr>
            <w:tcW w:w="912" w:type="dxa"/>
            <w:gridSpan w:val="2"/>
            <w:noWrap/>
            <w:hideMark/>
          </w:tcPr>
          <w:p w14:paraId="7E9FB65A"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p>
        </w:tc>
        <w:tc>
          <w:tcPr>
            <w:tcW w:w="912" w:type="dxa"/>
            <w:gridSpan w:val="2"/>
            <w:noWrap/>
            <w:hideMark/>
          </w:tcPr>
          <w:p w14:paraId="50238CF6"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p>
        </w:tc>
        <w:tc>
          <w:tcPr>
            <w:tcW w:w="912" w:type="dxa"/>
            <w:gridSpan w:val="2"/>
            <w:noWrap/>
            <w:hideMark/>
          </w:tcPr>
          <w:p w14:paraId="7EE3935A"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p>
        </w:tc>
        <w:tc>
          <w:tcPr>
            <w:tcW w:w="912" w:type="dxa"/>
            <w:gridSpan w:val="2"/>
            <w:noWrap/>
            <w:hideMark/>
          </w:tcPr>
          <w:p w14:paraId="7B98E9AA"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p>
        </w:tc>
        <w:tc>
          <w:tcPr>
            <w:tcW w:w="912" w:type="dxa"/>
            <w:noWrap/>
            <w:hideMark/>
          </w:tcPr>
          <w:p w14:paraId="34491645"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p>
        </w:tc>
      </w:tr>
      <w:tr w:rsidR="005A48F1" w:rsidRPr="00BD4849" w14:paraId="7A97D727"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72" w:type="dxa"/>
            <w:hideMark/>
          </w:tcPr>
          <w:p w14:paraId="4EBE5E93"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 Subvencije, plačljive D.3</w:t>
            </w:r>
          </w:p>
        </w:tc>
        <w:tc>
          <w:tcPr>
            <w:tcW w:w="912" w:type="dxa"/>
            <w:gridSpan w:val="2"/>
            <w:noWrap/>
            <w:hideMark/>
          </w:tcPr>
          <w:p w14:paraId="783F18EC"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p>
        </w:tc>
        <w:tc>
          <w:tcPr>
            <w:tcW w:w="912" w:type="dxa"/>
            <w:gridSpan w:val="2"/>
            <w:noWrap/>
            <w:hideMark/>
          </w:tcPr>
          <w:p w14:paraId="27AC08AD"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0,0</w:t>
            </w:r>
          </w:p>
        </w:tc>
        <w:tc>
          <w:tcPr>
            <w:tcW w:w="912" w:type="dxa"/>
            <w:gridSpan w:val="2"/>
            <w:noWrap/>
            <w:hideMark/>
          </w:tcPr>
          <w:p w14:paraId="0DD5A0E7"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0,0</w:t>
            </w:r>
          </w:p>
        </w:tc>
        <w:tc>
          <w:tcPr>
            <w:tcW w:w="912" w:type="dxa"/>
            <w:gridSpan w:val="2"/>
            <w:noWrap/>
            <w:hideMark/>
          </w:tcPr>
          <w:p w14:paraId="578A7F67"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0,1</w:t>
            </w:r>
          </w:p>
        </w:tc>
        <w:tc>
          <w:tcPr>
            <w:tcW w:w="912" w:type="dxa"/>
            <w:gridSpan w:val="2"/>
            <w:noWrap/>
            <w:hideMark/>
          </w:tcPr>
          <w:p w14:paraId="7746892D"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0,1</w:t>
            </w:r>
          </w:p>
        </w:tc>
        <w:tc>
          <w:tcPr>
            <w:tcW w:w="912" w:type="dxa"/>
            <w:gridSpan w:val="2"/>
            <w:noWrap/>
            <w:hideMark/>
          </w:tcPr>
          <w:p w14:paraId="68097FBA"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0,1</w:t>
            </w:r>
          </w:p>
        </w:tc>
        <w:tc>
          <w:tcPr>
            <w:tcW w:w="912" w:type="dxa"/>
            <w:noWrap/>
            <w:hideMark/>
          </w:tcPr>
          <w:p w14:paraId="4F75F07D"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0,0</w:t>
            </w:r>
          </w:p>
        </w:tc>
      </w:tr>
      <w:tr w:rsidR="005A48F1" w:rsidRPr="00BD4849" w14:paraId="093D7DC2" w14:textId="77777777" w:rsidTr="009F1410">
        <w:trPr>
          <w:trHeight w:val="300"/>
        </w:trPr>
        <w:tc>
          <w:tcPr>
            <w:cnfStyle w:val="001000000000" w:firstRow="0" w:lastRow="0" w:firstColumn="1" w:lastColumn="0" w:oddVBand="0" w:evenVBand="0" w:oddHBand="0" w:evenHBand="0" w:firstRowFirstColumn="0" w:firstRowLastColumn="0" w:lastRowFirstColumn="0" w:lastRowLastColumn="0"/>
            <w:tcW w:w="2972" w:type="dxa"/>
            <w:hideMark/>
          </w:tcPr>
          <w:p w14:paraId="2E25FB04"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 Tekoči transferji D.7</w:t>
            </w:r>
          </w:p>
        </w:tc>
        <w:tc>
          <w:tcPr>
            <w:tcW w:w="912" w:type="dxa"/>
            <w:gridSpan w:val="2"/>
            <w:noWrap/>
            <w:hideMark/>
          </w:tcPr>
          <w:p w14:paraId="021B8812"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p>
        </w:tc>
        <w:tc>
          <w:tcPr>
            <w:tcW w:w="912" w:type="dxa"/>
            <w:gridSpan w:val="2"/>
            <w:noWrap/>
            <w:hideMark/>
          </w:tcPr>
          <w:p w14:paraId="753FD62E"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0,0</w:t>
            </w:r>
          </w:p>
        </w:tc>
        <w:tc>
          <w:tcPr>
            <w:tcW w:w="912" w:type="dxa"/>
            <w:gridSpan w:val="2"/>
            <w:noWrap/>
            <w:hideMark/>
          </w:tcPr>
          <w:p w14:paraId="2D089308"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0,0</w:t>
            </w:r>
          </w:p>
        </w:tc>
        <w:tc>
          <w:tcPr>
            <w:tcW w:w="912" w:type="dxa"/>
            <w:gridSpan w:val="2"/>
            <w:noWrap/>
            <w:hideMark/>
          </w:tcPr>
          <w:p w14:paraId="3CFD6F1A"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0,1</w:t>
            </w:r>
          </w:p>
        </w:tc>
        <w:tc>
          <w:tcPr>
            <w:tcW w:w="912" w:type="dxa"/>
            <w:gridSpan w:val="2"/>
            <w:noWrap/>
            <w:hideMark/>
          </w:tcPr>
          <w:p w14:paraId="619C0013"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0,1</w:t>
            </w:r>
          </w:p>
        </w:tc>
        <w:tc>
          <w:tcPr>
            <w:tcW w:w="912" w:type="dxa"/>
            <w:gridSpan w:val="2"/>
            <w:noWrap/>
            <w:hideMark/>
          </w:tcPr>
          <w:p w14:paraId="38BBCB9E"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0,1</w:t>
            </w:r>
          </w:p>
        </w:tc>
        <w:tc>
          <w:tcPr>
            <w:tcW w:w="912" w:type="dxa"/>
            <w:noWrap/>
            <w:hideMark/>
          </w:tcPr>
          <w:p w14:paraId="177F49C3"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0,1</w:t>
            </w:r>
          </w:p>
        </w:tc>
      </w:tr>
      <w:tr w:rsidR="005A48F1" w:rsidRPr="00BD4849" w14:paraId="51285825"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72" w:type="dxa"/>
            <w:hideMark/>
          </w:tcPr>
          <w:p w14:paraId="170E2CA2"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4. SKUPAJ KAPITALSKI ODHODKI</w:t>
            </w:r>
          </w:p>
        </w:tc>
        <w:tc>
          <w:tcPr>
            <w:tcW w:w="912" w:type="dxa"/>
            <w:gridSpan w:val="2"/>
            <w:noWrap/>
            <w:hideMark/>
          </w:tcPr>
          <w:p w14:paraId="15D2FC53"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p>
        </w:tc>
        <w:tc>
          <w:tcPr>
            <w:tcW w:w="912" w:type="dxa"/>
            <w:gridSpan w:val="2"/>
            <w:noWrap/>
            <w:hideMark/>
          </w:tcPr>
          <w:p w14:paraId="5A26BBD7"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0,2</w:t>
            </w:r>
          </w:p>
        </w:tc>
        <w:tc>
          <w:tcPr>
            <w:tcW w:w="912" w:type="dxa"/>
            <w:gridSpan w:val="2"/>
            <w:noWrap/>
            <w:hideMark/>
          </w:tcPr>
          <w:p w14:paraId="1B011015"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0,1</w:t>
            </w:r>
          </w:p>
        </w:tc>
        <w:tc>
          <w:tcPr>
            <w:tcW w:w="912" w:type="dxa"/>
            <w:gridSpan w:val="2"/>
            <w:noWrap/>
            <w:hideMark/>
          </w:tcPr>
          <w:p w14:paraId="12D2BB77"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0,3</w:t>
            </w:r>
          </w:p>
        </w:tc>
        <w:tc>
          <w:tcPr>
            <w:tcW w:w="912" w:type="dxa"/>
            <w:gridSpan w:val="2"/>
            <w:noWrap/>
            <w:hideMark/>
          </w:tcPr>
          <w:p w14:paraId="396E82CC"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0,4</w:t>
            </w:r>
          </w:p>
        </w:tc>
        <w:tc>
          <w:tcPr>
            <w:tcW w:w="912" w:type="dxa"/>
            <w:gridSpan w:val="2"/>
            <w:noWrap/>
            <w:hideMark/>
          </w:tcPr>
          <w:p w14:paraId="5F9C9949"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0,4</w:t>
            </w:r>
          </w:p>
        </w:tc>
        <w:tc>
          <w:tcPr>
            <w:tcW w:w="912" w:type="dxa"/>
            <w:noWrap/>
            <w:hideMark/>
          </w:tcPr>
          <w:p w14:paraId="15B162CF"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0,2</w:t>
            </w:r>
          </w:p>
        </w:tc>
      </w:tr>
      <w:tr w:rsidR="005A48F1" w:rsidRPr="00BD4849" w14:paraId="0DC1B9DB" w14:textId="77777777" w:rsidTr="009F1410">
        <w:trPr>
          <w:trHeight w:val="300"/>
        </w:trPr>
        <w:tc>
          <w:tcPr>
            <w:cnfStyle w:val="001000000000" w:firstRow="0" w:lastRow="0" w:firstColumn="1" w:lastColumn="0" w:oddVBand="0" w:evenVBand="0" w:oddHBand="0" w:evenHBand="0" w:firstRowFirstColumn="0" w:firstRowLastColumn="0" w:lastRowFirstColumn="0" w:lastRowLastColumn="0"/>
            <w:tcW w:w="2972" w:type="dxa"/>
            <w:hideMark/>
          </w:tcPr>
          <w:p w14:paraId="13CA5F15"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Od tega:</w:t>
            </w:r>
          </w:p>
        </w:tc>
        <w:tc>
          <w:tcPr>
            <w:tcW w:w="912" w:type="dxa"/>
            <w:gridSpan w:val="2"/>
            <w:noWrap/>
            <w:hideMark/>
          </w:tcPr>
          <w:p w14:paraId="55AE61B9"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912" w:type="dxa"/>
            <w:gridSpan w:val="2"/>
            <w:noWrap/>
            <w:hideMark/>
          </w:tcPr>
          <w:p w14:paraId="1DE7DFC9"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912" w:type="dxa"/>
            <w:gridSpan w:val="2"/>
            <w:noWrap/>
            <w:hideMark/>
          </w:tcPr>
          <w:p w14:paraId="6380D2DF"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912" w:type="dxa"/>
            <w:gridSpan w:val="2"/>
            <w:noWrap/>
            <w:hideMark/>
          </w:tcPr>
          <w:p w14:paraId="60269F55"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912" w:type="dxa"/>
            <w:gridSpan w:val="2"/>
            <w:noWrap/>
            <w:hideMark/>
          </w:tcPr>
          <w:p w14:paraId="44BB766A"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912" w:type="dxa"/>
            <w:gridSpan w:val="2"/>
            <w:noWrap/>
            <w:hideMark/>
          </w:tcPr>
          <w:p w14:paraId="66BAA7FB"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912" w:type="dxa"/>
            <w:noWrap/>
            <w:hideMark/>
          </w:tcPr>
          <w:p w14:paraId="21CB4278"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r>
      <w:tr w:rsidR="005A48F1" w:rsidRPr="00BD4849" w14:paraId="5F96A487"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72" w:type="dxa"/>
            <w:hideMark/>
          </w:tcPr>
          <w:p w14:paraId="5C03CC3E"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 Bruto investicije v osnovna sredstva P.51g</w:t>
            </w:r>
          </w:p>
        </w:tc>
        <w:tc>
          <w:tcPr>
            <w:tcW w:w="912" w:type="dxa"/>
            <w:gridSpan w:val="2"/>
            <w:noWrap/>
            <w:hideMark/>
          </w:tcPr>
          <w:p w14:paraId="18BF3D85"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p>
        </w:tc>
        <w:tc>
          <w:tcPr>
            <w:tcW w:w="912" w:type="dxa"/>
            <w:gridSpan w:val="2"/>
            <w:noWrap/>
            <w:hideMark/>
          </w:tcPr>
          <w:p w14:paraId="7BA7C65E"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0,2</w:t>
            </w:r>
          </w:p>
        </w:tc>
        <w:tc>
          <w:tcPr>
            <w:tcW w:w="912" w:type="dxa"/>
            <w:gridSpan w:val="2"/>
            <w:noWrap/>
            <w:hideMark/>
          </w:tcPr>
          <w:p w14:paraId="6E72070C"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0,1</w:t>
            </w:r>
          </w:p>
        </w:tc>
        <w:tc>
          <w:tcPr>
            <w:tcW w:w="912" w:type="dxa"/>
            <w:gridSpan w:val="2"/>
            <w:noWrap/>
            <w:hideMark/>
          </w:tcPr>
          <w:p w14:paraId="27853DCA"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0,2</w:t>
            </w:r>
          </w:p>
        </w:tc>
        <w:tc>
          <w:tcPr>
            <w:tcW w:w="912" w:type="dxa"/>
            <w:gridSpan w:val="2"/>
            <w:noWrap/>
            <w:hideMark/>
          </w:tcPr>
          <w:p w14:paraId="3DA02D8C"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0,3</w:t>
            </w:r>
          </w:p>
        </w:tc>
        <w:tc>
          <w:tcPr>
            <w:tcW w:w="912" w:type="dxa"/>
            <w:gridSpan w:val="2"/>
            <w:noWrap/>
            <w:hideMark/>
          </w:tcPr>
          <w:p w14:paraId="4500326B"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0,3</w:t>
            </w:r>
          </w:p>
        </w:tc>
        <w:tc>
          <w:tcPr>
            <w:tcW w:w="912" w:type="dxa"/>
            <w:noWrap/>
            <w:hideMark/>
          </w:tcPr>
          <w:p w14:paraId="339B158E"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0,1</w:t>
            </w:r>
          </w:p>
        </w:tc>
      </w:tr>
      <w:tr w:rsidR="005A48F1" w:rsidRPr="00BD4849" w14:paraId="271E9574" w14:textId="77777777" w:rsidTr="009F1410">
        <w:trPr>
          <w:trHeight w:val="300"/>
        </w:trPr>
        <w:tc>
          <w:tcPr>
            <w:cnfStyle w:val="001000000000" w:firstRow="0" w:lastRow="0" w:firstColumn="1" w:lastColumn="0" w:oddVBand="0" w:evenVBand="0" w:oddHBand="0" w:evenHBand="0" w:firstRowFirstColumn="0" w:firstRowLastColumn="0" w:lastRowFirstColumn="0" w:lastRowLastColumn="0"/>
            <w:tcW w:w="2972" w:type="dxa"/>
            <w:hideMark/>
          </w:tcPr>
          <w:p w14:paraId="3132B4DF"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 Kapitalski transferji D.9</w:t>
            </w:r>
          </w:p>
        </w:tc>
        <w:tc>
          <w:tcPr>
            <w:tcW w:w="912" w:type="dxa"/>
            <w:gridSpan w:val="2"/>
            <w:noWrap/>
            <w:hideMark/>
          </w:tcPr>
          <w:p w14:paraId="0151A316"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p>
        </w:tc>
        <w:tc>
          <w:tcPr>
            <w:tcW w:w="912" w:type="dxa"/>
            <w:gridSpan w:val="2"/>
            <w:noWrap/>
            <w:hideMark/>
          </w:tcPr>
          <w:p w14:paraId="33EA2ED4"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0,0</w:t>
            </w:r>
          </w:p>
        </w:tc>
        <w:tc>
          <w:tcPr>
            <w:tcW w:w="912" w:type="dxa"/>
            <w:gridSpan w:val="2"/>
            <w:noWrap/>
            <w:hideMark/>
          </w:tcPr>
          <w:p w14:paraId="3A133875"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0,0</w:t>
            </w:r>
          </w:p>
        </w:tc>
        <w:tc>
          <w:tcPr>
            <w:tcW w:w="912" w:type="dxa"/>
            <w:gridSpan w:val="2"/>
            <w:noWrap/>
            <w:hideMark/>
          </w:tcPr>
          <w:p w14:paraId="0E69C3C0"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0,1</w:t>
            </w:r>
          </w:p>
        </w:tc>
        <w:tc>
          <w:tcPr>
            <w:tcW w:w="912" w:type="dxa"/>
            <w:gridSpan w:val="2"/>
            <w:noWrap/>
            <w:hideMark/>
          </w:tcPr>
          <w:p w14:paraId="0A875374"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0,1</w:t>
            </w:r>
          </w:p>
        </w:tc>
        <w:tc>
          <w:tcPr>
            <w:tcW w:w="912" w:type="dxa"/>
            <w:gridSpan w:val="2"/>
            <w:noWrap/>
            <w:hideMark/>
          </w:tcPr>
          <w:p w14:paraId="04992D2F"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0,1</w:t>
            </w:r>
          </w:p>
        </w:tc>
        <w:tc>
          <w:tcPr>
            <w:tcW w:w="912" w:type="dxa"/>
            <w:noWrap/>
            <w:hideMark/>
          </w:tcPr>
          <w:p w14:paraId="036725B7"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0,1</w:t>
            </w:r>
          </w:p>
        </w:tc>
      </w:tr>
      <w:tr w:rsidR="005A48F1" w:rsidRPr="00BD4849" w14:paraId="36D7448D"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72" w:type="dxa"/>
            <w:hideMark/>
          </w:tcPr>
          <w:p w14:paraId="5B5850EA" w14:textId="77777777" w:rsidR="005A48F1" w:rsidRPr="00BD4849" w:rsidRDefault="005A48F1" w:rsidP="009F1410">
            <w:pPr>
              <w:rPr>
                <w:rFonts w:ascii="Arial" w:eastAsia="Times New Roman" w:hAnsi="Arial" w:cs="Arial"/>
                <w:b w:val="0"/>
                <w:bCs w:val="0"/>
                <w:sz w:val="20"/>
                <w:szCs w:val="20"/>
                <w:lang w:eastAsia="sl-SI"/>
              </w:rPr>
            </w:pPr>
          </w:p>
        </w:tc>
        <w:tc>
          <w:tcPr>
            <w:tcW w:w="6384" w:type="dxa"/>
            <w:gridSpan w:val="13"/>
            <w:noWrap/>
            <w:hideMark/>
          </w:tcPr>
          <w:p w14:paraId="66250FAD"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Drugi stroški, financirani iz nepovratnih sredstev RRF (v % BDP)12</w:t>
            </w:r>
          </w:p>
        </w:tc>
      </w:tr>
      <w:tr w:rsidR="005A48F1" w:rsidRPr="00BD4849" w14:paraId="73AE50DB" w14:textId="77777777" w:rsidTr="009F1410">
        <w:trPr>
          <w:trHeight w:val="300"/>
        </w:trPr>
        <w:tc>
          <w:tcPr>
            <w:cnfStyle w:val="001000000000" w:firstRow="0" w:lastRow="0" w:firstColumn="1" w:lastColumn="0" w:oddVBand="0" w:evenVBand="0" w:oddHBand="0" w:evenHBand="0" w:firstRowFirstColumn="0" w:firstRowLastColumn="0" w:lastRowFirstColumn="0" w:lastRowLastColumn="0"/>
            <w:tcW w:w="2972" w:type="dxa"/>
            <w:hideMark/>
          </w:tcPr>
          <w:p w14:paraId="7B6DB3DB"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5. Zmanjšanje davčnih prihodkov</w:t>
            </w:r>
          </w:p>
        </w:tc>
        <w:tc>
          <w:tcPr>
            <w:tcW w:w="702" w:type="dxa"/>
            <w:noWrap/>
            <w:hideMark/>
          </w:tcPr>
          <w:p w14:paraId="3A99C235"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p>
        </w:tc>
        <w:tc>
          <w:tcPr>
            <w:tcW w:w="947" w:type="dxa"/>
            <w:gridSpan w:val="2"/>
            <w:noWrap/>
            <w:hideMark/>
          </w:tcPr>
          <w:p w14:paraId="37BC4997"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p>
        </w:tc>
        <w:tc>
          <w:tcPr>
            <w:tcW w:w="947" w:type="dxa"/>
            <w:gridSpan w:val="2"/>
            <w:noWrap/>
            <w:hideMark/>
          </w:tcPr>
          <w:p w14:paraId="4D5FF3A1"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p>
        </w:tc>
        <w:tc>
          <w:tcPr>
            <w:tcW w:w="947" w:type="dxa"/>
            <w:gridSpan w:val="2"/>
            <w:noWrap/>
            <w:hideMark/>
          </w:tcPr>
          <w:p w14:paraId="75125628"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p>
        </w:tc>
        <w:tc>
          <w:tcPr>
            <w:tcW w:w="947" w:type="dxa"/>
            <w:gridSpan w:val="2"/>
            <w:noWrap/>
            <w:hideMark/>
          </w:tcPr>
          <w:p w14:paraId="5B80213C"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p>
        </w:tc>
        <w:tc>
          <w:tcPr>
            <w:tcW w:w="947" w:type="dxa"/>
            <w:gridSpan w:val="2"/>
            <w:noWrap/>
            <w:hideMark/>
          </w:tcPr>
          <w:p w14:paraId="5D87D96E"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p>
        </w:tc>
        <w:tc>
          <w:tcPr>
            <w:tcW w:w="947" w:type="dxa"/>
            <w:gridSpan w:val="2"/>
            <w:noWrap/>
            <w:hideMark/>
          </w:tcPr>
          <w:p w14:paraId="3FAD3A9C"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p>
        </w:tc>
      </w:tr>
      <w:tr w:rsidR="005A48F1" w:rsidRPr="00BD4849" w14:paraId="2BD90BCF"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72" w:type="dxa"/>
            <w:hideMark/>
          </w:tcPr>
          <w:p w14:paraId="0160C7C4"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6. Drugi stroški, ki vplivajo na prihodke</w:t>
            </w:r>
          </w:p>
        </w:tc>
        <w:tc>
          <w:tcPr>
            <w:tcW w:w="702" w:type="dxa"/>
            <w:noWrap/>
            <w:hideMark/>
          </w:tcPr>
          <w:p w14:paraId="78DC5462"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p>
        </w:tc>
        <w:tc>
          <w:tcPr>
            <w:tcW w:w="947" w:type="dxa"/>
            <w:gridSpan w:val="2"/>
            <w:noWrap/>
            <w:hideMark/>
          </w:tcPr>
          <w:p w14:paraId="379E3DEC"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p>
        </w:tc>
        <w:tc>
          <w:tcPr>
            <w:tcW w:w="947" w:type="dxa"/>
            <w:gridSpan w:val="2"/>
            <w:noWrap/>
            <w:hideMark/>
          </w:tcPr>
          <w:p w14:paraId="4CBA5196"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p>
        </w:tc>
        <w:tc>
          <w:tcPr>
            <w:tcW w:w="947" w:type="dxa"/>
            <w:gridSpan w:val="2"/>
            <w:noWrap/>
            <w:hideMark/>
          </w:tcPr>
          <w:p w14:paraId="22D8D2F1"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p>
        </w:tc>
        <w:tc>
          <w:tcPr>
            <w:tcW w:w="947" w:type="dxa"/>
            <w:gridSpan w:val="2"/>
            <w:noWrap/>
            <w:hideMark/>
          </w:tcPr>
          <w:p w14:paraId="73212D28"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p>
        </w:tc>
        <w:tc>
          <w:tcPr>
            <w:tcW w:w="947" w:type="dxa"/>
            <w:gridSpan w:val="2"/>
            <w:noWrap/>
            <w:hideMark/>
          </w:tcPr>
          <w:p w14:paraId="5ACE4DEB"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p>
        </w:tc>
        <w:tc>
          <w:tcPr>
            <w:tcW w:w="947" w:type="dxa"/>
            <w:gridSpan w:val="2"/>
            <w:noWrap/>
            <w:hideMark/>
          </w:tcPr>
          <w:p w14:paraId="379009E9"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p>
        </w:tc>
      </w:tr>
      <w:tr w:rsidR="005A48F1" w:rsidRPr="00BD4849" w14:paraId="6DAE38D4" w14:textId="77777777" w:rsidTr="009F1410">
        <w:trPr>
          <w:trHeight w:val="300"/>
        </w:trPr>
        <w:tc>
          <w:tcPr>
            <w:cnfStyle w:val="001000000000" w:firstRow="0" w:lastRow="0" w:firstColumn="1" w:lastColumn="0" w:oddVBand="0" w:evenVBand="0" w:oddHBand="0" w:evenHBand="0" w:firstRowFirstColumn="0" w:firstRowLastColumn="0" w:lastRowFirstColumn="0" w:lastRowLastColumn="0"/>
            <w:tcW w:w="2972" w:type="dxa"/>
            <w:hideMark/>
          </w:tcPr>
          <w:p w14:paraId="40A6C7B6"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7. Finančne transakcije</w:t>
            </w:r>
          </w:p>
        </w:tc>
        <w:tc>
          <w:tcPr>
            <w:tcW w:w="702" w:type="dxa"/>
            <w:noWrap/>
            <w:hideMark/>
          </w:tcPr>
          <w:p w14:paraId="59485DD8"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p>
        </w:tc>
        <w:tc>
          <w:tcPr>
            <w:tcW w:w="947" w:type="dxa"/>
            <w:gridSpan w:val="2"/>
            <w:noWrap/>
            <w:hideMark/>
          </w:tcPr>
          <w:p w14:paraId="4845014F"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p>
        </w:tc>
        <w:tc>
          <w:tcPr>
            <w:tcW w:w="947" w:type="dxa"/>
            <w:gridSpan w:val="2"/>
            <w:noWrap/>
            <w:hideMark/>
          </w:tcPr>
          <w:p w14:paraId="1A500560"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p>
        </w:tc>
        <w:tc>
          <w:tcPr>
            <w:tcW w:w="947" w:type="dxa"/>
            <w:gridSpan w:val="2"/>
            <w:noWrap/>
            <w:hideMark/>
          </w:tcPr>
          <w:p w14:paraId="0AEAE6E8"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p>
        </w:tc>
        <w:tc>
          <w:tcPr>
            <w:tcW w:w="947" w:type="dxa"/>
            <w:gridSpan w:val="2"/>
            <w:noWrap/>
            <w:hideMark/>
          </w:tcPr>
          <w:p w14:paraId="70A8FA24"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p>
        </w:tc>
        <w:tc>
          <w:tcPr>
            <w:tcW w:w="947" w:type="dxa"/>
            <w:gridSpan w:val="2"/>
            <w:noWrap/>
            <w:hideMark/>
          </w:tcPr>
          <w:p w14:paraId="1D912932"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p>
        </w:tc>
        <w:tc>
          <w:tcPr>
            <w:tcW w:w="947" w:type="dxa"/>
            <w:gridSpan w:val="2"/>
            <w:noWrap/>
            <w:hideMark/>
          </w:tcPr>
          <w:p w14:paraId="64E62F37"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p>
        </w:tc>
      </w:tr>
    </w:tbl>
    <w:p w14:paraId="4FC713C7" w14:textId="77777777" w:rsidR="005A48F1" w:rsidRPr="009924DC" w:rsidRDefault="005A48F1" w:rsidP="009924DC">
      <w:pPr>
        <w:pStyle w:val="Caption"/>
        <w:ind w:left="0" w:firstLine="0"/>
        <w:rPr>
          <w:rFonts w:ascii="Arial" w:hAnsi="Arial" w:cs="Arial"/>
          <w:b w:val="0"/>
          <w:bCs/>
          <w:i w:val="0"/>
          <w:iCs/>
        </w:rPr>
      </w:pPr>
      <w:r w:rsidRPr="009924DC">
        <w:rPr>
          <w:rFonts w:ascii="Arial" w:hAnsi="Arial" w:cs="Arial"/>
          <w:b w:val="0"/>
          <w:bCs/>
          <w:i w:val="0"/>
          <w:iCs/>
        </w:rPr>
        <w:t>Vir: Ministrstvo za finance.</w:t>
      </w:r>
    </w:p>
    <w:p w14:paraId="234E8F63" w14:textId="77777777" w:rsidR="005A48F1" w:rsidRDefault="005A48F1" w:rsidP="005A48F1">
      <w:pPr>
        <w:rPr>
          <w:rFonts w:ascii="Arial" w:eastAsia="Times New Roman" w:hAnsi="Arial" w:cs="Arial"/>
          <w:sz w:val="20"/>
          <w:szCs w:val="20"/>
          <w:lang w:eastAsia="sl-SI"/>
        </w:rPr>
      </w:pPr>
      <w:r>
        <w:rPr>
          <w:rFonts w:ascii="Arial" w:eastAsia="Times New Roman" w:hAnsi="Arial" w:cs="Arial"/>
          <w:sz w:val="20"/>
          <w:szCs w:val="20"/>
          <w:lang w:eastAsia="sl-SI"/>
        </w:rPr>
        <w:br w:type="page"/>
      </w:r>
    </w:p>
    <w:p w14:paraId="17DF977E" w14:textId="792F8955" w:rsidR="005A48F1" w:rsidRPr="009924DC" w:rsidRDefault="005A48F1" w:rsidP="005A48F1">
      <w:pPr>
        <w:spacing w:after="0" w:line="240" w:lineRule="auto"/>
        <w:rPr>
          <w:rFonts w:ascii="Arial" w:eastAsia="Times New Roman" w:hAnsi="Arial" w:cs="Arial"/>
          <w:lang w:eastAsia="sl-SI"/>
        </w:rPr>
      </w:pPr>
      <w:r w:rsidRPr="009924DC">
        <w:rPr>
          <w:rFonts w:ascii="Arial" w:eastAsia="Times New Roman" w:hAnsi="Arial" w:cs="Arial"/>
          <w:lang w:eastAsia="sl-SI"/>
        </w:rPr>
        <w:lastRenderedPageBreak/>
        <w:t xml:space="preserve">Tabela </w:t>
      </w:r>
      <w:r w:rsidR="001C6FA5">
        <w:rPr>
          <w:rFonts w:ascii="Arial" w:eastAsia="Times New Roman" w:hAnsi="Arial" w:cs="Arial"/>
          <w:lang w:eastAsia="sl-SI"/>
        </w:rPr>
        <w:t>9</w:t>
      </w:r>
      <w:r w:rsidRPr="009924DC">
        <w:rPr>
          <w:rFonts w:ascii="Arial" w:eastAsia="Times New Roman" w:hAnsi="Arial" w:cs="Arial"/>
          <w:lang w:eastAsia="sl-SI"/>
        </w:rPr>
        <w:t>: Vpliv NOO na projekcije - POSOJILA</w:t>
      </w:r>
    </w:p>
    <w:tbl>
      <w:tblPr>
        <w:tblStyle w:val="ListTable3-Accent1"/>
        <w:tblW w:w="9356" w:type="dxa"/>
        <w:tblLayout w:type="fixed"/>
        <w:tblLook w:val="04A0" w:firstRow="1" w:lastRow="0" w:firstColumn="1" w:lastColumn="0" w:noHBand="0" w:noVBand="1"/>
      </w:tblPr>
      <w:tblGrid>
        <w:gridCol w:w="2972"/>
        <w:gridCol w:w="702"/>
        <w:gridCol w:w="210"/>
        <w:gridCol w:w="737"/>
        <w:gridCol w:w="175"/>
        <w:gridCol w:w="772"/>
        <w:gridCol w:w="140"/>
        <w:gridCol w:w="807"/>
        <w:gridCol w:w="105"/>
        <w:gridCol w:w="842"/>
        <w:gridCol w:w="70"/>
        <w:gridCol w:w="877"/>
        <w:gridCol w:w="35"/>
        <w:gridCol w:w="912"/>
      </w:tblGrid>
      <w:tr w:rsidR="005A48F1" w:rsidRPr="00BD4849" w14:paraId="65D907EE" w14:textId="77777777" w:rsidTr="009F1410">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2972" w:type="dxa"/>
            <w:shd w:val="clear" w:color="auto" w:fill="B4C6E7" w:themeFill="accent5" w:themeFillTint="66"/>
            <w:noWrap/>
            <w:hideMark/>
          </w:tcPr>
          <w:p w14:paraId="77C37E08" w14:textId="77777777" w:rsidR="005A48F1" w:rsidRPr="00BD4849" w:rsidRDefault="005A48F1" w:rsidP="009F1410">
            <w:pPr>
              <w:rPr>
                <w:rFonts w:ascii="Arial" w:eastAsia="Times New Roman" w:hAnsi="Arial" w:cs="Arial"/>
                <w:b w:val="0"/>
                <w:bCs w:val="0"/>
                <w:color w:val="auto"/>
                <w:sz w:val="20"/>
                <w:szCs w:val="20"/>
                <w:lang w:eastAsia="sl-SI"/>
              </w:rPr>
            </w:pPr>
          </w:p>
        </w:tc>
        <w:tc>
          <w:tcPr>
            <w:tcW w:w="912" w:type="dxa"/>
            <w:gridSpan w:val="2"/>
            <w:shd w:val="clear" w:color="auto" w:fill="B4C6E7" w:themeFill="accent5" w:themeFillTint="66"/>
            <w:hideMark/>
          </w:tcPr>
          <w:p w14:paraId="21C70121" w14:textId="77777777" w:rsidR="005A48F1" w:rsidRPr="00BD4849" w:rsidRDefault="005A48F1" w:rsidP="009F141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lang w:eastAsia="sl-SI"/>
              </w:rPr>
            </w:pPr>
            <w:r w:rsidRPr="00BD4849">
              <w:rPr>
                <w:rFonts w:ascii="Arial" w:eastAsia="Times New Roman" w:hAnsi="Arial" w:cs="Arial"/>
                <w:b w:val="0"/>
                <w:bCs w:val="0"/>
                <w:color w:val="auto"/>
                <w:sz w:val="20"/>
                <w:szCs w:val="20"/>
                <w:lang w:eastAsia="sl-SI"/>
              </w:rPr>
              <w:t xml:space="preserve">2020 </w:t>
            </w:r>
          </w:p>
        </w:tc>
        <w:tc>
          <w:tcPr>
            <w:tcW w:w="912" w:type="dxa"/>
            <w:gridSpan w:val="2"/>
            <w:shd w:val="clear" w:color="auto" w:fill="B4C6E7" w:themeFill="accent5" w:themeFillTint="66"/>
            <w:hideMark/>
          </w:tcPr>
          <w:p w14:paraId="6A830B27" w14:textId="77777777" w:rsidR="005A48F1" w:rsidRPr="00BD4849" w:rsidRDefault="005A48F1" w:rsidP="009F141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lang w:eastAsia="sl-SI"/>
              </w:rPr>
            </w:pPr>
            <w:r w:rsidRPr="00BD4849">
              <w:rPr>
                <w:rFonts w:ascii="Arial" w:eastAsia="Times New Roman" w:hAnsi="Arial" w:cs="Arial"/>
                <w:b w:val="0"/>
                <w:bCs w:val="0"/>
                <w:color w:val="auto"/>
                <w:sz w:val="20"/>
                <w:szCs w:val="20"/>
                <w:lang w:eastAsia="sl-SI"/>
              </w:rPr>
              <w:t xml:space="preserve">2021 </w:t>
            </w:r>
          </w:p>
        </w:tc>
        <w:tc>
          <w:tcPr>
            <w:tcW w:w="912" w:type="dxa"/>
            <w:gridSpan w:val="2"/>
            <w:shd w:val="clear" w:color="auto" w:fill="B4C6E7" w:themeFill="accent5" w:themeFillTint="66"/>
            <w:hideMark/>
          </w:tcPr>
          <w:p w14:paraId="404FD1E7" w14:textId="77777777" w:rsidR="005A48F1" w:rsidRPr="00BD4849" w:rsidRDefault="005A48F1" w:rsidP="009F141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lang w:eastAsia="sl-SI"/>
              </w:rPr>
            </w:pPr>
            <w:r w:rsidRPr="00BD4849">
              <w:rPr>
                <w:rFonts w:ascii="Arial" w:eastAsia="Times New Roman" w:hAnsi="Arial" w:cs="Arial"/>
                <w:b w:val="0"/>
                <w:bCs w:val="0"/>
                <w:color w:val="auto"/>
                <w:sz w:val="20"/>
                <w:szCs w:val="20"/>
                <w:lang w:eastAsia="sl-SI"/>
              </w:rPr>
              <w:t xml:space="preserve">2022 </w:t>
            </w:r>
          </w:p>
        </w:tc>
        <w:tc>
          <w:tcPr>
            <w:tcW w:w="912" w:type="dxa"/>
            <w:gridSpan w:val="2"/>
            <w:shd w:val="clear" w:color="auto" w:fill="B4C6E7" w:themeFill="accent5" w:themeFillTint="66"/>
            <w:hideMark/>
          </w:tcPr>
          <w:p w14:paraId="513452A0" w14:textId="77777777" w:rsidR="005A48F1" w:rsidRPr="00BD4849" w:rsidRDefault="005A48F1" w:rsidP="009F141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lang w:eastAsia="sl-SI"/>
              </w:rPr>
            </w:pPr>
            <w:r w:rsidRPr="00BD4849">
              <w:rPr>
                <w:rFonts w:ascii="Arial" w:eastAsia="Times New Roman" w:hAnsi="Arial" w:cs="Arial"/>
                <w:b w:val="0"/>
                <w:bCs w:val="0"/>
                <w:color w:val="auto"/>
                <w:sz w:val="20"/>
                <w:szCs w:val="20"/>
                <w:lang w:eastAsia="sl-SI"/>
              </w:rPr>
              <w:t xml:space="preserve">2023 </w:t>
            </w:r>
          </w:p>
        </w:tc>
        <w:tc>
          <w:tcPr>
            <w:tcW w:w="912" w:type="dxa"/>
            <w:gridSpan w:val="2"/>
            <w:shd w:val="clear" w:color="auto" w:fill="B4C6E7" w:themeFill="accent5" w:themeFillTint="66"/>
            <w:hideMark/>
          </w:tcPr>
          <w:p w14:paraId="5F529772" w14:textId="77777777" w:rsidR="005A48F1" w:rsidRPr="00BD4849" w:rsidRDefault="005A48F1" w:rsidP="009F141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lang w:eastAsia="sl-SI"/>
              </w:rPr>
            </w:pPr>
            <w:r w:rsidRPr="00BD4849">
              <w:rPr>
                <w:rFonts w:ascii="Arial" w:eastAsia="Times New Roman" w:hAnsi="Arial" w:cs="Arial"/>
                <w:b w:val="0"/>
                <w:bCs w:val="0"/>
                <w:color w:val="auto"/>
                <w:sz w:val="20"/>
                <w:szCs w:val="20"/>
                <w:lang w:eastAsia="sl-SI"/>
              </w:rPr>
              <w:t xml:space="preserve">2024 </w:t>
            </w:r>
          </w:p>
        </w:tc>
        <w:tc>
          <w:tcPr>
            <w:tcW w:w="912" w:type="dxa"/>
            <w:gridSpan w:val="2"/>
            <w:shd w:val="clear" w:color="auto" w:fill="B4C6E7" w:themeFill="accent5" w:themeFillTint="66"/>
            <w:hideMark/>
          </w:tcPr>
          <w:p w14:paraId="7E88C9A6" w14:textId="77777777" w:rsidR="005A48F1" w:rsidRPr="00BD4849" w:rsidRDefault="005A48F1" w:rsidP="009F141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lang w:eastAsia="sl-SI"/>
              </w:rPr>
            </w:pPr>
            <w:r w:rsidRPr="00BD4849">
              <w:rPr>
                <w:rFonts w:ascii="Arial" w:eastAsia="Times New Roman" w:hAnsi="Arial" w:cs="Arial"/>
                <w:b w:val="0"/>
                <w:bCs w:val="0"/>
                <w:color w:val="auto"/>
                <w:sz w:val="20"/>
                <w:szCs w:val="20"/>
                <w:lang w:eastAsia="sl-SI"/>
              </w:rPr>
              <w:t xml:space="preserve">2025 </w:t>
            </w:r>
          </w:p>
        </w:tc>
        <w:tc>
          <w:tcPr>
            <w:tcW w:w="912" w:type="dxa"/>
            <w:shd w:val="clear" w:color="auto" w:fill="B4C6E7" w:themeFill="accent5" w:themeFillTint="66"/>
            <w:hideMark/>
          </w:tcPr>
          <w:p w14:paraId="60ACF251" w14:textId="77777777" w:rsidR="005A48F1" w:rsidRPr="00BD4849" w:rsidRDefault="005A48F1" w:rsidP="009F141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lang w:eastAsia="sl-SI"/>
              </w:rPr>
            </w:pPr>
            <w:r w:rsidRPr="00BD4849">
              <w:rPr>
                <w:rFonts w:ascii="Arial" w:eastAsia="Times New Roman" w:hAnsi="Arial" w:cs="Arial"/>
                <w:b w:val="0"/>
                <w:bCs w:val="0"/>
                <w:color w:val="auto"/>
                <w:sz w:val="20"/>
                <w:szCs w:val="20"/>
                <w:lang w:eastAsia="sl-SI"/>
              </w:rPr>
              <w:t xml:space="preserve">2026 </w:t>
            </w:r>
          </w:p>
        </w:tc>
      </w:tr>
      <w:tr w:rsidR="005A48F1" w:rsidRPr="00BD4849" w14:paraId="331B7856"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72" w:type="dxa"/>
            <w:hideMark/>
          </w:tcPr>
          <w:p w14:paraId="521234FD" w14:textId="77777777" w:rsidR="005A48F1" w:rsidRPr="00BD4849" w:rsidRDefault="005A48F1" w:rsidP="009F1410">
            <w:pPr>
              <w:rPr>
                <w:rFonts w:ascii="Arial" w:eastAsia="Times New Roman" w:hAnsi="Arial" w:cs="Arial"/>
                <w:b w:val="0"/>
                <w:bCs w:val="0"/>
                <w:sz w:val="20"/>
                <w:szCs w:val="20"/>
                <w:lang w:eastAsia="sl-SI"/>
              </w:rPr>
            </w:pPr>
          </w:p>
        </w:tc>
        <w:tc>
          <w:tcPr>
            <w:tcW w:w="6384" w:type="dxa"/>
            <w:gridSpan w:val="13"/>
            <w:noWrap/>
            <w:hideMark/>
          </w:tcPr>
          <w:p w14:paraId="1F87AD99"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Prihodki od povratnih sredstev (v % BDP)</w:t>
            </w:r>
          </w:p>
        </w:tc>
      </w:tr>
      <w:tr w:rsidR="005A48F1" w:rsidRPr="00BD4849" w14:paraId="7A616537" w14:textId="77777777" w:rsidTr="009F1410">
        <w:trPr>
          <w:trHeight w:val="300"/>
        </w:trPr>
        <w:tc>
          <w:tcPr>
            <w:cnfStyle w:val="001000000000" w:firstRow="0" w:lastRow="0" w:firstColumn="1" w:lastColumn="0" w:oddVBand="0" w:evenVBand="0" w:oddHBand="0" w:evenHBand="0" w:firstRowFirstColumn="0" w:firstRowLastColumn="0" w:lastRowFirstColumn="0" w:lastRowLastColumn="0"/>
            <w:tcW w:w="2972" w:type="dxa"/>
            <w:hideMark/>
          </w:tcPr>
          <w:p w14:paraId="3FE44619"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1. Izplačila RRF POSOJIL iz EU</w:t>
            </w:r>
          </w:p>
        </w:tc>
        <w:tc>
          <w:tcPr>
            <w:tcW w:w="912" w:type="dxa"/>
            <w:gridSpan w:val="2"/>
            <w:noWrap/>
            <w:hideMark/>
          </w:tcPr>
          <w:p w14:paraId="3361F22B"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p>
        </w:tc>
        <w:tc>
          <w:tcPr>
            <w:tcW w:w="912" w:type="dxa"/>
            <w:gridSpan w:val="2"/>
            <w:noWrap/>
            <w:hideMark/>
          </w:tcPr>
          <w:p w14:paraId="4F94213B"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0,0</w:t>
            </w:r>
          </w:p>
        </w:tc>
        <w:tc>
          <w:tcPr>
            <w:tcW w:w="912" w:type="dxa"/>
            <w:gridSpan w:val="2"/>
            <w:noWrap/>
            <w:hideMark/>
          </w:tcPr>
          <w:p w14:paraId="00CBA476"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0,0</w:t>
            </w:r>
          </w:p>
        </w:tc>
        <w:tc>
          <w:tcPr>
            <w:tcW w:w="912" w:type="dxa"/>
            <w:gridSpan w:val="2"/>
            <w:noWrap/>
            <w:hideMark/>
          </w:tcPr>
          <w:p w14:paraId="1F70F60C"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0,5</w:t>
            </w:r>
          </w:p>
        </w:tc>
        <w:tc>
          <w:tcPr>
            <w:tcW w:w="912" w:type="dxa"/>
            <w:gridSpan w:val="2"/>
            <w:noWrap/>
            <w:hideMark/>
          </w:tcPr>
          <w:p w14:paraId="4B9BE029"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0,2</w:t>
            </w:r>
          </w:p>
        </w:tc>
        <w:tc>
          <w:tcPr>
            <w:tcW w:w="912" w:type="dxa"/>
            <w:gridSpan w:val="2"/>
            <w:noWrap/>
            <w:hideMark/>
          </w:tcPr>
          <w:p w14:paraId="35F353E8"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0,3</w:t>
            </w:r>
          </w:p>
        </w:tc>
        <w:tc>
          <w:tcPr>
            <w:tcW w:w="912" w:type="dxa"/>
            <w:noWrap/>
            <w:hideMark/>
          </w:tcPr>
          <w:p w14:paraId="52E6C6B1"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0,5</w:t>
            </w:r>
          </w:p>
        </w:tc>
      </w:tr>
      <w:tr w:rsidR="005A48F1" w:rsidRPr="00BD4849" w14:paraId="7DAB6A6B"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72" w:type="dxa"/>
            <w:hideMark/>
          </w:tcPr>
          <w:p w14:paraId="0574E4EC"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2. Povračila RRF POSOJIL EU</w:t>
            </w:r>
          </w:p>
        </w:tc>
        <w:tc>
          <w:tcPr>
            <w:tcW w:w="912" w:type="dxa"/>
            <w:gridSpan w:val="2"/>
            <w:noWrap/>
            <w:hideMark/>
          </w:tcPr>
          <w:p w14:paraId="707EE19C"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p>
        </w:tc>
        <w:tc>
          <w:tcPr>
            <w:tcW w:w="912" w:type="dxa"/>
            <w:gridSpan w:val="2"/>
            <w:noWrap/>
            <w:hideMark/>
          </w:tcPr>
          <w:p w14:paraId="4EA2207F"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0,0</w:t>
            </w:r>
          </w:p>
        </w:tc>
        <w:tc>
          <w:tcPr>
            <w:tcW w:w="912" w:type="dxa"/>
            <w:gridSpan w:val="2"/>
            <w:noWrap/>
            <w:hideMark/>
          </w:tcPr>
          <w:p w14:paraId="3CC587AC"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0,0</w:t>
            </w:r>
          </w:p>
        </w:tc>
        <w:tc>
          <w:tcPr>
            <w:tcW w:w="912" w:type="dxa"/>
            <w:gridSpan w:val="2"/>
            <w:noWrap/>
            <w:hideMark/>
          </w:tcPr>
          <w:p w14:paraId="00F29BAB"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0,0</w:t>
            </w:r>
          </w:p>
        </w:tc>
        <w:tc>
          <w:tcPr>
            <w:tcW w:w="912" w:type="dxa"/>
            <w:gridSpan w:val="2"/>
            <w:noWrap/>
            <w:hideMark/>
          </w:tcPr>
          <w:p w14:paraId="764A9BDA"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0,0</w:t>
            </w:r>
          </w:p>
        </w:tc>
        <w:tc>
          <w:tcPr>
            <w:tcW w:w="912" w:type="dxa"/>
            <w:gridSpan w:val="2"/>
            <w:noWrap/>
            <w:hideMark/>
          </w:tcPr>
          <w:p w14:paraId="2749E4E5"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0,0</w:t>
            </w:r>
          </w:p>
        </w:tc>
        <w:tc>
          <w:tcPr>
            <w:tcW w:w="912" w:type="dxa"/>
            <w:noWrap/>
            <w:hideMark/>
          </w:tcPr>
          <w:p w14:paraId="58DEFD61"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0,0</w:t>
            </w:r>
          </w:p>
        </w:tc>
      </w:tr>
      <w:tr w:rsidR="005A48F1" w:rsidRPr="00BD4849" w14:paraId="7C04995B" w14:textId="77777777" w:rsidTr="009F1410">
        <w:trPr>
          <w:trHeight w:val="300"/>
        </w:trPr>
        <w:tc>
          <w:tcPr>
            <w:cnfStyle w:val="001000000000" w:firstRow="0" w:lastRow="0" w:firstColumn="1" w:lastColumn="0" w:oddVBand="0" w:evenVBand="0" w:oddHBand="0" w:evenHBand="0" w:firstRowFirstColumn="0" w:firstRowLastColumn="0" w:lastRowFirstColumn="0" w:lastRowLastColumn="0"/>
            <w:tcW w:w="2972" w:type="dxa"/>
            <w:hideMark/>
          </w:tcPr>
          <w:p w14:paraId="341E9890" w14:textId="77777777" w:rsidR="005A48F1" w:rsidRPr="00BD4849" w:rsidRDefault="005A48F1" w:rsidP="009F1410">
            <w:pPr>
              <w:rPr>
                <w:rFonts w:ascii="Arial" w:eastAsia="Times New Roman" w:hAnsi="Arial" w:cs="Arial"/>
                <w:b w:val="0"/>
                <w:bCs w:val="0"/>
                <w:sz w:val="20"/>
                <w:szCs w:val="20"/>
                <w:lang w:eastAsia="sl-SI"/>
              </w:rPr>
            </w:pPr>
          </w:p>
        </w:tc>
        <w:tc>
          <w:tcPr>
            <w:tcW w:w="6384" w:type="dxa"/>
            <w:gridSpan w:val="13"/>
            <w:noWrap/>
            <w:hideMark/>
          </w:tcPr>
          <w:p w14:paraId="14CF9260"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Odhodki financirani s posojili RRF (v % BDP)</w:t>
            </w:r>
          </w:p>
          <w:p w14:paraId="7A2F19FB"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p>
        </w:tc>
      </w:tr>
      <w:tr w:rsidR="005A48F1" w:rsidRPr="00BD4849" w14:paraId="207D02F4"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72" w:type="dxa"/>
            <w:hideMark/>
          </w:tcPr>
          <w:p w14:paraId="577C3CE8"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3.</w:t>
            </w:r>
            <w:r w:rsidRPr="00BD4849">
              <w:rPr>
                <w:b w:val="0"/>
                <w:bCs w:val="0"/>
              </w:rPr>
              <w:t xml:space="preserve"> </w:t>
            </w:r>
            <w:r w:rsidRPr="00BD4849">
              <w:rPr>
                <w:rFonts w:ascii="Arial" w:eastAsia="Times New Roman" w:hAnsi="Arial" w:cs="Arial"/>
                <w:b w:val="0"/>
                <w:bCs w:val="0"/>
                <w:sz w:val="20"/>
                <w:szCs w:val="20"/>
                <w:lang w:eastAsia="sl-SI"/>
              </w:rPr>
              <w:t>SKUPAJ TEKOČI ODHODKI</w:t>
            </w:r>
          </w:p>
        </w:tc>
        <w:tc>
          <w:tcPr>
            <w:tcW w:w="912" w:type="dxa"/>
            <w:gridSpan w:val="2"/>
            <w:noWrap/>
            <w:hideMark/>
          </w:tcPr>
          <w:p w14:paraId="54396C11"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p>
        </w:tc>
        <w:tc>
          <w:tcPr>
            <w:tcW w:w="912" w:type="dxa"/>
            <w:gridSpan w:val="2"/>
            <w:noWrap/>
            <w:hideMark/>
          </w:tcPr>
          <w:p w14:paraId="39F3B592"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0,0</w:t>
            </w:r>
          </w:p>
        </w:tc>
        <w:tc>
          <w:tcPr>
            <w:tcW w:w="912" w:type="dxa"/>
            <w:gridSpan w:val="2"/>
            <w:noWrap/>
            <w:hideMark/>
          </w:tcPr>
          <w:p w14:paraId="5589835F"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0,0</w:t>
            </w:r>
          </w:p>
        </w:tc>
        <w:tc>
          <w:tcPr>
            <w:tcW w:w="912" w:type="dxa"/>
            <w:gridSpan w:val="2"/>
            <w:noWrap/>
            <w:hideMark/>
          </w:tcPr>
          <w:p w14:paraId="1781AB7B"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0,0</w:t>
            </w:r>
          </w:p>
        </w:tc>
        <w:tc>
          <w:tcPr>
            <w:tcW w:w="912" w:type="dxa"/>
            <w:gridSpan w:val="2"/>
            <w:noWrap/>
            <w:hideMark/>
          </w:tcPr>
          <w:p w14:paraId="649C4A99"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0,0</w:t>
            </w:r>
          </w:p>
        </w:tc>
        <w:tc>
          <w:tcPr>
            <w:tcW w:w="912" w:type="dxa"/>
            <w:gridSpan w:val="2"/>
            <w:noWrap/>
            <w:hideMark/>
          </w:tcPr>
          <w:p w14:paraId="5AE6C345"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0,0</w:t>
            </w:r>
          </w:p>
        </w:tc>
        <w:tc>
          <w:tcPr>
            <w:tcW w:w="912" w:type="dxa"/>
            <w:noWrap/>
            <w:hideMark/>
          </w:tcPr>
          <w:p w14:paraId="61DE1949"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0,7</w:t>
            </w:r>
          </w:p>
        </w:tc>
      </w:tr>
      <w:tr w:rsidR="005A48F1" w:rsidRPr="00BD4849" w14:paraId="527E6A6B" w14:textId="77777777" w:rsidTr="009F1410">
        <w:trPr>
          <w:trHeight w:val="300"/>
        </w:trPr>
        <w:tc>
          <w:tcPr>
            <w:cnfStyle w:val="001000000000" w:firstRow="0" w:lastRow="0" w:firstColumn="1" w:lastColumn="0" w:oddVBand="0" w:evenVBand="0" w:oddHBand="0" w:evenHBand="0" w:firstRowFirstColumn="0" w:firstRowLastColumn="0" w:lastRowFirstColumn="0" w:lastRowLastColumn="0"/>
            <w:tcW w:w="2972" w:type="dxa"/>
            <w:hideMark/>
          </w:tcPr>
          <w:p w14:paraId="76E700A9"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Od tega:</w:t>
            </w:r>
          </w:p>
        </w:tc>
        <w:tc>
          <w:tcPr>
            <w:tcW w:w="912" w:type="dxa"/>
            <w:gridSpan w:val="2"/>
            <w:noWrap/>
            <w:hideMark/>
          </w:tcPr>
          <w:p w14:paraId="1711522D"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912" w:type="dxa"/>
            <w:gridSpan w:val="2"/>
            <w:noWrap/>
            <w:hideMark/>
          </w:tcPr>
          <w:p w14:paraId="0E8A48B7"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912" w:type="dxa"/>
            <w:gridSpan w:val="2"/>
            <w:noWrap/>
            <w:hideMark/>
          </w:tcPr>
          <w:p w14:paraId="6A144914"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912" w:type="dxa"/>
            <w:gridSpan w:val="2"/>
            <w:noWrap/>
            <w:hideMark/>
          </w:tcPr>
          <w:p w14:paraId="274471BD"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912" w:type="dxa"/>
            <w:gridSpan w:val="2"/>
            <w:noWrap/>
            <w:hideMark/>
          </w:tcPr>
          <w:p w14:paraId="07CC219A"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912" w:type="dxa"/>
            <w:gridSpan w:val="2"/>
            <w:noWrap/>
            <w:hideMark/>
          </w:tcPr>
          <w:p w14:paraId="3D31BE6D"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912" w:type="dxa"/>
            <w:noWrap/>
            <w:hideMark/>
          </w:tcPr>
          <w:p w14:paraId="38633F41"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r>
      <w:tr w:rsidR="005A48F1" w:rsidRPr="00BD4849" w14:paraId="13A09765"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72" w:type="dxa"/>
            <w:hideMark/>
          </w:tcPr>
          <w:p w14:paraId="56C5617D"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 Sredstva za zaposlene D.1</w:t>
            </w:r>
          </w:p>
        </w:tc>
        <w:tc>
          <w:tcPr>
            <w:tcW w:w="912" w:type="dxa"/>
            <w:gridSpan w:val="2"/>
            <w:noWrap/>
            <w:hideMark/>
          </w:tcPr>
          <w:p w14:paraId="6D39D159"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p>
        </w:tc>
        <w:tc>
          <w:tcPr>
            <w:tcW w:w="912" w:type="dxa"/>
            <w:gridSpan w:val="2"/>
            <w:noWrap/>
            <w:hideMark/>
          </w:tcPr>
          <w:p w14:paraId="5E213479"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0,0</w:t>
            </w:r>
          </w:p>
        </w:tc>
        <w:tc>
          <w:tcPr>
            <w:tcW w:w="912" w:type="dxa"/>
            <w:gridSpan w:val="2"/>
            <w:noWrap/>
            <w:hideMark/>
          </w:tcPr>
          <w:p w14:paraId="3AE6EA96"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0,0</w:t>
            </w:r>
          </w:p>
        </w:tc>
        <w:tc>
          <w:tcPr>
            <w:tcW w:w="912" w:type="dxa"/>
            <w:gridSpan w:val="2"/>
            <w:noWrap/>
            <w:hideMark/>
          </w:tcPr>
          <w:p w14:paraId="47C25428"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0,0</w:t>
            </w:r>
          </w:p>
        </w:tc>
        <w:tc>
          <w:tcPr>
            <w:tcW w:w="912" w:type="dxa"/>
            <w:gridSpan w:val="2"/>
            <w:noWrap/>
            <w:hideMark/>
          </w:tcPr>
          <w:p w14:paraId="0523704E"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0,0</w:t>
            </w:r>
          </w:p>
        </w:tc>
        <w:tc>
          <w:tcPr>
            <w:tcW w:w="912" w:type="dxa"/>
            <w:gridSpan w:val="2"/>
            <w:noWrap/>
            <w:hideMark/>
          </w:tcPr>
          <w:p w14:paraId="3B9817C9"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0,0</w:t>
            </w:r>
          </w:p>
        </w:tc>
        <w:tc>
          <w:tcPr>
            <w:tcW w:w="912" w:type="dxa"/>
            <w:noWrap/>
            <w:hideMark/>
          </w:tcPr>
          <w:p w14:paraId="54D53D61"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0,0</w:t>
            </w:r>
          </w:p>
        </w:tc>
      </w:tr>
      <w:tr w:rsidR="005A48F1" w:rsidRPr="00BD4849" w14:paraId="2EFEB8C0" w14:textId="77777777" w:rsidTr="009F1410">
        <w:trPr>
          <w:trHeight w:val="300"/>
        </w:trPr>
        <w:tc>
          <w:tcPr>
            <w:cnfStyle w:val="001000000000" w:firstRow="0" w:lastRow="0" w:firstColumn="1" w:lastColumn="0" w:oddVBand="0" w:evenVBand="0" w:oddHBand="0" w:evenHBand="0" w:firstRowFirstColumn="0" w:firstRowLastColumn="0" w:lastRowFirstColumn="0" w:lastRowLastColumn="0"/>
            <w:tcW w:w="2972" w:type="dxa"/>
            <w:hideMark/>
          </w:tcPr>
          <w:p w14:paraId="12DCB96A"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 Vmesna potrošnja P.2</w:t>
            </w:r>
          </w:p>
        </w:tc>
        <w:tc>
          <w:tcPr>
            <w:tcW w:w="912" w:type="dxa"/>
            <w:gridSpan w:val="2"/>
            <w:noWrap/>
            <w:hideMark/>
          </w:tcPr>
          <w:p w14:paraId="38C1C211"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p>
        </w:tc>
        <w:tc>
          <w:tcPr>
            <w:tcW w:w="912" w:type="dxa"/>
            <w:gridSpan w:val="2"/>
            <w:noWrap/>
            <w:hideMark/>
          </w:tcPr>
          <w:p w14:paraId="7C3EE69B"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0,0</w:t>
            </w:r>
          </w:p>
        </w:tc>
        <w:tc>
          <w:tcPr>
            <w:tcW w:w="912" w:type="dxa"/>
            <w:gridSpan w:val="2"/>
            <w:noWrap/>
            <w:hideMark/>
          </w:tcPr>
          <w:p w14:paraId="1421BFBF"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0,0</w:t>
            </w:r>
          </w:p>
        </w:tc>
        <w:tc>
          <w:tcPr>
            <w:tcW w:w="912" w:type="dxa"/>
            <w:gridSpan w:val="2"/>
            <w:noWrap/>
            <w:hideMark/>
          </w:tcPr>
          <w:p w14:paraId="6DC5CA8A"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0,0</w:t>
            </w:r>
          </w:p>
        </w:tc>
        <w:tc>
          <w:tcPr>
            <w:tcW w:w="912" w:type="dxa"/>
            <w:gridSpan w:val="2"/>
            <w:noWrap/>
            <w:hideMark/>
          </w:tcPr>
          <w:p w14:paraId="57F80D43"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0,0</w:t>
            </w:r>
          </w:p>
        </w:tc>
        <w:tc>
          <w:tcPr>
            <w:tcW w:w="912" w:type="dxa"/>
            <w:gridSpan w:val="2"/>
            <w:noWrap/>
            <w:hideMark/>
          </w:tcPr>
          <w:p w14:paraId="6221AA5D"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0,0</w:t>
            </w:r>
          </w:p>
        </w:tc>
        <w:tc>
          <w:tcPr>
            <w:tcW w:w="912" w:type="dxa"/>
            <w:noWrap/>
            <w:hideMark/>
          </w:tcPr>
          <w:p w14:paraId="4091A89F"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0,7</w:t>
            </w:r>
          </w:p>
        </w:tc>
      </w:tr>
      <w:tr w:rsidR="005A48F1" w:rsidRPr="00BD4849" w14:paraId="07DF0D33"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72" w:type="dxa"/>
            <w:hideMark/>
          </w:tcPr>
          <w:p w14:paraId="7D02612F"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 Socialna plačila D.62+D.632</w:t>
            </w:r>
          </w:p>
        </w:tc>
        <w:tc>
          <w:tcPr>
            <w:tcW w:w="912" w:type="dxa"/>
            <w:gridSpan w:val="2"/>
            <w:noWrap/>
            <w:hideMark/>
          </w:tcPr>
          <w:p w14:paraId="5F573432"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p>
        </w:tc>
        <w:tc>
          <w:tcPr>
            <w:tcW w:w="912" w:type="dxa"/>
            <w:gridSpan w:val="2"/>
            <w:noWrap/>
            <w:hideMark/>
          </w:tcPr>
          <w:p w14:paraId="2F7A4033"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p>
        </w:tc>
        <w:tc>
          <w:tcPr>
            <w:tcW w:w="912" w:type="dxa"/>
            <w:gridSpan w:val="2"/>
            <w:noWrap/>
            <w:hideMark/>
          </w:tcPr>
          <w:p w14:paraId="7FFDBCCA"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p>
        </w:tc>
        <w:tc>
          <w:tcPr>
            <w:tcW w:w="912" w:type="dxa"/>
            <w:gridSpan w:val="2"/>
            <w:noWrap/>
            <w:hideMark/>
          </w:tcPr>
          <w:p w14:paraId="44409089"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p>
        </w:tc>
        <w:tc>
          <w:tcPr>
            <w:tcW w:w="912" w:type="dxa"/>
            <w:gridSpan w:val="2"/>
            <w:noWrap/>
            <w:hideMark/>
          </w:tcPr>
          <w:p w14:paraId="7BF5BB0C"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p>
        </w:tc>
        <w:tc>
          <w:tcPr>
            <w:tcW w:w="912" w:type="dxa"/>
            <w:gridSpan w:val="2"/>
            <w:noWrap/>
            <w:hideMark/>
          </w:tcPr>
          <w:p w14:paraId="1D15AF0D"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p>
        </w:tc>
        <w:tc>
          <w:tcPr>
            <w:tcW w:w="912" w:type="dxa"/>
            <w:noWrap/>
            <w:hideMark/>
          </w:tcPr>
          <w:p w14:paraId="63E94A94"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p>
        </w:tc>
      </w:tr>
      <w:tr w:rsidR="005A48F1" w:rsidRPr="00BD4849" w14:paraId="2A67D32E" w14:textId="77777777" w:rsidTr="009F1410">
        <w:trPr>
          <w:trHeight w:val="300"/>
        </w:trPr>
        <w:tc>
          <w:tcPr>
            <w:cnfStyle w:val="001000000000" w:firstRow="0" w:lastRow="0" w:firstColumn="1" w:lastColumn="0" w:oddVBand="0" w:evenVBand="0" w:oddHBand="0" w:evenHBand="0" w:firstRowFirstColumn="0" w:firstRowLastColumn="0" w:lastRowFirstColumn="0" w:lastRowLastColumn="0"/>
            <w:tcW w:w="2972" w:type="dxa"/>
            <w:hideMark/>
          </w:tcPr>
          <w:p w14:paraId="130A138E"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 Odhodki za obresti D.41</w:t>
            </w:r>
          </w:p>
        </w:tc>
        <w:tc>
          <w:tcPr>
            <w:tcW w:w="912" w:type="dxa"/>
            <w:gridSpan w:val="2"/>
            <w:noWrap/>
            <w:hideMark/>
          </w:tcPr>
          <w:p w14:paraId="049CE0A4"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p>
        </w:tc>
        <w:tc>
          <w:tcPr>
            <w:tcW w:w="912" w:type="dxa"/>
            <w:gridSpan w:val="2"/>
            <w:noWrap/>
            <w:hideMark/>
          </w:tcPr>
          <w:p w14:paraId="1162B3F2"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p>
        </w:tc>
        <w:tc>
          <w:tcPr>
            <w:tcW w:w="912" w:type="dxa"/>
            <w:gridSpan w:val="2"/>
            <w:noWrap/>
            <w:hideMark/>
          </w:tcPr>
          <w:p w14:paraId="129DFF84"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p>
        </w:tc>
        <w:tc>
          <w:tcPr>
            <w:tcW w:w="912" w:type="dxa"/>
            <w:gridSpan w:val="2"/>
            <w:noWrap/>
            <w:hideMark/>
          </w:tcPr>
          <w:p w14:paraId="5260320F"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p>
        </w:tc>
        <w:tc>
          <w:tcPr>
            <w:tcW w:w="912" w:type="dxa"/>
            <w:gridSpan w:val="2"/>
            <w:noWrap/>
            <w:hideMark/>
          </w:tcPr>
          <w:p w14:paraId="4F6D51C0"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p>
        </w:tc>
        <w:tc>
          <w:tcPr>
            <w:tcW w:w="912" w:type="dxa"/>
            <w:gridSpan w:val="2"/>
            <w:noWrap/>
            <w:hideMark/>
          </w:tcPr>
          <w:p w14:paraId="2FE60699"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p>
        </w:tc>
        <w:tc>
          <w:tcPr>
            <w:tcW w:w="912" w:type="dxa"/>
            <w:noWrap/>
            <w:hideMark/>
          </w:tcPr>
          <w:p w14:paraId="2697D8E0"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p>
        </w:tc>
      </w:tr>
      <w:tr w:rsidR="005A48F1" w:rsidRPr="00BD4849" w14:paraId="0BF76FB0"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72" w:type="dxa"/>
            <w:hideMark/>
          </w:tcPr>
          <w:p w14:paraId="6C1D6253"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 Subvencije, plačljive D.3</w:t>
            </w:r>
          </w:p>
        </w:tc>
        <w:tc>
          <w:tcPr>
            <w:tcW w:w="912" w:type="dxa"/>
            <w:gridSpan w:val="2"/>
            <w:noWrap/>
            <w:hideMark/>
          </w:tcPr>
          <w:p w14:paraId="3E520975"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p>
        </w:tc>
        <w:tc>
          <w:tcPr>
            <w:tcW w:w="912" w:type="dxa"/>
            <w:gridSpan w:val="2"/>
            <w:noWrap/>
            <w:hideMark/>
          </w:tcPr>
          <w:p w14:paraId="6C41985B"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p>
        </w:tc>
        <w:tc>
          <w:tcPr>
            <w:tcW w:w="912" w:type="dxa"/>
            <w:gridSpan w:val="2"/>
            <w:noWrap/>
            <w:hideMark/>
          </w:tcPr>
          <w:p w14:paraId="2B7EC682"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p>
        </w:tc>
        <w:tc>
          <w:tcPr>
            <w:tcW w:w="912" w:type="dxa"/>
            <w:gridSpan w:val="2"/>
            <w:noWrap/>
            <w:hideMark/>
          </w:tcPr>
          <w:p w14:paraId="39922EFC"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p>
        </w:tc>
        <w:tc>
          <w:tcPr>
            <w:tcW w:w="912" w:type="dxa"/>
            <w:gridSpan w:val="2"/>
            <w:noWrap/>
            <w:hideMark/>
          </w:tcPr>
          <w:p w14:paraId="38215782"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p>
        </w:tc>
        <w:tc>
          <w:tcPr>
            <w:tcW w:w="912" w:type="dxa"/>
            <w:gridSpan w:val="2"/>
            <w:noWrap/>
            <w:hideMark/>
          </w:tcPr>
          <w:p w14:paraId="7226E785"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p>
        </w:tc>
        <w:tc>
          <w:tcPr>
            <w:tcW w:w="912" w:type="dxa"/>
            <w:noWrap/>
            <w:hideMark/>
          </w:tcPr>
          <w:p w14:paraId="598CDC97"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p>
        </w:tc>
      </w:tr>
      <w:tr w:rsidR="005A48F1" w:rsidRPr="00BD4849" w14:paraId="4B1302A4" w14:textId="77777777" w:rsidTr="009F1410">
        <w:trPr>
          <w:trHeight w:val="300"/>
        </w:trPr>
        <w:tc>
          <w:tcPr>
            <w:cnfStyle w:val="001000000000" w:firstRow="0" w:lastRow="0" w:firstColumn="1" w:lastColumn="0" w:oddVBand="0" w:evenVBand="0" w:oddHBand="0" w:evenHBand="0" w:firstRowFirstColumn="0" w:firstRowLastColumn="0" w:lastRowFirstColumn="0" w:lastRowLastColumn="0"/>
            <w:tcW w:w="2972" w:type="dxa"/>
            <w:hideMark/>
          </w:tcPr>
          <w:p w14:paraId="2E847CD1"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 Tekoči transferji D.7</w:t>
            </w:r>
          </w:p>
        </w:tc>
        <w:tc>
          <w:tcPr>
            <w:tcW w:w="912" w:type="dxa"/>
            <w:gridSpan w:val="2"/>
            <w:noWrap/>
            <w:hideMark/>
          </w:tcPr>
          <w:p w14:paraId="2BB53B83"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p>
        </w:tc>
        <w:tc>
          <w:tcPr>
            <w:tcW w:w="912" w:type="dxa"/>
            <w:gridSpan w:val="2"/>
            <w:noWrap/>
            <w:hideMark/>
          </w:tcPr>
          <w:p w14:paraId="62B8E568"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0,0</w:t>
            </w:r>
          </w:p>
        </w:tc>
        <w:tc>
          <w:tcPr>
            <w:tcW w:w="912" w:type="dxa"/>
            <w:gridSpan w:val="2"/>
            <w:noWrap/>
            <w:hideMark/>
          </w:tcPr>
          <w:p w14:paraId="6A45B84C"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0,0</w:t>
            </w:r>
          </w:p>
        </w:tc>
        <w:tc>
          <w:tcPr>
            <w:tcW w:w="912" w:type="dxa"/>
            <w:gridSpan w:val="2"/>
            <w:noWrap/>
            <w:hideMark/>
          </w:tcPr>
          <w:p w14:paraId="0FBC1C92"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0,0</w:t>
            </w:r>
          </w:p>
        </w:tc>
        <w:tc>
          <w:tcPr>
            <w:tcW w:w="912" w:type="dxa"/>
            <w:gridSpan w:val="2"/>
            <w:noWrap/>
            <w:hideMark/>
          </w:tcPr>
          <w:p w14:paraId="3EA0C22A"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0,0</w:t>
            </w:r>
          </w:p>
        </w:tc>
        <w:tc>
          <w:tcPr>
            <w:tcW w:w="912" w:type="dxa"/>
            <w:gridSpan w:val="2"/>
            <w:noWrap/>
            <w:hideMark/>
          </w:tcPr>
          <w:p w14:paraId="384596C8"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0,0</w:t>
            </w:r>
          </w:p>
        </w:tc>
        <w:tc>
          <w:tcPr>
            <w:tcW w:w="912" w:type="dxa"/>
            <w:noWrap/>
            <w:hideMark/>
          </w:tcPr>
          <w:p w14:paraId="60B6421B"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0,0</w:t>
            </w:r>
          </w:p>
        </w:tc>
      </w:tr>
      <w:tr w:rsidR="005A48F1" w:rsidRPr="00BD4849" w14:paraId="00FD67F4"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72" w:type="dxa"/>
            <w:hideMark/>
          </w:tcPr>
          <w:p w14:paraId="33591895"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4. SKUPAJ KAPITALSKI ODHODKI</w:t>
            </w:r>
          </w:p>
        </w:tc>
        <w:tc>
          <w:tcPr>
            <w:tcW w:w="912" w:type="dxa"/>
            <w:gridSpan w:val="2"/>
            <w:noWrap/>
            <w:hideMark/>
          </w:tcPr>
          <w:p w14:paraId="7C10DF25"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p>
        </w:tc>
        <w:tc>
          <w:tcPr>
            <w:tcW w:w="912" w:type="dxa"/>
            <w:gridSpan w:val="2"/>
            <w:noWrap/>
            <w:hideMark/>
          </w:tcPr>
          <w:p w14:paraId="2E4D9889"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0,0</w:t>
            </w:r>
          </w:p>
        </w:tc>
        <w:tc>
          <w:tcPr>
            <w:tcW w:w="912" w:type="dxa"/>
            <w:gridSpan w:val="2"/>
            <w:noWrap/>
            <w:hideMark/>
          </w:tcPr>
          <w:p w14:paraId="71E1909D"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0,0</w:t>
            </w:r>
          </w:p>
        </w:tc>
        <w:tc>
          <w:tcPr>
            <w:tcW w:w="912" w:type="dxa"/>
            <w:gridSpan w:val="2"/>
            <w:noWrap/>
            <w:hideMark/>
          </w:tcPr>
          <w:p w14:paraId="7575D6DC"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0,1</w:t>
            </w:r>
          </w:p>
        </w:tc>
        <w:tc>
          <w:tcPr>
            <w:tcW w:w="912" w:type="dxa"/>
            <w:gridSpan w:val="2"/>
            <w:noWrap/>
            <w:hideMark/>
          </w:tcPr>
          <w:p w14:paraId="44C0B1A1"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0,2</w:t>
            </w:r>
          </w:p>
        </w:tc>
        <w:tc>
          <w:tcPr>
            <w:tcW w:w="912" w:type="dxa"/>
            <w:gridSpan w:val="2"/>
            <w:noWrap/>
            <w:hideMark/>
          </w:tcPr>
          <w:p w14:paraId="2F6B4322"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0,4</w:t>
            </w:r>
          </w:p>
        </w:tc>
        <w:tc>
          <w:tcPr>
            <w:tcW w:w="912" w:type="dxa"/>
            <w:noWrap/>
            <w:hideMark/>
          </w:tcPr>
          <w:p w14:paraId="40FB3A6E"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0,1</w:t>
            </w:r>
          </w:p>
        </w:tc>
      </w:tr>
      <w:tr w:rsidR="005A48F1" w:rsidRPr="00BD4849" w14:paraId="488A8508" w14:textId="77777777" w:rsidTr="009F1410">
        <w:trPr>
          <w:trHeight w:val="300"/>
        </w:trPr>
        <w:tc>
          <w:tcPr>
            <w:cnfStyle w:val="001000000000" w:firstRow="0" w:lastRow="0" w:firstColumn="1" w:lastColumn="0" w:oddVBand="0" w:evenVBand="0" w:oddHBand="0" w:evenHBand="0" w:firstRowFirstColumn="0" w:firstRowLastColumn="0" w:lastRowFirstColumn="0" w:lastRowLastColumn="0"/>
            <w:tcW w:w="2972" w:type="dxa"/>
            <w:hideMark/>
          </w:tcPr>
          <w:p w14:paraId="1489B4E4"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Od tega:</w:t>
            </w:r>
          </w:p>
        </w:tc>
        <w:tc>
          <w:tcPr>
            <w:tcW w:w="912" w:type="dxa"/>
            <w:gridSpan w:val="2"/>
            <w:noWrap/>
            <w:hideMark/>
          </w:tcPr>
          <w:p w14:paraId="01ED399E"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912" w:type="dxa"/>
            <w:gridSpan w:val="2"/>
            <w:noWrap/>
            <w:hideMark/>
          </w:tcPr>
          <w:p w14:paraId="04C81684"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912" w:type="dxa"/>
            <w:gridSpan w:val="2"/>
            <w:noWrap/>
            <w:hideMark/>
          </w:tcPr>
          <w:p w14:paraId="0B1472F4"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912" w:type="dxa"/>
            <w:gridSpan w:val="2"/>
            <w:noWrap/>
            <w:hideMark/>
          </w:tcPr>
          <w:p w14:paraId="2A8AB4D1"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912" w:type="dxa"/>
            <w:gridSpan w:val="2"/>
            <w:noWrap/>
            <w:hideMark/>
          </w:tcPr>
          <w:p w14:paraId="26476F04"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912" w:type="dxa"/>
            <w:gridSpan w:val="2"/>
            <w:noWrap/>
            <w:hideMark/>
          </w:tcPr>
          <w:p w14:paraId="1D7AA06B"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c>
          <w:tcPr>
            <w:tcW w:w="912" w:type="dxa"/>
            <w:noWrap/>
            <w:hideMark/>
          </w:tcPr>
          <w:p w14:paraId="0468EE4C"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 </w:t>
            </w:r>
          </w:p>
        </w:tc>
      </w:tr>
      <w:tr w:rsidR="005A48F1" w:rsidRPr="00BD4849" w14:paraId="0323C46D"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72" w:type="dxa"/>
            <w:hideMark/>
          </w:tcPr>
          <w:p w14:paraId="051E5492"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 Bruto investicije v osnovna sredstva P.51g</w:t>
            </w:r>
          </w:p>
        </w:tc>
        <w:tc>
          <w:tcPr>
            <w:tcW w:w="912" w:type="dxa"/>
            <w:gridSpan w:val="2"/>
            <w:noWrap/>
            <w:hideMark/>
          </w:tcPr>
          <w:p w14:paraId="779F19EF"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p>
        </w:tc>
        <w:tc>
          <w:tcPr>
            <w:tcW w:w="912" w:type="dxa"/>
            <w:gridSpan w:val="2"/>
            <w:noWrap/>
            <w:hideMark/>
          </w:tcPr>
          <w:p w14:paraId="2DB2EF2B"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0,0</w:t>
            </w:r>
          </w:p>
        </w:tc>
        <w:tc>
          <w:tcPr>
            <w:tcW w:w="912" w:type="dxa"/>
            <w:gridSpan w:val="2"/>
            <w:noWrap/>
            <w:hideMark/>
          </w:tcPr>
          <w:p w14:paraId="448E1C83"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0,0</w:t>
            </w:r>
          </w:p>
        </w:tc>
        <w:tc>
          <w:tcPr>
            <w:tcW w:w="912" w:type="dxa"/>
            <w:gridSpan w:val="2"/>
            <w:noWrap/>
            <w:hideMark/>
          </w:tcPr>
          <w:p w14:paraId="1AE8A9E7"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0,1</w:t>
            </w:r>
          </w:p>
        </w:tc>
        <w:tc>
          <w:tcPr>
            <w:tcW w:w="912" w:type="dxa"/>
            <w:gridSpan w:val="2"/>
            <w:noWrap/>
            <w:hideMark/>
          </w:tcPr>
          <w:p w14:paraId="6ACAD45D"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0,2</w:t>
            </w:r>
          </w:p>
        </w:tc>
        <w:tc>
          <w:tcPr>
            <w:tcW w:w="912" w:type="dxa"/>
            <w:gridSpan w:val="2"/>
            <w:noWrap/>
            <w:hideMark/>
          </w:tcPr>
          <w:p w14:paraId="0241DEA3"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0,3</w:t>
            </w:r>
          </w:p>
        </w:tc>
        <w:tc>
          <w:tcPr>
            <w:tcW w:w="912" w:type="dxa"/>
            <w:noWrap/>
            <w:hideMark/>
          </w:tcPr>
          <w:p w14:paraId="3406C797"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0,1</w:t>
            </w:r>
          </w:p>
        </w:tc>
      </w:tr>
      <w:tr w:rsidR="005A48F1" w:rsidRPr="00BD4849" w14:paraId="265BCFA5" w14:textId="77777777" w:rsidTr="009F1410">
        <w:trPr>
          <w:trHeight w:val="300"/>
        </w:trPr>
        <w:tc>
          <w:tcPr>
            <w:cnfStyle w:val="001000000000" w:firstRow="0" w:lastRow="0" w:firstColumn="1" w:lastColumn="0" w:oddVBand="0" w:evenVBand="0" w:oddHBand="0" w:evenHBand="0" w:firstRowFirstColumn="0" w:firstRowLastColumn="0" w:lastRowFirstColumn="0" w:lastRowLastColumn="0"/>
            <w:tcW w:w="2972" w:type="dxa"/>
            <w:hideMark/>
          </w:tcPr>
          <w:p w14:paraId="0E33488A"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 Kapitalski transferji D.9</w:t>
            </w:r>
          </w:p>
        </w:tc>
        <w:tc>
          <w:tcPr>
            <w:tcW w:w="912" w:type="dxa"/>
            <w:gridSpan w:val="2"/>
            <w:noWrap/>
            <w:hideMark/>
          </w:tcPr>
          <w:p w14:paraId="60729FCA"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p>
        </w:tc>
        <w:tc>
          <w:tcPr>
            <w:tcW w:w="912" w:type="dxa"/>
            <w:gridSpan w:val="2"/>
            <w:noWrap/>
            <w:hideMark/>
          </w:tcPr>
          <w:p w14:paraId="2868E811"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0,0</w:t>
            </w:r>
          </w:p>
        </w:tc>
        <w:tc>
          <w:tcPr>
            <w:tcW w:w="912" w:type="dxa"/>
            <w:gridSpan w:val="2"/>
            <w:noWrap/>
            <w:hideMark/>
          </w:tcPr>
          <w:p w14:paraId="5B9BAC4A"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0,0</w:t>
            </w:r>
          </w:p>
        </w:tc>
        <w:tc>
          <w:tcPr>
            <w:tcW w:w="912" w:type="dxa"/>
            <w:gridSpan w:val="2"/>
            <w:noWrap/>
            <w:hideMark/>
          </w:tcPr>
          <w:p w14:paraId="7E2D8419"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0,0</w:t>
            </w:r>
          </w:p>
        </w:tc>
        <w:tc>
          <w:tcPr>
            <w:tcW w:w="912" w:type="dxa"/>
            <w:gridSpan w:val="2"/>
            <w:noWrap/>
            <w:hideMark/>
          </w:tcPr>
          <w:p w14:paraId="33319E88"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0,0</w:t>
            </w:r>
          </w:p>
        </w:tc>
        <w:tc>
          <w:tcPr>
            <w:tcW w:w="912" w:type="dxa"/>
            <w:gridSpan w:val="2"/>
            <w:noWrap/>
            <w:hideMark/>
          </w:tcPr>
          <w:p w14:paraId="119B8D2B"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0,1</w:t>
            </w:r>
          </w:p>
        </w:tc>
        <w:tc>
          <w:tcPr>
            <w:tcW w:w="912" w:type="dxa"/>
            <w:noWrap/>
            <w:hideMark/>
          </w:tcPr>
          <w:p w14:paraId="17836238"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0,0</w:t>
            </w:r>
          </w:p>
        </w:tc>
      </w:tr>
      <w:tr w:rsidR="005A48F1" w:rsidRPr="00BD4849" w14:paraId="419E7567"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72" w:type="dxa"/>
            <w:hideMark/>
          </w:tcPr>
          <w:p w14:paraId="2B39A37E" w14:textId="77777777" w:rsidR="005A48F1" w:rsidRPr="00BD4849" w:rsidRDefault="005A48F1" w:rsidP="009F1410">
            <w:pPr>
              <w:rPr>
                <w:rFonts w:ascii="Arial" w:eastAsia="Times New Roman" w:hAnsi="Arial" w:cs="Arial"/>
                <w:b w:val="0"/>
                <w:bCs w:val="0"/>
                <w:sz w:val="20"/>
                <w:szCs w:val="20"/>
                <w:lang w:eastAsia="sl-SI"/>
              </w:rPr>
            </w:pPr>
          </w:p>
        </w:tc>
        <w:tc>
          <w:tcPr>
            <w:tcW w:w="6384" w:type="dxa"/>
            <w:gridSpan w:val="13"/>
            <w:noWrap/>
            <w:hideMark/>
          </w:tcPr>
          <w:p w14:paraId="5D41D53D"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r w:rsidRPr="00BD4849">
              <w:rPr>
                <w:rFonts w:ascii="Arial" w:eastAsia="Times New Roman" w:hAnsi="Arial" w:cs="Arial"/>
                <w:sz w:val="20"/>
                <w:szCs w:val="20"/>
                <w:lang w:eastAsia="sl-SI"/>
              </w:rPr>
              <w:t>Drugi stroški, financirani s posojili RRF (v % BDP)</w:t>
            </w:r>
          </w:p>
        </w:tc>
      </w:tr>
      <w:tr w:rsidR="005A48F1" w:rsidRPr="00BD4849" w14:paraId="4699A419" w14:textId="77777777" w:rsidTr="009F1410">
        <w:trPr>
          <w:trHeight w:val="300"/>
        </w:trPr>
        <w:tc>
          <w:tcPr>
            <w:cnfStyle w:val="001000000000" w:firstRow="0" w:lastRow="0" w:firstColumn="1" w:lastColumn="0" w:oddVBand="0" w:evenVBand="0" w:oddHBand="0" w:evenHBand="0" w:firstRowFirstColumn="0" w:firstRowLastColumn="0" w:lastRowFirstColumn="0" w:lastRowLastColumn="0"/>
            <w:tcW w:w="2972" w:type="dxa"/>
            <w:hideMark/>
          </w:tcPr>
          <w:p w14:paraId="770ACE00"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5. Zmanjšanje davčnih prihodkov</w:t>
            </w:r>
          </w:p>
        </w:tc>
        <w:tc>
          <w:tcPr>
            <w:tcW w:w="702" w:type="dxa"/>
            <w:noWrap/>
            <w:hideMark/>
          </w:tcPr>
          <w:p w14:paraId="748DD12E"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p>
        </w:tc>
        <w:tc>
          <w:tcPr>
            <w:tcW w:w="947" w:type="dxa"/>
            <w:gridSpan w:val="2"/>
            <w:noWrap/>
            <w:hideMark/>
          </w:tcPr>
          <w:p w14:paraId="7F9EC339"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p>
        </w:tc>
        <w:tc>
          <w:tcPr>
            <w:tcW w:w="947" w:type="dxa"/>
            <w:gridSpan w:val="2"/>
            <w:noWrap/>
            <w:hideMark/>
          </w:tcPr>
          <w:p w14:paraId="08B4691B"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p>
        </w:tc>
        <w:tc>
          <w:tcPr>
            <w:tcW w:w="947" w:type="dxa"/>
            <w:gridSpan w:val="2"/>
            <w:noWrap/>
            <w:hideMark/>
          </w:tcPr>
          <w:p w14:paraId="0C30ECFB"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p>
        </w:tc>
        <w:tc>
          <w:tcPr>
            <w:tcW w:w="947" w:type="dxa"/>
            <w:gridSpan w:val="2"/>
            <w:noWrap/>
            <w:hideMark/>
          </w:tcPr>
          <w:p w14:paraId="4C000730"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p>
        </w:tc>
        <w:tc>
          <w:tcPr>
            <w:tcW w:w="947" w:type="dxa"/>
            <w:gridSpan w:val="2"/>
            <w:noWrap/>
            <w:hideMark/>
          </w:tcPr>
          <w:p w14:paraId="3820AA82"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p>
        </w:tc>
        <w:tc>
          <w:tcPr>
            <w:tcW w:w="947" w:type="dxa"/>
            <w:gridSpan w:val="2"/>
            <w:noWrap/>
            <w:hideMark/>
          </w:tcPr>
          <w:p w14:paraId="583A108C"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p>
        </w:tc>
      </w:tr>
      <w:tr w:rsidR="005A48F1" w:rsidRPr="00BD4849" w14:paraId="3700A447" w14:textId="77777777" w:rsidTr="009F1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72" w:type="dxa"/>
            <w:hideMark/>
          </w:tcPr>
          <w:p w14:paraId="0F3939BD"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6. Drugi stroški, ki vplivajo na prihodke</w:t>
            </w:r>
          </w:p>
        </w:tc>
        <w:tc>
          <w:tcPr>
            <w:tcW w:w="702" w:type="dxa"/>
            <w:noWrap/>
            <w:hideMark/>
          </w:tcPr>
          <w:p w14:paraId="2168B54B"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p>
        </w:tc>
        <w:tc>
          <w:tcPr>
            <w:tcW w:w="947" w:type="dxa"/>
            <w:gridSpan w:val="2"/>
            <w:noWrap/>
            <w:hideMark/>
          </w:tcPr>
          <w:p w14:paraId="48FFC979"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p>
        </w:tc>
        <w:tc>
          <w:tcPr>
            <w:tcW w:w="947" w:type="dxa"/>
            <w:gridSpan w:val="2"/>
            <w:noWrap/>
            <w:hideMark/>
          </w:tcPr>
          <w:p w14:paraId="17E10EE3"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p>
        </w:tc>
        <w:tc>
          <w:tcPr>
            <w:tcW w:w="947" w:type="dxa"/>
            <w:gridSpan w:val="2"/>
            <w:noWrap/>
            <w:hideMark/>
          </w:tcPr>
          <w:p w14:paraId="3004CB78"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p>
        </w:tc>
        <w:tc>
          <w:tcPr>
            <w:tcW w:w="947" w:type="dxa"/>
            <w:gridSpan w:val="2"/>
            <w:noWrap/>
            <w:hideMark/>
          </w:tcPr>
          <w:p w14:paraId="42FE8C7E"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p>
        </w:tc>
        <w:tc>
          <w:tcPr>
            <w:tcW w:w="947" w:type="dxa"/>
            <w:gridSpan w:val="2"/>
            <w:noWrap/>
            <w:hideMark/>
          </w:tcPr>
          <w:p w14:paraId="3A6085B5"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p>
        </w:tc>
        <w:tc>
          <w:tcPr>
            <w:tcW w:w="947" w:type="dxa"/>
            <w:gridSpan w:val="2"/>
            <w:noWrap/>
            <w:hideMark/>
          </w:tcPr>
          <w:p w14:paraId="23F6329E" w14:textId="77777777" w:rsidR="005A48F1" w:rsidRPr="00BD4849" w:rsidRDefault="005A48F1" w:rsidP="009F141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sl-SI"/>
              </w:rPr>
            </w:pPr>
          </w:p>
        </w:tc>
      </w:tr>
      <w:tr w:rsidR="005A48F1" w:rsidRPr="00BD4849" w14:paraId="1FED2C20" w14:textId="77777777" w:rsidTr="009F1410">
        <w:trPr>
          <w:trHeight w:val="300"/>
        </w:trPr>
        <w:tc>
          <w:tcPr>
            <w:cnfStyle w:val="001000000000" w:firstRow="0" w:lastRow="0" w:firstColumn="1" w:lastColumn="0" w:oddVBand="0" w:evenVBand="0" w:oddHBand="0" w:evenHBand="0" w:firstRowFirstColumn="0" w:firstRowLastColumn="0" w:lastRowFirstColumn="0" w:lastRowLastColumn="0"/>
            <w:tcW w:w="2972" w:type="dxa"/>
            <w:hideMark/>
          </w:tcPr>
          <w:p w14:paraId="2EAAF935" w14:textId="77777777" w:rsidR="005A48F1" w:rsidRPr="00BD4849" w:rsidRDefault="005A48F1" w:rsidP="009F1410">
            <w:pPr>
              <w:rPr>
                <w:rFonts w:ascii="Arial" w:eastAsia="Times New Roman" w:hAnsi="Arial" w:cs="Arial"/>
                <w:b w:val="0"/>
                <w:bCs w:val="0"/>
                <w:sz w:val="20"/>
                <w:szCs w:val="20"/>
                <w:lang w:eastAsia="sl-SI"/>
              </w:rPr>
            </w:pPr>
            <w:r w:rsidRPr="00BD4849">
              <w:rPr>
                <w:rFonts w:ascii="Arial" w:eastAsia="Times New Roman" w:hAnsi="Arial" w:cs="Arial"/>
                <w:b w:val="0"/>
                <w:bCs w:val="0"/>
                <w:sz w:val="20"/>
                <w:szCs w:val="20"/>
                <w:lang w:eastAsia="sl-SI"/>
              </w:rPr>
              <w:t>7. Finančne transakcije</w:t>
            </w:r>
          </w:p>
        </w:tc>
        <w:tc>
          <w:tcPr>
            <w:tcW w:w="702" w:type="dxa"/>
            <w:noWrap/>
            <w:hideMark/>
          </w:tcPr>
          <w:p w14:paraId="70272FAE"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p>
        </w:tc>
        <w:tc>
          <w:tcPr>
            <w:tcW w:w="947" w:type="dxa"/>
            <w:gridSpan w:val="2"/>
            <w:noWrap/>
            <w:hideMark/>
          </w:tcPr>
          <w:p w14:paraId="2A5D26B7"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p>
        </w:tc>
        <w:tc>
          <w:tcPr>
            <w:tcW w:w="947" w:type="dxa"/>
            <w:gridSpan w:val="2"/>
            <w:noWrap/>
            <w:hideMark/>
          </w:tcPr>
          <w:p w14:paraId="52A301BD"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p>
        </w:tc>
        <w:tc>
          <w:tcPr>
            <w:tcW w:w="947" w:type="dxa"/>
            <w:gridSpan w:val="2"/>
            <w:noWrap/>
            <w:hideMark/>
          </w:tcPr>
          <w:p w14:paraId="52867F88"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p>
        </w:tc>
        <w:tc>
          <w:tcPr>
            <w:tcW w:w="947" w:type="dxa"/>
            <w:gridSpan w:val="2"/>
            <w:noWrap/>
            <w:hideMark/>
          </w:tcPr>
          <w:p w14:paraId="0CD77660"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p>
        </w:tc>
        <w:tc>
          <w:tcPr>
            <w:tcW w:w="947" w:type="dxa"/>
            <w:gridSpan w:val="2"/>
            <w:noWrap/>
            <w:hideMark/>
          </w:tcPr>
          <w:p w14:paraId="40E4FEEA"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p>
        </w:tc>
        <w:tc>
          <w:tcPr>
            <w:tcW w:w="947" w:type="dxa"/>
            <w:gridSpan w:val="2"/>
            <w:noWrap/>
            <w:hideMark/>
          </w:tcPr>
          <w:p w14:paraId="2C144022" w14:textId="77777777" w:rsidR="005A48F1" w:rsidRPr="00BD4849" w:rsidRDefault="005A48F1" w:rsidP="009F141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sl-SI"/>
              </w:rPr>
            </w:pPr>
          </w:p>
        </w:tc>
      </w:tr>
    </w:tbl>
    <w:p w14:paraId="68C27DF2" w14:textId="77777777" w:rsidR="005A48F1" w:rsidRPr="009924DC" w:rsidRDefault="005A48F1" w:rsidP="009924DC">
      <w:pPr>
        <w:pStyle w:val="Caption"/>
        <w:ind w:left="0" w:firstLine="0"/>
        <w:rPr>
          <w:rFonts w:ascii="Arial" w:hAnsi="Arial" w:cs="Arial"/>
          <w:b w:val="0"/>
          <w:bCs/>
          <w:i w:val="0"/>
          <w:iCs/>
        </w:rPr>
      </w:pPr>
      <w:r w:rsidRPr="009924DC">
        <w:rPr>
          <w:rFonts w:ascii="Arial" w:hAnsi="Arial" w:cs="Arial"/>
          <w:b w:val="0"/>
          <w:bCs/>
          <w:i w:val="0"/>
          <w:iCs/>
        </w:rPr>
        <w:t>Vir: Ministrstvo za finance.</w:t>
      </w:r>
    </w:p>
    <w:p w14:paraId="637624A3" w14:textId="77777777" w:rsidR="005A48F1" w:rsidRDefault="005A48F1" w:rsidP="005A48F1">
      <w:pPr>
        <w:spacing w:line="240" w:lineRule="auto"/>
        <w:jc w:val="both"/>
        <w:rPr>
          <w:b/>
          <w:bCs/>
        </w:rPr>
      </w:pPr>
    </w:p>
    <w:bookmarkEnd w:id="3"/>
    <w:bookmarkEnd w:id="26"/>
    <w:p w14:paraId="09DB575B" w14:textId="77777777" w:rsidR="00D51EFB" w:rsidRPr="00F97F17" w:rsidRDefault="00D51EFB" w:rsidP="005C6F54">
      <w:pPr>
        <w:rPr>
          <w:rFonts w:ascii="Arial" w:hAnsi="Arial" w:cs="Arial"/>
        </w:rPr>
      </w:pPr>
    </w:p>
    <w:sectPr w:rsidR="00D51EFB" w:rsidRPr="00F97F17" w:rsidSect="00435D6A">
      <w:footerReference w:type="default" r:id="rId37"/>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86CA738" w14:textId="77777777" w:rsidR="003C2F18" w:rsidRDefault="003C2F18" w:rsidP="00607AC3">
      <w:pPr>
        <w:spacing w:after="0" w:line="240" w:lineRule="auto"/>
      </w:pPr>
      <w:r>
        <w:separator/>
      </w:r>
    </w:p>
  </w:endnote>
  <w:endnote w:type="continuationSeparator" w:id="0">
    <w:p w14:paraId="1215F5BD" w14:textId="77777777" w:rsidR="003C2F18" w:rsidRDefault="003C2F18" w:rsidP="00607AC3">
      <w:pPr>
        <w:spacing w:after="0" w:line="240" w:lineRule="auto"/>
      </w:pPr>
      <w:r>
        <w:continuationSeparator/>
      </w:r>
    </w:p>
  </w:endnote>
  <w:endnote w:type="continuationNotice" w:id="1">
    <w:p w14:paraId="44F89002" w14:textId="77777777" w:rsidR="003C2F18" w:rsidRDefault="003C2F1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EE"/>
    <w:family w:val="swiss"/>
    <w:pitch w:val="variable"/>
    <w:sig w:usb0="E0002EFF" w:usb1="C000785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Narrow">
    <w:panose1 w:val="020B0606020202030204"/>
    <w:charset w:val="EE"/>
    <w:family w:val="swiss"/>
    <w:pitch w:val="variable"/>
    <w:sig w:usb0="00000287" w:usb1="00000800" w:usb2="00000000" w:usb3="00000000" w:csb0="0000009F"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Tahoma">
    <w:panose1 w:val="020B0604030504040204"/>
    <w:charset w:val="EE"/>
    <w:family w:val="swiss"/>
    <w:pitch w:val="variable"/>
    <w:sig w:usb0="E1002EFF" w:usb1="C000605B" w:usb2="00000029" w:usb3="00000000" w:csb0="000101FF" w:csb1="00000000"/>
  </w:font>
  <w:font w:name="Book Antiqua">
    <w:panose1 w:val="02040602050305030304"/>
    <w:charset w:val="EE"/>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80616259"/>
      <w:docPartObj>
        <w:docPartGallery w:val="Page Numbers (Bottom of Page)"/>
        <w:docPartUnique/>
      </w:docPartObj>
    </w:sdtPr>
    <w:sdtEndPr>
      <w:rPr>
        <w:rFonts w:ascii="Arial" w:hAnsi="Arial" w:cs="Arial"/>
        <w:noProof/>
        <w:sz w:val="20"/>
        <w:szCs w:val="20"/>
      </w:rPr>
    </w:sdtEndPr>
    <w:sdtContent>
      <w:p w14:paraId="17707E85" w14:textId="02305AD4" w:rsidR="009F1410" w:rsidRPr="00607AC3" w:rsidRDefault="009F1410">
        <w:pPr>
          <w:pStyle w:val="Footer"/>
          <w:jc w:val="center"/>
          <w:rPr>
            <w:rFonts w:ascii="Arial" w:hAnsi="Arial" w:cs="Arial"/>
            <w:sz w:val="20"/>
            <w:szCs w:val="20"/>
          </w:rPr>
        </w:pPr>
        <w:r w:rsidRPr="00607AC3">
          <w:rPr>
            <w:rFonts w:ascii="Arial" w:hAnsi="Arial" w:cs="Arial"/>
            <w:sz w:val="20"/>
            <w:szCs w:val="20"/>
          </w:rPr>
          <w:fldChar w:fldCharType="begin"/>
        </w:r>
        <w:r w:rsidRPr="00607AC3">
          <w:rPr>
            <w:rFonts w:ascii="Arial" w:hAnsi="Arial" w:cs="Arial"/>
            <w:sz w:val="20"/>
            <w:szCs w:val="20"/>
          </w:rPr>
          <w:instrText xml:space="preserve"> PAGE   \* MERGEFORMAT </w:instrText>
        </w:r>
        <w:r w:rsidRPr="00607AC3">
          <w:rPr>
            <w:rFonts w:ascii="Arial" w:hAnsi="Arial" w:cs="Arial"/>
            <w:sz w:val="20"/>
            <w:szCs w:val="20"/>
          </w:rPr>
          <w:fldChar w:fldCharType="separate"/>
        </w:r>
        <w:r>
          <w:rPr>
            <w:rFonts w:ascii="Arial" w:hAnsi="Arial" w:cs="Arial"/>
            <w:noProof/>
            <w:sz w:val="20"/>
            <w:szCs w:val="20"/>
          </w:rPr>
          <w:t>19</w:t>
        </w:r>
        <w:r w:rsidRPr="00607AC3">
          <w:rPr>
            <w:rFonts w:ascii="Arial" w:hAnsi="Arial" w:cs="Arial"/>
            <w:noProof/>
            <w:sz w:val="20"/>
            <w:szCs w:val="20"/>
          </w:rPr>
          <w:fldChar w:fldCharType="end"/>
        </w:r>
      </w:p>
    </w:sdtContent>
  </w:sdt>
  <w:p w14:paraId="51B283BD" w14:textId="77777777" w:rsidR="009F1410" w:rsidRDefault="009F141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BFDCFE5" w14:textId="77777777" w:rsidR="003C2F18" w:rsidRDefault="003C2F18" w:rsidP="00607AC3">
      <w:pPr>
        <w:spacing w:after="0" w:line="240" w:lineRule="auto"/>
      </w:pPr>
      <w:r>
        <w:separator/>
      </w:r>
    </w:p>
  </w:footnote>
  <w:footnote w:type="continuationSeparator" w:id="0">
    <w:p w14:paraId="1B002FF6" w14:textId="77777777" w:rsidR="003C2F18" w:rsidRDefault="003C2F18" w:rsidP="00607AC3">
      <w:pPr>
        <w:spacing w:after="0" w:line="240" w:lineRule="auto"/>
      </w:pPr>
      <w:r>
        <w:continuationSeparator/>
      </w:r>
    </w:p>
  </w:footnote>
  <w:footnote w:type="continuationNotice" w:id="1">
    <w:p w14:paraId="3F101684" w14:textId="77777777" w:rsidR="003C2F18" w:rsidRDefault="003C2F18">
      <w:pPr>
        <w:spacing w:after="0" w:line="240" w:lineRule="auto"/>
      </w:pPr>
    </w:p>
  </w:footnote>
  <w:footnote w:id="2">
    <w:p w14:paraId="0ABC61F1" w14:textId="76037B73" w:rsidR="009F1410" w:rsidRDefault="009F1410">
      <w:pPr>
        <w:pStyle w:val="FootnoteText"/>
      </w:pPr>
      <w:r>
        <w:rPr>
          <w:rStyle w:val="FootnoteReference"/>
        </w:rPr>
        <w:footnoteRef/>
      </w:r>
      <w:r>
        <w:t xml:space="preserve"> Delovno ime.</w:t>
      </w:r>
    </w:p>
  </w:footnote>
  <w:footnote w:id="3">
    <w:p w14:paraId="16AE0EC8" w14:textId="77777777" w:rsidR="009F1410" w:rsidRPr="00BE30D7" w:rsidRDefault="009F1410" w:rsidP="00DA12BA">
      <w:pPr>
        <w:pStyle w:val="datumtevilka"/>
        <w:rPr>
          <w:lang w:val="sl-SI"/>
        </w:rPr>
      </w:pPr>
      <w:r w:rsidRPr="00DD77B2">
        <w:rPr>
          <w:rStyle w:val="FootnoteReference"/>
          <w:rFonts w:ascii="Arial" w:hAnsi="Arial" w:cs="Arial"/>
          <w:sz w:val="20"/>
          <w:szCs w:val="20"/>
          <w:lang w:val="sl-SI"/>
        </w:rPr>
        <w:footnoteRef/>
      </w:r>
      <w:r w:rsidRPr="00DD77B2">
        <w:rPr>
          <w:rFonts w:ascii="Arial" w:hAnsi="Arial" w:cs="Arial"/>
          <w:sz w:val="20"/>
          <w:szCs w:val="20"/>
          <w:lang w:val="sl-SI"/>
        </w:rPr>
        <w:t xml:space="preserve"> Sklep vlade št. </w:t>
      </w:r>
      <w:r w:rsidRPr="00DD77B2">
        <w:rPr>
          <w:rFonts w:ascii="Arial" w:hAnsi="Arial" w:cs="Arial"/>
          <w:color w:val="000000"/>
          <w:sz w:val="20"/>
          <w:szCs w:val="20"/>
          <w:lang w:val="sl-SI"/>
        </w:rPr>
        <w:t>00704-345/2023/2 z dne 28. 9. 2023.</w:t>
      </w:r>
    </w:p>
  </w:footnote>
  <w:footnote w:id="4">
    <w:p w14:paraId="689C0654" w14:textId="77777777" w:rsidR="009F1410" w:rsidRPr="00D51456" w:rsidRDefault="009F1410" w:rsidP="007C174D">
      <w:pPr>
        <w:pStyle w:val="FootnoteText"/>
      </w:pPr>
      <w:r w:rsidRPr="00D51456">
        <w:footnoteRef/>
      </w:r>
      <w:r w:rsidRPr="00D51456">
        <w:t xml:space="preserve"> Banka Slovenije (2023). Poročilo o finančni stabilnosti, maj 2023. Dostopno na: </w:t>
      </w:r>
      <w:hyperlink r:id="rId1" w:history="1">
        <w:r w:rsidRPr="00D51456">
          <w:t>https://www.bsi.si/publikacije/porocilo-o-financni-stabilnosti</w:t>
        </w:r>
      </w:hyperlink>
      <w:r>
        <w:t>.</w:t>
      </w:r>
    </w:p>
  </w:footnote>
  <w:footnote w:id="5">
    <w:p w14:paraId="1AE35B47" w14:textId="010B668F" w:rsidR="009F1410" w:rsidRPr="00C52B8B" w:rsidRDefault="009F1410">
      <w:pPr>
        <w:pStyle w:val="FootnoteText"/>
        <w:rPr>
          <w:rFonts w:cs="Arial"/>
        </w:rPr>
      </w:pPr>
      <w:r w:rsidRPr="00C52B8B">
        <w:rPr>
          <w:rStyle w:val="FootnoteReference"/>
          <w:rFonts w:cs="Arial"/>
        </w:rPr>
        <w:footnoteRef/>
      </w:r>
      <w:r w:rsidRPr="00C52B8B">
        <w:rPr>
          <w:rFonts w:cs="Arial"/>
        </w:rPr>
        <w:t xml:space="preserve"> </w:t>
      </w:r>
      <w:r w:rsidRPr="00C52B8B">
        <w:rPr>
          <w:rFonts w:cs="Arial"/>
          <w:sz w:val="18"/>
          <w:szCs w:val="18"/>
        </w:rPr>
        <w:t>Ekvivalentni dohodek na člana gospodinjstva realno gledano je deflacioniran s povprečno letno stopnjo CPI</w:t>
      </w:r>
      <w:r w:rsidRPr="00C52B8B">
        <w:rPr>
          <w:rFonts w:cs="Arial"/>
          <w:sz w:val="22"/>
          <w:szCs w:val="22"/>
        </w:rPr>
        <w:t>.</w:t>
      </w:r>
    </w:p>
  </w:footnote>
  <w:footnote w:id="6">
    <w:p w14:paraId="2CA650BB" w14:textId="1627699D" w:rsidR="009F1410" w:rsidRPr="00C52B8B" w:rsidRDefault="009F1410" w:rsidP="00C52B8B">
      <w:pPr>
        <w:spacing w:after="0"/>
        <w:rPr>
          <w:rFonts w:ascii="Arial" w:hAnsi="Arial" w:cs="Arial"/>
          <w:sz w:val="18"/>
          <w:szCs w:val="18"/>
        </w:rPr>
      </w:pPr>
      <w:r w:rsidRPr="00C52B8B">
        <w:rPr>
          <w:rStyle w:val="FootnoteReference"/>
          <w:rFonts w:ascii="Arial" w:hAnsi="Arial" w:cs="Arial"/>
        </w:rPr>
        <w:footnoteRef/>
      </w:r>
      <w:r w:rsidRPr="00C52B8B">
        <w:rPr>
          <w:rFonts w:ascii="Arial" w:hAnsi="Arial" w:cs="Arial"/>
        </w:rPr>
        <w:t xml:space="preserve"> </w:t>
      </w:r>
      <w:r w:rsidRPr="00C52B8B">
        <w:rPr>
          <w:rFonts w:ascii="Arial" w:hAnsi="Arial" w:cs="Arial"/>
          <w:sz w:val="18"/>
          <w:szCs w:val="18"/>
        </w:rPr>
        <w:t>Povprečna letna stopnja bruto varčevanja gospodinjstev predstavlja povprečje kvartalne stopnje, izračunane kot razmerje med bruto varčevanjem gospodinjstev in NPISG ter bruto razpoložljivim dohodkom popravljenim za spremembo pokojninskih pravic ter bruto varčevanjem gospodinjstev in NPISG.</w:t>
      </w:r>
      <w:r w:rsidRPr="00C52B8B">
        <w:rPr>
          <w:rFonts w:ascii="Arial" w:hAnsi="Arial" w:cs="Arial"/>
        </w:rPr>
        <w:t xml:space="preserve"> </w:t>
      </w:r>
    </w:p>
    <w:p w14:paraId="0373E237" w14:textId="77777777" w:rsidR="009F1410" w:rsidRPr="00C52B8B" w:rsidRDefault="009F1410" w:rsidP="00C52B8B">
      <w:pPr>
        <w:pStyle w:val="FootnoteText"/>
      </w:pPr>
    </w:p>
  </w:footnote>
  <w:footnote w:id="7">
    <w:p w14:paraId="511D8F24" w14:textId="77777777" w:rsidR="009F1410" w:rsidRPr="00771B84" w:rsidRDefault="009F1410" w:rsidP="007B0DFA">
      <w:pPr>
        <w:pStyle w:val="FootnoteText"/>
        <w:rPr>
          <w:rFonts w:cs="Arial"/>
        </w:rPr>
      </w:pPr>
      <w:r w:rsidRPr="00771B84">
        <w:rPr>
          <w:rStyle w:val="FootnoteReference"/>
          <w:rFonts w:cs="Arial"/>
        </w:rPr>
        <w:footnoteRef/>
      </w:r>
      <w:r>
        <w:rPr>
          <w:rFonts w:cs="Arial"/>
        </w:rPr>
        <w:t xml:space="preserve"> ECB (2023). </w:t>
      </w:r>
      <w:r w:rsidRPr="00771B84">
        <w:rPr>
          <w:rFonts w:cs="Arial"/>
        </w:rPr>
        <w:t>How tit-for-tat inflation can make everyone poorer</w:t>
      </w:r>
      <w:r>
        <w:rPr>
          <w:rFonts w:cs="Arial"/>
        </w:rPr>
        <w:t xml:space="preserve">. Dostopno na: </w:t>
      </w:r>
      <w:r w:rsidRPr="00771B84">
        <w:rPr>
          <w:rFonts w:cs="Arial"/>
        </w:rPr>
        <w:t>https://www.ecb.europa.eu/press/blog/date/2023/html/ecb.blog.230330~00e522ecb5.en.html?utm_source=newsletter&amp;utm_medium=email&amp;utm_campaign=newsletter&amp;utm_content=image</w:t>
      </w:r>
      <w:r>
        <w:rPr>
          <w:rFonts w:cs="Arial"/>
        </w:rPr>
        <w:t>.</w:t>
      </w:r>
    </w:p>
  </w:footnote>
  <w:footnote w:id="8">
    <w:p w14:paraId="76093FC7" w14:textId="7B3F078A" w:rsidR="009F1410" w:rsidRPr="00771B84" w:rsidRDefault="009F1410" w:rsidP="007B0DFA">
      <w:pPr>
        <w:pStyle w:val="FootnoteText"/>
        <w:rPr>
          <w:rFonts w:cs="Arial"/>
        </w:rPr>
      </w:pPr>
      <w:r w:rsidRPr="00771B84">
        <w:rPr>
          <w:rStyle w:val="FootnoteReference"/>
          <w:rFonts w:cs="Arial"/>
        </w:rPr>
        <w:footnoteRef/>
      </w:r>
      <w:r w:rsidRPr="00771B84">
        <w:rPr>
          <w:rFonts w:cs="Arial"/>
        </w:rPr>
        <w:t xml:space="preserve"> Prispevek </w:t>
      </w:r>
      <w:r>
        <w:rPr>
          <w:rFonts w:cs="Arial"/>
        </w:rPr>
        <w:t xml:space="preserve">sredstev za zaposlene in poslovnega presežka </w:t>
      </w:r>
      <w:r w:rsidRPr="00771B84">
        <w:rPr>
          <w:rFonts w:cs="Arial"/>
        </w:rPr>
        <w:t xml:space="preserve">k domačim cenovnim pritiskom lahko ocenimo na podlagi </w:t>
      </w:r>
      <w:r>
        <w:rPr>
          <w:rFonts w:cs="Arial"/>
        </w:rPr>
        <w:t>BDP deflatorja</w:t>
      </w:r>
      <w:r w:rsidRPr="00771B84">
        <w:rPr>
          <w:rFonts w:cs="Arial"/>
        </w:rPr>
        <w:t xml:space="preserve">, ki ga je mogoče razčleniti na </w:t>
      </w:r>
      <w:r>
        <w:rPr>
          <w:rFonts w:cs="Arial"/>
        </w:rPr>
        <w:t>poslovni presežek</w:t>
      </w:r>
      <w:r w:rsidRPr="00771B84">
        <w:rPr>
          <w:rFonts w:cs="Arial"/>
        </w:rPr>
        <w:t xml:space="preserve"> na enoto proizvoda (bruto poslovni presežek in raznovrstni dohodek na enoto realnega BDP), stroške dela na enoto proizvoda (sredstva za zaposlene na enoto realnega BDP) in davke na enoto proizvoda (ki odražajo davke na proizvodnjo brez subvencij na enoto realnega BDP).</w:t>
      </w:r>
    </w:p>
  </w:footnote>
  <w:footnote w:id="9">
    <w:p w14:paraId="3C2A2B7A" w14:textId="77777777" w:rsidR="009F1410" w:rsidRPr="00771B84" w:rsidRDefault="009F1410" w:rsidP="00440178">
      <w:pPr>
        <w:pStyle w:val="FootnoteText"/>
      </w:pPr>
      <w:r w:rsidRPr="00771B84">
        <w:rPr>
          <w:rStyle w:val="FootnoteReference"/>
          <w:rFonts w:cs="Arial"/>
        </w:rPr>
        <w:footnoteRef/>
      </w:r>
      <w:r w:rsidRPr="00771B84">
        <w:rPr>
          <w:rFonts w:cs="Arial"/>
        </w:rPr>
        <w:t xml:space="preserve"> Domača potrošnja predstavlja vsoto zasebne in državne potrošnje ter bruto investicij v osnovna sredstva.</w:t>
      </w:r>
    </w:p>
  </w:footnote>
  <w:footnote w:id="10">
    <w:p w14:paraId="021F838F" w14:textId="77777777" w:rsidR="009F1410" w:rsidRPr="00264B5A" w:rsidRDefault="009F1410" w:rsidP="007C174D">
      <w:pPr>
        <w:pStyle w:val="FootnoteText"/>
      </w:pPr>
      <w:r w:rsidRPr="00264B5A">
        <w:rPr>
          <w:rStyle w:val="FootnoteReference"/>
        </w:rPr>
        <w:footnoteRef/>
      </w:r>
      <w:r w:rsidRPr="00264B5A">
        <w:t xml:space="preserve"> </w:t>
      </w:r>
      <w:r w:rsidRPr="00264B5A">
        <w:rPr>
          <w:rFonts w:cs="Arial"/>
        </w:rPr>
        <w:t xml:space="preserve">Orphanides, A.  &amp; Van Norden, S. (2002). The Unreliability of Output-Gap Estimates in Real Time. </w:t>
      </w:r>
      <w:r w:rsidRPr="00264B5A">
        <w:rPr>
          <w:rFonts w:cs="Arial"/>
          <w:i/>
        </w:rPr>
        <w:t>The Review of Economics and Statistics, 84(4)</w:t>
      </w:r>
      <w:r w:rsidRPr="00264B5A">
        <w:rPr>
          <w:rFonts w:cs="Arial"/>
        </w:rPr>
        <w:t>, 569-583</w:t>
      </w:r>
    </w:p>
  </w:footnote>
  <w:footnote w:id="11">
    <w:p w14:paraId="0E06A6E5" w14:textId="77777777" w:rsidR="009F1410" w:rsidRPr="003409CA" w:rsidRDefault="009F1410" w:rsidP="00DD2AFA">
      <w:pPr>
        <w:pStyle w:val="FootnoteText"/>
        <w:jc w:val="left"/>
      </w:pPr>
      <w:r>
        <w:rPr>
          <w:rStyle w:val="FootnoteReference"/>
        </w:rPr>
        <w:footnoteRef/>
      </w:r>
      <w:r>
        <w:t xml:space="preserve"> </w:t>
      </w:r>
      <w:r w:rsidRPr="003409CA">
        <w:t>Evropska komisija (2019). Vade Mecum on Stability and Growth Pact: 2019 Edition. Institutional Paper 101. April. European Commission. Razpoložljivo na: https://ec.europa.eu/info/sites/default/files/economy-finance/ip101_en.pdf</w:t>
      </w:r>
    </w:p>
  </w:footnote>
  <w:footnote w:id="12">
    <w:p w14:paraId="303D5D89" w14:textId="77777777" w:rsidR="009F1410" w:rsidRDefault="009F1410" w:rsidP="007C174D">
      <w:pPr>
        <w:pStyle w:val="FootnoteText"/>
      </w:pPr>
      <w:r w:rsidRPr="00DF1A28">
        <w:rPr>
          <w:rStyle w:val="FootnoteReference"/>
        </w:rPr>
        <w:footnoteRef/>
      </w:r>
      <w:r w:rsidRPr="00DF1A28">
        <w:t xml:space="preserve"> Ocene Ministrstva za finance, UMAR in Evropske komisije so pripravljene na podlagi iste metodologije (EUCAM), ocene IMF in OECD pa na podlagi drugačne.</w:t>
      </w:r>
    </w:p>
  </w:footnote>
  <w:footnote w:id="13">
    <w:p w14:paraId="3D3A200B" w14:textId="77777777" w:rsidR="009F1410" w:rsidRDefault="009F1410" w:rsidP="007C174D">
      <w:pPr>
        <w:pStyle w:val="FootnoteText"/>
      </w:pPr>
      <w:r>
        <w:rPr>
          <w:rStyle w:val="FootnoteReference"/>
        </w:rPr>
        <w:footnoteRef/>
      </w:r>
      <w:r>
        <w:t xml:space="preserve"> </w:t>
      </w:r>
      <w:r w:rsidRPr="004A5129">
        <w:t>Blondeau, F., Planas, C, &amp; Rossi A. (2021). Output Gap Estimation Using the European Union’s Commonly Agreed Methodology Vade Mecum &amp; Manual for the EUCAM Software. European Economy - Discussion Papers 2015 - 148, Directorate General Economic and Financial Affairs (DG ECFIN), European Commission. https://ec.europa.eu/info/sites/default/files/economy-finance/dp148_en.pdf.</w:t>
      </w:r>
    </w:p>
  </w:footnote>
  <w:footnote w:id="14">
    <w:p w14:paraId="79EC2693" w14:textId="77777777" w:rsidR="009F1410" w:rsidRPr="00387388" w:rsidRDefault="009F1410" w:rsidP="007C174D">
      <w:pPr>
        <w:pStyle w:val="FootnoteText"/>
        <w:rPr>
          <w:lang w:val="en-GB"/>
        </w:rPr>
      </w:pPr>
      <w:r w:rsidRPr="00387388">
        <w:rPr>
          <w:rStyle w:val="FootnoteReference"/>
          <w:lang w:val="en-GB"/>
        </w:rPr>
        <w:footnoteRef/>
      </w:r>
      <w:r w:rsidRPr="00387388">
        <w:rPr>
          <w:lang w:val="en-GB"/>
        </w:rPr>
        <w:t xml:space="preserve"> Hristov, A., Raciborski, R. &amp; Vandermeulen, v. (2017). Assessment of the Plausibility of the Output Gap Estimates. European Economy. Economic Briefs 023, Directorate General Economic and Financial Affairs (DG ECFIN), European Commission.  Available at: https://ec.europa.eu/info/sites/default/files/eb023_en.pdf.</w:t>
      </w:r>
    </w:p>
  </w:footnote>
  <w:footnote w:id="15">
    <w:p w14:paraId="03274D53" w14:textId="77777777" w:rsidR="009F1410" w:rsidRPr="006D424D" w:rsidRDefault="009F1410" w:rsidP="00F4228C">
      <w:pPr>
        <w:pStyle w:val="FootnoteText"/>
        <w:rPr>
          <w:rFonts w:cs="Arial"/>
          <w:sz w:val="16"/>
          <w:szCs w:val="22"/>
        </w:rPr>
      </w:pPr>
      <w:r w:rsidRPr="006D424D">
        <w:rPr>
          <w:rStyle w:val="FootnoteReference"/>
          <w:rFonts w:cs="Arial"/>
          <w:sz w:val="16"/>
          <w:szCs w:val="22"/>
        </w:rPr>
        <w:footnoteRef/>
      </w:r>
      <w:r w:rsidRPr="006D424D">
        <w:rPr>
          <w:rFonts w:cs="Arial"/>
          <w:sz w:val="16"/>
          <w:szCs w:val="22"/>
        </w:rPr>
        <w:t xml:space="preserve"> </w:t>
      </w:r>
      <w:hyperlink r:id="rId2" w:history="1">
        <w:r w:rsidRPr="006D424D">
          <w:rPr>
            <w:rStyle w:val="Hyperlink"/>
            <w:rFonts w:cs="Arial"/>
            <w:sz w:val="16"/>
            <w:szCs w:val="22"/>
          </w:rPr>
          <w:t>COM_2023_141_1_EN_ACT_part1_v4.pdf (europa.eu)</w:t>
        </w:r>
      </w:hyperlink>
    </w:p>
  </w:footnote>
  <w:footnote w:id="16">
    <w:p w14:paraId="15CE1AFC" w14:textId="77777777" w:rsidR="009F1410" w:rsidRDefault="009F1410" w:rsidP="00F4228C">
      <w:pPr>
        <w:pStyle w:val="FootnoteText"/>
      </w:pPr>
      <w:r w:rsidRPr="00BC7F83">
        <w:rPr>
          <w:rStyle w:val="FootnoteReference"/>
          <w:sz w:val="16"/>
          <w:szCs w:val="16"/>
        </w:rPr>
        <w:footnoteRef/>
      </w:r>
      <w:r w:rsidRPr="00BC7F83">
        <w:rPr>
          <w:sz w:val="16"/>
          <w:szCs w:val="16"/>
        </w:rPr>
        <w:t xml:space="preserve"> </w:t>
      </w:r>
      <w:hyperlink r:id="rId3" w:history="1">
        <w:r w:rsidRPr="00BC7F83">
          <w:rPr>
            <w:rStyle w:val="Hyperlink"/>
            <w:sz w:val="16"/>
            <w:szCs w:val="16"/>
          </w:rPr>
          <w:t>https://data.consilium.europa.eu/doc/document/ST-11156-2023-INIT/en/pdf</w:t>
        </w:r>
      </w:hyperlink>
    </w:p>
  </w:footnote>
  <w:footnote w:id="17">
    <w:p w14:paraId="6E38EF6F" w14:textId="71DC7FE2" w:rsidR="009F1410" w:rsidRDefault="009F1410">
      <w:pPr>
        <w:pStyle w:val="FootnoteText"/>
      </w:pPr>
      <w:r>
        <w:rPr>
          <w:rStyle w:val="FootnoteReference"/>
        </w:rPr>
        <w:footnoteRef/>
      </w:r>
      <w:r>
        <w:t xml:space="preserve"> V izračun je vključen vpliv odpravljenih energetskih ukrepov iz 2024 na strani prihodkov in pozitiven vpliv solidarnostnega prispevka zaradi česar pričakujemo več prihodkov.</w:t>
      </w:r>
    </w:p>
  </w:footnote>
  <w:footnote w:id="18">
    <w:p w14:paraId="3B994B6E" w14:textId="05EBD261" w:rsidR="009F1410" w:rsidRDefault="009F1410">
      <w:pPr>
        <w:pStyle w:val="FootnoteText"/>
      </w:pPr>
      <w:r>
        <w:rPr>
          <w:rStyle w:val="FootnoteReference"/>
        </w:rPr>
        <w:footnoteRef/>
      </w:r>
      <w:r>
        <w:t xml:space="preserve"> </w:t>
      </w:r>
      <w:r>
        <w:rPr>
          <w:rFonts w:cs="Arial"/>
          <w:color w:val="000000"/>
          <w:shd w:val="clear" w:color="auto" w:fill="FFFFFF"/>
          <w:lang w:eastAsia="sl-SI"/>
        </w:rPr>
        <w:t>To je po spomladanski oceni EK ustrezalo letnemu izboljšanju strukturnega salda za vsaj 0,5 % potencialnega BDP.</w:t>
      </w:r>
    </w:p>
  </w:footnote>
  <w:footnote w:id="19">
    <w:p w14:paraId="17F475E7" w14:textId="5CF1C1AA" w:rsidR="009F1410" w:rsidRDefault="009F1410">
      <w:pPr>
        <w:pStyle w:val="FootnoteText"/>
      </w:pPr>
      <w:r>
        <w:rPr>
          <w:rStyle w:val="FootnoteReference"/>
        </w:rPr>
        <w:footnoteRef/>
      </w:r>
      <w:r>
        <w:t xml:space="preserve"> </w:t>
      </w:r>
      <w:r w:rsidRPr="008A0FF3">
        <w:t>V okviru kategorij, ki se sicer štejejo pod avtomatske stabilizatorje, so se v letu 2023 transferi za zagotavljanje socialne varnosti ter družinska nadomestila zaradi ukrepov zaradi energetske krize in inflacije dodatno povečali za nekaj manj kot 0,1 % BDP.</w:t>
      </w:r>
    </w:p>
  </w:footnote>
  <w:footnote w:id="20">
    <w:p w14:paraId="3F166D7E" w14:textId="3BCB18C0" w:rsidR="009F1410" w:rsidRPr="00400F49" w:rsidRDefault="009F1410" w:rsidP="00400F49">
      <w:pPr>
        <w:spacing w:after="0"/>
        <w:jc w:val="both"/>
        <w:rPr>
          <w:rFonts w:ascii="Arial" w:hAnsi="Arial" w:cs="Arial"/>
          <w:sz w:val="20"/>
          <w:szCs w:val="20"/>
        </w:rPr>
      </w:pPr>
      <w:r w:rsidRPr="002B723A">
        <w:rPr>
          <w:rStyle w:val="FootnoteReference"/>
          <w:rFonts w:cs="Arial"/>
          <w:sz w:val="20"/>
          <w:szCs w:val="20"/>
        </w:rPr>
        <w:footnoteRef/>
      </w:r>
      <w:r w:rsidRPr="002B723A">
        <w:rPr>
          <w:rFonts w:ascii="Arial" w:hAnsi="Arial" w:cs="Arial"/>
          <w:sz w:val="20"/>
          <w:szCs w:val="20"/>
        </w:rPr>
        <w:t xml:space="preserve"> Skladno z ESA 4.164: »Drugi kapitalski transferji (D.99) so transferji, ki niso investicijske podpore niti davki na kapital in s katerimi se ne prerazdeljujejo dohodki, temveč se med različnimi sektorji ali podsektorji gospodarstva ali tujine prerazdeljuje varčevanje ali premoženje. Izvedejo se lahko v denarju ali naravi (prevzemi ali odpisi dolga) in ustrezajo prostovoljnim transferjem premoženja.«</w:t>
      </w:r>
    </w:p>
  </w:footnote>
  <w:footnote w:id="21">
    <w:p w14:paraId="6F1A8279" w14:textId="77777777" w:rsidR="009F1410" w:rsidRPr="002B723A" w:rsidRDefault="009F1410" w:rsidP="00ED1BDA">
      <w:pPr>
        <w:spacing w:after="0"/>
        <w:jc w:val="both"/>
        <w:rPr>
          <w:rFonts w:ascii="Arial" w:hAnsi="Arial" w:cs="Arial"/>
          <w:sz w:val="20"/>
          <w:szCs w:val="20"/>
        </w:rPr>
      </w:pPr>
      <w:r w:rsidRPr="002B723A">
        <w:rPr>
          <w:rStyle w:val="FootnoteReference"/>
          <w:rFonts w:cs="Arial"/>
          <w:sz w:val="20"/>
          <w:szCs w:val="20"/>
        </w:rPr>
        <w:footnoteRef/>
      </w:r>
      <w:r w:rsidRPr="002B723A">
        <w:rPr>
          <w:rFonts w:ascii="Arial" w:hAnsi="Arial" w:cs="Arial"/>
          <w:sz w:val="20"/>
          <w:szCs w:val="20"/>
        </w:rPr>
        <w:t xml:space="preserve"> Skladno s členom 4.136 Plačila nadomestil: »Plačila nadomestil zajemajo tekoče transferje, ki jih institucionalne enote plačajo drugim institucionalnim enotam kot nadomestila za poškodbe ljudi ali škode na lastnini, razen plačil odškodnin iz neživljenjskega zavarovanja. Plačila nadomestil so bodisi prisilna plačila, ki jih naloži sodišče, bodisi prostovoljna plačila, dogovorjena zunaj sodišč. Ta postavka zajema prostovoljna plačila državnih enot ali NPISG za nadomestitve poškodb ali škod, ki jih povzročijo naravne nesreče, razen tistih, ki se razvrščajo med kapitalske transferje.«</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C9088C"/>
    <w:multiLevelType w:val="hybridMultilevel"/>
    <w:tmpl w:val="465CCED6"/>
    <w:lvl w:ilvl="0" w:tplc="55400268">
      <w:start w:val="2"/>
      <w:numFmt w:val="bullet"/>
      <w:lvlText w:val="-"/>
      <w:lvlJc w:val="left"/>
      <w:pPr>
        <w:ind w:left="720" w:hanging="360"/>
      </w:pPr>
      <w:rPr>
        <w:rFonts w:ascii="Arial" w:eastAsia="Times New Roman" w:hAnsi="Arial" w:cs="Arial" w:hint="default"/>
      </w:rPr>
    </w:lvl>
    <w:lvl w:ilvl="1" w:tplc="04240003">
      <w:start w:val="1"/>
      <w:numFmt w:val="bullet"/>
      <w:lvlText w:val="o"/>
      <w:lvlJc w:val="left"/>
      <w:pPr>
        <w:ind w:left="1440" w:hanging="360"/>
      </w:pPr>
      <w:rPr>
        <w:rFonts w:ascii="Courier New" w:hAnsi="Courier New" w:cs="Courier New" w:hint="default"/>
      </w:rPr>
    </w:lvl>
    <w:lvl w:ilvl="2" w:tplc="04240005">
      <w:start w:val="1"/>
      <w:numFmt w:val="bullet"/>
      <w:lvlText w:val=""/>
      <w:lvlJc w:val="left"/>
      <w:pPr>
        <w:ind w:left="2160" w:hanging="360"/>
      </w:pPr>
      <w:rPr>
        <w:rFonts w:ascii="Wingdings" w:hAnsi="Wingdings" w:hint="default"/>
      </w:rPr>
    </w:lvl>
    <w:lvl w:ilvl="3" w:tplc="04240001">
      <w:start w:val="1"/>
      <w:numFmt w:val="bullet"/>
      <w:lvlText w:val=""/>
      <w:lvlJc w:val="left"/>
      <w:pPr>
        <w:ind w:left="2880" w:hanging="360"/>
      </w:pPr>
      <w:rPr>
        <w:rFonts w:ascii="Symbol" w:hAnsi="Symbol" w:hint="default"/>
      </w:rPr>
    </w:lvl>
    <w:lvl w:ilvl="4" w:tplc="04240003">
      <w:start w:val="1"/>
      <w:numFmt w:val="bullet"/>
      <w:lvlText w:val="o"/>
      <w:lvlJc w:val="left"/>
      <w:pPr>
        <w:ind w:left="3600" w:hanging="360"/>
      </w:pPr>
      <w:rPr>
        <w:rFonts w:ascii="Courier New" w:hAnsi="Courier New" w:cs="Courier New" w:hint="default"/>
      </w:rPr>
    </w:lvl>
    <w:lvl w:ilvl="5" w:tplc="04240005">
      <w:start w:val="1"/>
      <w:numFmt w:val="bullet"/>
      <w:lvlText w:val=""/>
      <w:lvlJc w:val="left"/>
      <w:pPr>
        <w:ind w:left="4320" w:hanging="360"/>
      </w:pPr>
      <w:rPr>
        <w:rFonts w:ascii="Wingdings" w:hAnsi="Wingdings" w:hint="default"/>
      </w:rPr>
    </w:lvl>
    <w:lvl w:ilvl="6" w:tplc="04240001">
      <w:start w:val="1"/>
      <w:numFmt w:val="bullet"/>
      <w:lvlText w:val=""/>
      <w:lvlJc w:val="left"/>
      <w:pPr>
        <w:ind w:left="5040" w:hanging="360"/>
      </w:pPr>
      <w:rPr>
        <w:rFonts w:ascii="Symbol" w:hAnsi="Symbol" w:hint="default"/>
      </w:rPr>
    </w:lvl>
    <w:lvl w:ilvl="7" w:tplc="04240003">
      <w:start w:val="1"/>
      <w:numFmt w:val="bullet"/>
      <w:lvlText w:val="o"/>
      <w:lvlJc w:val="left"/>
      <w:pPr>
        <w:ind w:left="5760" w:hanging="360"/>
      </w:pPr>
      <w:rPr>
        <w:rFonts w:ascii="Courier New" w:hAnsi="Courier New" w:cs="Courier New" w:hint="default"/>
      </w:rPr>
    </w:lvl>
    <w:lvl w:ilvl="8" w:tplc="04240005">
      <w:start w:val="1"/>
      <w:numFmt w:val="bullet"/>
      <w:lvlText w:val=""/>
      <w:lvlJc w:val="left"/>
      <w:pPr>
        <w:ind w:left="6480" w:hanging="360"/>
      </w:pPr>
      <w:rPr>
        <w:rFonts w:ascii="Wingdings" w:hAnsi="Wingdings" w:hint="default"/>
      </w:rPr>
    </w:lvl>
  </w:abstractNum>
  <w:abstractNum w:abstractNumId="1" w15:restartNumberingAfterBreak="0">
    <w:nsid w:val="07672897"/>
    <w:multiLevelType w:val="hybridMultilevel"/>
    <w:tmpl w:val="4B2E79C8"/>
    <w:lvl w:ilvl="0" w:tplc="46D26990">
      <w:start w:val="3"/>
      <w:numFmt w:val="bullet"/>
      <w:lvlText w:val=""/>
      <w:lvlJc w:val="left"/>
      <w:pPr>
        <w:ind w:left="1080" w:hanging="360"/>
      </w:pPr>
      <w:rPr>
        <w:rFonts w:ascii="Symbol" w:eastAsiaTheme="minorHAnsi" w:hAnsi="Symbol" w:cs="Arial" w:hint="default"/>
      </w:rPr>
    </w:lvl>
    <w:lvl w:ilvl="1" w:tplc="04240003" w:tentative="1">
      <w:start w:val="1"/>
      <w:numFmt w:val="bullet"/>
      <w:lvlText w:val="o"/>
      <w:lvlJc w:val="left"/>
      <w:pPr>
        <w:ind w:left="1800" w:hanging="360"/>
      </w:pPr>
      <w:rPr>
        <w:rFonts w:ascii="Courier New" w:hAnsi="Courier New" w:cs="Courier New" w:hint="default"/>
      </w:rPr>
    </w:lvl>
    <w:lvl w:ilvl="2" w:tplc="04240005" w:tentative="1">
      <w:start w:val="1"/>
      <w:numFmt w:val="bullet"/>
      <w:lvlText w:val=""/>
      <w:lvlJc w:val="left"/>
      <w:pPr>
        <w:ind w:left="2520" w:hanging="360"/>
      </w:pPr>
      <w:rPr>
        <w:rFonts w:ascii="Wingdings" w:hAnsi="Wingdings" w:hint="default"/>
      </w:rPr>
    </w:lvl>
    <w:lvl w:ilvl="3" w:tplc="04240001" w:tentative="1">
      <w:start w:val="1"/>
      <w:numFmt w:val="bullet"/>
      <w:lvlText w:val=""/>
      <w:lvlJc w:val="left"/>
      <w:pPr>
        <w:ind w:left="3240" w:hanging="360"/>
      </w:pPr>
      <w:rPr>
        <w:rFonts w:ascii="Symbol" w:hAnsi="Symbol" w:hint="default"/>
      </w:rPr>
    </w:lvl>
    <w:lvl w:ilvl="4" w:tplc="04240003" w:tentative="1">
      <w:start w:val="1"/>
      <w:numFmt w:val="bullet"/>
      <w:lvlText w:val="o"/>
      <w:lvlJc w:val="left"/>
      <w:pPr>
        <w:ind w:left="3960" w:hanging="360"/>
      </w:pPr>
      <w:rPr>
        <w:rFonts w:ascii="Courier New" w:hAnsi="Courier New" w:cs="Courier New" w:hint="default"/>
      </w:rPr>
    </w:lvl>
    <w:lvl w:ilvl="5" w:tplc="04240005" w:tentative="1">
      <w:start w:val="1"/>
      <w:numFmt w:val="bullet"/>
      <w:lvlText w:val=""/>
      <w:lvlJc w:val="left"/>
      <w:pPr>
        <w:ind w:left="4680" w:hanging="360"/>
      </w:pPr>
      <w:rPr>
        <w:rFonts w:ascii="Wingdings" w:hAnsi="Wingdings" w:hint="default"/>
      </w:rPr>
    </w:lvl>
    <w:lvl w:ilvl="6" w:tplc="04240001" w:tentative="1">
      <w:start w:val="1"/>
      <w:numFmt w:val="bullet"/>
      <w:lvlText w:val=""/>
      <w:lvlJc w:val="left"/>
      <w:pPr>
        <w:ind w:left="5400" w:hanging="360"/>
      </w:pPr>
      <w:rPr>
        <w:rFonts w:ascii="Symbol" w:hAnsi="Symbol" w:hint="default"/>
      </w:rPr>
    </w:lvl>
    <w:lvl w:ilvl="7" w:tplc="04240003" w:tentative="1">
      <w:start w:val="1"/>
      <w:numFmt w:val="bullet"/>
      <w:lvlText w:val="o"/>
      <w:lvlJc w:val="left"/>
      <w:pPr>
        <w:ind w:left="6120" w:hanging="360"/>
      </w:pPr>
      <w:rPr>
        <w:rFonts w:ascii="Courier New" w:hAnsi="Courier New" w:cs="Courier New" w:hint="default"/>
      </w:rPr>
    </w:lvl>
    <w:lvl w:ilvl="8" w:tplc="04240005" w:tentative="1">
      <w:start w:val="1"/>
      <w:numFmt w:val="bullet"/>
      <w:lvlText w:val=""/>
      <w:lvlJc w:val="left"/>
      <w:pPr>
        <w:ind w:left="6840" w:hanging="360"/>
      </w:pPr>
      <w:rPr>
        <w:rFonts w:ascii="Wingdings" w:hAnsi="Wingdings" w:hint="default"/>
      </w:rPr>
    </w:lvl>
  </w:abstractNum>
  <w:abstractNum w:abstractNumId="2" w15:restartNumberingAfterBreak="0">
    <w:nsid w:val="0AAA5DD8"/>
    <w:multiLevelType w:val="hybridMultilevel"/>
    <w:tmpl w:val="E430A332"/>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 w15:restartNumberingAfterBreak="0">
    <w:nsid w:val="0AD83665"/>
    <w:multiLevelType w:val="hybridMultilevel"/>
    <w:tmpl w:val="23806EDA"/>
    <w:lvl w:ilvl="0" w:tplc="5510BF3E">
      <w:start w:val="1"/>
      <w:numFmt w:val="bullet"/>
      <w:lvlText w:val="˗"/>
      <w:lvlJc w:val="left"/>
      <w:pPr>
        <w:ind w:left="720" w:hanging="360"/>
      </w:pPr>
      <w:rPr>
        <w:rFonts w:ascii="Times New Roman" w:hAnsi="Times New Roman"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 w15:restartNumberingAfterBreak="0">
    <w:nsid w:val="0E1C7998"/>
    <w:multiLevelType w:val="hybridMultilevel"/>
    <w:tmpl w:val="51128FB4"/>
    <w:lvl w:ilvl="0" w:tplc="BC8AB2D6">
      <w:start w:val="2"/>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 w15:restartNumberingAfterBreak="0">
    <w:nsid w:val="0FBA1828"/>
    <w:multiLevelType w:val="hybridMultilevel"/>
    <w:tmpl w:val="61E4F28A"/>
    <w:lvl w:ilvl="0" w:tplc="74182E38">
      <w:start w:val="2"/>
      <w:numFmt w:val="bullet"/>
      <w:lvlText w:val="–"/>
      <w:lvlJc w:val="left"/>
      <w:pPr>
        <w:ind w:left="720" w:hanging="360"/>
      </w:pPr>
      <w:rPr>
        <w:rFonts w:ascii="Arial Narrow" w:eastAsia="Times New Roman" w:hAnsi="Arial Narrow"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6" w15:restartNumberingAfterBreak="0">
    <w:nsid w:val="18675C45"/>
    <w:multiLevelType w:val="hybridMultilevel"/>
    <w:tmpl w:val="8508FEF6"/>
    <w:lvl w:ilvl="0" w:tplc="A9F81DE6">
      <w:start w:val="2"/>
      <w:numFmt w:val="bullet"/>
      <w:lvlText w:val="-"/>
      <w:lvlJc w:val="left"/>
      <w:pPr>
        <w:ind w:left="720" w:hanging="360"/>
      </w:pPr>
      <w:rPr>
        <w:rFonts w:ascii="Calibri" w:eastAsia="Calibri" w:hAnsi="Calibri" w:cs="Calibri" w:hint="default"/>
      </w:rPr>
    </w:lvl>
    <w:lvl w:ilvl="1" w:tplc="04240003">
      <w:start w:val="1"/>
      <w:numFmt w:val="bullet"/>
      <w:lvlText w:val="o"/>
      <w:lvlJc w:val="left"/>
      <w:pPr>
        <w:ind w:left="1440" w:hanging="360"/>
      </w:pPr>
      <w:rPr>
        <w:rFonts w:ascii="Courier New" w:hAnsi="Courier New" w:cs="Courier New" w:hint="default"/>
      </w:rPr>
    </w:lvl>
    <w:lvl w:ilvl="2" w:tplc="04240005">
      <w:start w:val="1"/>
      <w:numFmt w:val="bullet"/>
      <w:lvlText w:val=""/>
      <w:lvlJc w:val="left"/>
      <w:pPr>
        <w:ind w:left="2160" w:hanging="360"/>
      </w:pPr>
      <w:rPr>
        <w:rFonts w:ascii="Wingdings" w:hAnsi="Wingdings" w:hint="default"/>
      </w:rPr>
    </w:lvl>
    <w:lvl w:ilvl="3" w:tplc="04240001">
      <w:start w:val="1"/>
      <w:numFmt w:val="bullet"/>
      <w:lvlText w:val=""/>
      <w:lvlJc w:val="left"/>
      <w:pPr>
        <w:ind w:left="2880" w:hanging="360"/>
      </w:pPr>
      <w:rPr>
        <w:rFonts w:ascii="Symbol" w:hAnsi="Symbol" w:hint="default"/>
      </w:rPr>
    </w:lvl>
    <w:lvl w:ilvl="4" w:tplc="04240003">
      <w:start w:val="1"/>
      <w:numFmt w:val="bullet"/>
      <w:lvlText w:val="o"/>
      <w:lvlJc w:val="left"/>
      <w:pPr>
        <w:ind w:left="3600" w:hanging="360"/>
      </w:pPr>
      <w:rPr>
        <w:rFonts w:ascii="Courier New" w:hAnsi="Courier New" w:cs="Courier New" w:hint="default"/>
      </w:rPr>
    </w:lvl>
    <w:lvl w:ilvl="5" w:tplc="04240005">
      <w:start w:val="1"/>
      <w:numFmt w:val="bullet"/>
      <w:lvlText w:val=""/>
      <w:lvlJc w:val="left"/>
      <w:pPr>
        <w:ind w:left="4320" w:hanging="360"/>
      </w:pPr>
      <w:rPr>
        <w:rFonts w:ascii="Wingdings" w:hAnsi="Wingdings" w:hint="default"/>
      </w:rPr>
    </w:lvl>
    <w:lvl w:ilvl="6" w:tplc="04240001">
      <w:start w:val="1"/>
      <w:numFmt w:val="bullet"/>
      <w:lvlText w:val=""/>
      <w:lvlJc w:val="left"/>
      <w:pPr>
        <w:ind w:left="5040" w:hanging="360"/>
      </w:pPr>
      <w:rPr>
        <w:rFonts w:ascii="Symbol" w:hAnsi="Symbol" w:hint="default"/>
      </w:rPr>
    </w:lvl>
    <w:lvl w:ilvl="7" w:tplc="04240003">
      <w:start w:val="1"/>
      <w:numFmt w:val="bullet"/>
      <w:lvlText w:val="o"/>
      <w:lvlJc w:val="left"/>
      <w:pPr>
        <w:ind w:left="5760" w:hanging="360"/>
      </w:pPr>
      <w:rPr>
        <w:rFonts w:ascii="Courier New" w:hAnsi="Courier New" w:cs="Courier New" w:hint="default"/>
      </w:rPr>
    </w:lvl>
    <w:lvl w:ilvl="8" w:tplc="04240005">
      <w:start w:val="1"/>
      <w:numFmt w:val="bullet"/>
      <w:lvlText w:val=""/>
      <w:lvlJc w:val="left"/>
      <w:pPr>
        <w:ind w:left="6480" w:hanging="360"/>
      </w:pPr>
      <w:rPr>
        <w:rFonts w:ascii="Wingdings" w:hAnsi="Wingdings" w:hint="default"/>
      </w:rPr>
    </w:lvl>
  </w:abstractNum>
  <w:abstractNum w:abstractNumId="7" w15:restartNumberingAfterBreak="0">
    <w:nsid w:val="192A15D9"/>
    <w:multiLevelType w:val="hybridMultilevel"/>
    <w:tmpl w:val="6056621C"/>
    <w:lvl w:ilvl="0" w:tplc="1BD62CA0">
      <w:start w:val="4"/>
      <w:numFmt w:val="bullet"/>
      <w:lvlText w:val="-"/>
      <w:lvlJc w:val="left"/>
      <w:pPr>
        <w:ind w:left="720" w:hanging="360"/>
      </w:pPr>
      <w:rPr>
        <w:rFonts w:ascii="Arial" w:eastAsiaTheme="minorHAnsi"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8" w15:restartNumberingAfterBreak="0">
    <w:nsid w:val="19C2650F"/>
    <w:multiLevelType w:val="hybridMultilevel"/>
    <w:tmpl w:val="C99862D4"/>
    <w:lvl w:ilvl="0" w:tplc="DB2817B4">
      <w:start w:val="336"/>
      <w:numFmt w:val="bullet"/>
      <w:lvlText w:val="-"/>
      <w:lvlJc w:val="left"/>
      <w:pPr>
        <w:ind w:left="720" w:hanging="360"/>
      </w:pPr>
      <w:rPr>
        <w:rFonts w:ascii="Arial" w:eastAsia="Times New Roman" w:hAnsi="Arial" w:cs="Arial" w:hint="default"/>
      </w:rPr>
    </w:lvl>
    <w:lvl w:ilvl="1" w:tplc="04240003">
      <w:start w:val="1"/>
      <w:numFmt w:val="bullet"/>
      <w:lvlText w:val="o"/>
      <w:lvlJc w:val="left"/>
      <w:pPr>
        <w:ind w:left="1440" w:hanging="360"/>
      </w:pPr>
      <w:rPr>
        <w:rFonts w:ascii="Courier New" w:hAnsi="Courier New" w:cs="Courier New" w:hint="default"/>
      </w:rPr>
    </w:lvl>
    <w:lvl w:ilvl="2" w:tplc="04240005">
      <w:start w:val="1"/>
      <w:numFmt w:val="bullet"/>
      <w:lvlText w:val=""/>
      <w:lvlJc w:val="left"/>
      <w:pPr>
        <w:ind w:left="2160" w:hanging="360"/>
      </w:pPr>
      <w:rPr>
        <w:rFonts w:ascii="Wingdings" w:hAnsi="Wingdings" w:hint="default"/>
      </w:rPr>
    </w:lvl>
    <w:lvl w:ilvl="3" w:tplc="04240001">
      <w:start w:val="1"/>
      <w:numFmt w:val="bullet"/>
      <w:lvlText w:val=""/>
      <w:lvlJc w:val="left"/>
      <w:pPr>
        <w:ind w:left="2880" w:hanging="360"/>
      </w:pPr>
      <w:rPr>
        <w:rFonts w:ascii="Symbol" w:hAnsi="Symbol" w:hint="default"/>
      </w:rPr>
    </w:lvl>
    <w:lvl w:ilvl="4" w:tplc="04240003">
      <w:start w:val="1"/>
      <w:numFmt w:val="bullet"/>
      <w:lvlText w:val="o"/>
      <w:lvlJc w:val="left"/>
      <w:pPr>
        <w:ind w:left="3600" w:hanging="360"/>
      </w:pPr>
      <w:rPr>
        <w:rFonts w:ascii="Courier New" w:hAnsi="Courier New" w:cs="Courier New" w:hint="default"/>
      </w:rPr>
    </w:lvl>
    <w:lvl w:ilvl="5" w:tplc="04240005">
      <w:start w:val="1"/>
      <w:numFmt w:val="bullet"/>
      <w:lvlText w:val=""/>
      <w:lvlJc w:val="left"/>
      <w:pPr>
        <w:ind w:left="4320" w:hanging="360"/>
      </w:pPr>
      <w:rPr>
        <w:rFonts w:ascii="Wingdings" w:hAnsi="Wingdings" w:hint="default"/>
      </w:rPr>
    </w:lvl>
    <w:lvl w:ilvl="6" w:tplc="04240001">
      <w:start w:val="1"/>
      <w:numFmt w:val="bullet"/>
      <w:lvlText w:val=""/>
      <w:lvlJc w:val="left"/>
      <w:pPr>
        <w:ind w:left="5040" w:hanging="360"/>
      </w:pPr>
      <w:rPr>
        <w:rFonts w:ascii="Symbol" w:hAnsi="Symbol" w:hint="default"/>
      </w:rPr>
    </w:lvl>
    <w:lvl w:ilvl="7" w:tplc="04240003">
      <w:start w:val="1"/>
      <w:numFmt w:val="bullet"/>
      <w:lvlText w:val="o"/>
      <w:lvlJc w:val="left"/>
      <w:pPr>
        <w:ind w:left="5760" w:hanging="360"/>
      </w:pPr>
      <w:rPr>
        <w:rFonts w:ascii="Courier New" w:hAnsi="Courier New" w:cs="Courier New" w:hint="default"/>
      </w:rPr>
    </w:lvl>
    <w:lvl w:ilvl="8" w:tplc="04240005">
      <w:start w:val="1"/>
      <w:numFmt w:val="bullet"/>
      <w:lvlText w:val=""/>
      <w:lvlJc w:val="left"/>
      <w:pPr>
        <w:ind w:left="6480" w:hanging="360"/>
      </w:pPr>
      <w:rPr>
        <w:rFonts w:ascii="Wingdings" w:hAnsi="Wingdings" w:hint="default"/>
      </w:rPr>
    </w:lvl>
  </w:abstractNum>
  <w:abstractNum w:abstractNumId="9" w15:restartNumberingAfterBreak="0">
    <w:nsid w:val="1A9E659A"/>
    <w:multiLevelType w:val="hybridMultilevel"/>
    <w:tmpl w:val="26EC90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C0F18B6"/>
    <w:multiLevelType w:val="hybridMultilevel"/>
    <w:tmpl w:val="E238FF48"/>
    <w:lvl w:ilvl="0" w:tplc="9FECB7C0">
      <w:start w:val="5"/>
      <w:numFmt w:val="bullet"/>
      <w:lvlText w:val="-"/>
      <w:lvlJc w:val="left"/>
      <w:pPr>
        <w:ind w:left="720" w:hanging="360"/>
      </w:pPr>
      <w:rPr>
        <w:rFonts w:ascii="Arial" w:eastAsiaTheme="minorHAnsi"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1" w15:restartNumberingAfterBreak="0">
    <w:nsid w:val="1C535A9F"/>
    <w:multiLevelType w:val="multilevel"/>
    <w:tmpl w:val="272E59EA"/>
    <w:lvl w:ilvl="0">
      <w:start w:val="1"/>
      <w:numFmt w:val="decimal"/>
      <w:lvlText w:val="%1. 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2" w15:restartNumberingAfterBreak="0">
    <w:nsid w:val="245913F0"/>
    <w:multiLevelType w:val="hybridMultilevel"/>
    <w:tmpl w:val="55EA7BE4"/>
    <w:lvl w:ilvl="0" w:tplc="3850AF72">
      <w:start w:val="3"/>
      <w:numFmt w:val="bullet"/>
      <w:lvlText w:val="-"/>
      <w:lvlJc w:val="left"/>
      <w:pPr>
        <w:ind w:left="720" w:hanging="360"/>
      </w:pPr>
      <w:rPr>
        <w:rFonts w:ascii="Calibri" w:eastAsia="Calibri" w:hAnsi="Calibri" w:cs="Calibri" w:hint="default"/>
      </w:rPr>
    </w:lvl>
    <w:lvl w:ilvl="1" w:tplc="04240003">
      <w:start w:val="1"/>
      <w:numFmt w:val="bullet"/>
      <w:lvlText w:val="o"/>
      <w:lvlJc w:val="left"/>
      <w:pPr>
        <w:ind w:left="1440" w:hanging="360"/>
      </w:pPr>
      <w:rPr>
        <w:rFonts w:ascii="Courier New" w:hAnsi="Courier New" w:cs="Courier New" w:hint="default"/>
      </w:rPr>
    </w:lvl>
    <w:lvl w:ilvl="2" w:tplc="04240005">
      <w:start w:val="1"/>
      <w:numFmt w:val="bullet"/>
      <w:lvlText w:val=""/>
      <w:lvlJc w:val="left"/>
      <w:pPr>
        <w:ind w:left="2160" w:hanging="360"/>
      </w:pPr>
      <w:rPr>
        <w:rFonts w:ascii="Wingdings" w:hAnsi="Wingdings" w:hint="default"/>
      </w:rPr>
    </w:lvl>
    <w:lvl w:ilvl="3" w:tplc="04240001">
      <w:start w:val="1"/>
      <w:numFmt w:val="bullet"/>
      <w:lvlText w:val=""/>
      <w:lvlJc w:val="left"/>
      <w:pPr>
        <w:ind w:left="2880" w:hanging="360"/>
      </w:pPr>
      <w:rPr>
        <w:rFonts w:ascii="Symbol" w:hAnsi="Symbol" w:hint="default"/>
      </w:rPr>
    </w:lvl>
    <w:lvl w:ilvl="4" w:tplc="04240003">
      <w:start w:val="1"/>
      <w:numFmt w:val="bullet"/>
      <w:lvlText w:val="o"/>
      <w:lvlJc w:val="left"/>
      <w:pPr>
        <w:ind w:left="3600" w:hanging="360"/>
      </w:pPr>
      <w:rPr>
        <w:rFonts w:ascii="Courier New" w:hAnsi="Courier New" w:cs="Courier New" w:hint="default"/>
      </w:rPr>
    </w:lvl>
    <w:lvl w:ilvl="5" w:tplc="04240005">
      <w:start w:val="1"/>
      <w:numFmt w:val="bullet"/>
      <w:lvlText w:val=""/>
      <w:lvlJc w:val="left"/>
      <w:pPr>
        <w:ind w:left="4320" w:hanging="360"/>
      </w:pPr>
      <w:rPr>
        <w:rFonts w:ascii="Wingdings" w:hAnsi="Wingdings" w:hint="default"/>
      </w:rPr>
    </w:lvl>
    <w:lvl w:ilvl="6" w:tplc="04240001">
      <w:start w:val="1"/>
      <w:numFmt w:val="bullet"/>
      <w:lvlText w:val=""/>
      <w:lvlJc w:val="left"/>
      <w:pPr>
        <w:ind w:left="5040" w:hanging="360"/>
      </w:pPr>
      <w:rPr>
        <w:rFonts w:ascii="Symbol" w:hAnsi="Symbol" w:hint="default"/>
      </w:rPr>
    </w:lvl>
    <w:lvl w:ilvl="7" w:tplc="04240003">
      <w:start w:val="1"/>
      <w:numFmt w:val="bullet"/>
      <w:lvlText w:val="o"/>
      <w:lvlJc w:val="left"/>
      <w:pPr>
        <w:ind w:left="5760" w:hanging="360"/>
      </w:pPr>
      <w:rPr>
        <w:rFonts w:ascii="Courier New" w:hAnsi="Courier New" w:cs="Courier New" w:hint="default"/>
      </w:rPr>
    </w:lvl>
    <w:lvl w:ilvl="8" w:tplc="04240005">
      <w:start w:val="1"/>
      <w:numFmt w:val="bullet"/>
      <w:lvlText w:val=""/>
      <w:lvlJc w:val="left"/>
      <w:pPr>
        <w:ind w:left="6480" w:hanging="360"/>
      </w:pPr>
      <w:rPr>
        <w:rFonts w:ascii="Wingdings" w:hAnsi="Wingdings" w:hint="default"/>
      </w:rPr>
    </w:lvl>
  </w:abstractNum>
  <w:abstractNum w:abstractNumId="13" w15:restartNumberingAfterBreak="0">
    <w:nsid w:val="255D29C8"/>
    <w:multiLevelType w:val="hybridMultilevel"/>
    <w:tmpl w:val="0A804B00"/>
    <w:lvl w:ilvl="0" w:tplc="05667A30">
      <w:start w:val="19"/>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4" w15:restartNumberingAfterBreak="0">
    <w:nsid w:val="26A42221"/>
    <w:multiLevelType w:val="hybridMultilevel"/>
    <w:tmpl w:val="1938FB94"/>
    <w:lvl w:ilvl="0" w:tplc="55400268">
      <w:start w:val="2"/>
      <w:numFmt w:val="bullet"/>
      <w:lvlText w:val="-"/>
      <w:lvlJc w:val="left"/>
      <w:pPr>
        <w:ind w:left="360" w:hanging="360"/>
      </w:pPr>
      <w:rPr>
        <w:rFonts w:ascii="Arial" w:eastAsia="Times New Roman" w:hAnsi="Arial" w:cs="Arial" w:hint="default"/>
      </w:rPr>
    </w:lvl>
    <w:lvl w:ilvl="1" w:tplc="04240003">
      <w:start w:val="1"/>
      <w:numFmt w:val="bullet"/>
      <w:lvlText w:val="o"/>
      <w:lvlJc w:val="left"/>
      <w:pPr>
        <w:ind w:left="1080" w:hanging="360"/>
      </w:pPr>
      <w:rPr>
        <w:rFonts w:ascii="Courier New" w:hAnsi="Courier New" w:cs="Courier New" w:hint="default"/>
      </w:rPr>
    </w:lvl>
    <w:lvl w:ilvl="2" w:tplc="04240005">
      <w:start w:val="1"/>
      <w:numFmt w:val="bullet"/>
      <w:lvlText w:val=""/>
      <w:lvlJc w:val="left"/>
      <w:pPr>
        <w:ind w:left="1800" w:hanging="360"/>
      </w:pPr>
      <w:rPr>
        <w:rFonts w:ascii="Wingdings" w:hAnsi="Wingdings" w:hint="default"/>
      </w:rPr>
    </w:lvl>
    <w:lvl w:ilvl="3" w:tplc="04240001">
      <w:start w:val="1"/>
      <w:numFmt w:val="bullet"/>
      <w:lvlText w:val=""/>
      <w:lvlJc w:val="left"/>
      <w:pPr>
        <w:ind w:left="2520" w:hanging="360"/>
      </w:pPr>
      <w:rPr>
        <w:rFonts w:ascii="Symbol" w:hAnsi="Symbol" w:hint="default"/>
      </w:rPr>
    </w:lvl>
    <w:lvl w:ilvl="4" w:tplc="04240003">
      <w:start w:val="1"/>
      <w:numFmt w:val="bullet"/>
      <w:lvlText w:val="o"/>
      <w:lvlJc w:val="left"/>
      <w:pPr>
        <w:ind w:left="3240" w:hanging="360"/>
      </w:pPr>
      <w:rPr>
        <w:rFonts w:ascii="Courier New" w:hAnsi="Courier New" w:cs="Courier New" w:hint="default"/>
      </w:rPr>
    </w:lvl>
    <w:lvl w:ilvl="5" w:tplc="04240005">
      <w:start w:val="1"/>
      <w:numFmt w:val="bullet"/>
      <w:lvlText w:val=""/>
      <w:lvlJc w:val="left"/>
      <w:pPr>
        <w:ind w:left="3960" w:hanging="360"/>
      </w:pPr>
      <w:rPr>
        <w:rFonts w:ascii="Wingdings" w:hAnsi="Wingdings" w:hint="default"/>
      </w:rPr>
    </w:lvl>
    <w:lvl w:ilvl="6" w:tplc="04240001">
      <w:start w:val="1"/>
      <w:numFmt w:val="bullet"/>
      <w:lvlText w:val=""/>
      <w:lvlJc w:val="left"/>
      <w:pPr>
        <w:ind w:left="4680" w:hanging="360"/>
      </w:pPr>
      <w:rPr>
        <w:rFonts w:ascii="Symbol" w:hAnsi="Symbol" w:hint="default"/>
      </w:rPr>
    </w:lvl>
    <w:lvl w:ilvl="7" w:tplc="04240003">
      <w:start w:val="1"/>
      <w:numFmt w:val="bullet"/>
      <w:lvlText w:val="o"/>
      <w:lvlJc w:val="left"/>
      <w:pPr>
        <w:ind w:left="5400" w:hanging="360"/>
      </w:pPr>
      <w:rPr>
        <w:rFonts w:ascii="Courier New" w:hAnsi="Courier New" w:cs="Courier New" w:hint="default"/>
      </w:rPr>
    </w:lvl>
    <w:lvl w:ilvl="8" w:tplc="04240005">
      <w:start w:val="1"/>
      <w:numFmt w:val="bullet"/>
      <w:lvlText w:val=""/>
      <w:lvlJc w:val="left"/>
      <w:pPr>
        <w:ind w:left="6120" w:hanging="360"/>
      </w:pPr>
      <w:rPr>
        <w:rFonts w:ascii="Wingdings" w:hAnsi="Wingdings" w:hint="default"/>
      </w:rPr>
    </w:lvl>
  </w:abstractNum>
  <w:abstractNum w:abstractNumId="15" w15:restartNumberingAfterBreak="0">
    <w:nsid w:val="2F0B0001"/>
    <w:multiLevelType w:val="hybridMultilevel"/>
    <w:tmpl w:val="D54ECA60"/>
    <w:lvl w:ilvl="0" w:tplc="23303C8A">
      <w:start w:val="3"/>
      <w:numFmt w:val="bullet"/>
      <w:lvlText w:val=""/>
      <w:lvlJc w:val="left"/>
      <w:pPr>
        <w:ind w:left="720" w:hanging="360"/>
      </w:pPr>
      <w:rPr>
        <w:rFonts w:ascii="Symbol" w:eastAsiaTheme="minorHAnsi" w:hAnsi="Symbo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6" w15:restartNumberingAfterBreak="0">
    <w:nsid w:val="3A8F4D73"/>
    <w:multiLevelType w:val="hybridMultilevel"/>
    <w:tmpl w:val="AEF22010"/>
    <w:lvl w:ilvl="0" w:tplc="07FA71AE">
      <w:start w:val="13"/>
      <w:numFmt w:val="bullet"/>
      <w:lvlText w:val="-"/>
      <w:lvlJc w:val="left"/>
      <w:pPr>
        <w:ind w:left="720" w:hanging="360"/>
      </w:pPr>
      <w:rPr>
        <w:rFonts w:ascii="Calibri" w:eastAsia="Calibri" w:hAnsi="Calibri" w:cs="Calibri" w:hint="default"/>
      </w:rPr>
    </w:lvl>
    <w:lvl w:ilvl="1" w:tplc="04240003">
      <w:start w:val="1"/>
      <w:numFmt w:val="bullet"/>
      <w:lvlText w:val="o"/>
      <w:lvlJc w:val="left"/>
      <w:pPr>
        <w:ind w:left="1440" w:hanging="360"/>
      </w:pPr>
      <w:rPr>
        <w:rFonts w:ascii="Courier New" w:hAnsi="Courier New" w:cs="Courier New" w:hint="default"/>
      </w:rPr>
    </w:lvl>
    <w:lvl w:ilvl="2" w:tplc="04240005">
      <w:start w:val="1"/>
      <w:numFmt w:val="bullet"/>
      <w:lvlText w:val=""/>
      <w:lvlJc w:val="left"/>
      <w:pPr>
        <w:ind w:left="2160" w:hanging="360"/>
      </w:pPr>
      <w:rPr>
        <w:rFonts w:ascii="Wingdings" w:hAnsi="Wingdings" w:hint="default"/>
      </w:rPr>
    </w:lvl>
    <w:lvl w:ilvl="3" w:tplc="04240001">
      <w:start w:val="1"/>
      <w:numFmt w:val="bullet"/>
      <w:lvlText w:val=""/>
      <w:lvlJc w:val="left"/>
      <w:pPr>
        <w:ind w:left="2880" w:hanging="360"/>
      </w:pPr>
      <w:rPr>
        <w:rFonts w:ascii="Symbol" w:hAnsi="Symbol" w:hint="default"/>
      </w:rPr>
    </w:lvl>
    <w:lvl w:ilvl="4" w:tplc="04240003">
      <w:start w:val="1"/>
      <w:numFmt w:val="bullet"/>
      <w:lvlText w:val="o"/>
      <w:lvlJc w:val="left"/>
      <w:pPr>
        <w:ind w:left="3600" w:hanging="360"/>
      </w:pPr>
      <w:rPr>
        <w:rFonts w:ascii="Courier New" w:hAnsi="Courier New" w:cs="Courier New" w:hint="default"/>
      </w:rPr>
    </w:lvl>
    <w:lvl w:ilvl="5" w:tplc="04240005">
      <w:start w:val="1"/>
      <w:numFmt w:val="bullet"/>
      <w:lvlText w:val=""/>
      <w:lvlJc w:val="left"/>
      <w:pPr>
        <w:ind w:left="4320" w:hanging="360"/>
      </w:pPr>
      <w:rPr>
        <w:rFonts w:ascii="Wingdings" w:hAnsi="Wingdings" w:hint="default"/>
      </w:rPr>
    </w:lvl>
    <w:lvl w:ilvl="6" w:tplc="04240001">
      <w:start w:val="1"/>
      <w:numFmt w:val="bullet"/>
      <w:lvlText w:val=""/>
      <w:lvlJc w:val="left"/>
      <w:pPr>
        <w:ind w:left="5040" w:hanging="360"/>
      </w:pPr>
      <w:rPr>
        <w:rFonts w:ascii="Symbol" w:hAnsi="Symbol" w:hint="default"/>
      </w:rPr>
    </w:lvl>
    <w:lvl w:ilvl="7" w:tplc="04240003">
      <w:start w:val="1"/>
      <w:numFmt w:val="bullet"/>
      <w:lvlText w:val="o"/>
      <w:lvlJc w:val="left"/>
      <w:pPr>
        <w:ind w:left="5760" w:hanging="360"/>
      </w:pPr>
      <w:rPr>
        <w:rFonts w:ascii="Courier New" w:hAnsi="Courier New" w:cs="Courier New" w:hint="default"/>
      </w:rPr>
    </w:lvl>
    <w:lvl w:ilvl="8" w:tplc="04240005">
      <w:start w:val="1"/>
      <w:numFmt w:val="bullet"/>
      <w:lvlText w:val=""/>
      <w:lvlJc w:val="left"/>
      <w:pPr>
        <w:ind w:left="6480" w:hanging="360"/>
      </w:pPr>
      <w:rPr>
        <w:rFonts w:ascii="Wingdings" w:hAnsi="Wingdings" w:hint="default"/>
      </w:rPr>
    </w:lvl>
  </w:abstractNum>
  <w:abstractNum w:abstractNumId="17" w15:restartNumberingAfterBreak="0">
    <w:nsid w:val="3B5143FD"/>
    <w:multiLevelType w:val="hybridMultilevel"/>
    <w:tmpl w:val="2606FB8A"/>
    <w:lvl w:ilvl="0" w:tplc="A9F81DE6">
      <w:start w:val="2"/>
      <w:numFmt w:val="bullet"/>
      <w:lvlText w:val="-"/>
      <w:lvlJc w:val="left"/>
      <w:pPr>
        <w:ind w:left="720" w:hanging="360"/>
      </w:pPr>
      <w:rPr>
        <w:rFonts w:ascii="Calibri" w:eastAsia="Calibr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514F0CA4"/>
    <w:multiLevelType w:val="multilevel"/>
    <w:tmpl w:val="DB6EC19A"/>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9" w15:restartNumberingAfterBreak="0">
    <w:nsid w:val="5A094A63"/>
    <w:multiLevelType w:val="hybridMultilevel"/>
    <w:tmpl w:val="FC6A2AA0"/>
    <w:lvl w:ilvl="0" w:tplc="E08C0160">
      <w:start w:val="37"/>
      <w:numFmt w:val="bullet"/>
      <w:lvlText w:val="-"/>
      <w:lvlJc w:val="left"/>
      <w:pPr>
        <w:ind w:left="720" w:hanging="360"/>
      </w:pPr>
      <w:rPr>
        <w:rFonts w:ascii="Times New Roman" w:eastAsia="Times New Roman" w:hAnsi="Times New Roman"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0" w15:restartNumberingAfterBreak="0">
    <w:nsid w:val="65C166F0"/>
    <w:multiLevelType w:val="hybridMultilevel"/>
    <w:tmpl w:val="A8287F60"/>
    <w:lvl w:ilvl="0" w:tplc="04EE8E76">
      <w:start w:val="1"/>
      <w:numFmt w:val="decimal"/>
      <w:lvlText w:val="%1"/>
      <w:lvlJc w:val="left"/>
      <w:pPr>
        <w:ind w:left="360" w:hanging="360"/>
      </w:pPr>
      <w:rPr>
        <w:rFonts w:hint="default"/>
      </w:rPr>
    </w:lvl>
    <w:lvl w:ilvl="1" w:tplc="04240019" w:tentative="1">
      <w:start w:val="1"/>
      <w:numFmt w:val="lowerLetter"/>
      <w:lvlText w:val="%2."/>
      <w:lvlJc w:val="left"/>
      <w:pPr>
        <w:ind w:left="1080" w:hanging="360"/>
      </w:pPr>
    </w:lvl>
    <w:lvl w:ilvl="2" w:tplc="0424001B" w:tentative="1">
      <w:start w:val="1"/>
      <w:numFmt w:val="lowerRoman"/>
      <w:lvlText w:val="%3."/>
      <w:lvlJc w:val="right"/>
      <w:pPr>
        <w:ind w:left="1800" w:hanging="180"/>
      </w:pPr>
    </w:lvl>
    <w:lvl w:ilvl="3" w:tplc="0424000F" w:tentative="1">
      <w:start w:val="1"/>
      <w:numFmt w:val="decimal"/>
      <w:lvlText w:val="%4."/>
      <w:lvlJc w:val="left"/>
      <w:pPr>
        <w:ind w:left="2520" w:hanging="360"/>
      </w:pPr>
    </w:lvl>
    <w:lvl w:ilvl="4" w:tplc="04240019" w:tentative="1">
      <w:start w:val="1"/>
      <w:numFmt w:val="lowerLetter"/>
      <w:lvlText w:val="%5."/>
      <w:lvlJc w:val="left"/>
      <w:pPr>
        <w:ind w:left="3240" w:hanging="360"/>
      </w:pPr>
    </w:lvl>
    <w:lvl w:ilvl="5" w:tplc="0424001B" w:tentative="1">
      <w:start w:val="1"/>
      <w:numFmt w:val="lowerRoman"/>
      <w:lvlText w:val="%6."/>
      <w:lvlJc w:val="right"/>
      <w:pPr>
        <w:ind w:left="3960" w:hanging="180"/>
      </w:pPr>
    </w:lvl>
    <w:lvl w:ilvl="6" w:tplc="0424000F" w:tentative="1">
      <w:start w:val="1"/>
      <w:numFmt w:val="decimal"/>
      <w:lvlText w:val="%7."/>
      <w:lvlJc w:val="left"/>
      <w:pPr>
        <w:ind w:left="4680" w:hanging="360"/>
      </w:pPr>
    </w:lvl>
    <w:lvl w:ilvl="7" w:tplc="04240019" w:tentative="1">
      <w:start w:val="1"/>
      <w:numFmt w:val="lowerLetter"/>
      <w:lvlText w:val="%8."/>
      <w:lvlJc w:val="left"/>
      <w:pPr>
        <w:ind w:left="5400" w:hanging="360"/>
      </w:pPr>
    </w:lvl>
    <w:lvl w:ilvl="8" w:tplc="0424001B" w:tentative="1">
      <w:start w:val="1"/>
      <w:numFmt w:val="lowerRoman"/>
      <w:lvlText w:val="%9."/>
      <w:lvlJc w:val="right"/>
      <w:pPr>
        <w:ind w:left="6120" w:hanging="180"/>
      </w:pPr>
    </w:lvl>
  </w:abstractNum>
  <w:abstractNum w:abstractNumId="21" w15:restartNumberingAfterBreak="0">
    <w:nsid w:val="694D7CBB"/>
    <w:multiLevelType w:val="hybridMultilevel"/>
    <w:tmpl w:val="4372E51C"/>
    <w:lvl w:ilvl="0" w:tplc="6652AFE8">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2" w15:restartNumberingAfterBreak="0">
    <w:nsid w:val="6B503D0D"/>
    <w:multiLevelType w:val="multilevel"/>
    <w:tmpl w:val="8384E13A"/>
    <w:lvl w:ilvl="0">
      <w:start w:val="1"/>
      <w:numFmt w:val="decimal"/>
      <w:pStyle w:val="naslov1"/>
      <w:lvlText w:val="%1."/>
      <w:lvlJc w:val="left"/>
      <w:pPr>
        <w:ind w:left="720" w:hanging="360"/>
      </w:pPr>
      <w:rPr>
        <w:rFonts w:hint="default"/>
      </w:rPr>
    </w:lvl>
    <w:lvl w:ilvl="1">
      <w:start w:val="1"/>
      <w:numFmt w:val="decimal"/>
      <w:pStyle w:val="naslov2"/>
      <w:isLgl/>
      <w:lvlText w:val="%1.%2."/>
      <w:lvlJc w:val="left"/>
      <w:pPr>
        <w:ind w:left="786" w:hanging="360"/>
      </w:pPr>
      <w:rPr>
        <w:rFonts w:hint="default"/>
      </w:rPr>
    </w:lvl>
    <w:lvl w:ilvl="2">
      <w:start w:val="1"/>
      <w:numFmt w:val="decimal"/>
      <w:pStyle w:val="naslov3"/>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3" w15:restartNumberingAfterBreak="0">
    <w:nsid w:val="6E5E4C8E"/>
    <w:multiLevelType w:val="hybridMultilevel"/>
    <w:tmpl w:val="FC444B9C"/>
    <w:lvl w:ilvl="0" w:tplc="920EA434">
      <w:start w:val="10"/>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4" w15:restartNumberingAfterBreak="0">
    <w:nsid w:val="72307C87"/>
    <w:multiLevelType w:val="hybridMultilevel"/>
    <w:tmpl w:val="255ECD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771F2F5C"/>
    <w:multiLevelType w:val="hybridMultilevel"/>
    <w:tmpl w:val="21C61D06"/>
    <w:lvl w:ilvl="0" w:tplc="04240001">
      <w:start w:val="1"/>
      <w:numFmt w:val="bullet"/>
      <w:lvlText w:val=""/>
      <w:lvlJc w:val="left"/>
      <w:pPr>
        <w:ind w:left="360" w:hanging="360"/>
      </w:pPr>
      <w:rPr>
        <w:rFonts w:ascii="Symbol" w:hAnsi="Symbo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26" w15:restartNumberingAfterBreak="0">
    <w:nsid w:val="7F8D2876"/>
    <w:multiLevelType w:val="hybridMultilevel"/>
    <w:tmpl w:val="BA606F88"/>
    <w:lvl w:ilvl="0" w:tplc="096CB89C">
      <w:start w:val="15"/>
      <w:numFmt w:val="bullet"/>
      <w:lvlText w:val="-"/>
      <w:lvlJc w:val="left"/>
      <w:pPr>
        <w:ind w:left="360" w:hanging="360"/>
      </w:pPr>
      <w:rPr>
        <w:rFonts w:ascii="Calibri" w:eastAsia="Calibri" w:hAnsi="Calibri" w:cs="Calibri" w:hint="default"/>
      </w:rPr>
    </w:lvl>
    <w:lvl w:ilvl="1" w:tplc="04240003">
      <w:start w:val="1"/>
      <w:numFmt w:val="bullet"/>
      <w:lvlText w:val="o"/>
      <w:lvlJc w:val="left"/>
      <w:pPr>
        <w:ind w:left="1080" w:hanging="360"/>
      </w:pPr>
      <w:rPr>
        <w:rFonts w:ascii="Courier New" w:hAnsi="Courier New" w:cs="Courier New" w:hint="default"/>
      </w:rPr>
    </w:lvl>
    <w:lvl w:ilvl="2" w:tplc="04240005">
      <w:start w:val="1"/>
      <w:numFmt w:val="bullet"/>
      <w:lvlText w:val=""/>
      <w:lvlJc w:val="left"/>
      <w:pPr>
        <w:ind w:left="1800" w:hanging="360"/>
      </w:pPr>
      <w:rPr>
        <w:rFonts w:ascii="Wingdings" w:hAnsi="Wingdings" w:hint="default"/>
      </w:rPr>
    </w:lvl>
    <w:lvl w:ilvl="3" w:tplc="04240001">
      <w:start w:val="1"/>
      <w:numFmt w:val="bullet"/>
      <w:lvlText w:val=""/>
      <w:lvlJc w:val="left"/>
      <w:pPr>
        <w:ind w:left="2520" w:hanging="360"/>
      </w:pPr>
      <w:rPr>
        <w:rFonts w:ascii="Symbol" w:hAnsi="Symbol" w:hint="default"/>
      </w:rPr>
    </w:lvl>
    <w:lvl w:ilvl="4" w:tplc="04240003">
      <w:start w:val="1"/>
      <w:numFmt w:val="bullet"/>
      <w:lvlText w:val="o"/>
      <w:lvlJc w:val="left"/>
      <w:pPr>
        <w:ind w:left="3240" w:hanging="360"/>
      </w:pPr>
      <w:rPr>
        <w:rFonts w:ascii="Courier New" w:hAnsi="Courier New" w:cs="Courier New" w:hint="default"/>
      </w:rPr>
    </w:lvl>
    <w:lvl w:ilvl="5" w:tplc="04240005">
      <w:start w:val="1"/>
      <w:numFmt w:val="bullet"/>
      <w:lvlText w:val=""/>
      <w:lvlJc w:val="left"/>
      <w:pPr>
        <w:ind w:left="3960" w:hanging="360"/>
      </w:pPr>
      <w:rPr>
        <w:rFonts w:ascii="Wingdings" w:hAnsi="Wingdings" w:hint="default"/>
      </w:rPr>
    </w:lvl>
    <w:lvl w:ilvl="6" w:tplc="04240001">
      <w:start w:val="1"/>
      <w:numFmt w:val="bullet"/>
      <w:lvlText w:val=""/>
      <w:lvlJc w:val="left"/>
      <w:pPr>
        <w:ind w:left="4680" w:hanging="360"/>
      </w:pPr>
      <w:rPr>
        <w:rFonts w:ascii="Symbol" w:hAnsi="Symbol" w:hint="default"/>
      </w:rPr>
    </w:lvl>
    <w:lvl w:ilvl="7" w:tplc="04240003">
      <w:start w:val="1"/>
      <w:numFmt w:val="bullet"/>
      <w:lvlText w:val="o"/>
      <w:lvlJc w:val="left"/>
      <w:pPr>
        <w:ind w:left="5400" w:hanging="360"/>
      </w:pPr>
      <w:rPr>
        <w:rFonts w:ascii="Courier New" w:hAnsi="Courier New" w:cs="Courier New" w:hint="default"/>
      </w:rPr>
    </w:lvl>
    <w:lvl w:ilvl="8" w:tplc="04240005">
      <w:start w:val="1"/>
      <w:numFmt w:val="bullet"/>
      <w:lvlText w:val=""/>
      <w:lvlJc w:val="left"/>
      <w:pPr>
        <w:ind w:left="6120" w:hanging="360"/>
      </w:pPr>
      <w:rPr>
        <w:rFonts w:ascii="Wingdings" w:hAnsi="Wingdings" w:hint="default"/>
      </w:rPr>
    </w:lvl>
  </w:abstractNum>
  <w:num w:numId="1" w16cid:durableId="1528441874">
    <w:abstractNumId w:val="5"/>
  </w:num>
  <w:num w:numId="2" w16cid:durableId="1261987332">
    <w:abstractNumId w:val="23"/>
  </w:num>
  <w:num w:numId="3" w16cid:durableId="118107222">
    <w:abstractNumId w:val="3"/>
  </w:num>
  <w:num w:numId="4" w16cid:durableId="493304957">
    <w:abstractNumId w:val="15"/>
  </w:num>
  <w:num w:numId="5" w16cid:durableId="627855280">
    <w:abstractNumId w:val="1"/>
  </w:num>
  <w:num w:numId="6" w16cid:durableId="2110197022">
    <w:abstractNumId w:val="22"/>
  </w:num>
  <w:num w:numId="7" w16cid:durableId="143618971">
    <w:abstractNumId w:val="25"/>
  </w:num>
  <w:num w:numId="8" w16cid:durableId="972901346">
    <w:abstractNumId w:val="2"/>
  </w:num>
  <w:num w:numId="9" w16cid:durableId="1868718610">
    <w:abstractNumId w:val="16"/>
  </w:num>
  <w:num w:numId="10" w16cid:durableId="409236006">
    <w:abstractNumId w:val="21"/>
  </w:num>
  <w:num w:numId="11" w16cid:durableId="584194378">
    <w:abstractNumId w:val="11"/>
  </w:num>
  <w:num w:numId="12" w16cid:durableId="2051490355">
    <w:abstractNumId w:val="12"/>
  </w:num>
  <w:num w:numId="13" w16cid:durableId="840705742">
    <w:abstractNumId w:val="24"/>
  </w:num>
  <w:num w:numId="14" w16cid:durableId="368576890">
    <w:abstractNumId w:val="8"/>
  </w:num>
  <w:num w:numId="15" w16cid:durableId="844243210">
    <w:abstractNumId w:val="6"/>
  </w:num>
  <w:num w:numId="16" w16cid:durableId="1099376258">
    <w:abstractNumId w:val="19"/>
  </w:num>
  <w:num w:numId="17" w16cid:durableId="809174466">
    <w:abstractNumId w:val="0"/>
  </w:num>
  <w:num w:numId="18" w16cid:durableId="952060197">
    <w:abstractNumId w:val="14"/>
  </w:num>
  <w:num w:numId="19" w16cid:durableId="575673151">
    <w:abstractNumId w:val="18"/>
  </w:num>
  <w:num w:numId="20" w16cid:durableId="1404449638">
    <w:abstractNumId w:val="7"/>
  </w:num>
  <w:num w:numId="21" w16cid:durableId="154029444">
    <w:abstractNumId w:val="20"/>
  </w:num>
  <w:num w:numId="22" w16cid:durableId="392776473">
    <w:abstractNumId w:val="9"/>
  </w:num>
  <w:num w:numId="23" w16cid:durableId="1382510917">
    <w:abstractNumId w:val="13"/>
  </w:num>
  <w:num w:numId="24" w16cid:durableId="878277693">
    <w:abstractNumId w:val="17"/>
  </w:num>
  <w:num w:numId="25" w16cid:durableId="137461476">
    <w:abstractNumId w:val="10"/>
  </w:num>
  <w:num w:numId="26" w16cid:durableId="1196187986">
    <w:abstractNumId w:val="6"/>
  </w:num>
  <w:num w:numId="27" w16cid:durableId="1661888320">
    <w:abstractNumId w:val="26"/>
  </w:num>
  <w:num w:numId="28" w16cid:durableId="178214225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1"/>
  <w:removePersonalInformation/>
  <w:removeDateAndTime/>
  <w:defaultTabStop w:val="708"/>
  <w:hyphenationZone w:val="425"/>
  <w:characterSpacingControl w:val="doNotCompress"/>
  <w:hdrShapeDefaults>
    <o:shapedefaults v:ext="edit" spidmax="1228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07EB8"/>
    <w:rsid w:val="00000A45"/>
    <w:rsid w:val="00000F5E"/>
    <w:rsid w:val="00001F73"/>
    <w:rsid w:val="00002127"/>
    <w:rsid w:val="00002C06"/>
    <w:rsid w:val="000032F8"/>
    <w:rsid w:val="000037A1"/>
    <w:rsid w:val="00004200"/>
    <w:rsid w:val="00005962"/>
    <w:rsid w:val="0001073E"/>
    <w:rsid w:val="000108ED"/>
    <w:rsid w:val="00011F4D"/>
    <w:rsid w:val="00012E99"/>
    <w:rsid w:val="00013D3E"/>
    <w:rsid w:val="0001420B"/>
    <w:rsid w:val="00015985"/>
    <w:rsid w:val="000166B2"/>
    <w:rsid w:val="00016D21"/>
    <w:rsid w:val="00024299"/>
    <w:rsid w:val="0002786E"/>
    <w:rsid w:val="00027915"/>
    <w:rsid w:val="000314EA"/>
    <w:rsid w:val="00031891"/>
    <w:rsid w:val="000322F5"/>
    <w:rsid w:val="000328C5"/>
    <w:rsid w:val="0003546E"/>
    <w:rsid w:val="00037DAA"/>
    <w:rsid w:val="000407F2"/>
    <w:rsid w:val="000410A4"/>
    <w:rsid w:val="00041358"/>
    <w:rsid w:val="00041AF7"/>
    <w:rsid w:val="00042CFA"/>
    <w:rsid w:val="00043344"/>
    <w:rsid w:val="00043916"/>
    <w:rsid w:val="00044500"/>
    <w:rsid w:val="00045A45"/>
    <w:rsid w:val="0004618C"/>
    <w:rsid w:val="00046336"/>
    <w:rsid w:val="00046520"/>
    <w:rsid w:val="000465F8"/>
    <w:rsid w:val="0004762A"/>
    <w:rsid w:val="00047E46"/>
    <w:rsid w:val="00050789"/>
    <w:rsid w:val="000513AB"/>
    <w:rsid w:val="000513D5"/>
    <w:rsid w:val="00052499"/>
    <w:rsid w:val="00053A7F"/>
    <w:rsid w:val="00054235"/>
    <w:rsid w:val="000545EF"/>
    <w:rsid w:val="00054BD9"/>
    <w:rsid w:val="00054D37"/>
    <w:rsid w:val="0005666E"/>
    <w:rsid w:val="00056DA0"/>
    <w:rsid w:val="00060104"/>
    <w:rsid w:val="0006060B"/>
    <w:rsid w:val="0006195E"/>
    <w:rsid w:val="00061961"/>
    <w:rsid w:val="00063F0E"/>
    <w:rsid w:val="00065268"/>
    <w:rsid w:val="00065BDF"/>
    <w:rsid w:val="000661DE"/>
    <w:rsid w:val="00066881"/>
    <w:rsid w:val="00066BF8"/>
    <w:rsid w:val="000674E1"/>
    <w:rsid w:val="00070B60"/>
    <w:rsid w:val="00072E75"/>
    <w:rsid w:val="000742FE"/>
    <w:rsid w:val="00074915"/>
    <w:rsid w:val="00075684"/>
    <w:rsid w:val="000817DF"/>
    <w:rsid w:val="00081D72"/>
    <w:rsid w:val="00081DAC"/>
    <w:rsid w:val="00083002"/>
    <w:rsid w:val="000839D6"/>
    <w:rsid w:val="00084A0B"/>
    <w:rsid w:val="000850CC"/>
    <w:rsid w:val="00085212"/>
    <w:rsid w:val="00086C70"/>
    <w:rsid w:val="00090AA3"/>
    <w:rsid w:val="00090BE2"/>
    <w:rsid w:val="000911BB"/>
    <w:rsid w:val="00093308"/>
    <w:rsid w:val="00093E19"/>
    <w:rsid w:val="0009426B"/>
    <w:rsid w:val="0009453E"/>
    <w:rsid w:val="000950A8"/>
    <w:rsid w:val="00095106"/>
    <w:rsid w:val="00095277"/>
    <w:rsid w:val="000972EC"/>
    <w:rsid w:val="000A0A04"/>
    <w:rsid w:val="000A38FF"/>
    <w:rsid w:val="000A485E"/>
    <w:rsid w:val="000A5623"/>
    <w:rsid w:val="000A6B84"/>
    <w:rsid w:val="000A7C37"/>
    <w:rsid w:val="000A7C71"/>
    <w:rsid w:val="000A7F07"/>
    <w:rsid w:val="000B04EF"/>
    <w:rsid w:val="000B07B0"/>
    <w:rsid w:val="000B1650"/>
    <w:rsid w:val="000B2971"/>
    <w:rsid w:val="000B4212"/>
    <w:rsid w:val="000B4966"/>
    <w:rsid w:val="000B55E7"/>
    <w:rsid w:val="000B55F5"/>
    <w:rsid w:val="000B6461"/>
    <w:rsid w:val="000B6C95"/>
    <w:rsid w:val="000B7B1D"/>
    <w:rsid w:val="000C07F5"/>
    <w:rsid w:val="000C08FB"/>
    <w:rsid w:val="000C2932"/>
    <w:rsid w:val="000C3331"/>
    <w:rsid w:val="000C5CE7"/>
    <w:rsid w:val="000C5CEB"/>
    <w:rsid w:val="000C6BE2"/>
    <w:rsid w:val="000D1A9C"/>
    <w:rsid w:val="000E049B"/>
    <w:rsid w:val="000E0F48"/>
    <w:rsid w:val="000E182A"/>
    <w:rsid w:val="000E29C0"/>
    <w:rsid w:val="000E3F7F"/>
    <w:rsid w:val="000E4DE1"/>
    <w:rsid w:val="000E5EB5"/>
    <w:rsid w:val="000E6954"/>
    <w:rsid w:val="000E702D"/>
    <w:rsid w:val="000E7F42"/>
    <w:rsid w:val="000F1472"/>
    <w:rsid w:val="000F2C43"/>
    <w:rsid w:val="000F4178"/>
    <w:rsid w:val="000F57EA"/>
    <w:rsid w:val="000F5B95"/>
    <w:rsid w:val="000F5FF7"/>
    <w:rsid w:val="0010000F"/>
    <w:rsid w:val="00101589"/>
    <w:rsid w:val="0010164D"/>
    <w:rsid w:val="00101B7D"/>
    <w:rsid w:val="0010588B"/>
    <w:rsid w:val="00111A64"/>
    <w:rsid w:val="00111E11"/>
    <w:rsid w:val="00111F21"/>
    <w:rsid w:val="0011326A"/>
    <w:rsid w:val="001148B7"/>
    <w:rsid w:val="00114DA2"/>
    <w:rsid w:val="00114FE6"/>
    <w:rsid w:val="001159A4"/>
    <w:rsid w:val="00116318"/>
    <w:rsid w:val="001226B4"/>
    <w:rsid w:val="001227C1"/>
    <w:rsid w:val="0012293F"/>
    <w:rsid w:val="00123AF4"/>
    <w:rsid w:val="00125AB9"/>
    <w:rsid w:val="00125FC7"/>
    <w:rsid w:val="0012667F"/>
    <w:rsid w:val="00127440"/>
    <w:rsid w:val="00127EC2"/>
    <w:rsid w:val="001322C7"/>
    <w:rsid w:val="00133798"/>
    <w:rsid w:val="0014167E"/>
    <w:rsid w:val="00141CAC"/>
    <w:rsid w:val="00143350"/>
    <w:rsid w:val="0014462F"/>
    <w:rsid w:val="0014608D"/>
    <w:rsid w:val="0014691E"/>
    <w:rsid w:val="00146D59"/>
    <w:rsid w:val="0015114B"/>
    <w:rsid w:val="00151AB3"/>
    <w:rsid w:val="001525BB"/>
    <w:rsid w:val="00152FA7"/>
    <w:rsid w:val="001533DE"/>
    <w:rsid w:val="0015589E"/>
    <w:rsid w:val="00155FCF"/>
    <w:rsid w:val="00156D91"/>
    <w:rsid w:val="0016204C"/>
    <w:rsid w:val="00162A9C"/>
    <w:rsid w:val="00162D25"/>
    <w:rsid w:val="00162F1D"/>
    <w:rsid w:val="00164A1E"/>
    <w:rsid w:val="001655B8"/>
    <w:rsid w:val="001655E2"/>
    <w:rsid w:val="0016757C"/>
    <w:rsid w:val="00172C18"/>
    <w:rsid w:val="00173394"/>
    <w:rsid w:val="001746DA"/>
    <w:rsid w:val="001750CE"/>
    <w:rsid w:val="00177E54"/>
    <w:rsid w:val="00180436"/>
    <w:rsid w:val="00181254"/>
    <w:rsid w:val="001818DE"/>
    <w:rsid w:val="00181959"/>
    <w:rsid w:val="001840C2"/>
    <w:rsid w:val="001845CD"/>
    <w:rsid w:val="00184C98"/>
    <w:rsid w:val="001860DE"/>
    <w:rsid w:val="0018753F"/>
    <w:rsid w:val="001908D3"/>
    <w:rsid w:val="0019151A"/>
    <w:rsid w:val="001937ED"/>
    <w:rsid w:val="00193AC0"/>
    <w:rsid w:val="00193E63"/>
    <w:rsid w:val="00193F6E"/>
    <w:rsid w:val="00195B93"/>
    <w:rsid w:val="00197566"/>
    <w:rsid w:val="00197691"/>
    <w:rsid w:val="001A2862"/>
    <w:rsid w:val="001A318B"/>
    <w:rsid w:val="001A3BB7"/>
    <w:rsid w:val="001A3CF9"/>
    <w:rsid w:val="001A6B48"/>
    <w:rsid w:val="001A6E29"/>
    <w:rsid w:val="001A7CF9"/>
    <w:rsid w:val="001A7EF4"/>
    <w:rsid w:val="001B06BD"/>
    <w:rsid w:val="001B13CC"/>
    <w:rsid w:val="001B4AF4"/>
    <w:rsid w:val="001B7C8E"/>
    <w:rsid w:val="001C11EB"/>
    <w:rsid w:val="001C3396"/>
    <w:rsid w:val="001C42E3"/>
    <w:rsid w:val="001C4F9D"/>
    <w:rsid w:val="001C6D5F"/>
    <w:rsid w:val="001C6FA5"/>
    <w:rsid w:val="001C7696"/>
    <w:rsid w:val="001D07EA"/>
    <w:rsid w:val="001D0F33"/>
    <w:rsid w:val="001D1342"/>
    <w:rsid w:val="001D1449"/>
    <w:rsid w:val="001D16CF"/>
    <w:rsid w:val="001D2BF0"/>
    <w:rsid w:val="001D34BA"/>
    <w:rsid w:val="001D3CDB"/>
    <w:rsid w:val="001D5B3E"/>
    <w:rsid w:val="001E2201"/>
    <w:rsid w:val="001E440C"/>
    <w:rsid w:val="001E497A"/>
    <w:rsid w:val="001E4A85"/>
    <w:rsid w:val="001E4C14"/>
    <w:rsid w:val="001E63FF"/>
    <w:rsid w:val="001E6BEE"/>
    <w:rsid w:val="001E7089"/>
    <w:rsid w:val="001E74E7"/>
    <w:rsid w:val="001F7F5C"/>
    <w:rsid w:val="001F7F68"/>
    <w:rsid w:val="002010E8"/>
    <w:rsid w:val="00203A8D"/>
    <w:rsid w:val="0020474B"/>
    <w:rsid w:val="002056A5"/>
    <w:rsid w:val="00205DF5"/>
    <w:rsid w:val="0020683D"/>
    <w:rsid w:val="00206A86"/>
    <w:rsid w:val="00207550"/>
    <w:rsid w:val="002076C9"/>
    <w:rsid w:val="00214E49"/>
    <w:rsid w:val="00215035"/>
    <w:rsid w:val="002152B2"/>
    <w:rsid w:val="00215BB0"/>
    <w:rsid w:val="00216657"/>
    <w:rsid w:val="002167DA"/>
    <w:rsid w:val="00221224"/>
    <w:rsid w:val="00222B66"/>
    <w:rsid w:val="00224B4C"/>
    <w:rsid w:val="00224C25"/>
    <w:rsid w:val="00224C44"/>
    <w:rsid w:val="00225D80"/>
    <w:rsid w:val="00227495"/>
    <w:rsid w:val="0023018D"/>
    <w:rsid w:val="002306B1"/>
    <w:rsid w:val="00232194"/>
    <w:rsid w:val="0023247D"/>
    <w:rsid w:val="0023260D"/>
    <w:rsid w:val="00233310"/>
    <w:rsid w:val="002335D7"/>
    <w:rsid w:val="002339A5"/>
    <w:rsid w:val="002351F4"/>
    <w:rsid w:val="0023544A"/>
    <w:rsid w:val="0023548B"/>
    <w:rsid w:val="0023701F"/>
    <w:rsid w:val="00237216"/>
    <w:rsid w:val="00237D75"/>
    <w:rsid w:val="00242142"/>
    <w:rsid w:val="002443D2"/>
    <w:rsid w:val="00246737"/>
    <w:rsid w:val="00251C0D"/>
    <w:rsid w:val="00252420"/>
    <w:rsid w:val="002547D7"/>
    <w:rsid w:val="00254982"/>
    <w:rsid w:val="002552EC"/>
    <w:rsid w:val="002556E5"/>
    <w:rsid w:val="0025652D"/>
    <w:rsid w:val="00256777"/>
    <w:rsid w:val="002609EA"/>
    <w:rsid w:val="00262F66"/>
    <w:rsid w:val="00264B5A"/>
    <w:rsid w:val="002658DF"/>
    <w:rsid w:val="00265D55"/>
    <w:rsid w:val="002677F7"/>
    <w:rsid w:val="002711ED"/>
    <w:rsid w:val="002715A4"/>
    <w:rsid w:val="00273D70"/>
    <w:rsid w:val="00274366"/>
    <w:rsid w:val="00274753"/>
    <w:rsid w:val="00275636"/>
    <w:rsid w:val="00275BBE"/>
    <w:rsid w:val="00276AE6"/>
    <w:rsid w:val="002771B2"/>
    <w:rsid w:val="00280850"/>
    <w:rsid w:val="002844E7"/>
    <w:rsid w:val="00285370"/>
    <w:rsid w:val="00286673"/>
    <w:rsid w:val="00286AE8"/>
    <w:rsid w:val="002872A9"/>
    <w:rsid w:val="00290870"/>
    <w:rsid w:val="00291C67"/>
    <w:rsid w:val="00292345"/>
    <w:rsid w:val="00292681"/>
    <w:rsid w:val="00293ECE"/>
    <w:rsid w:val="0029448A"/>
    <w:rsid w:val="0029498C"/>
    <w:rsid w:val="0029615C"/>
    <w:rsid w:val="00296CFD"/>
    <w:rsid w:val="00297C37"/>
    <w:rsid w:val="002A07B0"/>
    <w:rsid w:val="002A23C5"/>
    <w:rsid w:val="002A3114"/>
    <w:rsid w:val="002A40EB"/>
    <w:rsid w:val="002A67F2"/>
    <w:rsid w:val="002A689F"/>
    <w:rsid w:val="002A76C0"/>
    <w:rsid w:val="002B0B6A"/>
    <w:rsid w:val="002B1C87"/>
    <w:rsid w:val="002B2431"/>
    <w:rsid w:val="002B2EF2"/>
    <w:rsid w:val="002B477B"/>
    <w:rsid w:val="002B6CDD"/>
    <w:rsid w:val="002B723A"/>
    <w:rsid w:val="002C19E0"/>
    <w:rsid w:val="002C23DB"/>
    <w:rsid w:val="002C2DCC"/>
    <w:rsid w:val="002C320B"/>
    <w:rsid w:val="002C6387"/>
    <w:rsid w:val="002D07AF"/>
    <w:rsid w:val="002D0A6A"/>
    <w:rsid w:val="002D1660"/>
    <w:rsid w:val="002D1899"/>
    <w:rsid w:val="002D276C"/>
    <w:rsid w:val="002D30BE"/>
    <w:rsid w:val="002D3110"/>
    <w:rsid w:val="002D3E4E"/>
    <w:rsid w:val="002D5A80"/>
    <w:rsid w:val="002D5E51"/>
    <w:rsid w:val="002D75D6"/>
    <w:rsid w:val="002E2B35"/>
    <w:rsid w:val="002E2C8A"/>
    <w:rsid w:val="002E313F"/>
    <w:rsid w:val="002E3846"/>
    <w:rsid w:val="002E49DC"/>
    <w:rsid w:val="002E5E7A"/>
    <w:rsid w:val="002E5F3D"/>
    <w:rsid w:val="002E5F94"/>
    <w:rsid w:val="002E6C32"/>
    <w:rsid w:val="002E6C8F"/>
    <w:rsid w:val="002E79FF"/>
    <w:rsid w:val="002E7D2A"/>
    <w:rsid w:val="002F25BD"/>
    <w:rsid w:val="002F2B9E"/>
    <w:rsid w:val="002F4F27"/>
    <w:rsid w:val="002F50A3"/>
    <w:rsid w:val="002F61A9"/>
    <w:rsid w:val="002F687A"/>
    <w:rsid w:val="002F794D"/>
    <w:rsid w:val="00303929"/>
    <w:rsid w:val="00303F07"/>
    <w:rsid w:val="00303F84"/>
    <w:rsid w:val="0030504D"/>
    <w:rsid w:val="0031043B"/>
    <w:rsid w:val="00310A4A"/>
    <w:rsid w:val="0031108A"/>
    <w:rsid w:val="0031140D"/>
    <w:rsid w:val="003116A0"/>
    <w:rsid w:val="00312CC7"/>
    <w:rsid w:val="00313287"/>
    <w:rsid w:val="0031407A"/>
    <w:rsid w:val="0032268A"/>
    <w:rsid w:val="00322B68"/>
    <w:rsid w:val="00323C8A"/>
    <w:rsid w:val="003261EF"/>
    <w:rsid w:val="00330415"/>
    <w:rsid w:val="00330D2E"/>
    <w:rsid w:val="00331C38"/>
    <w:rsid w:val="0033523A"/>
    <w:rsid w:val="003359D2"/>
    <w:rsid w:val="00336716"/>
    <w:rsid w:val="0033718E"/>
    <w:rsid w:val="00337D11"/>
    <w:rsid w:val="00337D86"/>
    <w:rsid w:val="00343396"/>
    <w:rsid w:val="003437A6"/>
    <w:rsid w:val="00344CAE"/>
    <w:rsid w:val="003474CA"/>
    <w:rsid w:val="0035063C"/>
    <w:rsid w:val="0035188D"/>
    <w:rsid w:val="00353840"/>
    <w:rsid w:val="0035390D"/>
    <w:rsid w:val="00356D32"/>
    <w:rsid w:val="003600A0"/>
    <w:rsid w:val="003605B0"/>
    <w:rsid w:val="003605E8"/>
    <w:rsid w:val="00360D7F"/>
    <w:rsid w:val="00361EEB"/>
    <w:rsid w:val="003622B6"/>
    <w:rsid w:val="00362C00"/>
    <w:rsid w:val="003643F3"/>
    <w:rsid w:val="00365870"/>
    <w:rsid w:val="0036596B"/>
    <w:rsid w:val="003662AA"/>
    <w:rsid w:val="00367542"/>
    <w:rsid w:val="0036756D"/>
    <w:rsid w:val="00373592"/>
    <w:rsid w:val="00373898"/>
    <w:rsid w:val="00373ABF"/>
    <w:rsid w:val="00373F66"/>
    <w:rsid w:val="003745F2"/>
    <w:rsid w:val="00374B25"/>
    <w:rsid w:val="00375168"/>
    <w:rsid w:val="00380308"/>
    <w:rsid w:val="003804FE"/>
    <w:rsid w:val="003826DE"/>
    <w:rsid w:val="00382A10"/>
    <w:rsid w:val="00384DD2"/>
    <w:rsid w:val="00385D4C"/>
    <w:rsid w:val="0038625D"/>
    <w:rsid w:val="00387388"/>
    <w:rsid w:val="00391DE2"/>
    <w:rsid w:val="00393457"/>
    <w:rsid w:val="00394EB7"/>
    <w:rsid w:val="003953A3"/>
    <w:rsid w:val="0039611D"/>
    <w:rsid w:val="00396378"/>
    <w:rsid w:val="003965D7"/>
    <w:rsid w:val="00396B15"/>
    <w:rsid w:val="003A01EA"/>
    <w:rsid w:val="003A01F1"/>
    <w:rsid w:val="003A3177"/>
    <w:rsid w:val="003A675C"/>
    <w:rsid w:val="003A6D1D"/>
    <w:rsid w:val="003A7FF7"/>
    <w:rsid w:val="003B0E2F"/>
    <w:rsid w:val="003B16F9"/>
    <w:rsid w:val="003B2471"/>
    <w:rsid w:val="003B268F"/>
    <w:rsid w:val="003B3338"/>
    <w:rsid w:val="003B3B96"/>
    <w:rsid w:val="003B437F"/>
    <w:rsid w:val="003B48A0"/>
    <w:rsid w:val="003B4E5F"/>
    <w:rsid w:val="003C0620"/>
    <w:rsid w:val="003C1B02"/>
    <w:rsid w:val="003C2F18"/>
    <w:rsid w:val="003C2F7A"/>
    <w:rsid w:val="003C3612"/>
    <w:rsid w:val="003C3674"/>
    <w:rsid w:val="003C425C"/>
    <w:rsid w:val="003C4D7F"/>
    <w:rsid w:val="003C6A76"/>
    <w:rsid w:val="003D10FA"/>
    <w:rsid w:val="003D1DDC"/>
    <w:rsid w:val="003D2C9B"/>
    <w:rsid w:val="003D3F0D"/>
    <w:rsid w:val="003D4112"/>
    <w:rsid w:val="003D42E5"/>
    <w:rsid w:val="003D42E9"/>
    <w:rsid w:val="003D4B14"/>
    <w:rsid w:val="003D4CBC"/>
    <w:rsid w:val="003D7C3E"/>
    <w:rsid w:val="003E0BA4"/>
    <w:rsid w:val="003E0E65"/>
    <w:rsid w:val="003E18F1"/>
    <w:rsid w:val="003E1C29"/>
    <w:rsid w:val="003E1F2C"/>
    <w:rsid w:val="003E1FCB"/>
    <w:rsid w:val="003E2807"/>
    <w:rsid w:val="003E3D41"/>
    <w:rsid w:val="003E4F83"/>
    <w:rsid w:val="003E7645"/>
    <w:rsid w:val="003F0B28"/>
    <w:rsid w:val="003F0C3F"/>
    <w:rsid w:val="003F38F2"/>
    <w:rsid w:val="003F5AE0"/>
    <w:rsid w:val="003F7E4E"/>
    <w:rsid w:val="0040015A"/>
    <w:rsid w:val="00400F49"/>
    <w:rsid w:val="00401D9B"/>
    <w:rsid w:val="004021E9"/>
    <w:rsid w:val="00402481"/>
    <w:rsid w:val="004024C6"/>
    <w:rsid w:val="00403E0B"/>
    <w:rsid w:val="00404A9A"/>
    <w:rsid w:val="00406081"/>
    <w:rsid w:val="004070DC"/>
    <w:rsid w:val="00410C28"/>
    <w:rsid w:val="004113C9"/>
    <w:rsid w:val="00411F6D"/>
    <w:rsid w:val="00412778"/>
    <w:rsid w:val="00412F2E"/>
    <w:rsid w:val="00415117"/>
    <w:rsid w:val="00416F16"/>
    <w:rsid w:val="00417A2A"/>
    <w:rsid w:val="004206ED"/>
    <w:rsid w:val="00421805"/>
    <w:rsid w:val="004219B2"/>
    <w:rsid w:val="00421B5A"/>
    <w:rsid w:val="00422E60"/>
    <w:rsid w:val="00424FDA"/>
    <w:rsid w:val="00425664"/>
    <w:rsid w:val="004265C7"/>
    <w:rsid w:val="004302E1"/>
    <w:rsid w:val="004316F9"/>
    <w:rsid w:val="0043192B"/>
    <w:rsid w:val="00433090"/>
    <w:rsid w:val="00435089"/>
    <w:rsid w:val="00435D6A"/>
    <w:rsid w:val="00437DD6"/>
    <w:rsid w:val="00437F80"/>
    <w:rsid w:val="00440178"/>
    <w:rsid w:val="004422B5"/>
    <w:rsid w:val="00446327"/>
    <w:rsid w:val="00447B55"/>
    <w:rsid w:val="0045119A"/>
    <w:rsid w:val="0045127F"/>
    <w:rsid w:val="004518ED"/>
    <w:rsid w:val="004530A2"/>
    <w:rsid w:val="00453694"/>
    <w:rsid w:val="00454ACE"/>
    <w:rsid w:val="00454D42"/>
    <w:rsid w:val="004552D1"/>
    <w:rsid w:val="00457163"/>
    <w:rsid w:val="0045718E"/>
    <w:rsid w:val="0045774A"/>
    <w:rsid w:val="00460BD2"/>
    <w:rsid w:val="0046130E"/>
    <w:rsid w:val="00461457"/>
    <w:rsid w:val="00462CD6"/>
    <w:rsid w:val="0046383F"/>
    <w:rsid w:val="004644BF"/>
    <w:rsid w:val="00464802"/>
    <w:rsid w:val="0046609A"/>
    <w:rsid w:val="00467047"/>
    <w:rsid w:val="00472475"/>
    <w:rsid w:val="00472F76"/>
    <w:rsid w:val="00473AA2"/>
    <w:rsid w:val="00474447"/>
    <w:rsid w:val="00477D8B"/>
    <w:rsid w:val="004803A1"/>
    <w:rsid w:val="0048071C"/>
    <w:rsid w:val="0048172E"/>
    <w:rsid w:val="00482192"/>
    <w:rsid w:val="00482709"/>
    <w:rsid w:val="00485DEB"/>
    <w:rsid w:val="004875DB"/>
    <w:rsid w:val="004904B7"/>
    <w:rsid w:val="00492E76"/>
    <w:rsid w:val="004932FB"/>
    <w:rsid w:val="00494B02"/>
    <w:rsid w:val="004A061B"/>
    <w:rsid w:val="004A3BE1"/>
    <w:rsid w:val="004A3EE3"/>
    <w:rsid w:val="004A53C4"/>
    <w:rsid w:val="004A620F"/>
    <w:rsid w:val="004A743D"/>
    <w:rsid w:val="004A75F7"/>
    <w:rsid w:val="004A7B8A"/>
    <w:rsid w:val="004B1E30"/>
    <w:rsid w:val="004B2490"/>
    <w:rsid w:val="004B382C"/>
    <w:rsid w:val="004B4010"/>
    <w:rsid w:val="004B49E3"/>
    <w:rsid w:val="004B4BD4"/>
    <w:rsid w:val="004B505F"/>
    <w:rsid w:val="004B55DA"/>
    <w:rsid w:val="004B5B39"/>
    <w:rsid w:val="004C1953"/>
    <w:rsid w:val="004C1F2E"/>
    <w:rsid w:val="004C486B"/>
    <w:rsid w:val="004C5E28"/>
    <w:rsid w:val="004C62C6"/>
    <w:rsid w:val="004C7DA8"/>
    <w:rsid w:val="004D01DA"/>
    <w:rsid w:val="004D1D0F"/>
    <w:rsid w:val="004D36BA"/>
    <w:rsid w:val="004D3B49"/>
    <w:rsid w:val="004D618D"/>
    <w:rsid w:val="004D768F"/>
    <w:rsid w:val="004D7C20"/>
    <w:rsid w:val="004D7DBA"/>
    <w:rsid w:val="004E1DC0"/>
    <w:rsid w:val="004E41D5"/>
    <w:rsid w:val="004E52E3"/>
    <w:rsid w:val="004E5775"/>
    <w:rsid w:val="004E5DD3"/>
    <w:rsid w:val="004F1BB6"/>
    <w:rsid w:val="004F5279"/>
    <w:rsid w:val="004F6206"/>
    <w:rsid w:val="004F7D96"/>
    <w:rsid w:val="00500204"/>
    <w:rsid w:val="00500802"/>
    <w:rsid w:val="00500B2E"/>
    <w:rsid w:val="005020D4"/>
    <w:rsid w:val="00502EDD"/>
    <w:rsid w:val="0051174F"/>
    <w:rsid w:val="00511CBF"/>
    <w:rsid w:val="00512518"/>
    <w:rsid w:val="0051528B"/>
    <w:rsid w:val="005157F8"/>
    <w:rsid w:val="00515AB9"/>
    <w:rsid w:val="00515FAF"/>
    <w:rsid w:val="005166CE"/>
    <w:rsid w:val="0052230B"/>
    <w:rsid w:val="0052388B"/>
    <w:rsid w:val="00524D24"/>
    <w:rsid w:val="00525B7C"/>
    <w:rsid w:val="005264D5"/>
    <w:rsid w:val="005277E3"/>
    <w:rsid w:val="00527DC0"/>
    <w:rsid w:val="005308E7"/>
    <w:rsid w:val="00531EF9"/>
    <w:rsid w:val="0053391D"/>
    <w:rsid w:val="00534ACE"/>
    <w:rsid w:val="00534C38"/>
    <w:rsid w:val="0053767C"/>
    <w:rsid w:val="00537A04"/>
    <w:rsid w:val="00540FA7"/>
    <w:rsid w:val="00541721"/>
    <w:rsid w:val="005419B5"/>
    <w:rsid w:val="00541D16"/>
    <w:rsid w:val="00542C5C"/>
    <w:rsid w:val="005459ED"/>
    <w:rsid w:val="005462A1"/>
    <w:rsid w:val="00546CF2"/>
    <w:rsid w:val="00546E0E"/>
    <w:rsid w:val="00546E57"/>
    <w:rsid w:val="00547878"/>
    <w:rsid w:val="00547CF5"/>
    <w:rsid w:val="00550008"/>
    <w:rsid w:val="005503C1"/>
    <w:rsid w:val="00550712"/>
    <w:rsid w:val="00551498"/>
    <w:rsid w:val="0055270B"/>
    <w:rsid w:val="005527BE"/>
    <w:rsid w:val="005556E8"/>
    <w:rsid w:val="00556062"/>
    <w:rsid w:val="00557435"/>
    <w:rsid w:val="00557555"/>
    <w:rsid w:val="0056057C"/>
    <w:rsid w:val="005605B8"/>
    <w:rsid w:val="00565605"/>
    <w:rsid w:val="0056675B"/>
    <w:rsid w:val="00567A84"/>
    <w:rsid w:val="005736FB"/>
    <w:rsid w:val="00573C43"/>
    <w:rsid w:val="0057413A"/>
    <w:rsid w:val="00574871"/>
    <w:rsid w:val="005751B6"/>
    <w:rsid w:val="00575EC1"/>
    <w:rsid w:val="0057654E"/>
    <w:rsid w:val="005809C9"/>
    <w:rsid w:val="0058196B"/>
    <w:rsid w:val="00582505"/>
    <w:rsid w:val="00583CF4"/>
    <w:rsid w:val="005865CD"/>
    <w:rsid w:val="005865DE"/>
    <w:rsid w:val="0059326C"/>
    <w:rsid w:val="005952BE"/>
    <w:rsid w:val="005967F0"/>
    <w:rsid w:val="00597E26"/>
    <w:rsid w:val="005A3539"/>
    <w:rsid w:val="005A474A"/>
    <w:rsid w:val="005A48F1"/>
    <w:rsid w:val="005A72F9"/>
    <w:rsid w:val="005A7E18"/>
    <w:rsid w:val="005B0B4B"/>
    <w:rsid w:val="005B10ED"/>
    <w:rsid w:val="005B1B2D"/>
    <w:rsid w:val="005B282A"/>
    <w:rsid w:val="005B3F5D"/>
    <w:rsid w:val="005B41F5"/>
    <w:rsid w:val="005B49EA"/>
    <w:rsid w:val="005B4A18"/>
    <w:rsid w:val="005B575F"/>
    <w:rsid w:val="005B6F8D"/>
    <w:rsid w:val="005B7089"/>
    <w:rsid w:val="005C3BAB"/>
    <w:rsid w:val="005C45DA"/>
    <w:rsid w:val="005C4C6F"/>
    <w:rsid w:val="005C5E23"/>
    <w:rsid w:val="005C6355"/>
    <w:rsid w:val="005C6F54"/>
    <w:rsid w:val="005C76A6"/>
    <w:rsid w:val="005D0287"/>
    <w:rsid w:val="005D161E"/>
    <w:rsid w:val="005D2050"/>
    <w:rsid w:val="005D2B62"/>
    <w:rsid w:val="005D370E"/>
    <w:rsid w:val="005D3711"/>
    <w:rsid w:val="005D46C3"/>
    <w:rsid w:val="005D6117"/>
    <w:rsid w:val="005D61AA"/>
    <w:rsid w:val="005D75BB"/>
    <w:rsid w:val="005D7D9B"/>
    <w:rsid w:val="005E0118"/>
    <w:rsid w:val="005E02BC"/>
    <w:rsid w:val="005E0F5F"/>
    <w:rsid w:val="005E124F"/>
    <w:rsid w:val="005E1B2D"/>
    <w:rsid w:val="005E3D98"/>
    <w:rsid w:val="005E43B9"/>
    <w:rsid w:val="005F0ED5"/>
    <w:rsid w:val="005F2104"/>
    <w:rsid w:val="005F2AD4"/>
    <w:rsid w:val="005F68D3"/>
    <w:rsid w:val="005F6925"/>
    <w:rsid w:val="005F7D9B"/>
    <w:rsid w:val="00605D6C"/>
    <w:rsid w:val="006068D2"/>
    <w:rsid w:val="00607AC3"/>
    <w:rsid w:val="00610666"/>
    <w:rsid w:val="006107C9"/>
    <w:rsid w:val="006108A0"/>
    <w:rsid w:val="00611E26"/>
    <w:rsid w:val="00612A83"/>
    <w:rsid w:val="00613846"/>
    <w:rsid w:val="006139E7"/>
    <w:rsid w:val="00620A85"/>
    <w:rsid w:val="00620E07"/>
    <w:rsid w:val="006211BC"/>
    <w:rsid w:val="00622B54"/>
    <w:rsid w:val="00625064"/>
    <w:rsid w:val="00625E3B"/>
    <w:rsid w:val="0062612B"/>
    <w:rsid w:val="00626308"/>
    <w:rsid w:val="006271CE"/>
    <w:rsid w:val="0062751C"/>
    <w:rsid w:val="00627584"/>
    <w:rsid w:val="006311EA"/>
    <w:rsid w:val="00632512"/>
    <w:rsid w:val="00633C43"/>
    <w:rsid w:val="00641774"/>
    <w:rsid w:val="00642390"/>
    <w:rsid w:val="00642554"/>
    <w:rsid w:val="006453D4"/>
    <w:rsid w:val="006462F8"/>
    <w:rsid w:val="00647CBD"/>
    <w:rsid w:val="006509D7"/>
    <w:rsid w:val="00655AD0"/>
    <w:rsid w:val="00660FC4"/>
    <w:rsid w:val="006626F7"/>
    <w:rsid w:val="00664073"/>
    <w:rsid w:val="00664087"/>
    <w:rsid w:val="00664B76"/>
    <w:rsid w:val="00666B98"/>
    <w:rsid w:val="00667531"/>
    <w:rsid w:val="0067076F"/>
    <w:rsid w:val="00672329"/>
    <w:rsid w:val="00672D37"/>
    <w:rsid w:val="00674469"/>
    <w:rsid w:val="006755AC"/>
    <w:rsid w:val="00675F30"/>
    <w:rsid w:val="006807FD"/>
    <w:rsid w:val="006810B2"/>
    <w:rsid w:val="006839D8"/>
    <w:rsid w:val="006840A7"/>
    <w:rsid w:val="00684755"/>
    <w:rsid w:val="00686533"/>
    <w:rsid w:val="006870C8"/>
    <w:rsid w:val="00687649"/>
    <w:rsid w:val="0068777B"/>
    <w:rsid w:val="00690101"/>
    <w:rsid w:val="00691099"/>
    <w:rsid w:val="00691C21"/>
    <w:rsid w:val="006922E8"/>
    <w:rsid w:val="006933CE"/>
    <w:rsid w:val="00696847"/>
    <w:rsid w:val="00696A51"/>
    <w:rsid w:val="006A0BBF"/>
    <w:rsid w:val="006A1AEA"/>
    <w:rsid w:val="006A1E7D"/>
    <w:rsid w:val="006A52C5"/>
    <w:rsid w:val="006B2CFA"/>
    <w:rsid w:val="006B408E"/>
    <w:rsid w:val="006B6D15"/>
    <w:rsid w:val="006B6FEC"/>
    <w:rsid w:val="006B79B9"/>
    <w:rsid w:val="006C080A"/>
    <w:rsid w:val="006C1409"/>
    <w:rsid w:val="006C26FC"/>
    <w:rsid w:val="006C3AEF"/>
    <w:rsid w:val="006C49A2"/>
    <w:rsid w:val="006C542E"/>
    <w:rsid w:val="006C59F7"/>
    <w:rsid w:val="006C5C0E"/>
    <w:rsid w:val="006C75AE"/>
    <w:rsid w:val="006D0636"/>
    <w:rsid w:val="006D0689"/>
    <w:rsid w:val="006D0AE1"/>
    <w:rsid w:val="006D1F16"/>
    <w:rsid w:val="006D5278"/>
    <w:rsid w:val="006D54AC"/>
    <w:rsid w:val="006D6108"/>
    <w:rsid w:val="006D7C60"/>
    <w:rsid w:val="006E0DC2"/>
    <w:rsid w:val="006E19B6"/>
    <w:rsid w:val="006E5265"/>
    <w:rsid w:val="006E52A7"/>
    <w:rsid w:val="006E52CB"/>
    <w:rsid w:val="006E705B"/>
    <w:rsid w:val="006E7D42"/>
    <w:rsid w:val="006E7F0D"/>
    <w:rsid w:val="006F209E"/>
    <w:rsid w:val="006F4094"/>
    <w:rsid w:val="006F4260"/>
    <w:rsid w:val="006F6F22"/>
    <w:rsid w:val="006F708D"/>
    <w:rsid w:val="006F7111"/>
    <w:rsid w:val="0070018B"/>
    <w:rsid w:val="0070090D"/>
    <w:rsid w:val="007037A5"/>
    <w:rsid w:val="00710272"/>
    <w:rsid w:val="00710FD7"/>
    <w:rsid w:val="00715082"/>
    <w:rsid w:val="00723253"/>
    <w:rsid w:val="00724644"/>
    <w:rsid w:val="007246D5"/>
    <w:rsid w:val="007248A4"/>
    <w:rsid w:val="00724A0A"/>
    <w:rsid w:val="0072540F"/>
    <w:rsid w:val="00726D9B"/>
    <w:rsid w:val="00727B26"/>
    <w:rsid w:val="00727BF3"/>
    <w:rsid w:val="007302B4"/>
    <w:rsid w:val="0073496B"/>
    <w:rsid w:val="00735695"/>
    <w:rsid w:val="007357D9"/>
    <w:rsid w:val="007358D4"/>
    <w:rsid w:val="00735BDF"/>
    <w:rsid w:val="00735C16"/>
    <w:rsid w:val="007371C2"/>
    <w:rsid w:val="00737593"/>
    <w:rsid w:val="00737D47"/>
    <w:rsid w:val="007403DC"/>
    <w:rsid w:val="0074067F"/>
    <w:rsid w:val="00740DAF"/>
    <w:rsid w:val="00741728"/>
    <w:rsid w:val="00741CD0"/>
    <w:rsid w:val="007424C7"/>
    <w:rsid w:val="00743741"/>
    <w:rsid w:val="00744407"/>
    <w:rsid w:val="00744ECD"/>
    <w:rsid w:val="00745B01"/>
    <w:rsid w:val="00745FA5"/>
    <w:rsid w:val="00746638"/>
    <w:rsid w:val="00752B36"/>
    <w:rsid w:val="007530F2"/>
    <w:rsid w:val="00753DCE"/>
    <w:rsid w:val="00756638"/>
    <w:rsid w:val="007568A2"/>
    <w:rsid w:val="00756D88"/>
    <w:rsid w:val="00756DDE"/>
    <w:rsid w:val="00760A82"/>
    <w:rsid w:val="00762227"/>
    <w:rsid w:val="007627F2"/>
    <w:rsid w:val="00762B4F"/>
    <w:rsid w:val="00763DB6"/>
    <w:rsid w:val="00763F46"/>
    <w:rsid w:val="00764D76"/>
    <w:rsid w:val="00765C3E"/>
    <w:rsid w:val="0077395C"/>
    <w:rsid w:val="007748A9"/>
    <w:rsid w:val="007754F3"/>
    <w:rsid w:val="00775C17"/>
    <w:rsid w:val="00775DAE"/>
    <w:rsid w:val="00780EBB"/>
    <w:rsid w:val="00780F55"/>
    <w:rsid w:val="0078120D"/>
    <w:rsid w:val="00784DB4"/>
    <w:rsid w:val="00786217"/>
    <w:rsid w:val="007902C6"/>
    <w:rsid w:val="00792415"/>
    <w:rsid w:val="00792458"/>
    <w:rsid w:val="00794167"/>
    <w:rsid w:val="00795919"/>
    <w:rsid w:val="00795FB5"/>
    <w:rsid w:val="00796BA8"/>
    <w:rsid w:val="00797BD9"/>
    <w:rsid w:val="007A0527"/>
    <w:rsid w:val="007A1EFF"/>
    <w:rsid w:val="007A3149"/>
    <w:rsid w:val="007A4927"/>
    <w:rsid w:val="007A4E82"/>
    <w:rsid w:val="007A562F"/>
    <w:rsid w:val="007A7B34"/>
    <w:rsid w:val="007A7CF5"/>
    <w:rsid w:val="007B0DFA"/>
    <w:rsid w:val="007B1186"/>
    <w:rsid w:val="007B1F10"/>
    <w:rsid w:val="007B26B5"/>
    <w:rsid w:val="007B381E"/>
    <w:rsid w:val="007B3DD9"/>
    <w:rsid w:val="007B5225"/>
    <w:rsid w:val="007B6129"/>
    <w:rsid w:val="007B7F42"/>
    <w:rsid w:val="007C11A9"/>
    <w:rsid w:val="007C174D"/>
    <w:rsid w:val="007C3348"/>
    <w:rsid w:val="007D29C7"/>
    <w:rsid w:val="007D3D74"/>
    <w:rsid w:val="007E19E7"/>
    <w:rsid w:val="007E1D6A"/>
    <w:rsid w:val="007E389B"/>
    <w:rsid w:val="007E571A"/>
    <w:rsid w:val="007E5D7D"/>
    <w:rsid w:val="007E5F48"/>
    <w:rsid w:val="007E73F1"/>
    <w:rsid w:val="007F0AB3"/>
    <w:rsid w:val="007F215B"/>
    <w:rsid w:val="007F2806"/>
    <w:rsid w:val="007F7B72"/>
    <w:rsid w:val="008001E6"/>
    <w:rsid w:val="00800418"/>
    <w:rsid w:val="008023A4"/>
    <w:rsid w:val="008032D5"/>
    <w:rsid w:val="0080489B"/>
    <w:rsid w:val="008058A3"/>
    <w:rsid w:val="00805ADC"/>
    <w:rsid w:val="0080609A"/>
    <w:rsid w:val="00806116"/>
    <w:rsid w:val="0080623D"/>
    <w:rsid w:val="008065AE"/>
    <w:rsid w:val="00807DAC"/>
    <w:rsid w:val="00807E1E"/>
    <w:rsid w:val="00807F5D"/>
    <w:rsid w:val="00810AB1"/>
    <w:rsid w:val="00811D21"/>
    <w:rsid w:val="00814BCF"/>
    <w:rsid w:val="0081550F"/>
    <w:rsid w:val="00815ADB"/>
    <w:rsid w:val="00816DF2"/>
    <w:rsid w:val="008179C2"/>
    <w:rsid w:val="008215A9"/>
    <w:rsid w:val="00822756"/>
    <w:rsid w:val="00825483"/>
    <w:rsid w:val="00830E45"/>
    <w:rsid w:val="00831061"/>
    <w:rsid w:val="00831CAB"/>
    <w:rsid w:val="00831CE5"/>
    <w:rsid w:val="008340B1"/>
    <w:rsid w:val="008355A0"/>
    <w:rsid w:val="00835C51"/>
    <w:rsid w:val="00835D1D"/>
    <w:rsid w:val="00836950"/>
    <w:rsid w:val="00843626"/>
    <w:rsid w:val="00843D6D"/>
    <w:rsid w:val="008440A0"/>
    <w:rsid w:val="00845182"/>
    <w:rsid w:val="00845FCA"/>
    <w:rsid w:val="008527FF"/>
    <w:rsid w:val="00852BA3"/>
    <w:rsid w:val="00852FF3"/>
    <w:rsid w:val="008532E6"/>
    <w:rsid w:val="00854991"/>
    <w:rsid w:val="008561A7"/>
    <w:rsid w:val="008578C8"/>
    <w:rsid w:val="008629DF"/>
    <w:rsid w:val="008633D5"/>
    <w:rsid w:val="008643EA"/>
    <w:rsid w:val="008646FA"/>
    <w:rsid w:val="00865DF4"/>
    <w:rsid w:val="00866ACE"/>
    <w:rsid w:val="00867F37"/>
    <w:rsid w:val="008742A9"/>
    <w:rsid w:val="00874C6E"/>
    <w:rsid w:val="00876A1D"/>
    <w:rsid w:val="00876F6C"/>
    <w:rsid w:val="00881072"/>
    <w:rsid w:val="00881F4A"/>
    <w:rsid w:val="008845B7"/>
    <w:rsid w:val="008866B4"/>
    <w:rsid w:val="00886D68"/>
    <w:rsid w:val="00887B31"/>
    <w:rsid w:val="00887EE2"/>
    <w:rsid w:val="008902BB"/>
    <w:rsid w:val="00890483"/>
    <w:rsid w:val="00890934"/>
    <w:rsid w:val="00891223"/>
    <w:rsid w:val="00892359"/>
    <w:rsid w:val="0089254D"/>
    <w:rsid w:val="00892811"/>
    <w:rsid w:val="00892EAE"/>
    <w:rsid w:val="00894AD7"/>
    <w:rsid w:val="008977C4"/>
    <w:rsid w:val="00897AEA"/>
    <w:rsid w:val="008A0FF3"/>
    <w:rsid w:val="008A1162"/>
    <w:rsid w:val="008A2351"/>
    <w:rsid w:val="008A25E3"/>
    <w:rsid w:val="008A27E8"/>
    <w:rsid w:val="008A40C8"/>
    <w:rsid w:val="008A4DCF"/>
    <w:rsid w:val="008A59D4"/>
    <w:rsid w:val="008B0994"/>
    <w:rsid w:val="008B2EAF"/>
    <w:rsid w:val="008B54D3"/>
    <w:rsid w:val="008B61DC"/>
    <w:rsid w:val="008C18A9"/>
    <w:rsid w:val="008C28FD"/>
    <w:rsid w:val="008C2D1B"/>
    <w:rsid w:val="008C3CED"/>
    <w:rsid w:val="008C3D3A"/>
    <w:rsid w:val="008C6EAA"/>
    <w:rsid w:val="008D1C89"/>
    <w:rsid w:val="008D3705"/>
    <w:rsid w:val="008D4A3E"/>
    <w:rsid w:val="008D7670"/>
    <w:rsid w:val="008E0388"/>
    <w:rsid w:val="008E145E"/>
    <w:rsid w:val="008E16FC"/>
    <w:rsid w:val="008E1C03"/>
    <w:rsid w:val="008E44D3"/>
    <w:rsid w:val="008E5DFD"/>
    <w:rsid w:val="008E5EA5"/>
    <w:rsid w:val="008E7D00"/>
    <w:rsid w:val="008F0D98"/>
    <w:rsid w:val="008F324B"/>
    <w:rsid w:val="008F32FD"/>
    <w:rsid w:val="008F3BC3"/>
    <w:rsid w:val="008F5B16"/>
    <w:rsid w:val="008F5D0D"/>
    <w:rsid w:val="008F6CF4"/>
    <w:rsid w:val="00902414"/>
    <w:rsid w:val="00903867"/>
    <w:rsid w:val="00903A3B"/>
    <w:rsid w:val="009049B4"/>
    <w:rsid w:val="00905341"/>
    <w:rsid w:val="00910075"/>
    <w:rsid w:val="00912290"/>
    <w:rsid w:val="00912ADF"/>
    <w:rsid w:val="00912D45"/>
    <w:rsid w:val="00912FF7"/>
    <w:rsid w:val="009138BF"/>
    <w:rsid w:val="00913A93"/>
    <w:rsid w:val="009142E6"/>
    <w:rsid w:val="0091436C"/>
    <w:rsid w:val="00915DC0"/>
    <w:rsid w:val="00916AFC"/>
    <w:rsid w:val="009179BB"/>
    <w:rsid w:val="00923BA8"/>
    <w:rsid w:val="00925168"/>
    <w:rsid w:val="009251DF"/>
    <w:rsid w:val="0092557C"/>
    <w:rsid w:val="009261B6"/>
    <w:rsid w:val="0093006C"/>
    <w:rsid w:val="00931337"/>
    <w:rsid w:val="0093331E"/>
    <w:rsid w:val="00934E0C"/>
    <w:rsid w:val="00937A70"/>
    <w:rsid w:val="00940270"/>
    <w:rsid w:val="0094301C"/>
    <w:rsid w:val="00943234"/>
    <w:rsid w:val="00944971"/>
    <w:rsid w:val="00944F1A"/>
    <w:rsid w:val="00946F16"/>
    <w:rsid w:val="00947309"/>
    <w:rsid w:val="009509FB"/>
    <w:rsid w:val="00950FDA"/>
    <w:rsid w:val="00951823"/>
    <w:rsid w:val="00955A60"/>
    <w:rsid w:val="00955B29"/>
    <w:rsid w:val="00956278"/>
    <w:rsid w:val="00960900"/>
    <w:rsid w:val="009610C0"/>
    <w:rsid w:val="0096123F"/>
    <w:rsid w:val="00961B6E"/>
    <w:rsid w:val="009623F2"/>
    <w:rsid w:val="00962D79"/>
    <w:rsid w:val="00962ED1"/>
    <w:rsid w:val="00964791"/>
    <w:rsid w:val="00964A58"/>
    <w:rsid w:val="00966114"/>
    <w:rsid w:val="00966F53"/>
    <w:rsid w:val="00970385"/>
    <w:rsid w:val="00970411"/>
    <w:rsid w:val="00972CD1"/>
    <w:rsid w:val="00973D59"/>
    <w:rsid w:val="00974568"/>
    <w:rsid w:val="00974ADE"/>
    <w:rsid w:val="00974E72"/>
    <w:rsid w:val="00975204"/>
    <w:rsid w:val="00975321"/>
    <w:rsid w:val="00975676"/>
    <w:rsid w:val="009758A5"/>
    <w:rsid w:val="00976775"/>
    <w:rsid w:val="00976E09"/>
    <w:rsid w:val="009779C3"/>
    <w:rsid w:val="00981666"/>
    <w:rsid w:val="00981B5A"/>
    <w:rsid w:val="009825D2"/>
    <w:rsid w:val="00982A26"/>
    <w:rsid w:val="00982EBA"/>
    <w:rsid w:val="009832AA"/>
    <w:rsid w:val="009836D7"/>
    <w:rsid w:val="00983B66"/>
    <w:rsid w:val="0098577F"/>
    <w:rsid w:val="00986B70"/>
    <w:rsid w:val="00986C9D"/>
    <w:rsid w:val="009871A0"/>
    <w:rsid w:val="009874E4"/>
    <w:rsid w:val="00987F08"/>
    <w:rsid w:val="009906C9"/>
    <w:rsid w:val="00991000"/>
    <w:rsid w:val="009924DC"/>
    <w:rsid w:val="00992903"/>
    <w:rsid w:val="009938EF"/>
    <w:rsid w:val="009A0636"/>
    <w:rsid w:val="009A0A60"/>
    <w:rsid w:val="009A1A6E"/>
    <w:rsid w:val="009A1D0B"/>
    <w:rsid w:val="009A1D67"/>
    <w:rsid w:val="009A6DF4"/>
    <w:rsid w:val="009B15A1"/>
    <w:rsid w:val="009B2688"/>
    <w:rsid w:val="009B4982"/>
    <w:rsid w:val="009B64BB"/>
    <w:rsid w:val="009C00A7"/>
    <w:rsid w:val="009C19E9"/>
    <w:rsid w:val="009C3137"/>
    <w:rsid w:val="009C694D"/>
    <w:rsid w:val="009D13BE"/>
    <w:rsid w:val="009D181E"/>
    <w:rsid w:val="009D2E02"/>
    <w:rsid w:val="009D4FF0"/>
    <w:rsid w:val="009D64F7"/>
    <w:rsid w:val="009D74B7"/>
    <w:rsid w:val="009E21CD"/>
    <w:rsid w:val="009E2506"/>
    <w:rsid w:val="009E2563"/>
    <w:rsid w:val="009E3C21"/>
    <w:rsid w:val="009E4BC8"/>
    <w:rsid w:val="009E5C39"/>
    <w:rsid w:val="009E6DF2"/>
    <w:rsid w:val="009E6E3B"/>
    <w:rsid w:val="009E71A8"/>
    <w:rsid w:val="009F0D0F"/>
    <w:rsid w:val="009F1410"/>
    <w:rsid w:val="009F195A"/>
    <w:rsid w:val="009F6E5C"/>
    <w:rsid w:val="00A007B7"/>
    <w:rsid w:val="00A00B56"/>
    <w:rsid w:val="00A011B7"/>
    <w:rsid w:val="00A01D52"/>
    <w:rsid w:val="00A037A2"/>
    <w:rsid w:val="00A06B2F"/>
    <w:rsid w:val="00A06E6A"/>
    <w:rsid w:val="00A07D34"/>
    <w:rsid w:val="00A129B4"/>
    <w:rsid w:val="00A153C0"/>
    <w:rsid w:val="00A163AB"/>
    <w:rsid w:val="00A1640E"/>
    <w:rsid w:val="00A16B55"/>
    <w:rsid w:val="00A17F76"/>
    <w:rsid w:val="00A21108"/>
    <w:rsid w:val="00A2534B"/>
    <w:rsid w:val="00A25732"/>
    <w:rsid w:val="00A2612F"/>
    <w:rsid w:val="00A275C4"/>
    <w:rsid w:val="00A27602"/>
    <w:rsid w:val="00A27908"/>
    <w:rsid w:val="00A335BB"/>
    <w:rsid w:val="00A34016"/>
    <w:rsid w:val="00A34B71"/>
    <w:rsid w:val="00A34CB3"/>
    <w:rsid w:val="00A3712B"/>
    <w:rsid w:val="00A40165"/>
    <w:rsid w:val="00A405ED"/>
    <w:rsid w:val="00A44A11"/>
    <w:rsid w:val="00A47D5E"/>
    <w:rsid w:val="00A501E6"/>
    <w:rsid w:val="00A513E6"/>
    <w:rsid w:val="00A54859"/>
    <w:rsid w:val="00A57A74"/>
    <w:rsid w:val="00A6141A"/>
    <w:rsid w:val="00A62EB8"/>
    <w:rsid w:val="00A650E5"/>
    <w:rsid w:val="00A65DE1"/>
    <w:rsid w:val="00A66009"/>
    <w:rsid w:val="00A676F5"/>
    <w:rsid w:val="00A678D2"/>
    <w:rsid w:val="00A7035B"/>
    <w:rsid w:val="00A80220"/>
    <w:rsid w:val="00A811A5"/>
    <w:rsid w:val="00A83754"/>
    <w:rsid w:val="00A83D29"/>
    <w:rsid w:val="00A841B2"/>
    <w:rsid w:val="00A84A2F"/>
    <w:rsid w:val="00A853B1"/>
    <w:rsid w:val="00A85FBA"/>
    <w:rsid w:val="00A862F7"/>
    <w:rsid w:val="00A865A1"/>
    <w:rsid w:val="00A86DBA"/>
    <w:rsid w:val="00A9109B"/>
    <w:rsid w:val="00A91C31"/>
    <w:rsid w:val="00A91E6A"/>
    <w:rsid w:val="00A921DB"/>
    <w:rsid w:val="00A92528"/>
    <w:rsid w:val="00A92701"/>
    <w:rsid w:val="00A92FCC"/>
    <w:rsid w:val="00A93068"/>
    <w:rsid w:val="00A94EDD"/>
    <w:rsid w:val="00A9516A"/>
    <w:rsid w:val="00A961DE"/>
    <w:rsid w:val="00A96501"/>
    <w:rsid w:val="00A9699E"/>
    <w:rsid w:val="00AA07A7"/>
    <w:rsid w:val="00AA16FE"/>
    <w:rsid w:val="00AA2B46"/>
    <w:rsid w:val="00AA3215"/>
    <w:rsid w:val="00AA4A98"/>
    <w:rsid w:val="00AA55EB"/>
    <w:rsid w:val="00AB0753"/>
    <w:rsid w:val="00AB2B0B"/>
    <w:rsid w:val="00AB5E96"/>
    <w:rsid w:val="00AB656B"/>
    <w:rsid w:val="00AC10E7"/>
    <w:rsid w:val="00AC4760"/>
    <w:rsid w:val="00AC6DA2"/>
    <w:rsid w:val="00AD1BBE"/>
    <w:rsid w:val="00AD2A46"/>
    <w:rsid w:val="00AD34FA"/>
    <w:rsid w:val="00AD448F"/>
    <w:rsid w:val="00AE06D1"/>
    <w:rsid w:val="00AE0B13"/>
    <w:rsid w:val="00AE353A"/>
    <w:rsid w:val="00AE4175"/>
    <w:rsid w:val="00AE4A3B"/>
    <w:rsid w:val="00AE5102"/>
    <w:rsid w:val="00AE6EB9"/>
    <w:rsid w:val="00AE75ED"/>
    <w:rsid w:val="00AE7E24"/>
    <w:rsid w:val="00AF0788"/>
    <w:rsid w:val="00AF297F"/>
    <w:rsid w:val="00AF406D"/>
    <w:rsid w:val="00AF5A48"/>
    <w:rsid w:val="00B00695"/>
    <w:rsid w:val="00B031A3"/>
    <w:rsid w:val="00B04D00"/>
    <w:rsid w:val="00B0561D"/>
    <w:rsid w:val="00B0573D"/>
    <w:rsid w:val="00B069ED"/>
    <w:rsid w:val="00B070B0"/>
    <w:rsid w:val="00B07EF4"/>
    <w:rsid w:val="00B100A8"/>
    <w:rsid w:val="00B10331"/>
    <w:rsid w:val="00B10D16"/>
    <w:rsid w:val="00B11C20"/>
    <w:rsid w:val="00B13608"/>
    <w:rsid w:val="00B14113"/>
    <w:rsid w:val="00B15D35"/>
    <w:rsid w:val="00B1634D"/>
    <w:rsid w:val="00B20A60"/>
    <w:rsid w:val="00B21134"/>
    <w:rsid w:val="00B213C7"/>
    <w:rsid w:val="00B24A06"/>
    <w:rsid w:val="00B24BA5"/>
    <w:rsid w:val="00B273F0"/>
    <w:rsid w:val="00B279F2"/>
    <w:rsid w:val="00B27A01"/>
    <w:rsid w:val="00B32626"/>
    <w:rsid w:val="00B328BB"/>
    <w:rsid w:val="00B33007"/>
    <w:rsid w:val="00B33972"/>
    <w:rsid w:val="00B36215"/>
    <w:rsid w:val="00B36289"/>
    <w:rsid w:val="00B36B6C"/>
    <w:rsid w:val="00B37E9E"/>
    <w:rsid w:val="00B41872"/>
    <w:rsid w:val="00B42950"/>
    <w:rsid w:val="00B464D5"/>
    <w:rsid w:val="00B4686A"/>
    <w:rsid w:val="00B469A5"/>
    <w:rsid w:val="00B47920"/>
    <w:rsid w:val="00B520C2"/>
    <w:rsid w:val="00B52159"/>
    <w:rsid w:val="00B52270"/>
    <w:rsid w:val="00B52684"/>
    <w:rsid w:val="00B52B02"/>
    <w:rsid w:val="00B53893"/>
    <w:rsid w:val="00B53B42"/>
    <w:rsid w:val="00B54561"/>
    <w:rsid w:val="00B5596E"/>
    <w:rsid w:val="00B57B42"/>
    <w:rsid w:val="00B60F0E"/>
    <w:rsid w:val="00B6342B"/>
    <w:rsid w:val="00B63631"/>
    <w:rsid w:val="00B64AB3"/>
    <w:rsid w:val="00B64EE5"/>
    <w:rsid w:val="00B65640"/>
    <w:rsid w:val="00B65DE0"/>
    <w:rsid w:val="00B66853"/>
    <w:rsid w:val="00B66EB7"/>
    <w:rsid w:val="00B67329"/>
    <w:rsid w:val="00B67802"/>
    <w:rsid w:val="00B7078B"/>
    <w:rsid w:val="00B70812"/>
    <w:rsid w:val="00B7081F"/>
    <w:rsid w:val="00B73694"/>
    <w:rsid w:val="00B75A1F"/>
    <w:rsid w:val="00B768D8"/>
    <w:rsid w:val="00B76A99"/>
    <w:rsid w:val="00B8164B"/>
    <w:rsid w:val="00B820BE"/>
    <w:rsid w:val="00B82436"/>
    <w:rsid w:val="00B904BD"/>
    <w:rsid w:val="00B91294"/>
    <w:rsid w:val="00B9180D"/>
    <w:rsid w:val="00B9221B"/>
    <w:rsid w:val="00B9461E"/>
    <w:rsid w:val="00B94800"/>
    <w:rsid w:val="00B94F1B"/>
    <w:rsid w:val="00B954F4"/>
    <w:rsid w:val="00BA0737"/>
    <w:rsid w:val="00BA2DF7"/>
    <w:rsid w:val="00BA2FF8"/>
    <w:rsid w:val="00BA73E1"/>
    <w:rsid w:val="00BB071F"/>
    <w:rsid w:val="00BB07F4"/>
    <w:rsid w:val="00BB2C11"/>
    <w:rsid w:val="00BB4911"/>
    <w:rsid w:val="00BB4EDA"/>
    <w:rsid w:val="00BB58E7"/>
    <w:rsid w:val="00BB683F"/>
    <w:rsid w:val="00BB74B5"/>
    <w:rsid w:val="00BB7FBA"/>
    <w:rsid w:val="00BC00DF"/>
    <w:rsid w:val="00BC0A06"/>
    <w:rsid w:val="00BC2771"/>
    <w:rsid w:val="00BC3279"/>
    <w:rsid w:val="00BC3FAD"/>
    <w:rsid w:val="00BC4547"/>
    <w:rsid w:val="00BC6948"/>
    <w:rsid w:val="00BD0F81"/>
    <w:rsid w:val="00BD1A7B"/>
    <w:rsid w:val="00BD20D1"/>
    <w:rsid w:val="00BD30DC"/>
    <w:rsid w:val="00BD31D7"/>
    <w:rsid w:val="00BD340A"/>
    <w:rsid w:val="00BD3A60"/>
    <w:rsid w:val="00BD427B"/>
    <w:rsid w:val="00BD4777"/>
    <w:rsid w:val="00BD7EE0"/>
    <w:rsid w:val="00BE08EA"/>
    <w:rsid w:val="00BE4DFD"/>
    <w:rsid w:val="00BE58A1"/>
    <w:rsid w:val="00BE6286"/>
    <w:rsid w:val="00BF03F0"/>
    <w:rsid w:val="00BF070A"/>
    <w:rsid w:val="00BF1CF9"/>
    <w:rsid w:val="00BF2636"/>
    <w:rsid w:val="00BF27F3"/>
    <w:rsid w:val="00BF33CE"/>
    <w:rsid w:val="00BF3DAB"/>
    <w:rsid w:val="00BF45F9"/>
    <w:rsid w:val="00BF4815"/>
    <w:rsid w:val="00BF595B"/>
    <w:rsid w:val="00BF5E82"/>
    <w:rsid w:val="00C002ED"/>
    <w:rsid w:val="00C0048C"/>
    <w:rsid w:val="00C01B77"/>
    <w:rsid w:val="00C02006"/>
    <w:rsid w:val="00C0430D"/>
    <w:rsid w:val="00C0439F"/>
    <w:rsid w:val="00C056DF"/>
    <w:rsid w:val="00C0609B"/>
    <w:rsid w:val="00C07213"/>
    <w:rsid w:val="00C0763C"/>
    <w:rsid w:val="00C1011B"/>
    <w:rsid w:val="00C10212"/>
    <w:rsid w:val="00C11059"/>
    <w:rsid w:val="00C11863"/>
    <w:rsid w:val="00C126D3"/>
    <w:rsid w:val="00C145A0"/>
    <w:rsid w:val="00C1495F"/>
    <w:rsid w:val="00C1533B"/>
    <w:rsid w:val="00C17649"/>
    <w:rsid w:val="00C2254A"/>
    <w:rsid w:val="00C2334C"/>
    <w:rsid w:val="00C2335D"/>
    <w:rsid w:val="00C234A8"/>
    <w:rsid w:val="00C23DF3"/>
    <w:rsid w:val="00C254A9"/>
    <w:rsid w:val="00C266C4"/>
    <w:rsid w:val="00C27CF7"/>
    <w:rsid w:val="00C27E54"/>
    <w:rsid w:val="00C30960"/>
    <w:rsid w:val="00C32A38"/>
    <w:rsid w:val="00C35DBD"/>
    <w:rsid w:val="00C37D67"/>
    <w:rsid w:val="00C416AE"/>
    <w:rsid w:val="00C41FD0"/>
    <w:rsid w:val="00C421AD"/>
    <w:rsid w:val="00C4220E"/>
    <w:rsid w:val="00C422C2"/>
    <w:rsid w:val="00C43285"/>
    <w:rsid w:val="00C450B6"/>
    <w:rsid w:val="00C450EF"/>
    <w:rsid w:val="00C4514D"/>
    <w:rsid w:val="00C51FE3"/>
    <w:rsid w:val="00C528A0"/>
    <w:rsid w:val="00C52B8B"/>
    <w:rsid w:val="00C53A55"/>
    <w:rsid w:val="00C53D00"/>
    <w:rsid w:val="00C53F1B"/>
    <w:rsid w:val="00C546A9"/>
    <w:rsid w:val="00C571D3"/>
    <w:rsid w:val="00C60806"/>
    <w:rsid w:val="00C62D07"/>
    <w:rsid w:val="00C62E0B"/>
    <w:rsid w:val="00C63128"/>
    <w:rsid w:val="00C631EC"/>
    <w:rsid w:val="00C63A85"/>
    <w:rsid w:val="00C66053"/>
    <w:rsid w:val="00C66AE2"/>
    <w:rsid w:val="00C7218F"/>
    <w:rsid w:val="00C73836"/>
    <w:rsid w:val="00C73911"/>
    <w:rsid w:val="00C755AC"/>
    <w:rsid w:val="00C76115"/>
    <w:rsid w:val="00C77DF3"/>
    <w:rsid w:val="00C80D86"/>
    <w:rsid w:val="00C81D7E"/>
    <w:rsid w:val="00C82FAA"/>
    <w:rsid w:val="00C848D3"/>
    <w:rsid w:val="00C858B5"/>
    <w:rsid w:val="00C85E00"/>
    <w:rsid w:val="00C85E1E"/>
    <w:rsid w:val="00C8691F"/>
    <w:rsid w:val="00C86BFD"/>
    <w:rsid w:val="00C927CC"/>
    <w:rsid w:val="00C947B0"/>
    <w:rsid w:val="00C94FCD"/>
    <w:rsid w:val="00C96BA8"/>
    <w:rsid w:val="00C96BC4"/>
    <w:rsid w:val="00C96E70"/>
    <w:rsid w:val="00CA1DC7"/>
    <w:rsid w:val="00CA4BD9"/>
    <w:rsid w:val="00CA5B78"/>
    <w:rsid w:val="00CA5C90"/>
    <w:rsid w:val="00CA68DB"/>
    <w:rsid w:val="00CB2127"/>
    <w:rsid w:val="00CB2797"/>
    <w:rsid w:val="00CB36C5"/>
    <w:rsid w:val="00CB3A4E"/>
    <w:rsid w:val="00CB50A6"/>
    <w:rsid w:val="00CB51A0"/>
    <w:rsid w:val="00CB52A9"/>
    <w:rsid w:val="00CB5DC9"/>
    <w:rsid w:val="00CC0B91"/>
    <w:rsid w:val="00CC1AB1"/>
    <w:rsid w:val="00CC220D"/>
    <w:rsid w:val="00CC2746"/>
    <w:rsid w:val="00CC3F33"/>
    <w:rsid w:val="00CC4DDC"/>
    <w:rsid w:val="00CC58F5"/>
    <w:rsid w:val="00CC5F37"/>
    <w:rsid w:val="00CC72AF"/>
    <w:rsid w:val="00CC77C6"/>
    <w:rsid w:val="00CC7A74"/>
    <w:rsid w:val="00CD0C7B"/>
    <w:rsid w:val="00CD3281"/>
    <w:rsid w:val="00CD3A40"/>
    <w:rsid w:val="00CD4989"/>
    <w:rsid w:val="00CD4BFD"/>
    <w:rsid w:val="00CD7EB9"/>
    <w:rsid w:val="00CE1F23"/>
    <w:rsid w:val="00CE2F48"/>
    <w:rsid w:val="00CE4663"/>
    <w:rsid w:val="00CE4676"/>
    <w:rsid w:val="00CE46FD"/>
    <w:rsid w:val="00CE4FC3"/>
    <w:rsid w:val="00CE5515"/>
    <w:rsid w:val="00CE6334"/>
    <w:rsid w:val="00CE7963"/>
    <w:rsid w:val="00CF07CD"/>
    <w:rsid w:val="00CF0E76"/>
    <w:rsid w:val="00CF1246"/>
    <w:rsid w:val="00CF1C22"/>
    <w:rsid w:val="00CF304F"/>
    <w:rsid w:val="00CF39DA"/>
    <w:rsid w:val="00CF3B24"/>
    <w:rsid w:val="00CF40CD"/>
    <w:rsid w:val="00CF4B99"/>
    <w:rsid w:val="00CF4D2C"/>
    <w:rsid w:val="00CF4DDC"/>
    <w:rsid w:val="00CF672F"/>
    <w:rsid w:val="00CF67D4"/>
    <w:rsid w:val="00CF689D"/>
    <w:rsid w:val="00D01E5C"/>
    <w:rsid w:val="00D02810"/>
    <w:rsid w:val="00D0464D"/>
    <w:rsid w:val="00D060B1"/>
    <w:rsid w:val="00D061F0"/>
    <w:rsid w:val="00D10CD8"/>
    <w:rsid w:val="00D125C1"/>
    <w:rsid w:val="00D20585"/>
    <w:rsid w:val="00D20917"/>
    <w:rsid w:val="00D20CEE"/>
    <w:rsid w:val="00D22101"/>
    <w:rsid w:val="00D22EA4"/>
    <w:rsid w:val="00D2752D"/>
    <w:rsid w:val="00D27827"/>
    <w:rsid w:val="00D304DC"/>
    <w:rsid w:val="00D32897"/>
    <w:rsid w:val="00D32E49"/>
    <w:rsid w:val="00D37914"/>
    <w:rsid w:val="00D41BAC"/>
    <w:rsid w:val="00D42773"/>
    <w:rsid w:val="00D44C6D"/>
    <w:rsid w:val="00D468B6"/>
    <w:rsid w:val="00D46FF0"/>
    <w:rsid w:val="00D475B0"/>
    <w:rsid w:val="00D47F56"/>
    <w:rsid w:val="00D51EFB"/>
    <w:rsid w:val="00D525D0"/>
    <w:rsid w:val="00D52D5E"/>
    <w:rsid w:val="00D53149"/>
    <w:rsid w:val="00D53D4C"/>
    <w:rsid w:val="00D540C3"/>
    <w:rsid w:val="00D54288"/>
    <w:rsid w:val="00D54F0F"/>
    <w:rsid w:val="00D57B1A"/>
    <w:rsid w:val="00D606CD"/>
    <w:rsid w:val="00D62DDB"/>
    <w:rsid w:val="00D6693D"/>
    <w:rsid w:val="00D6783A"/>
    <w:rsid w:val="00D67D85"/>
    <w:rsid w:val="00D70F98"/>
    <w:rsid w:val="00D71235"/>
    <w:rsid w:val="00D72240"/>
    <w:rsid w:val="00D722E0"/>
    <w:rsid w:val="00D72307"/>
    <w:rsid w:val="00D724D5"/>
    <w:rsid w:val="00D72A6F"/>
    <w:rsid w:val="00D73ADE"/>
    <w:rsid w:val="00D76D24"/>
    <w:rsid w:val="00D809DB"/>
    <w:rsid w:val="00D814C3"/>
    <w:rsid w:val="00D8271B"/>
    <w:rsid w:val="00D82C24"/>
    <w:rsid w:val="00D82E18"/>
    <w:rsid w:val="00D8408B"/>
    <w:rsid w:val="00D86C8D"/>
    <w:rsid w:val="00D87412"/>
    <w:rsid w:val="00D8757F"/>
    <w:rsid w:val="00D87DD1"/>
    <w:rsid w:val="00D9021C"/>
    <w:rsid w:val="00D912A5"/>
    <w:rsid w:val="00D922D6"/>
    <w:rsid w:val="00D935FD"/>
    <w:rsid w:val="00D93A7A"/>
    <w:rsid w:val="00D95F6C"/>
    <w:rsid w:val="00D9605A"/>
    <w:rsid w:val="00D96A7C"/>
    <w:rsid w:val="00D96AFD"/>
    <w:rsid w:val="00D97F55"/>
    <w:rsid w:val="00DA12BA"/>
    <w:rsid w:val="00DA16C9"/>
    <w:rsid w:val="00DA2B13"/>
    <w:rsid w:val="00DA31C7"/>
    <w:rsid w:val="00DA3858"/>
    <w:rsid w:val="00DA386A"/>
    <w:rsid w:val="00DA3D66"/>
    <w:rsid w:val="00DA504F"/>
    <w:rsid w:val="00DA551C"/>
    <w:rsid w:val="00DA73AE"/>
    <w:rsid w:val="00DB11E1"/>
    <w:rsid w:val="00DB29B1"/>
    <w:rsid w:val="00DB3803"/>
    <w:rsid w:val="00DB3919"/>
    <w:rsid w:val="00DB4EBA"/>
    <w:rsid w:val="00DB53DB"/>
    <w:rsid w:val="00DB5768"/>
    <w:rsid w:val="00DB7255"/>
    <w:rsid w:val="00DB775A"/>
    <w:rsid w:val="00DC0ACB"/>
    <w:rsid w:val="00DC1F11"/>
    <w:rsid w:val="00DC23B8"/>
    <w:rsid w:val="00DC2838"/>
    <w:rsid w:val="00DC2959"/>
    <w:rsid w:val="00DC36A5"/>
    <w:rsid w:val="00DC3D9F"/>
    <w:rsid w:val="00DC513F"/>
    <w:rsid w:val="00DC58BD"/>
    <w:rsid w:val="00DC621B"/>
    <w:rsid w:val="00DC6BBE"/>
    <w:rsid w:val="00DC6E3B"/>
    <w:rsid w:val="00DC6E6C"/>
    <w:rsid w:val="00DC7200"/>
    <w:rsid w:val="00DC7C8C"/>
    <w:rsid w:val="00DD2264"/>
    <w:rsid w:val="00DD28C9"/>
    <w:rsid w:val="00DD2AFA"/>
    <w:rsid w:val="00DD37BF"/>
    <w:rsid w:val="00DD4683"/>
    <w:rsid w:val="00DD68DF"/>
    <w:rsid w:val="00DD71EE"/>
    <w:rsid w:val="00DE21BA"/>
    <w:rsid w:val="00DE3D26"/>
    <w:rsid w:val="00DE4DCA"/>
    <w:rsid w:val="00DE53AC"/>
    <w:rsid w:val="00DE649C"/>
    <w:rsid w:val="00DE7DBC"/>
    <w:rsid w:val="00DF070C"/>
    <w:rsid w:val="00DF159D"/>
    <w:rsid w:val="00DF18C2"/>
    <w:rsid w:val="00DF2161"/>
    <w:rsid w:val="00DF375E"/>
    <w:rsid w:val="00DF3CD3"/>
    <w:rsid w:val="00DF6883"/>
    <w:rsid w:val="00DF7105"/>
    <w:rsid w:val="00E0059B"/>
    <w:rsid w:val="00E02455"/>
    <w:rsid w:val="00E02C47"/>
    <w:rsid w:val="00E0446C"/>
    <w:rsid w:val="00E04FA8"/>
    <w:rsid w:val="00E05101"/>
    <w:rsid w:val="00E0541E"/>
    <w:rsid w:val="00E06438"/>
    <w:rsid w:val="00E10B7D"/>
    <w:rsid w:val="00E1204C"/>
    <w:rsid w:val="00E1211D"/>
    <w:rsid w:val="00E12B3B"/>
    <w:rsid w:val="00E1345C"/>
    <w:rsid w:val="00E1472E"/>
    <w:rsid w:val="00E151B6"/>
    <w:rsid w:val="00E16142"/>
    <w:rsid w:val="00E16418"/>
    <w:rsid w:val="00E22F7B"/>
    <w:rsid w:val="00E23F61"/>
    <w:rsid w:val="00E2412E"/>
    <w:rsid w:val="00E32B20"/>
    <w:rsid w:val="00E32D22"/>
    <w:rsid w:val="00E4429F"/>
    <w:rsid w:val="00E45617"/>
    <w:rsid w:val="00E45F6F"/>
    <w:rsid w:val="00E4660B"/>
    <w:rsid w:val="00E4764D"/>
    <w:rsid w:val="00E47B6F"/>
    <w:rsid w:val="00E52ACE"/>
    <w:rsid w:val="00E52F40"/>
    <w:rsid w:val="00E53380"/>
    <w:rsid w:val="00E54B54"/>
    <w:rsid w:val="00E60C66"/>
    <w:rsid w:val="00E610FD"/>
    <w:rsid w:val="00E61742"/>
    <w:rsid w:val="00E61FC6"/>
    <w:rsid w:val="00E62180"/>
    <w:rsid w:val="00E634F7"/>
    <w:rsid w:val="00E63878"/>
    <w:rsid w:val="00E6410E"/>
    <w:rsid w:val="00E64F30"/>
    <w:rsid w:val="00E7111A"/>
    <w:rsid w:val="00E73F3B"/>
    <w:rsid w:val="00E75770"/>
    <w:rsid w:val="00E766C2"/>
    <w:rsid w:val="00E76888"/>
    <w:rsid w:val="00E769D2"/>
    <w:rsid w:val="00E76CE3"/>
    <w:rsid w:val="00E76E88"/>
    <w:rsid w:val="00E80FBD"/>
    <w:rsid w:val="00E81165"/>
    <w:rsid w:val="00E8257B"/>
    <w:rsid w:val="00E832A6"/>
    <w:rsid w:val="00E83EB8"/>
    <w:rsid w:val="00E8431B"/>
    <w:rsid w:val="00E84EA4"/>
    <w:rsid w:val="00E9123B"/>
    <w:rsid w:val="00E91F88"/>
    <w:rsid w:val="00E92936"/>
    <w:rsid w:val="00E92E7A"/>
    <w:rsid w:val="00E934C6"/>
    <w:rsid w:val="00E95A3E"/>
    <w:rsid w:val="00E96869"/>
    <w:rsid w:val="00E96C93"/>
    <w:rsid w:val="00EA124D"/>
    <w:rsid w:val="00EA2EDC"/>
    <w:rsid w:val="00EA3015"/>
    <w:rsid w:val="00EA43C3"/>
    <w:rsid w:val="00EA77AE"/>
    <w:rsid w:val="00EB0E90"/>
    <w:rsid w:val="00EB1456"/>
    <w:rsid w:val="00EB1526"/>
    <w:rsid w:val="00EB25A5"/>
    <w:rsid w:val="00EB56F4"/>
    <w:rsid w:val="00EB583D"/>
    <w:rsid w:val="00EB773A"/>
    <w:rsid w:val="00EC4DC9"/>
    <w:rsid w:val="00EC57FD"/>
    <w:rsid w:val="00EC595A"/>
    <w:rsid w:val="00EC7775"/>
    <w:rsid w:val="00EC791F"/>
    <w:rsid w:val="00ED0433"/>
    <w:rsid w:val="00ED1BDA"/>
    <w:rsid w:val="00ED3A85"/>
    <w:rsid w:val="00ED53F8"/>
    <w:rsid w:val="00ED6F9E"/>
    <w:rsid w:val="00EE0D34"/>
    <w:rsid w:val="00EE29E8"/>
    <w:rsid w:val="00EE375D"/>
    <w:rsid w:val="00EE3AEF"/>
    <w:rsid w:val="00EE43E7"/>
    <w:rsid w:val="00EE55D5"/>
    <w:rsid w:val="00EE620E"/>
    <w:rsid w:val="00EE628E"/>
    <w:rsid w:val="00EE6F15"/>
    <w:rsid w:val="00EE7577"/>
    <w:rsid w:val="00EE78A6"/>
    <w:rsid w:val="00EF1C0E"/>
    <w:rsid w:val="00EF324D"/>
    <w:rsid w:val="00EF3CAE"/>
    <w:rsid w:val="00EF607B"/>
    <w:rsid w:val="00EF60C9"/>
    <w:rsid w:val="00EF6ABF"/>
    <w:rsid w:val="00F00D59"/>
    <w:rsid w:val="00F02BA1"/>
    <w:rsid w:val="00F03FC9"/>
    <w:rsid w:val="00F03FD8"/>
    <w:rsid w:val="00F06265"/>
    <w:rsid w:val="00F07EB8"/>
    <w:rsid w:val="00F11CEF"/>
    <w:rsid w:val="00F13817"/>
    <w:rsid w:val="00F15B62"/>
    <w:rsid w:val="00F17FCC"/>
    <w:rsid w:val="00F20132"/>
    <w:rsid w:val="00F21317"/>
    <w:rsid w:val="00F225F0"/>
    <w:rsid w:val="00F2362C"/>
    <w:rsid w:val="00F25EAB"/>
    <w:rsid w:val="00F2620C"/>
    <w:rsid w:val="00F26D16"/>
    <w:rsid w:val="00F3075F"/>
    <w:rsid w:val="00F34669"/>
    <w:rsid w:val="00F34D16"/>
    <w:rsid w:val="00F36B53"/>
    <w:rsid w:val="00F36EBE"/>
    <w:rsid w:val="00F376D2"/>
    <w:rsid w:val="00F4082B"/>
    <w:rsid w:val="00F4141D"/>
    <w:rsid w:val="00F4150E"/>
    <w:rsid w:val="00F4228C"/>
    <w:rsid w:val="00F425A1"/>
    <w:rsid w:val="00F4549A"/>
    <w:rsid w:val="00F4702D"/>
    <w:rsid w:val="00F476E6"/>
    <w:rsid w:val="00F504FC"/>
    <w:rsid w:val="00F52684"/>
    <w:rsid w:val="00F53EF2"/>
    <w:rsid w:val="00F54170"/>
    <w:rsid w:val="00F548A0"/>
    <w:rsid w:val="00F55AF9"/>
    <w:rsid w:val="00F611B5"/>
    <w:rsid w:val="00F64E40"/>
    <w:rsid w:val="00F677A9"/>
    <w:rsid w:val="00F73328"/>
    <w:rsid w:val="00F74CF1"/>
    <w:rsid w:val="00F77079"/>
    <w:rsid w:val="00F808B5"/>
    <w:rsid w:val="00F8096A"/>
    <w:rsid w:val="00F82082"/>
    <w:rsid w:val="00F82BDF"/>
    <w:rsid w:val="00F84A26"/>
    <w:rsid w:val="00F84B29"/>
    <w:rsid w:val="00F86007"/>
    <w:rsid w:val="00F90455"/>
    <w:rsid w:val="00F90943"/>
    <w:rsid w:val="00F9188D"/>
    <w:rsid w:val="00F925CA"/>
    <w:rsid w:val="00F92D6C"/>
    <w:rsid w:val="00F9352A"/>
    <w:rsid w:val="00F93D93"/>
    <w:rsid w:val="00F94504"/>
    <w:rsid w:val="00F95901"/>
    <w:rsid w:val="00F96309"/>
    <w:rsid w:val="00F97642"/>
    <w:rsid w:val="00F97F17"/>
    <w:rsid w:val="00FA022F"/>
    <w:rsid w:val="00FA4FF6"/>
    <w:rsid w:val="00FA58A9"/>
    <w:rsid w:val="00FA64DF"/>
    <w:rsid w:val="00FA6879"/>
    <w:rsid w:val="00FA6B01"/>
    <w:rsid w:val="00FA7639"/>
    <w:rsid w:val="00FA78BA"/>
    <w:rsid w:val="00FB23FF"/>
    <w:rsid w:val="00FB793F"/>
    <w:rsid w:val="00FC01D3"/>
    <w:rsid w:val="00FC10D8"/>
    <w:rsid w:val="00FC157A"/>
    <w:rsid w:val="00FC34F4"/>
    <w:rsid w:val="00FC3E34"/>
    <w:rsid w:val="00FC4550"/>
    <w:rsid w:val="00FC52A9"/>
    <w:rsid w:val="00FD10B4"/>
    <w:rsid w:val="00FD1815"/>
    <w:rsid w:val="00FD1838"/>
    <w:rsid w:val="00FD4293"/>
    <w:rsid w:val="00FD470E"/>
    <w:rsid w:val="00FD476F"/>
    <w:rsid w:val="00FD491A"/>
    <w:rsid w:val="00FD683A"/>
    <w:rsid w:val="00FD7B2E"/>
    <w:rsid w:val="00FE0AA1"/>
    <w:rsid w:val="00FE2293"/>
    <w:rsid w:val="00FE4C99"/>
    <w:rsid w:val="00FE7FD7"/>
    <w:rsid w:val="00FF40DA"/>
    <w:rsid w:val="00FF46D9"/>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14:docId w14:val="60087A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sl-SI"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0F5B95"/>
    <w:pPr>
      <w:keepNext/>
      <w:keepLines/>
      <w:spacing w:before="240" w:after="0"/>
      <w:outlineLvl w:val="0"/>
    </w:pPr>
    <w:rPr>
      <w:rFonts w:ascii="Arial" w:eastAsiaTheme="majorEastAsia" w:hAnsi="Arial" w:cstheme="majorBidi"/>
      <w:b/>
      <w:sz w:val="24"/>
      <w:szCs w:val="32"/>
    </w:rPr>
  </w:style>
  <w:style w:type="paragraph" w:styleId="Heading2">
    <w:name w:val="heading 2"/>
    <w:basedOn w:val="Normal"/>
    <w:next w:val="Normal"/>
    <w:link w:val="Heading2Char"/>
    <w:uiPriority w:val="9"/>
    <w:unhideWhenUsed/>
    <w:qFormat/>
    <w:rsid w:val="003A675C"/>
    <w:pPr>
      <w:keepNext/>
      <w:keepLines/>
      <w:spacing w:before="200" w:after="0" w:line="240" w:lineRule="auto"/>
      <w:outlineLvl w:val="1"/>
    </w:pPr>
    <w:rPr>
      <w:rFonts w:asciiTheme="majorHAnsi" w:eastAsiaTheme="majorEastAsia" w:hAnsiTheme="majorHAnsi" w:cstheme="majorBidi"/>
      <w:b/>
      <w:bCs/>
      <w:color w:val="5B9BD5" w:themeColor="accent1"/>
      <w:sz w:val="26"/>
      <w:szCs w:val="26"/>
    </w:rPr>
  </w:style>
  <w:style w:type="paragraph" w:styleId="Heading3">
    <w:name w:val="heading 3"/>
    <w:basedOn w:val="Normal"/>
    <w:next w:val="Normal"/>
    <w:link w:val="Heading3Char"/>
    <w:uiPriority w:val="9"/>
    <w:unhideWhenUsed/>
    <w:qFormat/>
    <w:rsid w:val="00E0059B"/>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LightShading-Accent1">
    <w:name w:val="Light Shading Accent 1"/>
    <w:basedOn w:val="TableNormal"/>
    <w:uiPriority w:val="60"/>
    <w:rsid w:val="008D3705"/>
    <w:pPr>
      <w:spacing w:after="0" w:line="240" w:lineRule="auto"/>
    </w:pPr>
    <w:rPr>
      <w:color w:val="2E74B5" w:themeColor="accent1" w:themeShade="BF"/>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customStyle="1" w:styleId="ListTable7Colorful1">
    <w:name w:val="List Table 7 Colorful1"/>
    <w:basedOn w:val="TableNormal"/>
    <w:uiPriority w:val="52"/>
    <w:rsid w:val="005A3539"/>
    <w:pPr>
      <w:spacing w:after="0" w:line="240" w:lineRule="auto"/>
    </w:pPr>
    <w:rPr>
      <w:rFonts w:ascii="Times New Roman" w:eastAsia="Times New Roman" w:hAnsi="Times New Roman" w:cs="Times New Roman"/>
      <w:color w:val="000000" w:themeColor="text1"/>
      <w:sz w:val="24"/>
      <w:szCs w:val="24"/>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numbering" w:customStyle="1" w:styleId="NoList1">
    <w:name w:val="No List1"/>
    <w:next w:val="NoList"/>
    <w:uiPriority w:val="99"/>
    <w:semiHidden/>
    <w:unhideWhenUsed/>
    <w:rsid w:val="006B2CFA"/>
  </w:style>
  <w:style w:type="character" w:customStyle="1" w:styleId="Heading1Char">
    <w:name w:val="Heading 1 Char"/>
    <w:basedOn w:val="DefaultParagraphFont"/>
    <w:link w:val="Heading1"/>
    <w:uiPriority w:val="9"/>
    <w:rsid w:val="000F5B95"/>
    <w:rPr>
      <w:rFonts w:ascii="Arial" w:eastAsiaTheme="majorEastAsia" w:hAnsi="Arial" w:cstheme="majorBidi"/>
      <w:b/>
      <w:sz w:val="24"/>
      <w:szCs w:val="32"/>
    </w:rPr>
  </w:style>
  <w:style w:type="character" w:customStyle="1" w:styleId="Heading3Char">
    <w:name w:val="Heading 3 Char"/>
    <w:basedOn w:val="DefaultParagraphFont"/>
    <w:link w:val="Heading3"/>
    <w:uiPriority w:val="9"/>
    <w:rsid w:val="00E0059B"/>
    <w:rPr>
      <w:rFonts w:asciiTheme="majorHAnsi" w:eastAsiaTheme="majorEastAsia" w:hAnsiTheme="majorHAnsi" w:cstheme="majorBidi"/>
      <w:color w:val="1F4D78" w:themeColor="accent1" w:themeShade="7F"/>
      <w:sz w:val="24"/>
      <w:szCs w:val="24"/>
    </w:rPr>
  </w:style>
  <w:style w:type="paragraph" w:styleId="ListParagraph">
    <w:name w:val="List Paragraph"/>
    <w:aliases w:val="numbered list,za tekst,Označevanje,List Paragraph2,K1,Table of contents numbered,Elenco num ARGEA,body,Odsek zoznamu2,Tabela - prazna vrstica,List Paragraph compact,Normal bullet 2,Paragraphe de liste 2,Reference list,3,Bullet 1,Dot pt"/>
    <w:basedOn w:val="Normal"/>
    <w:link w:val="ListParagraphChar"/>
    <w:uiPriority w:val="34"/>
    <w:qFormat/>
    <w:rsid w:val="00E0059B"/>
    <w:pPr>
      <w:spacing w:after="0" w:line="240" w:lineRule="auto"/>
      <w:ind w:left="720"/>
      <w:contextualSpacing/>
      <w:jc w:val="both"/>
    </w:pPr>
    <w:rPr>
      <w:rFonts w:ascii="Arial" w:hAnsi="Arial"/>
    </w:rPr>
  </w:style>
  <w:style w:type="paragraph" w:styleId="TOCHeading">
    <w:name w:val="TOC Heading"/>
    <w:basedOn w:val="Heading1"/>
    <w:next w:val="Normal"/>
    <w:uiPriority w:val="39"/>
    <w:unhideWhenUsed/>
    <w:qFormat/>
    <w:rsid w:val="00607AC3"/>
    <w:pPr>
      <w:outlineLvl w:val="9"/>
    </w:pPr>
    <w:rPr>
      <w:lang w:val="en-US"/>
    </w:rPr>
  </w:style>
  <w:style w:type="paragraph" w:styleId="TOC1">
    <w:name w:val="toc 1"/>
    <w:basedOn w:val="Normal"/>
    <w:next w:val="Normal"/>
    <w:autoRedefine/>
    <w:uiPriority w:val="39"/>
    <w:unhideWhenUsed/>
    <w:rsid w:val="00607AC3"/>
    <w:pPr>
      <w:spacing w:after="100"/>
    </w:pPr>
  </w:style>
  <w:style w:type="character" w:styleId="Hyperlink">
    <w:name w:val="Hyperlink"/>
    <w:basedOn w:val="DefaultParagraphFont"/>
    <w:uiPriority w:val="99"/>
    <w:unhideWhenUsed/>
    <w:rsid w:val="00607AC3"/>
    <w:rPr>
      <w:color w:val="0563C1" w:themeColor="hyperlink"/>
      <w:u w:val="single"/>
    </w:rPr>
  </w:style>
  <w:style w:type="paragraph" w:styleId="Header">
    <w:name w:val="header"/>
    <w:basedOn w:val="Normal"/>
    <w:link w:val="HeaderChar"/>
    <w:uiPriority w:val="99"/>
    <w:unhideWhenUsed/>
    <w:rsid w:val="00607AC3"/>
    <w:pPr>
      <w:tabs>
        <w:tab w:val="center" w:pos="4536"/>
        <w:tab w:val="right" w:pos="9072"/>
      </w:tabs>
      <w:spacing w:after="0" w:line="240" w:lineRule="auto"/>
    </w:pPr>
  </w:style>
  <w:style w:type="character" w:customStyle="1" w:styleId="HeaderChar">
    <w:name w:val="Header Char"/>
    <w:basedOn w:val="DefaultParagraphFont"/>
    <w:link w:val="Header"/>
    <w:uiPriority w:val="99"/>
    <w:rsid w:val="00607AC3"/>
  </w:style>
  <w:style w:type="paragraph" w:styleId="Footer">
    <w:name w:val="footer"/>
    <w:basedOn w:val="Normal"/>
    <w:link w:val="FooterChar"/>
    <w:uiPriority w:val="99"/>
    <w:unhideWhenUsed/>
    <w:rsid w:val="00607AC3"/>
    <w:pPr>
      <w:tabs>
        <w:tab w:val="center" w:pos="4536"/>
        <w:tab w:val="right" w:pos="9072"/>
      </w:tabs>
      <w:spacing w:after="0" w:line="240" w:lineRule="auto"/>
    </w:pPr>
  </w:style>
  <w:style w:type="character" w:customStyle="1" w:styleId="FooterChar">
    <w:name w:val="Footer Char"/>
    <w:basedOn w:val="DefaultParagraphFont"/>
    <w:link w:val="Footer"/>
    <w:uiPriority w:val="99"/>
    <w:rsid w:val="00607AC3"/>
  </w:style>
  <w:style w:type="paragraph" w:styleId="BalloonText">
    <w:name w:val="Balloon Text"/>
    <w:basedOn w:val="Normal"/>
    <w:link w:val="BalloonTextChar"/>
    <w:uiPriority w:val="99"/>
    <w:semiHidden/>
    <w:unhideWhenUsed/>
    <w:rsid w:val="006C080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C080A"/>
    <w:rPr>
      <w:rFonts w:ascii="Segoe UI" w:hAnsi="Segoe UI" w:cs="Segoe UI"/>
      <w:sz w:val="18"/>
      <w:szCs w:val="18"/>
    </w:rPr>
  </w:style>
  <w:style w:type="paragraph" w:styleId="FootnoteText">
    <w:name w:val="footnote text"/>
    <w:aliases w:val="Sprotna opomba-besedilo,Char Char,Char Char Char Char,Sprotna opomba - besedilo Znak1,Sprotna opomba - besedilo Znak Znak2,Sprotna opomba - besedilo Znak1 Znak Znak1,Sprotna opomba - besedilo Znak1 Znak Znak Znak,fn,Char Ch,o"/>
    <w:basedOn w:val="Normal"/>
    <w:link w:val="FootnoteTextChar"/>
    <w:uiPriority w:val="99"/>
    <w:unhideWhenUsed/>
    <w:qFormat/>
    <w:rsid w:val="00CC220D"/>
    <w:pPr>
      <w:spacing w:after="0" w:line="240" w:lineRule="auto"/>
      <w:jc w:val="both"/>
    </w:pPr>
    <w:rPr>
      <w:rFonts w:ascii="Arial" w:hAnsi="Arial"/>
      <w:sz w:val="20"/>
      <w:szCs w:val="20"/>
    </w:rPr>
  </w:style>
  <w:style w:type="character" w:customStyle="1" w:styleId="FootnoteTextChar">
    <w:name w:val="Footnote Text Char"/>
    <w:aliases w:val="Sprotna opomba-besedilo Char,Char Char Char,Char Char Char Char Char,Sprotna opomba - besedilo Znak1 Char,Sprotna opomba - besedilo Znak Znak2 Char,Sprotna opomba - besedilo Znak1 Znak Znak1 Char,fn Char,Char Ch Char,o Char"/>
    <w:basedOn w:val="DefaultParagraphFont"/>
    <w:link w:val="FootnoteText"/>
    <w:uiPriority w:val="99"/>
    <w:rsid w:val="00CC220D"/>
    <w:rPr>
      <w:rFonts w:ascii="Arial" w:hAnsi="Arial"/>
      <w:sz w:val="20"/>
      <w:szCs w:val="20"/>
    </w:rPr>
  </w:style>
  <w:style w:type="character" w:styleId="FootnoteReference">
    <w:name w:val="footnote reference"/>
    <w:aliases w:val="Footnote symbol,Fussnota,Footnote,Footnote reference number,note TESI,SUPERS,EN Footnote Reference,-E Fußnotenzeichen,Times 10 Point,Exposant 3 Point,E...,nota de rodapé,Footnote Reference_LVL6,Footnote Reference_LVL61,Footnot,ft"/>
    <w:basedOn w:val="DefaultParagraphFont"/>
    <w:uiPriority w:val="99"/>
    <w:unhideWhenUsed/>
    <w:qFormat/>
    <w:rsid w:val="00CC220D"/>
    <w:rPr>
      <w:vertAlign w:val="superscript"/>
    </w:rPr>
  </w:style>
  <w:style w:type="paragraph" w:styleId="NormalWeb">
    <w:name w:val="Normal (Web)"/>
    <w:basedOn w:val="Normal"/>
    <w:uiPriority w:val="99"/>
    <w:unhideWhenUsed/>
    <w:rsid w:val="009179BB"/>
    <w:pPr>
      <w:spacing w:before="100" w:beforeAutospacing="1" w:after="100" w:afterAutospacing="1" w:line="240" w:lineRule="auto"/>
    </w:pPr>
    <w:rPr>
      <w:rFonts w:ascii="Times New Roman" w:eastAsia="Times New Roman" w:hAnsi="Times New Roman" w:cs="Times New Roman"/>
      <w:sz w:val="24"/>
      <w:szCs w:val="24"/>
      <w:lang w:eastAsia="sl-SI"/>
    </w:rPr>
  </w:style>
  <w:style w:type="paragraph" w:customStyle="1" w:styleId="besedilo">
    <w:name w:val="besedilo"/>
    <w:basedOn w:val="Normal"/>
    <w:link w:val="besediloChar"/>
    <w:qFormat/>
    <w:rsid w:val="000E4DE1"/>
    <w:pPr>
      <w:spacing w:before="20" w:after="20" w:line="240" w:lineRule="auto"/>
      <w:jc w:val="both"/>
    </w:pPr>
    <w:rPr>
      <w:rFonts w:ascii="Times New Roman" w:eastAsia="Calibri" w:hAnsi="Times New Roman" w:cs="Times New Roman"/>
      <w:noProof/>
      <w:sz w:val="24"/>
      <w:lang w:eastAsia="x-none"/>
    </w:rPr>
  </w:style>
  <w:style w:type="character" w:customStyle="1" w:styleId="besediloChar">
    <w:name w:val="besedilo Char"/>
    <w:link w:val="besedilo"/>
    <w:rsid w:val="000E4DE1"/>
    <w:rPr>
      <w:rFonts w:ascii="Times New Roman" w:eastAsia="Calibri" w:hAnsi="Times New Roman" w:cs="Times New Roman"/>
      <w:noProof/>
      <w:sz w:val="24"/>
      <w:lang w:eastAsia="x-none"/>
    </w:rPr>
  </w:style>
  <w:style w:type="paragraph" w:customStyle="1" w:styleId="dr2">
    <w:name w:val="dr 2"/>
    <w:basedOn w:val="ListParagraph"/>
    <w:link w:val="dr2Char"/>
    <w:qFormat/>
    <w:rsid w:val="000E4DE1"/>
    <w:pPr>
      <w:spacing w:after="200" w:line="25" w:lineRule="atLeast"/>
      <w:ind w:left="0"/>
    </w:pPr>
    <w:rPr>
      <w:rFonts w:ascii="Times New Roman" w:eastAsia="Times New Roman" w:hAnsi="Times New Roman" w:cs="Times New Roman"/>
      <w:b/>
      <w:sz w:val="24"/>
      <w:szCs w:val="24"/>
    </w:rPr>
  </w:style>
  <w:style w:type="character" w:customStyle="1" w:styleId="dr2Char">
    <w:name w:val="dr 2 Char"/>
    <w:link w:val="dr2"/>
    <w:rsid w:val="000E4DE1"/>
    <w:rPr>
      <w:rFonts w:ascii="Times New Roman" w:eastAsia="Times New Roman" w:hAnsi="Times New Roman" w:cs="Times New Roman"/>
      <w:b/>
      <w:sz w:val="24"/>
      <w:szCs w:val="24"/>
    </w:rPr>
  </w:style>
  <w:style w:type="paragraph" w:styleId="Caption">
    <w:name w:val="caption"/>
    <w:aliases w:val="Caption Char1,Caption Char Char,Slika naslov,Caption1"/>
    <w:basedOn w:val="Normal"/>
    <w:next w:val="Normal"/>
    <w:link w:val="CaptionChar"/>
    <w:uiPriority w:val="35"/>
    <w:qFormat/>
    <w:rsid w:val="000E4DE1"/>
    <w:pPr>
      <w:widowControl w:val="0"/>
      <w:spacing w:before="160" w:after="120" w:line="240" w:lineRule="auto"/>
      <w:ind w:left="907" w:hanging="340"/>
      <w:jc w:val="both"/>
    </w:pPr>
    <w:rPr>
      <w:rFonts w:ascii="Tahoma" w:eastAsia="Times New Roman" w:hAnsi="Tahoma" w:cs="Times New Roman"/>
      <w:b/>
      <w:i/>
      <w:sz w:val="18"/>
      <w:szCs w:val="24"/>
      <w:lang w:eastAsia="sl-SI"/>
    </w:rPr>
  </w:style>
  <w:style w:type="paragraph" w:customStyle="1" w:styleId="naslov1">
    <w:name w:val="naslov 1"/>
    <w:basedOn w:val="Normal"/>
    <w:link w:val="naslov1Char"/>
    <w:qFormat/>
    <w:rsid w:val="000E4DE1"/>
    <w:pPr>
      <w:numPr>
        <w:numId w:val="6"/>
      </w:numPr>
      <w:spacing w:after="200" w:line="25" w:lineRule="atLeast"/>
      <w:contextualSpacing/>
      <w:jc w:val="both"/>
    </w:pPr>
    <w:rPr>
      <w:rFonts w:ascii="Times New Roman" w:eastAsia="Times New Roman" w:hAnsi="Times New Roman" w:cs="Times New Roman"/>
      <w:b/>
      <w:sz w:val="24"/>
      <w:szCs w:val="24"/>
    </w:rPr>
  </w:style>
  <w:style w:type="paragraph" w:customStyle="1" w:styleId="naslov2">
    <w:name w:val="naslov 2"/>
    <w:basedOn w:val="Normal"/>
    <w:link w:val="naslov2Znak"/>
    <w:qFormat/>
    <w:rsid w:val="00982EBA"/>
    <w:pPr>
      <w:numPr>
        <w:ilvl w:val="1"/>
        <w:numId w:val="6"/>
      </w:numPr>
      <w:spacing w:after="200" w:line="25" w:lineRule="atLeast"/>
      <w:contextualSpacing/>
      <w:jc w:val="both"/>
    </w:pPr>
    <w:rPr>
      <w:rFonts w:ascii="Times New Roman" w:eastAsia="Times New Roman" w:hAnsi="Times New Roman" w:cs="Times New Roman"/>
      <w:b/>
      <w:sz w:val="24"/>
      <w:szCs w:val="24"/>
    </w:rPr>
  </w:style>
  <w:style w:type="character" w:customStyle="1" w:styleId="naslov1Char">
    <w:name w:val="naslov 1 Char"/>
    <w:basedOn w:val="DefaultParagraphFont"/>
    <w:link w:val="naslov1"/>
    <w:rsid w:val="000E4DE1"/>
    <w:rPr>
      <w:rFonts w:ascii="Times New Roman" w:eastAsia="Times New Roman" w:hAnsi="Times New Roman" w:cs="Times New Roman"/>
      <w:b/>
      <w:sz w:val="24"/>
      <w:szCs w:val="24"/>
    </w:rPr>
  </w:style>
  <w:style w:type="paragraph" w:customStyle="1" w:styleId="naslov3">
    <w:name w:val="naslov 3"/>
    <w:basedOn w:val="Normal"/>
    <w:qFormat/>
    <w:rsid w:val="000E4DE1"/>
    <w:pPr>
      <w:numPr>
        <w:ilvl w:val="2"/>
        <w:numId w:val="6"/>
      </w:numPr>
      <w:spacing w:after="200" w:line="25" w:lineRule="atLeast"/>
      <w:contextualSpacing/>
      <w:jc w:val="both"/>
    </w:pPr>
    <w:rPr>
      <w:rFonts w:ascii="Times New Roman" w:eastAsia="Times New Roman" w:hAnsi="Times New Roman" w:cs="Times New Roman"/>
      <w:b/>
      <w:i/>
      <w:sz w:val="24"/>
      <w:szCs w:val="24"/>
    </w:rPr>
  </w:style>
  <w:style w:type="character" w:customStyle="1" w:styleId="CaptionChar">
    <w:name w:val="Caption Char"/>
    <w:aliases w:val="Caption Char1 Char,Caption Char Char Char,Slika naslov Char,Caption1 Char"/>
    <w:link w:val="Caption"/>
    <w:uiPriority w:val="35"/>
    <w:locked/>
    <w:rsid w:val="000E4DE1"/>
    <w:rPr>
      <w:rFonts w:ascii="Tahoma" w:eastAsia="Times New Roman" w:hAnsi="Tahoma" w:cs="Times New Roman"/>
      <w:b/>
      <w:i/>
      <w:sz w:val="18"/>
      <w:szCs w:val="24"/>
      <w:lang w:eastAsia="sl-SI"/>
    </w:rPr>
  </w:style>
  <w:style w:type="character" w:customStyle="1" w:styleId="Heading2Char">
    <w:name w:val="Heading 2 Char"/>
    <w:basedOn w:val="DefaultParagraphFont"/>
    <w:link w:val="Heading2"/>
    <w:uiPriority w:val="9"/>
    <w:rsid w:val="003A675C"/>
    <w:rPr>
      <w:rFonts w:asciiTheme="majorHAnsi" w:eastAsiaTheme="majorEastAsia" w:hAnsiTheme="majorHAnsi" w:cstheme="majorBidi"/>
      <w:b/>
      <w:bCs/>
      <w:color w:val="5B9BD5" w:themeColor="accent1"/>
      <w:sz w:val="26"/>
      <w:szCs w:val="26"/>
    </w:rPr>
  </w:style>
  <w:style w:type="table" w:customStyle="1" w:styleId="ListTable7Colorful2">
    <w:name w:val="List Table 7 Colorful2"/>
    <w:basedOn w:val="TableNormal"/>
    <w:uiPriority w:val="52"/>
    <w:rsid w:val="003A675C"/>
    <w:pPr>
      <w:spacing w:after="0" w:line="240" w:lineRule="auto"/>
    </w:pPr>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Navaden1">
    <w:name w:val="Navaden1"/>
    <w:basedOn w:val="Normal"/>
    <w:link w:val="normalChar"/>
    <w:qFormat/>
    <w:rsid w:val="003A675C"/>
    <w:pPr>
      <w:spacing w:after="120" w:line="276" w:lineRule="auto"/>
      <w:jc w:val="both"/>
    </w:pPr>
    <w:rPr>
      <w:rFonts w:ascii="Arial" w:eastAsia="Times New Roman" w:hAnsi="Arial" w:cs="Arial"/>
      <w:sz w:val="24"/>
      <w:szCs w:val="24"/>
    </w:rPr>
  </w:style>
  <w:style w:type="character" w:customStyle="1" w:styleId="normalChar">
    <w:name w:val="normal Char"/>
    <w:link w:val="Navaden1"/>
    <w:rsid w:val="003A675C"/>
    <w:rPr>
      <w:rFonts w:ascii="Arial" w:eastAsia="Times New Roman" w:hAnsi="Arial" w:cs="Arial"/>
      <w:sz w:val="24"/>
      <w:szCs w:val="24"/>
    </w:rPr>
  </w:style>
  <w:style w:type="character" w:customStyle="1" w:styleId="ListParagraphChar">
    <w:name w:val="List Paragraph Char"/>
    <w:aliases w:val="numbered list Char,za tekst Char,Označevanje Char,List Paragraph2 Char,K1 Char,Table of contents numbered Char,Elenco num ARGEA Char,body Char,Odsek zoznamu2 Char,Tabela - prazna vrstica Char,List Paragraph compact Char,3 Char"/>
    <w:link w:val="ListParagraph"/>
    <w:uiPriority w:val="34"/>
    <w:qFormat/>
    <w:rsid w:val="003A675C"/>
    <w:rPr>
      <w:rFonts w:ascii="Arial" w:hAnsi="Arial"/>
    </w:rPr>
  </w:style>
  <w:style w:type="table" w:styleId="LightShading-Accent5">
    <w:name w:val="Light Shading Accent 5"/>
    <w:basedOn w:val="TableNormal"/>
    <w:uiPriority w:val="60"/>
    <w:rsid w:val="003A675C"/>
    <w:pPr>
      <w:spacing w:after="0" w:line="240" w:lineRule="auto"/>
    </w:pPr>
    <w:rPr>
      <w:color w:val="2F5496" w:themeColor="accent5" w:themeShade="BF"/>
      <w:lang w:val="en-US"/>
    </w:rPr>
    <w:tblPr>
      <w:tblStyleRowBandSize w:val="1"/>
      <w:tblStyleColBandSize w:val="1"/>
      <w:tblBorders>
        <w:top w:val="single" w:sz="8" w:space="0" w:color="4472C4" w:themeColor="accent5"/>
        <w:bottom w:val="single" w:sz="8" w:space="0" w:color="4472C4" w:themeColor="accent5"/>
      </w:tblBorders>
    </w:tblPr>
    <w:tblStylePr w:type="fir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la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left w:val="nil"/>
          <w:right w:val="nil"/>
          <w:insideH w:val="nil"/>
          <w:insideV w:val="nil"/>
        </w:tcBorders>
        <w:shd w:val="clear" w:color="auto" w:fill="D0DBF0" w:themeFill="accent5" w:themeFillTint="3F"/>
      </w:tcPr>
    </w:tblStylePr>
  </w:style>
  <w:style w:type="table" w:styleId="LightShading">
    <w:name w:val="Light Shading"/>
    <w:basedOn w:val="TableNormal"/>
    <w:uiPriority w:val="60"/>
    <w:rsid w:val="003A675C"/>
    <w:pPr>
      <w:spacing w:after="0" w:line="240" w:lineRule="auto"/>
    </w:pPr>
    <w:rPr>
      <w:color w:val="000000" w:themeColor="text1" w:themeShade="BF"/>
      <w:lang w:val="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List-Accent5">
    <w:name w:val="Light List Accent 5"/>
    <w:basedOn w:val="TableNormal"/>
    <w:uiPriority w:val="61"/>
    <w:rsid w:val="00DB3803"/>
    <w:pPr>
      <w:spacing w:after="0" w:line="240" w:lineRule="auto"/>
    </w:pPr>
    <w:rPr>
      <w:lang w:val="en-US"/>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pPr>
        <w:spacing w:before="0" w:after="0" w:line="240" w:lineRule="auto"/>
      </w:pPr>
      <w:rPr>
        <w:b/>
        <w:bCs/>
        <w:color w:val="FFFFFF" w:themeColor="background1"/>
      </w:rPr>
      <w:tblPr/>
      <w:tcPr>
        <w:shd w:val="clear" w:color="auto" w:fill="C5D3ED"/>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table" w:styleId="TableGrid">
    <w:name w:val="Table Grid"/>
    <w:basedOn w:val="TableNormal"/>
    <w:uiPriority w:val="39"/>
    <w:rsid w:val="00CF4DD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CF4DD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435D6A"/>
    <w:rPr>
      <w:sz w:val="16"/>
      <w:szCs w:val="16"/>
    </w:rPr>
  </w:style>
  <w:style w:type="paragraph" w:styleId="CommentText">
    <w:name w:val="annotation text"/>
    <w:basedOn w:val="Normal"/>
    <w:link w:val="CommentTextChar"/>
    <w:uiPriority w:val="99"/>
    <w:unhideWhenUsed/>
    <w:rsid w:val="00435D6A"/>
    <w:pPr>
      <w:spacing w:line="240" w:lineRule="auto"/>
    </w:pPr>
    <w:rPr>
      <w:sz w:val="20"/>
      <w:szCs w:val="20"/>
    </w:rPr>
  </w:style>
  <w:style w:type="character" w:customStyle="1" w:styleId="CommentTextChar">
    <w:name w:val="Comment Text Char"/>
    <w:basedOn w:val="DefaultParagraphFont"/>
    <w:link w:val="CommentText"/>
    <w:uiPriority w:val="99"/>
    <w:rsid w:val="00435D6A"/>
    <w:rPr>
      <w:sz w:val="20"/>
      <w:szCs w:val="20"/>
    </w:rPr>
  </w:style>
  <w:style w:type="paragraph" w:styleId="CommentSubject">
    <w:name w:val="annotation subject"/>
    <w:basedOn w:val="CommentText"/>
    <w:next w:val="CommentText"/>
    <w:link w:val="CommentSubjectChar"/>
    <w:uiPriority w:val="99"/>
    <w:semiHidden/>
    <w:unhideWhenUsed/>
    <w:rsid w:val="00435D6A"/>
    <w:rPr>
      <w:b/>
      <w:bCs/>
    </w:rPr>
  </w:style>
  <w:style w:type="character" w:customStyle="1" w:styleId="CommentSubjectChar">
    <w:name w:val="Comment Subject Char"/>
    <w:basedOn w:val="CommentTextChar"/>
    <w:link w:val="CommentSubject"/>
    <w:uiPriority w:val="99"/>
    <w:semiHidden/>
    <w:rsid w:val="00435D6A"/>
    <w:rPr>
      <w:b/>
      <w:bCs/>
      <w:sz w:val="20"/>
      <w:szCs w:val="20"/>
    </w:rPr>
  </w:style>
  <w:style w:type="character" w:styleId="FollowedHyperlink">
    <w:name w:val="FollowedHyperlink"/>
    <w:basedOn w:val="DefaultParagraphFont"/>
    <w:uiPriority w:val="99"/>
    <w:semiHidden/>
    <w:unhideWhenUsed/>
    <w:rsid w:val="001840C2"/>
    <w:rPr>
      <w:color w:val="954F72" w:themeColor="followedHyperlink"/>
      <w:u w:val="single"/>
    </w:rPr>
  </w:style>
  <w:style w:type="table" w:customStyle="1" w:styleId="ListTable3-Accent51">
    <w:name w:val="List Table 3 - Accent 51"/>
    <w:basedOn w:val="TableNormal"/>
    <w:uiPriority w:val="48"/>
    <w:rsid w:val="00251C0D"/>
    <w:pPr>
      <w:spacing w:after="0" w:line="240" w:lineRule="auto"/>
    </w:pPr>
    <w:tblPr>
      <w:tblStyleRowBandSize w:val="1"/>
      <w:tblStyleColBandSize w:val="1"/>
      <w:tblBorders>
        <w:top w:val="single" w:sz="4" w:space="0" w:color="4472C4" w:themeColor="accent5"/>
        <w:left w:val="single" w:sz="4" w:space="0" w:color="4472C4" w:themeColor="accent5"/>
        <w:bottom w:val="single" w:sz="4" w:space="0" w:color="4472C4" w:themeColor="accent5"/>
        <w:right w:val="single" w:sz="4" w:space="0" w:color="4472C4" w:themeColor="accent5"/>
      </w:tblBorders>
    </w:tblPr>
    <w:tblStylePr w:type="firstRow">
      <w:rPr>
        <w:b/>
        <w:bCs/>
        <w:color w:val="FFFFFF" w:themeColor="background1"/>
      </w:rPr>
      <w:tblPr/>
      <w:tcPr>
        <w:shd w:val="clear" w:color="auto" w:fill="4472C4" w:themeFill="accent5"/>
      </w:tcPr>
    </w:tblStylePr>
    <w:tblStylePr w:type="lastRow">
      <w:rPr>
        <w:b/>
        <w:bCs/>
      </w:rPr>
      <w:tblPr/>
      <w:tcPr>
        <w:tcBorders>
          <w:top w:val="double" w:sz="4" w:space="0" w:color="4472C4"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5"/>
          <w:right w:val="single" w:sz="4" w:space="0" w:color="4472C4" w:themeColor="accent5"/>
        </w:tcBorders>
      </w:tcPr>
    </w:tblStylePr>
    <w:tblStylePr w:type="band1Horz">
      <w:tblPr/>
      <w:tcPr>
        <w:tcBorders>
          <w:top w:val="single" w:sz="4" w:space="0" w:color="4472C4" w:themeColor="accent5"/>
          <w:bottom w:val="single" w:sz="4" w:space="0" w:color="4472C4"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5"/>
          <w:left w:val="nil"/>
        </w:tcBorders>
      </w:tcPr>
    </w:tblStylePr>
    <w:tblStylePr w:type="swCell">
      <w:tblPr/>
      <w:tcPr>
        <w:tcBorders>
          <w:top w:val="double" w:sz="4" w:space="0" w:color="4472C4" w:themeColor="accent5"/>
          <w:right w:val="nil"/>
        </w:tcBorders>
      </w:tcPr>
    </w:tblStylePr>
  </w:style>
  <w:style w:type="table" w:customStyle="1" w:styleId="LightList-Accent51">
    <w:name w:val="Light List - Accent 51"/>
    <w:basedOn w:val="TableNormal"/>
    <w:next w:val="LightList-Accent5"/>
    <w:uiPriority w:val="61"/>
    <w:rsid w:val="00D53149"/>
    <w:pPr>
      <w:spacing w:after="0" w:line="240" w:lineRule="auto"/>
    </w:pPr>
    <w:rPr>
      <w:lang w:val="en-US"/>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table" w:customStyle="1" w:styleId="LightList-Accent52">
    <w:name w:val="Light List - Accent 52"/>
    <w:basedOn w:val="TableNormal"/>
    <w:next w:val="LightList-Accent5"/>
    <w:uiPriority w:val="61"/>
    <w:rsid w:val="00794167"/>
    <w:pPr>
      <w:spacing w:after="0" w:line="240" w:lineRule="auto"/>
    </w:pPr>
    <w:rPr>
      <w:lang w:val="en-US"/>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table" w:customStyle="1" w:styleId="LightShading-Accent11">
    <w:name w:val="Light Shading - Accent 11"/>
    <w:basedOn w:val="TableNormal"/>
    <w:next w:val="LightShading-Accent1"/>
    <w:uiPriority w:val="60"/>
    <w:rsid w:val="008643EA"/>
    <w:pPr>
      <w:spacing w:after="0" w:line="240" w:lineRule="auto"/>
    </w:pPr>
    <w:rPr>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customStyle="1" w:styleId="Default">
    <w:name w:val="Default"/>
    <w:basedOn w:val="Normal"/>
    <w:rsid w:val="00672D37"/>
    <w:pPr>
      <w:autoSpaceDE w:val="0"/>
      <w:autoSpaceDN w:val="0"/>
      <w:spacing w:after="0" w:line="240" w:lineRule="auto"/>
    </w:pPr>
    <w:rPr>
      <w:rFonts w:ascii="Times New Roman" w:hAnsi="Times New Roman" w:cs="Times New Roman"/>
      <w:color w:val="000000"/>
      <w:sz w:val="24"/>
      <w:szCs w:val="24"/>
      <w:lang w:val="en-GB" w:eastAsia="en-GB"/>
    </w:rPr>
  </w:style>
  <w:style w:type="character" w:styleId="UnresolvedMention">
    <w:name w:val="Unresolved Mention"/>
    <w:basedOn w:val="DefaultParagraphFont"/>
    <w:uiPriority w:val="99"/>
    <w:semiHidden/>
    <w:unhideWhenUsed/>
    <w:rsid w:val="00D22EA4"/>
    <w:rPr>
      <w:color w:val="605E5C"/>
      <w:shd w:val="clear" w:color="auto" w:fill="E1DFDD"/>
    </w:rPr>
  </w:style>
  <w:style w:type="character" w:customStyle="1" w:styleId="OdstavekseznamaZnak">
    <w:name w:val="Odstavek seznama Znak"/>
    <w:aliases w:val="numbered list Znak,za tekst Znak,Označevanje Znak,List Paragraph2 Znak,K1 Znak,Table of contents numbered Znak,Elenco num ARGEA Znak,body Znak,Odsek zoznamu2 Znak,Tabela - prazna vrstica Znak,List Paragraph compact Znak,List L Znak"/>
    <w:basedOn w:val="DefaultParagraphFont"/>
    <w:uiPriority w:val="34"/>
    <w:locked/>
    <w:rsid w:val="007248A4"/>
    <w:rPr>
      <w:rFonts w:ascii="Calibri" w:hAnsi="Calibri" w:cs="Calibri"/>
    </w:rPr>
  </w:style>
  <w:style w:type="table" w:styleId="GridTable1Light-Accent1">
    <w:name w:val="Grid Table 1 Light Accent 1"/>
    <w:basedOn w:val="TableNormal"/>
    <w:uiPriority w:val="46"/>
    <w:rsid w:val="00462CD6"/>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styleId="GridTable2-Accent1">
    <w:name w:val="Grid Table 2 Accent 1"/>
    <w:basedOn w:val="TableNormal"/>
    <w:uiPriority w:val="47"/>
    <w:rsid w:val="00462CD6"/>
    <w:pPr>
      <w:spacing w:after="0" w:line="240" w:lineRule="auto"/>
    </w:pPr>
    <w:tblPr>
      <w:tblStyleRowBandSize w:val="1"/>
      <w:tblStyleColBandSize w:val="1"/>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LightShading-Accent12">
    <w:name w:val="Light Shading - Accent 12"/>
    <w:basedOn w:val="TableNormal"/>
    <w:next w:val="LightShading-Accent1"/>
    <w:uiPriority w:val="60"/>
    <w:unhideWhenUsed/>
    <w:rsid w:val="00D02810"/>
    <w:pPr>
      <w:spacing w:after="0" w:line="240" w:lineRule="auto"/>
    </w:pPr>
    <w:rPr>
      <w:color w:val="2F5496"/>
    </w:rPr>
    <w:tblPr>
      <w:tblStyleRowBandSize w:val="1"/>
      <w:tblStyleColBandSize w:val="1"/>
      <w:tblBorders>
        <w:top w:val="single" w:sz="8" w:space="0" w:color="4472C4"/>
        <w:bottom w:val="single" w:sz="8" w:space="0" w:color="4472C4"/>
      </w:tblBorders>
    </w:tblPr>
    <w:tblStylePr w:type="fir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la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cPr>
    </w:tblStylePr>
    <w:tblStylePr w:type="band1Horz">
      <w:tblPr/>
      <w:tcPr>
        <w:tcBorders>
          <w:left w:val="nil"/>
          <w:right w:val="nil"/>
          <w:insideH w:val="nil"/>
          <w:insideV w:val="nil"/>
        </w:tcBorders>
        <w:shd w:val="clear" w:color="auto" w:fill="D0DBF0"/>
      </w:tcPr>
    </w:tblStylePr>
  </w:style>
  <w:style w:type="paragraph" w:customStyle="1" w:styleId="datumtevilka">
    <w:name w:val="datum številka"/>
    <w:basedOn w:val="Normal"/>
    <w:rsid w:val="00CF1C22"/>
    <w:pPr>
      <w:spacing w:line="252" w:lineRule="auto"/>
      <w:jc w:val="both"/>
    </w:pPr>
    <w:rPr>
      <w:rFonts w:ascii="Calibri" w:hAnsi="Calibri" w:cs="Calibri"/>
      <w:lang w:val="en-GB" w:eastAsia="en-GB"/>
    </w:rPr>
  </w:style>
  <w:style w:type="character" w:customStyle="1" w:styleId="BesediloNAPOVEDChar">
    <w:name w:val="Besedilo_NAPOVED Char"/>
    <w:basedOn w:val="DefaultParagraphFont"/>
    <w:link w:val="BesediloNAPOVED"/>
    <w:locked/>
    <w:rsid w:val="00912D45"/>
    <w:rPr>
      <w:rFonts w:ascii="Arial" w:hAnsi="Arial" w:cs="Arial"/>
      <w:sz w:val="20"/>
    </w:rPr>
  </w:style>
  <w:style w:type="paragraph" w:customStyle="1" w:styleId="BesediloNAPOVED">
    <w:name w:val="Besedilo_NAPOVED"/>
    <w:link w:val="BesediloNAPOVEDChar"/>
    <w:qFormat/>
    <w:rsid w:val="00912D45"/>
    <w:pPr>
      <w:spacing w:after="0" w:line="276" w:lineRule="auto"/>
      <w:jc w:val="both"/>
    </w:pPr>
    <w:rPr>
      <w:rFonts w:ascii="Arial" w:hAnsi="Arial" w:cs="Arial"/>
      <w:sz w:val="20"/>
    </w:rPr>
  </w:style>
  <w:style w:type="character" w:customStyle="1" w:styleId="naslov2Znak">
    <w:name w:val="naslov 2 Znak"/>
    <w:basedOn w:val="DefaultParagraphFont"/>
    <w:link w:val="naslov2"/>
    <w:rsid w:val="00467047"/>
    <w:rPr>
      <w:rFonts w:ascii="Times New Roman" w:eastAsia="Times New Roman" w:hAnsi="Times New Roman" w:cs="Times New Roman"/>
      <w:b/>
      <w:sz w:val="24"/>
      <w:szCs w:val="24"/>
    </w:rPr>
  </w:style>
  <w:style w:type="paragraph" w:styleId="TOC2">
    <w:name w:val="toc 2"/>
    <w:basedOn w:val="Normal"/>
    <w:next w:val="Normal"/>
    <w:autoRedefine/>
    <w:uiPriority w:val="39"/>
    <w:unhideWhenUsed/>
    <w:rsid w:val="00B57B42"/>
    <w:pPr>
      <w:spacing w:after="100"/>
      <w:ind w:left="220"/>
    </w:pPr>
    <w:rPr>
      <w:rFonts w:eastAsiaTheme="minorEastAsia" w:cs="Times New Roman"/>
      <w:lang w:val="en-US"/>
    </w:rPr>
  </w:style>
  <w:style w:type="paragraph" w:styleId="TOC3">
    <w:name w:val="toc 3"/>
    <w:basedOn w:val="Normal"/>
    <w:next w:val="Normal"/>
    <w:autoRedefine/>
    <w:uiPriority w:val="39"/>
    <w:unhideWhenUsed/>
    <w:rsid w:val="00B57B42"/>
    <w:pPr>
      <w:spacing w:after="100"/>
      <w:ind w:left="440"/>
    </w:pPr>
    <w:rPr>
      <w:rFonts w:eastAsiaTheme="minorEastAsia" w:cs="Times New Roman"/>
      <w:lang w:val="en-US"/>
    </w:rPr>
  </w:style>
  <w:style w:type="paragraph" w:styleId="Revision">
    <w:name w:val="Revision"/>
    <w:hidden/>
    <w:uiPriority w:val="99"/>
    <w:semiHidden/>
    <w:rsid w:val="00331C38"/>
    <w:pPr>
      <w:spacing w:after="0" w:line="240" w:lineRule="auto"/>
    </w:pPr>
  </w:style>
  <w:style w:type="table" w:styleId="ListTable6Colorful-Accent3">
    <w:name w:val="List Table 6 Colorful Accent 3"/>
    <w:basedOn w:val="TableNormal"/>
    <w:uiPriority w:val="51"/>
    <w:rsid w:val="00464802"/>
    <w:pPr>
      <w:spacing w:after="0" w:line="240" w:lineRule="auto"/>
    </w:pPr>
    <w:rPr>
      <w:color w:val="7B7B7B" w:themeColor="accent3" w:themeShade="BF"/>
    </w:rPr>
    <w:tblPr>
      <w:tblStyleRowBandSize w:val="1"/>
      <w:tblStyleColBandSize w:val="1"/>
      <w:tblBorders>
        <w:top w:val="single" w:sz="4" w:space="0" w:color="A5A5A5" w:themeColor="accent3"/>
        <w:bottom w:val="single" w:sz="4" w:space="0" w:color="A5A5A5" w:themeColor="accent3"/>
      </w:tblBorders>
    </w:tblPr>
    <w:tblStylePr w:type="firstRow">
      <w:rPr>
        <w:b/>
        <w:bCs/>
      </w:rPr>
      <w:tblPr/>
      <w:tcPr>
        <w:tcBorders>
          <w:bottom w:val="single" w:sz="4" w:space="0" w:color="A5A5A5" w:themeColor="accent3"/>
        </w:tcBorders>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6Colorful">
    <w:name w:val="List Table 6 Colorful"/>
    <w:basedOn w:val="TableNormal"/>
    <w:uiPriority w:val="51"/>
    <w:rsid w:val="0053391D"/>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1Light">
    <w:name w:val="Grid Table 1 Light"/>
    <w:basedOn w:val="TableNormal"/>
    <w:uiPriority w:val="46"/>
    <w:rsid w:val="0053391D"/>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BodyText">
    <w:name w:val="Body Text"/>
    <w:basedOn w:val="Normal"/>
    <w:link w:val="BodyTextChar"/>
    <w:uiPriority w:val="1"/>
    <w:qFormat/>
    <w:rsid w:val="00DC7C8C"/>
    <w:pPr>
      <w:widowControl w:val="0"/>
      <w:autoSpaceDE w:val="0"/>
      <w:autoSpaceDN w:val="0"/>
      <w:spacing w:after="0" w:line="240" w:lineRule="auto"/>
    </w:pPr>
    <w:rPr>
      <w:rFonts w:ascii="Times New Roman" w:eastAsia="Times New Roman" w:hAnsi="Times New Roman" w:cs="Times New Roman"/>
      <w:sz w:val="25"/>
      <w:szCs w:val="25"/>
      <w:lang w:val="en-US"/>
    </w:rPr>
  </w:style>
  <w:style w:type="character" w:customStyle="1" w:styleId="BodyTextChar">
    <w:name w:val="Body Text Char"/>
    <w:basedOn w:val="DefaultParagraphFont"/>
    <w:link w:val="BodyText"/>
    <w:uiPriority w:val="1"/>
    <w:rsid w:val="00DC7C8C"/>
    <w:rPr>
      <w:rFonts w:ascii="Times New Roman" w:eastAsia="Times New Roman" w:hAnsi="Times New Roman" w:cs="Times New Roman"/>
      <w:sz w:val="25"/>
      <w:szCs w:val="25"/>
      <w:lang w:val="en-US"/>
    </w:rPr>
  </w:style>
  <w:style w:type="table" w:styleId="ListTable3-Accent1">
    <w:name w:val="List Table 3 Accent 1"/>
    <w:basedOn w:val="TableNormal"/>
    <w:uiPriority w:val="48"/>
    <w:rsid w:val="005A48F1"/>
    <w:pPr>
      <w:spacing w:after="0" w:line="240" w:lineRule="auto"/>
    </w:pPr>
    <w:tblPr>
      <w:tblStyleRowBandSize w:val="1"/>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b/>
        <w:bCs/>
        <w:color w:val="FFFFFF" w:themeColor="background1"/>
      </w:rPr>
      <w:tblPr/>
      <w:tcPr>
        <w:shd w:val="clear" w:color="auto" w:fill="5B9BD5" w:themeFill="accent1"/>
      </w:tcPr>
    </w:tblStylePr>
    <w:tblStylePr w:type="lastRow">
      <w:rPr>
        <w:b/>
        <w:bCs/>
      </w:rPr>
      <w:tblPr/>
      <w:tcPr>
        <w:tcBorders>
          <w:top w:val="double" w:sz="4" w:space="0" w:color="5B9BD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1"/>
          <w:right w:val="single" w:sz="4" w:space="0" w:color="5B9BD5" w:themeColor="accent1"/>
        </w:tcBorders>
      </w:tcPr>
    </w:tblStylePr>
    <w:tblStylePr w:type="band1Horz">
      <w:tblPr/>
      <w:tcPr>
        <w:tcBorders>
          <w:top w:val="single" w:sz="4" w:space="0" w:color="5B9BD5" w:themeColor="accent1"/>
          <w:bottom w:val="single" w:sz="4" w:space="0" w:color="5B9BD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1"/>
          <w:left w:val="nil"/>
        </w:tcBorders>
      </w:tcPr>
    </w:tblStylePr>
    <w:tblStylePr w:type="swCell">
      <w:tblPr/>
      <w:tcPr>
        <w:tcBorders>
          <w:top w:val="double" w:sz="4" w:space="0" w:color="5B9BD5" w:themeColor="accent1"/>
          <w:right w:val="nil"/>
        </w:tcBorders>
      </w:tcPr>
    </w:tblStylePr>
  </w:style>
  <w:style w:type="table" w:styleId="PlainTable5">
    <w:name w:val="Plain Table 5"/>
    <w:basedOn w:val="TableNormal"/>
    <w:uiPriority w:val="45"/>
    <w:rsid w:val="005A48F1"/>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eGridLight">
    <w:name w:val="Grid Table Light"/>
    <w:basedOn w:val="TableNormal"/>
    <w:uiPriority w:val="40"/>
    <w:rsid w:val="005A48F1"/>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ListTable3-Accent5">
    <w:name w:val="List Table 3 Accent 5"/>
    <w:basedOn w:val="TableNormal"/>
    <w:uiPriority w:val="48"/>
    <w:rsid w:val="005A48F1"/>
    <w:pPr>
      <w:spacing w:after="0" w:line="240" w:lineRule="auto"/>
    </w:pPr>
    <w:tblPr>
      <w:tblStyleRowBandSize w:val="1"/>
      <w:tblStyleColBandSize w:val="1"/>
      <w:tblBorders>
        <w:top w:val="single" w:sz="4" w:space="0" w:color="4472C4" w:themeColor="accent5"/>
        <w:left w:val="single" w:sz="4" w:space="0" w:color="4472C4" w:themeColor="accent5"/>
        <w:bottom w:val="single" w:sz="4" w:space="0" w:color="4472C4" w:themeColor="accent5"/>
        <w:right w:val="single" w:sz="4" w:space="0" w:color="4472C4" w:themeColor="accent5"/>
      </w:tblBorders>
    </w:tblPr>
    <w:tblStylePr w:type="firstRow">
      <w:rPr>
        <w:b/>
        <w:bCs/>
        <w:color w:val="FFFFFF" w:themeColor="background1"/>
      </w:rPr>
      <w:tblPr/>
      <w:tcPr>
        <w:shd w:val="clear" w:color="auto" w:fill="4472C4" w:themeFill="accent5"/>
      </w:tcPr>
    </w:tblStylePr>
    <w:tblStylePr w:type="lastRow">
      <w:rPr>
        <w:b/>
        <w:bCs/>
      </w:rPr>
      <w:tblPr/>
      <w:tcPr>
        <w:tcBorders>
          <w:top w:val="double" w:sz="4" w:space="0" w:color="4472C4"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5"/>
          <w:right w:val="single" w:sz="4" w:space="0" w:color="4472C4" w:themeColor="accent5"/>
        </w:tcBorders>
      </w:tcPr>
    </w:tblStylePr>
    <w:tblStylePr w:type="band1Horz">
      <w:tblPr/>
      <w:tcPr>
        <w:tcBorders>
          <w:top w:val="single" w:sz="4" w:space="0" w:color="4472C4" w:themeColor="accent5"/>
          <w:bottom w:val="single" w:sz="4" w:space="0" w:color="4472C4"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5"/>
          <w:left w:val="nil"/>
        </w:tcBorders>
      </w:tcPr>
    </w:tblStylePr>
    <w:tblStylePr w:type="swCell">
      <w:tblPr/>
      <w:tcPr>
        <w:tcBorders>
          <w:top w:val="double" w:sz="4" w:space="0" w:color="4472C4" w:themeColor="accent5"/>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06167">
      <w:bodyDiv w:val="1"/>
      <w:marLeft w:val="0"/>
      <w:marRight w:val="0"/>
      <w:marTop w:val="0"/>
      <w:marBottom w:val="0"/>
      <w:divBdr>
        <w:top w:val="none" w:sz="0" w:space="0" w:color="auto"/>
        <w:left w:val="none" w:sz="0" w:space="0" w:color="auto"/>
        <w:bottom w:val="none" w:sz="0" w:space="0" w:color="auto"/>
        <w:right w:val="none" w:sz="0" w:space="0" w:color="auto"/>
      </w:divBdr>
    </w:div>
    <w:div w:id="22750249">
      <w:bodyDiv w:val="1"/>
      <w:marLeft w:val="0"/>
      <w:marRight w:val="0"/>
      <w:marTop w:val="0"/>
      <w:marBottom w:val="0"/>
      <w:divBdr>
        <w:top w:val="none" w:sz="0" w:space="0" w:color="auto"/>
        <w:left w:val="none" w:sz="0" w:space="0" w:color="auto"/>
        <w:bottom w:val="none" w:sz="0" w:space="0" w:color="auto"/>
        <w:right w:val="none" w:sz="0" w:space="0" w:color="auto"/>
      </w:divBdr>
    </w:div>
    <w:div w:id="33506491">
      <w:bodyDiv w:val="1"/>
      <w:marLeft w:val="0"/>
      <w:marRight w:val="0"/>
      <w:marTop w:val="0"/>
      <w:marBottom w:val="0"/>
      <w:divBdr>
        <w:top w:val="none" w:sz="0" w:space="0" w:color="auto"/>
        <w:left w:val="none" w:sz="0" w:space="0" w:color="auto"/>
        <w:bottom w:val="none" w:sz="0" w:space="0" w:color="auto"/>
        <w:right w:val="none" w:sz="0" w:space="0" w:color="auto"/>
      </w:divBdr>
    </w:div>
    <w:div w:id="90971540">
      <w:bodyDiv w:val="1"/>
      <w:marLeft w:val="0"/>
      <w:marRight w:val="0"/>
      <w:marTop w:val="0"/>
      <w:marBottom w:val="0"/>
      <w:divBdr>
        <w:top w:val="none" w:sz="0" w:space="0" w:color="auto"/>
        <w:left w:val="none" w:sz="0" w:space="0" w:color="auto"/>
        <w:bottom w:val="none" w:sz="0" w:space="0" w:color="auto"/>
        <w:right w:val="none" w:sz="0" w:space="0" w:color="auto"/>
      </w:divBdr>
    </w:div>
    <w:div w:id="126047610">
      <w:bodyDiv w:val="1"/>
      <w:marLeft w:val="0"/>
      <w:marRight w:val="0"/>
      <w:marTop w:val="0"/>
      <w:marBottom w:val="0"/>
      <w:divBdr>
        <w:top w:val="none" w:sz="0" w:space="0" w:color="auto"/>
        <w:left w:val="none" w:sz="0" w:space="0" w:color="auto"/>
        <w:bottom w:val="none" w:sz="0" w:space="0" w:color="auto"/>
        <w:right w:val="none" w:sz="0" w:space="0" w:color="auto"/>
      </w:divBdr>
    </w:div>
    <w:div w:id="210961356">
      <w:bodyDiv w:val="1"/>
      <w:marLeft w:val="0"/>
      <w:marRight w:val="0"/>
      <w:marTop w:val="0"/>
      <w:marBottom w:val="0"/>
      <w:divBdr>
        <w:top w:val="none" w:sz="0" w:space="0" w:color="auto"/>
        <w:left w:val="none" w:sz="0" w:space="0" w:color="auto"/>
        <w:bottom w:val="none" w:sz="0" w:space="0" w:color="auto"/>
        <w:right w:val="none" w:sz="0" w:space="0" w:color="auto"/>
      </w:divBdr>
    </w:div>
    <w:div w:id="231544233">
      <w:bodyDiv w:val="1"/>
      <w:marLeft w:val="0"/>
      <w:marRight w:val="0"/>
      <w:marTop w:val="0"/>
      <w:marBottom w:val="0"/>
      <w:divBdr>
        <w:top w:val="none" w:sz="0" w:space="0" w:color="auto"/>
        <w:left w:val="none" w:sz="0" w:space="0" w:color="auto"/>
        <w:bottom w:val="none" w:sz="0" w:space="0" w:color="auto"/>
        <w:right w:val="none" w:sz="0" w:space="0" w:color="auto"/>
      </w:divBdr>
    </w:div>
    <w:div w:id="254679059">
      <w:bodyDiv w:val="1"/>
      <w:marLeft w:val="0"/>
      <w:marRight w:val="0"/>
      <w:marTop w:val="0"/>
      <w:marBottom w:val="0"/>
      <w:divBdr>
        <w:top w:val="none" w:sz="0" w:space="0" w:color="auto"/>
        <w:left w:val="none" w:sz="0" w:space="0" w:color="auto"/>
        <w:bottom w:val="none" w:sz="0" w:space="0" w:color="auto"/>
        <w:right w:val="none" w:sz="0" w:space="0" w:color="auto"/>
      </w:divBdr>
    </w:div>
    <w:div w:id="293799536">
      <w:bodyDiv w:val="1"/>
      <w:marLeft w:val="0"/>
      <w:marRight w:val="0"/>
      <w:marTop w:val="0"/>
      <w:marBottom w:val="0"/>
      <w:divBdr>
        <w:top w:val="none" w:sz="0" w:space="0" w:color="auto"/>
        <w:left w:val="none" w:sz="0" w:space="0" w:color="auto"/>
        <w:bottom w:val="none" w:sz="0" w:space="0" w:color="auto"/>
        <w:right w:val="none" w:sz="0" w:space="0" w:color="auto"/>
      </w:divBdr>
    </w:div>
    <w:div w:id="303242395">
      <w:bodyDiv w:val="1"/>
      <w:marLeft w:val="0"/>
      <w:marRight w:val="0"/>
      <w:marTop w:val="0"/>
      <w:marBottom w:val="0"/>
      <w:divBdr>
        <w:top w:val="none" w:sz="0" w:space="0" w:color="auto"/>
        <w:left w:val="none" w:sz="0" w:space="0" w:color="auto"/>
        <w:bottom w:val="none" w:sz="0" w:space="0" w:color="auto"/>
        <w:right w:val="none" w:sz="0" w:space="0" w:color="auto"/>
      </w:divBdr>
    </w:div>
    <w:div w:id="325090925">
      <w:bodyDiv w:val="1"/>
      <w:marLeft w:val="0"/>
      <w:marRight w:val="0"/>
      <w:marTop w:val="0"/>
      <w:marBottom w:val="0"/>
      <w:divBdr>
        <w:top w:val="none" w:sz="0" w:space="0" w:color="auto"/>
        <w:left w:val="none" w:sz="0" w:space="0" w:color="auto"/>
        <w:bottom w:val="none" w:sz="0" w:space="0" w:color="auto"/>
        <w:right w:val="none" w:sz="0" w:space="0" w:color="auto"/>
      </w:divBdr>
    </w:div>
    <w:div w:id="332077336">
      <w:bodyDiv w:val="1"/>
      <w:marLeft w:val="0"/>
      <w:marRight w:val="0"/>
      <w:marTop w:val="0"/>
      <w:marBottom w:val="0"/>
      <w:divBdr>
        <w:top w:val="none" w:sz="0" w:space="0" w:color="auto"/>
        <w:left w:val="none" w:sz="0" w:space="0" w:color="auto"/>
        <w:bottom w:val="none" w:sz="0" w:space="0" w:color="auto"/>
        <w:right w:val="none" w:sz="0" w:space="0" w:color="auto"/>
      </w:divBdr>
    </w:div>
    <w:div w:id="354309588">
      <w:bodyDiv w:val="1"/>
      <w:marLeft w:val="0"/>
      <w:marRight w:val="0"/>
      <w:marTop w:val="0"/>
      <w:marBottom w:val="0"/>
      <w:divBdr>
        <w:top w:val="none" w:sz="0" w:space="0" w:color="auto"/>
        <w:left w:val="none" w:sz="0" w:space="0" w:color="auto"/>
        <w:bottom w:val="none" w:sz="0" w:space="0" w:color="auto"/>
        <w:right w:val="none" w:sz="0" w:space="0" w:color="auto"/>
      </w:divBdr>
    </w:div>
    <w:div w:id="376273454">
      <w:bodyDiv w:val="1"/>
      <w:marLeft w:val="0"/>
      <w:marRight w:val="0"/>
      <w:marTop w:val="0"/>
      <w:marBottom w:val="0"/>
      <w:divBdr>
        <w:top w:val="none" w:sz="0" w:space="0" w:color="auto"/>
        <w:left w:val="none" w:sz="0" w:space="0" w:color="auto"/>
        <w:bottom w:val="none" w:sz="0" w:space="0" w:color="auto"/>
        <w:right w:val="none" w:sz="0" w:space="0" w:color="auto"/>
      </w:divBdr>
    </w:div>
    <w:div w:id="388383826">
      <w:bodyDiv w:val="1"/>
      <w:marLeft w:val="0"/>
      <w:marRight w:val="0"/>
      <w:marTop w:val="0"/>
      <w:marBottom w:val="0"/>
      <w:divBdr>
        <w:top w:val="none" w:sz="0" w:space="0" w:color="auto"/>
        <w:left w:val="none" w:sz="0" w:space="0" w:color="auto"/>
        <w:bottom w:val="none" w:sz="0" w:space="0" w:color="auto"/>
        <w:right w:val="none" w:sz="0" w:space="0" w:color="auto"/>
      </w:divBdr>
    </w:div>
    <w:div w:id="424303736">
      <w:bodyDiv w:val="1"/>
      <w:marLeft w:val="0"/>
      <w:marRight w:val="0"/>
      <w:marTop w:val="0"/>
      <w:marBottom w:val="0"/>
      <w:divBdr>
        <w:top w:val="none" w:sz="0" w:space="0" w:color="auto"/>
        <w:left w:val="none" w:sz="0" w:space="0" w:color="auto"/>
        <w:bottom w:val="none" w:sz="0" w:space="0" w:color="auto"/>
        <w:right w:val="none" w:sz="0" w:space="0" w:color="auto"/>
      </w:divBdr>
    </w:div>
    <w:div w:id="517886924">
      <w:bodyDiv w:val="1"/>
      <w:marLeft w:val="0"/>
      <w:marRight w:val="0"/>
      <w:marTop w:val="0"/>
      <w:marBottom w:val="0"/>
      <w:divBdr>
        <w:top w:val="none" w:sz="0" w:space="0" w:color="auto"/>
        <w:left w:val="none" w:sz="0" w:space="0" w:color="auto"/>
        <w:bottom w:val="none" w:sz="0" w:space="0" w:color="auto"/>
        <w:right w:val="none" w:sz="0" w:space="0" w:color="auto"/>
      </w:divBdr>
    </w:div>
    <w:div w:id="651105356">
      <w:bodyDiv w:val="1"/>
      <w:marLeft w:val="0"/>
      <w:marRight w:val="0"/>
      <w:marTop w:val="0"/>
      <w:marBottom w:val="0"/>
      <w:divBdr>
        <w:top w:val="none" w:sz="0" w:space="0" w:color="auto"/>
        <w:left w:val="none" w:sz="0" w:space="0" w:color="auto"/>
        <w:bottom w:val="none" w:sz="0" w:space="0" w:color="auto"/>
        <w:right w:val="none" w:sz="0" w:space="0" w:color="auto"/>
      </w:divBdr>
    </w:div>
    <w:div w:id="661743016">
      <w:bodyDiv w:val="1"/>
      <w:marLeft w:val="0"/>
      <w:marRight w:val="0"/>
      <w:marTop w:val="0"/>
      <w:marBottom w:val="0"/>
      <w:divBdr>
        <w:top w:val="none" w:sz="0" w:space="0" w:color="auto"/>
        <w:left w:val="none" w:sz="0" w:space="0" w:color="auto"/>
        <w:bottom w:val="none" w:sz="0" w:space="0" w:color="auto"/>
        <w:right w:val="none" w:sz="0" w:space="0" w:color="auto"/>
      </w:divBdr>
    </w:div>
    <w:div w:id="718044247">
      <w:bodyDiv w:val="1"/>
      <w:marLeft w:val="0"/>
      <w:marRight w:val="0"/>
      <w:marTop w:val="0"/>
      <w:marBottom w:val="0"/>
      <w:divBdr>
        <w:top w:val="none" w:sz="0" w:space="0" w:color="auto"/>
        <w:left w:val="none" w:sz="0" w:space="0" w:color="auto"/>
        <w:bottom w:val="none" w:sz="0" w:space="0" w:color="auto"/>
        <w:right w:val="none" w:sz="0" w:space="0" w:color="auto"/>
      </w:divBdr>
    </w:div>
    <w:div w:id="725686565">
      <w:bodyDiv w:val="1"/>
      <w:marLeft w:val="0"/>
      <w:marRight w:val="0"/>
      <w:marTop w:val="0"/>
      <w:marBottom w:val="0"/>
      <w:divBdr>
        <w:top w:val="none" w:sz="0" w:space="0" w:color="auto"/>
        <w:left w:val="none" w:sz="0" w:space="0" w:color="auto"/>
        <w:bottom w:val="none" w:sz="0" w:space="0" w:color="auto"/>
        <w:right w:val="none" w:sz="0" w:space="0" w:color="auto"/>
      </w:divBdr>
    </w:div>
    <w:div w:id="760445464">
      <w:bodyDiv w:val="1"/>
      <w:marLeft w:val="0"/>
      <w:marRight w:val="0"/>
      <w:marTop w:val="0"/>
      <w:marBottom w:val="0"/>
      <w:divBdr>
        <w:top w:val="none" w:sz="0" w:space="0" w:color="auto"/>
        <w:left w:val="none" w:sz="0" w:space="0" w:color="auto"/>
        <w:bottom w:val="none" w:sz="0" w:space="0" w:color="auto"/>
        <w:right w:val="none" w:sz="0" w:space="0" w:color="auto"/>
      </w:divBdr>
    </w:div>
    <w:div w:id="813989659">
      <w:bodyDiv w:val="1"/>
      <w:marLeft w:val="0"/>
      <w:marRight w:val="0"/>
      <w:marTop w:val="0"/>
      <w:marBottom w:val="0"/>
      <w:divBdr>
        <w:top w:val="none" w:sz="0" w:space="0" w:color="auto"/>
        <w:left w:val="none" w:sz="0" w:space="0" w:color="auto"/>
        <w:bottom w:val="none" w:sz="0" w:space="0" w:color="auto"/>
        <w:right w:val="none" w:sz="0" w:space="0" w:color="auto"/>
      </w:divBdr>
    </w:div>
    <w:div w:id="835147882">
      <w:bodyDiv w:val="1"/>
      <w:marLeft w:val="0"/>
      <w:marRight w:val="0"/>
      <w:marTop w:val="0"/>
      <w:marBottom w:val="0"/>
      <w:divBdr>
        <w:top w:val="none" w:sz="0" w:space="0" w:color="auto"/>
        <w:left w:val="none" w:sz="0" w:space="0" w:color="auto"/>
        <w:bottom w:val="none" w:sz="0" w:space="0" w:color="auto"/>
        <w:right w:val="none" w:sz="0" w:space="0" w:color="auto"/>
      </w:divBdr>
    </w:div>
    <w:div w:id="844248733">
      <w:bodyDiv w:val="1"/>
      <w:marLeft w:val="0"/>
      <w:marRight w:val="0"/>
      <w:marTop w:val="0"/>
      <w:marBottom w:val="0"/>
      <w:divBdr>
        <w:top w:val="none" w:sz="0" w:space="0" w:color="auto"/>
        <w:left w:val="none" w:sz="0" w:space="0" w:color="auto"/>
        <w:bottom w:val="none" w:sz="0" w:space="0" w:color="auto"/>
        <w:right w:val="none" w:sz="0" w:space="0" w:color="auto"/>
      </w:divBdr>
    </w:div>
    <w:div w:id="851988246">
      <w:bodyDiv w:val="1"/>
      <w:marLeft w:val="0"/>
      <w:marRight w:val="0"/>
      <w:marTop w:val="0"/>
      <w:marBottom w:val="0"/>
      <w:divBdr>
        <w:top w:val="none" w:sz="0" w:space="0" w:color="auto"/>
        <w:left w:val="none" w:sz="0" w:space="0" w:color="auto"/>
        <w:bottom w:val="none" w:sz="0" w:space="0" w:color="auto"/>
        <w:right w:val="none" w:sz="0" w:space="0" w:color="auto"/>
      </w:divBdr>
    </w:div>
    <w:div w:id="908736585">
      <w:bodyDiv w:val="1"/>
      <w:marLeft w:val="0"/>
      <w:marRight w:val="0"/>
      <w:marTop w:val="0"/>
      <w:marBottom w:val="0"/>
      <w:divBdr>
        <w:top w:val="none" w:sz="0" w:space="0" w:color="auto"/>
        <w:left w:val="none" w:sz="0" w:space="0" w:color="auto"/>
        <w:bottom w:val="none" w:sz="0" w:space="0" w:color="auto"/>
        <w:right w:val="none" w:sz="0" w:space="0" w:color="auto"/>
      </w:divBdr>
    </w:div>
    <w:div w:id="960762657">
      <w:bodyDiv w:val="1"/>
      <w:marLeft w:val="0"/>
      <w:marRight w:val="0"/>
      <w:marTop w:val="0"/>
      <w:marBottom w:val="0"/>
      <w:divBdr>
        <w:top w:val="none" w:sz="0" w:space="0" w:color="auto"/>
        <w:left w:val="none" w:sz="0" w:space="0" w:color="auto"/>
        <w:bottom w:val="none" w:sz="0" w:space="0" w:color="auto"/>
        <w:right w:val="none" w:sz="0" w:space="0" w:color="auto"/>
      </w:divBdr>
    </w:div>
    <w:div w:id="1015427410">
      <w:bodyDiv w:val="1"/>
      <w:marLeft w:val="0"/>
      <w:marRight w:val="0"/>
      <w:marTop w:val="0"/>
      <w:marBottom w:val="0"/>
      <w:divBdr>
        <w:top w:val="none" w:sz="0" w:space="0" w:color="auto"/>
        <w:left w:val="none" w:sz="0" w:space="0" w:color="auto"/>
        <w:bottom w:val="none" w:sz="0" w:space="0" w:color="auto"/>
        <w:right w:val="none" w:sz="0" w:space="0" w:color="auto"/>
      </w:divBdr>
    </w:div>
    <w:div w:id="1039629811">
      <w:bodyDiv w:val="1"/>
      <w:marLeft w:val="0"/>
      <w:marRight w:val="0"/>
      <w:marTop w:val="0"/>
      <w:marBottom w:val="0"/>
      <w:divBdr>
        <w:top w:val="none" w:sz="0" w:space="0" w:color="auto"/>
        <w:left w:val="none" w:sz="0" w:space="0" w:color="auto"/>
        <w:bottom w:val="none" w:sz="0" w:space="0" w:color="auto"/>
        <w:right w:val="none" w:sz="0" w:space="0" w:color="auto"/>
      </w:divBdr>
    </w:div>
    <w:div w:id="1060903267">
      <w:bodyDiv w:val="1"/>
      <w:marLeft w:val="0"/>
      <w:marRight w:val="0"/>
      <w:marTop w:val="0"/>
      <w:marBottom w:val="0"/>
      <w:divBdr>
        <w:top w:val="none" w:sz="0" w:space="0" w:color="auto"/>
        <w:left w:val="none" w:sz="0" w:space="0" w:color="auto"/>
        <w:bottom w:val="none" w:sz="0" w:space="0" w:color="auto"/>
        <w:right w:val="none" w:sz="0" w:space="0" w:color="auto"/>
      </w:divBdr>
    </w:div>
    <w:div w:id="1105148004">
      <w:bodyDiv w:val="1"/>
      <w:marLeft w:val="0"/>
      <w:marRight w:val="0"/>
      <w:marTop w:val="0"/>
      <w:marBottom w:val="0"/>
      <w:divBdr>
        <w:top w:val="none" w:sz="0" w:space="0" w:color="auto"/>
        <w:left w:val="none" w:sz="0" w:space="0" w:color="auto"/>
        <w:bottom w:val="none" w:sz="0" w:space="0" w:color="auto"/>
        <w:right w:val="none" w:sz="0" w:space="0" w:color="auto"/>
      </w:divBdr>
    </w:div>
    <w:div w:id="1109396913">
      <w:bodyDiv w:val="1"/>
      <w:marLeft w:val="0"/>
      <w:marRight w:val="0"/>
      <w:marTop w:val="0"/>
      <w:marBottom w:val="0"/>
      <w:divBdr>
        <w:top w:val="none" w:sz="0" w:space="0" w:color="auto"/>
        <w:left w:val="none" w:sz="0" w:space="0" w:color="auto"/>
        <w:bottom w:val="none" w:sz="0" w:space="0" w:color="auto"/>
        <w:right w:val="none" w:sz="0" w:space="0" w:color="auto"/>
      </w:divBdr>
    </w:div>
    <w:div w:id="1152714160">
      <w:bodyDiv w:val="1"/>
      <w:marLeft w:val="0"/>
      <w:marRight w:val="0"/>
      <w:marTop w:val="0"/>
      <w:marBottom w:val="0"/>
      <w:divBdr>
        <w:top w:val="none" w:sz="0" w:space="0" w:color="auto"/>
        <w:left w:val="none" w:sz="0" w:space="0" w:color="auto"/>
        <w:bottom w:val="none" w:sz="0" w:space="0" w:color="auto"/>
        <w:right w:val="none" w:sz="0" w:space="0" w:color="auto"/>
      </w:divBdr>
    </w:div>
    <w:div w:id="1175918304">
      <w:bodyDiv w:val="1"/>
      <w:marLeft w:val="0"/>
      <w:marRight w:val="0"/>
      <w:marTop w:val="0"/>
      <w:marBottom w:val="0"/>
      <w:divBdr>
        <w:top w:val="none" w:sz="0" w:space="0" w:color="auto"/>
        <w:left w:val="none" w:sz="0" w:space="0" w:color="auto"/>
        <w:bottom w:val="none" w:sz="0" w:space="0" w:color="auto"/>
        <w:right w:val="none" w:sz="0" w:space="0" w:color="auto"/>
      </w:divBdr>
    </w:div>
    <w:div w:id="1282759944">
      <w:bodyDiv w:val="1"/>
      <w:marLeft w:val="0"/>
      <w:marRight w:val="0"/>
      <w:marTop w:val="0"/>
      <w:marBottom w:val="0"/>
      <w:divBdr>
        <w:top w:val="none" w:sz="0" w:space="0" w:color="auto"/>
        <w:left w:val="none" w:sz="0" w:space="0" w:color="auto"/>
        <w:bottom w:val="none" w:sz="0" w:space="0" w:color="auto"/>
        <w:right w:val="none" w:sz="0" w:space="0" w:color="auto"/>
      </w:divBdr>
    </w:div>
    <w:div w:id="1306743800">
      <w:bodyDiv w:val="1"/>
      <w:marLeft w:val="0"/>
      <w:marRight w:val="0"/>
      <w:marTop w:val="0"/>
      <w:marBottom w:val="0"/>
      <w:divBdr>
        <w:top w:val="none" w:sz="0" w:space="0" w:color="auto"/>
        <w:left w:val="none" w:sz="0" w:space="0" w:color="auto"/>
        <w:bottom w:val="none" w:sz="0" w:space="0" w:color="auto"/>
        <w:right w:val="none" w:sz="0" w:space="0" w:color="auto"/>
      </w:divBdr>
    </w:div>
    <w:div w:id="1378511400">
      <w:bodyDiv w:val="1"/>
      <w:marLeft w:val="0"/>
      <w:marRight w:val="0"/>
      <w:marTop w:val="0"/>
      <w:marBottom w:val="0"/>
      <w:divBdr>
        <w:top w:val="none" w:sz="0" w:space="0" w:color="auto"/>
        <w:left w:val="none" w:sz="0" w:space="0" w:color="auto"/>
        <w:bottom w:val="none" w:sz="0" w:space="0" w:color="auto"/>
        <w:right w:val="none" w:sz="0" w:space="0" w:color="auto"/>
      </w:divBdr>
    </w:div>
    <w:div w:id="1378704116">
      <w:bodyDiv w:val="1"/>
      <w:marLeft w:val="0"/>
      <w:marRight w:val="0"/>
      <w:marTop w:val="0"/>
      <w:marBottom w:val="0"/>
      <w:divBdr>
        <w:top w:val="none" w:sz="0" w:space="0" w:color="auto"/>
        <w:left w:val="none" w:sz="0" w:space="0" w:color="auto"/>
        <w:bottom w:val="none" w:sz="0" w:space="0" w:color="auto"/>
        <w:right w:val="none" w:sz="0" w:space="0" w:color="auto"/>
      </w:divBdr>
    </w:div>
    <w:div w:id="1436487179">
      <w:bodyDiv w:val="1"/>
      <w:marLeft w:val="0"/>
      <w:marRight w:val="0"/>
      <w:marTop w:val="0"/>
      <w:marBottom w:val="0"/>
      <w:divBdr>
        <w:top w:val="none" w:sz="0" w:space="0" w:color="auto"/>
        <w:left w:val="none" w:sz="0" w:space="0" w:color="auto"/>
        <w:bottom w:val="none" w:sz="0" w:space="0" w:color="auto"/>
        <w:right w:val="none" w:sz="0" w:space="0" w:color="auto"/>
      </w:divBdr>
    </w:div>
    <w:div w:id="1436830993">
      <w:bodyDiv w:val="1"/>
      <w:marLeft w:val="0"/>
      <w:marRight w:val="0"/>
      <w:marTop w:val="0"/>
      <w:marBottom w:val="0"/>
      <w:divBdr>
        <w:top w:val="none" w:sz="0" w:space="0" w:color="auto"/>
        <w:left w:val="none" w:sz="0" w:space="0" w:color="auto"/>
        <w:bottom w:val="none" w:sz="0" w:space="0" w:color="auto"/>
        <w:right w:val="none" w:sz="0" w:space="0" w:color="auto"/>
      </w:divBdr>
    </w:div>
    <w:div w:id="1499923516">
      <w:bodyDiv w:val="1"/>
      <w:marLeft w:val="0"/>
      <w:marRight w:val="0"/>
      <w:marTop w:val="0"/>
      <w:marBottom w:val="0"/>
      <w:divBdr>
        <w:top w:val="none" w:sz="0" w:space="0" w:color="auto"/>
        <w:left w:val="none" w:sz="0" w:space="0" w:color="auto"/>
        <w:bottom w:val="none" w:sz="0" w:space="0" w:color="auto"/>
        <w:right w:val="none" w:sz="0" w:space="0" w:color="auto"/>
      </w:divBdr>
    </w:div>
    <w:div w:id="1612200007">
      <w:bodyDiv w:val="1"/>
      <w:marLeft w:val="0"/>
      <w:marRight w:val="0"/>
      <w:marTop w:val="0"/>
      <w:marBottom w:val="0"/>
      <w:divBdr>
        <w:top w:val="none" w:sz="0" w:space="0" w:color="auto"/>
        <w:left w:val="none" w:sz="0" w:space="0" w:color="auto"/>
        <w:bottom w:val="none" w:sz="0" w:space="0" w:color="auto"/>
        <w:right w:val="none" w:sz="0" w:space="0" w:color="auto"/>
      </w:divBdr>
    </w:div>
    <w:div w:id="1664968707">
      <w:bodyDiv w:val="1"/>
      <w:marLeft w:val="0"/>
      <w:marRight w:val="0"/>
      <w:marTop w:val="0"/>
      <w:marBottom w:val="0"/>
      <w:divBdr>
        <w:top w:val="none" w:sz="0" w:space="0" w:color="auto"/>
        <w:left w:val="none" w:sz="0" w:space="0" w:color="auto"/>
        <w:bottom w:val="none" w:sz="0" w:space="0" w:color="auto"/>
        <w:right w:val="none" w:sz="0" w:space="0" w:color="auto"/>
      </w:divBdr>
    </w:div>
    <w:div w:id="1669750341">
      <w:bodyDiv w:val="1"/>
      <w:marLeft w:val="0"/>
      <w:marRight w:val="0"/>
      <w:marTop w:val="0"/>
      <w:marBottom w:val="0"/>
      <w:divBdr>
        <w:top w:val="none" w:sz="0" w:space="0" w:color="auto"/>
        <w:left w:val="none" w:sz="0" w:space="0" w:color="auto"/>
        <w:bottom w:val="none" w:sz="0" w:space="0" w:color="auto"/>
        <w:right w:val="none" w:sz="0" w:space="0" w:color="auto"/>
      </w:divBdr>
    </w:div>
    <w:div w:id="1684236384">
      <w:bodyDiv w:val="1"/>
      <w:marLeft w:val="0"/>
      <w:marRight w:val="0"/>
      <w:marTop w:val="0"/>
      <w:marBottom w:val="0"/>
      <w:divBdr>
        <w:top w:val="none" w:sz="0" w:space="0" w:color="auto"/>
        <w:left w:val="none" w:sz="0" w:space="0" w:color="auto"/>
        <w:bottom w:val="none" w:sz="0" w:space="0" w:color="auto"/>
        <w:right w:val="none" w:sz="0" w:space="0" w:color="auto"/>
      </w:divBdr>
    </w:div>
    <w:div w:id="1697005972">
      <w:bodyDiv w:val="1"/>
      <w:marLeft w:val="0"/>
      <w:marRight w:val="0"/>
      <w:marTop w:val="0"/>
      <w:marBottom w:val="0"/>
      <w:divBdr>
        <w:top w:val="none" w:sz="0" w:space="0" w:color="auto"/>
        <w:left w:val="none" w:sz="0" w:space="0" w:color="auto"/>
        <w:bottom w:val="none" w:sz="0" w:space="0" w:color="auto"/>
        <w:right w:val="none" w:sz="0" w:space="0" w:color="auto"/>
      </w:divBdr>
    </w:div>
    <w:div w:id="1755011821">
      <w:bodyDiv w:val="1"/>
      <w:marLeft w:val="0"/>
      <w:marRight w:val="0"/>
      <w:marTop w:val="0"/>
      <w:marBottom w:val="0"/>
      <w:divBdr>
        <w:top w:val="none" w:sz="0" w:space="0" w:color="auto"/>
        <w:left w:val="none" w:sz="0" w:space="0" w:color="auto"/>
        <w:bottom w:val="none" w:sz="0" w:space="0" w:color="auto"/>
        <w:right w:val="none" w:sz="0" w:space="0" w:color="auto"/>
      </w:divBdr>
    </w:div>
    <w:div w:id="1894659892">
      <w:bodyDiv w:val="1"/>
      <w:marLeft w:val="0"/>
      <w:marRight w:val="0"/>
      <w:marTop w:val="0"/>
      <w:marBottom w:val="0"/>
      <w:divBdr>
        <w:top w:val="none" w:sz="0" w:space="0" w:color="auto"/>
        <w:left w:val="none" w:sz="0" w:space="0" w:color="auto"/>
        <w:bottom w:val="none" w:sz="0" w:space="0" w:color="auto"/>
        <w:right w:val="none" w:sz="0" w:space="0" w:color="auto"/>
      </w:divBdr>
    </w:div>
    <w:div w:id="1896743879">
      <w:bodyDiv w:val="1"/>
      <w:marLeft w:val="0"/>
      <w:marRight w:val="0"/>
      <w:marTop w:val="0"/>
      <w:marBottom w:val="0"/>
      <w:divBdr>
        <w:top w:val="none" w:sz="0" w:space="0" w:color="auto"/>
        <w:left w:val="none" w:sz="0" w:space="0" w:color="auto"/>
        <w:bottom w:val="none" w:sz="0" w:space="0" w:color="auto"/>
        <w:right w:val="none" w:sz="0" w:space="0" w:color="auto"/>
      </w:divBdr>
    </w:div>
    <w:div w:id="1934899749">
      <w:bodyDiv w:val="1"/>
      <w:marLeft w:val="0"/>
      <w:marRight w:val="0"/>
      <w:marTop w:val="0"/>
      <w:marBottom w:val="0"/>
      <w:divBdr>
        <w:top w:val="none" w:sz="0" w:space="0" w:color="auto"/>
        <w:left w:val="none" w:sz="0" w:space="0" w:color="auto"/>
        <w:bottom w:val="none" w:sz="0" w:space="0" w:color="auto"/>
        <w:right w:val="none" w:sz="0" w:space="0" w:color="auto"/>
      </w:divBdr>
    </w:div>
    <w:div w:id="1940529803">
      <w:bodyDiv w:val="1"/>
      <w:marLeft w:val="0"/>
      <w:marRight w:val="0"/>
      <w:marTop w:val="0"/>
      <w:marBottom w:val="0"/>
      <w:divBdr>
        <w:top w:val="none" w:sz="0" w:space="0" w:color="auto"/>
        <w:left w:val="none" w:sz="0" w:space="0" w:color="auto"/>
        <w:bottom w:val="none" w:sz="0" w:space="0" w:color="auto"/>
        <w:right w:val="none" w:sz="0" w:space="0" w:color="auto"/>
      </w:divBdr>
    </w:div>
    <w:div w:id="2011447905">
      <w:bodyDiv w:val="1"/>
      <w:marLeft w:val="0"/>
      <w:marRight w:val="0"/>
      <w:marTop w:val="0"/>
      <w:marBottom w:val="0"/>
      <w:divBdr>
        <w:top w:val="none" w:sz="0" w:space="0" w:color="auto"/>
        <w:left w:val="none" w:sz="0" w:space="0" w:color="auto"/>
        <w:bottom w:val="none" w:sz="0" w:space="0" w:color="auto"/>
        <w:right w:val="none" w:sz="0" w:space="0" w:color="auto"/>
      </w:divBdr>
    </w:div>
    <w:div w:id="2047441727">
      <w:bodyDiv w:val="1"/>
      <w:marLeft w:val="0"/>
      <w:marRight w:val="0"/>
      <w:marTop w:val="0"/>
      <w:marBottom w:val="0"/>
      <w:divBdr>
        <w:top w:val="none" w:sz="0" w:space="0" w:color="auto"/>
        <w:left w:val="none" w:sz="0" w:space="0" w:color="auto"/>
        <w:bottom w:val="none" w:sz="0" w:space="0" w:color="auto"/>
        <w:right w:val="none" w:sz="0" w:space="0" w:color="auto"/>
      </w:divBdr>
    </w:div>
    <w:div w:id="2077781432">
      <w:bodyDiv w:val="1"/>
      <w:marLeft w:val="0"/>
      <w:marRight w:val="0"/>
      <w:marTop w:val="0"/>
      <w:marBottom w:val="0"/>
      <w:divBdr>
        <w:top w:val="none" w:sz="0" w:space="0" w:color="auto"/>
        <w:left w:val="none" w:sz="0" w:space="0" w:color="auto"/>
        <w:bottom w:val="none" w:sz="0" w:space="0" w:color="auto"/>
        <w:right w:val="none" w:sz="0" w:space="0" w:color="auto"/>
      </w:divBdr>
    </w:div>
    <w:div w:id="21169043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5.xml"/><Relationship Id="rId18" Type="http://schemas.openxmlformats.org/officeDocument/2006/relationships/chart" Target="charts/chart10.xml"/><Relationship Id="rId26" Type="http://schemas.openxmlformats.org/officeDocument/2006/relationships/chart" Target="charts/chart18.xml"/><Relationship Id="rId39" Type="http://schemas.openxmlformats.org/officeDocument/2006/relationships/theme" Target="theme/theme1.xml"/><Relationship Id="rId21" Type="http://schemas.openxmlformats.org/officeDocument/2006/relationships/chart" Target="charts/chart13.xml"/><Relationship Id="rId34" Type="http://schemas.openxmlformats.org/officeDocument/2006/relationships/hyperlink" Target="https://www.energetika-portal.si/podrocja/energetika/ukrepi-za-omilitev-draginje-na-podrocju-energetike/" TargetMode="External"/><Relationship Id="rId7" Type="http://schemas.openxmlformats.org/officeDocument/2006/relationships/endnotes" Target="endnotes.xml"/><Relationship Id="rId12" Type="http://schemas.openxmlformats.org/officeDocument/2006/relationships/chart" Target="charts/chart4.xml"/><Relationship Id="rId17" Type="http://schemas.openxmlformats.org/officeDocument/2006/relationships/chart" Target="charts/chart9.xml"/><Relationship Id="rId25" Type="http://schemas.openxmlformats.org/officeDocument/2006/relationships/chart" Target="charts/chart17.xml"/><Relationship Id="rId33" Type="http://schemas.openxmlformats.org/officeDocument/2006/relationships/chart" Target="charts/chart25.xml"/><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chart" Target="charts/chart8.xml"/><Relationship Id="rId20" Type="http://schemas.openxmlformats.org/officeDocument/2006/relationships/chart" Target="charts/chart12.xml"/><Relationship Id="rId29" Type="http://schemas.openxmlformats.org/officeDocument/2006/relationships/chart" Target="charts/chart2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3.xml"/><Relationship Id="rId24" Type="http://schemas.openxmlformats.org/officeDocument/2006/relationships/chart" Target="charts/chart16.xml"/><Relationship Id="rId32" Type="http://schemas.openxmlformats.org/officeDocument/2006/relationships/chart" Target="charts/chart24.xml"/><Relationship Id="rId37"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chart" Target="charts/chart7.xml"/><Relationship Id="rId23" Type="http://schemas.openxmlformats.org/officeDocument/2006/relationships/chart" Target="charts/chart15.xml"/><Relationship Id="rId28" Type="http://schemas.openxmlformats.org/officeDocument/2006/relationships/chart" Target="charts/chart20.xml"/><Relationship Id="rId36" Type="http://schemas.openxmlformats.org/officeDocument/2006/relationships/hyperlink" Target="http://www.uradni-list.si/1/objava.jsp?sop=2023-01-1343" TargetMode="External"/><Relationship Id="rId10" Type="http://schemas.openxmlformats.org/officeDocument/2006/relationships/chart" Target="charts/chart2.xml"/><Relationship Id="rId19" Type="http://schemas.openxmlformats.org/officeDocument/2006/relationships/chart" Target="charts/chart11.xml"/><Relationship Id="rId31" Type="http://schemas.openxmlformats.org/officeDocument/2006/relationships/chart" Target="charts/chart23.xml"/><Relationship Id="rId4" Type="http://schemas.openxmlformats.org/officeDocument/2006/relationships/settings" Target="settings.xml"/><Relationship Id="rId9" Type="http://schemas.openxmlformats.org/officeDocument/2006/relationships/chart" Target="charts/chart1.xml"/><Relationship Id="rId14" Type="http://schemas.openxmlformats.org/officeDocument/2006/relationships/chart" Target="charts/chart6.xml"/><Relationship Id="rId22" Type="http://schemas.openxmlformats.org/officeDocument/2006/relationships/chart" Target="charts/chart14.xml"/><Relationship Id="rId27" Type="http://schemas.openxmlformats.org/officeDocument/2006/relationships/chart" Target="charts/chart19.xml"/><Relationship Id="rId30" Type="http://schemas.openxmlformats.org/officeDocument/2006/relationships/chart" Target="charts/chart22.xml"/><Relationship Id="rId35" Type="http://schemas.openxmlformats.org/officeDocument/2006/relationships/hyperlink" Target="http://www.uradni-list.si/1/objava.jsp?sop=2023-01-1342" TargetMode="External"/><Relationship Id="rId8" Type="http://schemas.openxmlformats.org/officeDocument/2006/relationships/image" Target="media/image1.png"/><Relationship Id="rId3" Type="http://schemas.openxmlformats.org/officeDocument/2006/relationships/styles" Target="styles.xml"/></Relationships>
</file>

<file path=word/_rels/footnotes.xml.rels><?xml version="1.0" encoding="UTF-8" standalone="yes"?>
<Relationships xmlns="http://schemas.openxmlformats.org/package/2006/relationships"><Relationship Id="rId3" Type="http://schemas.openxmlformats.org/officeDocument/2006/relationships/hyperlink" Target="https://data.consilium.europa.eu/doc/document/ST-11156-2023-INIT/en/pdf" TargetMode="External"/><Relationship Id="rId2" Type="http://schemas.openxmlformats.org/officeDocument/2006/relationships/hyperlink" Target="https://economy-finance.ec.europa.eu/system/files/2023-03/COM_2023_141_1_EN_ACT_part1_v4.pdf" TargetMode="External"/><Relationship Id="rId1" Type="http://schemas.openxmlformats.org/officeDocument/2006/relationships/hyperlink" Target="https://www.bsi.si/publikacije/porocilo-o-financni-stabilnosti"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2023\9_september\dbp%2024\dbp2024_slike.xlsx" TargetMode="External"/></Relationships>
</file>

<file path=word/charts/_rels/chart10.xml.rels><?xml version="1.0" encoding="UTF-8" standalone="yes"?>
<Relationships xmlns="http://schemas.openxmlformats.org/package/2006/relationships"><Relationship Id="rId3" Type="http://schemas.openxmlformats.org/officeDocument/2006/relationships/oleObject" Target="file:///C:\osebno\MilanezA72\DBP2024\EUCAM_output_DBP2024%20REAL.xlsx" TargetMode="External"/><Relationship Id="rId2" Type="http://schemas.microsoft.com/office/2011/relationships/chartColorStyle" Target="colors9.xml"/><Relationship Id="rId1" Type="http://schemas.microsoft.com/office/2011/relationships/chartStyle" Target="style9.xml"/></Relationships>
</file>

<file path=word/charts/_rels/chart11.xml.rels><?xml version="1.0" encoding="UTF-8" standalone="yes"?>
<Relationships xmlns="http://schemas.openxmlformats.org/package/2006/relationships"><Relationship Id="rId3" Type="http://schemas.openxmlformats.org/officeDocument/2006/relationships/oleObject" Target="file:///C:\osebno\MilanezA72\DBP2024\Institucije_Dbp2024.xlsx" TargetMode="External"/><Relationship Id="rId2" Type="http://schemas.microsoft.com/office/2011/relationships/chartColorStyle" Target="colors10.xml"/><Relationship Id="rId1" Type="http://schemas.microsoft.com/office/2011/relationships/chartStyle" Target="style10.xml"/></Relationships>
</file>

<file path=word/charts/_rels/chart12.xml.rels><?xml version="1.0" encoding="UTF-8" standalone="yes"?>
<Relationships xmlns="http://schemas.openxmlformats.org/package/2006/relationships"><Relationship Id="rId3" Type="http://schemas.openxmlformats.org/officeDocument/2006/relationships/oleObject" Target="file:///\\ad.sigov.si\usr\K-L\KodricM28\Documents\Expenditure\nov%20excel\Skupni%20excel%20za%20vsa%20pravila.xlsx" TargetMode="External"/><Relationship Id="rId2" Type="http://schemas.microsoft.com/office/2011/relationships/chartColorStyle" Target="colors11.xml"/><Relationship Id="rId1" Type="http://schemas.microsoft.com/office/2011/relationships/chartStyle" Target="style11.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KluzerF56\AppData\Local\Microsoft\Windows\INetCache\Content.Outlook\OPPKRSF0\Graf%20-%20investicije1.xlsx" TargetMode="External"/><Relationship Id="rId2" Type="http://schemas.microsoft.com/office/2011/relationships/chartColorStyle" Target="colors12.xml"/><Relationship Id="rId1" Type="http://schemas.microsoft.com/office/2011/relationships/chartStyle" Target="style12.xml"/></Relationships>
</file>

<file path=word/charts/_rels/chart14.xml.rels><?xml version="1.0" encoding="UTF-8" standalone="yes"?>
<Relationships xmlns="http://schemas.openxmlformats.org/package/2006/relationships"><Relationship Id="rId3" Type="http://schemas.openxmlformats.org/officeDocument/2006/relationships/oleObject" Target="file:///C:\Users\KluzerF56\AppData\Local\Microsoft\Windows\INetCache\Content.Outlook\OPPKRSF0\Skupni%20excel%20za%20vsa%20pravila.xlsx" TargetMode="External"/><Relationship Id="rId2" Type="http://schemas.microsoft.com/office/2011/relationships/chartColorStyle" Target="colors13.xml"/><Relationship Id="rId1" Type="http://schemas.microsoft.com/office/2011/relationships/chartStyle" Target="style13.xml"/></Relationships>
</file>

<file path=word/charts/_rels/chart15.xml.rels><?xml version="1.0" encoding="UTF-8" standalone="yes"?>
<Relationships xmlns="http://schemas.openxmlformats.org/package/2006/relationships"><Relationship Id="rId3" Type="http://schemas.openxmlformats.org/officeDocument/2006/relationships/oleObject" Target="file:///\\ad.sigov.si\usr\K-L\KodricM28\Documents\Expenditure\nov%20excel\Skupni%20excel%20za%20vsa%20pravila.xlsx" TargetMode="External"/><Relationship Id="rId2" Type="http://schemas.microsoft.com/office/2011/relationships/chartColorStyle" Target="colors14.xml"/><Relationship Id="rId1" Type="http://schemas.microsoft.com/office/2011/relationships/chartStyle" Target="style14.xml"/></Relationships>
</file>

<file path=word/charts/_rels/chart16.xml.rels><?xml version="1.0" encoding="UTF-8" standalone="yes"?>
<Relationships xmlns="http://schemas.openxmlformats.org/package/2006/relationships"><Relationship Id="rId3" Type="http://schemas.openxmlformats.org/officeDocument/2006/relationships/oleObject" Target="file:///C:\2023\9_september\dbp%2024\AutomS_DBP24.xlsx" TargetMode="External"/><Relationship Id="rId2" Type="http://schemas.microsoft.com/office/2011/relationships/chartColorStyle" Target="colors15.xml"/><Relationship Id="rId1" Type="http://schemas.microsoft.com/office/2011/relationships/chartStyle" Target="style15.xml"/></Relationships>
</file>

<file path=word/charts/_rels/chart17.xml.rels><?xml version="1.0" encoding="UTF-8" standalone="yes"?>
<Relationships xmlns="http://schemas.openxmlformats.org/package/2006/relationships"><Relationship Id="rId3" Type="http://schemas.openxmlformats.org/officeDocument/2006/relationships/oleObject" Target="file:///C:\2023\9_september\dbp%2024\AutomS_DBP24.xlsx" TargetMode="External"/><Relationship Id="rId2" Type="http://schemas.microsoft.com/office/2011/relationships/chartColorStyle" Target="colors16.xml"/><Relationship Id="rId1" Type="http://schemas.microsoft.com/office/2011/relationships/chartStyle" Target="style16.xml"/></Relationships>
</file>

<file path=word/charts/_rels/chart18.xml.rels><?xml version="1.0" encoding="UTF-8" standalone="yes"?>
<Relationships xmlns="http://schemas.openxmlformats.org/package/2006/relationships"><Relationship Id="rId3" Type="http://schemas.openxmlformats.org/officeDocument/2006/relationships/oleObject" Target="file:///\\ad.sigov.si\usr\A-E\BokalV11\Documents\Pregled%20COVID%20ukrepov%202020-2023.xlsx" TargetMode="External"/><Relationship Id="rId2" Type="http://schemas.microsoft.com/office/2011/relationships/chartColorStyle" Target="colors17.xml"/><Relationship Id="rId1" Type="http://schemas.microsoft.com/office/2011/relationships/chartStyle" Target="style17.xml"/></Relationships>
</file>

<file path=word/charts/_rels/chart19.xml.rels><?xml version="1.0" encoding="UTF-8" standalone="yes"?>
<Relationships xmlns="http://schemas.openxmlformats.org/package/2006/relationships"><Relationship Id="rId3" Type="http://schemas.openxmlformats.org/officeDocument/2006/relationships/oleObject" Target="file:///C:\Nata&#353;a_5.3.2021\forecast\september%202023\rezultati_sept_marec%2023.xlsx" TargetMode="Externa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chartUserShapes" Target="../drawings/drawing1.xml"/></Relationships>
</file>

<file path=word/charts/_rels/chart2.xml.rels><?xml version="1.0" encoding="UTF-8" standalone="yes"?>
<Relationships xmlns="http://schemas.openxmlformats.org/package/2006/relationships"><Relationship Id="rId3" Type="http://schemas.openxmlformats.org/officeDocument/2006/relationships/oleObject" Target="file:///C:\2023\9_september\dbp%2024\dbp2024_slike.xlsx" TargetMode="External"/><Relationship Id="rId2" Type="http://schemas.microsoft.com/office/2011/relationships/chartColorStyle" Target="colors1.xml"/><Relationship Id="rId1" Type="http://schemas.microsoft.com/office/2011/relationships/chartStyle" Target="style1.xml"/></Relationships>
</file>

<file path=word/charts/_rels/chart20.xml.rels><?xml version="1.0" encoding="UTF-8" standalone="yes"?>
<Relationships xmlns="http://schemas.openxmlformats.org/package/2006/relationships"><Relationship Id="rId3" Type="http://schemas.openxmlformats.org/officeDocument/2006/relationships/oleObject" Target="file:///C:\Users\VrhN56\AppData\Local\Microsoft\Windows\INetCache\Content.Outlook\HQFW26SR\Graf%20-%20investicije1.xlsx" TargetMode="External"/><Relationship Id="rId2" Type="http://schemas.microsoft.com/office/2011/relationships/chartColorStyle" Target="colors19.xml"/><Relationship Id="rId1" Type="http://schemas.microsoft.com/office/2011/relationships/chartStyle" Target="style19.xml"/></Relationships>
</file>

<file path=word/charts/_rels/chart21.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20.xml"/><Relationship Id="rId1" Type="http://schemas.microsoft.com/office/2011/relationships/chartStyle" Target="style20.xml"/></Relationships>
</file>

<file path=word/charts/_rels/chart22.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23.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package" Target="../embeddings/Microsoft_Excel_Worksheet5.xlsx"/></Relationships>
</file>

<file path=word/charts/_rels/chart24.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25.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3.xml.rels><?xml version="1.0" encoding="UTF-8" standalone="yes"?>
<Relationships xmlns="http://schemas.openxmlformats.org/package/2006/relationships"><Relationship Id="rId3" Type="http://schemas.openxmlformats.org/officeDocument/2006/relationships/oleObject" Target="file:///C:\2023\9_september\dbp%2024\dbp2024_slike.xlsx" TargetMode="External"/><Relationship Id="rId2" Type="http://schemas.microsoft.com/office/2011/relationships/chartColorStyle" Target="colors2.xml"/><Relationship Id="rId1" Type="http://schemas.microsoft.com/office/2011/relationships/chartStyle" Target="style2.xml"/></Relationships>
</file>

<file path=word/charts/_rels/chart4.xml.rels><?xml version="1.0" encoding="UTF-8" standalone="yes"?>
<Relationships xmlns="http://schemas.openxmlformats.org/package/2006/relationships"><Relationship Id="rId3" Type="http://schemas.openxmlformats.org/officeDocument/2006/relationships/oleObject" Target="file:///C:\2023\9_september\dbp%2024\dbp2024_slike.xlsx" TargetMode="External"/><Relationship Id="rId2" Type="http://schemas.microsoft.com/office/2011/relationships/chartColorStyle" Target="colors3.xml"/><Relationship Id="rId1" Type="http://schemas.microsoft.com/office/2011/relationships/chartStyle" Target="style3.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4.xml"/><Relationship Id="rId1" Type="http://schemas.microsoft.com/office/2011/relationships/chartStyle" Target="style4.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5.xml"/><Relationship Id="rId1" Type="http://schemas.microsoft.com/office/2011/relationships/chartStyle" Target="style5.xml"/></Relationships>
</file>

<file path=word/charts/_rels/chart7.xml.rels><?xml version="1.0" encoding="UTF-8" standalone="yes"?>
<Relationships xmlns="http://schemas.openxmlformats.org/package/2006/relationships"><Relationship Id="rId3" Type="http://schemas.openxmlformats.org/officeDocument/2006/relationships/oleObject" Target="file:///C:\osebno\MilanezA72\DBP2024\Prispevki%20k%20deflatorju.xlsx" TargetMode="External"/><Relationship Id="rId2" Type="http://schemas.microsoft.com/office/2011/relationships/chartColorStyle" Target="colors6.xml"/><Relationship Id="rId1" Type="http://schemas.microsoft.com/office/2011/relationships/chartStyle" Target="style6.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7.xml"/><Relationship Id="rId1" Type="http://schemas.microsoft.com/office/2011/relationships/chartStyle" Target="style7.xm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file:///C:\osebno\MilanezA72\DBP2024\EUCAM_output_DBP2024%20REAL.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6674866371630549E-2"/>
          <c:y val="8.4194591955075393E-2"/>
          <c:w val="0.91332513362836942"/>
          <c:h val="0.70013952203343"/>
        </c:manualLayout>
      </c:layout>
      <c:barChart>
        <c:barDir val="col"/>
        <c:grouping val="clustered"/>
        <c:varyColors val="0"/>
        <c:ser>
          <c:idx val="4"/>
          <c:order val="4"/>
          <c:tx>
            <c:strRef>
              <c:f>'slika 1&amp;2 si'!$A$34</c:f>
              <c:strCache>
                <c:ptCount val="1"/>
                <c:pt idx="0">
                  <c:v>EA_bruto investicije</c:v>
                </c:pt>
              </c:strCache>
            </c:strRef>
          </c:tx>
          <c:spPr>
            <a:solidFill>
              <a:schemeClr val="accent5">
                <a:lumMod val="20000"/>
                <a:lumOff val="80000"/>
              </a:schemeClr>
            </a:solidFill>
            <a:ln>
              <a:solidFill>
                <a:schemeClr val="accent5"/>
              </a:solidFill>
            </a:ln>
            <a:effectLst/>
          </c:spPr>
          <c:invertIfNegative val="0"/>
          <c:val>
            <c:numRef>
              <c:f>'slika 1&amp;2 si'!$N$34:$U$34</c:f>
              <c:numCache>
                <c:formatCode>#,##0.##########</c:formatCode>
                <c:ptCount val="8"/>
                <c:pt idx="0">
                  <c:v>2.2999999999999998</c:v>
                </c:pt>
                <c:pt idx="1">
                  <c:v>1.7</c:v>
                </c:pt>
                <c:pt idx="2">
                  <c:v>3.6</c:v>
                </c:pt>
                <c:pt idx="3">
                  <c:v>2.6</c:v>
                </c:pt>
                <c:pt idx="4">
                  <c:v>4.5999999999999996</c:v>
                </c:pt>
                <c:pt idx="5">
                  <c:v>0.9</c:v>
                </c:pt>
                <c:pt idx="6">
                  <c:v>1.9</c:v>
                </c:pt>
                <c:pt idx="7">
                  <c:v>1.3</c:v>
                </c:pt>
              </c:numCache>
            </c:numRef>
          </c:val>
          <c:extLst>
            <c:ext xmlns:c16="http://schemas.microsoft.com/office/drawing/2014/chart" uri="{C3380CC4-5D6E-409C-BE32-E72D297353CC}">
              <c16:uniqueId val="{00000000-3E05-4769-8623-D0C036680F1E}"/>
            </c:ext>
          </c:extLst>
        </c:ser>
        <c:ser>
          <c:idx val="5"/>
          <c:order val="5"/>
          <c:tx>
            <c:strRef>
              <c:f>'slika 1&amp;2 si'!$A$35</c:f>
              <c:strCache>
                <c:ptCount val="1"/>
                <c:pt idx="0">
                  <c:v>SI_bruto investicije</c:v>
                </c:pt>
              </c:strCache>
            </c:strRef>
          </c:tx>
          <c:spPr>
            <a:solidFill>
              <a:schemeClr val="bg2">
                <a:lumMod val="90000"/>
              </a:schemeClr>
            </a:solidFill>
            <a:ln>
              <a:solidFill>
                <a:schemeClr val="accent6"/>
              </a:solidFill>
            </a:ln>
            <a:effectLst/>
          </c:spPr>
          <c:invertIfNegative val="0"/>
          <c:val>
            <c:numRef>
              <c:f>'slika 1&amp;2 si'!$N$35:$U$35</c:f>
              <c:numCache>
                <c:formatCode>#,##0.##########</c:formatCode>
                <c:ptCount val="8"/>
                <c:pt idx="0">
                  <c:v>11.7</c:v>
                </c:pt>
                <c:pt idx="1">
                  <c:v>13.7</c:v>
                </c:pt>
                <c:pt idx="2">
                  <c:v>8.6999999999999993</c:v>
                </c:pt>
                <c:pt idx="3">
                  <c:v>7.7</c:v>
                </c:pt>
                <c:pt idx="4">
                  <c:v>8.6999999999999993</c:v>
                </c:pt>
                <c:pt idx="5">
                  <c:v>6.2</c:v>
                </c:pt>
                <c:pt idx="6">
                  <c:v>9.6999999999999993</c:v>
                </c:pt>
                <c:pt idx="7">
                  <c:v>9.4</c:v>
                </c:pt>
              </c:numCache>
            </c:numRef>
          </c:val>
          <c:extLst>
            <c:ext xmlns:c16="http://schemas.microsoft.com/office/drawing/2014/chart" uri="{C3380CC4-5D6E-409C-BE32-E72D297353CC}">
              <c16:uniqueId val="{00000001-3E05-4769-8623-D0C036680F1E}"/>
            </c:ext>
          </c:extLst>
        </c:ser>
        <c:dLbls>
          <c:showLegendKey val="0"/>
          <c:showVal val="0"/>
          <c:showCatName val="0"/>
          <c:showSerName val="0"/>
          <c:showPercent val="0"/>
          <c:showBubbleSize val="0"/>
        </c:dLbls>
        <c:gapWidth val="500"/>
        <c:overlap val="-20"/>
        <c:axId val="670968000"/>
        <c:axId val="1"/>
      </c:barChart>
      <c:lineChart>
        <c:grouping val="standard"/>
        <c:varyColors val="0"/>
        <c:ser>
          <c:idx val="0"/>
          <c:order val="0"/>
          <c:tx>
            <c:strRef>
              <c:f>'slika 1&amp;2 si'!$A$12</c:f>
              <c:strCache>
                <c:ptCount val="1"/>
                <c:pt idx="0">
                  <c:v>EA_državna potrošnja</c:v>
                </c:pt>
              </c:strCache>
            </c:strRef>
          </c:tx>
          <c:spPr>
            <a:ln w="28575" cap="rnd">
              <a:solidFill>
                <a:schemeClr val="accent1"/>
              </a:solidFill>
              <a:prstDash val="sysDash"/>
              <a:round/>
            </a:ln>
            <a:effectLst/>
          </c:spPr>
          <c:marker>
            <c:symbol val="none"/>
          </c:marker>
          <c:cat>
            <c:strRef>
              <c:f>'slika 1&amp;2 si'!$N$11:$U$11</c:f>
              <c:strCache>
                <c:ptCount val="8"/>
                <c:pt idx="0">
                  <c:v>2021Q3</c:v>
                </c:pt>
                <c:pt idx="1">
                  <c:v>2021Q4</c:v>
                </c:pt>
                <c:pt idx="2">
                  <c:v>2022Q1</c:v>
                </c:pt>
                <c:pt idx="3">
                  <c:v>2022Q2</c:v>
                </c:pt>
                <c:pt idx="4">
                  <c:v>2022Q3</c:v>
                </c:pt>
                <c:pt idx="5">
                  <c:v>2022Q4</c:v>
                </c:pt>
                <c:pt idx="6">
                  <c:v>2023Q1</c:v>
                </c:pt>
                <c:pt idx="7">
                  <c:v>2023Q2</c:v>
                </c:pt>
              </c:strCache>
            </c:strRef>
          </c:cat>
          <c:val>
            <c:numRef>
              <c:f>'slika 1&amp;2 si'!$N$12:$U$12</c:f>
              <c:numCache>
                <c:formatCode>#,##0.##########</c:formatCode>
                <c:ptCount val="8"/>
                <c:pt idx="0">
                  <c:v>2.7</c:v>
                </c:pt>
                <c:pt idx="1">
                  <c:v>2.6</c:v>
                </c:pt>
                <c:pt idx="2">
                  <c:v>3.1</c:v>
                </c:pt>
                <c:pt idx="3">
                  <c:v>1.3</c:v>
                </c:pt>
                <c:pt idx="4">
                  <c:v>0.4</c:v>
                </c:pt>
                <c:pt idx="5">
                  <c:v>0.6</c:v>
                </c:pt>
                <c:pt idx="6">
                  <c:v>-0.4</c:v>
                </c:pt>
                <c:pt idx="7">
                  <c:v>0.1</c:v>
                </c:pt>
              </c:numCache>
            </c:numRef>
          </c:val>
          <c:smooth val="0"/>
          <c:extLst>
            <c:ext xmlns:c16="http://schemas.microsoft.com/office/drawing/2014/chart" uri="{C3380CC4-5D6E-409C-BE32-E72D297353CC}">
              <c16:uniqueId val="{00000002-3E05-4769-8623-D0C036680F1E}"/>
            </c:ext>
          </c:extLst>
        </c:ser>
        <c:ser>
          <c:idx val="1"/>
          <c:order val="1"/>
          <c:tx>
            <c:strRef>
              <c:f>'slika 1&amp;2 si'!$A$13</c:f>
              <c:strCache>
                <c:ptCount val="1"/>
                <c:pt idx="0">
                  <c:v>SI_državna potrošnja</c:v>
                </c:pt>
              </c:strCache>
            </c:strRef>
          </c:tx>
          <c:spPr>
            <a:ln w="28575" cap="rnd">
              <a:solidFill>
                <a:schemeClr val="bg2">
                  <a:lumMod val="50000"/>
                </a:schemeClr>
              </a:solidFill>
              <a:prstDash val="sysDash"/>
              <a:round/>
            </a:ln>
            <a:effectLst/>
          </c:spPr>
          <c:marker>
            <c:symbol val="none"/>
          </c:marker>
          <c:cat>
            <c:strRef>
              <c:f>'slika 1&amp;2 si'!$N$11:$U$11</c:f>
              <c:strCache>
                <c:ptCount val="8"/>
                <c:pt idx="0">
                  <c:v>2021Q3</c:v>
                </c:pt>
                <c:pt idx="1">
                  <c:v>2021Q4</c:v>
                </c:pt>
                <c:pt idx="2">
                  <c:v>2022Q1</c:v>
                </c:pt>
                <c:pt idx="3">
                  <c:v>2022Q2</c:v>
                </c:pt>
                <c:pt idx="4">
                  <c:v>2022Q3</c:v>
                </c:pt>
                <c:pt idx="5">
                  <c:v>2022Q4</c:v>
                </c:pt>
                <c:pt idx="6">
                  <c:v>2023Q1</c:v>
                </c:pt>
                <c:pt idx="7">
                  <c:v>2023Q2</c:v>
                </c:pt>
              </c:strCache>
            </c:strRef>
          </c:cat>
          <c:val>
            <c:numRef>
              <c:f>'slika 1&amp;2 si'!$N$13:$U$13</c:f>
              <c:numCache>
                <c:formatCode>#,##0.##########</c:formatCode>
                <c:ptCount val="8"/>
                <c:pt idx="0">
                  <c:v>5.4</c:v>
                </c:pt>
                <c:pt idx="1">
                  <c:v>8.3000000000000007</c:v>
                </c:pt>
                <c:pt idx="2">
                  <c:v>4.9000000000000004</c:v>
                </c:pt>
                <c:pt idx="3">
                  <c:v>0.7</c:v>
                </c:pt>
                <c:pt idx="4">
                  <c:v>-0.6</c:v>
                </c:pt>
                <c:pt idx="5" formatCode="#,##0.0">
                  <c:v>-1</c:v>
                </c:pt>
                <c:pt idx="6" formatCode="#,##0.0">
                  <c:v>-2</c:v>
                </c:pt>
                <c:pt idx="7">
                  <c:v>2.5</c:v>
                </c:pt>
              </c:numCache>
            </c:numRef>
          </c:val>
          <c:smooth val="0"/>
          <c:extLst>
            <c:ext xmlns:c16="http://schemas.microsoft.com/office/drawing/2014/chart" uri="{C3380CC4-5D6E-409C-BE32-E72D297353CC}">
              <c16:uniqueId val="{00000003-3E05-4769-8623-D0C036680F1E}"/>
            </c:ext>
          </c:extLst>
        </c:ser>
        <c:ser>
          <c:idx val="2"/>
          <c:order val="2"/>
          <c:tx>
            <c:strRef>
              <c:f>'slika 1&amp;2 si'!$A$23</c:f>
              <c:strCache>
                <c:ptCount val="1"/>
                <c:pt idx="0">
                  <c:v>EA_zasebna potrošnja</c:v>
                </c:pt>
              </c:strCache>
            </c:strRef>
          </c:tx>
          <c:spPr>
            <a:ln w="28575" cap="rnd">
              <a:solidFill>
                <a:schemeClr val="accent1">
                  <a:lumMod val="75000"/>
                </a:schemeClr>
              </a:solidFill>
              <a:round/>
            </a:ln>
            <a:effectLst/>
          </c:spPr>
          <c:marker>
            <c:symbol val="none"/>
          </c:marker>
          <c:cat>
            <c:strRef>
              <c:f>'slika 1&amp;2 si'!$N$11:$U$11</c:f>
              <c:strCache>
                <c:ptCount val="8"/>
                <c:pt idx="0">
                  <c:v>2021Q3</c:v>
                </c:pt>
                <c:pt idx="1">
                  <c:v>2021Q4</c:v>
                </c:pt>
                <c:pt idx="2">
                  <c:v>2022Q1</c:v>
                </c:pt>
                <c:pt idx="3">
                  <c:v>2022Q2</c:v>
                </c:pt>
                <c:pt idx="4">
                  <c:v>2022Q3</c:v>
                </c:pt>
                <c:pt idx="5">
                  <c:v>2022Q4</c:v>
                </c:pt>
                <c:pt idx="6">
                  <c:v>2023Q1</c:v>
                </c:pt>
                <c:pt idx="7">
                  <c:v>2023Q2</c:v>
                </c:pt>
              </c:strCache>
            </c:strRef>
          </c:cat>
          <c:val>
            <c:numRef>
              <c:f>'slika 1&amp;2 si'!$N$23:$U$23</c:f>
              <c:numCache>
                <c:formatCode>#,##0.##########</c:formatCode>
                <c:ptCount val="8"/>
                <c:pt idx="0">
                  <c:v>3.2</c:v>
                </c:pt>
                <c:pt idx="1">
                  <c:v>6.4</c:v>
                </c:pt>
                <c:pt idx="2">
                  <c:v>8.1</c:v>
                </c:pt>
                <c:pt idx="3">
                  <c:v>5.7</c:v>
                </c:pt>
                <c:pt idx="4">
                  <c:v>2.2999999999999998</c:v>
                </c:pt>
                <c:pt idx="5">
                  <c:v>1.3</c:v>
                </c:pt>
                <c:pt idx="6">
                  <c:v>1.4</c:v>
                </c:pt>
                <c:pt idx="7">
                  <c:v>0.2</c:v>
                </c:pt>
              </c:numCache>
            </c:numRef>
          </c:val>
          <c:smooth val="0"/>
          <c:extLst>
            <c:ext xmlns:c16="http://schemas.microsoft.com/office/drawing/2014/chart" uri="{C3380CC4-5D6E-409C-BE32-E72D297353CC}">
              <c16:uniqueId val="{00000004-3E05-4769-8623-D0C036680F1E}"/>
            </c:ext>
          </c:extLst>
        </c:ser>
        <c:ser>
          <c:idx val="3"/>
          <c:order val="3"/>
          <c:tx>
            <c:strRef>
              <c:f>'slika 1&amp;2 si'!$A$24</c:f>
              <c:strCache>
                <c:ptCount val="1"/>
                <c:pt idx="0">
                  <c:v>SI_zasebna potrošnja</c:v>
                </c:pt>
              </c:strCache>
            </c:strRef>
          </c:tx>
          <c:spPr>
            <a:ln w="28575" cap="rnd">
              <a:solidFill>
                <a:schemeClr val="bg2">
                  <a:lumMod val="50000"/>
                </a:schemeClr>
              </a:solidFill>
              <a:round/>
            </a:ln>
            <a:effectLst/>
          </c:spPr>
          <c:marker>
            <c:symbol val="none"/>
          </c:marker>
          <c:cat>
            <c:strRef>
              <c:f>'slika 1&amp;2 si'!$N$11:$U$11</c:f>
              <c:strCache>
                <c:ptCount val="8"/>
                <c:pt idx="0">
                  <c:v>2021Q3</c:v>
                </c:pt>
                <c:pt idx="1">
                  <c:v>2021Q4</c:v>
                </c:pt>
                <c:pt idx="2">
                  <c:v>2022Q1</c:v>
                </c:pt>
                <c:pt idx="3">
                  <c:v>2022Q2</c:v>
                </c:pt>
                <c:pt idx="4">
                  <c:v>2022Q3</c:v>
                </c:pt>
                <c:pt idx="5">
                  <c:v>2022Q4</c:v>
                </c:pt>
                <c:pt idx="6">
                  <c:v>2023Q1</c:v>
                </c:pt>
                <c:pt idx="7">
                  <c:v>2023Q2</c:v>
                </c:pt>
              </c:strCache>
            </c:strRef>
          </c:cat>
          <c:val>
            <c:numRef>
              <c:f>'slika 1&amp;2 si'!$N$24:$U$24</c:f>
              <c:numCache>
                <c:formatCode>#,##0.##########</c:formatCode>
                <c:ptCount val="8"/>
                <c:pt idx="0">
                  <c:v>5.9</c:v>
                </c:pt>
                <c:pt idx="1">
                  <c:v>21.1</c:v>
                </c:pt>
                <c:pt idx="2">
                  <c:v>19.399999999999999</c:v>
                </c:pt>
                <c:pt idx="3">
                  <c:v>13.5</c:v>
                </c:pt>
                <c:pt idx="4">
                  <c:v>3.2</c:v>
                </c:pt>
                <c:pt idx="5">
                  <c:v>2.2999999999999998</c:v>
                </c:pt>
                <c:pt idx="6">
                  <c:v>2.6</c:v>
                </c:pt>
                <c:pt idx="7">
                  <c:v>-0.4</c:v>
                </c:pt>
              </c:numCache>
            </c:numRef>
          </c:val>
          <c:smooth val="0"/>
          <c:extLst>
            <c:ext xmlns:c16="http://schemas.microsoft.com/office/drawing/2014/chart" uri="{C3380CC4-5D6E-409C-BE32-E72D297353CC}">
              <c16:uniqueId val="{00000005-3E05-4769-8623-D0C036680F1E}"/>
            </c:ext>
          </c:extLst>
        </c:ser>
        <c:dLbls>
          <c:showLegendKey val="0"/>
          <c:showVal val="0"/>
          <c:showCatName val="0"/>
          <c:showSerName val="0"/>
          <c:showPercent val="0"/>
          <c:showBubbleSize val="0"/>
        </c:dLbls>
        <c:marker val="1"/>
        <c:smooth val="0"/>
        <c:axId val="670968000"/>
        <c:axId val="1"/>
      </c:lineChart>
      <c:catAx>
        <c:axId val="670968000"/>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
        <c:crosses val="autoZero"/>
        <c:auto val="1"/>
        <c:lblAlgn val="ctr"/>
        <c:lblOffset val="100"/>
        <c:noMultiLvlLbl val="0"/>
      </c:catAx>
      <c:valAx>
        <c:axId val="1"/>
        <c:scaling>
          <c:orientation val="minMax"/>
          <c:max val="25"/>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ln w="6350">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70968000"/>
        <c:crosses val="autoZero"/>
        <c:crossBetween val="between"/>
      </c:valAx>
      <c:spPr>
        <a:noFill/>
        <a:ln w="25400">
          <a:noFill/>
        </a:ln>
      </c:spPr>
    </c:plotArea>
    <c:legend>
      <c:legendPos val="r"/>
      <c:layout>
        <c:manualLayout>
          <c:xMode val="edge"/>
          <c:yMode val="edge"/>
          <c:x val="1.2825382121352473E-2"/>
          <c:y val="0.86749632545931754"/>
          <c:w val="0.97412652462559823"/>
          <c:h val="0.113698888414142"/>
        </c:manualLayout>
      </c:layout>
      <c:overlay val="0"/>
      <c:spPr>
        <a:noFill/>
        <a:ln w="25400">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52359136926066"/>
          <c:y val="4.2416836238166854E-2"/>
          <c:w val="0.8342084057674608"/>
          <c:h val="0.74373507033530917"/>
        </c:manualLayout>
      </c:layout>
      <c:barChart>
        <c:barDir val="col"/>
        <c:grouping val="stacked"/>
        <c:varyColors val="0"/>
        <c:ser>
          <c:idx val="1"/>
          <c:order val="1"/>
          <c:tx>
            <c:strRef>
              <c:f>'Primerjava prispevkov'!$I$2</c:f>
              <c:strCache>
                <c:ptCount val="1"/>
                <c:pt idx="0">
                  <c:v>Kapital</c:v>
                </c:pt>
              </c:strCache>
            </c:strRef>
          </c:tx>
          <c:spPr>
            <a:solidFill>
              <a:srgbClr val="002060"/>
            </a:solidFill>
            <a:ln>
              <a:noFill/>
            </a:ln>
            <a:effectLst/>
          </c:spPr>
          <c:invertIfNegative val="0"/>
          <c:cat>
            <c:numRef>
              <c:f>'Primerjava prispevkov'!$G$3:$G$31</c:f>
              <c:numCache>
                <c:formatCode>General</c:formatCode>
                <c:ptCount val="29"/>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pt idx="21">
                  <c:v>2021</c:v>
                </c:pt>
                <c:pt idx="22">
                  <c:v>2022</c:v>
                </c:pt>
                <c:pt idx="23">
                  <c:v>2023</c:v>
                </c:pt>
                <c:pt idx="24">
                  <c:v>2024</c:v>
                </c:pt>
                <c:pt idx="25">
                  <c:v>2025</c:v>
                </c:pt>
                <c:pt idx="26">
                  <c:v>2026</c:v>
                </c:pt>
                <c:pt idx="27">
                  <c:v>2027</c:v>
                </c:pt>
                <c:pt idx="28">
                  <c:v>2028</c:v>
                </c:pt>
              </c:numCache>
            </c:numRef>
          </c:cat>
          <c:val>
            <c:numRef>
              <c:f>'Primerjava prispevkov'!$I$3:$I$31</c:f>
              <c:numCache>
                <c:formatCode>0.0</c:formatCode>
                <c:ptCount val="29"/>
                <c:pt idx="0">
                  <c:v>2.3704753110383359</c:v>
                </c:pt>
                <c:pt idx="1">
                  <c:v>2.1474104284889282</c:v>
                </c:pt>
                <c:pt idx="2">
                  <c:v>1.8550547993499242</c:v>
                </c:pt>
                <c:pt idx="3">
                  <c:v>1.8758403874459693</c:v>
                </c:pt>
                <c:pt idx="4">
                  <c:v>1.883727115723963</c:v>
                </c:pt>
                <c:pt idx="5">
                  <c:v>1.8080189431676195</c:v>
                </c:pt>
                <c:pt idx="6">
                  <c:v>2.0222971224285735</c:v>
                </c:pt>
                <c:pt idx="7">
                  <c:v>2.2924284910281978</c:v>
                </c:pt>
                <c:pt idx="8">
                  <c:v>2.315408484957183</c:v>
                </c:pt>
                <c:pt idx="9">
                  <c:v>0.98586149323489969</c:v>
                </c:pt>
                <c:pt idx="10">
                  <c:v>0.41559979400699992</c:v>
                </c:pt>
                <c:pt idx="11">
                  <c:v>0.23141853228785145</c:v>
                </c:pt>
                <c:pt idx="12">
                  <c:v>-2.8544696541684123E-2</c:v>
                </c:pt>
                <c:pt idx="13">
                  <c:v>6.1926140670626184E-2</c:v>
                </c:pt>
                <c:pt idx="14">
                  <c:v>5.449832908842045E-2</c:v>
                </c:pt>
                <c:pt idx="15">
                  <c:v>1.8228590807994882E-2</c:v>
                </c:pt>
                <c:pt idx="16">
                  <c:v>-7.8254026753610817E-2</c:v>
                </c:pt>
                <c:pt idx="17">
                  <c:v>0.18780301000315247</c:v>
                </c:pt>
                <c:pt idx="18">
                  <c:v>0.45816526794753781</c:v>
                </c:pt>
                <c:pt idx="19">
                  <c:v>0.57049313228272225</c:v>
                </c:pt>
                <c:pt idx="20">
                  <c:v>0.29285712811346509</c:v>
                </c:pt>
                <c:pt idx="21">
                  <c:v>0.63324426743143758</c:v>
                </c:pt>
                <c:pt idx="22">
                  <c:v>0.68735342204253813</c:v>
                </c:pt>
                <c:pt idx="23">
                  <c:v>0.76974112799792038</c:v>
                </c:pt>
                <c:pt idx="24">
                  <c:v>0.87938141843884376</c:v>
                </c:pt>
                <c:pt idx="25">
                  <c:v>0.94048632174482671</c:v>
                </c:pt>
                <c:pt idx="26">
                  <c:v>1.0207943599067812</c:v>
                </c:pt>
                <c:pt idx="27">
                  <c:v>1.0945998896599451</c:v>
                </c:pt>
                <c:pt idx="28">
                  <c:v>1.162139803817632</c:v>
                </c:pt>
              </c:numCache>
            </c:numRef>
          </c:val>
          <c:extLst>
            <c:ext xmlns:c16="http://schemas.microsoft.com/office/drawing/2014/chart" uri="{C3380CC4-5D6E-409C-BE32-E72D297353CC}">
              <c16:uniqueId val="{00000000-840A-46D5-BF5E-07F7B1C05F6C}"/>
            </c:ext>
          </c:extLst>
        </c:ser>
        <c:ser>
          <c:idx val="2"/>
          <c:order val="2"/>
          <c:tx>
            <c:strRef>
              <c:f>'Primerjava prispevkov'!$J$2</c:f>
              <c:strCache>
                <c:ptCount val="1"/>
                <c:pt idx="0">
                  <c:v>TFP</c:v>
                </c:pt>
              </c:strCache>
            </c:strRef>
          </c:tx>
          <c:spPr>
            <a:solidFill>
              <a:schemeClr val="accent3"/>
            </a:solidFill>
            <a:ln>
              <a:noFill/>
            </a:ln>
            <a:effectLst/>
          </c:spPr>
          <c:invertIfNegative val="0"/>
          <c:cat>
            <c:numRef>
              <c:f>'Primerjava prispevkov'!$G$3:$G$31</c:f>
              <c:numCache>
                <c:formatCode>General</c:formatCode>
                <c:ptCount val="29"/>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pt idx="21">
                  <c:v>2021</c:v>
                </c:pt>
                <c:pt idx="22">
                  <c:v>2022</c:v>
                </c:pt>
                <c:pt idx="23">
                  <c:v>2023</c:v>
                </c:pt>
                <c:pt idx="24">
                  <c:v>2024</c:v>
                </c:pt>
                <c:pt idx="25">
                  <c:v>2025</c:v>
                </c:pt>
                <c:pt idx="26">
                  <c:v>2026</c:v>
                </c:pt>
                <c:pt idx="27">
                  <c:v>2027</c:v>
                </c:pt>
                <c:pt idx="28">
                  <c:v>2028</c:v>
                </c:pt>
              </c:numCache>
            </c:numRef>
          </c:cat>
          <c:val>
            <c:numRef>
              <c:f>'Primerjava prispevkov'!$J$3:$J$31</c:f>
              <c:numCache>
                <c:formatCode>0.0</c:formatCode>
                <c:ptCount val="29"/>
                <c:pt idx="0">
                  <c:v>1.1355124986590861</c:v>
                </c:pt>
                <c:pt idx="1">
                  <c:v>1.117993437874798</c:v>
                </c:pt>
                <c:pt idx="2">
                  <c:v>1.1140049863688439</c:v>
                </c:pt>
                <c:pt idx="3">
                  <c:v>1.144918179736099</c:v>
                </c:pt>
                <c:pt idx="4">
                  <c:v>1.163790217509941</c:v>
                </c:pt>
                <c:pt idx="5">
                  <c:v>1.1822912113468751</c:v>
                </c:pt>
                <c:pt idx="6">
                  <c:v>1.142760597228953</c:v>
                </c:pt>
                <c:pt idx="7">
                  <c:v>1.079374784551046</c:v>
                </c:pt>
                <c:pt idx="8">
                  <c:v>0.99940110233047719</c:v>
                </c:pt>
                <c:pt idx="9">
                  <c:v>0.92189633939003812</c:v>
                </c:pt>
                <c:pt idx="10">
                  <c:v>0.90063378776550351</c:v>
                </c:pt>
                <c:pt idx="11">
                  <c:v>0.87528395484275379</c:v>
                </c:pt>
                <c:pt idx="12">
                  <c:v>0.86696237508254725</c:v>
                </c:pt>
                <c:pt idx="13">
                  <c:v>0.88584396561666168</c:v>
                </c:pt>
                <c:pt idx="14">
                  <c:v>0.9463027596209983</c:v>
                </c:pt>
                <c:pt idx="15">
                  <c:v>1.0245199950295709</c:v>
                </c:pt>
                <c:pt idx="16">
                  <c:v>1.12924882536598</c:v>
                </c:pt>
                <c:pt idx="17">
                  <c:v>1.196656977725308</c:v>
                </c:pt>
                <c:pt idx="18">
                  <c:v>1.230281854390824</c:v>
                </c:pt>
                <c:pt idx="19">
                  <c:v>1.2360857640593359</c:v>
                </c:pt>
                <c:pt idx="20">
                  <c:v>1.227781081765134</c:v>
                </c:pt>
                <c:pt idx="21">
                  <c:v>1.19888659083518</c:v>
                </c:pt>
                <c:pt idx="22">
                  <c:v>1.1425117841375789</c:v>
                </c:pt>
                <c:pt idx="23">
                  <c:v>1.1246665012867749</c:v>
                </c:pt>
                <c:pt idx="24">
                  <c:v>1.11775912504477</c:v>
                </c:pt>
                <c:pt idx="25">
                  <c:v>1.108180098503819</c:v>
                </c:pt>
                <c:pt idx="26">
                  <c:v>1.1036889069180771</c:v>
                </c:pt>
                <c:pt idx="27">
                  <c:v>1.1081492000265309</c:v>
                </c:pt>
                <c:pt idx="28">
                  <c:v>1.1157665121672271</c:v>
                </c:pt>
              </c:numCache>
            </c:numRef>
          </c:val>
          <c:extLst>
            <c:ext xmlns:c16="http://schemas.microsoft.com/office/drawing/2014/chart" uri="{C3380CC4-5D6E-409C-BE32-E72D297353CC}">
              <c16:uniqueId val="{00000001-840A-46D5-BF5E-07F7B1C05F6C}"/>
            </c:ext>
          </c:extLst>
        </c:ser>
        <c:ser>
          <c:idx val="3"/>
          <c:order val="3"/>
          <c:tx>
            <c:strRef>
              <c:f>'Primerjava prispevkov'!$K$2</c:f>
              <c:strCache>
                <c:ptCount val="1"/>
                <c:pt idx="0">
                  <c:v>Delo</c:v>
                </c:pt>
              </c:strCache>
            </c:strRef>
          </c:tx>
          <c:spPr>
            <a:solidFill>
              <a:schemeClr val="accent1"/>
            </a:solidFill>
            <a:ln>
              <a:solidFill>
                <a:schemeClr val="accent1"/>
              </a:solidFill>
            </a:ln>
            <a:effectLst/>
          </c:spPr>
          <c:invertIfNegative val="0"/>
          <c:cat>
            <c:numRef>
              <c:f>'Primerjava prispevkov'!$G$3:$G$31</c:f>
              <c:numCache>
                <c:formatCode>General</c:formatCode>
                <c:ptCount val="29"/>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pt idx="21">
                  <c:v>2021</c:v>
                </c:pt>
                <c:pt idx="22">
                  <c:v>2022</c:v>
                </c:pt>
                <c:pt idx="23">
                  <c:v>2023</c:v>
                </c:pt>
                <c:pt idx="24">
                  <c:v>2024</c:v>
                </c:pt>
                <c:pt idx="25">
                  <c:v>2025</c:v>
                </c:pt>
                <c:pt idx="26">
                  <c:v>2026</c:v>
                </c:pt>
                <c:pt idx="27">
                  <c:v>2027</c:v>
                </c:pt>
                <c:pt idx="28">
                  <c:v>2028</c:v>
                </c:pt>
              </c:numCache>
            </c:numRef>
          </c:cat>
          <c:val>
            <c:numRef>
              <c:f>'Primerjava prispevkov'!$K$3:$K$31</c:f>
              <c:numCache>
                <c:formatCode>0.0</c:formatCode>
                <c:ptCount val="29"/>
                <c:pt idx="0">
                  <c:v>0.27219903111575405</c:v>
                </c:pt>
                <c:pt idx="1">
                  <c:v>0.16457983128411069</c:v>
                </c:pt>
                <c:pt idx="2">
                  <c:v>0.12549943410345654</c:v>
                </c:pt>
                <c:pt idx="3">
                  <c:v>2.274409485132578E-2</c:v>
                </c:pt>
                <c:pt idx="4">
                  <c:v>2.3787797314733794E-2</c:v>
                </c:pt>
                <c:pt idx="5">
                  <c:v>-0.1101642073476178</c:v>
                </c:pt>
                <c:pt idx="6">
                  <c:v>0.10928158406395051</c:v>
                </c:pt>
                <c:pt idx="7">
                  <c:v>0.1289938888832165</c:v>
                </c:pt>
                <c:pt idx="8">
                  <c:v>0.38518310919379184</c:v>
                </c:pt>
                <c:pt idx="9">
                  <c:v>0.4166477657686985</c:v>
                </c:pt>
                <c:pt idx="10">
                  <c:v>1.0653422434481197E-3</c:v>
                </c:pt>
                <c:pt idx="11">
                  <c:v>-0.18044044281606553</c:v>
                </c:pt>
                <c:pt idx="12">
                  <c:v>-8.3615324198239027E-2</c:v>
                </c:pt>
                <c:pt idx="13">
                  <c:v>-8.9248394587601032E-2</c:v>
                </c:pt>
                <c:pt idx="14">
                  <c:v>9.5561415120047899E-2</c:v>
                </c:pt>
                <c:pt idx="15">
                  <c:v>3.4943777567164602E-2</c:v>
                </c:pt>
                <c:pt idx="16">
                  <c:v>-7.8206730803132007E-3</c:v>
                </c:pt>
                <c:pt idx="17">
                  <c:v>-1.1791994085980639E-2</c:v>
                </c:pt>
                <c:pt idx="18">
                  <c:v>0.26680098587428813</c:v>
                </c:pt>
                <c:pt idx="19">
                  <c:v>0.64326862631002846</c:v>
                </c:pt>
                <c:pt idx="20">
                  <c:v>0.7743436320685837</c:v>
                </c:pt>
                <c:pt idx="21">
                  <c:v>0.71130113930640171</c:v>
                </c:pt>
                <c:pt idx="22">
                  <c:v>0.69334656186742949</c:v>
                </c:pt>
                <c:pt idx="23">
                  <c:v>0.87441973681722918</c:v>
                </c:pt>
                <c:pt idx="24">
                  <c:v>0.81186992110541711</c:v>
                </c:pt>
                <c:pt idx="25">
                  <c:v>0.59309077821867229</c:v>
                </c:pt>
                <c:pt idx="26">
                  <c:v>0.41338147501721045</c:v>
                </c:pt>
                <c:pt idx="27">
                  <c:v>0.23278234283111376</c:v>
                </c:pt>
                <c:pt idx="28">
                  <c:v>8.8451559464487461E-2</c:v>
                </c:pt>
              </c:numCache>
            </c:numRef>
          </c:val>
          <c:extLst>
            <c:ext xmlns:c16="http://schemas.microsoft.com/office/drawing/2014/chart" uri="{C3380CC4-5D6E-409C-BE32-E72D297353CC}">
              <c16:uniqueId val="{00000002-840A-46D5-BF5E-07F7B1C05F6C}"/>
            </c:ext>
          </c:extLst>
        </c:ser>
        <c:dLbls>
          <c:showLegendKey val="0"/>
          <c:showVal val="0"/>
          <c:showCatName val="0"/>
          <c:showSerName val="0"/>
          <c:showPercent val="0"/>
          <c:showBubbleSize val="0"/>
        </c:dLbls>
        <c:gapWidth val="219"/>
        <c:overlap val="100"/>
        <c:axId val="2066869184"/>
        <c:axId val="1969954496"/>
      </c:barChart>
      <c:lineChart>
        <c:grouping val="standard"/>
        <c:varyColors val="0"/>
        <c:ser>
          <c:idx val="0"/>
          <c:order val="0"/>
          <c:tx>
            <c:strRef>
              <c:f>'Primerjava prispevkov'!$H$2</c:f>
              <c:strCache>
                <c:ptCount val="1"/>
                <c:pt idx="0">
                  <c:v>Rast potencialnega BDP</c:v>
                </c:pt>
              </c:strCache>
            </c:strRef>
          </c:tx>
          <c:spPr>
            <a:ln w="28575" cap="rnd">
              <a:solidFill>
                <a:srgbClr val="002060"/>
              </a:solidFill>
              <a:round/>
            </a:ln>
            <a:effectLst/>
          </c:spPr>
          <c:marker>
            <c:symbol val="circle"/>
            <c:size val="5"/>
            <c:spPr>
              <a:solidFill>
                <a:srgbClr val="002060"/>
              </a:solidFill>
              <a:ln w="9525">
                <a:solidFill>
                  <a:srgbClr val="002060"/>
                </a:solidFill>
              </a:ln>
              <a:effectLst/>
            </c:spPr>
          </c:marker>
          <c:cat>
            <c:numRef>
              <c:f>'Primerjava prispevkov'!$G$3:$G$31</c:f>
              <c:numCache>
                <c:formatCode>General</c:formatCode>
                <c:ptCount val="29"/>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pt idx="21">
                  <c:v>2021</c:v>
                </c:pt>
                <c:pt idx="22">
                  <c:v>2022</c:v>
                </c:pt>
                <c:pt idx="23">
                  <c:v>2023</c:v>
                </c:pt>
                <c:pt idx="24">
                  <c:v>2024</c:v>
                </c:pt>
                <c:pt idx="25">
                  <c:v>2025</c:v>
                </c:pt>
                <c:pt idx="26">
                  <c:v>2026</c:v>
                </c:pt>
                <c:pt idx="27">
                  <c:v>2027</c:v>
                </c:pt>
                <c:pt idx="28">
                  <c:v>2028</c:v>
                </c:pt>
              </c:numCache>
            </c:numRef>
          </c:cat>
          <c:val>
            <c:numRef>
              <c:f>'Primerjava prispevkov'!$H$3:$H$31</c:f>
              <c:numCache>
                <c:formatCode>0.0</c:formatCode>
                <c:ptCount val="29"/>
                <c:pt idx="0">
                  <c:v>3.7781868408131762</c:v>
                </c:pt>
                <c:pt idx="1">
                  <c:v>3.4299836976478368</c:v>
                </c:pt>
                <c:pt idx="2">
                  <c:v>3.0945592198222247</c:v>
                </c:pt>
                <c:pt idx="3">
                  <c:v>3.043502662033394</c:v>
                </c:pt>
                <c:pt idx="4">
                  <c:v>3.0713051305486379</c:v>
                </c:pt>
                <c:pt idx="5">
                  <c:v>2.8801459471668767</c:v>
                </c:pt>
                <c:pt idx="6">
                  <c:v>3.2743393037214767</c:v>
                </c:pt>
                <c:pt idx="7">
                  <c:v>3.50079716446246</c:v>
                </c:pt>
                <c:pt idx="8">
                  <c:v>3.699992696481452</c:v>
                </c:pt>
                <c:pt idx="9">
                  <c:v>2.3244055983936365</c:v>
                </c:pt>
                <c:pt idx="10">
                  <c:v>1.3172989240159516</c:v>
                </c:pt>
                <c:pt idx="11">
                  <c:v>0.92626204431453973</c:v>
                </c:pt>
                <c:pt idx="12">
                  <c:v>0.7548023543426241</c:v>
                </c:pt>
                <c:pt idx="13">
                  <c:v>0.85852171169968683</c:v>
                </c:pt>
                <c:pt idx="14">
                  <c:v>1.0963625038294667</c:v>
                </c:pt>
                <c:pt idx="15">
                  <c:v>1.0776923634047304</c:v>
                </c:pt>
                <c:pt idx="16">
                  <c:v>1.0431741255320559</c:v>
                </c:pt>
                <c:pt idx="17">
                  <c:v>1.3726679936424799</c:v>
                </c:pt>
                <c:pt idx="18">
                  <c:v>1.95524810821265</c:v>
                </c:pt>
                <c:pt idx="19">
                  <c:v>2.4498475226520866</c:v>
                </c:pt>
                <c:pt idx="20">
                  <c:v>2.294981841947183</c:v>
                </c:pt>
                <c:pt idx="21">
                  <c:v>2.5434319975730193</c:v>
                </c:pt>
                <c:pt idx="22">
                  <c:v>2.5232117680475463</c:v>
                </c:pt>
                <c:pt idx="23">
                  <c:v>2.7688273661019247</c:v>
                </c:pt>
                <c:pt idx="24">
                  <c:v>2.809010464589031</c:v>
                </c:pt>
                <c:pt idx="25">
                  <c:v>2.6417571984673183</c:v>
                </c:pt>
                <c:pt idx="26">
                  <c:v>2.5378647418420686</c:v>
                </c:pt>
                <c:pt idx="27">
                  <c:v>2.4355314325175899</c:v>
                </c:pt>
                <c:pt idx="28">
                  <c:v>2.3663578754493466</c:v>
                </c:pt>
              </c:numCache>
            </c:numRef>
          </c:val>
          <c:smooth val="0"/>
          <c:extLst>
            <c:ext xmlns:c16="http://schemas.microsoft.com/office/drawing/2014/chart" uri="{C3380CC4-5D6E-409C-BE32-E72D297353CC}">
              <c16:uniqueId val="{00000003-840A-46D5-BF5E-07F7B1C05F6C}"/>
            </c:ext>
          </c:extLst>
        </c:ser>
        <c:dLbls>
          <c:showLegendKey val="0"/>
          <c:showVal val="0"/>
          <c:showCatName val="0"/>
          <c:showSerName val="0"/>
          <c:showPercent val="0"/>
          <c:showBubbleSize val="0"/>
        </c:dLbls>
        <c:marker val="1"/>
        <c:smooth val="0"/>
        <c:axId val="2066869184"/>
        <c:axId val="1969954496"/>
      </c:lineChart>
      <c:catAx>
        <c:axId val="2066869184"/>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969954496"/>
        <c:crosses val="autoZero"/>
        <c:auto val="1"/>
        <c:lblAlgn val="ctr"/>
        <c:lblOffset val="100"/>
        <c:noMultiLvlLbl val="0"/>
      </c:catAx>
      <c:valAx>
        <c:axId val="19699544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sl-SI"/>
                  <a:t>%, o.t. potencialnega BDP</a:t>
                </a:r>
                <a:endParaRPr lang="en-US"/>
              </a:p>
            </c:rich>
          </c:tx>
          <c:layout>
            <c:manualLayout>
              <c:xMode val="edge"/>
              <c:yMode val="edge"/>
              <c:x val="1.7453931894876779E-2"/>
              <c:y val="0.1482279778229968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066869184"/>
        <c:crosses val="autoZero"/>
        <c:crossBetween val="between"/>
      </c:valAx>
      <c:spPr>
        <a:noFill/>
        <a:ln>
          <a:noFill/>
        </a:ln>
        <a:effectLst/>
      </c:spPr>
    </c:plotArea>
    <c:legend>
      <c:legendPos val="b"/>
      <c:layout>
        <c:manualLayout>
          <c:xMode val="edge"/>
          <c:yMode val="edge"/>
          <c:x val="0.12948706411698538"/>
          <c:y val="0.91163334218054226"/>
          <c:w val="0.7410258717660293"/>
          <c:h val="7.9003361939308153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8442038495188104E-2"/>
          <c:y val="5.0925925925925923E-2"/>
          <c:w val="0.89655796150481193"/>
          <c:h val="0.73577136191309422"/>
        </c:manualLayout>
      </c:layout>
      <c:barChart>
        <c:barDir val="col"/>
        <c:grouping val="clustered"/>
        <c:varyColors val="0"/>
        <c:ser>
          <c:idx val="0"/>
          <c:order val="0"/>
          <c:tx>
            <c:strRef>
              <c:f>'graf dbp2024'!$D$5</c:f>
              <c:strCache>
                <c:ptCount val="1"/>
                <c:pt idx="0">
                  <c:v>2022</c:v>
                </c:pt>
              </c:strCache>
            </c:strRef>
          </c:tx>
          <c:spPr>
            <a:solidFill>
              <a:schemeClr val="accent1"/>
            </a:solidFill>
            <a:ln>
              <a:noFill/>
            </a:ln>
            <a:effectLst/>
          </c:spPr>
          <c:invertIfNegative val="0"/>
          <c:cat>
            <c:strRef>
              <c:f>'graf dbp2024'!$E$4:$I$4</c:f>
              <c:strCache>
                <c:ptCount val="5"/>
                <c:pt idx="0">
                  <c:v>MF</c:v>
                </c:pt>
                <c:pt idx="1">
                  <c:v>UMAR</c:v>
                </c:pt>
                <c:pt idx="2">
                  <c:v>EK</c:v>
                </c:pt>
                <c:pt idx="3">
                  <c:v>OECD </c:v>
                </c:pt>
                <c:pt idx="4">
                  <c:v>IMF </c:v>
                </c:pt>
              </c:strCache>
            </c:strRef>
          </c:cat>
          <c:val>
            <c:numRef>
              <c:f>'graf dbp2024'!$E$5:$I$5</c:f>
              <c:numCache>
                <c:formatCode>0.0</c:formatCode>
                <c:ptCount val="5"/>
                <c:pt idx="0">
                  <c:v>3.1368368583542421</c:v>
                </c:pt>
                <c:pt idx="1">
                  <c:v>3.5979450854986634</c:v>
                </c:pt>
                <c:pt idx="2">
                  <c:v>4.3379510000000003</c:v>
                </c:pt>
                <c:pt idx="3">
                  <c:v>0.97058965064133995</c:v>
                </c:pt>
                <c:pt idx="4">
                  <c:v>2.9460000000000002</c:v>
                </c:pt>
              </c:numCache>
            </c:numRef>
          </c:val>
          <c:extLst>
            <c:ext xmlns:c16="http://schemas.microsoft.com/office/drawing/2014/chart" uri="{C3380CC4-5D6E-409C-BE32-E72D297353CC}">
              <c16:uniqueId val="{00000000-8275-43C0-92E3-63BE1630EAC4}"/>
            </c:ext>
          </c:extLst>
        </c:ser>
        <c:ser>
          <c:idx val="1"/>
          <c:order val="1"/>
          <c:tx>
            <c:strRef>
              <c:f>'graf dbp2024'!$D$6</c:f>
              <c:strCache>
                <c:ptCount val="1"/>
                <c:pt idx="0">
                  <c:v>2023</c:v>
                </c:pt>
              </c:strCache>
            </c:strRef>
          </c:tx>
          <c:spPr>
            <a:solidFill>
              <a:schemeClr val="accent1">
                <a:lumMod val="75000"/>
              </a:schemeClr>
            </a:solidFill>
            <a:ln>
              <a:noFill/>
            </a:ln>
            <a:effectLst/>
          </c:spPr>
          <c:invertIfNegative val="0"/>
          <c:cat>
            <c:strRef>
              <c:f>'graf dbp2024'!$E$4:$I$4</c:f>
              <c:strCache>
                <c:ptCount val="5"/>
                <c:pt idx="0">
                  <c:v>MF</c:v>
                </c:pt>
                <c:pt idx="1">
                  <c:v>UMAR</c:v>
                </c:pt>
                <c:pt idx="2">
                  <c:v>EK</c:v>
                </c:pt>
                <c:pt idx="3">
                  <c:v>OECD </c:v>
                </c:pt>
                <c:pt idx="4">
                  <c:v>IMF </c:v>
                </c:pt>
              </c:strCache>
            </c:strRef>
          </c:cat>
          <c:val>
            <c:numRef>
              <c:f>'graf dbp2024'!$E$6:$I$6</c:f>
              <c:numCache>
                <c:formatCode>0.0</c:formatCode>
                <c:ptCount val="5"/>
                <c:pt idx="0">
                  <c:v>1.9013343765978961</c:v>
                </c:pt>
                <c:pt idx="1">
                  <c:v>2.3468501764256424</c:v>
                </c:pt>
                <c:pt idx="2">
                  <c:v>2.5590098999999999</c:v>
                </c:pt>
                <c:pt idx="3">
                  <c:v>0.39706871070095401</c:v>
                </c:pt>
                <c:pt idx="4">
                  <c:v>1.349</c:v>
                </c:pt>
              </c:numCache>
            </c:numRef>
          </c:val>
          <c:extLst>
            <c:ext xmlns:c16="http://schemas.microsoft.com/office/drawing/2014/chart" uri="{C3380CC4-5D6E-409C-BE32-E72D297353CC}">
              <c16:uniqueId val="{00000001-8275-43C0-92E3-63BE1630EAC4}"/>
            </c:ext>
          </c:extLst>
        </c:ser>
        <c:ser>
          <c:idx val="2"/>
          <c:order val="2"/>
          <c:tx>
            <c:strRef>
              <c:f>'graf dbp2024'!$D$7</c:f>
              <c:strCache>
                <c:ptCount val="1"/>
                <c:pt idx="0">
                  <c:v>2024</c:v>
                </c:pt>
              </c:strCache>
            </c:strRef>
          </c:tx>
          <c:spPr>
            <a:solidFill>
              <a:schemeClr val="accent3"/>
            </a:solidFill>
            <a:ln>
              <a:noFill/>
            </a:ln>
            <a:effectLst/>
          </c:spPr>
          <c:invertIfNegative val="0"/>
          <c:cat>
            <c:strRef>
              <c:f>'graf dbp2024'!$E$4:$I$4</c:f>
              <c:strCache>
                <c:ptCount val="5"/>
                <c:pt idx="0">
                  <c:v>MF</c:v>
                </c:pt>
                <c:pt idx="1">
                  <c:v>UMAR</c:v>
                </c:pt>
                <c:pt idx="2">
                  <c:v>EK</c:v>
                </c:pt>
                <c:pt idx="3">
                  <c:v>OECD </c:v>
                </c:pt>
                <c:pt idx="4">
                  <c:v>IMF </c:v>
                </c:pt>
              </c:strCache>
            </c:strRef>
          </c:cat>
          <c:val>
            <c:numRef>
              <c:f>'graf dbp2024'!$E$7:$I$7</c:f>
              <c:numCache>
                <c:formatCode>0.0</c:formatCode>
                <c:ptCount val="5"/>
                <c:pt idx="0">
                  <c:v>1.432107429724327</c:v>
                </c:pt>
                <c:pt idx="1">
                  <c:v>1.8287723488301839</c:v>
                </c:pt>
                <c:pt idx="2">
                  <c:v>1.6067066999999999</c:v>
                </c:pt>
                <c:pt idx="3">
                  <c:v>1.0430389785830401</c:v>
                </c:pt>
                <c:pt idx="4">
                  <c:v>0.38700000000000001</c:v>
                </c:pt>
              </c:numCache>
            </c:numRef>
          </c:val>
          <c:extLst>
            <c:ext xmlns:c16="http://schemas.microsoft.com/office/drawing/2014/chart" uri="{C3380CC4-5D6E-409C-BE32-E72D297353CC}">
              <c16:uniqueId val="{00000002-8275-43C0-92E3-63BE1630EAC4}"/>
            </c:ext>
          </c:extLst>
        </c:ser>
        <c:dLbls>
          <c:showLegendKey val="0"/>
          <c:showVal val="0"/>
          <c:showCatName val="0"/>
          <c:showSerName val="0"/>
          <c:showPercent val="0"/>
          <c:showBubbleSize val="0"/>
        </c:dLbls>
        <c:gapWidth val="219"/>
        <c:overlap val="-27"/>
        <c:axId val="1920059503"/>
        <c:axId val="1920062831"/>
      </c:barChart>
      <c:catAx>
        <c:axId val="1920059503"/>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920062831"/>
        <c:crosses val="autoZero"/>
        <c:auto val="1"/>
        <c:lblAlgn val="ctr"/>
        <c:lblOffset val="100"/>
        <c:noMultiLvlLbl val="0"/>
      </c:catAx>
      <c:valAx>
        <c:axId val="1920062831"/>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92005950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72612272199209"/>
          <c:y val="4.1489869433133153E-2"/>
          <c:w val="0.87485501719140546"/>
          <c:h val="0.72310549416617043"/>
        </c:manualLayout>
      </c:layout>
      <c:barChart>
        <c:barDir val="col"/>
        <c:grouping val="clustered"/>
        <c:varyColors val="0"/>
        <c:ser>
          <c:idx val="0"/>
          <c:order val="0"/>
          <c:tx>
            <c:strRef>
              <c:f>'tekoči izdatki'!$A$28</c:f>
              <c:strCache>
                <c:ptCount val="1"/>
                <c:pt idx="0">
                  <c:v>Tekoči izdatki</c:v>
                </c:pt>
              </c:strCache>
            </c:strRef>
          </c:tx>
          <c:spPr>
            <a:solidFill>
              <a:schemeClr val="accent1"/>
            </a:solidFill>
            <a:ln>
              <a:noFill/>
            </a:ln>
            <a:effectLst/>
          </c:spPr>
          <c:invertIfNegative val="0"/>
          <c:cat>
            <c:numRef>
              <c:f>'tekoči izdatki'!$M$27:$S$27</c:f>
              <c:numCache>
                <c:formatCode>General</c:formatCode>
                <c:ptCount val="7"/>
                <c:pt idx="0">
                  <c:v>2018</c:v>
                </c:pt>
                <c:pt idx="1">
                  <c:v>2019</c:v>
                </c:pt>
                <c:pt idx="2">
                  <c:v>2020</c:v>
                </c:pt>
                <c:pt idx="3">
                  <c:v>2021</c:v>
                </c:pt>
                <c:pt idx="4">
                  <c:v>2022</c:v>
                </c:pt>
                <c:pt idx="5">
                  <c:v>2023</c:v>
                </c:pt>
                <c:pt idx="6">
                  <c:v>2024</c:v>
                </c:pt>
              </c:numCache>
              <c:extLst/>
            </c:numRef>
          </c:cat>
          <c:val>
            <c:numRef>
              <c:f>'tekoči izdatki'!$M$28:$S$28</c:f>
              <c:numCache>
                <c:formatCode>0.0</c:formatCode>
                <c:ptCount val="7"/>
                <c:pt idx="0">
                  <c:v>3.7266112512017502</c:v>
                </c:pt>
                <c:pt idx="1">
                  <c:v>5.3742801446027055</c:v>
                </c:pt>
                <c:pt idx="2">
                  <c:v>15.865244943028278</c:v>
                </c:pt>
                <c:pt idx="3">
                  <c:v>5.4501319959663119</c:v>
                </c:pt>
                <c:pt idx="4">
                  <c:v>1.3380684542673382</c:v>
                </c:pt>
                <c:pt idx="5">
                  <c:v>9.3174604292716179</c:v>
                </c:pt>
                <c:pt idx="6">
                  <c:v>6.3278627929581166</c:v>
                </c:pt>
              </c:numCache>
              <c:extLst/>
            </c:numRef>
          </c:val>
          <c:extLst>
            <c:ext xmlns:c16="http://schemas.microsoft.com/office/drawing/2014/chart" uri="{C3380CC4-5D6E-409C-BE32-E72D297353CC}">
              <c16:uniqueId val="{00000000-89CD-4BD5-8749-65088D081B44}"/>
            </c:ext>
          </c:extLst>
        </c:ser>
        <c:ser>
          <c:idx val="3"/>
          <c:order val="2"/>
          <c:tx>
            <c:strRef>
              <c:f>'tekoči izdatki'!$A$11</c:f>
              <c:strCache>
                <c:ptCount val="1"/>
                <c:pt idx="0">
                  <c:v>Neto tekoči izdatki</c:v>
                </c:pt>
              </c:strCache>
              <c:extLst xmlns:c15="http://schemas.microsoft.com/office/drawing/2012/chart"/>
            </c:strRef>
          </c:tx>
          <c:spPr>
            <a:solidFill>
              <a:schemeClr val="accent3">
                <a:lumMod val="60000"/>
                <a:lumOff val="40000"/>
              </a:schemeClr>
            </a:solidFill>
            <a:ln>
              <a:noFill/>
            </a:ln>
            <a:effectLst/>
          </c:spPr>
          <c:invertIfNegative val="0"/>
          <c:cat>
            <c:strLit>
              <c:ptCount val="7"/>
              <c:pt idx="0">
                <c:v>2018</c:v>
              </c:pt>
              <c:pt idx="1">
                <c:v>2019</c:v>
              </c:pt>
              <c:pt idx="2">
                <c:v>2020</c:v>
              </c:pt>
              <c:pt idx="3">
                <c:v>2021</c:v>
              </c:pt>
              <c:pt idx="4">
                <c:v>2022</c:v>
              </c:pt>
              <c:pt idx="5">
                <c:v>2023</c:v>
              </c:pt>
              <c:pt idx="6">
                <c:v>2024</c:v>
              </c:pt>
              <c:extLst>
                <c:ext xmlns:c15="http://schemas.microsoft.com/office/drawing/2012/chart" uri="{02D57815-91ED-43cb-92C2-25804820EDAC}">
                  <c15:autoCat val="1"/>
                </c:ext>
              </c:extLst>
            </c:strLit>
          </c:cat>
          <c:val>
            <c:numRef>
              <c:f>'tekoči izdatki'!$M$11:$S$11</c:f>
              <c:numCache>
                <c:formatCode>0.0</c:formatCode>
                <c:ptCount val="7"/>
                <c:pt idx="0">
                  <c:v>1.8165925170661623</c:v>
                </c:pt>
                <c:pt idx="1">
                  <c:v>5.095699449618607</c:v>
                </c:pt>
                <c:pt idx="2">
                  <c:v>3.8462559859527845</c:v>
                </c:pt>
                <c:pt idx="3">
                  <c:v>4.8329325263865242</c:v>
                </c:pt>
                <c:pt idx="4">
                  <c:v>6.6787349548003805</c:v>
                </c:pt>
                <c:pt idx="5">
                  <c:v>8.8902885328957062</c:v>
                </c:pt>
                <c:pt idx="6">
                  <c:v>6.0633575094797498</c:v>
                </c:pt>
              </c:numCache>
              <c:extLst/>
            </c:numRef>
          </c:val>
          <c:extLst xmlns:c15="http://schemas.microsoft.com/office/drawing/2012/chart">
            <c:ext xmlns:c16="http://schemas.microsoft.com/office/drawing/2014/chart" uri="{C3380CC4-5D6E-409C-BE32-E72D297353CC}">
              <c16:uniqueId val="{00000001-89CD-4BD5-8749-65088D081B44}"/>
            </c:ext>
          </c:extLst>
        </c:ser>
        <c:dLbls>
          <c:showLegendKey val="0"/>
          <c:showVal val="0"/>
          <c:showCatName val="0"/>
          <c:showSerName val="0"/>
          <c:showPercent val="0"/>
          <c:showBubbleSize val="0"/>
        </c:dLbls>
        <c:gapWidth val="150"/>
        <c:axId val="640634608"/>
        <c:axId val="1924674864"/>
      </c:barChart>
      <c:lineChart>
        <c:grouping val="standard"/>
        <c:varyColors val="0"/>
        <c:ser>
          <c:idx val="1"/>
          <c:order val="1"/>
          <c:tx>
            <c:strRef>
              <c:f>'tekoči izdatki'!$A$31</c:f>
              <c:strCache>
                <c:ptCount val="1"/>
                <c:pt idx="0">
                  <c:v>Srednjeročna potencialna rast</c:v>
                </c:pt>
              </c:strCache>
            </c:strRef>
          </c:tx>
          <c:spPr>
            <a:ln w="28575" cap="rnd">
              <a:solidFill>
                <a:schemeClr val="tx1"/>
              </a:solidFill>
              <a:round/>
            </a:ln>
            <a:effectLst/>
          </c:spPr>
          <c:marker>
            <c:symbol val="none"/>
          </c:marker>
          <c:cat>
            <c:numRef>
              <c:f>'tekoči izdatki'!$M$27:$S$27</c:f>
              <c:numCache>
                <c:formatCode>General</c:formatCode>
                <c:ptCount val="7"/>
                <c:pt idx="0">
                  <c:v>2018</c:v>
                </c:pt>
                <c:pt idx="1">
                  <c:v>2019</c:v>
                </c:pt>
                <c:pt idx="2">
                  <c:v>2020</c:v>
                </c:pt>
                <c:pt idx="3">
                  <c:v>2021</c:v>
                </c:pt>
                <c:pt idx="4">
                  <c:v>2022</c:v>
                </c:pt>
                <c:pt idx="5">
                  <c:v>2023</c:v>
                </c:pt>
                <c:pt idx="6">
                  <c:v>2024</c:v>
                </c:pt>
              </c:numCache>
              <c:extLst/>
            </c:numRef>
          </c:cat>
          <c:val>
            <c:numRef>
              <c:f>'tekoči izdatki'!$M$31:$S$31</c:f>
              <c:numCache>
                <c:formatCode>0.0</c:formatCode>
                <c:ptCount val="7"/>
                <c:pt idx="0">
                  <c:v>3.699289345667367</c:v>
                </c:pt>
                <c:pt idx="1">
                  <c:v>4.0671871173536971</c:v>
                </c:pt>
                <c:pt idx="2">
                  <c:v>3.0713712217678761</c:v>
                </c:pt>
                <c:pt idx="3">
                  <c:v>4.8314105475878222</c:v>
                </c:pt>
                <c:pt idx="4">
                  <c:v>8.8860557187961433</c:v>
                </c:pt>
                <c:pt idx="5">
                  <c:v>11.316639110914565</c:v>
                </c:pt>
                <c:pt idx="6">
                  <c:v>6.5661978258826537</c:v>
                </c:pt>
              </c:numCache>
              <c:extLst/>
            </c:numRef>
          </c:val>
          <c:smooth val="0"/>
          <c:extLst>
            <c:ext xmlns:c16="http://schemas.microsoft.com/office/drawing/2014/chart" uri="{C3380CC4-5D6E-409C-BE32-E72D297353CC}">
              <c16:uniqueId val="{00000002-89CD-4BD5-8749-65088D081B44}"/>
            </c:ext>
          </c:extLst>
        </c:ser>
        <c:dLbls>
          <c:showLegendKey val="0"/>
          <c:showVal val="0"/>
          <c:showCatName val="0"/>
          <c:showSerName val="0"/>
          <c:showPercent val="0"/>
          <c:showBubbleSize val="0"/>
        </c:dLbls>
        <c:marker val="1"/>
        <c:smooth val="0"/>
        <c:axId val="640634608"/>
        <c:axId val="1924674864"/>
      </c:lineChart>
      <c:catAx>
        <c:axId val="640634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24674864"/>
        <c:crosses val="autoZero"/>
        <c:auto val="1"/>
        <c:lblAlgn val="ctr"/>
        <c:lblOffset val="100"/>
        <c:noMultiLvlLbl val="0"/>
      </c:catAx>
      <c:valAx>
        <c:axId val="1924674864"/>
        <c:scaling>
          <c:orientation val="minMax"/>
          <c:max val="16"/>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sl-SI"/>
                  <a:t>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06346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'INVESTICIJE - grafi'!$B$25</c:f>
              <c:strCache>
                <c:ptCount val="1"/>
                <c:pt idx="0">
                  <c:v>EU financirane investicije (RRF, REPowerEU)</c:v>
                </c:pt>
              </c:strCache>
            </c:strRef>
          </c:tx>
          <c:spPr>
            <a:solidFill>
              <a:schemeClr val="bg2">
                <a:lumMod val="90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'INVESTICIJE - grafi'!$C$24:$K$24</c:f>
              <c:numCache>
                <c:formatCode>General</c:formatCode>
                <c:ptCount val="9"/>
                <c:pt idx="0">
                  <c:v>2016</c:v>
                </c:pt>
                <c:pt idx="1">
                  <c:v>2017</c:v>
                </c:pt>
                <c:pt idx="2">
                  <c:v>2018</c:v>
                </c:pt>
                <c:pt idx="3">
                  <c:v>2019</c:v>
                </c:pt>
                <c:pt idx="4">
                  <c:v>2020</c:v>
                </c:pt>
                <c:pt idx="5">
                  <c:v>2021</c:v>
                </c:pt>
                <c:pt idx="6">
                  <c:v>2022</c:v>
                </c:pt>
                <c:pt idx="7">
                  <c:v>2023</c:v>
                </c:pt>
                <c:pt idx="8">
                  <c:v>2024</c:v>
                </c:pt>
              </c:numCache>
            </c:numRef>
          </c:cat>
          <c:val>
            <c:numRef>
              <c:f>'INVESTICIJE - grafi'!$C$25:$K$25</c:f>
              <c:numCache>
                <c:formatCode>0.0</c:formatCode>
                <c:ptCount val="9"/>
                <c:pt idx="0">
                  <c:v>0.1</c:v>
                </c:pt>
                <c:pt idx="1">
                  <c:v>0.2</c:v>
                </c:pt>
                <c:pt idx="2">
                  <c:v>0.3</c:v>
                </c:pt>
                <c:pt idx="3">
                  <c:v>0.3</c:v>
                </c:pt>
                <c:pt idx="4">
                  <c:v>0.4</c:v>
                </c:pt>
                <c:pt idx="5">
                  <c:v>0.6</c:v>
                </c:pt>
                <c:pt idx="6">
                  <c:v>0.6</c:v>
                </c:pt>
                <c:pt idx="7">
                  <c:v>1.2</c:v>
                </c:pt>
                <c:pt idx="8">
                  <c:v>1.2</c:v>
                </c:pt>
              </c:numCache>
            </c:numRef>
          </c:val>
          <c:extLst>
            <c:ext xmlns:c16="http://schemas.microsoft.com/office/drawing/2014/chart" uri="{C3380CC4-5D6E-409C-BE32-E72D297353CC}">
              <c16:uniqueId val="{00000000-E195-4CEA-A2E9-6F0F85A62A40}"/>
            </c:ext>
          </c:extLst>
        </c:ser>
        <c:ser>
          <c:idx val="1"/>
          <c:order val="1"/>
          <c:tx>
            <c:strRef>
              <c:f>'INVESTICIJE - grafi'!$B$26</c:f>
              <c:strCache>
                <c:ptCount val="1"/>
                <c:pt idx="0">
                  <c:v>Nacionalno financirane investicije</c:v>
                </c:pt>
              </c:strCache>
            </c:strRef>
          </c:tx>
          <c:spPr>
            <a:solidFill>
              <a:schemeClr val="accent1">
                <a:lumMod val="60000"/>
                <a:lumOff val="40000"/>
              </a:schemeClr>
            </a:solidFill>
            <a:ln>
              <a:noFill/>
            </a:ln>
            <a:effectLst/>
          </c:spPr>
          <c:invertIfNegative val="0"/>
          <c:dLbls>
            <c:dLbl>
              <c:idx val="3"/>
              <c:layout>
                <c:manualLayout>
                  <c:x val="2.206287920573635E-3"/>
                  <c:y val="5.23468853603210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195-4CEA-A2E9-6F0F85A62A40}"/>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'INVESTICIJE - grafi'!$C$24:$K$24</c:f>
              <c:numCache>
                <c:formatCode>General</c:formatCode>
                <c:ptCount val="9"/>
                <c:pt idx="0">
                  <c:v>2016</c:v>
                </c:pt>
                <c:pt idx="1">
                  <c:v>2017</c:v>
                </c:pt>
                <c:pt idx="2">
                  <c:v>2018</c:v>
                </c:pt>
                <c:pt idx="3">
                  <c:v>2019</c:v>
                </c:pt>
                <c:pt idx="4">
                  <c:v>2020</c:v>
                </c:pt>
                <c:pt idx="5">
                  <c:v>2021</c:v>
                </c:pt>
                <c:pt idx="6">
                  <c:v>2022</c:v>
                </c:pt>
                <c:pt idx="7">
                  <c:v>2023</c:v>
                </c:pt>
                <c:pt idx="8">
                  <c:v>2024</c:v>
                </c:pt>
              </c:numCache>
            </c:numRef>
          </c:cat>
          <c:val>
            <c:numRef>
              <c:f>'INVESTICIJE - grafi'!$C$26:$K$26</c:f>
              <c:numCache>
                <c:formatCode>0.0</c:formatCode>
                <c:ptCount val="9"/>
                <c:pt idx="0">
                  <c:v>3.1</c:v>
                </c:pt>
                <c:pt idx="1">
                  <c:v>2.9000000000000004</c:v>
                </c:pt>
                <c:pt idx="2">
                  <c:v>3.4000000000000004</c:v>
                </c:pt>
                <c:pt idx="3">
                  <c:v>3.5000000000000004</c:v>
                </c:pt>
                <c:pt idx="4">
                  <c:v>3.6999999999999997</c:v>
                </c:pt>
                <c:pt idx="5">
                  <c:v>4</c:v>
                </c:pt>
                <c:pt idx="6">
                  <c:v>4.8</c:v>
                </c:pt>
                <c:pt idx="7">
                  <c:v>5.0999999999999996</c:v>
                </c:pt>
                <c:pt idx="8">
                  <c:v>5.0999999999999996</c:v>
                </c:pt>
              </c:numCache>
            </c:numRef>
          </c:val>
          <c:extLst>
            <c:ext xmlns:c16="http://schemas.microsoft.com/office/drawing/2014/chart" uri="{C3380CC4-5D6E-409C-BE32-E72D297353CC}">
              <c16:uniqueId val="{00000002-E195-4CEA-A2E9-6F0F85A62A40}"/>
            </c:ext>
          </c:extLst>
        </c:ser>
        <c:dLbls>
          <c:showLegendKey val="0"/>
          <c:showVal val="0"/>
          <c:showCatName val="0"/>
          <c:showSerName val="0"/>
          <c:showPercent val="0"/>
          <c:showBubbleSize val="0"/>
        </c:dLbls>
        <c:gapWidth val="219"/>
        <c:overlap val="100"/>
        <c:axId val="1721640927"/>
        <c:axId val="1826745631"/>
      </c:barChart>
      <c:lineChart>
        <c:grouping val="standard"/>
        <c:varyColors val="0"/>
        <c:ser>
          <c:idx val="2"/>
          <c:order val="2"/>
          <c:tx>
            <c:strRef>
              <c:f>'INVESTICIJE - grafi'!$B$27</c:f>
              <c:strCache>
                <c:ptCount val="1"/>
                <c:pt idx="0">
                  <c:v>Investicije skupaj</c:v>
                </c:pt>
              </c:strCache>
            </c:strRef>
          </c:tx>
          <c:spPr>
            <a:ln w="28575" cap="rnd">
              <a:solidFill>
                <a:sysClr val="windowText" lastClr="000000"/>
              </a:solidFill>
              <a:round/>
            </a:ln>
            <a:effectLst/>
          </c:spPr>
          <c:marker>
            <c:symbol val="none"/>
          </c:marker>
          <c:cat>
            <c:numRef>
              <c:f>'INVESTICIJE - grafi'!$C$24:$K$24</c:f>
              <c:numCache>
                <c:formatCode>General</c:formatCode>
                <c:ptCount val="9"/>
                <c:pt idx="0">
                  <c:v>2016</c:v>
                </c:pt>
                <c:pt idx="1">
                  <c:v>2017</c:v>
                </c:pt>
                <c:pt idx="2">
                  <c:v>2018</c:v>
                </c:pt>
                <c:pt idx="3">
                  <c:v>2019</c:v>
                </c:pt>
                <c:pt idx="4">
                  <c:v>2020</c:v>
                </c:pt>
                <c:pt idx="5">
                  <c:v>2021</c:v>
                </c:pt>
                <c:pt idx="6">
                  <c:v>2022</c:v>
                </c:pt>
                <c:pt idx="7">
                  <c:v>2023</c:v>
                </c:pt>
                <c:pt idx="8">
                  <c:v>2024</c:v>
                </c:pt>
              </c:numCache>
            </c:numRef>
          </c:cat>
          <c:val>
            <c:numRef>
              <c:f>'INVESTICIJE - grafi'!$C$27:$K$27</c:f>
              <c:numCache>
                <c:formatCode>0.0</c:formatCode>
                <c:ptCount val="9"/>
                <c:pt idx="0">
                  <c:v>3.15</c:v>
                </c:pt>
                <c:pt idx="1">
                  <c:v>3.05</c:v>
                </c:pt>
                <c:pt idx="2">
                  <c:v>3.66</c:v>
                </c:pt>
                <c:pt idx="3">
                  <c:v>3.83</c:v>
                </c:pt>
                <c:pt idx="4">
                  <c:v>4.1099999999999994</c:v>
                </c:pt>
                <c:pt idx="5">
                  <c:v>4.67</c:v>
                </c:pt>
                <c:pt idx="6">
                  <c:v>5.4</c:v>
                </c:pt>
                <c:pt idx="7">
                  <c:v>6.29</c:v>
                </c:pt>
                <c:pt idx="8">
                  <c:v>6.2799999999999994</c:v>
                </c:pt>
              </c:numCache>
            </c:numRef>
          </c:val>
          <c:smooth val="0"/>
          <c:extLst>
            <c:ext xmlns:c16="http://schemas.microsoft.com/office/drawing/2014/chart" uri="{C3380CC4-5D6E-409C-BE32-E72D297353CC}">
              <c16:uniqueId val="{00000003-E195-4CEA-A2E9-6F0F85A62A40}"/>
            </c:ext>
          </c:extLst>
        </c:ser>
        <c:ser>
          <c:idx val="3"/>
          <c:order val="3"/>
          <c:tx>
            <c:strRef>
              <c:f>'INVESTICIJE - grafi'!$B$28</c:f>
              <c:strCache>
                <c:ptCount val="1"/>
                <c:pt idx="0">
                  <c:v>Povprečje skupnih investicij 2016-2024</c:v>
                </c:pt>
              </c:strCache>
            </c:strRef>
          </c:tx>
          <c:spPr>
            <a:ln w="28575" cap="rnd">
              <a:solidFill>
                <a:srgbClr val="0070C0"/>
              </a:solidFill>
              <a:round/>
            </a:ln>
            <a:effectLst/>
          </c:spPr>
          <c:marker>
            <c:symbol val="none"/>
          </c:marker>
          <c:val>
            <c:numRef>
              <c:f>'INVESTICIJE - grafi'!$C$28:$K$28</c:f>
              <c:numCache>
                <c:formatCode>0.0</c:formatCode>
                <c:ptCount val="9"/>
                <c:pt idx="0">
                  <c:v>4.4933333333333332</c:v>
                </c:pt>
                <c:pt idx="1">
                  <c:v>4.4933333333333332</c:v>
                </c:pt>
                <c:pt idx="2">
                  <c:v>4.4933333333333332</c:v>
                </c:pt>
                <c:pt idx="3">
                  <c:v>4.4933333333333332</c:v>
                </c:pt>
                <c:pt idx="4">
                  <c:v>4.4933333333333332</c:v>
                </c:pt>
                <c:pt idx="5">
                  <c:v>4.4933333333333332</c:v>
                </c:pt>
                <c:pt idx="6">
                  <c:v>4.4933333333333332</c:v>
                </c:pt>
                <c:pt idx="7">
                  <c:v>4.4933333333333332</c:v>
                </c:pt>
                <c:pt idx="8">
                  <c:v>4.4933333333333332</c:v>
                </c:pt>
              </c:numCache>
            </c:numRef>
          </c:val>
          <c:smooth val="0"/>
          <c:extLst>
            <c:ext xmlns:c16="http://schemas.microsoft.com/office/drawing/2014/chart" uri="{C3380CC4-5D6E-409C-BE32-E72D297353CC}">
              <c16:uniqueId val="{00000004-E195-4CEA-A2E9-6F0F85A62A40}"/>
            </c:ext>
          </c:extLst>
        </c:ser>
        <c:dLbls>
          <c:showLegendKey val="0"/>
          <c:showVal val="0"/>
          <c:showCatName val="0"/>
          <c:showSerName val="0"/>
          <c:showPercent val="0"/>
          <c:showBubbleSize val="0"/>
        </c:dLbls>
        <c:marker val="1"/>
        <c:smooth val="0"/>
        <c:axId val="1721640927"/>
        <c:axId val="1826745631"/>
      </c:lineChart>
      <c:catAx>
        <c:axId val="172164092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826745631"/>
        <c:crosses val="autoZero"/>
        <c:auto val="1"/>
        <c:lblAlgn val="ctr"/>
        <c:lblOffset val="100"/>
        <c:noMultiLvlLbl val="0"/>
      </c:catAx>
      <c:valAx>
        <c:axId val="182674563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sl-SI"/>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72164092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2"/>
          <c:order val="2"/>
          <c:tx>
            <c:strRef>
              <c:f>SS!$A$21</c:f>
              <c:strCache>
                <c:ptCount val="1"/>
                <c:pt idx="0">
                  <c:v>Fiskalni napor (v o.t. pBDP)</c:v>
                </c:pt>
              </c:strCache>
            </c:strRef>
          </c:tx>
          <c:spPr>
            <a:solidFill>
              <a:schemeClr val="bg2">
                <a:lumMod val="75000"/>
              </a:schemeClr>
            </a:solidFill>
            <a:ln>
              <a:noFill/>
            </a:ln>
            <a:effectLst/>
          </c:spPr>
          <c:invertIfNegative val="0"/>
          <c:cat>
            <c:numRef>
              <c:f>SS!$J$2:$S$2</c:f>
              <c:numCache>
                <c:formatCode>General</c:formatCode>
                <c:ptCount val="10"/>
                <c:pt idx="0">
                  <c:v>2015</c:v>
                </c:pt>
                <c:pt idx="1">
                  <c:v>2016</c:v>
                </c:pt>
                <c:pt idx="2">
                  <c:v>2017</c:v>
                </c:pt>
                <c:pt idx="3">
                  <c:v>2018</c:v>
                </c:pt>
                <c:pt idx="4">
                  <c:v>2019</c:v>
                </c:pt>
                <c:pt idx="5">
                  <c:v>2020</c:v>
                </c:pt>
                <c:pt idx="6">
                  <c:v>2021</c:v>
                </c:pt>
                <c:pt idx="7">
                  <c:v>2022</c:v>
                </c:pt>
                <c:pt idx="8">
                  <c:v>2023</c:v>
                </c:pt>
                <c:pt idx="9">
                  <c:v>2024</c:v>
                </c:pt>
              </c:numCache>
            </c:numRef>
          </c:cat>
          <c:val>
            <c:numRef>
              <c:f>SS!$J$21:$S$21</c:f>
              <c:numCache>
                <c:formatCode>0.0%</c:formatCode>
                <c:ptCount val="10"/>
                <c:pt idx="0">
                  <c:v>8.2778867864894135E-3</c:v>
                </c:pt>
                <c:pt idx="1">
                  <c:v>7.6465400081314472E-4</c:v>
                </c:pt>
                <c:pt idx="2">
                  <c:v>2.7942233266847185E-3</c:v>
                </c:pt>
                <c:pt idx="3">
                  <c:v>-3.8568246529902548E-3</c:v>
                </c:pt>
                <c:pt idx="4">
                  <c:v>-5.420327873401418E-3</c:v>
                </c:pt>
                <c:pt idx="5">
                  <c:v>-5.1712843914390703E-2</c:v>
                </c:pt>
                <c:pt idx="6">
                  <c:v>3.9082914731777482E-3</c:v>
                </c:pt>
                <c:pt idx="7">
                  <c:v>1.6272841950432153E-2</c:v>
                </c:pt>
                <c:pt idx="8">
                  <c:v>-2.8663854287194271E-3</c:v>
                </c:pt>
                <c:pt idx="9">
                  <c:v>1.2702282969388572E-2</c:v>
                </c:pt>
              </c:numCache>
            </c:numRef>
          </c:val>
          <c:extLst>
            <c:ext xmlns:c16="http://schemas.microsoft.com/office/drawing/2014/chart" uri="{C3380CC4-5D6E-409C-BE32-E72D297353CC}">
              <c16:uniqueId val="{00000000-9DD4-476A-91FA-1217C9FFC5E3}"/>
            </c:ext>
          </c:extLst>
        </c:ser>
        <c:dLbls>
          <c:showLegendKey val="0"/>
          <c:showVal val="0"/>
          <c:showCatName val="0"/>
          <c:showSerName val="0"/>
          <c:showPercent val="0"/>
          <c:showBubbleSize val="0"/>
        </c:dLbls>
        <c:gapWidth val="150"/>
        <c:axId val="764653624"/>
        <c:axId val="764657944"/>
      </c:barChart>
      <c:lineChart>
        <c:grouping val="standard"/>
        <c:varyColors val="0"/>
        <c:ser>
          <c:idx val="0"/>
          <c:order val="0"/>
          <c:tx>
            <c:strRef>
              <c:f>SS!$A$19</c:f>
              <c:strCache>
                <c:ptCount val="1"/>
                <c:pt idx="0">
                  <c:v>Strukturni saldo</c:v>
                </c:pt>
              </c:strCache>
            </c:strRef>
          </c:tx>
          <c:spPr>
            <a:ln w="28575" cap="rnd">
              <a:solidFill>
                <a:srgbClr val="0070C0"/>
              </a:solidFill>
              <a:round/>
            </a:ln>
            <a:effectLst/>
          </c:spPr>
          <c:marker>
            <c:symbol val="none"/>
          </c:marker>
          <c:cat>
            <c:numRef>
              <c:f>SS!$J$2:$S$2</c:f>
              <c:numCache>
                <c:formatCode>General</c:formatCode>
                <c:ptCount val="10"/>
                <c:pt idx="0">
                  <c:v>2015</c:v>
                </c:pt>
                <c:pt idx="1">
                  <c:v>2016</c:v>
                </c:pt>
                <c:pt idx="2">
                  <c:v>2017</c:v>
                </c:pt>
                <c:pt idx="3">
                  <c:v>2018</c:v>
                </c:pt>
                <c:pt idx="4">
                  <c:v>2019</c:v>
                </c:pt>
                <c:pt idx="5">
                  <c:v>2020</c:v>
                </c:pt>
                <c:pt idx="6">
                  <c:v>2021</c:v>
                </c:pt>
                <c:pt idx="7">
                  <c:v>2022</c:v>
                </c:pt>
                <c:pt idx="8">
                  <c:v>2023</c:v>
                </c:pt>
                <c:pt idx="9">
                  <c:v>2024</c:v>
                </c:pt>
              </c:numCache>
            </c:numRef>
          </c:cat>
          <c:val>
            <c:numRef>
              <c:f>SS!$J$19:$S$19</c:f>
              <c:numCache>
                <c:formatCode>0.0%</c:formatCode>
                <c:ptCount val="10"/>
                <c:pt idx="0">
                  <c:v>-1.9538635289047916E-3</c:v>
                </c:pt>
                <c:pt idx="1">
                  <c:v>-1.1892095280916469E-3</c:v>
                </c:pt>
                <c:pt idx="2">
                  <c:v>1.6050137985930718E-3</c:v>
                </c:pt>
                <c:pt idx="3">
                  <c:v>-2.2518108543971831E-3</c:v>
                </c:pt>
                <c:pt idx="4">
                  <c:v>-7.6721387277986011E-3</c:v>
                </c:pt>
                <c:pt idx="5">
                  <c:v>-5.9384982642189305E-2</c:v>
                </c:pt>
                <c:pt idx="6">
                  <c:v>-5.5476691169011556E-2</c:v>
                </c:pt>
                <c:pt idx="7">
                  <c:v>-3.9203849218579404E-2</c:v>
                </c:pt>
                <c:pt idx="8">
                  <c:v>-4.2070234647298831E-2</c:v>
                </c:pt>
                <c:pt idx="9">
                  <c:v>-2.9367951677910259E-2</c:v>
                </c:pt>
              </c:numCache>
            </c:numRef>
          </c:val>
          <c:smooth val="0"/>
          <c:extLst>
            <c:ext xmlns:c16="http://schemas.microsoft.com/office/drawing/2014/chart" uri="{C3380CC4-5D6E-409C-BE32-E72D297353CC}">
              <c16:uniqueId val="{00000001-9DD4-476A-91FA-1217C9FFC5E3}"/>
            </c:ext>
          </c:extLst>
        </c:ser>
        <c:ser>
          <c:idx val="1"/>
          <c:order val="1"/>
          <c:tx>
            <c:strRef>
              <c:f>SS!$A$20</c:f>
              <c:strCache>
                <c:ptCount val="1"/>
                <c:pt idx="0">
                  <c:v>Strukturni primarni saldo</c:v>
                </c:pt>
              </c:strCache>
            </c:strRef>
          </c:tx>
          <c:spPr>
            <a:ln w="28575" cap="rnd">
              <a:solidFill>
                <a:schemeClr val="tx1"/>
              </a:solidFill>
              <a:round/>
            </a:ln>
            <a:effectLst/>
          </c:spPr>
          <c:marker>
            <c:symbol val="none"/>
          </c:marker>
          <c:cat>
            <c:numRef>
              <c:f>SS!$J$2:$S$2</c:f>
              <c:numCache>
                <c:formatCode>General</c:formatCode>
                <c:ptCount val="10"/>
                <c:pt idx="0">
                  <c:v>2015</c:v>
                </c:pt>
                <c:pt idx="1">
                  <c:v>2016</c:v>
                </c:pt>
                <c:pt idx="2">
                  <c:v>2017</c:v>
                </c:pt>
                <c:pt idx="3">
                  <c:v>2018</c:v>
                </c:pt>
                <c:pt idx="4">
                  <c:v>2019</c:v>
                </c:pt>
                <c:pt idx="5">
                  <c:v>2020</c:v>
                </c:pt>
                <c:pt idx="6">
                  <c:v>2021</c:v>
                </c:pt>
                <c:pt idx="7">
                  <c:v>2022</c:v>
                </c:pt>
                <c:pt idx="8">
                  <c:v>2023</c:v>
                </c:pt>
                <c:pt idx="9">
                  <c:v>2024</c:v>
                </c:pt>
              </c:numCache>
            </c:numRef>
          </c:cat>
          <c:val>
            <c:numRef>
              <c:f>SS!$J$20:$S$20</c:f>
              <c:numCache>
                <c:formatCode>0.0%</c:formatCode>
                <c:ptCount val="10"/>
                <c:pt idx="0">
                  <c:v>3.0264242973416438E-2</c:v>
                </c:pt>
                <c:pt idx="1">
                  <c:v>2.9174373097997454E-2</c:v>
                </c:pt>
                <c:pt idx="2">
                  <c:v>2.681676097268354E-2</c:v>
                </c:pt>
                <c:pt idx="3">
                  <c:v>1.79088094747979E-2</c:v>
                </c:pt>
                <c:pt idx="4">
                  <c:v>9.3086203577839623E-3</c:v>
                </c:pt>
                <c:pt idx="5">
                  <c:v>-4.3459943407366322E-2</c:v>
                </c:pt>
                <c:pt idx="6">
                  <c:v>-4.3035777985848345E-2</c:v>
                </c:pt>
                <c:pt idx="7">
                  <c:v>-2.8010119230037378E-2</c:v>
                </c:pt>
                <c:pt idx="8">
                  <c:v>-3.0410866715274598E-2</c:v>
                </c:pt>
                <c:pt idx="9">
                  <c:v>-1.6289307431133888E-2</c:v>
                </c:pt>
              </c:numCache>
            </c:numRef>
          </c:val>
          <c:smooth val="0"/>
          <c:extLst>
            <c:ext xmlns:c16="http://schemas.microsoft.com/office/drawing/2014/chart" uri="{C3380CC4-5D6E-409C-BE32-E72D297353CC}">
              <c16:uniqueId val="{00000002-9DD4-476A-91FA-1217C9FFC5E3}"/>
            </c:ext>
          </c:extLst>
        </c:ser>
        <c:dLbls>
          <c:showLegendKey val="0"/>
          <c:showVal val="0"/>
          <c:showCatName val="0"/>
          <c:showSerName val="0"/>
          <c:showPercent val="0"/>
          <c:showBubbleSize val="0"/>
        </c:dLbls>
        <c:marker val="1"/>
        <c:smooth val="0"/>
        <c:axId val="764653624"/>
        <c:axId val="764657944"/>
      </c:lineChart>
      <c:catAx>
        <c:axId val="764653624"/>
        <c:scaling>
          <c:orientation val="minMax"/>
        </c:scaling>
        <c:delete val="0"/>
        <c:axPos val="b"/>
        <c:numFmt formatCode="General" sourceLinked="1"/>
        <c:majorTickMark val="none"/>
        <c:minorTickMark val="none"/>
        <c:tickLblPos val="low"/>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64657944"/>
        <c:crosses val="autoZero"/>
        <c:auto val="1"/>
        <c:lblAlgn val="ctr"/>
        <c:lblOffset val="100"/>
        <c:noMultiLvlLbl val="0"/>
      </c:catAx>
      <c:valAx>
        <c:axId val="7646579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sl-SI"/>
                  <a:t>%</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646536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solidFill>
            <a:sysClr val="windowText" lastClr="000000"/>
          </a:solidFill>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2039254741589582E-2"/>
          <c:y val="9.323990238925052E-2"/>
          <c:w val="0.88848311657674472"/>
          <c:h val="0.65951919944433179"/>
        </c:manualLayout>
      </c:layout>
      <c:barChart>
        <c:barDir val="col"/>
        <c:grouping val="clustered"/>
        <c:varyColors val="0"/>
        <c:ser>
          <c:idx val="0"/>
          <c:order val="0"/>
          <c:tx>
            <c:strRef>
              <c:f>Output!$A$63</c:f>
              <c:strCache>
                <c:ptCount val="1"/>
                <c:pt idx="0">
                  <c:v>Merilo rasti izdatkov (z začasnimi ukrepi za poplave)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Output!$R$62:$S$62</c:f>
              <c:numCache>
                <c:formatCode>0</c:formatCode>
                <c:ptCount val="2"/>
                <c:pt idx="0">
                  <c:v>2023</c:v>
                </c:pt>
                <c:pt idx="1">
                  <c:v>2024</c:v>
                </c:pt>
              </c:numCache>
            </c:numRef>
          </c:cat>
          <c:val>
            <c:numRef>
              <c:f>Output!$R$63:$S$63</c:f>
              <c:numCache>
                <c:formatCode>0.0</c:formatCode>
                <c:ptCount val="2"/>
                <c:pt idx="0">
                  <c:v>8.7785171253794481</c:v>
                </c:pt>
                <c:pt idx="1">
                  <c:v>3.3641361965893921</c:v>
                </c:pt>
              </c:numCache>
            </c:numRef>
          </c:val>
          <c:extLst>
            <c:ext xmlns:c16="http://schemas.microsoft.com/office/drawing/2014/chart" uri="{C3380CC4-5D6E-409C-BE32-E72D297353CC}">
              <c16:uniqueId val="{00000000-504B-49DB-9806-BC01A7589506}"/>
            </c:ext>
          </c:extLst>
        </c:ser>
        <c:ser>
          <c:idx val="2"/>
          <c:order val="2"/>
          <c:tx>
            <c:strRef>
              <c:f>Output!$A$65</c:f>
              <c:strCache>
                <c:ptCount val="1"/>
                <c:pt idx="0">
                  <c:v>Nacionalno financirani neto primarni izdatki</c:v>
                </c:pt>
              </c:strCache>
            </c:strRef>
          </c:tx>
          <c:spPr>
            <a:solidFill>
              <a:srgbClr val="00B050">
                <a:alpha val="50000"/>
              </a:srgbClr>
            </a:solidFill>
            <a:ln>
              <a:solidFill>
                <a:srgbClr val="00B05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Output!$R$62:$S$62</c:f>
              <c:numCache>
                <c:formatCode>0</c:formatCode>
                <c:ptCount val="2"/>
                <c:pt idx="0">
                  <c:v>2023</c:v>
                </c:pt>
                <c:pt idx="1">
                  <c:v>2024</c:v>
                </c:pt>
              </c:numCache>
            </c:numRef>
          </c:cat>
          <c:val>
            <c:numRef>
              <c:f>Output!$R$65:$S$65</c:f>
              <c:numCache>
                <c:formatCode>0.0</c:formatCode>
                <c:ptCount val="2"/>
                <c:pt idx="1">
                  <c:v>2.3070533164411433</c:v>
                </c:pt>
              </c:numCache>
            </c:numRef>
          </c:val>
          <c:extLst>
            <c:ext xmlns:c16="http://schemas.microsoft.com/office/drawing/2014/chart" uri="{C3380CC4-5D6E-409C-BE32-E72D297353CC}">
              <c16:uniqueId val="{00000001-504B-49DB-9806-BC01A7589506}"/>
            </c:ext>
          </c:extLst>
        </c:ser>
        <c:dLbls>
          <c:showLegendKey val="0"/>
          <c:showVal val="0"/>
          <c:showCatName val="0"/>
          <c:showSerName val="0"/>
          <c:showPercent val="0"/>
          <c:showBubbleSize val="0"/>
        </c:dLbls>
        <c:gapWidth val="219"/>
        <c:axId val="1836383584"/>
        <c:axId val="2014569904"/>
      </c:barChart>
      <c:lineChart>
        <c:grouping val="standard"/>
        <c:varyColors val="0"/>
        <c:dLbls>
          <c:showLegendKey val="0"/>
          <c:showVal val="0"/>
          <c:showCatName val="0"/>
          <c:showSerName val="0"/>
          <c:showPercent val="0"/>
          <c:showBubbleSize val="0"/>
        </c:dLbls>
        <c:marker val="1"/>
        <c:smooth val="0"/>
        <c:axId val="1836383584"/>
        <c:axId val="2014569904"/>
        <c:extLst>
          <c:ext xmlns:c15="http://schemas.microsoft.com/office/drawing/2012/chart" uri="{02D57815-91ED-43cb-92C2-25804820EDAC}">
            <c15:filteredLineSeries>
              <c15:ser>
                <c:idx val="1"/>
                <c:order val="1"/>
                <c:tx>
                  <c:strRef>
                    <c:extLst>
                      <c:ext uri="{02D57815-91ED-43cb-92C2-25804820EDAC}">
                        <c15:formulaRef>
                          <c15:sqref>Output!$A$64</c15:sqref>
                        </c15:formulaRef>
                      </c:ext>
                    </c:extLst>
                    <c:strCache>
                      <c:ptCount val="1"/>
                      <c:pt idx="0">
                        <c:v>Dovoljena rast merila rasti izdatkov</c:v>
                      </c:pt>
                    </c:strCache>
                  </c:strRef>
                </c:tx>
                <c:spPr>
                  <a:ln w="28575" cap="rnd">
                    <a:solidFill>
                      <a:schemeClr val="accent1"/>
                    </a:solidFill>
                    <a:round/>
                  </a:ln>
                  <a:effectLst/>
                </c:spPr>
                <c:marker>
                  <c:symbol val="none"/>
                </c:marker>
                <c:cat>
                  <c:numRef>
                    <c:extLst>
                      <c:ext uri="{02D57815-91ED-43cb-92C2-25804820EDAC}">
                        <c15:formulaRef>
                          <c15:sqref>Output!$R$62:$S$62</c15:sqref>
                        </c15:formulaRef>
                      </c:ext>
                    </c:extLst>
                    <c:numCache>
                      <c:formatCode>0</c:formatCode>
                      <c:ptCount val="2"/>
                      <c:pt idx="0">
                        <c:v>2023</c:v>
                      </c:pt>
                      <c:pt idx="1">
                        <c:v>2024</c:v>
                      </c:pt>
                    </c:numCache>
                  </c:numRef>
                </c:cat>
                <c:val>
                  <c:numRef>
                    <c:extLst>
                      <c:ext uri="{02D57815-91ED-43cb-92C2-25804820EDAC}">
                        <c15:formulaRef>
                          <c15:sqref>Output!$R$64:$S$64</c15:sqref>
                        </c15:formulaRef>
                      </c:ext>
                    </c:extLst>
                    <c:numCache>
                      <c:formatCode>0.0</c:formatCode>
                      <c:ptCount val="2"/>
                      <c:pt idx="0">
                        <c:v>11.107140090835822</c:v>
                      </c:pt>
                      <c:pt idx="1">
                        <c:v>5.4560438412013248</c:v>
                      </c:pt>
                    </c:numCache>
                  </c:numRef>
                </c:val>
                <c:smooth val="0"/>
                <c:extLst>
                  <c:ext xmlns:c16="http://schemas.microsoft.com/office/drawing/2014/chart" uri="{C3380CC4-5D6E-409C-BE32-E72D297353CC}">
                    <c16:uniqueId val="{00000002-504B-49DB-9806-BC01A7589506}"/>
                  </c:ext>
                </c:extLst>
              </c15:ser>
            </c15:filteredLineSeries>
            <c15:filteredLineSeries>
              <c15:ser>
                <c:idx val="3"/>
                <c:order val="3"/>
                <c:tx>
                  <c:strRef>
                    <c:extLst xmlns:c15="http://schemas.microsoft.com/office/drawing/2012/chart">
                      <c:ext xmlns:c15="http://schemas.microsoft.com/office/drawing/2012/chart" uri="{02D57815-91ED-43cb-92C2-25804820EDAC}">
                        <c15:formulaRef>
                          <c15:sqref>Output!$A$66</c15:sqref>
                        </c15:formulaRef>
                      </c:ext>
                    </c:extLst>
                    <c:strCache>
                      <c:ptCount val="1"/>
                      <c:pt idx="0">
                        <c:v>Dovoljena rast nacionalno financiranih neto primarnih izdatkov (CSR 2023)</c:v>
                      </c:pt>
                    </c:strCache>
                  </c:strRef>
                </c:tx>
                <c:spPr>
                  <a:ln w="28575" cap="rnd">
                    <a:solidFill>
                      <a:srgbClr val="00B050"/>
                    </a:solidFill>
                    <a:round/>
                  </a:ln>
                  <a:effectLst/>
                </c:spPr>
                <c:marker>
                  <c:symbol val="dash"/>
                  <c:size val="15"/>
                  <c:spPr>
                    <a:solidFill>
                      <a:srgbClr val="00B050"/>
                    </a:solidFill>
                    <a:ln w="9525">
                      <a:solidFill>
                        <a:srgbClr val="00B050"/>
                      </a:solidFill>
                    </a:ln>
                    <a:effectLst/>
                  </c:spPr>
                </c:marker>
                <c:cat>
                  <c:numRef>
                    <c:extLst xmlns:c15="http://schemas.microsoft.com/office/drawing/2012/chart">
                      <c:ext xmlns:c15="http://schemas.microsoft.com/office/drawing/2012/chart" uri="{02D57815-91ED-43cb-92C2-25804820EDAC}">
                        <c15:formulaRef>
                          <c15:sqref>Output!$R$62:$S$62</c15:sqref>
                        </c15:formulaRef>
                      </c:ext>
                    </c:extLst>
                    <c:numCache>
                      <c:formatCode>0</c:formatCode>
                      <c:ptCount val="2"/>
                      <c:pt idx="0">
                        <c:v>2023</c:v>
                      </c:pt>
                      <c:pt idx="1">
                        <c:v>2024</c:v>
                      </c:pt>
                    </c:numCache>
                  </c:numRef>
                </c:cat>
                <c:val>
                  <c:numRef>
                    <c:extLst xmlns:c15="http://schemas.microsoft.com/office/drawing/2012/chart">
                      <c:ext xmlns:c15="http://schemas.microsoft.com/office/drawing/2012/chart" uri="{02D57815-91ED-43cb-92C2-25804820EDAC}">
                        <c15:formulaRef>
                          <c15:sqref>Output!$R$66:$S$66</c15:sqref>
                        </c15:formulaRef>
                      </c:ext>
                    </c:extLst>
                    <c:numCache>
                      <c:formatCode>0.0</c:formatCode>
                      <c:ptCount val="2"/>
                      <c:pt idx="1">
                        <c:v>5.5</c:v>
                      </c:pt>
                    </c:numCache>
                  </c:numRef>
                </c:val>
                <c:smooth val="0"/>
                <c:extLst xmlns:c15="http://schemas.microsoft.com/office/drawing/2012/chart">
                  <c:ext xmlns:c16="http://schemas.microsoft.com/office/drawing/2014/chart" uri="{C3380CC4-5D6E-409C-BE32-E72D297353CC}">
                    <c16:uniqueId val="{00000003-504B-49DB-9806-BC01A7589506}"/>
                  </c:ext>
                </c:extLst>
              </c15:ser>
            </c15:filteredLineSeries>
          </c:ext>
        </c:extLst>
      </c:lineChart>
      <c:catAx>
        <c:axId val="1836383584"/>
        <c:scaling>
          <c:orientation val="minMax"/>
        </c:scaling>
        <c:delete val="0"/>
        <c:axPos val="b"/>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14569904"/>
        <c:crosses val="autoZero"/>
        <c:auto val="1"/>
        <c:lblAlgn val="ctr"/>
        <c:lblOffset val="100"/>
        <c:noMultiLvlLbl val="0"/>
      </c:catAx>
      <c:valAx>
        <c:axId val="20145699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sl-SI" baseline="0"/>
                  <a:t>%</a:t>
                </a:r>
                <a:endParaRPr lang="sl-SI"/>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36383584"/>
        <c:crosses val="autoZero"/>
        <c:crossBetween val="between"/>
        <c:majorUnit val="1"/>
      </c:valAx>
      <c:spPr>
        <a:noFill/>
        <a:ln>
          <a:noFill/>
        </a:ln>
        <a:effectLst/>
      </c:spPr>
    </c:plotArea>
    <c:legend>
      <c:legendPos val="b"/>
      <c:layout>
        <c:manualLayout>
          <c:xMode val="edge"/>
          <c:yMode val="edge"/>
          <c:x val="0.156128024980484"/>
          <c:y val="0.8531572442333597"/>
          <c:w val="0.79483044127680758"/>
          <c:h val="0.1249847241317057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7389388826396681E-2"/>
          <c:y val="9.8756903935669757E-2"/>
          <c:w val="0.89258807926786932"/>
          <c:h val="0.64565301436969635"/>
        </c:manualLayout>
      </c:layout>
      <c:barChart>
        <c:barDir val="col"/>
        <c:grouping val="stacked"/>
        <c:varyColors val="0"/>
        <c:ser>
          <c:idx val="0"/>
          <c:order val="0"/>
          <c:tx>
            <c:strRef>
              <c:f>'DBP sept 23'!$B$127</c:f>
              <c:strCache>
                <c:ptCount val="1"/>
                <c:pt idx="0">
                  <c:v>Subvencioniranje stanarin</c:v>
                </c:pt>
              </c:strCache>
            </c:strRef>
          </c:tx>
          <c:spPr>
            <a:solidFill>
              <a:schemeClr val="tx2">
                <a:lumMod val="60000"/>
                <a:lumOff val="40000"/>
              </a:schemeClr>
            </a:solidFill>
            <a:ln>
              <a:noFill/>
            </a:ln>
            <a:effectLst/>
          </c:spPr>
          <c:invertIfNegative val="0"/>
          <c:cat>
            <c:strRef>
              <c:f>'DBP sept 23'!$J$3:$P$3</c:f>
              <c:strCache>
                <c:ptCount val="5"/>
                <c:pt idx="0">
                  <c:v>2020</c:v>
                </c:pt>
                <c:pt idx="1">
                  <c:v>2021</c:v>
                </c:pt>
                <c:pt idx="2">
                  <c:v>2022</c:v>
                </c:pt>
                <c:pt idx="3">
                  <c:v>2023</c:v>
                </c:pt>
                <c:pt idx="4">
                  <c:v>2024</c:v>
                </c:pt>
              </c:strCache>
              <c:extLst/>
            </c:strRef>
          </c:cat>
          <c:val>
            <c:numRef>
              <c:f>'DBP sept 23'!$J$127:$P$127</c:f>
              <c:numCache>
                <c:formatCode>#,##0.0</c:formatCode>
                <c:ptCount val="5"/>
                <c:pt idx="0">
                  <c:v>4.122901738551775E-5</c:v>
                </c:pt>
                <c:pt idx="1">
                  <c:v>-2.1317317918544487E-4</c:v>
                </c:pt>
                <c:pt idx="2" formatCode="0.0">
                  <c:v>1.8964571555304649E-2</c:v>
                </c:pt>
                <c:pt idx="3">
                  <c:v>2.2036705314945622E-2</c:v>
                </c:pt>
                <c:pt idx="4" formatCode="0.0">
                  <c:v>1.9829085389856844E-2</c:v>
                </c:pt>
              </c:numCache>
              <c:extLst/>
            </c:numRef>
          </c:val>
          <c:extLst>
            <c:ext xmlns:c16="http://schemas.microsoft.com/office/drawing/2014/chart" uri="{C3380CC4-5D6E-409C-BE32-E72D297353CC}">
              <c16:uniqueId val="{00000000-2CE5-4FFD-96FF-84202CDCB8BD}"/>
            </c:ext>
          </c:extLst>
        </c:ser>
        <c:ser>
          <c:idx val="2"/>
          <c:order val="1"/>
          <c:tx>
            <c:strRef>
              <c:f>'DBP sept 23'!$B$129</c:f>
              <c:strCache>
                <c:ptCount val="1"/>
                <c:pt idx="0">
                  <c:v>Transferi nezaposlenim</c:v>
                </c:pt>
              </c:strCache>
            </c:strRef>
          </c:tx>
          <c:spPr>
            <a:solidFill>
              <a:schemeClr val="tx1">
                <a:lumMod val="75000"/>
                <a:lumOff val="25000"/>
              </a:schemeClr>
            </a:solidFill>
            <a:ln>
              <a:solidFill>
                <a:schemeClr val="bg1">
                  <a:lumMod val="50000"/>
                </a:schemeClr>
              </a:solidFill>
            </a:ln>
            <a:effectLst/>
          </c:spPr>
          <c:invertIfNegative val="0"/>
          <c:cat>
            <c:strRef>
              <c:f>'DBP sept 23'!$J$3:$P$3</c:f>
              <c:strCache>
                <c:ptCount val="5"/>
                <c:pt idx="0">
                  <c:v>2020</c:v>
                </c:pt>
                <c:pt idx="1">
                  <c:v>2021</c:v>
                </c:pt>
                <c:pt idx="2">
                  <c:v>2022</c:v>
                </c:pt>
                <c:pt idx="3">
                  <c:v>2023</c:v>
                </c:pt>
                <c:pt idx="4">
                  <c:v>2024</c:v>
                </c:pt>
              </c:strCache>
              <c:extLst/>
            </c:strRef>
          </c:cat>
          <c:val>
            <c:numRef>
              <c:f>'DBP sept 23'!$J$129:$P$129</c:f>
              <c:numCache>
                <c:formatCode>0.0</c:formatCode>
                <c:ptCount val="5"/>
                <c:pt idx="0" formatCode="#,##0.0">
                  <c:v>0.12832322088047796</c:v>
                </c:pt>
                <c:pt idx="1">
                  <c:v>2.5817868887579653E-2</c:v>
                </c:pt>
                <c:pt idx="2">
                  <c:v>-2.011457080141733E-2</c:v>
                </c:pt>
                <c:pt idx="3" formatCode="#,##0.0">
                  <c:v>-2.7371138118624273E-2</c:v>
                </c:pt>
                <c:pt idx="4" formatCode="0.0000">
                  <c:v>-1.9252967861945539E-2</c:v>
                </c:pt>
              </c:numCache>
              <c:extLst/>
            </c:numRef>
          </c:val>
          <c:extLst>
            <c:ext xmlns:c16="http://schemas.microsoft.com/office/drawing/2014/chart" uri="{C3380CC4-5D6E-409C-BE32-E72D297353CC}">
              <c16:uniqueId val="{00000001-2CE5-4FFD-96FF-84202CDCB8BD}"/>
            </c:ext>
          </c:extLst>
        </c:ser>
        <c:ser>
          <c:idx val="4"/>
          <c:order val="2"/>
          <c:tx>
            <c:strRef>
              <c:f>'DBP sept 23'!$B$131</c:f>
              <c:strCache>
                <c:ptCount val="1"/>
                <c:pt idx="0">
                  <c:v>Družinski prejemki in starševska nadomestila</c:v>
                </c:pt>
              </c:strCache>
            </c:strRef>
          </c:tx>
          <c:spPr>
            <a:solidFill>
              <a:schemeClr val="bg1">
                <a:lumMod val="50000"/>
              </a:schemeClr>
            </a:solidFill>
            <a:ln>
              <a:solidFill>
                <a:schemeClr val="bg1">
                  <a:lumMod val="50000"/>
                </a:schemeClr>
              </a:solidFill>
            </a:ln>
            <a:effectLst/>
          </c:spPr>
          <c:invertIfNegative val="0"/>
          <c:cat>
            <c:strRef>
              <c:f>'DBP sept 23'!$J$3:$P$3</c:f>
              <c:strCache>
                <c:ptCount val="5"/>
                <c:pt idx="0">
                  <c:v>2020</c:v>
                </c:pt>
                <c:pt idx="1">
                  <c:v>2021</c:v>
                </c:pt>
                <c:pt idx="2">
                  <c:v>2022</c:v>
                </c:pt>
                <c:pt idx="3">
                  <c:v>2023</c:v>
                </c:pt>
                <c:pt idx="4">
                  <c:v>2024</c:v>
                </c:pt>
              </c:strCache>
              <c:extLst/>
            </c:strRef>
          </c:cat>
          <c:val>
            <c:numRef>
              <c:f>'DBP sept 23'!$J$131:$P$131</c:f>
              <c:numCache>
                <c:formatCode>0.0</c:formatCode>
                <c:ptCount val="5"/>
                <c:pt idx="0" formatCode="#,##0.0">
                  <c:v>4.0738958760673495E-2</c:v>
                </c:pt>
                <c:pt idx="1">
                  <c:v>0.14368663882874122</c:v>
                </c:pt>
                <c:pt idx="2">
                  <c:v>0.13303557859100237</c:v>
                </c:pt>
                <c:pt idx="3" formatCode="#,##0.0">
                  <c:v>0.1818475160236051</c:v>
                </c:pt>
                <c:pt idx="4">
                  <c:v>0.24411490808806854</c:v>
                </c:pt>
              </c:numCache>
              <c:extLst/>
            </c:numRef>
          </c:val>
          <c:extLst>
            <c:ext xmlns:c16="http://schemas.microsoft.com/office/drawing/2014/chart" uri="{C3380CC4-5D6E-409C-BE32-E72D297353CC}">
              <c16:uniqueId val="{00000002-2CE5-4FFD-96FF-84202CDCB8BD}"/>
            </c:ext>
          </c:extLst>
        </c:ser>
        <c:ser>
          <c:idx val="6"/>
          <c:order val="3"/>
          <c:tx>
            <c:strRef>
              <c:f>'DBP sept 23'!$B$134</c:f>
              <c:strCache>
                <c:ptCount val="1"/>
                <c:pt idx="0">
                  <c:v>Transferi za zagotavljanje socialne varnosti</c:v>
                </c:pt>
              </c:strCache>
            </c:strRef>
          </c:tx>
          <c:spPr>
            <a:solidFill>
              <a:schemeClr val="accent1">
                <a:lumMod val="75000"/>
              </a:schemeClr>
            </a:solidFill>
            <a:ln>
              <a:solidFill>
                <a:schemeClr val="tx2">
                  <a:lumMod val="75000"/>
                </a:schemeClr>
              </a:solidFill>
            </a:ln>
            <a:effectLst/>
          </c:spPr>
          <c:invertIfNegative val="0"/>
          <c:cat>
            <c:strRef>
              <c:f>'DBP sept 23'!$J$3:$P$3</c:f>
              <c:strCache>
                <c:ptCount val="5"/>
                <c:pt idx="0">
                  <c:v>2020</c:v>
                </c:pt>
                <c:pt idx="1">
                  <c:v>2021</c:v>
                </c:pt>
                <c:pt idx="2">
                  <c:v>2022</c:v>
                </c:pt>
                <c:pt idx="3">
                  <c:v>2023</c:v>
                </c:pt>
                <c:pt idx="4">
                  <c:v>2024</c:v>
                </c:pt>
              </c:strCache>
              <c:extLst/>
            </c:strRef>
          </c:cat>
          <c:val>
            <c:numRef>
              <c:f>'DBP sept 23'!$J$134:$P$134</c:f>
              <c:numCache>
                <c:formatCode>0.0</c:formatCode>
                <c:ptCount val="5"/>
                <c:pt idx="0" formatCode="#,##0.0">
                  <c:v>0.21990621053750767</c:v>
                </c:pt>
                <c:pt idx="1">
                  <c:v>0.30866200238381253</c:v>
                </c:pt>
                <c:pt idx="2">
                  <c:v>5.0205462036512889E-2</c:v>
                </c:pt>
                <c:pt idx="3" formatCode="#,##0.0">
                  <c:v>0.29417408471745121</c:v>
                </c:pt>
                <c:pt idx="4">
                  <c:v>0.346796623124142</c:v>
                </c:pt>
              </c:numCache>
              <c:extLst/>
            </c:numRef>
          </c:val>
          <c:extLst>
            <c:ext xmlns:c16="http://schemas.microsoft.com/office/drawing/2014/chart" uri="{C3380CC4-5D6E-409C-BE32-E72D297353CC}">
              <c16:uniqueId val="{00000003-2CE5-4FFD-96FF-84202CDCB8BD}"/>
            </c:ext>
          </c:extLst>
        </c:ser>
        <c:ser>
          <c:idx val="1"/>
          <c:order val="4"/>
          <c:tx>
            <c:strRef>
              <c:f>'DBP sept 23'!$C$125</c:f>
              <c:strCache>
                <c:ptCount val="1"/>
                <c:pt idx="0">
                  <c:v>COVID-19</c:v>
                </c:pt>
              </c:strCache>
            </c:strRef>
          </c:tx>
          <c:spPr>
            <a:pattFill prst="wdUpDiag">
              <a:fgClr>
                <a:schemeClr val="accent1">
                  <a:lumMod val="60000"/>
                  <a:lumOff val="40000"/>
                </a:schemeClr>
              </a:fgClr>
              <a:bgClr>
                <a:schemeClr val="bg1"/>
              </a:bgClr>
            </a:pattFill>
            <a:ln>
              <a:solidFill>
                <a:schemeClr val="accent1"/>
              </a:solidFill>
            </a:ln>
            <a:effectLst/>
          </c:spPr>
          <c:invertIfNegative val="0"/>
          <c:cat>
            <c:strRef>
              <c:f>'DBP sept 23'!$J$3:$P$3</c:f>
              <c:strCache>
                <c:ptCount val="5"/>
                <c:pt idx="0">
                  <c:v>2020</c:v>
                </c:pt>
                <c:pt idx="1">
                  <c:v>2021</c:v>
                </c:pt>
                <c:pt idx="2">
                  <c:v>2022</c:v>
                </c:pt>
                <c:pt idx="3">
                  <c:v>2023</c:v>
                </c:pt>
                <c:pt idx="4">
                  <c:v>2024</c:v>
                </c:pt>
              </c:strCache>
              <c:extLst/>
            </c:strRef>
          </c:cat>
          <c:val>
            <c:numRef>
              <c:f>'DBP sept 23'!$J$125:$P$125</c:f>
              <c:numCache>
                <c:formatCode>0.0</c:formatCode>
                <c:ptCount val="5"/>
                <c:pt idx="0" formatCode="#,##0.0">
                  <c:v>0.4190794499272823</c:v>
                </c:pt>
                <c:pt idx="1">
                  <c:v>0.42307400406622081</c:v>
                </c:pt>
                <c:pt idx="2">
                  <c:v>6.2773647079037206E-3</c:v>
                </c:pt>
                <c:pt idx="3">
                  <c:v>0</c:v>
                </c:pt>
                <c:pt idx="4">
                  <c:v>0</c:v>
                </c:pt>
              </c:numCache>
              <c:extLst/>
            </c:numRef>
          </c:val>
          <c:extLst>
            <c:ext xmlns:c16="http://schemas.microsoft.com/office/drawing/2014/chart" uri="{C3380CC4-5D6E-409C-BE32-E72D297353CC}">
              <c16:uniqueId val="{00000004-2CE5-4FFD-96FF-84202CDCB8BD}"/>
            </c:ext>
          </c:extLst>
        </c:ser>
        <c:ser>
          <c:idx val="3"/>
          <c:order val="5"/>
          <c:tx>
            <c:strRef>
              <c:f>'DBP sept 23'!$B$126</c:f>
              <c:strCache>
                <c:ptCount val="1"/>
                <c:pt idx="0">
                  <c:v>Energetska kriza in inflacija</c:v>
                </c:pt>
              </c:strCache>
            </c:strRef>
          </c:tx>
          <c:spPr>
            <a:pattFill prst="dkUpDiag">
              <a:fgClr>
                <a:schemeClr val="accent1">
                  <a:lumMod val="75000"/>
                </a:schemeClr>
              </a:fgClr>
              <a:bgClr>
                <a:schemeClr val="bg1"/>
              </a:bgClr>
            </a:pattFill>
            <a:ln>
              <a:solidFill>
                <a:schemeClr val="bg1">
                  <a:lumMod val="50000"/>
                </a:schemeClr>
              </a:solidFill>
            </a:ln>
            <a:effectLst/>
          </c:spPr>
          <c:invertIfNegative val="0"/>
          <c:cat>
            <c:strRef>
              <c:f>'DBP sept 23'!$J$3:$P$3</c:f>
              <c:strCache>
                <c:ptCount val="5"/>
                <c:pt idx="0">
                  <c:v>2020</c:v>
                </c:pt>
                <c:pt idx="1">
                  <c:v>2021</c:v>
                </c:pt>
                <c:pt idx="2">
                  <c:v>2022</c:v>
                </c:pt>
                <c:pt idx="3">
                  <c:v>2023</c:v>
                </c:pt>
                <c:pt idx="4">
                  <c:v>2024</c:v>
                </c:pt>
              </c:strCache>
              <c:extLst/>
            </c:strRef>
          </c:cat>
          <c:val>
            <c:numRef>
              <c:f>'DBP sept 23'!$J$126:$P$126</c:f>
              <c:numCache>
                <c:formatCode>0.0</c:formatCode>
                <c:ptCount val="5"/>
                <c:pt idx="0" formatCode="#,##0.0">
                  <c:v>0</c:v>
                </c:pt>
                <c:pt idx="1">
                  <c:v>0</c:v>
                </c:pt>
                <c:pt idx="2" formatCode="0.0000">
                  <c:v>0.34031315587760369</c:v>
                </c:pt>
                <c:pt idx="3" formatCode="#,##0.0">
                  <c:v>5.8786277283006401E-2</c:v>
                </c:pt>
                <c:pt idx="4">
                  <c:v>3.2680563828854856E-2</c:v>
                </c:pt>
              </c:numCache>
              <c:extLst/>
            </c:numRef>
          </c:val>
          <c:extLst>
            <c:ext xmlns:c16="http://schemas.microsoft.com/office/drawing/2014/chart" uri="{C3380CC4-5D6E-409C-BE32-E72D297353CC}">
              <c16:uniqueId val="{00000005-2CE5-4FFD-96FF-84202CDCB8BD}"/>
            </c:ext>
          </c:extLst>
        </c:ser>
        <c:dLbls>
          <c:showLegendKey val="0"/>
          <c:showVal val="0"/>
          <c:showCatName val="0"/>
          <c:showSerName val="0"/>
          <c:showPercent val="0"/>
          <c:showBubbleSize val="0"/>
        </c:dLbls>
        <c:gapWidth val="150"/>
        <c:overlap val="100"/>
        <c:axId val="904288448"/>
        <c:axId val="475382288"/>
        <c:extLst/>
      </c:barChart>
      <c:catAx>
        <c:axId val="9042884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475382288"/>
        <c:crosses val="autoZero"/>
        <c:auto val="1"/>
        <c:lblAlgn val="ctr"/>
        <c:lblOffset val="100"/>
        <c:noMultiLvlLbl val="0"/>
      </c:catAx>
      <c:valAx>
        <c:axId val="4753822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sl-SI">
                    <a:solidFill>
                      <a:sysClr val="windowText" lastClr="000000"/>
                    </a:solidFill>
                  </a:rPr>
                  <a:t>%BDP</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042884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072136816231305"/>
          <c:y val="4.3547110055423596E-2"/>
          <c:w val="0.85502819092057936"/>
          <c:h val="0.68725070292579205"/>
        </c:manualLayout>
      </c:layout>
      <c:barChart>
        <c:barDir val="col"/>
        <c:grouping val="stacked"/>
        <c:varyColors val="0"/>
        <c:ser>
          <c:idx val="0"/>
          <c:order val="0"/>
          <c:tx>
            <c:strRef>
              <c:f>'DBP sept 23'!$C$113</c:f>
              <c:strCache>
                <c:ptCount val="1"/>
                <c:pt idx="0">
                  <c:v>Subvencije</c:v>
                </c:pt>
              </c:strCache>
            </c:strRef>
          </c:tx>
          <c:spPr>
            <a:solidFill>
              <a:schemeClr val="accent1">
                <a:lumMod val="75000"/>
              </a:schemeClr>
            </a:solidFill>
            <a:ln>
              <a:solidFill>
                <a:schemeClr val="tx1">
                  <a:lumMod val="85000"/>
                  <a:lumOff val="15000"/>
                </a:schemeClr>
              </a:solidFill>
            </a:ln>
            <a:effectLst/>
          </c:spPr>
          <c:invertIfNegative val="0"/>
          <c:cat>
            <c:strRef>
              <c:f>'DBP sept 23'!$J$3:$P$3</c:f>
              <c:strCache>
                <c:ptCount val="5"/>
                <c:pt idx="0">
                  <c:v>2020</c:v>
                </c:pt>
                <c:pt idx="1">
                  <c:v>2021</c:v>
                </c:pt>
                <c:pt idx="2">
                  <c:v>2022</c:v>
                </c:pt>
                <c:pt idx="3">
                  <c:v>2023</c:v>
                </c:pt>
                <c:pt idx="4">
                  <c:v>2024</c:v>
                </c:pt>
              </c:strCache>
            </c:strRef>
          </c:cat>
          <c:val>
            <c:numRef>
              <c:f>'DBP sept 23'!$J$113:$P$113</c:f>
              <c:numCache>
                <c:formatCode>0.00</c:formatCode>
                <c:ptCount val="5"/>
                <c:pt idx="0">
                  <c:v>0.19841106987154741</c:v>
                </c:pt>
                <c:pt idx="1">
                  <c:v>0.28866661459329668</c:v>
                </c:pt>
                <c:pt idx="2">
                  <c:v>-0.16868341996609265</c:v>
                </c:pt>
                <c:pt idx="3">
                  <c:v>0.44636736062273197</c:v>
                </c:pt>
                <c:pt idx="4">
                  <c:v>0.48152676855142712</c:v>
                </c:pt>
              </c:numCache>
            </c:numRef>
          </c:val>
          <c:extLst>
            <c:ext xmlns:c16="http://schemas.microsoft.com/office/drawing/2014/chart" uri="{C3380CC4-5D6E-409C-BE32-E72D297353CC}">
              <c16:uniqueId val="{00000000-8279-4BC1-8EC4-94433ECE6BDA}"/>
            </c:ext>
          </c:extLst>
        </c:ser>
        <c:ser>
          <c:idx val="2"/>
          <c:order val="1"/>
          <c:tx>
            <c:strRef>
              <c:f>'DBP sept 23'!$C$118</c:f>
              <c:strCache>
                <c:ptCount val="1"/>
                <c:pt idx="0">
                  <c:v>Bruto investicije</c:v>
                </c:pt>
              </c:strCache>
            </c:strRef>
          </c:tx>
          <c:spPr>
            <a:solidFill>
              <a:schemeClr val="accent1">
                <a:lumMod val="60000"/>
                <a:lumOff val="40000"/>
              </a:schemeClr>
            </a:solidFill>
            <a:ln>
              <a:solidFill>
                <a:schemeClr val="tx1">
                  <a:lumMod val="85000"/>
                  <a:lumOff val="15000"/>
                </a:schemeClr>
              </a:solidFill>
            </a:ln>
            <a:effectLst/>
          </c:spPr>
          <c:invertIfNegative val="0"/>
          <c:cat>
            <c:strRef>
              <c:f>'DBP sept 23'!$J$3:$P$3</c:f>
              <c:strCache>
                <c:ptCount val="5"/>
                <c:pt idx="0">
                  <c:v>2020</c:v>
                </c:pt>
                <c:pt idx="1">
                  <c:v>2021</c:v>
                </c:pt>
                <c:pt idx="2">
                  <c:v>2022</c:v>
                </c:pt>
                <c:pt idx="3">
                  <c:v>2023</c:v>
                </c:pt>
                <c:pt idx="4">
                  <c:v>2024</c:v>
                </c:pt>
              </c:strCache>
            </c:strRef>
          </c:cat>
          <c:val>
            <c:numRef>
              <c:f>'DBP sept 23'!$J$118:$P$118</c:f>
              <c:numCache>
                <c:formatCode>0.00</c:formatCode>
                <c:ptCount val="5"/>
                <c:pt idx="0">
                  <c:v>0.10758203590612279</c:v>
                </c:pt>
                <c:pt idx="1">
                  <c:v>0.79432214626196529</c:v>
                </c:pt>
                <c:pt idx="2">
                  <c:v>1.9411941963473283</c:v>
                </c:pt>
                <c:pt idx="3">
                  <c:v>3.0509790581872993</c:v>
                </c:pt>
                <c:pt idx="4">
                  <c:v>2.6404859500796047</c:v>
                </c:pt>
              </c:numCache>
            </c:numRef>
          </c:val>
          <c:extLst>
            <c:ext xmlns:c16="http://schemas.microsoft.com/office/drawing/2014/chart" uri="{C3380CC4-5D6E-409C-BE32-E72D297353CC}">
              <c16:uniqueId val="{00000001-8279-4BC1-8EC4-94433ECE6BDA}"/>
            </c:ext>
          </c:extLst>
        </c:ser>
        <c:ser>
          <c:idx val="3"/>
          <c:order val="2"/>
          <c:tx>
            <c:strRef>
              <c:f>'DBP sept 23'!$C$121</c:f>
              <c:strCache>
                <c:ptCount val="1"/>
                <c:pt idx="0">
                  <c:v>Ostali kapitalski transferi</c:v>
                </c:pt>
              </c:strCache>
            </c:strRef>
          </c:tx>
          <c:spPr>
            <a:solidFill>
              <a:schemeClr val="bg1">
                <a:lumMod val="50000"/>
              </a:schemeClr>
            </a:solidFill>
            <a:ln>
              <a:solidFill>
                <a:schemeClr val="tx1">
                  <a:lumMod val="85000"/>
                  <a:lumOff val="15000"/>
                </a:schemeClr>
              </a:solidFill>
            </a:ln>
            <a:effectLst/>
          </c:spPr>
          <c:invertIfNegative val="0"/>
          <c:cat>
            <c:strRef>
              <c:f>'DBP sept 23'!$J$3:$P$3</c:f>
              <c:strCache>
                <c:ptCount val="5"/>
                <c:pt idx="0">
                  <c:v>2020</c:v>
                </c:pt>
                <c:pt idx="1">
                  <c:v>2021</c:v>
                </c:pt>
                <c:pt idx="2">
                  <c:v>2022</c:v>
                </c:pt>
                <c:pt idx="3">
                  <c:v>2023</c:v>
                </c:pt>
                <c:pt idx="4">
                  <c:v>2024</c:v>
                </c:pt>
              </c:strCache>
            </c:strRef>
          </c:cat>
          <c:val>
            <c:numRef>
              <c:f>'DBP sept 23'!$J$121:$P$121</c:f>
              <c:numCache>
                <c:formatCode>0.00</c:formatCode>
                <c:ptCount val="5"/>
                <c:pt idx="0">
                  <c:v>1.7933924825007601E-2</c:v>
                </c:pt>
                <c:pt idx="1">
                  <c:v>9.1524317696657156E-2</c:v>
                </c:pt>
                <c:pt idx="2">
                  <c:v>9.530989830904664E-2</c:v>
                </c:pt>
                <c:pt idx="3">
                  <c:v>0.32277228059253993</c:v>
                </c:pt>
                <c:pt idx="4">
                  <c:v>0.28533867165391874</c:v>
                </c:pt>
              </c:numCache>
            </c:numRef>
          </c:val>
          <c:extLst>
            <c:ext xmlns:c16="http://schemas.microsoft.com/office/drawing/2014/chart" uri="{C3380CC4-5D6E-409C-BE32-E72D297353CC}">
              <c16:uniqueId val="{00000002-8279-4BC1-8EC4-94433ECE6BDA}"/>
            </c:ext>
          </c:extLst>
        </c:ser>
        <c:ser>
          <c:idx val="1"/>
          <c:order val="3"/>
          <c:tx>
            <c:strRef>
              <c:f>'DBP sept 23'!$C$109</c:f>
              <c:strCache>
                <c:ptCount val="1"/>
                <c:pt idx="0">
                  <c:v>COVID-19</c:v>
                </c:pt>
              </c:strCache>
            </c:strRef>
          </c:tx>
          <c:spPr>
            <a:pattFill prst="wdUpDiag">
              <a:fgClr>
                <a:schemeClr val="accent1">
                  <a:lumMod val="60000"/>
                  <a:lumOff val="40000"/>
                </a:schemeClr>
              </a:fgClr>
              <a:bgClr>
                <a:schemeClr val="bg1"/>
              </a:bgClr>
            </a:pattFill>
            <a:ln>
              <a:solidFill>
                <a:schemeClr val="accent1"/>
              </a:solidFill>
            </a:ln>
            <a:effectLst/>
          </c:spPr>
          <c:invertIfNegative val="0"/>
          <c:cat>
            <c:strRef>
              <c:f>'DBP sept 23'!$J$3:$P$3</c:f>
              <c:strCache>
                <c:ptCount val="5"/>
                <c:pt idx="0">
                  <c:v>2020</c:v>
                </c:pt>
                <c:pt idx="1">
                  <c:v>2021</c:v>
                </c:pt>
                <c:pt idx="2">
                  <c:v>2022</c:v>
                </c:pt>
                <c:pt idx="3">
                  <c:v>2023</c:v>
                </c:pt>
                <c:pt idx="4">
                  <c:v>2024</c:v>
                </c:pt>
              </c:strCache>
            </c:strRef>
          </c:cat>
          <c:val>
            <c:numRef>
              <c:f>'DBP sept 23'!$J$109:$P$109</c:f>
              <c:numCache>
                <c:formatCode>0.00</c:formatCode>
                <c:ptCount val="5"/>
                <c:pt idx="0">
                  <c:v>2.8508736789322549</c:v>
                </c:pt>
                <c:pt idx="1">
                  <c:v>1.374328540861687</c:v>
                </c:pt>
                <c:pt idx="2">
                  <c:v>0.30035559249408722</c:v>
                </c:pt>
                <c:pt idx="3">
                  <c:v>0.14583770848155297</c:v>
                </c:pt>
                <c:pt idx="4">
                  <c:v>0</c:v>
                </c:pt>
              </c:numCache>
            </c:numRef>
          </c:val>
          <c:extLst>
            <c:ext xmlns:c16="http://schemas.microsoft.com/office/drawing/2014/chart" uri="{C3380CC4-5D6E-409C-BE32-E72D297353CC}">
              <c16:uniqueId val="{00000003-8279-4BC1-8EC4-94433ECE6BDA}"/>
            </c:ext>
          </c:extLst>
        </c:ser>
        <c:ser>
          <c:idx val="4"/>
          <c:order val="4"/>
          <c:tx>
            <c:strRef>
              <c:f>'DBP sept 23'!$C$110</c:f>
              <c:strCache>
                <c:ptCount val="1"/>
                <c:pt idx="0">
                  <c:v>Energetska kriza in inflacija</c:v>
                </c:pt>
              </c:strCache>
            </c:strRef>
          </c:tx>
          <c:spPr>
            <a:pattFill prst="dkUpDiag">
              <a:fgClr>
                <a:schemeClr val="tx2">
                  <a:lumMod val="60000"/>
                  <a:lumOff val="40000"/>
                </a:schemeClr>
              </a:fgClr>
              <a:bgClr>
                <a:schemeClr val="bg1"/>
              </a:bgClr>
            </a:pattFill>
            <a:ln>
              <a:solidFill>
                <a:schemeClr val="accent1">
                  <a:lumMod val="75000"/>
                </a:schemeClr>
              </a:solidFill>
            </a:ln>
            <a:effectLst/>
          </c:spPr>
          <c:invertIfNegative val="0"/>
          <c:cat>
            <c:strRef>
              <c:f>'DBP sept 23'!$J$3:$P$3</c:f>
              <c:strCache>
                <c:ptCount val="5"/>
                <c:pt idx="0">
                  <c:v>2020</c:v>
                </c:pt>
                <c:pt idx="1">
                  <c:v>2021</c:v>
                </c:pt>
                <c:pt idx="2">
                  <c:v>2022</c:v>
                </c:pt>
                <c:pt idx="3">
                  <c:v>2023</c:v>
                </c:pt>
                <c:pt idx="4">
                  <c:v>2024</c:v>
                </c:pt>
              </c:strCache>
            </c:strRef>
          </c:cat>
          <c:val>
            <c:numRef>
              <c:f>'DBP sept 23'!$J$110:$P$110</c:f>
              <c:numCache>
                <c:formatCode>0.00</c:formatCode>
                <c:ptCount val="5"/>
                <c:pt idx="0">
                  <c:v>0</c:v>
                </c:pt>
                <c:pt idx="1">
                  <c:v>0</c:v>
                </c:pt>
                <c:pt idx="2">
                  <c:v>0.3534703319734141</c:v>
                </c:pt>
                <c:pt idx="3">
                  <c:v>0.75419226136103823</c:v>
                </c:pt>
                <c:pt idx="4">
                  <c:v>0</c:v>
                </c:pt>
              </c:numCache>
            </c:numRef>
          </c:val>
          <c:extLst>
            <c:ext xmlns:c16="http://schemas.microsoft.com/office/drawing/2014/chart" uri="{C3380CC4-5D6E-409C-BE32-E72D297353CC}">
              <c16:uniqueId val="{00000004-8279-4BC1-8EC4-94433ECE6BDA}"/>
            </c:ext>
          </c:extLst>
        </c:ser>
        <c:ser>
          <c:idx val="5"/>
          <c:order val="5"/>
          <c:tx>
            <c:strRef>
              <c:f>'DBP sept 23'!$C$111</c:f>
              <c:strCache>
                <c:ptCount val="1"/>
                <c:pt idx="0">
                  <c:v>RRF</c:v>
                </c:pt>
              </c:strCache>
            </c:strRef>
          </c:tx>
          <c:spPr>
            <a:pattFill prst="wdUpDiag">
              <a:fgClr>
                <a:schemeClr val="tx1">
                  <a:lumMod val="95000"/>
                  <a:lumOff val="5000"/>
                </a:schemeClr>
              </a:fgClr>
              <a:bgClr>
                <a:schemeClr val="bg1"/>
              </a:bgClr>
            </a:pattFill>
            <a:ln>
              <a:solidFill>
                <a:schemeClr val="accent1">
                  <a:lumMod val="75000"/>
                </a:schemeClr>
              </a:solidFill>
            </a:ln>
            <a:effectLst/>
          </c:spPr>
          <c:invertIfNegative val="0"/>
          <c:cat>
            <c:strRef>
              <c:f>'DBP sept 23'!$J$3:$P$3</c:f>
              <c:strCache>
                <c:ptCount val="5"/>
                <c:pt idx="0">
                  <c:v>2020</c:v>
                </c:pt>
                <c:pt idx="1">
                  <c:v>2021</c:v>
                </c:pt>
                <c:pt idx="2">
                  <c:v>2022</c:v>
                </c:pt>
                <c:pt idx="3">
                  <c:v>2023</c:v>
                </c:pt>
                <c:pt idx="4">
                  <c:v>2024</c:v>
                </c:pt>
              </c:strCache>
            </c:strRef>
          </c:cat>
          <c:val>
            <c:numRef>
              <c:f>'DBP sept 23'!$J$111:$P$111</c:f>
              <c:numCache>
                <c:formatCode>0.00</c:formatCode>
                <c:ptCount val="5"/>
                <c:pt idx="0">
                  <c:v>0</c:v>
                </c:pt>
                <c:pt idx="1">
                  <c:v>0.2124092320405212</c:v>
                </c:pt>
                <c:pt idx="2">
                  <c:v>0.1110727502862142</c:v>
                </c:pt>
                <c:pt idx="3">
                  <c:v>0.1941873888444583</c:v>
                </c:pt>
                <c:pt idx="4">
                  <c:v>0.38587366720446009</c:v>
                </c:pt>
              </c:numCache>
            </c:numRef>
          </c:val>
          <c:extLst>
            <c:ext xmlns:c16="http://schemas.microsoft.com/office/drawing/2014/chart" uri="{C3380CC4-5D6E-409C-BE32-E72D297353CC}">
              <c16:uniqueId val="{00000005-8279-4BC1-8EC4-94433ECE6BDA}"/>
            </c:ext>
          </c:extLst>
        </c:ser>
        <c:ser>
          <c:idx val="6"/>
          <c:order val="6"/>
          <c:tx>
            <c:strRef>
              <c:f>'DBP sept 23'!$C$117</c:f>
              <c:strCache>
                <c:ptCount val="1"/>
                <c:pt idx="0">
                  <c:v>Odprava posledic poplav in zemeljskih plazov </c:v>
                </c:pt>
              </c:strCache>
            </c:strRef>
          </c:tx>
          <c:spPr>
            <a:pattFill prst="zigZag">
              <a:fgClr>
                <a:schemeClr val="accent1"/>
              </a:fgClr>
              <a:bgClr>
                <a:schemeClr val="bg1"/>
              </a:bgClr>
            </a:pattFill>
            <a:ln>
              <a:solidFill>
                <a:schemeClr val="accent1"/>
              </a:solidFill>
            </a:ln>
            <a:effectLst/>
          </c:spPr>
          <c:invertIfNegative val="0"/>
          <c:cat>
            <c:strLit>
              <c:ptCount val="5"/>
              <c:pt idx="0">
                <c:v>2020</c:v>
              </c:pt>
              <c:pt idx="1">
                <c:v>2021</c:v>
              </c:pt>
              <c:pt idx="2">
                <c:v>2022</c:v>
              </c:pt>
              <c:pt idx="3">
                <c:v>2023</c:v>
              </c:pt>
              <c:pt idx="4">
                <c:v>2024</c:v>
              </c:pt>
              <c:extLst>
                <c:ext xmlns:c15="http://schemas.microsoft.com/office/drawing/2012/chart" uri="{02D57815-91ED-43cb-92C2-25804820EDAC}">
                  <c15:autoCat val="1"/>
                </c:ext>
              </c:extLst>
            </c:strLit>
          </c:cat>
          <c:val>
            <c:numRef>
              <c:f>'DBP sept 23'!$J$112:$P$112</c:f>
              <c:numCache>
                <c:formatCode>0.00</c:formatCode>
                <c:ptCount val="5"/>
                <c:pt idx="0">
                  <c:v>0</c:v>
                </c:pt>
                <c:pt idx="1">
                  <c:v>0</c:v>
                </c:pt>
                <c:pt idx="2">
                  <c:v>0</c:v>
                </c:pt>
                <c:pt idx="3">
                  <c:v>0.81020679978910448</c:v>
                </c:pt>
                <c:pt idx="4">
                  <c:v>0.98784431573583997</c:v>
                </c:pt>
              </c:numCache>
            </c:numRef>
          </c:val>
          <c:extLst>
            <c:ext xmlns:c16="http://schemas.microsoft.com/office/drawing/2014/chart" uri="{C3380CC4-5D6E-409C-BE32-E72D297353CC}">
              <c16:uniqueId val="{00000006-8279-4BC1-8EC4-94433ECE6BDA}"/>
            </c:ext>
          </c:extLst>
        </c:ser>
        <c:dLbls>
          <c:showLegendKey val="0"/>
          <c:showVal val="0"/>
          <c:showCatName val="0"/>
          <c:showSerName val="0"/>
          <c:showPercent val="0"/>
          <c:showBubbleSize val="0"/>
        </c:dLbls>
        <c:gapWidth val="150"/>
        <c:overlap val="100"/>
        <c:axId val="889529232"/>
        <c:axId val="889530064"/>
      </c:barChart>
      <c:catAx>
        <c:axId val="8895292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89530064"/>
        <c:crosses val="autoZero"/>
        <c:auto val="1"/>
        <c:lblAlgn val="ctr"/>
        <c:lblOffset val="100"/>
        <c:noMultiLvlLbl val="0"/>
      </c:catAx>
      <c:valAx>
        <c:axId val="8895300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sl-SI"/>
                  <a:t>% BDP</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89529232"/>
        <c:crosses val="autoZero"/>
        <c:crossBetween val="between"/>
      </c:valAx>
      <c:spPr>
        <a:noFill/>
        <a:ln>
          <a:noFill/>
        </a:ln>
        <a:effectLst/>
      </c:spPr>
    </c:plotArea>
    <c:legend>
      <c:legendPos val="b"/>
      <c:layout>
        <c:manualLayout>
          <c:xMode val="edge"/>
          <c:yMode val="edge"/>
          <c:x val="8.8354407088002879E-2"/>
          <c:y val="0.76642726666292593"/>
          <c:w val="0.8012453304448055"/>
          <c:h val="0.2098197642159338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776423780360788"/>
          <c:y val="0.10372456060793447"/>
          <c:w val="0.50984946326153679"/>
          <c:h val="0.7983985378791002"/>
        </c:manualLayout>
      </c:layout>
      <c:barChart>
        <c:barDir val="col"/>
        <c:grouping val="stacked"/>
        <c:varyColors val="0"/>
        <c:ser>
          <c:idx val="0"/>
          <c:order val="0"/>
          <c:tx>
            <c:strRef>
              <c:f>nominala!$A$66</c:f>
              <c:strCache>
                <c:ptCount val="1"/>
                <c:pt idx="0">
                  <c:v>Ostali ukrepi (pomoč javnemu sektorju: vrtci, dijaški domovi, gasilci, športne organizacije idr.)</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cat>
            <c:numRef>
              <c:f>nominala!$B$65:$I$65</c:f>
              <c:numCache>
                <c:formatCode>General</c:formatCode>
                <c:ptCount val="4"/>
                <c:pt idx="0">
                  <c:v>2020</c:v>
                </c:pt>
                <c:pt idx="1">
                  <c:v>2021</c:v>
                </c:pt>
                <c:pt idx="2">
                  <c:v>2022</c:v>
                </c:pt>
                <c:pt idx="3">
                  <c:v>2023</c:v>
                </c:pt>
              </c:numCache>
            </c:numRef>
          </c:cat>
          <c:val>
            <c:numRef>
              <c:f>nominala!$B$66:$I$66</c:f>
              <c:numCache>
                <c:formatCode>#,##0.0</c:formatCode>
                <c:ptCount val="4"/>
                <c:pt idx="0">
                  <c:v>0.13497347242740446</c:v>
                </c:pt>
                <c:pt idx="1">
                  <c:v>0.1386873427852208</c:v>
                </c:pt>
                <c:pt idx="2">
                  <c:v>6.2338460211404031E-2</c:v>
                </c:pt>
                <c:pt idx="3">
                  <c:v>9.6525500912773662E-2</c:v>
                </c:pt>
              </c:numCache>
            </c:numRef>
          </c:val>
          <c:extLst>
            <c:ext xmlns:c16="http://schemas.microsoft.com/office/drawing/2014/chart" uri="{C3380CC4-5D6E-409C-BE32-E72D297353CC}">
              <c16:uniqueId val="{00000000-8684-447C-B458-608207F963FA}"/>
            </c:ext>
          </c:extLst>
        </c:ser>
        <c:ser>
          <c:idx val="1"/>
          <c:order val="1"/>
          <c:tx>
            <c:strRef>
              <c:f>nominala!$A$67</c:f>
              <c:strCache>
                <c:ptCount val="1"/>
                <c:pt idx="0">
                  <c:v>Ukrepi gospodarstva, turizma in kmetijstva</c:v>
                </c:pt>
              </c:strCache>
            </c:strRef>
          </c:tx>
          <c:spPr>
            <a:pattFill prst="narHorz">
              <a:fgClr>
                <a:schemeClr val="accent3"/>
              </a:fgClr>
              <a:bgClr>
                <a:schemeClr val="accent3">
                  <a:lumMod val="20000"/>
                  <a:lumOff val="80000"/>
                </a:schemeClr>
              </a:bgClr>
            </a:pattFill>
            <a:ln>
              <a:noFill/>
            </a:ln>
            <a:effectLst>
              <a:innerShdw blurRad="114300">
                <a:schemeClr val="accent3"/>
              </a:innerShdw>
            </a:effectLst>
          </c:spPr>
          <c:invertIfNegative val="0"/>
          <c:cat>
            <c:numRef>
              <c:f>nominala!$B$65:$I$65</c:f>
              <c:numCache>
                <c:formatCode>General</c:formatCode>
                <c:ptCount val="4"/>
                <c:pt idx="0">
                  <c:v>2020</c:v>
                </c:pt>
                <c:pt idx="1">
                  <c:v>2021</c:v>
                </c:pt>
                <c:pt idx="2">
                  <c:v>2022</c:v>
                </c:pt>
                <c:pt idx="3">
                  <c:v>2023</c:v>
                </c:pt>
              </c:numCache>
            </c:numRef>
          </c:cat>
          <c:val>
            <c:numRef>
              <c:f>nominala!$B$67:$I$67</c:f>
              <c:numCache>
                <c:formatCode>#,##0.0</c:formatCode>
                <c:ptCount val="4"/>
                <c:pt idx="0">
                  <c:v>0.83260284770506487</c:v>
                </c:pt>
                <c:pt idx="1">
                  <c:v>1.046370115821327</c:v>
                </c:pt>
                <c:pt idx="2">
                  <c:v>0.24778516770486889</c:v>
                </c:pt>
                <c:pt idx="3">
                  <c:v>7.2427004378941727E-3</c:v>
                </c:pt>
              </c:numCache>
            </c:numRef>
          </c:val>
          <c:extLst>
            <c:ext xmlns:c16="http://schemas.microsoft.com/office/drawing/2014/chart" uri="{C3380CC4-5D6E-409C-BE32-E72D297353CC}">
              <c16:uniqueId val="{00000001-8684-447C-B458-608207F963FA}"/>
            </c:ext>
          </c:extLst>
        </c:ser>
        <c:ser>
          <c:idx val="2"/>
          <c:order val="2"/>
          <c:tx>
            <c:strRef>
              <c:f>nominala!$A$68</c:f>
              <c:strCache>
                <c:ptCount val="1"/>
                <c:pt idx="0">
                  <c:v>Ukrepi na področju plač in nagrajevanja</c:v>
                </c:pt>
              </c:strCache>
            </c:strRef>
          </c:tx>
          <c:spPr>
            <a:pattFill prst="narHorz">
              <a:fgClr>
                <a:schemeClr val="accent5"/>
              </a:fgClr>
              <a:bgClr>
                <a:schemeClr val="accent5">
                  <a:lumMod val="20000"/>
                  <a:lumOff val="80000"/>
                </a:schemeClr>
              </a:bgClr>
            </a:pattFill>
            <a:ln>
              <a:noFill/>
            </a:ln>
            <a:effectLst>
              <a:innerShdw blurRad="114300">
                <a:schemeClr val="accent5"/>
              </a:innerShdw>
            </a:effectLst>
          </c:spPr>
          <c:invertIfNegative val="0"/>
          <c:cat>
            <c:numRef>
              <c:f>nominala!$B$65:$I$65</c:f>
              <c:numCache>
                <c:formatCode>General</c:formatCode>
                <c:ptCount val="4"/>
                <c:pt idx="0">
                  <c:v>2020</c:v>
                </c:pt>
                <c:pt idx="1">
                  <c:v>2021</c:v>
                </c:pt>
                <c:pt idx="2">
                  <c:v>2022</c:v>
                </c:pt>
                <c:pt idx="3">
                  <c:v>2023</c:v>
                </c:pt>
              </c:numCache>
            </c:numRef>
          </c:cat>
          <c:val>
            <c:numRef>
              <c:f>nominala!$B$68:$I$68</c:f>
              <c:numCache>
                <c:formatCode>#,##0.0</c:formatCode>
                <c:ptCount val="4"/>
                <c:pt idx="0">
                  <c:v>0.64217959785226453</c:v>
                </c:pt>
                <c:pt idx="1">
                  <c:v>1.3356084260350276</c:v>
                </c:pt>
                <c:pt idx="2">
                  <c:v>3.7871753033519938E-2</c:v>
                </c:pt>
                <c:pt idx="3">
                  <c:v>2.3043510420749477E-3</c:v>
                </c:pt>
              </c:numCache>
            </c:numRef>
          </c:val>
          <c:extLst>
            <c:ext xmlns:c16="http://schemas.microsoft.com/office/drawing/2014/chart" uri="{C3380CC4-5D6E-409C-BE32-E72D297353CC}">
              <c16:uniqueId val="{00000002-8684-447C-B458-608207F963FA}"/>
            </c:ext>
          </c:extLst>
        </c:ser>
        <c:ser>
          <c:idx val="3"/>
          <c:order val="3"/>
          <c:tx>
            <c:strRef>
              <c:f>nominala!$A$69</c:f>
              <c:strCache>
                <c:ptCount val="1"/>
                <c:pt idx="0">
                  <c:v>Ukrepi na področju socialnega varstva</c:v>
                </c:pt>
              </c:strCache>
            </c:strRef>
          </c:tx>
          <c:spPr>
            <a:pattFill prst="narHorz">
              <a:fgClr>
                <a:schemeClr val="accent1">
                  <a:lumMod val="60000"/>
                </a:schemeClr>
              </a:fgClr>
              <a:bgClr>
                <a:schemeClr val="accent1">
                  <a:lumMod val="60000"/>
                  <a:lumMod val="20000"/>
                  <a:lumOff val="80000"/>
                </a:schemeClr>
              </a:bgClr>
            </a:pattFill>
            <a:ln>
              <a:noFill/>
            </a:ln>
            <a:effectLst>
              <a:innerShdw blurRad="114300">
                <a:schemeClr val="accent1">
                  <a:lumMod val="60000"/>
                </a:schemeClr>
              </a:innerShdw>
            </a:effectLst>
          </c:spPr>
          <c:invertIfNegative val="0"/>
          <c:cat>
            <c:numRef>
              <c:f>nominala!$B$65:$I$65</c:f>
              <c:numCache>
                <c:formatCode>General</c:formatCode>
                <c:ptCount val="4"/>
                <c:pt idx="0">
                  <c:v>2020</c:v>
                </c:pt>
                <c:pt idx="1">
                  <c:v>2021</c:v>
                </c:pt>
                <c:pt idx="2">
                  <c:v>2022</c:v>
                </c:pt>
                <c:pt idx="3">
                  <c:v>2023</c:v>
                </c:pt>
              </c:numCache>
            </c:numRef>
          </c:cat>
          <c:val>
            <c:numRef>
              <c:f>nominala!$B$69:$I$69</c:f>
              <c:numCache>
                <c:formatCode>#,##0.0</c:formatCode>
                <c:ptCount val="4"/>
                <c:pt idx="0">
                  <c:v>0.41515068485638185</c:v>
                </c:pt>
                <c:pt idx="1">
                  <c:v>0.1996606920969877</c:v>
                </c:pt>
                <c:pt idx="2">
                  <c:v>1.8777591680590205E-2</c:v>
                </c:pt>
                <c:pt idx="3">
                  <c:v>6.3705381454042791E-3</c:v>
                </c:pt>
              </c:numCache>
            </c:numRef>
          </c:val>
          <c:extLst>
            <c:ext xmlns:c16="http://schemas.microsoft.com/office/drawing/2014/chart" uri="{C3380CC4-5D6E-409C-BE32-E72D297353CC}">
              <c16:uniqueId val="{00000003-8684-447C-B458-608207F963FA}"/>
            </c:ext>
          </c:extLst>
        </c:ser>
        <c:ser>
          <c:idx val="4"/>
          <c:order val="4"/>
          <c:tx>
            <c:strRef>
              <c:f>nominala!$A$70</c:f>
              <c:strCache>
                <c:ptCount val="1"/>
                <c:pt idx="0">
                  <c:v>Ukrepi s področja zdravstva</c:v>
                </c:pt>
              </c:strCache>
            </c:strRef>
          </c:tx>
          <c:spPr>
            <a:pattFill prst="narHorz">
              <a:fgClr>
                <a:schemeClr val="accent3">
                  <a:lumMod val="60000"/>
                </a:schemeClr>
              </a:fgClr>
              <a:bgClr>
                <a:schemeClr val="accent3">
                  <a:lumMod val="60000"/>
                  <a:lumMod val="20000"/>
                  <a:lumOff val="80000"/>
                </a:schemeClr>
              </a:bgClr>
            </a:pattFill>
            <a:ln>
              <a:noFill/>
            </a:ln>
            <a:effectLst>
              <a:innerShdw blurRad="114300">
                <a:schemeClr val="accent3">
                  <a:lumMod val="60000"/>
                </a:schemeClr>
              </a:innerShdw>
            </a:effectLst>
          </c:spPr>
          <c:invertIfNegative val="0"/>
          <c:cat>
            <c:numRef>
              <c:f>nominala!$B$65:$I$65</c:f>
              <c:numCache>
                <c:formatCode>General</c:formatCode>
                <c:ptCount val="4"/>
                <c:pt idx="0">
                  <c:v>2020</c:v>
                </c:pt>
                <c:pt idx="1">
                  <c:v>2021</c:v>
                </c:pt>
                <c:pt idx="2">
                  <c:v>2022</c:v>
                </c:pt>
                <c:pt idx="3">
                  <c:v>2023</c:v>
                </c:pt>
              </c:numCache>
            </c:numRef>
          </c:cat>
          <c:val>
            <c:numRef>
              <c:f>nominala!$B$70:$I$70</c:f>
              <c:numCache>
                <c:formatCode>#,##0.0</c:formatCode>
                <c:ptCount val="4"/>
                <c:pt idx="0">
                  <c:v>0.66139763532285101</c:v>
                </c:pt>
                <c:pt idx="1">
                  <c:v>0.85000965203868506</c:v>
                </c:pt>
                <c:pt idx="2">
                  <c:v>0.76531688918285301</c:v>
                </c:pt>
                <c:pt idx="3">
                  <c:v>0.2633183783054065</c:v>
                </c:pt>
              </c:numCache>
            </c:numRef>
          </c:val>
          <c:extLst>
            <c:ext xmlns:c16="http://schemas.microsoft.com/office/drawing/2014/chart" uri="{C3380CC4-5D6E-409C-BE32-E72D297353CC}">
              <c16:uniqueId val="{00000004-8684-447C-B458-608207F963FA}"/>
            </c:ext>
          </c:extLst>
        </c:ser>
        <c:ser>
          <c:idx val="5"/>
          <c:order val="5"/>
          <c:tx>
            <c:strRef>
              <c:f>nominala!$A$71</c:f>
              <c:strCache>
                <c:ptCount val="1"/>
                <c:pt idx="0">
                  <c:v>Ukrepi na področju dela in prispevkov </c:v>
                </c:pt>
              </c:strCache>
            </c:strRef>
          </c:tx>
          <c:spPr>
            <a:pattFill prst="narHorz">
              <a:fgClr>
                <a:schemeClr val="accent5">
                  <a:lumMod val="60000"/>
                </a:schemeClr>
              </a:fgClr>
              <a:bgClr>
                <a:schemeClr val="accent5">
                  <a:lumMod val="60000"/>
                  <a:lumMod val="20000"/>
                  <a:lumOff val="80000"/>
                </a:schemeClr>
              </a:bgClr>
            </a:pattFill>
            <a:ln>
              <a:noFill/>
            </a:ln>
            <a:effectLst>
              <a:innerShdw blurRad="114300">
                <a:schemeClr val="accent5">
                  <a:lumMod val="60000"/>
                </a:schemeClr>
              </a:innerShdw>
            </a:effectLst>
          </c:spPr>
          <c:invertIfNegative val="0"/>
          <c:cat>
            <c:numRef>
              <c:f>nominala!$B$65:$I$65</c:f>
              <c:numCache>
                <c:formatCode>General</c:formatCode>
                <c:ptCount val="4"/>
                <c:pt idx="0">
                  <c:v>2020</c:v>
                </c:pt>
                <c:pt idx="1">
                  <c:v>2021</c:v>
                </c:pt>
                <c:pt idx="2">
                  <c:v>2022</c:v>
                </c:pt>
                <c:pt idx="3">
                  <c:v>2023</c:v>
                </c:pt>
              </c:numCache>
            </c:numRef>
          </c:cat>
          <c:val>
            <c:numRef>
              <c:f>nominala!$B$71:$I$71</c:f>
              <c:numCache>
                <c:formatCode>#,##0.0</c:formatCode>
                <c:ptCount val="4"/>
                <c:pt idx="0">
                  <c:v>2.5199372687769346</c:v>
                </c:pt>
                <c:pt idx="1">
                  <c:v>0.95048455314156299</c:v>
                </c:pt>
                <c:pt idx="2">
                  <c:v>7.808219225179136E-2</c:v>
                </c:pt>
                <c:pt idx="3">
                  <c:v>3.7628344145519861E-2</c:v>
                </c:pt>
              </c:numCache>
            </c:numRef>
          </c:val>
          <c:extLst>
            <c:ext xmlns:c16="http://schemas.microsoft.com/office/drawing/2014/chart" uri="{C3380CC4-5D6E-409C-BE32-E72D297353CC}">
              <c16:uniqueId val="{00000005-8684-447C-B458-608207F963FA}"/>
            </c:ext>
          </c:extLst>
        </c:ser>
        <c:dLbls>
          <c:showLegendKey val="0"/>
          <c:showVal val="0"/>
          <c:showCatName val="0"/>
          <c:showSerName val="0"/>
          <c:showPercent val="0"/>
          <c:showBubbleSize val="0"/>
        </c:dLbls>
        <c:gapWidth val="150"/>
        <c:overlap val="100"/>
        <c:axId val="494678272"/>
        <c:axId val="494678600"/>
      </c:barChart>
      <c:catAx>
        <c:axId val="494678272"/>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494678600"/>
        <c:crosses val="autoZero"/>
        <c:auto val="1"/>
        <c:lblAlgn val="ctr"/>
        <c:lblOffset val="100"/>
        <c:noMultiLvlLbl val="0"/>
      </c:catAx>
      <c:valAx>
        <c:axId val="494678600"/>
        <c:scaling>
          <c:orientation val="minMax"/>
        </c:scaling>
        <c:delete val="0"/>
        <c:axPos val="l"/>
        <c:majorGridlines>
          <c:spPr>
            <a:ln>
              <a:solidFill>
                <a:schemeClr val="tx1">
                  <a:lumMod val="15000"/>
                  <a:lumOff val="85000"/>
                </a:schemeClr>
              </a:solidFill>
            </a:ln>
            <a:effectLst/>
          </c:spPr>
        </c:majorGridlines>
        <c:title>
          <c:tx>
            <c:rich>
              <a:bodyPr rot="-5400000" spcFirstLastPara="1" vertOverflow="ellipsis" vert="horz" wrap="square" anchor="ctr" anchorCtr="1"/>
              <a:lstStyle/>
              <a:p>
                <a:pPr>
                  <a:defRPr sz="9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sl-SI"/>
                  <a:t>% BDP</a:t>
                </a:r>
              </a:p>
            </c:rich>
          </c:tx>
          <c:layout>
            <c:manualLayout>
              <c:xMode val="edge"/>
              <c:yMode val="edge"/>
              <c:x val="1.662379008179533E-2"/>
              <c:y val="0.43041068069451149"/>
            </c:manualLayout>
          </c:layout>
          <c:overlay val="0"/>
          <c:spPr>
            <a:noFill/>
            <a:ln>
              <a:noFill/>
            </a:ln>
            <a:effectLst/>
          </c:spPr>
          <c:txPr>
            <a:bodyPr rot="-5400000" spcFirstLastPara="1" vertOverflow="ellipsis" vert="horz" wrap="square" anchor="ctr" anchorCtr="1"/>
            <a:lstStyle/>
            <a:p>
              <a:pPr>
                <a:defRPr sz="9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494678272"/>
        <c:crosses val="autoZero"/>
        <c:crossBetween val="between"/>
      </c:valAx>
      <c:spPr>
        <a:noFill/>
        <a:ln>
          <a:noFill/>
        </a:ln>
        <a:effectLst/>
      </c:spPr>
    </c:plotArea>
    <c:legend>
      <c:legendPos val="t"/>
      <c:layout>
        <c:manualLayout>
          <c:xMode val="edge"/>
          <c:yMode val="edge"/>
          <c:x val="0.67158292150418153"/>
          <c:y val="0.13203583845213068"/>
          <c:w val="0.32550266802235306"/>
          <c:h val="0.7678432037240779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Arial" panose="020B0604020202020204" pitchFamily="34" charset="0"/>
          <a:cs typeface="Arial" panose="020B0604020202020204" pitchFamily="34" charset="0"/>
        </a:defRPr>
      </a:pPr>
      <a:endParaRPr lang="en-U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750124588856773E-2"/>
          <c:y val="5.2814944586694383E-2"/>
          <c:w val="0.87472627532932801"/>
          <c:h val="0.78897699191109882"/>
        </c:manualLayout>
      </c:layout>
      <c:areaChart>
        <c:grouping val="stacked"/>
        <c:varyColors val="0"/>
        <c:ser>
          <c:idx val="1"/>
          <c:order val="1"/>
          <c:tx>
            <c:strRef>
              <c:f>fanchart!$A$3</c:f>
              <c:strCache>
                <c:ptCount val="1"/>
                <c:pt idx="0">
                  <c:v>Min</c:v>
                </c:pt>
              </c:strCache>
            </c:strRef>
          </c:tx>
          <c:spPr>
            <a:noFill/>
            <a:ln>
              <a:noFill/>
            </a:ln>
            <a:effectLst/>
          </c:spPr>
          <c:cat>
            <c:numRef>
              <c:f>fanchart!$W$1:$Y$1</c:f>
              <c:numCache>
                <c:formatCode>General</c:formatCode>
                <c:ptCount val="3"/>
                <c:pt idx="0">
                  <c:v>2022</c:v>
                </c:pt>
                <c:pt idx="1">
                  <c:v>2023</c:v>
                </c:pt>
                <c:pt idx="2">
                  <c:v>2024</c:v>
                </c:pt>
              </c:numCache>
              <c:extLst/>
            </c:numRef>
          </c:cat>
          <c:val>
            <c:numRef>
              <c:f>fanchart!$V$3:$Y$3</c:f>
              <c:numCache>
                <c:formatCode>0</c:formatCode>
                <c:ptCount val="4"/>
                <c:pt idx="0">
                  <c:v>100</c:v>
                </c:pt>
                <c:pt idx="1">
                  <c:v>100</c:v>
                </c:pt>
                <c:pt idx="2">
                  <c:v>98.815760969291262</c:v>
                </c:pt>
                <c:pt idx="3">
                  <c:v>97.653191275018472</c:v>
                </c:pt>
              </c:numCache>
              <c:extLst/>
            </c:numRef>
          </c:val>
          <c:extLst>
            <c:ext xmlns:c16="http://schemas.microsoft.com/office/drawing/2014/chart" uri="{C3380CC4-5D6E-409C-BE32-E72D297353CC}">
              <c16:uniqueId val="{00000000-F14B-4245-A5F2-1A795CDDDC4F}"/>
            </c:ext>
          </c:extLst>
        </c:ser>
        <c:ser>
          <c:idx val="2"/>
          <c:order val="2"/>
          <c:tx>
            <c:strRef>
              <c:f>fanchart!$A$4</c:f>
              <c:strCache>
                <c:ptCount val="1"/>
                <c:pt idx="0">
                  <c:v>Fan 1</c:v>
                </c:pt>
              </c:strCache>
            </c:strRef>
          </c:tx>
          <c:spPr>
            <a:solidFill>
              <a:schemeClr val="bg1">
                <a:lumMod val="85000"/>
              </a:schemeClr>
            </a:solidFill>
            <a:ln>
              <a:noFill/>
            </a:ln>
            <a:effectLst/>
          </c:spPr>
          <c:cat>
            <c:numRef>
              <c:f>fanchart!$W$1:$Y$1</c:f>
              <c:numCache>
                <c:formatCode>General</c:formatCode>
                <c:ptCount val="3"/>
                <c:pt idx="0">
                  <c:v>2022</c:v>
                </c:pt>
                <c:pt idx="1">
                  <c:v>2023</c:v>
                </c:pt>
                <c:pt idx="2">
                  <c:v>2024</c:v>
                </c:pt>
              </c:numCache>
              <c:extLst/>
            </c:numRef>
          </c:cat>
          <c:val>
            <c:numRef>
              <c:f>fanchart!$V$4:$Y$4</c:f>
              <c:numCache>
                <c:formatCode>0</c:formatCode>
                <c:ptCount val="4"/>
                <c:pt idx="0">
                  <c:v>0</c:v>
                </c:pt>
                <c:pt idx="1">
                  <c:v>0</c:v>
                </c:pt>
                <c:pt idx="2">
                  <c:v>0.29826514459568187</c:v>
                </c:pt>
                <c:pt idx="3">
                  <c:v>0.60081502783488894</c:v>
                </c:pt>
              </c:numCache>
              <c:extLst/>
            </c:numRef>
          </c:val>
          <c:extLst>
            <c:ext xmlns:c16="http://schemas.microsoft.com/office/drawing/2014/chart" uri="{C3380CC4-5D6E-409C-BE32-E72D297353CC}">
              <c16:uniqueId val="{00000001-F14B-4245-A5F2-1A795CDDDC4F}"/>
            </c:ext>
          </c:extLst>
        </c:ser>
        <c:ser>
          <c:idx val="3"/>
          <c:order val="3"/>
          <c:tx>
            <c:strRef>
              <c:f>fanchart!$A$5</c:f>
              <c:strCache>
                <c:ptCount val="1"/>
                <c:pt idx="0">
                  <c:v>Fan 2</c:v>
                </c:pt>
              </c:strCache>
            </c:strRef>
          </c:tx>
          <c:spPr>
            <a:solidFill>
              <a:schemeClr val="bg1">
                <a:lumMod val="75000"/>
              </a:schemeClr>
            </a:solidFill>
            <a:ln>
              <a:noFill/>
            </a:ln>
            <a:effectLst/>
          </c:spPr>
          <c:cat>
            <c:numRef>
              <c:f>fanchart!$W$1:$Y$1</c:f>
              <c:numCache>
                <c:formatCode>General</c:formatCode>
                <c:ptCount val="3"/>
                <c:pt idx="0">
                  <c:v>2022</c:v>
                </c:pt>
                <c:pt idx="1">
                  <c:v>2023</c:v>
                </c:pt>
                <c:pt idx="2">
                  <c:v>2024</c:v>
                </c:pt>
              </c:numCache>
              <c:extLst/>
            </c:numRef>
          </c:cat>
          <c:val>
            <c:numRef>
              <c:f>fanchart!$V$5:$Y$5</c:f>
              <c:numCache>
                <c:formatCode>0</c:formatCode>
                <c:ptCount val="4"/>
                <c:pt idx="0">
                  <c:v>0</c:v>
                </c:pt>
                <c:pt idx="1">
                  <c:v>0</c:v>
                </c:pt>
                <c:pt idx="2">
                  <c:v>0.29826514459568187</c:v>
                </c:pt>
                <c:pt idx="3">
                  <c:v>0.60081502783488894</c:v>
                </c:pt>
              </c:numCache>
              <c:extLst/>
            </c:numRef>
          </c:val>
          <c:extLst>
            <c:ext xmlns:c16="http://schemas.microsoft.com/office/drawing/2014/chart" uri="{C3380CC4-5D6E-409C-BE32-E72D297353CC}">
              <c16:uniqueId val="{00000002-F14B-4245-A5F2-1A795CDDDC4F}"/>
            </c:ext>
          </c:extLst>
        </c:ser>
        <c:ser>
          <c:idx val="4"/>
          <c:order val="4"/>
          <c:tx>
            <c:strRef>
              <c:f>fanchart!$A$6</c:f>
              <c:strCache>
                <c:ptCount val="1"/>
                <c:pt idx="0">
                  <c:v>Fan 3</c:v>
                </c:pt>
              </c:strCache>
            </c:strRef>
          </c:tx>
          <c:spPr>
            <a:solidFill>
              <a:schemeClr val="bg1">
                <a:lumMod val="65000"/>
              </a:schemeClr>
            </a:solidFill>
            <a:ln>
              <a:noFill/>
            </a:ln>
            <a:effectLst/>
          </c:spPr>
          <c:cat>
            <c:numRef>
              <c:f>fanchart!$W$1:$Y$1</c:f>
              <c:numCache>
                <c:formatCode>General</c:formatCode>
                <c:ptCount val="3"/>
                <c:pt idx="0">
                  <c:v>2022</c:v>
                </c:pt>
                <c:pt idx="1">
                  <c:v>2023</c:v>
                </c:pt>
                <c:pt idx="2">
                  <c:v>2024</c:v>
                </c:pt>
              </c:numCache>
              <c:extLst/>
            </c:numRef>
          </c:cat>
          <c:val>
            <c:numRef>
              <c:f>fanchart!$V$6:$Y$6</c:f>
              <c:numCache>
                <c:formatCode>0</c:formatCode>
                <c:ptCount val="4"/>
                <c:pt idx="0">
                  <c:v>0</c:v>
                </c:pt>
                <c:pt idx="1">
                  <c:v>0</c:v>
                </c:pt>
                <c:pt idx="2">
                  <c:v>0.29826514459568187</c:v>
                </c:pt>
                <c:pt idx="3">
                  <c:v>0.60081502783488894</c:v>
                </c:pt>
              </c:numCache>
              <c:extLst/>
            </c:numRef>
          </c:val>
          <c:extLst>
            <c:ext xmlns:c16="http://schemas.microsoft.com/office/drawing/2014/chart" uri="{C3380CC4-5D6E-409C-BE32-E72D297353CC}">
              <c16:uniqueId val="{00000003-F14B-4245-A5F2-1A795CDDDC4F}"/>
            </c:ext>
          </c:extLst>
        </c:ser>
        <c:ser>
          <c:idx val="5"/>
          <c:order val="5"/>
          <c:tx>
            <c:strRef>
              <c:f>fanchart!$A$7</c:f>
              <c:strCache>
                <c:ptCount val="1"/>
                <c:pt idx="0">
                  <c:v>Fan 4</c:v>
                </c:pt>
              </c:strCache>
            </c:strRef>
          </c:tx>
          <c:spPr>
            <a:solidFill>
              <a:schemeClr val="bg1">
                <a:lumMod val="50000"/>
              </a:schemeClr>
            </a:solidFill>
            <a:ln>
              <a:noFill/>
            </a:ln>
            <a:effectLst/>
          </c:spPr>
          <c:cat>
            <c:numRef>
              <c:f>fanchart!$W$1:$Y$1</c:f>
              <c:numCache>
                <c:formatCode>General</c:formatCode>
                <c:ptCount val="3"/>
                <c:pt idx="0">
                  <c:v>2022</c:v>
                </c:pt>
                <c:pt idx="1">
                  <c:v>2023</c:v>
                </c:pt>
                <c:pt idx="2">
                  <c:v>2024</c:v>
                </c:pt>
              </c:numCache>
              <c:extLst/>
            </c:numRef>
          </c:cat>
          <c:val>
            <c:numRef>
              <c:f>fanchart!$V$7:$Y$7</c:f>
              <c:numCache>
                <c:formatCode>0</c:formatCode>
                <c:ptCount val="4"/>
                <c:pt idx="0">
                  <c:v>0</c:v>
                </c:pt>
                <c:pt idx="1">
                  <c:v>0</c:v>
                </c:pt>
                <c:pt idx="2">
                  <c:v>0.29826514459568187</c:v>
                </c:pt>
                <c:pt idx="3">
                  <c:v>0.60081502783488894</c:v>
                </c:pt>
              </c:numCache>
              <c:extLst/>
            </c:numRef>
          </c:val>
          <c:extLst>
            <c:ext xmlns:c16="http://schemas.microsoft.com/office/drawing/2014/chart" uri="{C3380CC4-5D6E-409C-BE32-E72D297353CC}">
              <c16:uniqueId val="{00000004-F14B-4245-A5F2-1A795CDDDC4F}"/>
            </c:ext>
          </c:extLst>
        </c:ser>
        <c:ser>
          <c:idx val="6"/>
          <c:order val="6"/>
          <c:tx>
            <c:strRef>
              <c:f>fanchart!$A$8</c:f>
              <c:strCache>
                <c:ptCount val="1"/>
                <c:pt idx="0">
                  <c:v>Fan 5</c:v>
                </c:pt>
              </c:strCache>
            </c:strRef>
          </c:tx>
          <c:spPr>
            <a:solidFill>
              <a:schemeClr val="bg1">
                <a:lumMod val="50000"/>
              </a:schemeClr>
            </a:solidFill>
            <a:ln>
              <a:noFill/>
            </a:ln>
            <a:effectLst/>
          </c:spPr>
          <c:cat>
            <c:numRef>
              <c:f>fanchart!$W$1:$Y$1</c:f>
              <c:numCache>
                <c:formatCode>General</c:formatCode>
                <c:ptCount val="3"/>
                <c:pt idx="0">
                  <c:v>2022</c:v>
                </c:pt>
                <c:pt idx="1">
                  <c:v>2023</c:v>
                </c:pt>
                <c:pt idx="2">
                  <c:v>2024</c:v>
                </c:pt>
              </c:numCache>
              <c:extLst/>
            </c:numRef>
          </c:cat>
          <c:val>
            <c:numRef>
              <c:f>fanchart!$V$8:$Y$8</c:f>
              <c:numCache>
                <c:formatCode>0</c:formatCode>
                <c:ptCount val="4"/>
                <c:pt idx="0">
                  <c:v>0</c:v>
                </c:pt>
                <c:pt idx="1">
                  <c:v>0</c:v>
                </c:pt>
                <c:pt idx="2">
                  <c:v>0.29826514459568187</c:v>
                </c:pt>
                <c:pt idx="3">
                  <c:v>0.60081502783488894</c:v>
                </c:pt>
              </c:numCache>
              <c:extLst/>
            </c:numRef>
          </c:val>
          <c:extLst>
            <c:ext xmlns:c16="http://schemas.microsoft.com/office/drawing/2014/chart" uri="{C3380CC4-5D6E-409C-BE32-E72D297353CC}">
              <c16:uniqueId val="{00000005-F14B-4245-A5F2-1A795CDDDC4F}"/>
            </c:ext>
          </c:extLst>
        </c:ser>
        <c:ser>
          <c:idx val="7"/>
          <c:order val="7"/>
          <c:tx>
            <c:strRef>
              <c:f>fanchart!$A$9</c:f>
              <c:strCache>
                <c:ptCount val="1"/>
                <c:pt idx="0">
                  <c:v>Fan 6</c:v>
                </c:pt>
              </c:strCache>
            </c:strRef>
          </c:tx>
          <c:spPr>
            <a:solidFill>
              <a:schemeClr val="bg1">
                <a:lumMod val="65000"/>
              </a:schemeClr>
            </a:solidFill>
            <a:ln>
              <a:noFill/>
            </a:ln>
            <a:effectLst/>
          </c:spPr>
          <c:cat>
            <c:numRef>
              <c:f>fanchart!$W$1:$Y$1</c:f>
              <c:numCache>
                <c:formatCode>General</c:formatCode>
                <c:ptCount val="3"/>
                <c:pt idx="0">
                  <c:v>2022</c:v>
                </c:pt>
                <c:pt idx="1">
                  <c:v>2023</c:v>
                </c:pt>
                <c:pt idx="2">
                  <c:v>2024</c:v>
                </c:pt>
              </c:numCache>
              <c:extLst/>
            </c:numRef>
          </c:cat>
          <c:val>
            <c:numRef>
              <c:f>fanchart!$V$9:$Y$9</c:f>
              <c:numCache>
                <c:formatCode>0</c:formatCode>
                <c:ptCount val="4"/>
                <c:pt idx="0">
                  <c:v>0</c:v>
                </c:pt>
                <c:pt idx="1">
                  <c:v>0</c:v>
                </c:pt>
                <c:pt idx="2">
                  <c:v>0.29826514459568187</c:v>
                </c:pt>
                <c:pt idx="3">
                  <c:v>0.60081502783488894</c:v>
                </c:pt>
              </c:numCache>
              <c:extLst/>
            </c:numRef>
          </c:val>
          <c:extLst>
            <c:ext xmlns:c16="http://schemas.microsoft.com/office/drawing/2014/chart" uri="{C3380CC4-5D6E-409C-BE32-E72D297353CC}">
              <c16:uniqueId val="{00000006-F14B-4245-A5F2-1A795CDDDC4F}"/>
            </c:ext>
          </c:extLst>
        </c:ser>
        <c:ser>
          <c:idx val="8"/>
          <c:order val="8"/>
          <c:tx>
            <c:strRef>
              <c:f>fanchart!$A$10</c:f>
              <c:strCache>
                <c:ptCount val="1"/>
                <c:pt idx="0">
                  <c:v>Fan 7</c:v>
                </c:pt>
              </c:strCache>
            </c:strRef>
          </c:tx>
          <c:spPr>
            <a:solidFill>
              <a:schemeClr val="bg1">
                <a:lumMod val="75000"/>
              </a:schemeClr>
            </a:solidFill>
            <a:ln>
              <a:noFill/>
            </a:ln>
            <a:effectLst/>
          </c:spPr>
          <c:cat>
            <c:numRef>
              <c:f>fanchart!$W$1:$Y$1</c:f>
              <c:numCache>
                <c:formatCode>General</c:formatCode>
                <c:ptCount val="3"/>
                <c:pt idx="0">
                  <c:v>2022</c:v>
                </c:pt>
                <c:pt idx="1">
                  <c:v>2023</c:v>
                </c:pt>
                <c:pt idx="2">
                  <c:v>2024</c:v>
                </c:pt>
              </c:numCache>
              <c:extLst/>
            </c:numRef>
          </c:cat>
          <c:val>
            <c:numRef>
              <c:f>fanchart!$V$10:$Y$10</c:f>
              <c:numCache>
                <c:formatCode>0</c:formatCode>
                <c:ptCount val="4"/>
                <c:pt idx="0">
                  <c:v>0</c:v>
                </c:pt>
                <c:pt idx="1">
                  <c:v>0</c:v>
                </c:pt>
                <c:pt idx="2">
                  <c:v>0.29826514459568187</c:v>
                </c:pt>
                <c:pt idx="3">
                  <c:v>0.60081502783488894</c:v>
                </c:pt>
              </c:numCache>
              <c:extLst/>
            </c:numRef>
          </c:val>
          <c:extLst>
            <c:ext xmlns:c16="http://schemas.microsoft.com/office/drawing/2014/chart" uri="{C3380CC4-5D6E-409C-BE32-E72D297353CC}">
              <c16:uniqueId val="{00000007-F14B-4245-A5F2-1A795CDDDC4F}"/>
            </c:ext>
          </c:extLst>
        </c:ser>
        <c:ser>
          <c:idx val="9"/>
          <c:order val="9"/>
          <c:tx>
            <c:strRef>
              <c:f>'Fan Chart_pomlad21'!#REF!</c:f>
              <c:strCache>
                <c:ptCount val="1"/>
                <c:pt idx="0">
                  <c:v>#REF!</c:v>
                </c:pt>
              </c:strCache>
              <c:extLst xmlns:c15="http://schemas.microsoft.com/office/drawing/2012/chart"/>
            </c:strRef>
          </c:tx>
          <c:spPr>
            <a:solidFill>
              <a:schemeClr val="accent4">
                <a:lumMod val="60000"/>
              </a:schemeClr>
            </a:solidFill>
            <a:ln w="25400">
              <a:noFill/>
            </a:ln>
            <a:effectLst/>
          </c:spPr>
          <c:cat>
            <c:numRef>
              <c:f>'[1]Fan Chart_pomlad21'!$W$1:$Y$1</c:f>
              <c:numCache>
                <c:formatCode>General</c:formatCode>
                <c:ptCount val="3"/>
                <c:pt idx="0">
                  <c:v>2022</c:v>
                </c:pt>
                <c:pt idx="1">
                  <c:v>2023</c:v>
                </c:pt>
                <c:pt idx="2">
                  <c:v>2024</c:v>
                </c:pt>
              </c:numCache>
              <c:extLst/>
            </c:numRef>
          </c:cat>
          <c:val>
            <c:numRef>
              <c:f>'Fan Chart_pomlad21'!#REF!</c:f>
              <c:extLst xmlns:c15="http://schemas.microsoft.com/office/drawing/2012/chart"/>
            </c:numRef>
          </c:val>
          <c:extLst xmlns:c15="http://schemas.microsoft.com/office/drawing/2012/chart">
            <c:ext xmlns:c16="http://schemas.microsoft.com/office/drawing/2014/chart" uri="{C3380CC4-5D6E-409C-BE32-E72D297353CC}">
              <c16:uniqueId val="{00000008-F14B-4245-A5F2-1A795CDDDC4F}"/>
            </c:ext>
          </c:extLst>
        </c:ser>
        <c:ser>
          <c:idx val="10"/>
          <c:order val="10"/>
          <c:tx>
            <c:strRef>
              <c:f>fanchart!$A$11</c:f>
              <c:strCache>
                <c:ptCount val="1"/>
                <c:pt idx="0">
                  <c:v>Max 2 o.t. spremembe v rasti nominalnega BDP</c:v>
                </c:pt>
              </c:strCache>
            </c:strRef>
          </c:tx>
          <c:spPr>
            <a:solidFill>
              <a:schemeClr val="bg1">
                <a:lumMod val="85000"/>
              </a:schemeClr>
            </a:solidFill>
            <a:ln>
              <a:noFill/>
            </a:ln>
            <a:effectLst/>
          </c:spPr>
          <c:cat>
            <c:numRef>
              <c:f>fanchart!$W$1:$Y$1</c:f>
              <c:numCache>
                <c:formatCode>General</c:formatCode>
                <c:ptCount val="3"/>
                <c:pt idx="0">
                  <c:v>2022</c:v>
                </c:pt>
                <c:pt idx="1">
                  <c:v>2023</c:v>
                </c:pt>
                <c:pt idx="2">
                  <c:v>2024</c:v>
                </c:pt>
              </c:numCache>
              <c:extLst/>
            </c:numRef>
          </c:cat>
          <c:val>
            <c:numRef>
              <c:f>fanchart!$V$11:$Y$11</c:f>
              <c:numCache>
                <c:formatCode>0</c:formatCode>
                <c:ptCount val="4"/>
                <c:pt idx="0">
                  <c:v>0</c:v>
                </c:pt>
                <c:pt idx="1">
                  <c:v>0</c:v>
                </c:pt>
                <c:pt idx="2">
                  <c:v>0.29826514459568187</c:v>
                </c:pt>
                <c:pt idx="3">
                  <c:v>0.60081502783488894</c:v>
                </c:pt>
              </c:numCache>
              <c:extLst/>
            </c:numRef>
          </c:val>
          <c:extLst>
            <c:ext xmlns:c16="http://schemas.microsoft.com/office/drawing/2014/chart" uri="{C3380CC4-5D6E-409C-BE32-E72D297353CC}">
              <c16:uniqueId val="{00000009-F14B-4245-A5F2-1A795CDDDC4F}"/>
            </c:ext>
          </c:extLst>
        </c:ser>
        <c:dLbls>
          <c:showLegendKey val="0"/>
          <c:showVal val="0"/>
          <c:showCatName val="0"/>
          <c:showSerName val="0"/>
          <c:showPercent val="0"/>
          <c:showBubbleSize val="0"/>
        </c:dLbls>
        <c:axId val="666305176"/>
        <c:axId val="666309112"/>
        <c:extLst/>
      </c:areaChart>
      <c:lineChart>
        <c:grouping val="standard"/>
        <c:varyColors val="0"/>
        <c:ser>
          <c:idx val="0"/>
          <c:order val="0"/>
          <c:tx>
            <c:strRef>
              <c:f>fanchart!$A$2</c:f>
              <c:strCache>
                <c:ptCount val="1"/>
                <c:pt idx="0">
                  <c:v>Osnovni scenarij=100</c:v>
                </c:pt>
              </c:strCache>
            </c:strRef>
          </c:tx>
          <c:spPr>
            <a:ln w="28575" cap="rnd">
              <a:solidFill>
                <a:schemeClr val="tx1"/>
              </a:solidFill>
              <a:round/>
            </a:ln>
            <a:effectLst/>
          </c:spPr>
          <c:marker>
            <c:symbol val="none"/>
          </c:marker>
          <c:cat>
            <c:numRef>
              <c:f>fanchart!$V$1:$Y$1</c:f>
              <c:numCache>
                <c:formatCode>General</c:formatCode>
                <c:ptCount val="4"/>
                <c:pt idx="0">
                  <c:v>2021</c:v>
                </c:pt>
                <c:pt idx="1">
                  <c:v>2022</c:v>
                </c:pt>
                <c:pt idx="2">
                  <c:v>2023</c:v>
                </c:pt>
                <c:pt idx="3">
                  <c:v>2024</c:v>
                </c:pt>
              </c:numCache>
              <c:extLst/>
            </c:numRef>
          </c:cat>
          <c:val>
            <c:numRef>
              <c:f>fanchart!$W$2:$Z$2</c:f>
              <c:numCache>
                <c:formatCode>0</c:formatCode>
                <c:ptCount val="4"/>
                <c:pt idx="0">
                  <c:v>100</c:v>
                </c:pt>
                <c:pt idx="1">
                  <c:v>100</c:v>
                </c:pt>
                <c:pt idx="2">
                  <c:v>100</c:v>
                </c:pt>
                <c:pt idx="3" formatCode="General">
                  <c:v>100</c:v>
                </c:pt>
              </c:numCache>
              <c:extLst/>
            </c:numRef>
          </c:val>
          <c:smooth val="1"/>
          <c:extLst>
            <c:ext xmlns:c16="http://schemas.microsoft.com/office/drawing/2014/chart" uri="{C3380CC4-5D6E-409C-BE32-E72D297353CC}">
              <c16:uniqueId val="{0000000A-F14B-4245-A5F2-1A795CDDDC4F}"/>
            </c:ext>
          </c:extLst>
        </c:ser>
        <c:dLbls>
          <c:showLegendKey val="0"/>
          <c:showVal val="0"/>
          <c:showCatName val="0"/>
          <c:showSerName val="0"/>
          <c:showPercent val="0"/>
          <c:showBubbleSize val="0"/>
        </c:dLbls>
        <c:marker val="1"/>
        <c:smooth val="0"/>
        <c:axId val="666305176"/>
        <c:axId val="666309112"/>
      </c:lineChart>
      <c:catAx>
        <c:axId val="666305176"/>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666309112"/>
        <c:crosses val="autoZero"/>
        <c:auto val="1"/>
        <c:lblAlgn val="ctr"/>
        <c:lblOffset val="100"/>
        <c:noMultiLvlLbl val="0"/>
      </c:catAx>
      <c:valAx>
        <c:axId val="666309112"/>
        <c:scaling>
          <c:orientation val="minMax"/>
          <c:max val="104"/>
          <c:min val="96"/>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666305176"/>
        <c:crosses val="autoZero"/>
        <c:crossBetween val="midCat"/>
        <c:majorUnit val="1"/>
      </c:valAx>
      <c:spPr>
        <a:noFill/>
        <a:ln>
          <a:noFill/>
        </a:ln>
        <a:effectLst/>
      </c:spPr>
    </c:plotArea>
    <c:legend>
      <c:legendPos val="b"/>
      <c:legendEntry>
        <c:idx val="0"/>
        <c:delete val="1"/>
      </c:legendEntry>
      <c:legendEntry>
        <c:idx val="1"/>
        <c:delete val="1"/>
      </c:legendEntry>
      <c:legendEntry>
        <c:idx val="2"/>
        <c:delete val="1"/>
      </c:legendEntry>
      <c:legendEntry>
        <c:idx val="3"/>
        <c:delete val="1"/>
      </c:legendEntry>
      <c:legendEntry>
        <c:idx val="4"/>
        <c:delete val="1"/>
      </c:legendEntry>
      <c:legendEntry>
        <c:idx val="5"/>
        <c:delete val="1"/>
      </c:legendEntry>
      <c:legendEntry>
        <c:idx val="6"/>
        <c:delete val="1"/>
      </c:legendEntry>
      <c:legendEntry>
        <c:idx val="7"/>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zero"/>
    <c:showDLblsOverMax val="0"/>
  </c:chart>
  <c:spPr>
    <a:solidFill>
      <a:schemeClr val="bg1"/>
    </a:solidFill>
    <a:ln w="9525" cap="flat" cmpd="sng" algn="ctr">
      <a:noFill/>
      <a:round/>
    </a:ln>
    <a:effectLst/>
  </c:spPr>
  <c:txPr>
    <a:bodyPr/>
    <a:lstStyle/>
    <a:p>
      <a:pPr>
        <a:defRPr>
          <a:latin typeface="Arial" panose="020B0604020202020204" pitchFamily="34" charset="0"/>
          <a:cs typeface="Arial" panose="020B0604020202020204" pitchFamily="34" charset="0"/>
        </a:defRPr>
      </a:pPr>
      <a:endParaRPr lang="en-US"/>
    </a:p>
  </c:txPr>
  <c:externalData r:id="rId3">
    <c:autoUpdate val="0"/>
  </c:externalData>
  <c:userShapes r:id="rId4"/>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2501719463284909"/>
          <c:y val="0.16565782519505881"/>
          <c:w val="0.53323371707249467"/>
          <c:h val="0.71204357134539065"/>
        </c:manualLayout>
      </c:layout>
      <c:barChart>
        <c:barDir val="bar"/>
        <c:grouping val="clustered"/>
        <c:varyColors val="0"/>
        <c:ser>
          <c:idx val="1"/>
          <c:order val="0"/>
          <c:tx>
            <c:strRef>
              <c:f>'slika 6'!$AF$67</c:f>
              <c:strCache>
                <c:ptCount val="1"/>
                <c:pt idx="0">
                  <c:v>2023</c:v>
                </c:pt>
              </c:strCache>
            </c:strRef>
          </c:tx>
          <c:spPr>
            <a:pattFill prst="wdUpDiag">
              <a:fgClr>
                <a:schemeClr val="accent3">
                  <a:lumMod val="75000"/>
                </a:schemeClr>
              </a:fgClr>
              <a:bgClr>
                <a:schemeClr val="bg1"/>
              </a:bgClr>
            </a:pattFill>
            <a:ln>
              <a:solidFill>
                <a:schemeClr val="bg2">
                  <a:lumMod val="25000"/>
                </a:schemeClr>
              </a:solidFill>
            </a:ln>
            <a:effectLst/>
          </c:spPr>
          <c:invertIfNegative val="0"/>
          <c:cat>
            <c:strRef>
              <c:f>'slika 6'!$R$70:$R$80</c:f>
              <c:strCache>
                <c:ptCount val="11"/>
                <c:pt idx="0">
                  <c:v>A Kmetijstvo, lov, gozdarstvo, ribištvo</c:v>
                </c:pt>
                <c:pt idx="1">
                  <c:v>BDE Rudarstvo, oskrba z elektriko in vodo, okolje</c:v>
                </c:pt>
                <c:pt idx="2">
                  <c:v>C Predelovalne dejavnosti</c:v>
                </c:pt>
                <c:pt idx="3">
                  <c:v>F Gradbeništvo</c:v>
                </c:pt>
                <c:pt idx="4">
                  <c:v>GHI Trgovina, promet, gostinstvo</c:v>
                </c:pt>
                <c:pt idx="5">
                  <c:v>J IKT dejavnosti</c:v>
                </c:pt>
                <c:pt idx="6">
                  <c:v>K Finančne in zavarovalniške dejavnosti</c:v>
                </c:pt>
                <c:pt idx="7">
                  <c:v>L Poslovanje z nepremičninami</c:v>
                </c:pt>
                <c:pt idx="8">
                  <c:v>MN Strokovne, znanstvene, tehnične dejavnosti</c:v>
                </c:pt>
                <c:pt idx="9">
                  <c:v>OPQ Uprava, obramba, izobraževanje, zdravstvo</c:v>
                </c:pt>
                <c:pt idx="10">
                  <c:v>RST Druge storitvene dejavnosti</c:v>
                </c:pt>
              </c:strCache>
            </c:strRef>
          </c:cat>
          <c:val>
            <c:numRef>
              <c:f>'slika 6'!$AF$70:$AF$80</c:f>
              <c:numCache>
                <c:formatCode>0.0</c:formatCode>
                <c:ptCount val="11"/>
                <c:pt idx="0">
                  <c:v>-2</c:v>
                </c:pt>
                <c:pt idx="1">
                  <c:v>0.1</c:v>
                </c:pt>
                <c:pt idx="2">
                  <c:v>0.3</c:v>
                </c:pt>
                <c:pt idx="3">
                  <c:v>13</c:v>
                </c:pt>
                <c:pt idx="4">
                  <c:v>-1</c:v>
                </c:pt>
                <c:pt idx="5">
                  <c:v>6.3</c:v>
                </c:pt>
                <c:pt idx="6">
                  <c:v>-2.5</c:v>
                </c:pt>
                <c:pt idx="7">
                  <c:v>0.6</c:v>
                </c:pt>
                <c:pt idx="8">
                  <c:v>4</c:v>
                </c:pt>
                <c:pt idx="9">
                  <c:v>1.5</c:v>
                </c:pt>
                <c:pt idx="10">
                  <c:v>10</c:v>
                </c:pt>
              </c:numCache>
            </c:numRef>
          </c:val>
          <c:extLst>
            <c:ext xmlns:c16="http://schemas.microsoft.com/office/drawing/2014/chart" uri="{C3380CC4-5D6E-409C-BE32-E72D297353CC}">
              <c16:uniqueId val="{00000000-ADDF-4017-BA9B-42ADC4B7D3D1}"/>
            </c:ext>
          </c:extLst>
        </c:ser>
        <c:ser>
          <c:idx val="2"/>
          <c:order val="1"/>
          <c:tx>
            <c:strRef>
              <c:f>'slika 6'!$AG$67</c:f>
              <c:strCache>
                <c:ptCount val="1"/>
                <c:pt idx="0">
                  <c:v>2024</c:v>
                </c:pt>
              </c:strCache>
            </c:strRef>
          </c:tx>
          <c:spPr>
            <a:solidFill>
              <a:schemeClr val="accent1">
                <a:lumMod val="60000"/>
                <a:lumOff val="40000"/>
              </a:schemeClr>
            </a:solidFill>
            <a:ln>
              <a:solidFill>
                <a:schemeClr val="accent1">
                  <a:lumMod val="75000"/>
                </a:schemeClr>
              </a:solidFill>
            </a:ln>
            <a:effectLst/>
          </c:spPr>
          <c:invertIfNegative val="0"/>
          <c:cat>
            <c:strRef>
              <c:f>'slika 6'!$R$70:$R$80</c:f>
              <c:strCache>
                <c:ptCount val="11"/>
                <c:pt idx="0">
                  <c:v>A Kmetijstvo, lov, gozdarstvo, ribištvo</c:v>
                </c:pt>
                <c:pt idx="1">
                  <c:v>BDE Rudarstvo, oskrba z elektriko in vodo, okolje</c:v>
                </c:pt>
                <c:pt idx="2">
                  <c:v>C Predelovalne dejavnosti</c:v>
                </c:pt>
                <c:pt idx="3">
                  <c:v>F Gradbeništvo</c:v>
                </c:pt>
                <c:pt idx="4">
                  <c:v>GHI Trgovina, promet, gostinstvo</c:v>
                </c:pt>
                <c:pt idx="5">
                  <c:v>J IKT dejavnosti</c:v>
                </c:pt>
                <c:pt idx="6">
                  <c:v>K Finančne in zavarovalniške dejavnosti</c:v>
                </c:pt>
                <c:pt idx="7">
                  <c:v>L Poslovanje z nepremičninami</c:v>
                </c:pt>
                <c:pt idx="8">
                  <c:v>MN Strokovne, znanstvene, tehnične dejavnosti</c:v>
                </c:pt>
                <c:pt idx="9">
                  <c:v>OPQ Uprava, obramba, izobraževanje, zdravstvo</c:v>
                </c:pt>
                <c:pt idx="10">
                  <c:v>RST Druge storitvene dejavnosti</c:v>
                </c:pt>
              </c:strCache>
            </c:strRef>
          </c:cat>
          <c:val>
            <c:numRef>
              <c:f>'slika 6'!$AG$70:$AG$80</c:f>
              <c:numCache>
                <c:formatCode>0.0</c:formatCode>
                <c:ptCount val="11"/>
                <c:pt idx="0">
                  <c:v>3</c:v>
                </c:pt>
                <c:pt idx="1">
                  <c:v>1.3</c:v>
                </c:pt>
                <c:pt idx="2">
                  <c:v>1.4</c:v>
                </c:pt>
                <c:pt idx="3">
                  <c:v>6</c:v>
                </c:pt>
                <c:pt idx="4">
                  <c:v>2.5</c:v>
                </c:pt>
                <c:pt idx="5">
                  <c:v>6.5</c:v>
                </c:pt>
                <c:pt idx="6">
                  <c:v>2.5</c:v>
                </c:pt>
                <c:pt idx="7">
                  <c:v>1</c:v>
                </c:pt>
                <c:pt idx="8">
                  <c:v>4.2</c:v>
                </c:pt>
                <c:pt idx="9">
                  <c:v>1.5</c:v>
                </c:pt>
                <c:pt idx="10">
                  <c:v>3</c:v>
                </c:pt>
              </c:numCache>
            </c:numRef>
          </c:val>
          <c:extLst>
            <c:ext xmlns:c16="http://schemas.microsoft.com/office/drawing/2014/chart" uri="{C3380CC4-5D6E-409C-BE32-E72D297353CC}">
              <c16:uniqueId val="{00000001-ADDF-4017-BA9B-42ADC4B7D3D1}"/>
            </c:ext>
          </c:extLst>
        </c:ser>
        <c:dLbls>
          <c:showLegendKey val="0"/>
          <c:showVal val="0"/>
          <c:showCatName val="0"/>
          <c:showSerName val="0"/>
          <c:showPercent val="0"/>
          <c:showBubbleSize val="0"/>
        </c:dLbls>
        <c:gapWidth val="182"/>
        <c:axId val="675347248"/>
        <c:axId val="675348560"/>
      </c:barChart>
      <c:catAx>
        <c:axId val="675347248"/>
        <c:scaling>
          <c:orientation val="maxMin"/>
        </c:scaling>
        <c:delete val="0"/>
        <c:axPos val="l"/>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75348560"/>
        <c:crosses val="autoZero"/>
        <c:auto val="1"/>
        <c:lblAlgn val="ctr"/>
        <c:lblOffset val="100"/>
        <c:noMultiLvlLbl val="0"/>
      </c:catAx>
      <c:valAx>
        <c:axId val="675348560"/>
        <c:scaling>
          <c:orientation val="minMax"/>
        </c:scaling>
        <c:delete val="0"/>
        <c:axPos val="t"/>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sl-SI"/>
                  <a:t>%</a:t>
                </a:r>
              </a:p>
            </c:rich>
          </c:tx>
          <c:layout>
            <c:manualLayout>
              <c:xMode val="edge"/>
              <c:yMode val="edge"/>
              <c:x val="0.67716760652443186"/>
              <c:y val="2.2753128555176336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75347248"/>
        <c:crosses val="autoZero"/>
        <c:crossBetween val="between"/>
        <c:majorUnit val="2"/>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1"/>
          <c:order val="1"/>
          <c:tx>
            <c:strRef>
              <c:f>'INVESTICIJE - grafi'!$B$4</c:f>
              <c:strCache>
                <c:ptCount val="1"/>
                <c:pt idx="0">
                  <c:v>DP</c:v>
                </c:pt>
              </c:strCache>
            </c:strRef>
          </c:tx>
          <c:spPr>
            <a:solidFill>
              <a:srgbClr val="0070C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'INVESTICIJE - grafi'!$C$2:$H$2</c:f>
              <c:numCache>
                <c:formatCode>General</c:formatCode>
                <c:ptCount val="6"/>
                <c:pt idx="0">
                  <c:v>2019</c:v>
                </c:pt>
                <c:pt idx="1">
                  <c:v>2020</c:v>
                </c:pt>
                <c:pt idx="2">
                  <c:v>2021</c:v>
                </c:pt>
                <c:pt idx="3">
                  <c:v>2022</c:v>
                </c:pt>
                <c:pt idx="4">
                  <c:v>2023</c:v>
                </c:pt>
                <c:pt idx="5">
                  <c:v>2024</c:v>
                </c:pt>
              </c:numCache>
            </c:numRef>
          </c:cat>
          <c:val>
            <c:numRef>
              <c:f>'INVESTICIJE - grafi'!$C$4:$H$4</c:f>
              <c:numCache>
                <c:formatCode>0%</c:formatCode>
                <c:ptCount val="6"/>
                <c:pt idx="0">
                  <c:v>0.27</c:v>
                </c:pt>
                <c:pt idx="1">
                  <c:v>0.23</c:v>
                </c:pt>
                <c:pt idx="2">
                  <c:v>0.28000000000000003</c:v>
                </c:pt>
                <c:pt idx="3">
                  <c:v>0.28000000000000003</c:v>
                </c:pt>
                <c:pt idx="4">
                  <c:v>0.39</c:v>
                </c:pt>
                <c:pt idx="5">
                  <c:v>0.28999999999999998</c:v>
                </c:pt>
              </c:numCache>
            </c:numRef>
          </c:val>
          <c:extLst>
            <c:ext xmlns:c16="http://schemas.microsoft.com/office/drawing/2014/chart" uri="{C3380CC4-5D6E-409C-BE32-E72D297353CC}">
              <c16:uniqueId val="{00000000-D091-4257-8A93-D540FB43CC15}"/>
            </c:ext>
          </c:extLst>
        </c:ser>
        <c:ser>
          <c:idx val="2"/>
          <c:order val="2"/>
          <c:tx>
            <c:strRef>
              <c:f>'INVESTICIJE - grafi'!$B$5</c:f>
              <c:strCache>
                <c:ptCount val="1"/>
                <c:pt idx="0">
                  <c:v>Občine</c:v>
                </c:pt>
              </c:strCache>
            </c:strRef>
          </c:tx>
          <c:spPr>
            <a:solidFill>
              <a:schemeClr val="accent1">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'INVESTICIJE - grafi'!$C$2:$H$2</c:f>
              <c:numCache>
                <c:formatCode>General</c:formatCode>
                <c:ptCount val="6"/>
                <c:pt idx="0">
                  <c:v>2019</c:v>
                </c:pt>
                <c:pt idx="1">
                  <c:v>2020</c:v>
                </c:pt>
                <c:pt idx="2">
                  <c:v>2021</c:v>
                </c:pt>
                <c:pt idx="3">
                  <c:v>2022</c:v>
                </c:pt>
                <c:pt idx="4">
                  <c:v>2023</c:v>
                </c:pt>
                <c:pt idx="5">
                  <c:v>2024</c:v>
                </c:pt>
              </c:numCache>
            </c:numRef>
          </c:cat>
          <c:val>
            <c:numRef>
              <c:f>'INVESTICIJE - grafi'!$C$5:$H$5</c:f>
              <c:numCache>
                <c:formatCode>0%</c:formatCode>
                <c:ptCount val="6"/>
                <c:pt idx="0">
                  <c:v>0.34</c:v>
                </c:pt>
                <c:pt idx="1">
                  <c:v>0.35</c:v>
                </c:pt>
                <c:pt idx="2">
                  <c:v>0.3</c:v>
                </c:pt>
                <c:pt idx="3">
                  <c:v>0.35</c:v>
                </c:pt>
                <c:pt idx="4">
                  <c:v>0.33</c:v>
                </c:pt>
                <c:pt idx="5">
                  <c:v>0.3</c:v>
                </c:pt>
              </c:numCache>
            </c:numRef>
          </c:val>
          <c:extLst>
            <c:ext xmlns:c16="http://schemas.microsoft.com/office/drawing/2014/chart" uri="{C3380CC4-5D6E-409C-BE32-E72D297353CC}">
              <c16:uniqueId val="{00000001-D091-4257-8A93-D540FB43CC15}"/>
            </c:ext>
          </c:extLst>
        </c:ser>
        <c:ser>
          <c:idx val="3"/>
          <c:order val="3"/>
          <c:tx>
            <c:strRef>
              <c:f>'INVESTICIJE - grafi'!$B$6</c:f>
              <c:strCache>
                <c:ptCount val="1"/>
                <c:pt idx="0">
                  <c:v>JZ in ostale enote(SŽ, 2 TDK, skladi…)</c:v>
                </c:pt>
              </c:strCache>
            </c:strRef>
          </c:tx>
          <c:spPr>
            <a:solidFill>
              <a:schemeClr val="bg2">
                <a:lumMod val="9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'INVESTICIJE - grafi'!$C$2:$H$2</c:f>
              <c:numCache>
                <c:formatCode>General</c:formatCode>
                <c:ptCount val="6"/>
                <c:pt idx="0">
                  <c:v>2019</c:v>
                </c:pt>
                <c:pt idx="1">
                  <c:v>2020</c:v>
                </c:pt>
                <c:pt idx="2">
                  <c:v>2021</c:v>
                </c:pt>
                <c:pt idx="3">
                  <c:v>2022</c:v>
                </c:pt>
                <c:pt idx="4">
                  <c:v>2023</c:v>
                </c:pt>
                <c:pt idx="5">
                  <c:v>2024</c:v>
                </c:pt>
              </c:numCache>
            </c:numRef>
          </c:cat>
          <c:val>
            <c:numRef>
              <c:f>'INVESTICIJE - grafi'!$C$6:$H$6</c:f>
              <c:numCache>
                <c:formatCode>0%</c:formatCode>
                <c:ptCount val="6"/>
                <c:pt idx="0">
                  <c:v>0.38</c:v>
                </c:pt>
                <c:pt idx="1">
                  <c:v>0.42</c:v>
                </c:pt>
                <c:pt idx="2">
                  <c:v>0.42</c:v>
                </c:pt>
                <c:pt idx="3">
                  <c:v>0.37</c:v>
                </c:pt>
                <c:pt idx="4">
                  <c:v>0.28000000000000003</c:v>
                </c:pt>
                <c:pt idx="5">
                  <c:v>0.41</c:v>
                </c:pt>
              </c:numCache>
            </c:numRef>
          </c:val>
          <c:extLst>
            <c:ext xmlns:c16="http://schemas.microsoft.com/office/drawing/2014/chart" uri="{C3380CC4-5D6E-409C-BE32-E72D297353CC}">
              <c16:uniqueId val="{00000002-D091-4257-8A93-D540FB43CC15}"/>
            </c:ext>
          </c:extLst>
        </c:ser>
        <c:dLbls>
          <c:showLegendKey val="0"/>
          <c:showVal val="0"/>
          <c:showCatName val="0"/>
          <c:showSerName val="0"/>
          <c:showPercent val="0"/>
          <c:showBubbleSize val="0"/>
        </c:dLbls>
        <c:gapWidth val="219"/>
        <c:overlap val="100"/>
        <c:axId val="1837504527"/>
        <c:axId val="1826741311"/>
      </c:barChart>
      <c:lineChart>
        <c:grouping val="standard"/>
        <c:varyColors val="0"/>
        <c:ser>
          <c:idx val="0"/>
          <c:order val="0"/>
          <c:tx>
            <c:strRef>
              <c:f>'INVESTICIJE - grafi'!$B$3</c:f>
              <c:strCache>
                <c:ptCount val="1"/>
                <c:pt idx="0">
                  <c:v>Investicije sektorja država (v mio EUR)</c:v>
                </c:pt>
              </c:strCache>
            </c:strRef>
          </c:tx>
          <c:spPr>
            <a:ln w="28575" cap="rnd">
              <a:solidFill>
                <a:sysClr val="windowText" lastClr="000000"/>
              </a:solidFill>
              <a:round/>
            </a:ln>
            <a:effectLst/>
          </c:spPr>
          <c:marker>
            <c:symbol val="none"/>
          </c:marker>
          <c:cat>
            <c:numRef>
              <c:f>'INVESTICIJE - grafi'!$C$2:$H$2</c:f>
              <c:numCache>
                <c:formatCode>General</c:formatCode>
                <c:ptCount val="6"/>
                <c:pt idx="0">
                  <c:v>2019</c:v>
                </c:pt>
                <c:pt idx="1">
                  <c:v>2020</c:v>
                </c:pt>
                <c:pt idx="2">
                  <c:v>2021</c:v>
                </c:pt>
                <c:pt idx="3">
                  <c:v>2022</c:v>
                </c:pt>
                <c:pt idx="4">
                  <c:v>2023</c:v>
                </c:pt>
                <c:pt idx="5">
                  <c:v>2024</c:v>
                </c:pt>
              </c:numCache>
            </c:numRef>
          </c:cat>
          <c:val>
            <c:numRef>
              <c:f>'INVESTICIJE - grafi'!$C$3:$H$3</c:f>
              <c:numCache>
                <c:formatCode>#,##0</c:formatCode>
                <c:ptCount val="6"/>
                <c:pt idx="0">
                  <c:v>1860</c:v>
                </c:pt>
                <c:pt idx="1">
                  <c:v>1933</c:v>
                </c:pt>
                <c:pt idx="2">
                  <c:v>2442</c:v>
                </c:pt>
                <c:pt idx="3">
                  <c:v>3082</c:v>
                </c:pt>
                <c:pt idx="4">
                  <c:v>3961</c:v>
                </c:pt>
                <c:pt idx="5">
                  <c:v>4230</c:v>
                </c:pt>
              </c:numCache>
            </c:numRef>
          </c:val>
          <c:smooth val="0"/>
          <c:extLst>
            <c:ext xmlns:c16="http://schemas.microsoft.com/office/drawing/2014/chart" uri="{C3380CC4-5D6E-409C-BE32-E72D297353CC}">
              <c16:uniqueId val="{00000003-D091-4257-8A93-D540FB43CC15}"/>
            </c:ext>
          </c:extLst>
        </c:ser>
        <c:dLbls>
          <c:showLegendKey val="0"/>
          <c:showVal val="0"/>
          <c:showCatName val="0"/>
          <c:showSerName val="0"/>
          <c:showPercent val="0"/>
          <c:showBubbleSize val="0"/>
        </c:dLbls>
        <c:marker val="1"/>
        <c:smooth val="0"/>
        <c:axId val="1721617727"/>
        <c:axId val="1440396063"/>
      </c:lineChart>
      <c:catAx>
        <c:axId val="172161772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40396063"/>
        <c:crosses val="autoZero"/>
        <c:auto val="1"/>
        <c:lblAlgn val="ctr"/>
        <c:lblOffset val="100"/>
        <c:noMultiLvlLbl val="0"/>
      </c:catAx>
      <c:valAx>
        <c:axId val="1440396063"/>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sl-SI"/>
                  <a:t>mio</a:t>
                </a:r>
                <a:r>
                  <a:rPr lang="sl-SI" baseline="0"/>
                  <a:t> EUR</a:t>
                </a:r>
                <a:endParaRPr lang="sl-SI"/>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21617727"/>
        <c:crosses val="autoZero"/>
        <c:crossBetween val="between"/>
      </c:valAx>
      <c:valAx>
        <c:axId val="1826741311"/>
        <c:scaling>
          <c:orientation val="minMax"/>
          <c:max val="1"/>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sl-SI"/>
                  <a:t>%</a:t>
                </a:r>
                <a:r>
                  <a:rPr lang="sl-SI" baseline="0"/>
                  <a:t> BDP</a:t>
                </a:r>
                <a:endParaRPr lang="sl-SI"/>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37504527"/>
        <c:crosses val="max"/>
        <c:crossBetween val="between"/>
      </c:valAx>
      <c:catAx>
        <c:axId val="1837504527"/>
        <c:scaling>
          <c:orientation val="minMax"/>
        </c:scaling>
        <c:delete val="1"/>
        <c:axPos val="b"/>
        <c:numFmt formatCode="General" sourceLinked="1"/>
        <c:majorTickMark val="out"/>
        <c:minorTickMark val="none"/>
        <c:tickLblPos val="nextTo"/>
        <c:crossAx val="1826741311"/>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7233131923464252"/>
          <c:y val="8.9254683681781161E-2"/>
          <c:w val="0.46257784181496586"/>
          <c:h val="0.7668293712643246"/>
        </c:manualLayout>
      </c:layout>
      <c:radarChart>
        <c:radarStyle val="marker"/>
        <c:varyColors val="0"/>
        <c:ser>
          <c:idx val="0"/>
          <c:order val="0"/>
          <c:tx>
            <c:strRef>
              <c:f>List1!$B$1</c:f>
              <c:strCache>
                <c:ptCount val="1"/>
                <c:pt idx="0">
                  <c:v>Slovenija</c:v>
                </c:pt>
              </c:strCache>
            </c:strRef>
          </c:tx>
          <c:spPr>
            <a:ln w="25400" cap="rnd">
              <a:solidFill>
                <a:schemeClr val="tx2"/>
              </a:solidFill>
              <a:round/>
            </a:ln>
            <a:effectLst/>
          </c:spPr>
          <c:marker>
            <c:symbol val="none"/>
          </c:marker>
          <c:cat>
            <c:strRef>
              <c:f>List1!$A$2:$A$5</c:f>
              <c:strCache>
                <c:ptCount val="3"/>
                <c:pt idx="0">
                  <c:v>2022</c:v>
                </c:pt>
                <c:pt idx="1">
                  <c:v>E2023</c:v>
                </c:pt>
                <c:pt idx="2">
                  <c:v>F2024</c:v>
                </c:pt>
              </c:strCache>
            </c:strRef>
          </c:cat>
          <c:val>
            <c:numRef>
              <c:f>List1!$B$2:$B$5</c:f>
              <c:numCache>
                <c:formatCode>0.0</c:formatCode>
                <c:ptCount val="4"/>
                <c:pt idx="0">
                  <c:v>72.3</c:v>
                </c:pt>
                <c:pt idx="1">
                  <c:v>69.900000000000006</c:v>
                </c:pt>
                <c:pt idx="2">
                  <c:v>68.900000000000006</c:v>
                </c:pt>
              </c:numCache>
            </c:numRef>
          </c:val>
          <c:extLst>
            <c:ext xmlns:c16="http://schemas.microsoft.com/office/drawing/2014/chart" uri="{C3380CC4-5D6E-409C-BE32-E72D297353CC}">
              <c16:uniqueId val="{00000000-F334-4938-B07B-D91275C6D99D}"/>
            </c:ext>
          </c:extLst>
        </c:ser>
        <c:ser>
          <c:idx val="1"/>
          <c:order val="1"/>
          <c:tx>
            <c:strRef>
              <c:f>List1!$C$1</c:f>
              <c:strCache>
                <c:ptCount val="1"/>
                <c:pt idx="0">
                  <c:v>M. kriterij - 60%</c:v>
                </c:pt>
              </c:strCache>
            </c:strRef>
          </c:tx>
          <c:spPr>
            <a:ln w="22225" cap="rnd">
              <a:solidFill>
                <a:schemeClr val="tx1"/>
              </a:solidFill>
              <a:round/>
            </a:ln>
            <a:effectLst/>
          </c:spPr>
          <c:marker>
            <c:symbol val="none"/>
          </c:marker>
          <c:cat>
            <c:strRef>
              <c:f>List1!$A$2:$A$5</c:f>
              <c:strCache>
                <c:ptCount val="3"/>
                <c:pt idx="0">
                  <c:v>2022</c:v>
                </c:pt>
                <c:pt idx="1">
                  <c:v>E2023</c:v>
                </c:pt>
                <c:pt idx="2">
                  <c:v>F2024</c:v>
                </c:pt>
              </c:strCache>
            </c:strRef>
          </c:cat>
          <c:val>
            <c:numRef>
              <c:f>List1!$C$2:$C$5</c:f>
              <c:numCache>
                <c:formatCode>General</c:formatCode>
                <c:ptCount val="4"/>
                <c:pt idx="0">
                  <c:v>60</c:v>
                </c:pt>
                <c:pt idx="1">
                  <c:v>60</c:v>
                </c:pt>
                <c:pt idx="2">
                  <c:v>60</c:v>
                </c:pt>
              </c:numCache>
            </c:numRef>
          </c:val>
          <c:extLst>
            <c:ext xmlns:c16="http://schemas.microsoft.com/office/drawing/2014/chart" uri="{C3380CC4-5D6E-409C-BE32-E72D297353CC}">
              <c16:uniqueId val="{00000001-F334-4938-B07B-D91275C6D99D}"/>
            </c:ext>
          </c:extLst>
        </c:ser>
        <c:ser>
          <c:idx val="2"/>
          <c:order val="2"/>
          <c:tx>
            <c:strRef>
              <c:f>List1!$D$1</c:f>
              <c:strCache>
                <c:ptCount val="1"/>
                <c:pt idx="0">
                  <c:v>Pravilo dolga SGP (bt&lt;bbt)</c:v>
                </c:pt>
              </c:strCache>
            </c:strRef>
          </c:tx>
          <c:spPr>
            <a:ln w="22225" cap="rnd">
              <a:solidFill>
                <a:srgbClr val="C00000"/>
              </a:solidFill>
              <a:round/>
            </a:ln>
            <a:effectLst/>
          </c:spPr>
          <c:marker>
            <c:symbol val="circle"/>
            <c:size val="6"/>
            <c:spPr>
              <a:solidFill>
                <a:srgbClr val="C00000"/>
              </a:solidFill>
              <a:ln w="9525">
                <a:solidFill>
                  <a:srgbClr val="C00000"/>
                </a:solidFill>
              </a:ln>
              <a:effectLst/>
            </c:spPr>
          </c:marker>
          <c:cat>
            <c:strRef>
              <c:f>List1!$A$2:$A$5</c:f>
              <c:strCache>
                <c:ptCount val="3"/>
                <c:pt idx="0">
                  <c:v>2022</c:v>
                </c:pt>
                <c:pt idx="1">
                  <c:v>E2023</c:v>
                </c:pt>
                <c:pt idx="2">
                  <c:v>F2024</c:v>
                </c:pt>
              </c:strCache>
            </c:strRef>
          </c:cat>
          <c:val>
            <c:numRef>
              <c:f>List1!$D$2:$D$5</c:f>
              <c:numCache>
                <c:formatCode>General</c:formatCode>
                <c:ptCount val="4"/>
                <c:pt idx="2">
                  <c:v>71</c:v>
                </c:pt>
              </c:numCache>
            </c:numRef>
          </c:val>
          <c:extLst>
            <c:ext xmlns:c16="http://schemas.microsoft.com/office/drawing/2014/chart" uri="{C3380CC4-5D6E-409C-BE32-E72D297353CC}">
              <c16:uniqueId val="{00000002-F334-4938-B07B-D91275C6D99D}"/>
            </c:ext>
          </c:extLst>
        </c:ser>
        <c:ser>
          <c:idx val="3"/>
          <c:order val="3"/>
          <c:tx>
            <c:strRef>
              <c:f>List1!$E$1</c:f>
              <c:strCache>
                <c:ptCount val="1"/>
                <c:pt idx="0">
                  <c:v>Pravilo dolga SGP (bt&lt;bbt) - začasno odpravljeno</c:v>
                </c:pt>
              </c:strCache>
            </c:strRef>
          </c:tx>
          <c:spPr>
            <a:ln w="25400" cap="rnd">
              <a:solidFill>
                <a:srgbClr val="C00000"/>
              </a:solidFill>
              <a:prstDash val="dash"/>
              <a:round/>
            </a:ln>
            <a:effectLst/>
          </c:spPr>
          <c:marker>
            <c:symbol val="none"/>
          </c:marker>
          <c:cat>
            <c:strRef>
              <c:f>List1!$A$2:$A$5</c:f>
              <c:strCache>
                <c:ptCount val="3"/>
                <c:pt idx="0">
                  <c:v>2022</c:v>
                </c:pt>
                <c:pt idx="1">
                  <c:v>E2023</c:v>
                </c:pt>
                <c:pt idx="2">
                  <c:v>F2024</c:v>
                </c:pt>
              </c:strCache>
            </c:strRef>
          </c:cat>
          <c:val>
            <c:numRef>
              <c:f>List1!$E$2:$E$5</c:f>
              <c:numCache>
                <c:formatCode>General</c:formatCode>
                <c:ptCount val="4"/>
                <c:pt idx="0">
                  <c:v>72</c:v>
                </c:pt>
                <c:pt idx="1">
                  <c:v>73.900000000000006</c:v>
                </c:pt>
              </c:numCache>
            </c:numRef>
          </c:val>
          <c:extLst>
            <c:ext xmlns:c16="http://schemas.microsoft.com/office/drawing/2014/chart" uri="{C3380CC4-5D6E-409C-BE32-E72D297353CC}">
              <c16:uniqueId val="{00000003-F334-4938-B07B-D91275C6D99D}"/>
            </c:ext>
          </c:extLst>
        </c:ser>
        <c:dLbls>
          <c:showLegendKey val="0"/>
          <c:showVal val="0"/>
          <c:showCatName val="0"/>
          <c:showSerName val="0"/>
          <c:showPercent val="0"/>
          <c:showBubbleSize val="0"/>
        </c:dLbls>
        <c:axId val="214521336"/>
        <c:axId val="214521664"/>
      </c:radarChart>
      <c:catAx>
        <c:axId val="2145213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n-US"/>
          </a:p>
        </c:txPr>
        <c:crossAx val="214521664"/>
        <c:crosses val="autoZero"/>
        <c:auto val="1"/>
        <c:lblAlgn val="ctr"/>
        <c:lblOffset val="100"/>
        <c:noMultiLvlLbl val="0"/>
      </c:catAx>
      <c:valAx>
        <c:axId val="214521664"/>
        <c:scaling>
          <c:orientation val="minMax"/>
          <c:min val="40"/>
        </c:scaling>
        <c:delete val="0"/>
        <c:axPos val="l"/>
        <c:majorGridlines>
          <c:spPr>
            <a:ln w="3175" cap="flat" cmpd="sng" algn="ctr">
              <a:solidFill>
                <a:schemeClr val="bg1">
                  <a:lumMod val="65000"/>
                </a:schemeClr>
              </a:solidFill>
              <a:round/>
            </a:ln>
            <a:effectLst/>
          </c:spPr>
        </c:majorGridlines>
        <c:numFmt formatCode="0" sourceLinked="0"/>
        <c:majorTickMark val="none"/>
        <c:minorTickMark val="none"/>
        <c:tickLblPos val="nextTo"/>
        <c:spPr>
          <a:noFill/>
          <a:ln>
            <a:noFill/>
          </a:ln>
          <a:effectLst/>
        </c:spPr>
        <c:txPr>
          <a:bodyPr rot="0" spcFirstLastPara="1" vertOverflow="ellipsis" wrap="square" anchor="ctr" anchorCtr="1"/>
          <a:lstStyle/>
          <a:p>
            <a:pPr>
              <a:defRPr sz="1000" b="0" i="0" u="none" strike="noStrike" kern="1200" baseline="0">
                <a:solidFill>
                  <a:sysClr val="windowText" lastClr="000000"/>
                </a:solidFill>
                <a:latin typeface="+mn-lt"/>
                <a:ea typeface="+mn-ea"/>
                <a:cs typeface="+mn-cs"/>
              </a:defRPr>
            </a:pPr>
            <a:endParaRPr lang="en-US"/>
          </a:p>
        </c:txPr>
        <c:crossAx val="214521336"/>
        <c:crosses val="autoZero"/>
        <c:crossBetween val="between"/>
        <c:majorUnit val="10"/>
      </c:valAx>
      <c:spPr>
        <a:noFill/>
        <a:ln>
          <a:noFill/>
        </a:ln>
        <a:effectLst/>
      </c:spPr>
    </c:plotArea>
    <c:legend>
      <c:legendPos val="t"/>
      <c:layout>
        <c:manualLayout>
          <c:xMode val="edge"/>
          <c:yMode val="edge"/>
          <c:x val="1.4253316522745834E-4"/>
          <c:y val="0.62345520671077637"/>
          <c:w val="0.6196963389395056"/>
          <c:h val="0.37654479328922358"/>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9949184913050534E-2"/>
          <c:y val="9.0735609451390226E-2"/>
          <c:w val="0.89979989937358129"/>
          <c:h val="0.70281925872672235"/>
        </c:manualLayout>
      </c:layout>
      <c:barChart>
        <c:barDir val="col"/>
        <c:grouping val="stacked"/>
        <c:varyColors val="0"/>
        <c:ser>
          <c:idx val="0"/>
          <c:order val="0"/>
          <c:tx>
            <c:strRef>
              <c:f>Sheet1!$A$2</c:f>
              <c:strCache>
                <c:ptCount val="1"/>
                <c:pt idx="0">
                  <c:v>EUR odplačila glavnic dolga DP (LS)</c:v>
                </c:pt>
              </c:strCache>
            </c:strRef>
          </c:tx>
          <c:spPr>
            <a:solidFill>
              <a:schemeClr val="accent1">
                <a:lumMod val="75000"/>
              </a:schemeClr>
            </a:solidFill>
            <a:ln>
              <a:solidFill>
                <a:schemeClr val="tx1"/>
              </a:solidFill>
            </a:ln>
            <a:effectLst>
              <a:glow>
                <a:schemeClr val="accent1">
                  <a:alpha val="40000"/>
                </a:schemeClr>
              </a:glow>
              <a:softEdge rad="0"/>
            </a:effectLst>
          </c:spPr>
          <c:invertIfNegative val="0"/>
          <c:cat>
            <c:strRef>
              <c:f>Sheet1!$B$1:$AG$1</c:f>
              <c:strCache>
                <c:ptCount val="32"/>
                <c:pt idx="0">
                  <c:v>2023</c:v>
                </c:pt>
                <c:pt idx="1">
                  <c:v>2024</c:v>
                </c:pt>
                <c:pt idx="2">
                  <c:v>2025</c:v>
                </c:pt>
                <c:pt idx="3">
                  <c:v>2026</c:v>
                </c:pt>
                <c:pt idx="4">
                  <c:v>2027</c:v>
                </c:pt>
                <c:pt idx="5">
                  <c:v>2028</c:v>
                </c:pt>
                <c:pt idx="6">
                  <c:v>2029</c:v>
                </c:pt>
                <c:pt idx="7">
                  <c:v>2030</c:v>
                </c:pt>
                <c:pt idx="8">
                  <c:v>2031</c:v>
                </c:pt>
                <c:pt idx="9">
                  <c:v>2032</c:v>
                </c:pt>
                <c:pt idx="10">
                  <c:v>2033</c:v>
                </c:pt>
                <c:pt idx="11">
                  <c:v>2034</c:v>
                </c:pt>
                <c:pt idx="12">
                  <c:v>2035</c:v>
                </c:pt>
                <c:pt idx="13">
                  <c:v>2036</c:v>
                </c:pt>
                <c:pt idx="14">
                  <c:v>2037</c:v>
                </c:pt>
                <c:pt idx="15">
                  <c:v>2038</c:v>
                </c:pt>
                <c:pt idx="16">
                  <c:v>2039</c:v>
                </c:pt>
                <c:pt idx="17">
                  <c:v>2040</c:v>
                </c:pt>
                <c:pt idx="18">
                  <c:v>2041</c:v>
                </c:pt>
                <c:pt idx="19">
                  <c:v>2042</c:v>
                </c:pt>
                <c:pt idx="20">
                  <c:v>2043</c:v>
                </c:pt>
                <c:pt idx="21">
                  <c:v>2044</c:v>
                </c:pt>
                <c:pt idx="22">
                  <c:v>2045</c:v>
                </c:pt>
                <c:pt idx="23">
                  <c:v>2046</c:v>
                </c:pt>
                <c:pt idx="24">
                  <c:v>2047</c:v>
                </c:pt>
                <c:pt idx="25">
                  <c:v>2048</c:v>
                </c:pt>
                <c:pt idx="26">
                  <c:v>2049</c:v>
                </c:pt>
                <c:pt idx="27">
                  <c:v>2050</c:v>
                </c:pt>
                <c:pt idx="28">
                  <c:v>:</c:v>
                </c:pt>
                <c:pt idx="29">
                  <c:v>2062</c:v>
                </c:pt>
                <c:pt idx="30">
                  <c:v>:.</c:v>
                </c:pt>
                <c:pt idx="31">
                  <c:v>2081</c:v>
                </c:pt>
              </c:strCache>
            </c:strRef>
          </c:cat>
          <c:val>
            <c:numRef>
              <c:f>Sheet1!$B$2:$AG$2</c:f>
              <c:numCache>
                <c:formatCode>#,##0.00</c:formatCode>
                <c:ptCount val="32"/>
                <c:pt idx="0">
                  <c:v>366.56399999999996</c:v>
                </c:pt>
                <c:pt idx="1">
                  <c:v>1567.44</c:v>
                </c:pt>
                <c:pt idx="2">
                  <c:v>2348.83</c:v>
                </c:pt>
                <c:pt idx="3">
                  <c:v>2555.13</c:v>
                </c:pt>
                <c:pt idx="4">
                  <c:v>3123.38</c:v>
                </c:pt>
                <c:pt idx="5">
                  <c:v>2893.38</c:v>
                </c:pt>
                <c:pt idx="6">
                  <c:v>2473.38</c:v>
                </c:pt>
                <c:pt idx="7">
                  <c:v>2902.11</c:v>
                </c:pt>
                <c:pt idx="8">
                  <c:v>3405.83</c:v>
                </c:pt>
                <c:pt idx="9">
                  <c:v>3904.29</c:v>
                </c:pt>
                <c:pt idx="10">
                  <c:v>1273.3800000000001</c:v>
                </c:pt>
                <c:pt idx="11">
                  <c:v>116.1</c:v>
                </c:pt>
                <c:pt idx="12">
                  <c:v>2550.71</c:v>
                </c:pt>
                <c:pt idx="13">
                  <c:v>16.100000000000001</c:v>
                </c:pt>
                <c:pt idx="14">
                  <c:v>16.100000000000001</c:v>
                </c:pt>
                <c:pt idx="15">
                  <c:v>16.100000000000001</c:v>
                </c:pt>
                <c:pt idx="16">
                  <c:v>16.100000000000001</c:v>
                </c:pt>
                <c:pt idx="17">
                  <c:v>3105.41</c:v>
                </c:pt>
                <c:pt idx="18">
                  <c:v>5.41</c:v>
                </c:pt>
                <c:pt idx="19">
                  <c:v>0</c:v>
                </c:pt>
                <c:pt idx="20">
                  <c:v>0</c:v>
                </c:pt>
                <c:pt idx="21">
                  <c:v>0</c:v>
                </c:pt>
                <c:pt idx="22">
                  <c:v>2061.27</c:v>
                </c:pt>
                <c:pt idx="23">
                  <c:v>0</c:v>
                </c:pt>
                <c:pt idx="24">
                  <c:v>0</c:v>
                </c:pt>
                <c:pt idx="25">
                  <c:v>0</c:v>
                </c:pt>
                <c:pt idx="26">
                  <c:v>0</c:v>
                </c:pt>
                <c:pt idx="27">
                  <c:v>2243</c:v>
                </c:pt>
                <c:pt idx="29">
                  <c:v>500</c:v>
                </c:pt>
                <c:pt idx="31" formatCode="0.0">
                  <c:v>500</c:v>
                </c:pt>
              </c:numCache>
            </c:numRef>
          </c:val>
          <c:extLst>
            <c:ext xmlns:c16="http://schemas.microsoft.com/office/drawing/2014/chart" uri="{C3380CC4-5D6E-409C-BE32-E72D297353CC}">
              <c16:uniqueId val="{00000000-EA5A-4C66-8AF6-B408B2E07F88}"/>
            </c:ext>
          </c:extLst>
        </c:ser>
        <c:ser>
          <c:idx val="1"/>
          <c:order val="1"/>
          <c:tx>
            <c:strRef>
              <c:f>Sheet1!$A$3</c:f>
              <c:strCache>
                <c:ptCount val="1"/>
                <c:pt idx="0">
                  <c:v>USD odplačila glavnic dolga DP (LS)</c:v>
                </c:pt>
              </c:strCache>
            </c:strRef>
          </c:tx>
          <c:spPr>
            <a:solidFill>
              <a:srgbClr val="00915A"/>
            </a:solidFill>
            <a:ln>
              <a:solidFill>
                <a:schemeClr val="tx1"/>
              </a:solidFill>
            </a:ln>
          </c:spPr>
          <c:invertIfNegative val="0"/>
          <c:dPt>
            <c:idx val="0"/>
            <c:invertIfNegative val="0"/>
            <c:bubble3D val="0"/>
            <c:extLst>
              <c:ext xmlns:c16="http://schemas.microsoft.com/office/drawing/2014/chart" uri="{C3380CC4-5D6E-409C-BE32-E72D297353CC}">
                <c16:uniqueId val="{00000001-EA5A-4C66-8AF6-B408B2E07F88}"/>
              </c:ext>
            </c:extLst>
          </c:dPt>
          <c:dPt>
            <c:idx val="1"/>
            <c:invertIfNegative val="0"/>
            <c:bubble3D val="0"/>
            <c:extLst>
              <c:ext xmlns:c16="http://schemas.microsoft.com/office/drawing/2014/chart" uri="{C3380CC4-5D6E-409C-BE32-E72D297353CC}">
                <c16:uniqueId val="{00000002-EA5A-4C66-8AF6-B408B2E07F88}"/>
              </c:ext>
            </c:extLst>
          </c:dPt>
          <c:cat>
            <c:strRef>
              <c:f>Sheet1!$B$1:$AG$1</c:f>
              <c:strCache>
                <c:ptCount val="32"/>
                <c:pt idx="0">
                  <c:v>2023</c:v>
                </c:pt>
                <c:pt idx="1">
                  <c:v>2024</c:v>
                </c:pt>
                <c:pt idx="2">
                  <c:v>2025</c:v>
                </c:pt>
                <c:pt idx="3">
                  <c:v>2026</c:v>
                </c:pt>
                <c:pt idx="4">
                  <c:v>2027</c:v>
                </c:pt>
                <c:pt idx="5">
                  <c:v>2028</c:v>
                </c:pt>
                <c:pt idx="6">
                  <c:v>2029</c:v>
                </c:pt>
                <c:pt idx="7">
                  <c:v>2030</c:v>
                </c:pt>
                <c:pt idx="8">
                  <c:v>2031</c:v>
                </c:pt>
                <c:pt idx="9">
                  <c:v>2032</c:v>
                </c:pt>
                <c:pt idx="10">
                  <c:v>2033</c:v>
                </c:pt>
                <c:pt idx="11">
                  <c:v>2034</c:v>
                </c:pt>
                <c:pt idx="12">
                  <c:v>2035</c:v>
                </c:pt>
                <c:pt idx="13">
                  <c:v>2036</c:v>
                </c:pt>
                <c:pt idx="14">
                  <c:v>2037</c:v>
                </c:pt>
                <c:pt idx="15">
                  <c:v>2038</c:v>
                </c:pt>
                <c:pt idx="16">
                  <c:v>2039</c:v>
                </c:pt>
                <c:pt idx="17">
                  <c:v>2040</c:v>
                </c:pt>
                <c:pt idx="18">
                  <c:v>2041</c:v>
                </c:pt>
                <c:pt idx="19">
                  <c:v>2042</c:v>
                </c:pt>
                <c:pt idx="20">
                  <c:v>2043</c:v>
                </c:pt>
                <c:pt idx="21">
                  <c:v>2044</c:v>
                </c:pt>
                <c:pt idx="22">
                  <c:v>2045</c:v>
                </c:pt>
                <c:pt idx="23">
                  <c:v>2046</c:v>
                </c:pt>
                <c:pt idx="24">
                  <c:v>2047</c:v>
                </c:pt>
                <c:pt idx="25">
                  <c:v>2048</c:v>
                </c:pt>
                <c:pt idx="26">
                  <c:v>2049</c:v>
                </c:pt>
                <c:pt idx="27">
                  <c:v>2050</c:v>
                </c:pt>
                <c:pt idx="28">
                  <c:v>:</c:v>
                </c:pt>
                <c:pt idx="29">
                  <c:v>2062</c:v>
                </c:pt>
                <c:pt idx="30">
                  <c:v>:.</c:v>
                </c:pt>
                <c:pt idx="31">
                  <c:v>2081</c:v>
                </c:pt>
              </c:strCache>
            </c:strRef>
          </c:cat>
          <c:val>
            <c:numRef>
              <c:f>Sheet1!$B$3:$AG$3</c:f>
              <c:numCache>
                <c:formatCode>0.0</c:formatCode>
                <c:ptCount val="32"/>
                <c:pt idx="0">
                  <c:v>97.04</c:v>
                </c:pt>
                <c:pt idx="1">
                  <c:v>557.17999999999995</c:v>
                </c:pt>
                <c:pt idx="10">
                  <c:v>932.2</c:v>
                </c:pt>
              </c:numCache>
            </c:numRef>
          </c:val>
          <c:extLst>
            <c:ext xmlns:c16="http://schemas.microsoft.com/office/drawing/2014/chart" uri="{C3380CC4-5D6E-409C-BE32-E72D297353CC}">
              <c16:uniqueId val="{00000003-EA5A-4C66-8AF6-B408B2E07F88}"/>
            </c:ext>
          </c:extLst>
        </c:ser>
        <c:dLbls>
          <c:showLegendKey val="0"/>
          <c:showVal val="0"/>
          <c:showCatName val="0"/>
          <c:showSerName val="0"/>
          <c:showPercent val="0"/>
          <c:showBubbleSize val="0"/>
        </c:dLbls>
        <c:gapWidth val="16"/>
        <c:overlap val="100"/>
        <c:axId val="602924376"/>
        <c:axId val="602924768"/>
      </c:barChart>
      <c:scatterChart>
        <c:scatterStyle val="lineMarker"/>
        <c:varyColors val="0"/>
        <c:ser>
          <c:idx val="2"/>
          <c:order val="2"/>
          <c:tx>
            <c:strRef>
              <c:f>Sheet1!$A$4</c:f>
              <c:strCache>
                <c:ptCount val="1"/>
                <c:pt idx="0">
                  <c:v>Povpr. kuponska OM glavnic (DS)</c:v>
                </c:pt>
              </c:strCache>
            </c:strRef>
          </c:tx>
          <c:spPr>
            <a:ln w="19050">
              <a:noFill/>
            </a:ln>
          </c:spPr>
          <c:marker>
            <c:symbol val="diamond"/>
            <c:size val="5"/>
            <c:spPr>
              <a:solidFill>
                <a:srgbClr val="C00000"/>
              </a:solidFill>
              <a:ln>
                <a:solidFill>
                  <a:schemeClr val="tx1"/>
                </a:solidFill>
              </a:ln>
            </c:spPr>
          </c:marker>
          <c:xVal>
            <c:strRef>
              <c:f>Sheet1!$B$1:$AG$1</c:f>
              <c:strCache>
                <c:ptCount val="32"/>
                <c:pt idx="0">
                  <c:v>2023</c:v>
                </c:pt>
                <c:pt idx="1">
                  <c:v>2024</c:v>
                </c:pt>
                <c:pt idx="2">
                  <c:v>2025</c:v>
                </c:pt>
                <c:pt idx="3">
                  <c:v>2026</c:v>
                </c:pt>
                <c:pt idx="4">
                  <c:v>2027</c:v>
                </c:pt>
                <c:pt idx="5">
                  <c:v>2028</c:v>
                </c:pt>
                <c:pt idx="6">
                  <c:v>2029</c:v>
                </c:pt>
                <c:pt idx="7">
                  <c:v>2030</c:v>
                </c:pt>
                <c:pt idx="8">
                  <c:v>2031</c:v>
                </c:pt>
                <c:pt idx="9">
                  <c:v>2032</c:v>
                </c:pt>
                <c:pt idx="10">
                  <c:v>2033</c:v>
                </c:pt>
                <c:pt idx="11">
                  <c:v>2034</c:v>
                </c:pt>
                <c:pt idx="12">
                  <c:v>2035</c:v>
                </c:pt>
                <c:pt idx="13">
                  <c:v>2036</c:v>
                </c:pt>
                <c:pt idx="14">
                  <c:v>2037</c:v>
                </c:pt>
                <c:pt idx="15">
                  <c:v>2038</c:v>
                </c:pt>
                <c:pt idx="16">
                  <c:v>2039</c:v>
                </c:pt>
                <c:pt idx="17">
                  <c:v>2040</c:v>
                </c:pt>
                <c:pt idx="18">
                  <c:v>2041</c:v>
                </c:pt>
                <c:pt idx="19">
                  <c:v>2042</c:v>
                </c:pt>
                <c:pt idx="20">
                  <c:v>2043</c:v>
                </c:pt>
                <c:pt idx="21">
                  <c:v>2044</c:v>
                </c:pt>
                <c:pt idx="22">
                  <c:v>2045</c:v>
                </c:pt>
                <c:pt idx="23">
                  <c:v>2046</c:v>
                </c:pt>
                <c:pt idx="24">
                  <c:v>2047</c:v>
                </c:pt>
                <c:pt idx="25">
                  <c:v>2048</c:v>
                </c:pt>
                <c:pt idx="26">
                  <c:v>2049</c:v>
                </c:pt>
                <c:pt idx="27">
                  <c:v>2050</c:v>
                </c:pt>
                <c:pt idx="28">
                  <c:v>:</c:v>
                </c:pt>
                <c:pt idx="29">
                  <c:v>2062</c:v>
                </c:pt>
                <c:pt idx="30">
                  <c:v>:.</c:v>
                </c:pt>
                <c:pt idx="31">
                  <c:v>2081</c:v>
                </c:pt>
              </c:strCache>
            </c:strRef>
          </c:xVal>
          <c:yVal>
            <c:numRef>
              <c:f>Sheet1!$B$4:$AG$4</c:f>
              <c:numCache>
                <c:formatCode>0.0</c:formatCode>
                <c:ptCount val="32"/>
                <c:pt idx="1">
                  <c:v>4.4212852330523535</c:v>
                </c:pt>
                <c:pt idx="2">
                  <c:v>2.13</c:v>
                </c:pt>
                <c:pt idx="3">
                  <c:v>3.0369770473669657</c:v>
                </c:pt>
                <c:pt idx="4" formatCode="General">
                  <c:v>1.25</c:v>
                </c:pt>
                <c:pt idx="5" formatCode="#,##0.00">
                  <c:v>1</c:v>
                </c:pt>
                <c:pt idx="6" formatCode="#,##0.00">
                  <c:v>1.1875</c:v>
                </c:pt>
                <c:pt idx="7" formatCode="0.00">
                  <c:v>0.51338308258100684</c:v>
                </c:pt>
                <c:pt idx="8" formatCode="#,##0.00">
                  <c:v>4.5822722201100147E-2</c:v>
                </c:pt>
                <c:pt idx="9" formatCode="#,##0.00">
                  <c:v>2.25</c:v>
                </c:pt>
                <c:pt idx="10">
                  <c:v>2.3393181193291173</c:v>
                </c:pt>
                <c:pt idx="11">
                  <c:v>3.5545</c:v>
                </c:pt>
                <c:pt idx="12" formatCode="#,##0.00">
                  <c:v>1.5</c:v>
                </c:pt>
                <c:pt idx="17">
                  <c:v>1.175</c:v>
                </c:pt>
                <c:pt idx="22" formatCode="#,##0.00">
                  <c:v>3.13</c:v>
                </c:pt>
                <c:pt idx="27" formatCode="General">
                  <c:v>0.48749999999999999</c:v>
                </c:pt>
                <c:pt idx="29" formatCode="General">
                  <c:v>1.175</c:v>
                </c:pt>
                <c:pt idx="31">
                  <c:v>0.6875</c:v>
                </c:pt>
              </c:numCache>
            </c:numRef>
          </c:yVal>
          <c:smooth val="0"/>
          <c:extLst>
            <c:ext xmlns:c16="http://schemas.microsoft.com/office/drawing/2014/chart" uri="{C3380CC4-5D6E-409C-BE32-E72D297353CC}">
              <c16:uniqueId val="{00000004-EA5A-4C66-8AF6-B408B2E07F88}"/>
            </c:ext>
          </c:extLst>
        </c:ser>
        <c:dLbls>
          <c:showLegendKey val="0"/>
          <c:showVal val="0"/>
          <c:showCatName val="0"/>
          <c:showSerName val="0"/>
          <c:showPercent val="0"/>
          <c:showBubbleSize val="0"/>
        </c:dLbls>
        <c:axId val="602925552"/>
        <c:axId val="602925160"/>
      </c:scatterChart>
      <c:dateAx>
        <c:axId val="602924376"/>
        <c:scaling>
          <c:orientation val="minMax"/>
        </c:scaling>
        <c:delete val="0"/>
        <c:axPos val="b"/>
        <c:numFmt formatCode="General" sourceLinked="0"/>
        <c:majorTickMark val="out"/>
        <c:minorTickMark val="none"/>
        <c:tickLblPos val="low"/>
        <c:txPr>
          <a:bodyPr rot="-5400000" vert="horz"/>
          <a:lstStyle/>
          <a:p>
            <a:pPr>
              <a:defRPr lang="ja-JP" sz="1000"/>
            </a:pPr>
            <a:endParaRPr lang="en-US"/>
          </a:p>
        </c:txPr>
        <c:crossAx val="602924768"/>
        <c:crosses val="autoZero"/>
        <c:auto val="0"/>
        <c:lblOffset val="100"/>
        <c:baseTimeUnit val="days"/>
      </c:dateAx>
      <c:valAx>
        <c:axId val="602924768"/>
        <c:scaling>
          <c:orientation val="minMax"/>
        </c:scaling>
        <c:delete val="0"/>
        <c:axPos val="l"/>
        <c:majorGridlines>
          <c:spPr>
            <a:ln>
              <a:prstDash val="dash"/>
            </a:ln>
          </c:spPr>
        </c:majorGridlines>
        <c:title>
          <c:tx>
            <c:rich>
              <a:bodyPr rot="0" vert="horz"/>
              <a:lstStyle/>
              <a:p>
                <a:pPr>
                  <a:defRPr lang="ja-JP" sz="900" b="0"/>
                </a:pPr>
                <a:r>
                  <a:rPr lang="sl-SI" sz="900" b="0" dirty="0"/>
                  <a:t>EUR</a:t>
                </a:r>
                <a:r>
                  <a:rPr lang="sl-SI" sz="900" b="0" baseline="0" dirty="0"/>
                  <a:t> (mln)</a:t>
                </a:r>
                <a:endParaRPr lang="sl-SI" sz="900" b="0" dirty="0"/>
              </a:p>
            </c:rich>
          </c:tx>
          <c:layout>
            <c:manualLayout>
              <c:xMode val="edge"/>
              <c:yMode val="edge"/>
              <c:x val="6.7228641623766155E-4"/>
              <c:y val="5.0025540715638401E-3"/>
            </c:manualLayout>
          </c:layout>
          <c:overlay val="0"/>
        </c:title>
        <c:numFmt formatCode="#,##0" sourceLinked="0"/>
        <c:majorTickMark val="out"/>
        <c:minorTickMark val="none"/>
        <c:tickLblPos val="nextTo"/>
        <c:txPr>
          <a:bodyPr/>
          <a:lstStyle/>
          <a:p>
            <a:pPr>
              <a:defRPr lang="ja-JP" sz="1000"/>
            </a:pPr>
            <a:endParaRPr lang="en-US"/>
          </a:p>
        </c:txPr>
        <c:crossAx val="602924376"/>
        <c:crosses val="autoZero"/>
        <c:crossBetween val="between"/>
      </c:valAx>
      <c:valAx>
        <c:axId val="602925160"/>
        <c:scaling>
          <c:orientation val="minMax"/>
        </c:scaling>
        <c:delete val="0"/>
        <c:axPos val="r"/>
        <c:title>
          <c:tx>
            <c:rich>
              <a:bodyPr rot="0" vert="horz"/>
              <a:lstStyle/>
              <a:p>
                <a:pPr>
                  <a:defRPr sz="900">
                    <a:latin typeface="Calibri (telo)"/>
                  </a:defRPr>
                </a:pPr>
                <a:r>
                  <a:rPr lang="sl-SI" sz="900" b="0">
                    <a:latin typeface="Calibri (telo)"/>
                  </a:rPr>
                  <a:t>Povp.</a:t>
                </a:r>
                <a:r>
                  <a:rPr lang="sl-SI" sz="900" b="0" baseline="0">
                    <a:latin typeface="Calibri (telo)"/>
                  </a:rPr>
                  <a:t> kuponska OM </a:t>
                </a:r>
                <a:r>
                  <a:rPr lang="sl-SI" sz="900" b="0">
                    <a:latin typeface="Calibri (telo)"/>
                  </a:rPr>
                  <a:t>%</a:t>
                </a:r>
              </a:p>
            </c:rich>
          </c:tx>
          <c:layout>
            <c:manualLayout>
              <c:xMode val="edge"/>
              <c:yMode val="edge"/>
              <c:x val="0.8036494804191372"/>
              <c:y val="5.995215787899931E-3"/>
            </c:manualLayout>
          </c:layout>
          <c:overlay val="0"/>
        </c:title>
        <c:numFmt formatCode="0.0" sourceLinked="1"/>
        <c:majorTickMark val="out"/>
        <c:minorTickMark val="none"/>
        <c:tickLblPos val="nextTo"/>
        <c:txPr>
          <a:bodyPr/>
          <a:lstStyle/>
          <a:p>
            <a:pPr>
              <a:defRPr sz="1000">
                <a:latin typeface="Calibri (telo)"/>
              </a:defRPr>
            </a:pPr>
            <a:endParaRPr lang="en-US"/>
          </a:p>
        </c:txPr>
        <c:crossAx val="602925552"/>
        <c:crosses val="max"/>
        <c:crossBetween val="midCat"/>
      </c:valAx>
      <c:valAx>
        <c:axId val="602925552"/>
        <c:scaling>
          <c:orientation val="minMax"/>
        </c:scaling>
        <c:delete val="1"/>
        <c:axPos val="b"/>
        <c:numFmt formatCode="General" sourceLinked="1"/>
        <c:majorTickMark val="out"/>
        <c:minorTickMark val="none"/>
        <c:tickLblPos val="nextTo"/>
        <c:crossAx val="602925160"/>
        <c:crosses val="autoZero"/>
        <c:crossBetween val="midCat"/>
      </c:valAx>
      <c:spPr>
        <a:ln>
          <a:noFill/>
        </a:ln>
      </c:spPr>
    </c:plotArea>
    <c:legend>
      <c:legendPos val="b"/>
      <c:layout>
        <c:manualLayout>
          <c:xMode val="edge"/>
          <c:yMode val="edge"/>
          <c:x val="1.7527541692349099E-2"/>
          <c:y val="0.92538569014341088"/>
          <c:w val="0.98026738664282198"/>
          <c:h val="6.2220176413085734E-2"/>
        </c:manualLayout>
      </c:layout>
      <c:overlay val="0"/>
      <c:txPr>
        <a:bodyPr/>
        <a:lstStyle/>
        <a:p>
          <a:pPr>
            <a:defRPr lang="ja-JP" sz="900"/>
          </a:pPr>
          <a:endParaRPr lang="en-US"/>
        </a:p>
      </c:txPr>
    </c:legend>
    <c:plotVisOnly val="1"/>
    <c:dispBlanksAs val="gap"/>
    <c:showDLblsOverMax val="0"/>
  </c:chart>
  <c:spPr>
    <a:ln>
      <a:noFill/>
    </a:ln>
  </c:spPr>
  <c:txPr>
    <a:bodyPr/>
    <a:lstStyle/>
    <a:p>
      <a:pPr>
        <a:defRPr sz="1800"/>
      </a:pPr>
      <a:endParaRPr lang="en-US"/>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287420058408191"/>
          <c:y val="8.7621840163176645E-2"/>
          <c:w val="0.79355199438098412"/>
          <c:h val="0.65229101972030901"/>
        </c:manualLayout>
      </c:layout>
      <c:lineChart>
        <c:grouping val="standard"/>
        <c:varyColors val="0"/>
        <c:ser>
          <c:idx val="0"/>
          <c:order val="0"/>
          <c:tx>
            <c:strRef>
              <c:f>Sheet1!$B$1</c:f>
              <c:strCache>
                <c:ptCount val="1"/>
                <c:pt idx="0">
                  <c:v>S&amp;P</c:v>
                </c:pt>
              </c:strCache>
            </c:strRef>
          </c:tx>
          <c:spPr>
            <a:ln w="19050">
              <a:solidFill>
                <a:srgbClr val="E2001A"/>
              </a:solidFill>
            </a:ln>
          </c:spPr>
          <c:marker>
            <c:symbol val="diamond"/>
            <c:size val="5"/>
            <c:spPr>
              <a:solidFill>
                <a:srgbClr val="E2001A"/>
              </a:solidFill>
              <a:ln w="19050">
                <a:noFill/>
              </a:ln>
            </c:spPr>
          </c:marker>
          <c:dPt>
            <c:idx val="21"/>
            <c:marker>
              <c:symbol val="none"/>
            </c:marker>
            <c:bubble3D val="0"/>
            <c:spPr>
              <a:ln w="19050">
                <a:solidFill>
                  <a:srgbClr val="E2001A"/>
                </a:solidFill>
                <a:prstDash val="solid"/>
              </a:ln>
            </c:spPr>
            <c:extLst>
              <c:ext xmlns:c16="http://schemas.microsoft.com/office/drawing/2014/chart" uri="{C3380CC4-5D6E-409C-BE32-E72D297353CC}">
                <c16:uniqueId val="{00000001-CE1C-4209-AC7C-D895D5E22107}"/>
              </c:ext>
            </c:extLst>
          </c:dPt>
          <c:cat>
            <c:strRef>
              <c:f>Sheet1!$A$2:$A$36</c:f>
              <c:strCache>
                <c:ptCount val="35"/>
                <c:pt idx="0">
                  <c:v>Maj 1996</c:v>
                </c:pt>
                <c:pt idx="1">
                  <c:v>Dec. 1999</c:v>
                </c:pt>
                <c:pt idx="2">
                  <c:v>Sep. 2000</c:v>
                </c:pt>
                <c:pt idx="3">
                  <c:v>Nov. 2000</c:v>
                </c:pt>
                <c:pt idx="4">
                  <c:v>Nov. 2002</c:v>
                </c:pt>
                <c:pt idx="5">
                  <c:v>Mar. 2003</c:v>
                </c:pt>
                <c:pt idx="6">
                  <c:v>Maj 2003</c:v>
                </c:pt>
                <c:pt idx="7">
                  <c:v>Maj 2004</c:v>
                </c:pt>
                <c:pt idx="8">
                  <c:v>Jul. 2004</c:v>
                </c:pt>
                <c:pt idx="9">
                  <c:v>May 2006</c:v>
                </c:pt>
                <c:pt idx="10">
                  <c:v>Jun. 2006</c:v>
                </c:pt>
                <c:pt idx="11">
                  <c:v>Jul. 2006</c:v>
                </c:pt>
                <c:pt idx="12">
                  <c:v>Sept. 2011</c:v>
                </c:pt>
                <c:pt idx="13">
                  <c:v>Oct. 2011</c:v>
                </c:pt>
                <c:pt idx="14">
                  <c:v>Dec 2011</c:v>
                </c:pt>
                <c:pt idx="15">
                  <c:v>Jan. 2012</c:v>
                </c:pt>
                <c:pt idx="16">
                  <c:v>Feb. 2012</c:v>
                </c:pt>
                <c:pt idx="17">
                  <c:v>Aug. 2012</c:v>
                </c:pt>
                <c:pt idx="18">
                  <c:v>Feb. 2013</c:v>
                </c:pt>
                <c:pt idx="19">
                  <c:v>Apr. 2013</c:v>
                </c:pt>
                <c:pt idx="20">
                  <c:v>Maj 2013</c:v>
                </c:pt>
                <c:pt idx="21">
                  <c:v>Dec. 2014</c:v>
                </c:pt>
                <c:pt idx="22">
                  <c:v>Jan. 2015</c:v>
                </c:pt>
                <c:pt idx="23">
                  <c:v>Jun. 2016</c:v>
                </c:pt>
                <c:pt idx="24">
                  <c:v>Sept. 2016</c:v>
                </c:pt>
                <c:pt idx="25">
                  <c:v>Jun. 2017</c:v>
                </c:pt>
                <c:pt idx="26">
                  <c:v>Sept. 2017</c:v>
                </c:pt>
                <c:pt idx="27">
                  <c:v>Nov. 2017</c:v>
                </c:pt>
                <c:pt idx="28">
                  <c:v>Apr. 2019</c:v>
                </c:pt>
                <c:pt idx="29">
                  <c:v>Jun. 2019</c:v>
                </c:pt>
                <c:pt idx="30">
                  <c:v>Jul. 2019</c:v>
                </c:pt>
                <c:pt idx="31">
                  <c:v>Feb. 2020</c:v>
                </c:pt>
                <c:pt idx="32">
                  <c:v>Okt. 2020</c:v>
                </c:pt>
                <c:pt idx="33">
                  <c:v>Dec. 2020</c:v>
                </c:pt>
                <c:pt idx="34">
                  <c:v>Apr. 2023</c:v>
                </c:pt>
              </c:strCache>
            </c:strRef>
          </c:cat>
          <c:val>
            <c:numRef>
              <c:f>Sheet1!$B$2:$B$36</c:f>
              <c:numCache>
                <c:formatCode>General</c:formatCode>
                <c:ptCount val="35"/>
                <c:pt idx="0">
                  <c:v>6</c:v>
                </c:pt>
                <c:pt idx="1">
                  <c:v>6</c:v>
                </c:pt>
                <c:pt idx="2">
                  <c:v>6</c:v>
                </c:pt>
                <c:pt idx="3">
                  <c:v>6</c:v>
                </c:pt>
                <c:pt idx="4">
                  <c:v>6</c:v>
                </c:pt>
                <c:pt idx="5">
                  <c:v>7</c:v>
                </c:pt>
                <c:pt idx="6">
                  <c:v>7</c:v>
                </c:pt>
                <c:pt idx="7">
                  <c:v>8</c:v>
                </c:pt>
                <c:pt idx="8">
                  <c:v>8</c:v>
                </c:pt>
                <c:pt idx="9">
                  <c:v>9</c:v>
                </c:pt>
                <c:pt idx="10">
                  <c:v>9</c:v>
                </c:pt>
                <c:pt idx="11">
                  <c:v>9</c:v>
                </c:pt>
                <c:pt idx="12">
                  <c:v>9</c:v>
                </c:pt>
                <c:pt idx="13">
                  <c:v>8</c:v>
                </c:pt>
                <c:pt idx="14">
                  <c:v>8</c:v>
                </c:pt>
                <c:pt idx="15">
                  <c:v>7</c:v>
                </c:pt>
                <c:pt idx="16">
                  <c:v>7</c:v>
                </c:pt>
                <c:pt idx="17">
                  <c:v>6</c:v>
                </c:pt>
                <c:pt idx="18">
                  <c:v>5</c:v>
                </c:pt>
                <c:pt idx="19">
                  <c:v>5</c:v>
                </c:pt>
                <c:pt idx="20">
                  <c:v>5</c:v>
                </c:pt>
                <c:pt idx="21">
                  <c:v>5</c:v>
                </c:pt>
                <c:pt idx="22">
                  <c:v>5</c:v>
                </c:pt>
                <c:pt idx="23">
                  <c:v>6</c:v>
                </c:pt>
                <c:pt idx="24">
                  <c:v>6</c:v>
                </c:pt>
                <c:pt idx="25">
                  <c:v>7</c:v>
                </c:pt>
                <c:pt idx="26">
                  <c:v>7</c:v>
                </c:pt>
                <c:pt idx="27">
                  <c:v>7</c:v>
                </c:pt>
                <c:pt idx="28">
                  <c:v>7</c:v>
                </c:pt>
                <c:pt idx="29">
                  <c:v>8</c:v>
                </c:pt>
                <c:pt idx="30">
                  <c:v>8</c:v>
                </c:pt>
                <c:pt idx="31">
                  <c:v>8</c:v>
                </c:pt>
                <c:pt idx="32">
                  <c:v>8</c:v>
                </c:pt>
                <c:pt idx="33">
                  <c:v>8</c:v>
                </c:pt>
                <c:pt idx="34">
                  <c:v>8</c:v>
                </c:pt>
              </c:numCache>
            </c:numRef>
          </c:val>
          <c:smooth val="0"/>
          <c:extLst>
            <c:ext xmlns:c16="http://schemas.microsoft.com/office/drawing/2014/chart" uri="{C3380CC4-5D6E-409C-BE32-E72D297353CC}">
              <c16:uniqueId val="{00000002-CE1C-4209-AC7C-D895D5E22107}"/>
            </c:ext>
          </c:extLst>
        </c:ser>
        <c:ser>
          <c:idx val="1"/>
          <c:order val="1"/>
          <c:tx>
            <c:strRef>
              <c:f>Sheet1!$C$1</c:f>
              <c:strCache>
                <c:ptCount val="1"/>
                <c:pt idx="0">
                  <c:v>Moody' s</c:v>
                </c:pt>
              </c:strCache>
            </c:strRef>
          </c:tx>
          <c:spPr>
            <a:ln w="19050">
              <a:solidFill>
                <a:schemeClr val="tx1"/>
              </a:solidFill>
            </a:ln>
          </c:spPr>
          <c:marker>
            <c:symbol val="square"/>
            <c:size val="2"/>
            <c:spPr>
              <a:solidFill>
                <a:schemeClr val="tx1"/>
              </a:solidFill>
              <a:ln w="19050">
                <a:solidFill>
                  <a:schemeClr val="tx1"/>
                </a:solidFill>
              </a:ln>
            </c:spPr>
          </c:marker>
          <c:dPt>
            <c:idx val="21"/>
            <c:marker>
              <c:symbol val="none"/>
            </c:marker>
            <c:bubble3D val="0"/>
            <c:extLst>
              <c:ext xmlns:c16="http://schemas.microsoft.com/office/drawing/2014/chart" uri="{C3380CC4-5D6E-409C-BE32-E72D297353CC}">
                <c16:uniqueId val="{00000003-CE1C-4209-AC7C-D895D5E22107}"/>
              </c:ext>
            </c:extLst>
          </c:dPt>
          <c:cat>
            <c:strRef>
              <c:f>Sheet1!$A$2:$A$36</c:f>
              <c:strCache>
                <c:ptCount val="35"/>
                <c:pt idx="0">
                  <c:v>Maj 1996</c:v>
                </c:pt>
                <c:pt idx="1">
                  <c:v>Dec. 1999</c:v>
                </c:pt>
                <c:pt idx="2">
                  <c:v>Sep. 2000</c:v>
                </c:pt>
                <c:pt idx="3">
                  <c:v>Nov. 2000</c:v>
                </c:pt>
                <c:pt idx="4">
                  <c:v>Nov. 2002</c:v>
                </c:pt>
                <c:pt idx="5">
                  <c:v>Mar. 2003</c:v>
                </c:pt>
                <c:pt idx="6">
                  <c:v>Maj 2003</c:v>
                </c:pt>
                <c:pt idx="7">
                  <c:v>Maj 2004</c:v>
                </c:pt>
                <c:pt idx="8">
                  <c:v>Jul. 2004</c:v>
                </c:pt>
                <c:pt idx="9">
                  <c:v>May 2006</c:v>
                </c:pt>
                <c:pt idx="10">
                  <c:v>Jun. 2006</c:v>
                </c:pt>
                <c:pt idx="11">
                  <c:v>Jul. 2006</c:v>
                </c:pt>
                <c:pt idx="12">
                  <c:v>Sept. 2011</c:v>
                </c:pt>
                <c:pt idx="13">
                  <c:v>Oct. 2011</c:v>
                </c:pt>
                <c:pt idx="14">
                  <c:v>Dec 2011</c:v>
                </c:pt>
                <c:pt idx="15">
                  <c:v>Jan. 2012</c:v>
                </c:pt>
                <c:pt idx="16">
                  <c:v>Feb. 2012</c:v>
                </c:pt>
                <c:pt idx="17">
                  <c:v>Aug. 2012</c:v>
                </c:pt>
                <c:pt idx="18">
                  <c:v>Feb. 2013</c:v>
                </c:pt>
                <c:pt idx="19">
                  <c:v>Apr. 2013</c:v>
                </c:pt>
                <c:pt idx="20">
                  <c:v>Maj 2013</c:v>
                </c:pt>
                <c:pt idx="21">
                  <c:v>Dec. 2014</c:v>
                </c:pt>
                <c:pt idx="22">
                  <c:v>Jan. 2015</c:v>
                </c:pt>
                <c:pt idx="23">
                  <c:v>Jun. 2016</c:v>
                </c:pt>
                <c:pt idx="24">
                  <c:v>Sept. 2016</c:v>
                </c:pt>
                <c:pt idx="25">
                  <c:v>Jun. 2017</c:v>
                </c:pt>
                <c:pt idx="26">
                  <c:v>Sept. 2017</c:v>
                </c:pt>
                <c:pt idx="27">
                  <c:v>Nov. 2017</c:v>
                </c:pt>
                <c:pt idx="28">
                  <c:v>Apr. 2019</c:v>
                </c:pt>
                <c:pt idx="29">
                  <c:v>Jun. 2019</c:v>
                </c:pt>
                <c:pt idx="30">
                  <c:v>Jul. 2019</c:v>
                </c:pt>
                <c:pt idx="31">
                  <c:v>Feb. 2020</c:v>
                </c:pt>
                <c:pt idx="32">
                  <c:v>Okt. 2020</c:v>
                </c:pt>
                <c:pt idx="33">
                  <c:v>Dec. 2020</c:v>
                </c:pt>
                <c:pt idx="34">
                  <c:v>Apr. 2023</c:v>
                </c:pt>
              </c:strCache>
            </c:strRef>
          </c:cat>
          <c:val>
            <c:numRef>
              <c:f>Sheet1!$C$2:$C$36</c:f>
              <c:numCache>
                <c:formatCode>General</c:formatCode>
                <c:ptCount val="35"/>
                <c:pt idx="0">
                  <c:v>5</c:v>
                </c:pt>
                <c:pt idx="1">
                  <c:v>5</c:v>
                </c:pt>
                <c:pt idx="2">
                  <c:v>5</c:v>
                </c:pt>
                <c:pt idx="3">
                  <c:v>6</c:v>
                </c:pt>
                <c:pt idx="4">
                  <c:v>8</c:v>
                </c:pt>
                <c:pt idx="5">
                  <c:v>8</c:v>
                </c:pt>
                <c:pt idx="6">
                  <c:v>8</c:v>
                </c:pt>
                <c:pt idx="7">
                  <c:v>8</c:v>
                </c:pt>
                <c:pt idx="8">
                  <c:v>8</c:v>
                </c:pt>
                <c:pt idx="9">
                  <c:v>8</c:v>
                </c:pt>
                <c:pt idx="10">
                  <c:v>8</c:v>
                </c:pt>
                <c:pt idx="11">
                  <c:v>9</c:v>
                </c:pt>
                <c:pt idx="12">
                  <c:v>8</c:v>
                </c:pt>
                <c:pt idx="13">
                  <c:v>8</c:v>
                </c:pt>
                <c:pt idx="14">
                  <c:v>7</c:v>
                </c:pt>
                <c:pt idx="15">
                  <c:v>7</c:v>
                </c:pt>
                <c:pt idx="16">
                  <c:v>6</c:v>
                </c:pt>
                <c:pt idx="17">
                  <c:v>3</c:v>
                </c:pt>
                <c:pt idx="18">
                  <c:v>3</c:v>
                </c:pt>
                <c:pt idx="19">
                  <c:v>1</c:v>
                </c:pt>
                <c:pt idx="20">
                  <c:v>1</c:v>
                </c:pt>
                <c:pt idx="21">
                  <c:v>1</c:v>
                </c:pt>
                <c:pt idx="22">
                  <c:v>2</c:v>
                </c:pt>
                <c:pt idx="23">
                  <c:v>2</c:v>
                </c:pt>
                <c:pt idx="24">
                  <c:v>2</c:v>
                </c:pt>
                <c:pt idx="25">
                  <c:v>2</c:v>
                </c:pt>
                <c:pt idx="26">
                  <c:v>4</c:v>
                </c:pt>
                <c:pt idx="27">
                  <c:v>4</c:v>
                </c:pt>
                <c:pt idx="28">
                  <c:v>4</c:v>
                </c:pt>
                <c:pt idx="29">
                  <c:v>4</c:v>
                </c:pt>
                <c:pt idx="30">
                  <c:v>4</c:v>
                </c:pt>
                <c:pt idx="31">
                  <c:v>4</c:v>
                </c:pt>
                <c:pt idx="32">
                  <c:v>5</c:v>
                </c:pt>
                <c:pt idx="33">
                  <c:v>5</c:v>
                </c:pt>
                <c:pt idx="34">
                  <c:v>5</c:v>
                </c:pt>
              </c:numCache>
            </c:numRef>
          </c:val>
          <c:smooth val="0"/>
          <c:extLst>
            <c:ext xmlns:c16="http://schemas.microsoft.com/office/drawing/2014/chart" uri="{C3380CC4-5D6E-409C-BE32-E72D297353CC}">
              <c16:uniqueId val="{00000004-CE1C-4209-AC7C-D895D5E22107}"/>
            </c:ext>
          </c:extLst>
        </c:ser>
        <c:ser>
          <c:idx val="2"/>
          <c:order val="2"/>
          <c:tx>
            <c:strRef>
              <c:f>Sheet1!$D$1</c:f>
              <c:strCache>
                <c:ptCount val="1"/>
                <c:pt idx="0">
                  <c:v>Fitch</c:v>
                </c:pt>
              </c:strCache>
            </c:strRef>
          </c:tx>
          <c:spPr>
            <a:ln w="22225">
              <a:solidFill>
                <a:srgbClr val="00B0F0"/>
              </a:solidFill>
            </a:ln>
          </c:spPr>
          <c:marker>
            <c:symbol val="diamond"/>
            <c:size val="5"/>
            <c:spPr>
              <a:solidFill>
                <a:srgbClr val="00B0F0"/>
              </a:solidFill>
            </c:spPr>
          </c:marker>
          <c:cat>
            <c:strRef>
              <c:f>Sheet1!$A$2:$A$36</c:f>
              <c:strCache>
                <c:ptCount val="35"/>
                <c:pt idx="0">
                  <c:v>Maj 1996</c:v>
                </c:pt>
                <c:pt idx="1">
                  <c:v>Dec. 1999</c:v>
                </c:pt>
                <c:pt idx="2">
                  <c:v>Sep. 2000</c:v>
                </c:pt>
                <c:pt idx="3">
                  <c:v>Nov. 2000</c:v>
                </c:pt>
                <c:pt idx="4">
                  <c:v>Nov. 2002</c:v>
                </c:pt>
                <c:pt idx="5">
                  <c:v>Mar. 2003</c:v>
                </c:pt>
                <c:pt idx="6">
                  <c:v>Maj 2003</c:v>
                </c:pt>
                <c:pt idx="7">
                  <c:v>Maj 2004</c:v>
                </c:pt>
                <c:pt idx="8">
                  <c:v>Jul. 2004</c:v>
                </c:pt>
                <c:pt idx="9">
                  <c:v>May 2006</c:v>
                </c:pt>
                <c:pt idx="10">
                  <c:v>Jun. 2006</c:v>
                </c:pt>
                <c:pt idx="11">
                  <c:v>Jul. 2006</c:v>
                </c:pt>
                <c:pt idx="12">
                  <c:v>Sept. 2011</c:v>
                </c:pt>
                <c:pt idx="13">
                  <c:v>Oct. 2011</c:v>
                </c:pt>
                <c:pt idx="14">
                  <c:v>Dec 2011</c:v>
                </c:pt>
                <c:pt idx="15">
                  <c:v>Jan. 2012</c:v>
                </c:pt>
                <c:pt idx="16">
                  <c:v>Feb. 2012</c:v>
                </c:pt>
                <c:pt idx="17">
                  <c:v>Aug. 2012</c:v>
                </c:pt>
                <c:pt idx="18">
                  <c:v>Feb. 2013</c:v>
                </c:pt>
                <c:pt idx="19">
                  <c:v>Apr. 2013</c:v>
                </c:pt>
                <c:pt idx="20">
                  <c:v>Maj 2013</c:v>
                </c:pt>
                <c:pt idx="21">
                  <c:v>Dec. 2014</c:v>
                </c:pt>
                <c:pt idx="22">
                  <c:v>Jan. 2015</c:v>
                </c:pt>
                <c:pt idx="23">
                  <c:v>Jun. 2016</c:v>
                </c:pt>
                <c:pt idx="24">
                  <c:v>Sept. 2016</c:v>
                </c:pt>
                <c:pt idx="25">
                  <c:v>Jun. 2017</c:v>
                </c:pt>
                <c:pt idx="26">
                  <c:v>Sept. 2017</c:v>
                </c:pt>
                <c:pt idx="27">
                  <c:v>Nov. 2017</c:v>
                </c:pt>
                <c:pt idx="28">
                  <c:v>Apr. 2019</c:v>
                </c:pt>
                <c:pt idx="29">
                  <c:v>Jun. 2019</c:v>
                </c:pt>
                <c:pt idx="30">
                  <c:v>Jul. 2019</c:v>
                </c:pt>
                <c:pt idx="31">
                  <c:v>Feb. 2020</c:v>
                </c:pt>
                <c:pt idx="32">
                  <c:v>Okt. 2020</c:v>
                </c:pt>
                <c:pt idx="33">
                  <c:v>Dec. 2020</c:v>
                </c:pt>
                <c:pt idx="34">
                  <c:v>Apr. 2023</c:v>
                </c:pt>
              </c:strCache>
            </c:strRef>
          </c:cat>
          <c:val>
            <c:numRef>
              <c:f>Sheet1!$D$2:$D$36</c:f>
              <c:numCache>
                <c:formatCode>General</c:formatCode>
                <c:ptCount val="35"/>
                <c:pt idx="0">
                  <c:v>5</c:v>
                </c:pt>
                <c:pt idx="1">
                  <c:v>6</c:v>
                </c:pt>
                <c:pt idx="2">
                  <c:v>6</c:v>
                </c:pt>
                <c:pt idx="3">
                  <c:v>6</c:v>
                </c:pt>
                <c:pt idx="4">
                  <c:v>6</c:v>
                </c:pt>
                <c:pt idx="5">
                  <c:v>6</c:v>
                </c:pt>
                <c:pt idx="6">
                  <c:v>7</c:v>
                </c:pt>
                <c:pt idx="7">
                  <c:v>7</c:v>
                </c:pt>
                <c:pt idx="8">
                  <c:v>8</c:v>
                </c:pt>
                <c:pt idx="9">
                  <c:v>8</c:v>
                </c:pt>
                <c:pt idx="10">
                  <c:v>8</c:v>
                </c:pt>
                <c:pt idx="11">
                  <c:v>9</c:v>
                </c:pt>
                <c:pt idx="12">
                  <c:v>8</c:v>
                </c:pt>
                <c:pt idx="13">
                  <c:v>8</c:v>
                </c:pt>
                <c:pt idx="14">
                  <c:v>8</c:v>
                </c:pt>
                <c:pt idx="15">
                  <c:v>6</c:v>
                </c:pt>
                <c:pt idx="16">
                  <c:v>6</c:v>
                </c:pt>
                <c:pt idx="17">
                  <c:v>5</c:v>
                </c:pt>
                <c:pt idx="18">
                  <c:v>5</c:v>
                </c:pt>
                <c:pt idx="19">
                  <c:v>5</c:v>
                </c:pt>
                <c:pt idx="20">
                  <c:v>4</c:v>
                </c:pt>
                <c:pt idx="21">
                  <c:v>4</c:v>
                </c:pt>
                <c:pt idx="22">
                  <c:v>4</c:v>
                </c:pt>
                <c:pt idx="23">
                  <c:v>4</c:v>
                </c:pt>
                <c:pt idx="24">
                  <c:v>5</c:v>
                </c:pt>
                <c:pt idx="25">
                  <c:v>5</c:v>
                </c:pt>
                <c:pt idx="26">
                  <c:v>5</c:v>
                </c:pt>
                <c:pt idx="27">
                  <c:v>5</c:v>
                </c:pt>
                <c:pt idx="28">
                  <c:v>5</c:v>
                </c:pt>
                <c:pt idx="29">
                  <c:v>5</c:v>
                </c:pt>
                <c:pt idx="30">
                  <c:v>6</c:v>
                </c:pt>
                <c:pt idx="31">
                  <c:v>6</c:v>
                </c:pt>
                <c:pt idx="32">
                  <c:v>6</c:v>
                </c:pt>
                <c:pt idx="33">
                  <c:v>6</c:v>
                </c:pt>
                <c:pt idx="34">
                  <c:v>6</c:v>
                </c:pt>
              </c:numCache>
            </c:numRef>
          </c:val>
          <c:smooth val="0"/>
          <c:extLst>
            <c:ext xmlns:c16="http://schemas.microsoft.com/office/drawing/2014/chart" uri="{C3380CC4-5D6E-409C-BE32-E72D297353CC}">
              <c16:uniqueId val="{00000005-CE1C-4209-AC7C-D895D5E22107}"/>
            </c:ext>
          </c:extLst>
        </c:ser>
        <c:ser>
          <c:idx val="3"/>
          <c:order val="3"/>
          <c:tx>
            <c:strRef>
              <c:f>Sheet1!$E$1</c:f>
              <c:strCache>
                <c:ptCount val="1"/>
                <c:pt idx="0">
                  <c:v>DBRS</c:v>
                </c:pt>
              </c:strCache>
            </c:strRef>
          </c:tx>
          <c:spPr>
            <a:ln w="22225">
              <a:solidFill>
                <a:schemeClr val="accent6">
                  <a:lumMod val="75000"/>
                </a:schemeClr>
              </a:solidFill>
            </a:ln>
          </c:spPr>
          <c:marker>
            <c:symbol val="diamond"/>
            <c:size val="6"/>
            <c:spPr>
              <a:solidFill>
                <a:schemeClr val="accent6">
                  <a:lumMod val="75000"/>
                </a:schemeClr>
              </a:solidFill>
              <a:ln>
                <a:noFill/>
              </a:ln>
            </c:spPr>
          </c:marker>
          <c:cat>
            <c:strRef>
              <c:f>Sheet1!$A$2:$A$36</c:f>
              <c:strCache>
                <c:ptCount val="35"/>
                <c:pt idx="0">
                  <c:v>Maj 1996</c:v>
                </c:pt>
                <c:pt idx="1">
                  <c:v>Dec. 1999</c:v>
                </c:pt>
                <c:pt idx="2">
                  <c:v>Sep. 2000</c:v>
                </c:pt>
                <c:pt idx="3">
                  <c:v>Nov. 2000</c:v>
                </c:pt>
                <c:pt idx="4">
                  <c:v>Nov. 2002</c:v>
                </c:pt>
                <c:pt idx="5">
                  <c:v>Mar. 2003</c:v>
                </c:pt>
                <c:pt idx="6">
                  <c:v>Maj 2003</c:v>
                </c:pt>
                <c:pt idx="7">
                  <c:v>Maj 2004</c:v>
                </c:pt>
                <c:pt idx="8">
                  <c:v>Jul. 2004</c:v>
                </c:pt>
                <c:pt idx="9">
                  <c:v>May 2006</c:v>
                </c:pt>
                <c:pt idx="10">
                  <c:v>Jun. 2006</c:v>
                </c:pt>
                <c:pt idx="11">
                  <c:v>Jul. 2006</c:v>
                </c:pt>
                <c:pt idx="12">
                  <c:v>Sept. 2011</c:v>
                </c:pt>
                <c:pt idx="13">
                  <c:v>Oct. 2011</c:v>
                </c:pt>
                <c:pt idx="14">
                  <c:v>Dec 2011</c:v>
                </c:pt>
                <c:pt idx="15">
                  <c:v>Jan. 2012</c:v>
                </c:pt>
                <c:pt idx="16">
                  <c:v>Feb. 2012</c:v>
                </c:pt>
                <c:pt idx="17">
                  <c:v>Aug. 2012</c:v>
                </c:pt>
                <c:pt idx="18">
                  <c:v>Feb. 2013</c:v>
                </c:pt>
                <c:pt idx="19">
                  <c:v>Apr. 2013</c:v>
                </c:pt>
                <c:pt idx="20">
                  <c:v>Maj 2013</c:v>
                </c:pt>
                <c:pt idx="21">
                  <c:v>Dec. 2014</c:v>
                </c:pt>
                <c:pt idx="22">
                  <c:v>Jan. 2015</c:v>
                </c:pt>
                <c:pt idx="23">
                  <c:v>Jun. 2016</c:v>
                </c:pt>
                <c:pt idx="24">
                  <c:v>Sept. 2016</c:v>
                </c:pt>
                <c:pt idx="25">
                  <c:v>Jun. 2017</c:v>
                </c:pt>
                <c:pt idx="26">
                  <c:v>Sept. 2017</c:v>
                </c:pt>
                <c:pt idx="27">
                  <c:v>Nov. 2017</c:v>
                </c:pt>
                <c:pt idx="28">
                  <c:v>Apr. 2019</c:v>
                </c:pt>
                <c:pt idx="29">
                  <c:v>Jun. 2019</c:v>
                </c:pt>
                <c:pt idx="30">
                  <c:v>Jul. 2019</c:v>
                </c:pt>
                <c:pt idx="31">
                  <c:v>Feb. 2020</c:v>
                </c:pt>
                <c:pt idx="32">
                  <c:v>Okt. 2020</c:v>
                </c:pt>
                <c:pt idx="33">
                  <c:v>Dec. 2020</c:v>
                </c:pt>
                <c:pt idx="34">
                  <c:v>Apr. 2023</c:v>
                </c:pt>
              </c:strCache>
            </c:strRef>
          </c:cat>
          <c:val>
            <c:numRef>
              <c:f>Sheet1!$E$2:$E$36</c:f>
              <c:numCache>
                <c:formatCode>General</c:formatCode>
                <c:ptCount val="35"/>
                <c:pt idx="27">
                  <c:v>6</c:v>
                </c:pt>
                <c:pt idx="28">
                  <c:v>6</c:v>
                </c:pt>
                <c:pt idx="29">
                  <c:v>6</c:v>
                </c:pt>
                <c:pt idx="30">
                  <c:v>6</c:v>
                </c:pt>
                <c:pt idx="31">
                  <c:v>7</c:v>
                </c:pt>
                <c:pt idx="32">
                  <c:v>7</c:v>
                </c:pt>
                <c:pt idx="33">
                  <c:v>7</c:v>
                </c:pt>
                <c:pt idx="34">
                  <c:v>7</c:v>
                </c:pt>
              </c:numCache>
            </c:numRef>
          </c:val>
          <c:smooth val="0"/>
          <c:extLst>
            <c:ext xmlns:c16="http://schemas.microsoft.com/office/drawing/2014/chart" uri="{C3380CC4-5D6E-409C-BE32-E72D297353CC}">
              <c16:uniqueId val="{00000006-CE1C-4209-AC7C-D895D5E22107}"/>
            </c:ext>
          </c:extLst>
        </c:ser>
        <c:dLbls>
          <c:showLegendKey val="0"/>
          <c:showVal val="0"/>
          <c:showCatName val="0"/>
          <c:showSerName val="0"/>
          <c:showPercent val="0"/>
          <c:showBubbleSize val="0"/>
        </c:dLbls>
        <c:marker val="1"/>
        <c:smooth val="0"/>
        <c:axId val="227856768"/>
        <c:axId val="227858688"/>
      </c:lineChart>
      <c:catAx>
        <c:axId val="227856768"/>
        <c:scaling>
          <c:orientation val="minMax"/>
        </c:scaling>
        <c:delete val="0"/>
        <c:axPos val="b"/>
        <c:numFmt formatCode="General" sourceLinked="0"/>
        <c:majorTickMark val="out"/>
        <c:minorTickMark val="none"/>
        <c:tickLblPos val="nextTo"/>
        <c:txPr>
          <a:bodyPr rot="-5400000" vert="horz"/>
          <a:lstStyle/>
          <a:p>
            <a:pPr>
              <a:defRPr sz="1000" baseline="0">
                <a:latin typeface="+mn-lt"/>
                <a:cs typeface="Arial" panose="020B0604020202020204" pitchFamily="34" charset="0"/>
              </a:defRPr>
            </a:pPr>
            <a:endParaRPr lang="en-US"/>
          </a:p>
        </c:txPr>
        <c:crossAx val="227858688"/>
        <c:crosses val="autoZero"/>
        <c:auto val="1"/>
        <c:lblAlgn val="ctr"/>
        <c:lblOffset val="100"/>
        <c:noMultiLvlLbl val="0"/>
      </c:catAx>
      <c:valAx>
        <c:axId val="227858688"/>
        <c:scaling>
          <c:orientation val="minMax"/>
        </c:scaling>
        <c:delete val="0"/>
        <c:axPos val="l"/>
        <c:numFmt formatCode="General" sourceLinked="1"/>
        <c:majorTickMark val="out"/>
        <c:minorTickMark val="none"/>
        <c:tickLblPos val="none"/>
        <c:crossAx val="227856768"/>
        <c:crosses val="autoZero"/>
        <c:crossBetween val="between"/>
      </c:valAx>
    </c:plotArea>
    <c:legend>
      <c:legendPos val="r"/>
      <c:layout>
        <c:manualLayout>
          <c:xMode val="edge"/>
          <c:yMode val="edge"/>
          <c:x val="0.20871657935189775"/>
          <c:y val="0.46464571936987842"/>
          <c:w val="0.22476228230495543"/>
          <c:h val="0.25682267492510108"/>
        </c:manualLayout>
      </c:layout>
      <c:overlay val="1"/>
      <c:txPr>
        <a:bodyPr/>
        <a:lstStyle/>
        <a:p>
          <a:pPr>
            <a:defRPr sz="1050" baseline="0">
              <a:latin typeface="Arial Narrow" panose="020B0606020202030204" pitchFamily="34" charset="0"/>
            </a:defRPr>
          </a:pPr>
          <a:endParaRPr lang="en-US"/>
        </a:p>
      </c:txPr>
    </c:legend>
    <c:plotVisOnly val="1"/>
    <c:dispBlanksAs val="gap"/>
    <c:showDLblsOverMax val="0"/>
  </c:chart>
  <c:spPr>
    <a:solidFill>
      <a:schemeClr val="bg1"/>
    </a:solidFill>
    <a:ln>
      <a:noFill/>
    </a:ln>
  </c:spPr>
  <c:txPr>
    <a:bodyPr/>
    <a:lstStyle/>
    <a:p>
      <a:pPr>
        <a:defRPr sz="800"/>
      </a:pPr>
      <a:endParaRPr lang="en-US"/>
    </a:p>
  </c:txPr>
  <c:externalData r:id="rId1">
    <c:autoUpdate val="0"/>
  </c:externalData>
  <c:userShapes r:id="rId2"/>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8684614191988116E-2"/>
          <c:y val="9.4448554161277384E-2"/>
          <c:w val="0.91543808127844628"/>
          <c:h val="0.62015056673639202"/>
        </c:manualLayout>
      </c:layout>
      <c:areaChart>
        <c:grouping val="standard"/>
        <c:varyColors val="0"/>
        <c:ser>
          <c:idx val="2"/>
          <c:order val="2"/>
          <c:tx>
            <c:strRef>
              <c:f>Sheet1!$D$1</c:f>
              <c:strCache>
                <c:ptCount val="1"/>
                <c:pt idx="0">
                  <c:v>Pribitek nad Bund 10 let (DS)</c:v>
                </c:pt>
              </c:strCache>
            </c:strRef>
          </c:tx>
          <c:spPr>
            <a:solidFill>
              <a:schemeClr val="bg2">
                <a:lumMod val="75000"/>
              </a:schemeClr>
            </a:solidFill>
            <a:ln w="19050">
              <a:solidFill>
                <a:schemeClr val="bg1">
                  <a:lumMod val="65000"/>
                </a:schemeClr>
              </a:solidFill>
            </a:ln>
          </c:spPr>
          <c:cat>
            <c:numRef>
              <c:f>Sheet1!$A$2:$A$1228</c:f>
              <c:numCache>
                <c:formatCode>dd/mm/yyyy;@</c:formatCode>
                <c:ptCount val="1227"/>
                <c:pt idx="0">
                  <c:v>43467</c:v>
                </c:pt>
                <c:pt idx="1">
                  <c:v>43468</c:v>
                </c:pt>
                <c:pt idx="2">
                  <c:v>43469</c:v>
                </c:pt>
                <c:pt idx="3">
                  <c:v>43472</c:v>
                </c:pt>
                <c:pt idx="4">
                  <c:v>43473</c:v>
                </c:pt>
                <c:pt idx="5">
                  <c:v>43474</c:v>
                </c:pt>
                <c:pt idx="6">
                  <c:v>43475</c:v>
                </c:pt>
                <c:pt idx="7">
                  <c:v>43476</c:v>
                </c:pt>
                <c:pt idx="8">
                  <c:v>43479</c:v>
                </c:pt>
                <c:pt idx="9">
                  <c:v>43480</c:v>
                </c:pt>
                <c:pt idx="10">
                  <c:v>43481</c:v>
                </c:pt>
                <c:pt idx="11">
                  <c:v>43482</c:v>
                </c:pt>
                <c:pt idx="12">
                  <c:v>43483</c:v>
                </c:pt>
                <c:pt idx="13">
                  <c:v>43486</c:v>
                </c:pt>
                <c:pt idx="14">
                  <c:v>43487</c:v>
                </c:pt>
                <c:pt idx="15">
                  <c:v>43488</c:v>
                </c:pt>
                <c:pt idx="16">
                  <c:v>43489</c:v>
                </c:pt>
                <c:pt idx="17">
                  <c:v>43490</c:v>
                </c:pt>
                <c:pt idx="18">
                  <c:v>43493</c:v>
                </c:pt>
                <c:pt idx="19">
                  <c:v>43494</c:v>
                </c:pt>
                <c:pt idx="20">
                  <c:v>43495</c:v>
                </c:pt>
                <c:pt idx="21">
                  <c:v>43496</c:v>
                </c:pt>
                <c:pt idx="22">
                  <c:v>43497</c:v>
                </c:pt>
                <c:pt idx="23">
                  <c:v>43500</c:v>
                </c:pt>
                <c:pt idx="24">
                  <c:v>43501</c:v>
                </c:pt>
                <c:pt idx="25">
                  <c:v>43502</c:v>
                </c:pt>
                <c:pt idx="26">
                  <c:v>43503</c:v>
                </c:pt>
                <c:pt idx="27">
                  <c:v>43504</c:v>
                </c:pt>
                <c:pt idx="28">
                  <c:v>43507</c:v>
                </c:pt>
                <c:pt idx="29">
                  <c:v>43508</c:v>
                </c:pt>
                <c:pt idx="30">
                  <c:v>43509</c:v>
                </c:pt>
                <c:pt idx="31">
                  <c:v>43510</c:v>
                </c:pt>
                <c:pt idx="32">
                  <c:v>43511</c:v>
                </c:pt>
                <c:pt idx="33">
                  <c:v>43514</c:v>
                </c:pt>
                <c:pt idx="34">
                  <c:v>43515</c:v>
                </c:pt>
                <c:pt idx="35">
                  <c:v>43516</c:v>
                </c:pt>
                <c:pt idx="36">
                  <c:v>43517</c:v>
                </c:pt>
                <c:pt idx="37">
                  <c:v>43518</c:v>
                </c:pt>
                <c:pt idx="38">
                  <c:v>43521</c:v>
                </c:pt>
                <c:pt idx="39">
                  <c:v>43522</c:v>
                </c:pt>
                <c:pt idx="40">
                  <c:v>43523</c:v>
                </c:pt>
                <c:pt idx="41">
                  <c:v>43524</c:v>
                </c:pt>
                <c:pt idx="42">
                  <c:v>43525</c:v>
                </c:pt>
                <c:pt idx="43">
                  <c:v>43528</c:v>
                </c:pt>
                <c:pt idx="44">
                  <c:v>43529</c:v>
                </c:pt>
                <c:pt idx="45">
                  <c:v>43530</c:v>
                </c:pt>
                <c:pt idx="46">
                  <c:v>43531</c:v>
                </c:pt>
                <c:pt idx="47">
                  <c:v>43532</c:v>
                </c:pt>
                <c:pt idx="48">
                  <c:v>43535</c:v>
                </c:pt>
                <c:pt idx="49">
                  <c:v>43536</c:v>
                </c:pt>
                <c:pt idx="50">
                  <c:v>43537</c:v>
                </c:pt>
                <c:pt idx="51">
                  <c:v>43538</c:v>
                </c:pt>
                <c:pt idx="52">
                  <c:v>43539</c:v>
                </c:pt>
                <c:pt idx="53">
                  <c:v>43542</c:v>
                </c:pt>
                <c:pt idx="54">
                  <c:v>43543</c:v>
                </c:pt>
                <c:pt idx="55">
                  <c:v>43544</c:v>
                </c:pt>
                <c:pt idx="56">
                  <c:v>43545</c:v>
                </c:pt>
                <c:pt idx="57">
                  <c:v>43546</c:v>
                </c:pt>
                <c:pt idx="58">
                  <c:v>43549</c:v>
                </c:pt>
                <c:pt idx="59">
                  <c:v>43550</c:v>
                </c:pt>
                <c:pt idx="60">
                  <c:v>43551</c:v>
                </c:pt>
                <c:pt idx="61">
                  <c:v>43552</c:v>
                </c:pt>
                <c:pt idx="62">
                  <c:v>43553</c:v>
                </c:pt>
                <c:pt idx="63">
                  <c:v>43556</c:v>
                </c:pt>
                <c:pt idx="64">
                  <c:v>43557</c:v>
                </c:pt>
                <c:pt idx="65">
                  <c:v>43558</c:v>
                </c:pt>
                <c:pt idx="66">
                  <c:v>43559</c:v>
                </c:pt>
                <c:pt idx="67">
                  <c:v>43560</c:v>
                </c:pt>
                <c:pt idx="68">
                  <c:v>43563</c:v>
                </c:pt>
                <c:pt idx="69">
                  <c:v>43564</c:v>
                </c:pt>
                <c:pt idx="70">
                  <c:v>43565</c:v>
                </c:pt>
                <c:pt idx="71">
                  <c:v>43566</c:v>
                </c:pt>
                <c:pt idx="72">
                  <c:v>43567</c:v>
                </c:pt>
                <c:pt idx="73">
                  <c:v>43570</c:v>
                </c:pt>
                <c:pt idx="74">
                  <c:v>43571</c:v>
                </c:pt>
                <c:pt idx="75">
                  <c:v>43572</c:v>
                </c:pt>
                <c:pt idx="76">
                  <c:v>43573</c:v>
                </c:pt>
                <c:pt idx="77">
                  <c:v>43574</c:v>
                </c:pt>
                <c:pt idx="78">
                  <c:v>43578</c:v>
                </c:pt>
                <c:pt idx="79">
                  <c:v>43579</c:v>
                </c:pt>
                <c:pt idx="80">
                  <c:v>43580</c:v>
                </c:pt>
                <c:pt idx="81">
                  <c:v>43581</c:v>
                </c:pt>
                <c:pt idx="82">
                  <c:v>43584</c:v>
                </c:pt>
                <c:pt idx="83">
                  <c:v>43585</c:v>
                </c:pt>
                <c:pt idx="84">
                  <c:v>43587</c:v>
                </c:pt>
                <c:pt idx="85">
                  <c:v>43588</c:v>
                </c:pt>
                <c:pt idx="86">
                  <c:v>43591</c:v>
                </c:pt>
                <c:pt idx="87">
                  <c:v>43592</c:v>
                </c:pt>
                <c:pt idx="88">
                  <c:v>43593</c:v>
                </c:pt>
                <c:pt idx="89">
                  <c:v>43594</c:v>
                </c:pt>
                <c:pt idx="90">
                  <c:v>43595</c:v>
                </c:pt>
                <c:pt idx="91">
                  <c:v>43598</c:v>
                </c:pt>
                <c:pt idx="92">
                  <c:v>43599</c:v>
                </c:pt>
                <c:pt idx="93">
                  <c:v>43600</c:v>
                </c:pt>
                <c:pt idx="94">
                  <c:v>43601</c:v>
                </c:pt>
                <c:pt idx="95">
                  <c:v>43602</c:v>
                </c:pt>
                <c:pt idx="96">
                  <c:v>43605</c:v>
                </c:pt>
                <c:pt idx="97">
                  <c:v>43606</c:v>
                </c:pt>
                <c:pt idx="98">
                  <c:v>43607</c:v>
                </c:pt>
                <c:pt idx="99">
                  <c:v>43608</c:v>
                </c:pt>
                <c:pt idx="100">
                  <c:v>43609</c:v>
                </c:pt>
                <c:pt idx="101">
                  <c:v>43612</c:v>
                </c:pt>
                <c:pt idx="102">
                  <c:v>43613</c:v>
                </c:pt>
                <c:pt idx="103">
                  <c:v>43614</c:v>
                </c:pt>
                <c:pt idx="104">
                  <c:v>43615</c:v>
                </c:pt>
                <c:pt idx="105">
                  <c:v>43616</c:v>
                </c:pt>
                <c:pt idx="106">
                  <c:v>43619</c:v>
                </c:pt>
                <c:pt idx="107">
                  <c:v>43620</c:v>
                </c:pt>
                <c:pt idx="108">
                  <c:v>43621</c:v>
                </c:pt>
                <c:pt idx="109">
                  <c:v>43622</c:v>
                </c:pt>
                <c:pt idx="110">
                  <c:v>43623</c:v>
                </c:pt>
                <c:pt idx="111">
                  <c:v>43626</c:v>
                </c:pt>
                <c:pt idx="112">
                  <c:v>43627</c:v>
                </c:pt>
                <c:pt idx="113">
                  <c:v>43628</c:v>
                </c:pt>
                <c:pt idx="114">
                  <c:v>43629</c:v>
                </c:pt>
                <c:pt idx="115">
                  <c:v>43630</c:v>
                </c:pt>
                <c:pt idx="116">
                  <c:v>43633</c:v>
                </c:pt>
                <c:pt idx="117">
                  <c:v>43634</c:v>
                </c:pt>
                <c:pt idx="118">
                  <c:v>43635</c:v>
                </c:pt>
                <c:pt idx="119">
                  <c:v>43636</c:v>
                </c:pt>
                <c:pt idx="120">
                  <c:v>43637</c:v>
                </c:pt>
                <c:pt idx="121">
                  <c:v>43640</c:v>
                </c:pt>
                <c:pt idx="122">
                  <c:v>43641</c:v>
                </c:pt>
                <c:pt idx="123">
                  <c:v>43642</c:v>
                </c:pt>
                <c:pt idx="124">
                  <c:v>43643</c:v>
                </c:pt>
                <c:pt idx="125">
                  <c:v>43644</c:v>
                </c:pt>
                <c:pt idx="126">
                  <c:v>43647</c:v>
                </c:pt>
                <c:pt idx="127">
                  <c:v>43648</c:v>
                </c:pt>
                <c:pt idx="128">
                  <c:v>43649</c:v>
                </c:pt>
                <c:pt idx="129">
                  <c:v>43650</c:v>
                </c:pt>
                <c:pt idx="130">
                  <c:v>43651</c:v>
                </c:pt>
                <c:pt idx="131">
                  <c:v>43654</c:v>
                </c:pt>
                <c:pt idx="132">
                  <c:v>43655</c:v>
                </c:pt>
                <c:pt idx="133">
                  <c:v>43656</c:v>
                </c:pt>
                <c:pt idx="134">
                  <c:v>43657</c:v>
                </c:pt>
                <c:pt idx="135">
                  <c:v>43658</c:v>
                </c:pt>
                <c:pt idx="136">
                  <c:v>43661</c:v>
                </c:pt>
                <c:pt idx="137">
                  <c:v>43662</c:v>
                </c:pt>
                <c:pt idx="138">
                  <c:v>43663</c:v>
                </c:pt>
                <c:pt idx="139">
                  <c:v>43664</c:v>
                </c:pt>
                <c:pt idx="140">
                  <c:v>43665</c:v>
                </c:pt>
                <c:pt idx="141">
                  <c:v>43668</c:v>
                </c:pt>
                <c:pt idx="142">
                  <c:v>43669</c:v>
                </c:pt>
                <c:pt idx="143">
                  <c:v>43670</c:v>
                </c:pt>
                <c:pt idx="144">
                  <c:v>43671</c:v>
                </c:pt>
                <c:pt idx="145">
                  <c:v>43672</c:v>
                </c:pt>
                <c:pt idx="146">
                  <c:v>43675</c:v>
                </c:pt>
                <c:pt idx="147">
                  <c:v>43676</c:v>
                </c:pt>
                <c:pt idx="148">
                  <c:v>43677</c:v>
                </c:pt>
                <c:pt idx="149">
                  <c:v>43678</c:v>
                </c:pt>
                <c:pt idx="150">
                  <c:v>43679</c:v>
                </c:pt>
                <c:pt idx="151">
                  <c:v>43682</c:v>
                </c:pt>
                <c:pt idx="152">
                  <c:v>43683</c:v>
                </c:pt>
                <c:pt idx="153">
                  <c:v>43684</c:v>
                </c:pt>
                <c:pt idx="154">
                  <c:v>43685</c:v>
                </c:pt>
                <c:pt idx="155">
                  <c:v>43686</c:v>
                </c:pt>
                <c:pt idx="156">
                  <c:v>43689</c:v>
                </c:pt>
                <c:pt idx="157">
                  <c:v>43690</c:v>
                </c:pt>
                <c:pt idx="158">
                  <c:v>43691</c:v>
                </c:pt>
                <c:pt idx="159">
                  <c:v>43692</c:v>
                </c:pt>
                <c:pt idx="160">
                  <c:v>43693</c:v>
                </c:pt>
                <c:pt idx="161">
                  <c:v>43696</c:v>
                </c:pt>
                <c:pt idx="162">
                  <c:v>43697</c:v>
                </c:pt>
                <c:pt idx="163">
                  <c:v>43698</c:v>
                </c:pt>
                <c:pt idx="164">
                  <c:v>43699</c:v>
                </c:pt>
                <c:pt idx="165">
                  <c:v>43700</c:v>
                </c:pt>
                <c:pt idx="166">
                  <c:v>43703</c:v>
                </c:pt>
                <c:pt idx="167">
                  <c:v>43704</c:v>
                </c:pt>
                <c:pt idx="168">
                  <c:v>43705</c:v>
                </c:pt>
                <c:pt idx="169">
                  <c:v>43706</c:v>
                </c:pt>
                <c:pt idx="170">
                  <c:v>43707</c:v>
                </c:pt>
                <c:pt idx="171">
                  <c:v>43710</c:v>
                </c:pt>
                <c:pt idx="172">
                  <c:v>43711</c:v>
                </c:pt>
                <c:pt idx="173">
                  <c:v>43712</c:v>
                </c:pt>
                <c:pt idx="174">
                  <c:v>43713</c:v>
                </c:pt>
                <c:pt idx="175">
                  <c:v>43714</c:v>
                </c:pt>
                <c:pt idx="176">
                  <c:v>43717</c:v>
                </c:pt>
                <c:pt idx="177">
                  <c:v>43718</c:v>
                </c:pt>
                <c:pt idx="178">
                  <c:v>43719</c:v>
                </c:pt>
                <c:pt idx="179">
                  <c:v>43720</c:v>
                </c:pt>
                <c:pt idx="180">
                  <c:v>43721</c:v>
                </c:pt>
                <c:pt idx="181">
                  <c:v>43724</c:v>
                </c:pt>
                <c:pt idx="182">
                  <c:v>43725</c:v>
                </c:pt>
                <c:pt idx="183">
                  <c:v>43726</c:v>
                </c:pt>
                <c:pt idx="184">
                  <c:v>43727</c:v>
                </c:pt>
                <c:pt idx="185">
                  <c:v>43728</c:v>
                </c:pt>
                <c:pt idx="186">
                  <c:v>43731</c:v>
                </c:pt>
                <c:pt idx="187">
                  <c:v>43732</c:v>
                </c:pt>
                <c:pt idx="188">
                  <c:v>43733</c:v>
                </c:pt>
                <c:pt idx="189">
                  <c:v>43734</c:v>
                </c:pt>
                <c:pt idx="190">
                  <c:v>43735</c:v>
                </c:pt>
                <c:pt idx="191">
                  <c:v>43738</c:v>
                </c:pt>
                <c:pt idx="192">
                  <c:v>43739</c:v>
                </c:pt>
                <c:pt idx="193">
                  <c:v>43740</c:v>
                </c:pt>
                <c:pt idx="194">
                  <c:v>43741</c:v>
                </c:pt>
                <c:pt idx="195">
                  <c:v>43742</c:v>
                </c:pt>
                <c:pt idx="196">
                  <c:v>43745</c:v>
                </c:pt>
                <c:pt idx="197">
                  <c:v>43746</c:v>
                </c:pt>
                <c:pt idx="198">
                  <c:v>43747</c:v>
                </c:pt>
                <c:pt idx="199">
                  <c:v>43748</c:v>
                </c:pt>
                <c:pt idx="200">
                  <c:v>43749</c:v>
                </c:pt>
                <c:pt idx="201">
                  <c:v>43752</c:v>
                </c:pt>
                <c:pt idx="202">
                  <c:v>43753</c:v>
                </c:pt>
                <c:pt idx="203">
                  <c:v>43754</c:v>
                </c:pt>
                <c:pt idx="204">
                  <c:v>43755</c:v>
                </c:pt>
                <c:pt idx="205">
                  <c:v>43756</c:v>
                </c:pt>
                <c:pt idx="206">
                  <c:v>43759</c:v>
                </c:pt>
                <c:pt idx="207">
                  <c:v>43760</c:v>
                </c:pt>
                <c:pt idx="208">
                  <c:v>43761</c:v>
                </c:pt>
                <c:pt idx="209">
                  <c:v>43762</c:v>
                </c:pt>
                <c:pt idx="210">
                  <c:v>43763</c:v>
                </c:pt>
                <c:pt idx="211">
                  <c:v>43766</c:v>
                </c:pt>
                <c:pt idx="212">
                  <c:v>43767</c:v>
                </c:pt>
                <c:pt idx="213">
                  <c:v>43768</c:v>
                </c:pt>
                <c:pt idx="214">
                  <c:v>43769</c:v>
                </c:pt>
                <c:pt idx="215">
                  <c:v>43770</c:v>
                </c:pt>
                <c:pt idx="216">
                  <c:v>43773</c:v>
                </c:pt>
                <c:pt idx="217">
                  <c:v>43774</c:v>
                </c:pt>
                <c:pt idx="218">
                  <c:v>43775</c:v>
                </c:pt>
                <c:pt idx="219">
                  <c:v>43776</c:v>
                </c:pt>
                <c:pt idx="220">
                  <c:v>43777</c:v>
                </c:pt>
                <c:pt idx="221">
                  <c:v>43780</c:v>
                </c:pt>
                <c:pt idx="222">
                  <c:v>43781</c:v>
                </c:pt>
                <c:pt idx="223">
                  <c:v>43782</c:v>
                </c:pt>
                <c:pt idx="224">
                  <c:v>43783</c:v>
                </c:pt>
                <c:pt idx="225">
                  <c:v>43784</c:v>
                </c:pt>
                <c:pt idx="226">
                  <c:v>43787</c:v>
                </c:pt>
                <c:pt idx="227">
                  <c:v>43788</c:v>
                </c:pt>
                <c:pt idx="228">
                  <c:v>43789</c:v>
                </c:pt>
                <c:pt idx="229">
                  <c:v>43790</c:v>
                </c:pt>
                <c:pt idx="230">
                  <c:v>43791</c:v>
                </c:pt>
                <c:pt idx="231">
                  <c:v>43794</c:v>
                </c:pt>
                <c:pt idx="232">
                  <c:v>43795</c:v>
                </c:pt>
                <c:pt idx="233">
                  <c:v>43796</c:v>
                </c:pt>
                <c:pt idx="234">
                  <c:v>43797</c:v>
                </c:pt>
                <c:pt idx="235">
                  <c:v>43798</c:v>
                </c:pt>
                <c:pt idx="236">
                  <c:v>43801</c:v>
                </c:pt>
                <c:pt idx="237">
                  <c:v>43802</c:v>
                </c:pt>
                <c:pt idx="238">
                  <c:v>43803</c:v>
                </c:pt>
                <c:pt idx="239">
                  <c:v>43804</c:v>
                </c:pt>
                <c:pt idx="240">
                  <c:v>43805</c:v>
                </c:pt>
                <c:pt idx="241">
                  <c:v>43808</c:v>
                </c:pt>
                <c:pt idx="242">
                  <c:v>43809</c:v>
                </c:pt>
                <c:pt idx="243">
                  <c:v>43810</c:v>
                </c:pt>
                <c:pt idx="244">
                  <c:v>43811</c:v>
                </c:pt>
                <c:pt idx="245">
                  <c:v>43812</c:v>
                </c:pt>
                <c:pt idx="246">
                  <c:v>43815</c:v>
                </c:pt>
                <c:pt idx="247">
                  <c:v>43816</c:v>
                </c:pt>
                <c:pt idx="248">
                  <c:v>43817</c:v>
                </c:pt>
                <c:pt idx="249">
                  <c:v>43818</c:v>
                </c:pt>
                <c:pt idx="250">
                  <c:v>43819</c:v>
                </c:pt>
                <c:pt idx="251">
                  <c:v>43822</c:v>
                </c:pt>
                <c:pt idx="252">
                  <c:v>43826</c:v>
                </c:pt>
                <c:pt idx="253">
                  <c:v>43829</c:v>
                </c:pt>
                <c:pt idx="254">
                  <c:v>43832</c:v>
                </c:pt>
                <c:pt idx="255">
                  <c:v>43833</c:v>
                </c:pt>
                <c:pt idx="256">
                  <c:v>43836</c:v>
                </c:pt>
                <c:pt idx="257">
                  <c:v>43837</c:v>
                </c:pt>
                <c:pt idx="258">
                  <c:v>43838</c:v>
                </c:pt>
                <c:pt idx="259">
                  <c:v>43839</c:v>
                </c:pt>
                <c:pt idx="260">
                  <c:v>43840</c:v>
                </c:pt>
                <c:pt idx="261">
                  <c:v>43843</c:v>
                </c:pt>
                <c:pt idx="262">
                  <c:v>43844</c:v>
                </c:pt>
                <c:pt idx="263">
                  <c:v>43845</c:v>
                </c:pt>
                <c:pt idx="264">
                  <c:v>43846</c:v>
                </c:pt>
                <c:pt idx="265">
                  <c:v>43847</c:v>
                </c:pt>
                <c:pt idx="266">
                  <c:v>43850</c:v>
                </c:pt>
                <c:pt idx="267">
                  <c:v>43851</c:v>
                </c:pt>
                <c:pt idx="268">
                  <c:v>43852</c:v>
                </c:pt>
                <c:pt idx="269">
                  <c:v>43853</c:v>
                </c:pt>
                <c:pt idx="270">
                  <c:v>43854</c:v>
                </c:pt>
                <c:pt idx="271">
                  <c:v>43857</c:v>
                </c:pt>
                <c:pt idx="272">
                  <c:v>43858</c:v>
                </c:pt>
                <c:pt idx="273">
                  <c:v>43859</c:v>
                </c:pt>
                <c:pt idx="274">
                  <c:v>43860</c:v>
                </c:pt>
                <c:pt idx="275">
                  <c:v>43861</c:v>
                </c:pt>
                <c:pt idx="276">
                  <c:v>43864</c:v>
                </c:pt>
                <c:pt idx="277">
                  <c:v>43865</c:v>
                </c:pt>
                <c:pt idx="278">
                  <c:v>43866</c:v>
                </c:pt>
                <c:pt idx="279">
                  <c:v>43867</c:v>
                </c:pt>
                <c:pt idx="280">
                  <c:v>43868</c:v>
                </c:pt>
                <c:pt idx="281">
                  <c:v>43871</c:v>
                </c:pt>
                <c:pt idx="282">
                  <c:v>43872</c:v>
                </c:pt>
                <c:pt idx="283">
                  <c:v>43873</c:v>
                </c:pt>
                <c:pt idx="284">
                  <c:v>43874</c:v>
                </c:pt>
                <c:pt idx="285">
                  <c:v>43875</c:v>
                </c:pt>
                <c:pt idx="286">
                  <c:v>43878</c:v>
                </c:pt>
                <c:pt idx="287">
                  <c:v>43879</c:v>
                </c:pt>
                <c:pt idx="288">
                  <c:v>43880</c:v>
                </c:pt>
                <c:pt idx="289">
                  <c:v>43881</c:v>
                </c:pt>
                <c:pt idx="290">
                  <c:v>43882</c:v>
                </c:pt>
                <c:pt idx="291">
                  <c:v>43885</c:v>
                </c:pt>
                <c:pt idx="292">
                  <c:v>43886</c:v>
                </c:pt>
                <c:pt idx="293">
                  <c:v>43887</c:v>
                </c:pt>
                <c:pt idx="294">
                  <c:v>43888</c:v>
                </c:pt>
                <c:pt idx="295">
                  <c:v>43889</c:v>
                </c:pt>
                <c:pt idx="296">
                  <c:v>43892</c:v>
                </c:pt>
                <c:pt idx="297">
                  <c:v>43893</c:v>
                </c:pt>
                <c:pt idx="298">
                  <c:v>43894</c:v>
                </c:pt>
                <c:pt idx="299">
                  <c:v>43895</c:v>
                </c:pt>
                <c:pt idx="300">
                  <c:v>43896</c:v>
                </c:pt>
                <c:pt idx="301">
                  <c:v>43899</c:v>
                </c:pt>
                <c:pt idx="302">
                  <c:v>43900</c:v>
                </c:pt>
                <c:pt idx="303">
                  <c:v>43901</c:v>
                </c:pt>
                <c:pt idx="304">
                  <c:v>43902</c:v>
                </c:pt>
                <c:pt idx="305">
                  <c:v>43903</c:v>
                </c:pt>
                <c:pt idx="306">
                  <c:v>43906</c:v>
                </c:pt>
                <c:pt idx="307">
                  <c:v>43907</c:v>
                </c:pt>
                <c:pt idx="308">
                  <c:v>43908</c:v>
                </c:pt>
                <c:pt idx="309">
                  <c:v>43909</c:v>
                </c:pt>
                <c:pt idx="310">
                  <c:v>43910</c:v>
                </c:pt>
                <c:pt idx="311">
                  <c:v>43913</c:v>
                </c:pt>
                <c:pt idx="312">
                  <c:v>43914</c:v>
                </c:pt>
                <c:pt idx="313">
                  <c:v>43915</c:v>
                </c:pt>
                <c:pt idx="314">
                  <c:v>43916</c:v>
                </c:pt>
                <c:pt idx="315">
                  <c:v>43917</c:v>
                </c:pt>
                <c:pt idx="316">
                  <c:v>43920</c:v>
                </c:pt>
                <c:pt idx="317">
                  <c:v>43921</c:v>
                </c:pt>
                <c:pt idx="318">
                  <c:v>43922</c:v>
                </c:pt>
                <c:pt idx="319">
                  <c:v>43923</c:v>
                </c:pt>
                <c:pt idx="320">
                  <c:v>43924</c:v>
                </c:pt>
                <c:pt idx="321">
                  <c:v>43927</c:v>
                </c:pt>
                <c:pt idx="322">
                  <c:v>43928</c:v>
                </c:pt>
                <c:pt idx="323">
                  <c:v>43929</c:v>
                </c:pt>
                <c:pt idx="324">
                  <c:v>43930</c:v>
                </c:pt>
                <c:pt idx="325">
                  <c:v>43931</c:v>
                </c:pt>
                <c:pt idx="326">
                  <c:v>43935</c:v>
                </c:pt>
                <c:pt idx="327">
                  <c:v>43936</c:v>
                </c:pt>
                <c:pt idx="328">
                  <c:v>43937</c:v>
                </c:pt>
                <c:pt idx="329">
                  <c:v>43938</c:v>
                </c:pt>
                <c:pt idx="330">
                  <c:v>43941</c:v>
                </c:pt>
                <c:pt idx="331">
                  <c:v>43942</c:v>
                </c:pt>
                <c:pt idx="332">
                  <c:v>43943</c:v>
                </c:pt>
                <c:pt idx="333">
                  <c:v>43944</c:v>
                </c:pt>
                <c:pt idx="334">
                  <c:v>43945</c:v>
                </c:pt>
                <c:pt idx="335">
                  <c:v>43948</c:v>
                </c:pt>
                <c:pt idx="336">
                  <c:v>43949</c:v>
                </c:pt>
                <c:pt idx="337">
                  <c:v>43950</c:v>
                </c:pt>
                <c:pt idx="338">
                  <c:v>43951</c:v>
                </c:pt>
                <c:pt idx="339">
                  <c:v>43955</c:v>
                </c:pt>
                <c:pt idx="340">
                  <c:v>43956</c:v>
                </c:pt>
                <c:pt idx="341">
                  <c:v>43957</c:v>
                </c:pt>
                <c:pt idx="342">
                  <c:v>43958</c:v>
                </c:pt>
                <c:pt idx="343">
                  <c:v>43959</c:v>
                </c:pt>
                <c:pt idx="344">
                  <c:v>43962</c:v>
                </c:pt>
                <c:pt idx="345">
                  <c:v>43963</c:v>
                </c:pt>
                <c:pt idx="346">
                  <c:v>43964</c:v>
                </c:pt>
                <c:pt idx="347">
                  <c:v>43965</c:v>
                </c:pt>
                <c:pt idx="348">
                  <c:v>43966</c:v>
                </c:pt>
                <c:pt idx="349">
                  <c:v>43969</c:v>
                </c:pt>
                <c:pt idx="350">
                  <c:v>43970</c:v>
                </c:pt>
                <c:pt idx="351">
                  <c:v>43971</c:v>
                </c:pt>
                <c:pt idx="352">
                  <c:v>43972</c:v>
                </c:pt>
                <c:pt idx="353">
                  <c:v>43973</c:v>
                </c:pt>
                <c:pt idx="354">
                  <c:v>43976</c:v>
                </c:pt>
                <c:pt idx="355">
                  <c:v>43977</c:v>
                </c:pt>
                <c:pt idx="356">
                  <c:v>43978</c:v>
                </c:pt>
                <c:pt idx="357">
                  <c:v>43979</c:v>
                </c:pt>
                <c:pt idx="358">
                  <c:v>43980</c:v>
                </c:pt>
                <c:pt idx="359">
                  <c:v>43983</c:v>
                </c:pt>
                <c:pt idx="360">
                  <c:v>43984</c:v>
                </c:pt>
                <c:pt idx="361">
                  <c:v>43985</c:v>
                </c:pt>
                <c:pt idx="362">
                  <c:v>43986</c:v>
                </c:pt>
                <c:pt idx="363">
                  <c:v>43987</c:v>
                </c:pt>
                <c:pt idx="364">
                  <c:v>43990</c:v>
                </c:pt>
                <c:pt idx="365">
                  <c:v>43991</c:v>
                </c:pt>
                <c:pt idx="366">
                  <c:v>43992</c:v>
                </c:pt>
                <c:pt idx="367">
                  <c:v>43993</c:v>
                </c:pt>
                <c:pt idx="368">
                  <c:v>43994</c:v>
                </c:pt>
                <c:pt idx="369">
                  <c:v>43997</c:v>
                </c:pt>
                <c:pt idx="370">
                  <c:v>43998</c:v>
                </c:pt>
                <c:pt idx="371">
                  <c:v>43999</c:v>
                </c:pt>
                <c:pt idx="372">
                  <c:v>44000</c:v>
                </c:pt>
                <c:pt idx="373">
                  <c:v>44001</c:v>
                </c:pt>
                <c:pt idx="374">
                  <c:v>44004</c:v>
                </c:pt>
                <c:pt idx="375">
                  <c:v>44005</c:v>
                </c:pt>
                <c:pt idx="376">
                  <c:v>44006</c:v>
                </c:pt>
                <c:pt idx="377">
                  <c:v>44007</c:v>
                </c:pt>
                <c:pt idx="378">
                  <c:v>44008</c:v>
                </c:pt>
                <c:pt idx="379">
                  <c:v>44011</c:v>
                </c:pt>
                <c:pt idx="380">
                  <c:v>44012</c:v>
                </c:pt>
                <c:pt idx="381">
                  <c:v>44013</c:v>
                </c:pt>
                <c:pt idx="382">
                  <c:v>44014</c:v>
                </c:pt>
                <c:pt idx="383">
                  <c:v>44015</c:v>
                </c:pt>
                <c:pt idx="384">
                  <c:v>44018</c:v>
                </c:pt>
                <c:pt idx="385">
                  <c:v>44019</c:v>
                </c:pt>
                <c:pt idx="386">
                  <c:v>44020</c:v>
                </c:pt>
                <c:pt idx="387">
                  <c:v>44021</c:v>
                </c:pt>
                <c:pt idx="388">
                  <c:v>44022</c:v>
                </c:pt>
                <c:pt idx="389">
                  <c:v>44025</c:v>
                </c:pt>
                <c:pt idx="390">
                  <c:v>44026</c:v>
                </c:pt>
                <c:pt idx="391">
                  <c:v>44027</c:v>
                </c:pt>
                <c:pt idx="392">
                  <c:v>44028</c:v>
                </c:pt>
                <c:pt idx="393">
                  <c:v>44029</c:v>
                </c:pt>
                <c:pt idx="394">
                  <c:v>44032</c:v>
                </c:pt>
                <c:pt idx="395">
                  <c:v>44033</c:v>
                </c:pt>
                <c:pt idx="396">
                  <c:v>44034</c:v>
                </c:pt>
                <c:pt idx="397">
                  <c:v>44035</c:v>
                </c:pt>
                <c:pt idx="398">
                  <c:v>44036</c:v>
                </c:pt>
                <c:pt idx="399">
                  <c:v>44039</c:v>
                </c:pt>
                <c:pt idx="400">
                  <c:v>44040</c:v>
                </c:pt>
                <c:pt idx="401">
                  <c:v>44041</c:v>
                </c:pt>
                <c:pt idx="402">
                  <c:v>44042</c:v>
                </c:pt>
                <c:pt idx="403">
                  <c:v>44043</c:v>
                </c:pt>
                <c:pt idx="404">
                  <c:v>44046</c:v>
                </c:pt>
                <c:pt idx="405">
                  <c:v>44047</c:v>
                </c:pt>
                <c:pt idx="406">
                  <c:v>44048</c:v>
                </c:pt>
                <c:pt idx="407">
                  <c:v>44049</c:v>
                </c:pt>
                <c:pt idx="408">
                  <c:v>44050</c:v>
                </c:pt>
                <c:pt idx="409">
                  <c:v>44053</c:v>
                </c:pt>
                <c:pt idx="410">
                  <c:v>44054</c:v>
                </c:pt>
                <c:pt idx="411">
                  <c:v>44055</c:v>
                </c:pt>
                <c:pt idx="412">
                  <c:v>44056</c:v>
                </c:pt>
                <c:pt idx="413">
                  <c:v>44057</c:v>
                </c:pt>
                <c:pt idx="414">
                  <c:v>44060</c:v>
                </c:pt>
                <c:pt idx="415">
                  <c:v>44061</c:v>
                </c:pt>
                <c:pt idx="416">
                  <c:v>44062</c:v>
                </c:pt>
                <c:pt idx="417">
                  <c:v>44063</c:v>
                </c:pt>
                <c:pt idx="418">
                  <c:v>44064</c:v>
                </c:pt>
                <c:pt idx="419">
                  <c:v>44067</c:v>
                </c:pt>
                <c:pt idx="420">
                  <c:v>44068</c:v>
                </c:pt>
                <c:pt idx="421">
                  <c:v>44069</c:v>
                </c:pt>
                <c:pt idx="422">
                  <c:v>44070</c:v>
                </c:pt>
                <c:pt idx="423">
                  <c:v>44071</c:v>
                </c:pt>
                <c:pt idx="424">
                  <c:v>44074</c:v>
                </c:pt>
                <c:pt idx="425">
                  <c:v>44075</c:v>
                </c:pt>
                <c:pt idx="426">
                  <c:v>44076</c:v>
                </c:pt>
                <c:pt idx="427">
                  <c:v>44077</c:v>
                </c:pt>
                <c:pt idx="428">
                  <c:v>44078</c:v>
                </c:pt>
                <c:pt idx="429">
                  <c:v>44081</c:v>
                </c:pt>
                <c:pt idx="430">
                  <c:v>44082</c:v>
                </c:pt>
                <c:pt idx="431">
                  <c:v>44083</c:v>
                </c:pt>
                <c:pt idx="432">
                  <c:v>44084</c:v>
                </c:pt>
                <c:pt idx="433">
                  <c:v>44085</c:v>
                </c:pt>
                <c:pt idx="434">
                  <c:v>44088</c:v>
                </c:pt>
                <c:pt idx="435">
                  <c:v>44089</c:v>
                </c:pt>
                <c:pt idx="436">
                  <c:v>44090</c:v>
                </c:pt>
                <c:pt idx="437">
                  <c:v>44091</c:v>
                </c:pt>
                <c:pt idx="438">
                  <c:v>44092</c:v>
                </c:pt>
                <c:pt idx="439">
                  <c:v>44095</c:v>
                </c:pt>
                <c:pt idx="440">
                  <c:v>44096</c:v>
                </c:pt>
                <c:pt idx="441">
                  <c:v>44097</c:v>
                </c:pt>
                <c:pt idx="442">
                  <c:v>44098</c:v>
                </c:pt>
                <c:pt idx="443">
                  <c:v>44099</c:v>
                </c:pt>
                <c:pt idx="444">
                  <c:v>44102</c:v>
                </c:pt>
                <c:pt idx="445">
                  <c:v>44103</c:v>
                </c:pt>
                <c:pt idx="446">
                  <c:v>44104</c:v>
                </c:pt>
                <c:pt idx="447">
                  <c:v>44105</c:v>
                </c:pt>
                <c:pt idx="448">
                  <c:v>44106</c:v>
                </c:pt>
                <c:pt idx="449">
                  <c:v>44109</c:v>
                </c:pt>
                <c:pt idx="450">
                  <c:v>44110</c:v>
                </c:pt>
                <c:pt idx="451">
                  <c:v>44111</c:v>
                </c:pt>
                <c:pt idx="452">
                  <c:v>44112</c:v>
                </c:pt>
                <c:pt idx="453">
                  <c:v>44113</c:v>
                </c:pt>
                <c:pt idx="454">
                  <c:v>44116</c:v>
                </c:pt>
                <c:pt idx="455">
                  <c:v>44117</c:v>
                </c:pt>
                <c:pt idx="456">
                  <c:v>44118</c:v>
                </c:pt>
                <c:pt idx="457">
                  <c:v>44119</c:v>
                </c:pt>
                <c:pt idx="458">
                  <c:v>44120</c:v>
                </c:pt>
                <c:pt idx="459">
                  <c:v>44123</c:v>
                </c:pt>
                <c:pt idx="460">
                  <c:v>44124</c:v>
                </c:pt>
                <c:pt idx="461">
                  <c:v>44125</c:v>
                </c:pt>
                <c:pt idx="462">
                  <c:v>44126</c:v>
                </c:pt>
                <c:pt idx="463">
                  <c:v>44127</c:v>
                </c:pt>
                <c:pt idx="464">
                  <c:v>44130</c:v>
                </c:pt>
                <c:pt idx="465">
                  <c:v>44131</c:v>
                </c:pt>
                <c:pt idx="466">
                  <c:v>44132</c:v>
                </c:pt>
                <c:pt idx="467">
                  <c:v>44133</c:v>
                </c:pt>
                <c:pt idx="468">
                  <c:v>44134</c:v>
                </c:pt>
                <c:pt idx="469">
                  <c:v>44137</c:v>
                </c:pt>
                <c:pt idx="470">
                  <c:v>44138</c:v>
                </c:pt>
                <c:pt idx="471">
                  <c:v>44139</c:v>
                </c:pt>
                <c:pt idx="472">
                  <c:v>44140</c:v>
                </c:pt>
                <c:pt idx="473">
                  <c:v>44141</c:v>
                </c:pt>
                <c:pt idx="474">
                  <c:v>44144</c:v>
                </c:pt>
                <c:pt idx="475">
                  <c:v>44145</c:v>
                </c:pt>
                <c:pt idx="476">
                  <c:v>44146</c:v>
                </c:pt>
                <c:pt idx="477">
                  <c:v>44147</c:v>
                </c:pt>
                <c:pt idx="478">
                  <c:v>44148</c:v>
                </c:pt>
                <c:pt idx="479">
                  <c:v>44151</c:v>
                </c:pt>
                <c:pt idx="480">
                  <c:v>44152</c:v>
                </c:pt>
                <c:pt idx="481">
                  <c:v>44153</c:v>
                </c:pt>
                <c:pt idx="482">
                  <c:v>44154</c:v>
                </c:pt>
                <c:pt idx="483">
                  <c:v>44155</c:v>
                </c:pt>
                <c:pt idx="484">
                  <c:v>44158</c:v>
                </c:pt>
                <c:pt idx="485">
                  <c:v>44159</c:v>
                </c:pt>
                <c:pt idx="486">
                  <c:v>44160</c:v>
                </c:pt>
                <c:pt idx="487">
                  <c:v>44161</c:v>
                </c:pt>
                <c:pt idx="488">
                  <c:v>44162</c:v>
                </c:pt>
                <c:pt idx="489">
                  <c:v>44165</c:v>
                </c:pt>
                <c:pt idx="490">
                  <c:v>44166</c:v>
                </c:pt>
                <c:pt idx="491">
                  <c:v>44167</c:v>
                </c:pt>
                <c:pt idx="492">
                  <c:v>44168</c:v>
                </c:pt>
                <c:pt idx="493">
                  <c:v>44169</c:v>
                </c:pt>
                <c:pt idx="494">
                  <c:v>44172</c:v>
                </c:pt>
                <c:pt idx="495">
                  <c:v>44173</c:v>
                </c:pt>
                <c:pt idx="496">
                  <c:v>44174</c:v>
                </c:pt>
                <c:pt idx="497">
                  <c:v>44175</c:v>
                </c:pt>
                <c:pt idx="498">
                  <c:v>44176</c:v>
                </c:pt>
                <c:pt idx="499">
                  <c:v>44179</c:v>
                </c:pt>
                <c:pt idx="500">
                  <c:v>44180</c:v>
                </c:pt>
                <c:pt idx="501">
                  <c:v>44181</c:v>
                </c:pt>
                <c:pt idx="502">
                  <c:v>44182</c:v>
                </c:pt>
                <c:pt idx="503">
                  <c:v>44183</c:v>
                </c:pt>
                <c:pt idx="504">
                  <c:v>44186</c:v>
                </c:pt>
                <c:pt idx="505">
                  <c:v>44187</c:v>
                </c:pt>
                <c:pt idx="506">
                  <c:v>44188</c:v>
                </c:pt>
                <c:pt idx="507">
                  <c:v>44189</c:v>
                </c:pt>
                <c:pt idx="508">
                  <c:v>44190</c:v>
                </c:pt>
                <c:pt idx="509">
                  <c:v>44193</c:v>
                </c:pt>
                <c:pt idx="510">
                  <c:v>44194</c:v>
                </c:pt>
                <c:pt idx="511">
                  <c:v>44195</c:v>
                </c:pt>
                <c:pt idx="512">
                  <c:v>44200</c:v>
                </c:pt>
                <c:pt idx="513">
                  <c:v>44201</c:v>
                </c:pt>
                <c:pt idx="514">
                  <c:v>44202</c:v>
                </c:pt>
                <c:pt idx="515">
                  <c:v>44203</c:v>
                </c:pt>
                <c:pt idx="516">
                  <c:v>44204</c:v>
                </c:pt>
                <c:pt idx="517">
                  <c:v>44207</c:v>
                </c:pt>
                <c:pt idx="518">
                  <c:v>44208</c:v>
                </c:pt>
                <c:pt idx="519">
                  <c:v>44209</c:v>
                </c:pt>
                <c:pt idx="520">
                  <c:v>44210</c:v>
                </c:pt>
                <c:pt idx="521">
                  <c:v>44211</c:v>
                </c:pt>
                <c:pt idx="522">
                  <c:v>44214</c:v>
                </c:pt>
                <c:pt idx="523">
                  <c:v>44215</c:v>
                </c:pt>
                <c:pt idx="524">
                  <c:v>44216</c:v>
                </c:pt>
                <c:pt idx="525">
                  <c:v>44217</c:v>
                </c:pt>
                <c:pt idx="526">
                  <c:v>44218</c:v>
                </c:pt>
                <c:pt idx="527">
                  <c:v>44221</c:v>
                </c:pt>
                <c:pt idx="528">
                  <c:v>44222</c:v>
                </c:pt>
                <c:pt idx="529">
                  <c:v>44223</c:v>
                </c:pt>
                <c:pt idx="530">
                  <c:v>44224</c:v>
                </c:pt>
                <c:pt idx="531">
                  <c:v>44225</c:v>
                </c:pt>
                <c:pt idx="532">
                  <c:v>44228</c:v>
                </c:pt>
                <c:pt idx="533">
                  <c:v>44229</c:v>
                </c:pt>
                <c:pt idx="534">
                  <c:v>44230</c:v>
                </c:pt>
                <c:pt idx="535">
                  <c:v>44231</c:v>
                </c:pt>
                <c:pt idx="536">
                  <c:v>44232</c:v>
                </c:pt>
                <c:pt idx="537">
                  <c:v>44235</c:v>
                </c:pt>
                <c:pt idx="538">
                  <c:v>44236</c:v>
                </c:pt>
                <c:pt idx="539">
                  <c:v>44237</c:v>
                </c:pt>
                <c:pt idx="540">
                  <c:v>44238</c:v>
                </c:pt>
                <c:pt idx="541">
                  <c:v>44239</c:v>
                </c:pt>
                <c:pt idx="542">
                  <c:v>44242</c:v>
                </c:pt>
                <c:pt idx="543">
                  <c:v>44243</c:v>
                </c:pt>
                <c:pt idx="544">
                  <c:v>44244</c:v>
                </c:pt>
                <c:pt idx="545">
                  <c:v>44245</c:v>
                </c:pt>
                <c:pt idx="546">
                  <c:v>44246</c:v>
                </c:pt>
                <c:pt idx="547">
                  <c:v>44249</c:v>
                </c:pt>
                <c:pt idx="548">
                  <c:v>44250</c:v>
                </c:pt>
                <c:pt idx="549">
                  <c:v>44251</c:v>
                </c:pt>
                <c:pt idx="550">
                  <c:v>44252</c:v>
                </c:pt>
                <c:pt idx="551">
                  <c:v>44253</c:v>
                </c:pt>
                <c:pt idx="552">
                  <c:v>44256</c:v>
                </c:pt>
                <c:pt idx="553">
                  <c:v>44257</c:v>
                </c:pt>
                <c:pt idx="554">
                  <c:v>44258</c:v>
                </c:pt>
                <c:pt idx="555">
                  <c:v>44259</c:v>
                </c:pt>
                <c:pt idx="556">
                  <c:v>44260</c:v>
                </c:pt>
                <c:pt idx="557">
                  <c:v>44263</c:v>
                </c:pt>
                <c:pt idx="558">
                  <c:v>44264</c:v>
                </c:pt>
                <c:pt idx="559">
                  <c:v>44265</c:v>
                </c:pt>
                <c:pt idx="560">
                  <c:v>44266</c:v>
                </c:pt>
                <c:pt idx="561">
                  <c:v>44263</c:v>
                </c:pt>
                <c:pt idx="562">
                  <c:v>44264</c:v>
                </c:pt>
                <c:pt idx="563">
                  <c:v>44265</c:v>
                </c:pt>
                <c:pt idx="564">
                  <c:v>44266</c:v>
                </c:pt>
                <c:pt idx="565">
                  <c:v>44267</c:v>
                </c:pt>
                <c:pt idx="566">
                  <c:v>44270</c:v>
                </c:pt>
                <c:pt idx="567">
                  <c:v>44271</c:v>
                </c:pt>
                <c:pt idx="568">
                  <c:v>44272</c:v>
                </c:pt>
                <c:pt idx="569">
                  <c:v>44273</c:v>
                </c:pt>
                <c:pt idx="570">
                  <c:v>44274</c:v>
                </c:pt>
                <c:pt idx="571">
                  <c:v>44277</c:v>
                </c:pt>
                <c:pt idx="572">
                  <c:v>44278</c:v>
                </c:pt>
                <c:pt idx="573">
                  <c:v>44279</c:v>
                </c:pt>
                <c:pt idx="574">
                  <c:v>44280</c:v>
                </c:pt>
                <c:pt idx="575">
                  <c:v>44281</c:v>
                </c:pt>
                <c:pt idx="576">
                  <c:v>44284</c:v>
                </c:pt>
                <c:pt idx="577">
                  <c:v>44285</c:v>
                </c:pt>
                <c:pt idx="578">
                  <c:v>44286</c:v>
                </c:pt>
                <c:pt idx="579">
                  <c:v>44287</c:v>
                </c:pt>
                <c:pt idx="580">
                  <c:v>44288</c:v>
                </c:pt>
                <c:pt idx="581">
                  <c:v>44292</c:v>
                </c:pt>
                <c:pt idx="582">
                  <c:v>44293</c:v>
                </c:pt>
                <c:pt idx="583">
                  <c:v>44294</c:v>
                </c:pt>
                <c:pt idx="584">
                  <c:v>44295</c:v>
                </c:pt>
                <c:pt idx="585">
                  <c:v>44298</c:v>
                </c:pt>
                <c:pt idx="586">
                  <c:v>44299</c:v>
                </c:pt>
                <c:pt idx="587">
                  <c:v>44300</c:v>
                </c:pt>
                <c:pt idx="588">
                  <c:v>44301</c:v>
                </c:pt>
                <c:pt idx="589">
                  <c:v>44302</c:v>
                </c:pt>
                <c:pt idx="590">
                  <c:v>44305</c:v>
                </c:pt>
                <c:pt idx="591">
                  <c:v>44306</c:v>
                </c:pt>
                <c:pt idx="592">
                  <c:v>44307</c:v>
                </c:pt>
                <c:pt idx="593">
                  <c:v>44308</c:v>
                </c:pt>
                <c:pt idx="594">
                  <c:v>44309</c:v>
                </c:pt>
                <c:pt idx="595">
                  <c:v>44312</c:v>
                </c:pt>
                <c:pt idx="596">
                  <c:v>44313</c:v>
                </c:pt>
                <c:pt idx="597">
                  <c:v>44314</c:v>
                </c:pt>
                <c:pt idx="598">
                  <c:v>44315</c:v>
                </c:pt>
                <c:pt idx="599">
                  <c:v>44316</c:v>
                </c:pt>
                <c:pt idx="600">
                  <c:v>44319</c:v>
                </c:pt>
                <c:pt idx="601">
                  <c:v>44320</c:v>
                </c:pt>
                <c:pt idx="602">
                  <c:v>44321</c:v>
                </c:pt>
                <c:pt idx="603">
                  <c:v>44322</c:v>
                </c:pt>
                <c:pt idx="604">
                  <c:v>44323</c:v>
                </c:pt>
                <c:pt idx="605">
                  <c:v>44326</c:v>
                </c:pt>
                <c:pt idx="606">
                  <c:v>44327</c:v>
                </c:pt>
                <c:pt idx="607">
                  <c:v>44328</c:v>
                </c:pt>
                <c:pt idx="608">
                  <c:v>44329</c:v>
                </c:pt>
                <c:pt idx="609">
                  <c:v>44330</c:v>
                </c:pt>
                <c:pt idx="610">
                  <c:v>44333</c:v>
                </c:pt>
                <c:pt idx="611">
                  <c:v>44334</c:v>
                </c:pt>
                <c:pt idx="612">
                  <c:v>44335</c:v>
                </c:pt>
                <c:pt idx="613">
                  <c:v>44336</c:v>
                </c:pt>
                <c:pt idx="614">
                  <c:v>44337</c:v>
                </c:pt>
                <c:pt idx="615">
                  <c:v>44340</c:v>
                </c:pt>
                <c:pt idx="616">
                  <c:v>44341</c:v>
                </c:pt>
                <c:pt idx="617">
                  <c:v>44342</c:v>
                </c:pt>
                <c:pt idx="618">
                  <c:v>44343</c:v>
                </c:pt>
                <c:pt idx="619">
                  <c:v>44344</c:v>
                </c:pt>
                <c:pt idx="620">
                  <c:v>44347</c:v>
                </c:pt>
                <c:pt idx="621">
                  <c:v>44348</c:v>
                </c:pt>
                <c:pt idx="622">
                  <c:v>44349</c:v>
                </c:pt>
                <c:pt idx="623">
                  <c:v>44350</c:v>
                </c:pt>
                <c:pt idx="624">
                  <c:v>44351</c:v>
                </c:pt>
                <c:pt idx="625">
                  <c:v>44354</c:v>
                </c:pt>
                <c:pt idx="626">
                  <c:v>44355</c:v>
                </c:pt>
                <c:pt idx="627">
                  <c:v>44356</c:v>
                </c:pt>
                <c:pt idx="628">
                  <c:v>44357</c:v>
                </c:pt>
                <c:pt idx="629">
                  <c:v>44358</c:v>
                </c:pt>
                <c:pt idx="630">
                  <c:v>44361</c:v>
                </c:pt>
                <c:pt idx="631">
                  <c:v>44362</c:v>
                </c:pt>
                <c:pt idx="632">
                  <c:v>44363</c:v>
                </c:pt>
                <c:pt idx="633">
                  <c:v>44364</c:v>
                </c:pt>
                <c:pt idx="634">
                  <c:v>44365</c:v>
                </c:pt>
                <c:pt idx="635">
                  <c:v>44368</c:v>
                </c:pt>
                <c:pt idx="636">
                  <c:v>44369</c:v>
                </c:pt>
                <c:pt idx="637">
                  <c:v>44370</c:v>
                </c:pt>
                <c:pt idx="638">
                  <c:v>44371</c:v>
                </c:pt>
                <c:pt idx="639">
                  <c:v>44372</c:v>
                </c:pt>
                <c:pt idx="640">
                  <c:v>44375</c:v>
                </c:pt>
                <c:pt idx="641">
                  <c:v>44376</c:v>
                </c:pt>
                <c:pt idx="642">
                  <c:v>44377</c:v>
                </c:pt>
                <c:pt idx="643">
                  <c:v>44378</c:v>
                </c:pt>
                <c:pt idx="644">
                  <c:v>44379</c:v>
                </c:pt>
                <c:pt idx="645">
                  <c:v>44382</c:v>
                </c:pt>
                <c:pt idx="646">
                  <c:v>44383</c:v>
                </c:pt>
                <c:pt idx="647">
                  <c:v>44384</c:v>
                </c:pt>
                <c:pt idx="648">
                  <c:v>44385</c:v>
                </c:pt>
                <c:pt idx="649">
                  <c:v>44386</c:v>
                </c:pt>
                <c:pt idx="650">
                  <c:v>44389</c:v>
                </c:pt>
                <c:pt idx="651">
                  <c:v>44390</c:v>
                </c:pt>
                <c:pt idx="652">
                  <c:v>44391</c:v>
                </c:pt>
                <c:pt idx="653">
                  <c:v>44392</c:v>
                </c:pt>
                <c:pt idx="654">
                  <c:v>44393</c:v>
                </c:pt>
                <c:pt idx="655">
                  <c:v>44396</c:v>
                </c:pt>
                <c:pt idx="656">
                  <c:v>44397</c:v>
                </c:pt>
                <c:pt idx="657">
                  <c:v>44398</c:v>
                </c:pt>
                <c:pt idx="658">
                  <c:v>44399</c:v>
                </c:pt>
                <c:pt idx="659">
                  <c:v>44400</c:v>
                </c:pt>
                <c:pt idx="660">
                  <c:v>44403</c:v>
                </c:pt>
                <c:pt idx="661">
                  <c:v>44404</c:v>
                </c:pt>
                <c:pt idx="662">
                  <c:v>44405</c:v>
                </c:pt>
                <c:pt idx="663">
                  <c:v>44406</c:v>
                </c:pt>
                <c:pt idx="664">
                  <c:v>44407</c:v>
                </c:pt>
                <c:pt idx="665">
                  <c:v>44410</c:v>
                </c:pt>
                <c:pt idx="666">
                  <c:v>44411</c:v>
                </c:pt>
                <c:pt idx="667">
                  <c:v>44412</c:v>
                </c:pt>
                <c:pt idx="668">
                  <c:v>44413</c:v>
                </c:pt>
                <c:pt idx="669">
                  <c:v>44414</c:v>
                </c:pt>
                <c:pt idx="670">
                  <c:v>44417</c:v>
                </c:pt>
                <c:pt idx="671">
                  <c:v>44418</c:v>
                </c:pt>
                <c:pt idx="672">
                  <c:v>44419</c:v>
                </c:pt>
                <c:pt idx="673">
                  <c:v>44420</c:v>
                </c:pt>
                <c:pt idx="674">
                  <c:v>44421</c:v>
                </c:pt>
                <c:pt idx="675">
                  <c:v>44424</c:v>
                </c:pt>
                <c:pt idx="676">
                  <c:v>44425</c:v>
                </c:pt>
                <c:pt idx="677">
                  <c:v>44426</c:v>
                </c:pt>
                <c:pt idx="678">
                  <c:v>44427</c:v>
                </c:pt>
                <c:pt idx="679">
                  <c:v>44428</c:v>
                </c:pt>
                <c:pt idx="680">
                  <c:v>44431</c:v>
                </c:pt>
                <c:pt idx="681">
                  <c:v>44432</c:v>
                </c:pt>
                <c:pt idx="682">
                  <c:v>44433</c:v>
                </c:pt>
                <c:pt idx="683">
                  <c:v>44434</c:v>
                </c:pt>
                <c:pt idx="684">
                  <c:v>44435</c:v>
                </c:pt>
                <c:pt idx="685">
                  <c:v>44438</c:v>
                </c:pt>
                <c:pt idx="686">
                  <c:v>44439</c:v>
                </c:pt>
                <c:pt idx="687">
                  <c:v>44440</c:v>
                </c:pt>
                <c:pt idx="688">
                  <c:v>44441</c:v>
                </c:pt>
                <c:pt idx="689">
                  <c:v>44442</c:v>
                </c:pt>
                <c:pt idx="690">
                  <c:v>44445</c:v>
                </c:pt>
                <c:pt idx="691">
                  <c:v>44446</c:v>
                </c:pt>
                <c:pt idx="692">
                  <c:v>44447</c:v>
                </c:pt>
                <c:pt idx="693">
                  <c:v>44448</c:v>
                </c:pt>
                <c:pt idx="694">
                  <c:v>44449</c:v>
                </c:pt>
                <c:pt idx="695">
                  <c:v>44452</c:v>
                </c:pt>
                <c:pt idx="696">
                  <c:v>44453</c:v>
                </c:pt>
                <c:pt idx="697">
                  <c:v>44454</c:v>
                </c:pt>
                <c:pt idx="698">
                  <c:v>44455</c:v>
                </c:pt>
                <c:pt idx="699">
                  <c:v>44456</c:v>
                </c:pt>
                <c:pt idx="700">
                  <c:v>44459</c:v>
                </c:pt>
                <c:pt idx="701">
                  <c:v>44460</c:v>
                </c:pt>
                <c:pt idx="702">
                  <c:v>44461</c:v>
                </c:pt>
                <c:pt idx="703">
                  <c:v>44462</c:v>
                </c:pt>
                <c:pt idx="704">
                  <c:v>44463</c:v>
                </c:pt>
                <c:pt idx="705">
                  <c:v>44466</c:v>
                </c:pt>
                <c:pt idx="706">
                  <c:v>44467</c:v>
                </c:pt>
                <c:pt idx="707">
                  <c:v>44468</c:v>
                </c:pt>
                <c:pt idx="708">
                  <c:v>44469</c:v>
                </c:pt>
                <c:pt idx="709">
                  <c:v>44470</c:v>
                </c:pt>
                <c:pt idx="710">
                  <c:v>44473</c:v>
                </c:pt>
                <c:pt idx="711">
                  <c:v>44474</c:v>
                </c:pt>
                <c:pt idx="712">
                  <c:v>44475</c:v>
                </c:pt>
                <c:pt idx="713">
                  <c:v>44476</c:v>
                </c:pt>
                <c:pt idx="714">
                  <c:v>44477</c:v>
                </c:pt>
                <c:pt idx="715">
                  <c:v>44480</c:v>
                </c:pt>
                <c:pt idx="716">
                  <c:v>44481</c:v>
                </c:pt>
                <c:pt idx="717">
                  <c:v>44482</c:v>
                </c:pt>
                <c:pt idx="718">
                  <c:v>44483</c:v>
                </c:pt>
                <c:pt idx="719">
                  <c:v>44484</c:v>
                </c:pt>
                <c:pt idx="720">
                  <c:v>44487</c:v>
                </c:pt>
                <c:pt idx="721">
                  <c:v>44488</c:v>
                </c:pt>
                <c:pt idx="722">
                  <c:v>44489</c:v>
                </c:pt>
                <c:pt idx="723">
                  <c:v>44490</c:v>
                </c:pt>
                <c:pt idx="724">
                  <c:v>44491</c:v>
                </c:pt>
                <c:pt idx="725">
                  <c:v>44494</c:v>
                </c:pt>
                <c:pt idx="726">
                  <c:v>44495</c:v>
                </c:pt>
                <c:pt idx="727">
                  <c:v>44496</c:v>
                </c:pt>
                <c:pt idx="728">
                  <c:v>44497</c:v>
                </c:pt>
                <c:pt idx="729">
                  <c:v>44498</c:v>
                </c:pt>
                <c:pt idx="730">
                  <c:v>44501</c:v>
                </c:pt>
                <c:pt idx="731">
                  <c:v>44502</c:v>
                </c:pt>
                <c:pt idx="732">
                  <c:v>44503</c:v>
                </c:pt>
                <c:pt idx="733">
                  <c:v>44504</c:v>
                </c:pt>
                <c:pt idx="734">
                  <c:v>44505</c:v>
                </c:pt>
                <c:pt idx="735">
                  <c:v>44508</c:v>
                </c:pt>
                <c:pt idx="736">
                  <c:v>44509</c:v>
                </c:pt>
                <c:pt idx="737">
                  <c:v>44510</c:v>
                </c:pt>
                <c:pt idx="738">
                  <c:v>44511</c:v>
                </c:pt>
                <c:pt idx="739">
                  <c:v>44512</c:v>
                </c:pt>
                <c:pt idx="740">
                  <c:v>44515</c:v>
                </c:pt>
                <c:pt idx="741">
                  <c:v>44516</c:v>
                </c:pt>
                <c:pt idx="742">
                  <c:v>44517</c:v>
                </c:pt>
                <c:pt idx="743">
                  <c:v>44518</c:v>
                </c:pt>
                <c:pt idx="744">
                  <c:v>44519</c:v>
                </c:pt>
                <c:pt idx="745">
                  <c:v>44522</c:v>
                </c:pt>
                <c:pt idx="746">
                  <c:v>44523</c:v>
                </c:pt>
                <c:pt idx="747">
                  <c:v>44524</c:v>
                </c:pt>
                <c:pt idx="748">
                  <c:v>44525</c:v>
                </c:pt>
                <c:pt idx="749">
                  <c:v>44526</c:v>
                </c:pt>
                <c:pt idx="750">
                  <c:v>44529</c:v>
                </c:pt>
                <c:pt idx="751">
                  <c:v>44530</c:v>
                </c:pt>
                <c:pt idx="752">
                  <c:v>44531</c:v>
                </c:pt>
                <c:pt idx="753">
                  <c:v>44532</c:v>
                </c:pt>
                <c:pt idx="754">
                  <c:v>44533</c:v>
                </c:pt>
                <c:pt idx="755">
                  <c:v>44536</c:v>
                </c:pt>
                <c:pt idx="756">
                  <c:v>44537</c:v>
                </c:pt>
                <c:pt idx="757">
                  <c:v>44538</c:v>
                </c:pt>
                <c:pt idx="758">
                  <c:v>44539</c:v>
                </c:pt>
                <c:pt idx="759">
                  <c:v>44540</c:v>
                </c:pt>
                <c:pt idx="760">
                  <c:v>44543</c:v>
                </c:pt>
                <c:pt idx="761">
                  <c:v>44544</c:v>
                </c:pt>
                <c:pt idx="762">
                  <c:v>44545</c:v>
                </c:pt>
                <c:pt idx="763">
                  <c:v>44546</c:v>
                </c:pt>
                <c:pt idx="764">
                  <c:v>44547</c:v>
                </c:pt>
                <c:pt idx="765">
                  <c:v>44550</c:v>
                </c:pt>
                <c:pt idx="766">
                  <c:v>44551</c:v>
                </c:pt>
                <c:pt idx="767">
                  <c:v>44552</c:v>
                </c:pt>
                <c:pt idx="768">
                  <c:v>44553</c:v>
                </c:pt>
                <c:pt idx="769">
                  <c:v>44554</c:v>
                </c:pt>
                <c:pt idx="770">
                  <c:v>44557</c:v>
                </c:pt>
                <c:pt idx="771">
                  <c:v>44558</c:v>
                </c:pt>
                <c:pt idx="772">
                  <c:v>44559</c:v>
                </c:pt>
                <c:pt idx="773">
                  <c:v>44560</c:v>
                </c:pt>
                <c:pt idx="774">
                  <c:v>44561</c:v>
                </c:pt>
                <c:pt idx="775">
                  <c:v>44564</c:v>
                </c:pt>
                <c:pt idx="776">
                  <c:v>44565</c:v>
                </c:pt>
                <c:pt idx="777">
                  <c:v>44566</c:v>
                </c:pt>
                <c:pt idx="778">
                  <c:v>44567</c:v>
                </c:pt>
                <c:pt idx="779">
                  <c:v>44568</c:v>
                </c:pt>
                <c:pt idx="780">
                  <c:v>44571</c:v>
                </c:pt>
                <c:pt idx="781">
                  <c:v>44572</c:v>
                </c:pt>
                <c:pt idx="782">
                  <c:v>44573</c:v>
                </c:pt>
                <c:pt idx="783">
                  <c:v>44574</c:v>
                </c:pt>
                <c:pt idx="784">
                  <c:v>44575</c:v>
                </c:pt>
                <c:pt idx="785">
                  <c:v>44578</c:v>
                </c:pt>
                <c:pt idx="786">
                  <c:v>44579</c:v>
                </c:pt>
                <c:pt idx="787">
                  <c:v>44580</c:v>
                </c:pt>
                <c:pt idx="788">
                  <c:v>44581</c:v>
                </c:pt>
                <c:pt idx="789">
                  <c:v>44582</c:v>
                </c:pt>
                <c:pt idx="790">
                  <c:v>44585</c:v>
                </c:pt>
                <c:pt idx="791">
                  <c:v>44586</c:v>
                </c:pt>
                <c:pt idx="792">
                  <c:v>44587</c:v>
                </c:pt>
                <c:pt idx="793">
                  <c:v>44588</c:v>
                </c:pt>
                <c:pt idx="794">
                  <c:v>44589</c:v>
                </c:pt>
                <c:pt idx="795">
                  <c:v>44592</c:v>
                </c:pt>
                <c:pt idx="796">
                  <c:v>44593</c:v>
                </c:pt>
                <c:pt idx="797">
                  <c:v>44594</c:v>
                </c:pt>
                <c:pt idx="798">
                  <c:v>44595</c:v>
                </c:pt>
                <c:pt idx="799">
                  <c:v>44596</c:v>
                </c:pt>
                <c:pt idx="800">
                  <c:v>44599</c:v>
                </c:pt>
                <c:pt idx="801">
                  <c:v>44600</c:v>
                </c:pt>
                <c:pt idx="802">
                  <c:v>44601</c:v>
                </c:pt>
                <c:pt idx="803">
                  <c:v>44602</c:v>
                </c:pt>
                <c:pt idx="804">
                  <c:v>44603</c:v>
                </c:pt>
                <c:pt idx="805">
                  <c:v>44606</c:v>
                </c:pt>
                <c:pt idx="806">
                  <c:v>44607</c:v>
                </c:pt>
                <c:pt idx="807">
                  <c:v>44608</c:v>
                </c:pt>
                <c:pt idx="808">
                  <c:v>44609</c:v>
                </c:pt>
                <c:pt idx="809">
                  <c:v>44610</c:v>
                </c:pt>
                <c:pt idx="810">
                  <c:v>44613</c:v>
                </c:pt>
                <c:pt idx="811">
                  <c:v>44614</c:v>
                </c:pt>
                <c:pt idx="812">
                  <c:v>44615</c:v>
                </c:pt>
                <c:pt idx="813">
                  <c:v>44616</c:v>
                </c:pt>
                <c:pt idx="814">
                  <c:v>44617</c:v>
                </c:pt>
                <c:pt idx="815">
                  <c:v>44620</c:v>
                </c:pt>
                <c:pt idx="816">
                  <c:v>44621</c:v>
                </c:pt>
                <c:pt idx="817">
                  <c:v>44622</c:v>
                </c:pt>
                <c:pt idx="818">
                  <c:v>44623</c:v>
                </c:pt>
                <c:pt idx="819">
                  <c:v>44624</c:v>
                </c:pt>
                <c:pt idx="820">
                  <c:v>44627</c:v>
                </c:pt>
                <c:pt idx="821">
                  <c:v>44628</c:v>
                </c:pt>
                <c:pt idx="822">
                  <c:v>44629</c:v>
                </c:pt>
                <c:pt idx="823">
                  <c:v>44630</c:v>
                </c:pt>
                <c:pt idx="824">
                  <c:v>44631</c:v>
                </c:pt>
                <c:pt idx="825">
                  <c:v>44634</c:v>
                </c:pt>
                <c:pt idx="826">
                  <c:v>44635</c:v>
                </c:pt>
                <c:pt idx="827">
                  <c:v>44636</c:v>
                </c:pt>
                <c:pt idx="828">
                  <c:v>44637</c:v>
                </c:pt>
                <c:pt idx="829">
                  <c:v>44638</c:v>
                </c:pt>
                <c:pt idx="830">
                  <c:v>44641</c:v>
                </c:pt>
                <c:pt idx="831">
                  <c:v>44642</c:v>
                </c:pt>
                <c:pt idx="832">
                  <c:v>44643</c:v>
                </c:pt>
                <c:pt idx="833">
                  <c:v>44644</c:v>
                </c:pt>
                <c:pt idx="834">
                  <c:v>44645</c:v>
                </c:pt>
                <c:pt idx="835">
                  <c:v>44648</c:v>
                </c:pt>
                <c:pt idx="836">
                  <c:v>44649</c:v>
                </c:pt>
                <c:pt idx="837">
                  <c:v>44650</c:v>
                </c:pt>
                <c:pt idx="838">
                  <c:v>44651</c:v>
                </c:pt>
                <c:pt idx="839">
                  <c:v>44652</c:v>
                </c:pt>
                <c:pt idx="840">
                  <c:v>44655</c:v>
                </c:pt>
                <c:pt idx="841">
                  <c:v>44656</c:v>
                </c:pt>
                <c:pt idx="842">
                  <c:v>44657</c:v>
                </c:pt>
                <c:pt idx="843">
                  <c:v>44658</c:v>
                </c:pt>
                <c:pt idx="844">
                  <c:v>44659</c:v>
                </c:pt>
                <c:pt idx="845">
                  <c:v>44662</c:v>
                </c:pt>
                <c:pt idx="846">
                  <c:v>44663</c:v>
                </c:pt>
                <c:pt idx="847">
                  <c:v>44664</c:v>
                </c:pt>
                <c:pt idx="848">
                  <c:v>44665</c:v>
                </c:pt>
                <c:pt idx="849">
                  <c:v>44666</c:v>
                </c:pt>
                <c:pt idx="850">
                  <c:v>44670</c:v>
                </c:pt>
                <c:pt idx="851">
                  <c:v>44671</c:v>
                </c:pt>
                <c:pt idx="852">
                  <c:v>44672</c:v>
                </c:pt>
                <c:pt idx="853">
                  <c:v>44673</c:v>
                </c:pt>
                <c:pt idx="854">
                  <c:v>44676</c:v>
                </c:pt>
                <c:pt idx="855">
                  <c:v>44677</c:v>
                </c:pt>
                <c:pt idx="856">
                  <c:v>44678</c:v>
                </c:pt>
                <c:pt idx="857">
                  <c:v>44679</c:v>
                </c:pt>
                <c:pt idx="858">
                  <c:v>44680</c:v>
                </c:pt>
                <c:pt idx="859">
                  <c:v>44683</c:v>
                </c:pt>
                <c:pt idx="860">
                  <c:v>44684</c:v>
                </c:pt>
                <c:pt idx="861">
                  <c:v>44685</c:v>
                </c:pt>
                <c:pt idx="862">
                  <c:v>44686</c:v>
                </c:pt>
                <c:pt idx="863">
                  <c:v>44687</c:v>
                </c:pt>
                <c:pt idx="864">
                  <c:v>44690</c:v>
                </c:pt>
                <c:pt idx="865">
                  <c:v>44691</c:v>
                </c:pt>
                <c:pt idx="866">
                  <c:v>44692</c:v>
                </c:pt>
                <c:pt idx="867">
                  <c:v>44693</c:v>
                </c:pt>
                <c:pt idx="868">
                  <c:v>44694</c:v>
                </c:pt>
                <c:pt idx="869">
                  <c:v>44697</c:v>
                </c:pt>
                <c:pt idx="870">
                  <c:v>44698</c:v>
                </c:pt>
                <c:pt idx="871">
                  <c:v>44699</c:v>
                </c:pt>
                <c:pt idx="872">
                  <c:v>44700</c:v>
                </c:pt>
                <c:pt idx="873">
                  <c:v>44701</c:v>
                </c:pt>
                <c:pt idx="874">
                  <c:v>44704</c:v>
                </c:pt>
                <c:pt idx="875">
                  <c:v>44705</c:v>
                </c:pt>
                <c:pt idx="876">
                  <c:v>44706</c:v>
                </c:pt>
                <c:pt idx="877">
                  <c:v>44707</c:v>
                </c:pt>
                <c:pt idx="878">
                  <c:v>44708</c:v>
                </c:pt>
                <c:pt idx="879">
                  <c:v>44711</c:v>
                </c:pt>
                <c:pt idx="880">
                  <c:v>44712</c:v>
                </c:pt>
                <c:pt idx="881">
                  <c:v>44713</c:v>
                </c:pt>
                <c:pt idx="882">
                  <c:v>44714</c:v>
                </c:pt>
                <c:pt idx="883">
                  <c:v>44715</c:v>
                </c:pt>
                <c:pt idx="884">
                  <c:v>44718</c:v>
                </c:pt>
                <c:pt idx="885">
                  <c:v>44719</c:v>
                </c:pt>
                <c:pt idx="886">
                  <c:v>44720</c:v>
                </c:pt>
                <c:pt idx="887">
                  <c:v>44721</c:v>
                </c:pt>
                <c:pt idx="888">
                  <c:v>44722</c:v>
                </c:pt>
                <c:pt idx="889">
                  <c:v>44725</c:v>
                </c:pt>
                <c:pt idx="890">
                  <c:v>44726</c:v>
                </c:pt>
                <c:pt idx="891">
                  <c:v>44727</c:v>
                </c:pt>
                <c:pt idx="892">
                  <c:v>44728</c:v>
                </c:pt>
                <c:pt idx="893">
                  <c:v>44729</c:v>
                </c:pt>
                <c:pt idx="894">
                  <c:v>44732</c:v>
                </c:pt>
                <c:pt idx="895">
                  <c:v>44733</c:v>
                </c:pt>
                <c:pt idx="896">
                  <c:v>44734</c:v>
                </c:pt>
                <c:pt idx="897">
                  <c:v>44735</c:v>
                </c:pt>
                <c:pt idx="898">
                  <c:v>44736</c:v>
                </c:pt>
                <c:pt idx="899">
                  <c:v>44739</c:v>
                </c:pt>
                <c:pt idx="900">
                  <c:v>44740</c:v>
                </c:pt>
                <c:pt idx="901">
                  <c:v>44741</c:v>
                </c:pt>
                <c:pt idx="902">
                  <c:v>44742</c:v>
                </c:pt>
                <c:pt idx="903">
                  <c:v>44743</c:v>
                </c:pt>
                <c:pt idx="904">
                  <c:v>44746</c:v>
                </c:pt>
                <c:pt idx="905">
                  <c:v>44747</c:v>
                </c:pt>
                <c:pt idx="906">
                  <c:v>44748</c:v>
                </c:pt>
                <c:pt idx="907">
                  <c:v>44749</c:v>
                </c:pt>
                <c:pt idx="908">
                  <c:v>44750</c:v>
                </c:pt>
                <c:pt idx="909">
                  <c:v>44753</c:v>
                </c:pt>
                <c:pt idx="910">
                  <c:v>44754</c:v>
                </c:pt>
                <c:pt idx="911">
                  <c:v>44755</c:v>
                </c:pt>
                <c:pt idx="912">
                  <c:v>44756</c:v>
                </c:pt>
                <c:pt idx="913">
                  <c:v>44757</c:v>
                </c:pt>
                <c:pt idx="914">
                  <c:v>44760</c:v>
                </c:pt>
                <c:pt idx="915">
                  <c:v>44761</c:v>
                </c:pt>
                <c:pt idx="916">
                  <c:v>44762</c:v>
                </c:pt>
                <c:pt idx="917">
                  <c:v>44763</c:v>
                </c:pt>
                <c:pt idx="918">
                  <c:v>44764</c:v>
                </c:pt>
                <c:pt idx="919">
                  <c:v>44767</c:v>
                </c:pt>
                <c:pt idx="920">
                  <c:v>44768</c:v>
                </c:pt>
                <c:pt idx="921">
                  <c:v>44769</c:v>
                </c:pt>
                <c:pt idx="922">
                  <c:v>44770</c:v>
                </c:pt>
                <c:pt idx="923">
                  <c:v>44771</c:v>
                </c:pt>
                <c:pt idx="924">
                  <c:v>44774</c:v>
                </c:pt>
                <c:pt idx="925">
                  <c:v>44775</c:v>
                </c:pt>
                <c:pt idx="926">
                  <c:v>44776</c:v>
                </c:pt>
                <c:pt idx="927">
                  <c:v>44777</c:v>
                </c:pt>
                <c:pt idx="928">
                  <c:v>44778</c:v>
                </c:pt>
                <c:pt idx="929">
                  <c:v>44781</c:v>
                </c:pt>
                <c:pt idx="930">
                  <c:v>44782</c:v>
                </c:pt>
                <c:pt idx="931">
                  <c:v>44783</c:v>
                </c:pt>
                <c:pt idx="932">
                  <c:v>44784</c:v>
                </c:pt>
                <c:pt idx="933">
                  <c:v>44785</c:v>
                </c:pt>
                <c:pt idx="934">
                  <c:v>44788</c:v>
                </c:pt>
                <c:pt idx="935">
                  <c:v>44789</c:v>
                </c:pt>
                <c:pt idx="936">
                  <c:v>44790</c:v>
                </c:pt>
                <c:pt idx="937">
                  <c:v>44791</c:v>
                </c:pt>
                <c:pt idx="938">
                  <c:v>44792</c:v>
                </c:pt>
                <c:pt idx="939">
                  <c:v>44795</c:v>
                </c:pt>
                <c:pt idx="940">
                  <c:v>44789</c:v>
                </c:pt>
                <c:pt idx="941">
                  <c:v>44790</c:v>
                </c:pt>
                <c:pt idx="942">
                  <c:v>44791</c:v>
                </c:pt>
                <c:pt idx="943">
                  <c:v>44792</c:v>
                </c:pt>
                <c:pt idx="944">
                  <c:v>44795</c:v>
                </c:pt>
                <c:pt idx="945">
                  <c:v>44796</c:v>
                </c:pt>
                <c:pt idx="946">
                  <c:v>44797</c:v>
                </c:pt>
                <c:pt idx="947">
                  <c:v>44798</c:v>
                </c:pt>
                <c:pt idx="948">
                  <c:v>44799</c:v>
                </c:pt>
                <c:pt idx="949">
                  <c:v>44802</c:v>
                </c:pt>
                <c:pt idx="950">
                  <c:v>44803</c:v>
                </c:pt>
                <c:pt idx="951">
                  <c:v>44804</c:v>
                </c:pt>
                <c:pt idx="952">
                  <c:v>44805</c:v>
                </c:pt>
                <c:pt idx="953">
                  <c:v>44806</c:v>
                </c:pt>
                <c:pt idx="954">
                  <c:v>44809</c:v>
                </c:pt>
                <c:pt idx="955">
                  <c:v>44810</c:v>
                </c:pt>
                <c:pt idx="956">
                  <c:v>44811</c:v>
                </c:pt>
                <c:pt idx="957">
                  <c:v>44812</c:v>
                </c:pt>
                <c:pt idx="958">
                  <c:v>44813</c:v>
                </c:pt>
                <c:pt idx="959">
                  <c:v>44816</c:v>
                </c:pt>
                <c:pt idx="960">
                  <c:v>44817</c:v>
                </c:pt>
                <c:pt idx="961">
                  <c:v>44818</c:v>
                </c:pt>
                <c:pt idx="962">
                  <c:v>44819</c:v>
                </c:pt>
                <c:pt idx="963">
                  <c:v>44820</c:v>
                </c:pt>
                <c:pt idx="964">
                  <c:v>44823</c:v>
                </c:pt>
                <c:pt idx="965">
                  <c:v>44824</c:v>
                </c:pt>
                <c:pt idx="966">
                  <c:v>44825</c:v>
                </c:pt>
                <c:pt idx="967">
                  <c:v>44826</c:v>
                </c:pt>
                <c:pt idx="968">
                  <c:v>44827</c:v>
                </c:pt>
                <c:pt idx="969">
                  <c:v>44830</c:v>
                </c:pt>
                <c:pt idx="970">
                  <c:v>44831</c:v>
                </c:pt>
                <c:pt idx="971">
                  <c:v>44832</c:v>
                </c:pt>
                <c:pt idx="972">
                  <c:v>44833</c:v>
                </c:pt>
                <c:pt idx="973">
                  <c:v>44834</c:v>
                </c:pt>
                <c:pt idx="974">
                  <c:v>44837</c:v>
                </c:pt>
                <c:pt idx="975">
                  <c:v>44838</c:v>
                </c:pt>
                <c:pt idx="976">
                  <c:v>44839</c:v>
                </c:pt>
                <c:pt idx="977">
                  <c:v>44840</c:v>
                </c:pt>
                <c:pt idx="978">
                  <c:v>44841</c:v>
                </c:pt>
                <c:pt idx="979">
                  <c:v>44844</c:v>
                </c:pt>
                <c:pt idx="980">
                  <c:v>44845</c:v>
                </c:pt>
                <c:pt idx="981">
                  <c:v>44846</c:v>
                </c:pt>
                <c:pt idx="982">
                  <c:v>44847</c:v>
                </c:pt>
                <c:pt idx="983">
                  <c:v>44848</c:v>
                </c:pt>
                <c:pt idx="984">
                  <c:v>44851</c:v>
                </c:pt>
                <c:pt idx="985">
                  <c:v>44852</c:v>
                </c:pt>
                <c:pt idx="986">
                  <c:v>44853</c:v>
                </c:pt>
                <c:pt idx="987">
                  <c:v>44854</c:v>
                </c:pt>
                <c:pt idx="988">
                  <c:v>44855</c:v>
                </c:pt>
                <c:pt idx="989">
                  <c:v>44858</c:v>
                </c:pt>
                <c:pt idx="990">
                  <c:v>44859</c:v>
                </c:pt>
                <c:pt idx="991">
                  <c:v>44860</c:v>
                </c:pt>
                <c:pt idx="992">
                  <c:v>44861</c:v>
                </c:pt>
                <c:pt idx="993">
                  <c:v>44862</c:v>
                </c:pt>
                <c:pt idx="994">
                  <c:v>44865</c:v>
                </c:pt>
                <c:pt idx="995">
                  <c:v>44866</c:v>
                </c:pt>
                <c:pt idx="996">
                  <c:v>44867</c:v>
                </c:pt>
                <c:pt idx="997">
                  <c:v>44868</c:v>
                </c:pt>
                <c:pt idx="998">
                  <c:v>44869</c:v>
                </c:pt>
                <c:pt idx="999">
                  <c:v>44872</c:v>
                </c:pt>
                <c:pt idx="1000">
                  <c:v>44873</c:v>
                </c:pt>
                <c:pt idx="1001">
                  <c:v>44874</c:v>
                </c:pt>
                <c:pt idx="1002">
                  <c:v>44875</c:v>
                </c:pt>
                <c:pt idx="1003">
                  <c:v>44876</c:v>
                </c:pt>
                <c:pt idx="1004">
                  <c:v>44879</c:v>
                </c:pt>
                <c:pt idx="1005">
                  <c:v>44880</c:v>
                </c:pt>
                <c:pt idx="1006">
                  <c:v>44881</c:v>
                </c:pt>
                <c:pt idx="1007">
                  <c:v>44882</c:v>
                </c:pt>
                <c:pt idx="1008">
                  <c:v>44883</c:v>
                </c:pt>
                <c:pt idx="1009">
                  <c:v>44886</c:v>
                </c:pt>
                <c:pt idx="1010">
                  <c:v>44887</c:v>
                </c:pt>
                <c:pt idx="1011">
                  <c:v>44888</c:v>
                </c:pt>
                <c:pt idx="1012">
                  <c:v>44889</c:v>
                </c:pt>
                <c:pt idx="1013">
                  <c:v>44890</c:v>
                </c:pt>
                <c:pt idx="1014">
                  <c:v>44893</c:v>
                </c:pt>
                <c:pt idx="1015">
                  <c:v>44894</c:v>
                </c:pt>
                <c:pt idx="1016">
                  <c:v>44895</c:v>
                </c:pt>
                <c:pt idx="1017">
                  <c:v>44896</c:v>
                </c:pt>
                <c:pt idx="1018">
                  <c:v>44897</c:v>
                </c:pt>
                <c:pt idx="1019">
                  <c:v>44900</c:v>
                </c:pt>
                <c:pt idx="1020">
                  <c:v>44901</c:v>
                </c:pt>
                <c:pt idx="1021">
                  <c:v>44902</c:v>
                </c:pt>
                <c:pt idx="1022">
                  <c:v>44903</c:v>
                </c:pt>
                <c:pt idx="1023">
                  <c:v>44904</c:v>
                </c:pt>
                <c:pt idx="1024">
                  <c:v>44907</c:v>
                </c:pt>
                <c:pt idx="1025">
                  <c:v>44908</c:v>
                </c:pt>
                <c:pt idx="1026">
                  <c:v>44909</c:v>
                </c:pt>
                <c:pt idx="1027">
                  <c:v>44910</c:v>
                </c:pt>
                <c:pt idx="1028">
                  <c:v>44911</c:v>
                </c:pt>
                <c:pt idx="1029">
                  <c:v>44914</c:v>
                </c:pt>
                <c:pt idx="1030">
                  <c:v>44915</c:v>
                </c:pt>
                <c:pt idx="1031">
                  <c:v>44916</c:v>
                </c:pt>
                <c:pt idx="1032">
                  <c:v>44917</c:v>
                </c:pt>
                <c:pt idx="1033">
                  <c:v>44918</c:v>
                </c:pt>
                <c:pt idx="1034">
                  <c:v>44922</c:v>
                </c:pt>
                <c:pt idx="1035">
                  <c:v>44923</c:v>
                </c:pt>
                <c:pt idx="1036">
                  <c:v>44924</c:v>
                </c:pt>
                <c:pt idx="1037">
                  <c:v>44925</c:v>
                </c:pt>
                <c:pt idx="1038">
                  <c:v>44928</c:v>
                </c:pt>
                <c:pt idx="1039">
                  <c:v>44929</c:v>
                </c:pt>
                <c:pt idx="1040">
                  <c:v>44930</c:v>
                </c:pt>
                <c:pt idx="1041">
                  <c:v>44931</c:v>
                </c:pt>
                <c:pt idx="1042">
                  <c:v>44932</c:v>
                </c:pt>
                <c:pt idx="1043">
                  <c:v>44935</c:v>
                </c:pt>
                <c:pt idx="1044">
                  <c:v>44936</c:v>
                </c:pt>
                <c:pt idx="1045">
                  <c:v>44937</c:v>
                </c:pt>
                <c:pt idx="1046">
                  <c:v>44938</c:v>
                </c:pt>
                <c:pt idx="1047">
                  <c:v>44939</c:v>
                </c:pt>
                <c:pt idx="1048">
                  <c:v>44942</c:v>
                </c:pt>
                <c:pt idx="1049">
                  <c:v>44943</c:v>
                </c:pt>
                <c:pt idx="1050">
                  <c:v>44944</c:v>
                </c:pt>
                <c:pt idx="1051">
                  <c:v>44945</c:v>
                </c:pt>
                <c:pt idx="1052">
                  <c:v>44946</c:v>
                </c:pt>
                <c:pt idx="1053">
                  <c:v>44949</c:v>
                </c:pt>
                <c:pt idx="1054">
                  <c:v>44950</c:v>
                </c:pt>
                <c:pt idx="1055">
                  <c:v>44951</c:v>
                </c:pt>
                <c:pt idx="1056">
                  <c:v>44952</c:v>
                </c:pt>
                <c:pt idx="1057">
                  <c:v>44953</c:v>
                </c:pt>
                <c:pt idx="1058">
                  <c:v>44956</c:v>
                </c:pt>
                <c:pt idx="1059">
                  <c:v>44957</c:v>
                </c:pt>
                <c:pt idx="1060">
                  <c:v>44958</c:v>
                </c:pt>
                <c:pt idx="1061">
                  <c:v>44959</c:v>
                </c:pt>
                <c:pt idx="1062">
                  <c:v>44960</c:v>
                </c:pt>
                <c:pt idx="1063">
                  <c:v>44963</c:v>
                </c:pt>
                <c:pt idx="1064">
                  <c:v>44964</c:v>
                </c:pt>
                <c:pt idx="1065">
                  <c:v>44965</c:v>
                </c:pt>
                <c:pt idx="1066">
                  <c:v>44966</c:v>
                </c:pt>
                <c:pt idx="1067">
                  <c:v>44967</c:v>
                </c:pt>
                <c:pt idx="1068">
                  <c:v>44970</c:v>
                </c:pt>
                <c:pt idx="1069">
                  <c:v>44971</c:v>
                </c:pt>
                <c:pt idx="1070">
                  <c:v>44972</c:v>
                </c:pt>
                <c:pt idx="1071">
                  <c:v>44973</c:v>
                </c:pt>
                <c:pt idx="1072">
                  <c:v>44974</c:v>
                </c:pt>
                <c:pt idx="1073">
                  <c:v>44977</c:v>
                </c:pt>
                <c:pt idx="1074">
                  <c:v>44978</c:v>
                </c:pt>
                <c:pt idx="1075">
                  <c:v>44979</c:v>
                </c:pt>
                <c:pt idx="1076">
                  <c:v>44980</c:v>
                </c:pt>
                <c:pt idx="1077">
                  <c:v>44981</c:v>
                </c:pt>
                <c:pt idx="1078">
                  <c:v>44984</c:v>
                </c:pt>
                <c:pt idx="1079">
                  <c:v>44985</c:v>
                </c:pt>
                <c:pt idx="1080">
                  <c:v>44986</c:v>
                </c:pt>
                <c:pt idx="1081">
                  <c:v>44987</c:v>
                </c:pt>
                <c:pt idx="1082">
                  <c:v>44988</c:v>
                </c:pt>
                <c:pt idx="1083">
                  <c:v>44991</c:v>
                </c:pt>
                <c:pt idx="1084">
                  <c:v>44992</c:v>
                </c:pt>
                <c:pt idx="1085">
                  <c:v>44993</c:v>
                </c:pt>
                <c:pt idx="1086">
                  <c:v>44994</c:v>
                </c:pt>
                <c:pt idx="1087">
                  <c:v>44995</c:v>
                </c:pt>
                <c:pt idx="1088">
                  <c:v>44998</c:v>
                </c:pt>
                <c:pt idx="1089">
                  <c:v>44999</c:v>
                </c:pt>
                <c:pt idx="1090">
                  <c:v>45000</c:v>
                </c:pt>
                <c:pt idx="1091">
                  <c:v>45001</c:v>
                </c:pt>
                <c:pt idx="1092">
                  <c:v>45002</c:v>
                </c:pt>
                <c:pt idx="1093">
                  <c:v>45005</c:v>
                </c:pt>
                <c:pt idx="1094">
                  <c:v>45006</c:v>
                </c:pt>
                <c:pt idx="1095">
                  <c:v>45007</c:v>
                </c:pt>
                <c:pt idx="1096">
                  <c:v>45008</c:v>
                </c:pt>
                <c:pt idx="1097">
                  <c:v>45009</c:v>
                </c:pt>
                <c:pt idx="1098">
                  <c:v>45012</c:v>
                </c:pt>
                <c:pt idx="1099">
                  <c:v>45013</c:v>
                </c:pt>
                <c:pt idx="1100">
                  <c:v>45014</c:v>
                </c:pt>
                <c:pt idx="1101">
                  <c:v>45015</c:v>
                </c:pt>
                <c:pt idx="1102">
                  <c:v>45016</c:v>
                </c:pt>
                <c:pt idx="1103">
                  <c:v>45019</c:v>
                </c:pt>
                <c:pt idx="1104">
                  <c:v>45020</c:v>
                </c:pt>
                <c:pt idx="1105">
                  <c:v>45021</c:v>
                </c:pt>
                <c:pt idx="1106">
                  <c:v>45022</c:v>
                </c:pt>
                <c:pt idx="1107">
                  <c:v>45027</c:v>
                </c:pt>
                <c:pt idx="1108">
                  <c:v>45028</c:v>
                </c:pt>
                <c:pt idx="1109">
                  <c:v>45029</c:v>
                </c:pt>
                <c:pt idx="1110">
                  <c:v>45030</c:v>
                </c:pt>
                <c:pt idx="1111">
                  <c:v>45033</c:v>
                </c:pt>
                <c:pt idx="1112">
                  <c:v>45034</c:v>
                </c:pt>
                <c:pt idx="1113">
                  <c:v>45035</c:v>
                </c:pt>
                <c:pt idx="1114">
                  <c:v>45036</c:v>
                </c:pt>
                <c:pt idx="1115">
                  <c:v>45037</c:v>
                </c:pt>
                <c:pt idx="1116">
                  <c:v>45040</c:v>
                </c:pt>
                <c:pt idx="1117">
                  <c:v>45041</c:v>
                </c:pt>
                <c:pt idx="1118">
                  <c:v>45042</c:v>
                </c:pt>
                <c:pt idx="1119">
                  <c:v>45043</c:v>
                </c:pt>
                <c:pt idx="1120">
                  <c:v>45044</c:v>
                </c:pt>
                <c:pt idx="1121">
                  <c:v>45048</c:v>
                </c:pt>
                <c:pt idx="1122">
                  <c:v>45049</c:v>
                </c:pt>
                <c:pt idx="1123">
                  <c:v>45050</c:v>
                </c:pt>
                <c:pt idx="1124">
                  <c:v>45051</c:v>
                </c:pt>
                <c:pt idx="1125">
                  <c:v>45054</c:v>
                </c:pt>
                <c:pt idx="1126">
                  <c:v>45055</c:v>
                </c:pt>
                <c:pt idx="1127">
                  <c:v>45056</c:v>
                </c:pt>
                <c:pt idx="1128">
                  <c:v>45057</c:v>
                </c:pt>
                <c:pt idx="1129">
                  <c:v>45058</c:v>
                </c:pt>
                <c:pt idx="1130">
                  <c:v>45061</c:v>
                </c:pt>
                <c:pt idx="1131">
                  <c:v>45062</c:v>
                </c:pt>
                <c:pt idx="1132">
                  <c:v>45063</c:v>
                </c:pt>
                <c:pt idx="1133">
                  <c:v>45064</c:v>
                </c:pt>
                <c:pt idx="1134">
                  <c:v>45065</c:v>
                </c:pt>
                <c:pt idx="1135">
                  <c:v>45068</c:v>
                </c:pt>
                <c:pt idx="1136">
                  <c:v>45069</c:v>
                </c:pt>
                <c:pt idx="1137">
                  <c:v>45070</c:v>
                </c:pt>
                <c:pt idx="1138">
                  <c:v>45071</c:v>
                </c:pt>
                <c:pt idx="1139">
                  <c:v>45072</c:v>
                </c:pt>
                <c:pt idx="1140">
                  <c:v>45075</c:v>
                </c:pt>
                <c:pt idx="1141">
                  <c:v>45076</c:v>
                </c:pt>
                <c:pt idx="1142">
                  <c:v>45077</c:v>
                </c:pt>
                <c:pt idx="1143">
                  <c:v>45078</c:v>
                </c:pt>
                <c:pt idx="1144">
                  <c:v>45079</c:v>
                </c:pt>
                <c:pt idx="1145">
                  <c:v>45082</c:v>
                </c:pt>
                <c:pt idx="1146">
                  <c:v>45083</c:v>
                </c:pt>
                <c:pt idx="1147">
                  <c:v>45084</c:v>
                </c:pt>
                <c:pt idx="1148">
                  <c:v>45085</c:v>
                </c:pt>
                <c:pt idx="1149">
                  <c:v>45086</c:v>
                </c:pt>
                <c:pt idx="1150">
                  <c:v>45089</c:v>
                </c:pt>
                <c:pt idx="1151">
                  <c:v>45090</c:v>
                </c:pt>
                <c:pt idx="1152">
                  <c:v>45091</c:v>
                </c:pt>
                <c:pt idx="1153">
                  <c:v>45092</c:v>
                </c:pt>
                <c:pt idx="1154">
                  <c:v>45093</c:v>
                </c:pt>
                <c:pt idx="1155">
                  <c:v>45096</c:v>
                </c:pt>
                <c:pt idx="1156">
                  <c:v>45097</c:v>
                </c:pt>
                <c:pt idx="1157">
                  <c:v>45098</c:v>
                </c:pt>
                <c:pt idx="1158">
                  <c:v>45099</c:v>
                </c:pt>
                <c:pt idx="1159">
                  <c:v>45100</c:v>
                </c:pt>
                <c:pt idx="1160">
                  <c:v>45103</c:v>
                </c:pt>
                <c:pt idx="1161">
                  <c:v>45104</c:v>
                </c:pt>
                <c:pt idx="1162">
                  <c:v>45105</c:v>
                </c:pt>
                <c:pt idx="1163">
                  <c:v>45106</c:v>
                </c:pt>
                <c:pt idx="1164">
                  <c:v>45107</c:v>
                </c:pt>
                <c:pt idx="1165">
                  <c:v>45110</c:v>
                </c:pt>
                <c:pt idx="1166">
                  <c:v>45111</c:v>
                </c:pt>
                <c:pt idx="1167">
                  <c:v>45112</c:v>
                </c:pt>
                <c:pt idx="1168">
                  <c:v>45113</c:v>
                </c:pt>
                <c:pt idx="1169">
                  <c:v>45114</c:v>
                </c:pt>
                <c:pt idx="1170">
                  <c:v>45117</c:v>
                </c:pt>
                <c:pt idx="1171">
                  <c:v>45118</c:v>
                </c:pt>
                <c:pt idx="1172">
                  <c:v>45119</c:v>
                </c:pt>
                <c:pt idx="1173">
                  <c:v>45120</c:v>
                </c:pt>
                <c:pt idx="1174">
                  <c:v>45121</c:v>
                </c:pt>
                <c:pt idx="1175">
                  <c:v>45124</c:v>
                </c:pt>
                <c:pt idx="1176">
                  <c:v>45125</c:v>
                </c:pt>
                <c:pt idx="1177">
                  <c:v>45126</c:v>
                </c:pt>
                <c:pt idx="1178">
                  <c:v>45127</c:v>
                </c:pt>
                <c:pt idx="1179">
                  <c:v>45128</c:v>
                </c:pt>
                <c:pt idx="1180">
                  <c:v>45131</c:v>
                </c:pt>
                <c:pt idx="1181">
                  <c:v>45132</c:v>
                </c:pt>
                <c:pt idx="1182">
                  <c:v>45133</c:v>
                </c:pt>
                <c:pt idx="1183">
                  <c:v>45134</c:v>
                </c:pt>
                <c:pt idx="1184">
                  <c:v>45135</c:v>
                </c:pt>
                <c:pt idx="1185">
                  <c:v>45138</c:v>
                </c:pt>
                <c:pt idx="1186">
                  <c:v>45139</c:v>
                </c:pt>
                <c:pt idx="1187">
                  <c:v>45140</c:v>
                </c:pt>
                <c:pt idx="1188">
                  <c:v>45141</c:v>
                </c:pt>
                <c:pt idx="1189">
                  <c:v>45142</c:v>
                </c:pt>
                <c:pt idx="1190">
                  <c:v>45145</c:v>
                </c:pt>
                <c:pt idx="1191">
                  <c:v>45146</c:v>
                </c:pt>
                <c:pt idx="1192">
                  <c:v>45147</c:v>
                </c:pt>
                <c:pt idx="1193">
                  <c:v>45148</c:v>
                </c:pt>
                <c:pt idx="1194">
                  <c:v>45149</c:v>
                </c:pt>
                <c:pt idx="1195">
                  <c:v>45152</c:v>
                </c:pt>
                <c:pt idx="1196">
                  <c:v>45153</c:v>
                </c:pt>
                <c:pt idx="1197">
                  <c:v>45154</c:v>
                </c:pt>
                <c:pt idx="1198">
                  <c:v>45155</c:v>
                </c:pt>
                <c:pt idx="1199">
                  <c:v>45156</c:v>
                </c:pt>
                <c:pt idx="1200">
                  <c:v>45159</c:v>
                </c:pt>
                <c:pt idx="1201">
                  <c:v>45160</c:v>
                </c:pt>
                <c:pt idx="1202">
                  <c:v>45161</c:v>
                </c:pt>
                <c:pt idx="1203">
                  <c:v>45162</c:v>
                </c:pt>
                <c:pt idx="1204">
                  <c:v>45163</c:v>
                </c:pt>
                <c:pt idx="1205">
                  <c:v>45166</c:v>
                </c:pt>
                <c:pt idx="1206">
                  <c:v>45167</c:v>
                </c:pt>
                <c:pt idx="1207">
                  <c:v>45168</c:v>
                </c:pt>
                <c:pt idx="1208">
                  <c:v>45169</c:v>
                </c:pt>
                <c:pt idx="1209">
                  <c:v>45170</c:v>
                </c:pt>
                <c:pt idx="1210">
                  <c:v>45173</c:v>
                </c:pt>
                <c:pt idx="1211">
                  <c:v>45174</c:v>
                </c:pt>
                <c:pt idx="1212">
                  <c:v>45175</c:v>
                </c:pt>
                <c:pt idx="1213">
                  <c:v>45176</c:v>
                </c:pt>
                <c:pt idx="1214">
                  <c:v>45177</c:v>
                </c:pt>
                <c:pt idx="1215">
                  <c:v>45180</c:v>
                </c:pt>
                <c:pt idx="1216">
                  <c:v>45181</c:v>
                </c:pt>
                <c:pt idx="1217">
                  <c:v>45182</c:v>
                </c:pt>
                <c:pt idx="1218">
                  <c:v>45183</c:v>
                </c:pt>
                <c:pt idx="1219">
                  <c:v>45184</c:v>
                </c:pt>
                <c:pt idx="1220">
                  <c:v>45187</c:v>
                </c:pt>
                <c:pt idx="1221">
                  <c:v>45188</c:v>
                </c:pt>
                <c:pt idx="1222">
                  <c:v>45189</c:v>
                </c:pt>
                <c:pt idx="1223">
                  <c:v>45190</c:v>
                </c:pt>
                <c:pt idx="1224">
                  <c:v>45191</c:v>
                </c:pt>
                <c:pt idx="1225">
                  <c:v>45194</c:v>
                </c:pt>
                <c:pt idx="1226">
                  <c:v>45195</c:v>
                </c:pt>
              </c:numCache>
            </c:numRef>
          </c:cat>
          <c:val>
            <c:numRef>
              <c:f>Sheet1!$D$2:$D$1228</c:f>
              <c:numCache>
                <c:formatCode>0.000</c:formatCode>
                <c:ptCount val="1227"/>
                <c:pt idx="0">
                  <c:v>86.5</c:v>
                </c:pt>
                <c:pt idx="1">
                  <c:v>86.7</c:v>
                </c:pt>
                <c:pt idx="2">
                  <c:v>85.2</c:v>
                </c:pt>
                <c:pt idx="3">
                  <c:v>90.899999999999991</c:v>
                </c:pt>
                <c:pt idx="4">
                  <c:v>89.4</c:v>
                </c:pt>
                <c:pt idx="5">
                  <c:v>81.099999999999994</c:v>
                </c:pt>
                <c:pt idx="6">
                  <c:v>79.5</c:v>
                </c:pt>
                <c:pt idx="7">
                  <c:v>79.100000000000009</c:v>
                </c:pt>
                <c:pt idx="8">
                  <c:v>84.9</c:v>
                </c:pt>
                <c:pt idx="9">
                  <c:v>85.4</c:v>
                </c:pt>
                <c:pt idx="10">
                  <c:v>84.6</c:v>
                </c:pt>
                <c:pt idx="11">
                  <c:v>83.7</c:v>
                </c:pt>
                <c:pt idx="12">
                  <c:v>82.8</c:v>
                </c:pt>
                <c:pt idx="13">
                  <c:v>83.5</c:v>
                </c:pt>
                <c:pt idx="14">
                  <c:v>84.40000000000002</c:v>
                </c:pt>
                <c:pt idx="15">
                  <c:v>86.5</c:v>
                </c:pt>
                <c:pt idx="16">
                  <c:v>88</c:v>
                </c:pt>
                <c:pt idx="17">
                  <c:v>87.7</c:v>
                </c:pt>
                <c:pt idx="18">
                  <c:v>87.500000000000014</c:v>
                </c:pt>
                <c:pt idx="19">
                  <c:v>87</c:v>
                </c:pt>
                <c:pt idx="20">
                  <c:v>88.2</c:v>
                </c:pt>
                <c:pt idx="21">
                  <c:v>88.1</c:v>
                </c:pt>
                <c:pt idx="22">
                  <c:v>86.4</c:v>
                </c:pt>
                <c:pt idx="23">
                  <c:v>85.3</c:v>
                </c:pt>
                <c:pt idx="24">
                  <c:v>86</c:v>
                </c:pt>
                <c:pt idx="25">
                  <c:v>85.800000000000011</c:v>
                </c:pt>
                <c:pt idx="26">
                  <c:v>88.5</c:v>
                </c:pt>
                <c:pt idx="27">
                  <c:v>90.300000000000011</c:v>
                </c:pt>
                <c:pt idx="28">
                  <c:v>88</c:v>
                </c:pt>
                <c:pt idx="29">
                  <c:v>86.8</c:v>
                </c:pt>
                <c:pt idx="30">
                  <c:v>87.7</c:v>
                </c:pt>
                <c:pt idx="31">
                  <c:v>87.7</c:v>
                </c:pt>
                <c:pt idx="32">
                  <c:v>86.899999999999991</c:v>
                </c:pt>
                <c:pt idx="33">
                  <c:v>86</c:v>
                </c:pt>
                <c:pt idx="34">
                  <c:v>85.499999999999986</c:v>
                </c:pt>
                <c:pt idx="35">
                  <c:v>85</c:v>
                </c:pt>
                <c:pt idx="36">
                  <c:v>83.299999999999983</c:v>
                </c:pt>
                <c:pt idx="37">
                  <c:v>84.399999999999991</c:v>
                </c:pt>
                <c:pt idx="38">
                  <c:v>82.2</c:v>
                </c:pt>
                <c:pt idx="39">
                  <c:v>80.199999999999989</c:v>
                </c:pt>
                <c:pt idx="40">
                  <c:v>80.199999999999989</c:v>
                </c:pt>
                <c:pt idx="41">
                  <c:v>77.699999999999989</c:v>
                </c:pt>
                <c:pt idx="42">
                  <c:v>78.7</c:v>
                </c:pt>
                <c:pt idx="43">
                  <c:v>79.2</c:v>
                </c:pt>
                <c:pt idx="44">
                  <c:v>77.2</c:v>
                </c:pt>
                <c:pt idx="45">
                  <c:v>74.199999999999989</c:v>
                </c:pt>
                <c:pt idx="46">
                  <c:v>73.3</c:v>
                </c:pt>
                <c:pt idx="47">
                  <c:v>71.099999999999994</c:v>
                </c:pt>
                <c:pt idx="48">
                  <c:v>71.099999999999994</c:v>
                </c:pt>
                <c:pt idx="49">
                  <c:v>73.5</c:v>
                </c:pt>
                <c:pt idx="50">
                  <c:v>72.500000000000014</c:v>
                </c:pt>
                <c:pt idx="51">
                  <c:v>70.400000000000006</c:v>
                </c:pt>
                <c:pt idx="52">
                  <c:v>70.600000000000009</c:v>
                </c:pt>
                <c:pt idx="53">
                  <c:v>70.8</c:v>
                </c:pt>
                <c:pt idx="54">
                  <c:v>73.3</c:v>
                </c:pt>
                <c:pt idx="55">
                  <c:v>75.599999999999994</c:v>
                </c:pt>
                <c:pt idx="56">
                  <c:v>75.900000000000006</c:v>
                </c:pt>
                <c:pt idx="57">
                  <c:v>78.500000000000014</c:v>
                </c:pt>
                <c:pt idx="58">
                  <c:v>79.800000000000011</c:v>
                </c:pt>
                <c:pt idx="59">
                  <c:v>79.5</c:v>
                </c:pt>
                <c:pt idx="60">
                  <c:v>80.099999999999994</c:v>
                </c:pt>
                <c:pt idx="61">
                  <c:v>79.900000000000006</c:v>
                </c:pt>
                <c:pt idx="62">
                  <c:v>79.000000000000014</c:v>
                </c:pt>
                <c:pt idx="63">
                  <c:v>75.599999999999994</c:v>
                </c:pt>
                <c:pt idx="64">
                  <c:v>75.900000000000006</c:v>
                </c:pt>
                <c:pt idx="65">
                  <c:v>72.2</c:v>
                </c:pt>
                <c:pt idx="66">
                  <c:v>73.600000000000009</c:v>
                </c:pt>
                <c:pt idx="67">
                  <c:v>72.3</c:v>
                </c:pt>
                <c:pt idx="68">
                  <c:v>71.3</c:v>
                </c:pt>
                <c:pt idx="69">
                  <c:v>71</c:v>
                </c:pt>
                <c:pt idx="70">
                  <c:v>68.599999999999994</c:v>
                </c:pt>
                <c:pt idx="71">
                  <c:v>67.900000000000006</c:v>
                </c:pt>
                <c:pt idx="72">
                  <c:v>62.499999999999993</c:v>
                </c:pt>
                <c:pt idx="73">
                  <c:v>64.400000000000006</c:v>
                </c:pt>
                <c:pt idx="74">
                  <c:v>62.4</c:v>
                </c:pt>
                <c:pt idx="75">
                  <c:v>62</c:v>
                </c:pt>
                <c:pt idx="76">
                  <c:v>65.5</c:v>
                </c:pt>
                <c:pt idx="77">
                  <c:v>65.5</c:v>
                </c:pt>
                <c:pt idx="78">
                  <c:v>63.2</c:v>
                </c:pt>
                <c:pt idx="79">
                  <c:v>61.5</c:v>
                </c:pt>
                <c:pt idx="80">
                  <c:v>62.099999999999994</c:v>
                </c:pt>
                <c:pt idx="81">
                  <c:v>63.699999999999996</c:v>
                </c:pt>
                <c:pt idx="82">
                  <c:v>62.7</c:v>
                </c:pt>
                <c:pt idx="83">
                  <c:v>62.7</c:v>
                </c:pt>
                <c:pt idx="84">
                  <c:v>61.000000000000007</c:v>
                </c:pt>
                <c:pt idx="85">
                  <c:v>60.5</c:v>
                </c:pt>
                <c:pt idx="86">
                  <c:v>60.400000000000006</c:v>
                </c:pt>
                <c:pt idx="87">
                  <c:v>61.8</c:v>
                </c:pt>
                <c:pt idx="88">
                  <c:v>62.4</c:v>
                </c:pt>
                <c:pt idx="89">
                  <c:v>63.699999999999996</c:v>
                </c:pt>
                <c:pt idx="90">
                  <c:v>63.5</c:v>
                </c:pt>
                <c:pt idx="91">
                  <c:v>65</c:v>
                </c:pt>
                <c:pt idx="92">
                  <c:v>65</c:v>
                </c:pt>
                <c:pt idx="93">
                  <c:v>66.8</c:v>
                </c:pt>
                <c:pt idx="94">
                  <c:v>67.5</c:v>
                </c:pt>
                <c:pt idx="95">
                  <c:v>68.399999999999991</c:v>
                </c:pt>
                <c:pt idx="96">
                  <c:v>68.7</c:v>
                </c:pt>
                <c:pt idx="97">
                  <c:v>67.300000000000011</c:v>
                </c:pt>
                <c:pt idx="98">
                  <c:v>69.400000000000006</c:v>
                </c:pt>
                <c:pt idx="99">
                  <c:v>70.5</c:v>
                </c:pt>
                <c:pt idx="100">
                  <c:v>69.899999999999991</c:v>
                </c:pt>
                <c:pt idx="101">
                  <c:v>76.3</c:v>
                </c:pt>
                <c:pt idx="102">
                  <c:v>72</c:v>
                </c:pt>
                <c:pt idx="103">
                  <c:v>73.2</c:v>
                </c:pt>
                <c:pt idx="104">
                  <c:v>73.400000000000006</c:v>
                </c:pt>
                <c:pt idx="105">
                  <c:v>74.400000000000006</c:v>
                </c:pt>
                <c:pt idx="106">
                  <c:v>73.7</c:v>
                </c:pt>
                <c:pt idx="107">
                  <c:v>72</c:v>
                </c:pt>
                <c:pt idx="108">
                  <c:v>69.899999999999991</c:v>
                </c:pt>
                <c:pt idx="109">
                  <c:v>66.099999999999994</c:v>
                </c:pt>
                <c:pt idx="110">
                  <c:v>63.2</c:v>
                </c:pt>
                <c:pt idx="111">
                  <c:v>60.9</c:v>
                </c:pt>
                <c:pt idx="112">
                  <c:v>61.1</c:v>
                </c:pt>
                <c:pt idx="113">
                  <c:v>59.399999999999991</c:v>
                </c:pt>
                <c:pt idx="114">
                  <c:v>60.599999999999994</c:v>
                </c:pt>
                <c:pt idx="115">
                  <c:v>60.099999999999994</c:v>
                </c:pt>
                <c:pt idx="116">
                  <c:v>59.500000000000007</c:v>
                </c:pt>
                <c:pt idx="117">
                  <c:v>60.999999999999993</c:v>
                </c:pt>
                <c:pt idx="118">
                  <c:v>60.5</c:v>
                </c:pt>
                <c:pt idx="119">
                  <c:v>59.800000000000004</c:v>
                </c:pt>
                <c:pt idx="120">
                  <c:v>57.199999999999996</c:v>
                </c:pt>
                <c:pt idx="121">
                  <c:v>56.9</c:v>
                </c:pt>
                <c:pt idx="122">
                  <c:v>56.2</c:v>
                </c:pt>
                <c:pt idx="123">
                  <c:v>53.8</c:v>
                </c:pt>
                <c:pt idx="124">
                  <c:v>53.4</c:v>
                </c:pt>
                <c:pt idx="125">
                  <c:v>53.699999999999996</c:v>
                </c:pt>
                <c:pt idx="126">
                  <c:v>53.6</c:v>
                </c:pt>
                <c:pt idx="127">
                  <c:v>53.9</c:v>
                </c:pt>
                <c:pt idx="128">
                  <c:v>51.5</c:v>
                </c:pt>
                <c:pt idx="129">
                  <c:v>51.300000000000011</c:v>
                </c:pt>
                <c:pt idx="130">
                  <c:v>52.9</c:v>
                </c:pt>
                <c:pt idx="131">
                  <c:v>56.3</c:v>
                </c:pt>
                <c:pt idx="132">
                  <c:v>57</c:v>
                </c:pt>
                <c:pt idx="133">
                  <c:v>55.499999999999993</c:v>
                </c:pt>
                <c:pt idx="134">
                  <c:v>51.1</c:v>
                </c:pt>
                <c:pt idx="135">
                  <c:v>55.899999999999991</c:v>
                </c:pt>
                <c:pt idx="136">
                  <c:v>55</c:v>
                </c:pt>
                <c:pt idx="137">
                  <c:v>54.7</c:v>
                </c:pt>
                <c:pt idx="138">
                  <c:v>53.6</c:v>
                </c:pt>
                <c:pt idx="139">
                  <c:v>51.400000000000006</c:v>
                </c:pt>
                <c:pt idx="140">
                  <c:v>51.000000000000007</c:v>
                </c:pt>
                <c:pt idx="141">
                  <c:v>51.899999999999991</c:v>
                </c:pt>
                <c:pt idx="142">
                  <c:v>52.8</c:v>
                </c:pt>
                <c:pt idx="143">
                  <c:v>52.8</c:v>
                </c:pt>
                <c:pt idx="144">
                  <c:v>53.3</c:v>
                </c:pt>
                <c:pt idx="145">
                  <c:v>54.8</c:v>
                </c:pt>
                <c:pt idx="146">
                  <c:v>55.4</c:v>
                </c:pt>
                <c:pt idx="147">
                  <c:v>55.5</c:v>
                </c:pt>
                <c:pt idx="148">
                  <c:v>55.2</c:v>
                </c:pt>
                <c:pt idx="149">
                  <c:v>52.300000000000004</c:v>
                </c:pt>
                <c:pt idx="150">
                  <c:v>51.699999999999996</c:v>
                </c:pt>
                <c:pt idx="151">
                  <c:v>52.1</c:v>
                </c:pt>
                <c:pt idx="152">
                  <c:v>51.600000000000009</c:v>
                </c:pt>
                <c:pt idx="153">
                  <c:v>46.999999999999993</c:v>
                </c:pt>
                <c:pt idx="154">
                  <c:v>47.000000000000007</c:v>
                </c:pt>
                <c:pt idx="155">
                  <c:v>49.099999999999994</c:v>
                </c:pt>
                <c:pt idx="156">
                  <c:v>50</c:v>
                </c:pt>
                <c:pt idx="157">
                  <c:v>50.099999999999994</c:v>
                </c:pt>
                <c:pt idx="158">
                  <c:v>50.100000000000009</c:v>
                </c:pt>
                <c:pt idx="159">
                  <c:v>51.3</c:v>
                </c:pt>
                <c:pt idx="160">
                  <c:v>49</c:v>
                </c:pt>
                <c:pt idx="161">
                  <c:v>49.400000000000006</c:v>
                </c:pt>
                <c:pt idx="162">
                  <c:v>51.000000000000007</c:v>
                </c:pt>
                <c:pt idx="163">
                  <c:v>50.9</c:v>
                </c:pt>
                <c:pt idx="164">
                  <c:v>52.000000000000007</c:v>
                </c:pt>
                <c:pt idx="165">
                  <c:v>54.300000000000011</c:v>
                </c:pt>
                <c:pt idx="166">
                  <c:v>55</c:v>
                </c:pt>
                <c:pt idx="167">
                  <c:v>51.599999999999994</c:v>
                </c:pt>
                <c:pt idx="168">
                  <c:v>52.4</c:v>
                </c:pt>
                <c:pt idx="169">
                  <c:v>52.099999999999994</c:v>
                </c:pt>
                <c:pt idx="170">
                  <c:v>53.099999999999987</c:v>
                </c:pt>
                <c:pt idx="171">
                  <c:v>52.599999999999987</c:v>
                </c:pt>
                <c:pt idx="172">
                  <c:v>52.9</c:v>
                </c:pt>
                <c:pt idx="173">
                  <c:v>51.400000000000006</c:v>
                </c:pt>
                <c:pt idx="174">
                  <c:v>50.699999999999996</c:v>
                </c:pt>
                <c:pt idx="175">
                  <c:v>52.7</c:v>
                </c:pt>
                <c:pt idx="176">
                  <c:v>53.499999999999986</c:v>
                </c:pt>
                <c:pt idx="177">
                  <c:v>56.6</c:v>
                </c:pt>
                <c:pt idx="178">
                  <c:v>59.699999999999996</c:v>
                </c:pt>
                <c:pt idx="179">
                  <c:v>56.20000000000001</c:v>
                </c:pt>
                <c:pt idx="180">
                  <c:v>58.599999999999994</c:v>
                </c:pt>
                <c:pt idx="181">
                  <c:v>59.399999999999991</c:v>
                </c:pt>
                <c:pt idx="182">
                  <c:v>60.599999999999994</c:v>
                </c:pt>
                <c:pt idx="183">
                  <c:v>61.2</c:v>
                </c:pt>
                <c:pt idx="184">
                  <c:v>61.5</c:v>
                </c:pt>
                <c:pt idx="185">
                  <c:v>61.3</c:v>
                </c:pt>
                <c:pt idx="186">
                  <c:v>60.499999999999993</c:v>
                </c:pt>
                <c:pt idx="187">
                  <c:v>61.2</c:v>
                </c:pt>
                <c:pt idx="188">
                  <c:v>60.3</c:v>
                </c:pt>
                <c:pt idx="189">
                  <c:v>60.599999999999994</c:v>
                </c:pt>
                <c:pt idx="190">
                  <c:v>60.599999999999994</c:v>
                </c:pt>
                <c:pt idx="191">
                  <c:v>60.8</c:v>
                </c:pt>
                <c:pt idx="192">
                  <c:v>58.099999999999994</c:v>
                </c:pt>
                <c:pt idx="193">
                  <c:v>58.400000000000006</c:v>
                </c:pt>
                <c:pt idx="194">
                  <c:v>60.699999999999996</c:v>
                </c:pt>
                <c:pt idx="195">
                  <c:v>59.6</c:v>
                </c:pt>
                <c:pt idx="196">
                  <c:v>58.199999999999996</c:v>
                </c:pt>
                <c:pt idx="197">
                  <c:v>58.300000000000004</c:v>
                </c:pt>
                <c:pt idx="198">
                  <c:v>56.6</c:v>
                </c:pt>
                <c:pt idx="199">
                  <c:v>54.599999999999994</c:v>
                </c:pt>
                <c:pt idx="200">
                  <c:v>54.5</c:v>
                </c:pt>
                <c:pt idx="201">
                  <c:v>54.800000000000004</c:v>
                </c:pt>
                <c:pt idx="202">
                  <c:v>50.2</c:v>
                </c:pt>
                <c:pt idx="203">
                  <c:v>45.8</c:v>
                </c:pt>
                <c:pt idx="204">
                  <c:v>45.499999999999993</c:v>
                </c:pt>
                <c:pt idx="205">
                  <c:v>47.6</c:v>
                </c:pt>
                <c:pt idx="206">
                  <c:v>48.5</c:v>
                </c:pt>
                <c:pt idx="207">
                  <c:v>49.199999999999996</c:v>
                </c:pt>
                <c:pt idx="208">
                  <c:v>50.3</c:v>
                </c:pt>
                <c:pt idx="209">
                  <c:v>51.2</c:v>
                </c:pt>
                <c:pt idx="210">
                  <c:v>50.8</c:v>
                </c:pt>
                <c:pt idx="211">
                  <c:v>50.9</c:v>
                </c:pt>
                <c:pt idx="212">
                  <c:v>51.199999999999996</c:v>
                </c:pt>
                <c:pt idx="213">
                  <c:v>50.999999999999993</c:v>
                </c:pt>
                <c:pt idx="214">
                  <c:v>52</c:v>
                </c:pt>
                <c:pt idx="215">
                  <c:v>52.4</c:v>
                </c:pt>
                <c:pt idx="216">
                  <c:v>50.5</c:v>
                </c:pt>
                <c:pt idx="217">
                  <c:v>49</c:v>
                </c:pt>
                <c:pt idx="218">
                  <c:v>49.300000000000004</c:v>
                </c:pt>
                <c:pt idx="219">
                  <c:v>48.1</c:v>
                </c:pt>
                <c:pt idx="220">
                  <c:v>48.900000000000006</c:v>
                </c:pt>
                <c:pt idx="221">
                  <c:v>48.199999999999996</c:v>
                </c:pt>
                <c:pt idx="222">
                  <c:v>48.400000000000006</c:v>
                </c:pt>
                <c:pt idx="223">
                  <c:v>50.100000000000009</c:v>
                </c:pt>
                <c:pt idx="224">
                  <c:v>51.5</c:v>
                </c:pt>
                <c:pt idx="225">
                  <c:v>51.1</c:v>
                </c:pt>
                <c:pt idx="226">
                  <c:v>50.500000000000007</c:v>
                </c:pt>
                <c:pt idx="227">
                  <c:v>50.4</c:v>
                </c:pt>
                <c:pt idx="228">
                  <c:v>50.699999999999996</c:v>
                </c:pt>
                <c:pt idx="229">
                  <c:v>50.100000000000009</c:v>
                </c:pt>
                <c:pt idx="230">
                  <c:v>51.1</c:v>
                </c:pt>
                <c:pt idx="231">
                  <c:v>50.9</c:v>
                </c:pt>
                <c:pt idx="232">
                  <c:v>51.199999999999996</c:v>
                </c:pt>
                <c:pt idx="233">
                  <c:v>51.699999999999996</c:v>
                </c:pt>
                <c:pt idx="234">
                  <c:v>51.000000000000007</c:v>
                </c:pt>
                <c:pt idx="235">
                  <c:v>51.3</c:v>
                </c:pt>
                <c:pt idx="236">
                  <c:v>50.300000000000004</c:v>
                </c:pt>
                <c:pt idx="237">
                  <c:v>50.8</c:v>
                </c:pt>
                <c:pt idx="238">
                  <c:v>50.4</c:v>
                </c:pt>
                <c:pt idx="239">
                  <c:v>50.9</c:v>
                </c:pt>
                <c:pt idx="240">
                  <c:v>51.4</c:v>
                </c:pt>
                <c:pt idx="241">
                  <c:v>51.9</c:v>
                </c:pt>
                <c:pt idx="242">
                  <c:v>51.599999999999994</c:v>
                </c:pt>
                <c:pt idx="243">
                  <c:v>52.1</c:v>
                </c:pt>
                <c:pt idx="244">
                  <c:v>50.6</c:v>
                </c:pt>
                <c:pt idx="245">
                  <c:v>51.000000000000007</c:v>
                </c:pt>
                <c:pt idx="246">
                  <c:v>50.2</c:v>
                </c:pt>
                <c:pt idx="247">
                  <c:v>51.3</c:v>
                </c:pt>
                <c:pt idx="248">
                  <c:v>50.3</c:v>
                </c:pt>
                <c:pt idx="249">
                  <c:v>50.3</c:v>
                </c:pt>
                <c:pt idx="250">
                  <c:v>52.4</c:v>
                </c:pt>
                <c:pt idx="251">
                  <c:v>54.8</c:v>
                </c:pt>
                <c:pt idx="252">
                  <c:v>52.300000000000004</c:v>
                </c:pt>
                <c:pt idx="253">
                  <c:v>49.499999999999993</c:v>
                </c:pt>
                <c:pt idx="254">
                  <c:v>52.8</c:v>
                </c:pt>
                <c:pt idx="255">
                  <c:v>54.2</c:v>
                </c:pt>
                <c:pt idx="256">
                  <c:v>57.699999999999989</c:v>
                </c:pt>
                <c:pt idx="257">
                  <c:v>53.3</c:v>
                </c:pt>
                <c:pt idx="258">
                  <c:v>48.1</c:v>
                </c:pt>
                <c:pt idx="259">
                  <c:v>45.4</c:v>
                </c:pt>
                <c:pt idx="260">
                  <c:v>43.800000000000004</c:v>
                </c:pt>
                <c:pt idx="261">
                  <c:v>47.6</c:v>
                </c:pt>
                <c:pt idx="262">
                  <c:v>47.6</c:v>
                </c:pt>
                <c:pt idx="263">
                  <c:v>49.300000000000004</c:v>
                </c:pt>
                <c:pt idx="264">
                  <c:v>49</c:v>
                </c:pt>
                <c:pt idx="265">
                  <c:v>50.4</c:v>
                </c:pt>
                <c:pt idx="266">
                  <c:v>51.3</c:v>
                </c:pt>
                <c:pt idx="267">
                  <c:v>51.400000000000006</c:v>
                </c:pt>
                <c:pt idx="268">
                  <c:v>51.8</c:v>
                </c:pt>
                <c:pt idx="269">
                  <c:v>52.9</c:v>
                </c:pt>
                <c:pt idx="270">
                  <c:v>53.2</c:v>
                </c:pt>
                <c:pt idx="271">
                  <c:v>54.6</c:v>
                </c:pt>
                <c:pt idx="272">
                  <c:v>54.300000000000011</c:v>
                </c:pt>
                <c:pt idx="273">
                  <c:v>54.9</c:v>
                </c:pt>
                <c:pt idx="274">
                  <c:v>55.000000000000007</c:v>
                </c:pt>
                <c:pt idx="275">
                  <c:v>51.5</c:v>
                </c:pt>
                <c:pt idx="276">
                  <c:v>50.100000000000009</c:v>
                </c:pt>
                <c:pt idx="277">
                  <c:v>48.2</c:v>
                </c:pt>
                <c:pt idx="278">
                  <c:v>46.699999999999996</c:v>
                </c:pt>
                <c:pt idx="279">
                  <c:v>46.6</c:v>
                </c:pt>
                <c:pt idx="280">
                  <c:v>45.8</c:v>
                </c:pt>
                <c:pt idx="281">
                  <c:v>46.9</c:v>
                </c:pt>
                <c:pt idx="282">
                  <c:v>45.7</c:v>
                </c:pt>
                <c:pt idx="283">
                  <c:v>44.6</c:v>
                </c:pt>
                <c:pt idx="284">
                  <c:v>44.2</c:v>
                </c:pt>
                <c:pt idx="285">
                  <c:v>44.500000000000007</c:v>
                </c:pt>
                <c:pt idx="286">
                  <c:v>44.800000000000004</c:v>
                </c:pt>
                <c:pt idx="287">
                  <c:v>45.199999999999996</c:v>
                </c:pt>
                <c:pt idx="288">
                  <c:v>45.699999999999996</c:v>
                </c:pt>
                <c:pt idx="289">
                  <c:v>45.800000000000004</c:v>
                </c:pt>
                <c:pt idx="290">
                  <c:v>45.8</c:v>
                </c:pt>
                <c:pt idx="291">
                  <c:v>48.599999999999994</c:v>
                </c:pt>
                <c:pt idx="292">
                  <c:v>52.1</c:v>
                </c:pt>
                <c:pt idx="293">
                  <c:v>53.4</c:v>
                </c:pt>
                <c:pt idx="294">
                  <c:v>55.800000000000004</c:v>
                </c:pt>
                <c:pt idx="295">
                  <c:v>60.3</c:v>
                </c:pt>
                <c:pt idx="296">
                  <c:v>61.9</c:v>
                </c:pt>
                <c:pt idx="297">
                  <c:v>61.5</c:v>
                </c:pt>
                <c:pt idx="298">
                  <c:v>62.900000000000006</c:v>
                </c:pt>
                <c:pt idx="299">
                  <c:v>67.500000000000014</c:v>
                </c:pt>
                <c:pt idx="300">
                  <c:v>71.499999999999986</c:v>
                </c:pt>
                <c:pt idx="301">
                  <c:v>84.399999999999991</c:v>
                </c:pt>
                <c:pt idx="302">
                  <c:v>86.2</c:v>
                </c:pt>
                <c:pt idx="303">
                  <c:v>82.699999999999989</c:v>
                </c:pt>
                <c:pt idx="304">
                  <c:v>92.999999999999986</c:v>
                </c:pt>
                <c:pt idx="305">
                  <c:v>90.100000000000009</c:v>
                </c:pt>
                <c:pt idx="306">
                  <c:v>96.2</c:v>
                </c:pt>
                <c:pt idx="307">
                  <c:v>101.2</c:v>
                </c:pt>
                <c:pt idx="308">
                  <c:v>91.6</c:v>
                </c:pt>
                <c:pt idx="309">
                  <c:v>76.599999999999994</c:v>
                </c:pt>
                <c:pt idx="310">
                  <c:v>79.599999999999994</c:v>
                </c:pt>
                <c:pt idx="311">
                  <c:v>89.1</c:v>
                </c:pt>
                <c:pt idx="312">
                  <c:v>92.3</c:v>
                </c:pt>
                <c:pt idx="313">
                  <c:v>95.4</c:v>
                </c:pt>
                <c:pt idx="314">
                  <c:v>89.5</c:v>
                </c:pt>
                <c:pt idx="315">
                  <c:v>90.3</c:v>
                </c:pt>
                <c:pt idx="316">
                  <c:v>93.999999999999986</c:v>
                </c:pt>
                <c:pt idx="317">
                  <c:v>93.3</c:v>
                </c:pt>
                <c:pt idx="318">
                  <c:v>93.7</c:v>
                </c:pt>
                <c:pt idx="319">
                  <c:v>95.2</c:v>
                </c:pt>
                <c:pt idx="320">
                  <c:v>99.09999999999998</c:v>
                </c:pt>
                <c:pt idx="321">
                  <c:v>102.70000000000002</c:v>
                </c:pt>
                <c:pt idx="322">
                  <c:v>112.2</c:v>
                </c:pt>
                <c:pt idx="323">
                  <c:v>115.2</c:v>
                </c:pt>
                <c:pt idx="324">
                  <c:v>114.49999999999999</c:v>
                </c:pt>
                <c:pt idx="325">
                  <c:v>114.49999999999999</c:v>
                </c:pt>
                <c:pt idx="326">
                  <c:v>114.3</c:v>
                </c:pt>
                <c:pt idx="327">
                  <c:v>121</c:v>
                </c:pt>
                <c:pt idx="328">
                  <c:v>119.10000000000001</c:v>
                </c:pt>
                <c:pt idx="329">
                  <c:v>120.1</c:v>
                </c:pt>
                <c:pt idx="330">
                  <c:v>122.20000000000002</c:v>
                </c:pt>
                <c:pt idx="331">
                  <c:v>128.9</c:v>
                </c:pt>
                <c:pt idx="332">
                  <c:v>139.4</c:v>
                </c:pt>
                <c:pt idx="333">
                  <c:v>139.79999999999998</c:v>
                </c:pt>
                <c:pt idx="334">
                  <c:v>140.80000000000001</c:v>
                </c:pt>
                <c:pt idx="335">
                  <c:v>135.20000000000002</c:v>
                </c:pt>
                <c:pt idx="336">
                  <c:v>129.6</c:v>
                </c:pt>
                <c:pt idx="337">
                  <c:v>129.1</c:v>
                </c:pt>
                <c:pt idx="338">
                  <c:v>133</c:v>
                </c:pt>
                <c:pt idx="339">
                  <c:v>135.30000000000001</c:v>
                </c:pt>
                <c:pt idx="340">
                  <c:v>139</c:v>
                </c:pt>
                <c:pt idx="341">
                  <c:v>137.69999999999999</c:v>
                </c:pt>
                <c:pt idx="342">
                  <c:v>137</c:v>
                </c:pt>
                <c:pt idx="343">
                  <c:v>134.90000000000003</c:v>
                </c:pt>
                <c:pt idx="344">
                  <c:v>135.5</c:v>
                </c:pt>
                <c:pt idx="345">
                  <c:v>132.39999999999998</c:v>
                </c:pt>
                <c:pt idx="346">
                  <c:v>130.30000000000001</c:v>
                </c:pt>
                <c:pt idx="347">
                  <c:v>122.9</c:v>
                </c:pt>
                <c:pt idx="348">
                  <c:v>120.19999999999999</c:v>
                </c:pt>
                <c:pt idx="349">
                  <c:v>113.60000000000001</c:v>
                </c:pt>
                <c:pt idx="350">
                  <c:v>108.5</c:v>
                </c:pt>
                <c:pt idx="351">
                  <c:v>108.2</c:v>
                </c:pt>
                <c:pt idx="352">
                  <c:v>113.39999999999999</c:v>
                </c:pt>
                <c:pt idx="353">
                  <c:v>116.10000000000001</c:v>
                </c:pt>
                <c:pt idx="354">
                  <c:v>116.2</c:v>
                </c:pt>
                <c:pt idx="355">
                  <c:v>110.39999999999999</c:v>
                </c:pt>
                <c:pt idx="356">
                  <c:v>106.79999999999998</c:v>
                </c:pt>
                <c:pt idx="357">
                  <c:v>102.80000000000001</c:v>
                </c:pt>
                <c:pt idx="358">
                  <c:v>93.899999999999991</c:v>
                </c:pt>
                <c:pt idx="359">
                  <c:v>92.4</c:v>
                </c:pt>
                <c:pt idx="360">
                  <c:v>90.100000000000009</c:v>
                </c:pt>
                <c:pt idx="361">
                  <c:v>79.000000000000014</c:v>
                </c:pt>
                <c:pt idx="362">
                  <c:v>70.8</c:v>
                </c:pt>
                <c:pt idx="363">
                  <c:v>69.899999999999991</c:v>
                </c:pt>
                <c:pt idx="364">
                  <c:v>68.2</c:v>
                </c:pt>
                <c:pt idx="365">
                  <c:v>68.699999999999989</c:v>
                </c:pt>
                <c:pt idx="366">
                  <c:v>73.600000000000009</c:v>
                </c:pt>
                <c:pt idx="367">
                  <c:v>78.3</c:v>
                </c:pt>
                <c:pt idx="368">
                  <c:v>82.5</c:v>
                </c:pt>
                <c:pt idx="369">
                  <c:v>82.300000000000011</c:v>
                </c:pt>
                <c:pt idx="370">
                  <c:v>79.499999999999986</c:v>
                </c:pt>
                <c:pt idx="371">
                  <c:v>77.7</c:v>
                </c:pt>
                <c:pt idx="372">
                  <c:v>76.5</c:v>
                </c:pt>
                <c:pt idx="373">
                  <c:v>76.2</c:v>
                </c:pt>
                <c:pt idx="374">
                  <c:v>75.899999999999991</c:v>
                </c:pt>
                <c:pt idx="375">
                  <c:v>74.899999999999991</c:v>
                </c:pt>
                <c:pt idx="376">
                  <c:v>75.2</c:v>
                </c:pt>
                <c:pt idx="377">
                  <c:v>77.5</c:v>
                </c:pt>
                <c:pt idx="378">
                  <c:v>78.8</c:v>
                </c:pt>
                <c:pt idx="379">
                  <c:v>78.399999999999991</c:v>
                </c:pt>
                <c:pt idx="380">
                  <c:v>75.999999999999986</c:v>
                </c:pt>
                <c:pt idx="381">
                  <c:v>75.5</c:v>
                </c:pt>
                <c:pt idx="382">
                  <c:v>72.599999999999994</c:v>
                </c:pt>
                <c:pt idx="383">
                  <c:v>75.2</c:v>
                </c:pt>
                <c:pt idx="384">
                  <c:v>71.5</c:v>
                </c:pt>
                <c:pt idx="385">
                  <c:v>70.099999999999994</c:v>
                </c:pt>
                <c:pt idx="386">
                  <c:v>66.400000000000006</c:v>
                </c:pt>
                <c:pt idx="387">
                  <c:v>61.000000000000007</c:v>
                </c:pt>
                <c:pt idx="388">
                  <c:v>59.6</c:v>
                </c:pt>
                <c:pt idx="389">
                  <c:v>56.3</c:v>
                </c:pt>
                <c:pt idx="390">
                  <c:v>56.3</c:v>
                </c:pt>
                <c:pt idx="391">
                  <c:v>55.7</c:v>
                </c:pt>
                <c:pt idx="392">
                  <c:v>55.2</c:v>
                </c:pt>
                <c:pt idx="393">
                  <c:v>54.2</c:v>
                </c:pt>
                <c:pt idx="394">
                  <c:v>50.800000000000004</c:v>
                </c:pt>
                <c:pt idx="395">
                  <c:v>50.3</c:v>
                </c:pt>
                <c:pt idx="396">
                  <c:v>51.5</c:v>
                </c:pt>
                <c:pt idx="397">
                  <c:v>50.099999999999994</c:v>
                </c:pt>
                <c:pt idx="398">
                  <c:v>50</c:v>
                </c:pt>
                <c:pt idx="399">
                  <c:v>50.100000000000009</c:v>
                </c:pt>
                <c:pt idx="400">
                  <c:v>52.300000000000004</c:v>
                </c:pt>
                <c:pt idx="401">
                  <c:v>50.4</c:v>
                </c:pt>
                <c:pt idx="402">
                  <c:v>51.2</c:v>
                </c:pt>
                <c:pt idx="403">
                  <c:v>51.3</c:v>
                </c:pt>
                <c:pt idx="404">
                  <c:v>49.4</c:v>
                </c:pt>
                <c:pt idx="405">
                  <c:v>47.6</c:v>
                </c:pt>
                <c:pt idx="406">
                  <c:v>47</c:v>
                </c:pt>
                <c:pt idx="407">
                  <c:v>48.5</c:v>
                </c:pt>
                <c:pt idx="408">
                  <c:v>47</c:v>
                </c:pt>
                <c:pt idx="409">
                  <c:v>47.400000000000006</c:v>
                </c:pt>
                <c:pt idx="410">
                  <c:v>44.8</c:v>
                </c:pt>
                <c:pt idx="411">
                  <c:v>46.300000000000004</c:v>
                </c:pt>
                <c:pt idx="412">
                  <c:v>46.099999999999994</c:v>
                </c:pt>
                <c:pt idx="413">
                  <c:v>46.6</c:v>
                </c:pt>
                <c:pt idx="414">
                  <c:v>47.5</c:v>
                </c:pt>
                <c:pt idx="415">
                  <c:v>47</c:v>
                </c:pt>
                <c:pt idx="416">
                  <c:v>45.999999999999993</c:v>
                </c:pt>
                <c:pt idx="417">
                  <c:v>48.1</c:v>
                </c:pt>
                <c:pt idx="418">
                  <c:v>47.9</c:v>
                </c:pt>
                <c:pt idx="419">
                  <c:v>47.6</c:v>
                </c:pt>
                <c:pt idx="420">
                  <c:v>46.999999999999993</c:v>
                </c:pt>
                <c:pt idx="421">
                  <c:v>46</c:v>
                </c:pt>
                <c:pt idx="422">
                  <c:v>47.2</c:v>
                </c:pt>
                <c:pt idx="423">
                  <c:v>47.099999999999994</c:v>
                </c:pt>
                <c:pt idx="424">
                  <c:v>46.800000000000004</c:v>
                </c:pt>
                <c:pt idx="425">
                  <c:v>47.7</c:v>
                </c:pt>
                <c:pt idx="426">
                  <c:v>46.9</c:v>
                </c:pt>
                <c:pt idx="427">
                  <c:v>47.099999999999994</c:v>
                </c:pt>
                <c:pt idx="428">
                  <c:v>47.199999999999996</c:v>
                </c:pt>
                <c:pt idx="429">
                  <c:v>47.70000000000001</c:v>
                </c:pt>
                <c:pt idx="430">
                  <c:v>48.699999999999996</c:v>
                </c:pt>
                <c:pt idx="431">
                  <c:v>47.6</c:v>
                </c:pt>
                <c:pt idx="432">
                  <c:v>46.499999999999993</c:v>
                </c:pt>
                <c:pt idx="433">
                  <c:v>48.4</c:v>
                </c:pt>
                <c:pt idx="434">
                  <c:v>46.999999999999993</c:v>
                </c:pt>
                <c:pt idx="435">
                  <c:v>47</c:v>
                </c:pt>
                <c:pt idx="436">
                  <c:v>46.9</c:v>
                </c:pt>
                <c:pt idx="437">
                  <c:v>49.6</c:v>
                </c:pt>
                <c:pt idx="438">
                  <c:v>53.1</c:v>
                </c:pt>
                <c:pt idx="439">
                  <c:v>57.5</c:v>
                </c:pt>
                <c:pt idx="440">
                  <c:v>58.7</c:v>
                </c:pt>
                <c:pt idx="441">
                  <c:v>59.199999999999996</c:v>
                </c:pt>
                <c:pt idx="442">
                  <c:v>57.7</c:v>
                </c:pt>
                <c:pt idx="443">
                  <c:v>58.2</c:v>
                </c:pt>
                <c:pt idx="444">
                  <c:v>58.599999999999994</c:v>
                </c:pt>
                <c:pt idx="445">
                  <c:v>58.199999999999996</c:v>
                </c:pt>
                <c:pt idx="446">
                  <c:v>57.399999999999991</c:v>
                </c:pt>
                <c:pt idx="447">
                  <c:v>58.600000000000009</c:v>
                </c:pt>
                <c:pt idx="448">
                  <c:v>52.5</c:v>
                </c:pt>
                <c:pt idx="449">
                  <c:v>52.20000000000001</c:v>
                </c:pt>
                <c:pt idx="450">
                  <c:v>50.4</c:v>
                </c:pt>
                <c:pt idx="451">
                  <c:v>50.500000000000007</c:v>
                </c:pt>
                <c:pt idx="452">
                  <c:v>50.2</c:v>
                </c:pt>
                <c:pt idx="453">
                  <c:v>50.800000000000004</c:v>
                </c:pt>
                <c:pt idx="454">
                  <c:v>50.800000000000004</c:v>
                </c:pt>
                <c:pt idx="455">
                  <c:v>51.100000000000009</c:v>
                </c:pt>
                <c:pt idx="456">
                  <c:v>50.999999999999993</c:v>
                </c:pt>
                <c:pt idx="457">
                  <c:v>50.899999999999991</c:v>
                </c:pt>
                <c:pt idx="458">
                  <c:v>51.8</c:v>
                </c:pt>
                <c:pt idx="459">
                  <c:v>52</c:v>
                </c:pt>
                <c:pt idx="460">
                  <c:v>49.3</c:v>
                </c:pt>
                <c:pt idx="461">
                  <c:v>46.999999999999993</c:v>
                </c:pt>
                <c:pt idx="462">
                  <c:v>47.8</c:v>
                </c:pt>
                <c:pt idx="463">
                  <c:v>47.499999999999993</c:v>
                </c:pt>
                <c:pt idx="464">
                  <c:v>48.499999999999993</c:v>
                </c:pt>
                <c:pt idx="465">
                  <c:v>49.8</c:v>
                </c:pt>
                <c:pt idx="466">
                  <c:v>51.400000000000006</c:v>
                </c:pt>
                <c:pt idx="467">
                  <c:v>50.2</c:v>
                </c:pt>
                <c:pt idx="468">
                  <c:v>48.2</c:v>
                </c:pt>
                <c:pt idx="469">
                  <c:v>49.7</c:v>
                </c:pt>
                <c:pt idx="470">
                  <c:v>46.800000000000004</c:v>
                </c:pt>
                <c:pt idx="471">
                  <c:v>43.2</c:v>
                </c:pt>
                <c:pt idx="472">
                  <c:v>40.999999999999993</c:v>
                </c:pt>
                <c:pt idx="473">
                  <c:v>43.300000000000004</c:v>
                </c:pt>
                <c:pt idx="474">
                  <c:v>41.9</c:v>
                </c:pt>
                <c:pt idx="475">
                  <c:v>41.5</c:v>
                </c:pt>
                <c:pt idx="476">
                  <c:v>39.699999999999996</c:v>
                </c:pt>
                <c:pt idx="477">
                  <c:v>41.600000000000009</c:v>
                </c:pt>
                <c:pt idx="478">
                  <c:v>43.699999999999996</c:v>
                </c:pt>
                <c:pt idx="479">
                  <c:v>43.9</c:v>
                </c:pt>
                <c:pt idx="480">
                  <c:v>44.499999999999993</c:v>
                </c:pt>
                <c:pt idx="481">
                  <c:v>45.400000000000006</c:v>
                </c:pt>
                <c:pt idx="482">
                  <c:v>46.9</c:v>
                </c:pt>
                <c:pt idx="483">
                  <c:v>47.199999999999996</c:v>
                </c:pt>
                <c:pt idx="484">
                  <c:v>46.9</c:v>
                </c:pt>
                <c:pt idx="485">
                  <c:v>46.79999999999999</c:v>
                </c:pt>
                <c:pt idx="486">
                  <c:v>46.9</c:v>
                </c:pt>
                <c:pt idx="487">
                  <c:v>46.9</c:v>
                </c:pt>
                <c:pt idx="488">
                  <c:v>47.099999999999994</c:v>
                </c:pt>
                <c:pt idx="489">
                  <c:v>47.099999999999994</c:v>
                </c:pt>
                <c:pt idx="490">
                  <c:v>45.7</c:v>
                </c:pt>
                <c:pt idx="491">
                  <c:v>45.400000000000006</c:v>
                </c:pt>
                <c:pt idx="492">
                  <c:v>45.70000000000001</c:v>
                </c:pt>
                <c:pt idx="493">
                  <c:v>46.300000000000004</c:v>
                </c:pt>
                <c:pt idx="494">
                  <c:v>46.2</c:v>
                </c:pt>
                <c:pt idx="495">
                  <c:v>46.9</c:v>
                </c:pt>
                <c:pt idx="496">
                  <c:v>46.099999999999994</c:v>
                </c:pt>
                <c:pt idx="497">
                  <c:v>43.699999999999996</c:v>
                </c:pt>
                <c:pt idx="498">
                  <c:v>44.7</c:v>
                </c:pt>
                <c:pt idx="499">
                  <c:v>43.599999999999994</c:v>
                </c:pt>
                <c:pt idx="500">
                  <c:v>43.300000000000004</c:v>
                </c:pt>
                <c:pt idx="501">
                  <c:v>42.6</c:v>
                </c:pt>
                <c:pt idx="502">
                  <c:v>41.999999999999986</c:v>
                </c:pt>
                <c:pt idx="503">
                  <c:v>42.699999999999996</c:v>
                </c:pt>
                <c:pt idx="504">
                  <c:v>43.099999999999994</c:v>
                </c:pt>
                <c:pt idx="505">
                  <c:v>44.899999999999991</c:v>
                </c:pt>
                <c:pt idx="506">
                  <c:v>43.300000000000004</c:v>
                </c:pt>
                <c:pt idx="507">
                  <c:v>43.4</c:v>
                </c:pt>
                <c:pt idx="508">
                  <c:v>43.4</c:v>
                </c:pt>
                <c:pt idx="509">
                  <c:v>43.099999999999994</c:v>
                </c:pt>
                <c:pt idx="510">
                  <c:v>42.8</c:v>
                </c:pt>
                <c:pt idx="511">
                  <c:v>42.199999999999996</c:v>
                </c:pt>
                <c:pt idx="512">
                  <c:v>44.800000000000004</c:v>
                </c:pt>
                <c:pt idx="513">
                  <c:v>46.300000000000004</c:v>
                </c:pt>
                <c:pt idx="514">
                  <c:v>41.1</c:v>
                </c:pt>
                <c:pt idx="515">
                  <c:v>41.199999999999996</c:v>
                </c:pt>
                <c:pt idx="516">
                  <c:v>41.2</c:v>
                </c:pt>
                <c:pt idx="517">
                  <c:v>41</c:v>
                </c:pt>
                <c:pt idx="518">
                  <c:v>43.9</c:v>
                </c:pt>
                <c:pt idx="519">
                  <c:v>45.300000000000004</c:v>
                </c:pt>
                <c:pt idx="520">
                  <c:v>46.1</c:v>
                </c:pt>
                <c:pt idx="521">
                  <c:v>44.900000000000013</c:v>
                </c:pt>
                <c:pt idx="522">
                  <c:v>45.400000000000006</c:v>
                </c:pt>
                <c:pt idx="523">
                  <c:v>43.6</c:v>
                </c:pt>
                <c:pt idx="524">
                  <c:v>44.800000000000004</c:v>
                </c:pt>
                <c:pt idx="525">
                  <c:v>44.6</c:v>
                </c:pt>
                <c:pt idx="526">
                  <c:v>45.600000000000009</c:v>
                </c:pt>
                <c:pt idx="527">
                  <c:v>45.7</c:v>
                </c:pt>
                <c:pt idx="528">
                  <c:v>47.300000000000004</c:v>
                </c:pt>
                <c:pt idx="529">
                  <c:v>47.300000000000004</c:v>
                </c:pt>
                <c:pt idx="530">
                  <c:v>46.600000000000009</c:v>
                </c:pt>
                <c:pt idx="531">
                  <c:v>45.5</c:v>
                </c:pt>
                <c:pt idx="532">
                  <c:v>45.7</c:v>
                </c:pt>
                <c:pt idx="533">
                  <c:v>44.3</c:v>
                </c:pt>
                <c:pt idx="534">
                  <c:v>41.599999999999994</c:v>
                </c:pt>
                <c:pt idx="535">
                  <c:v>40</c:v>
                </c:pt>
                <c:pt idx="536">
                  <c:v>39.400000000000006</c:v>
                </c:pt>
                <c:pt idx="537">
                  <c:v>38.4</c:v>
                </c:pt>
                <c:pt idx="538">
                  <c:v>37.700000000000003</c:v>
                </c:pt>
                <c:pt idx="539">
                  <c:v>38.299999999999997</c:v>
                </c:pt>
                <c:pt idx="540">
                  <c:v>38.199999999999996</c:v>
                </c:pt>
                <c:pt idx="541">
                  <c:v>30.9</c:v>
                </c:pt>
                <c:pt idx="542">
                  <c:v>30.3</c:v>
                </c:pt>
                <c:pt idx="543">
                  <c:v>31.499999999999996</c:v>
                </c:pt>
                <c:pt idx="544">
                  <c:v>34.1</c:v>
                </c:pt>
                <c:pt idx="545">
                  <c:v>37.199999999999996</c:v>
                </c:pt>
                <c:pt idx="546">
                  <c:v>36.099999999999994</c:v>
                </c:pt>
                <c:pt idx="547">
                  <c:v>36.200000000000003</c:v>
                </c:pt>
                <c:pt idx="548">
                  <c:v>36.6</c:v>
                </c:pt>
                <c:pt idx="549">
                  <c:v>37.5</c:v>
                </c:pt>
                <c:pt idx="550">
                  <c:v>34.9</c:v>
                </c:pt>
                <c:pt idx="551">
                  <c:v>31.599999999999998</c:v>
                </c:pt>
                <c:pt idx="552">
                  <c:v>39.1</c:v>
                </c:pt>
                <c:pt idx="553">
                  <c:v>38.199999999999996</c:v>
                </c:pt>
                <c:pt idx="554">
                  <c:v>37.099999999999994</c:v>
                </c:pt>
                <c:pt idx="555">
                  <c:v>36.200000000000003</c:v>
                </c:pt>
                <c:pt idx="556">
                  <c:v>35.900000000000006</c:v>
                </c:pt>
                <c:pt idx="557">
                  <c:v>34.500000000000007</c:v>
                </c:pt>
                <c:pt idx="558">
                  <c:v>34</c:v>
                </c:pt>
                <c:pt idx="559">
                  <c:v>35.4</c:v>
                </c:pt>
                <c:pt idx="560">
                  <c:v>34.4</c:v>
                </c:pt>
                <c:pt idx="561">
                  <c:v>34.500000000000007</c:v>
                </c:pt>
                <c:pt idx="562">
                  <c:v>34</c:v>
                </c:pt>
                <c:pt idx="563">
                  <c:v>35.4</c:v>
                </c:pt>
                <c:pt idx="564">
                  <c:v>34.4</c:v>
                </c:pt>
                <c:pt idx="565">
                  <c:v>34.9</c:v>
                </c:pt>
                <c:pt idx="566">
                  <c:v>35.1</c:v>
                </c:pt>
                <c:pt idx="567">
                  <c:v>35.200000000000003</c:v>
                </c:pt>
                <c:pt idx="568">
                  <c:v>35.699999999999996</c:v>
                </c:pt>
                <c:pt idx="569">
                  <c:v>34.799999999999997</c:v>
                </c:pt>
                <c:pt idx="570">
                  <c:v>34.799999999999997</c:v>
                </c:pt>
                <c:pt idx="571">
                  <c:v>35</c:v>
                </c:pt>
                <c:pt idx="572">
                  <c:v>34.6</c:v>
                </c:pt>
                <c:pt idx="573">
                  <c:v>34.1</c:v>
                </c:pt>
                <c:pt idx="574">
                  <c:v>35.200000000000003</c:v>
                </c:pt>
                <c:pt idx="575">
                  <c:v>33.999999999999993</c:v>
                </c:pt>
                <c:pt idx="576">
                  <c:v>34.6</c:v>
                </c:pt>
                <c:pt idx="577">
                  <c:v>34.199999999999996</c:v>
                </c:pt>
                <c:pt idx="578">
                  <c:v>34.1</c:v>
                </c:pt>
                <c:pt idx="579">
                  <c:v>34.299999999999997</c:v>
                </c:pt>
                <c:pt idx="580">
                  <c:v>34.299999999999997</c:v>
                </c:pt>
                <c:pt idx="581">
                  <c:v>34.299999999999997</c:v>
                </c:pt>
                <c:pt idx="582">
                  <c:v>34.500000000000007</c:v>
                </c:pt>
                <c:pt idx="583">
                  <c:v>36</c:v>
                </c:pt>
                <c:pt idx="584">
                  <c:v>36.200000000000003</c:v>
                </c:pt>
                <c:pt idx="585">
                  <c:v>36.4</c:v>
                </c:pt>
                <c:pt idx="586">
                  <c:v>36.299999999999997</c:v>
                </c:pt>
                <c:pt idx="587">
                  <c:v>35.800000000000004</c:v>
                </c:pt>
                <c:pt idx="588">
                  <c:v>36.4</c:v>
                </c:pt>
                <c:pt idx="589">
                  <c:v>36.200000000000003</c:v>
                </c:pt>
                <c:pt idx="590">
                  <c:v>36.200000000000003</c:v>
                </c:pt>
                <c:pt idx="591">
                  <c:v>36.6</c:v>
                </c:pt>
                <c:pt idx="592">
                  <c:v>36</c:v>
                </c:pt>
                <c:pt idx="593">
                  <c:v>35.900000000000006</c:v>
                </c:pt>
                <c:pt idx="594">
                  <c:v>35.200000000000003</c:v>
                </c:pt>
                <c:pt idx="595">
                  <c:v>35.1</c:v>
                </c:pt>
                <c:pt idx="596">
                  <c:v>35.900000000000006</c:v>
                </c:pt>
                <c:pt idx="597">
                  <c:v>36.4</c:v>
                </c:pt>
                <c:pt idx="598">
                  <c:v>35.900000000000006</c:v>
                </c:pt>
                <c:pt idx="599">
                  <c:v>37.699999999999996</c:v>
                </c:pt>
                <c:pt idx="600">
                  <c:v>38.599999999999994</c:v>
                </c:pt>
                <c:pt idx="601">
                  <c:v>39.799999999999997</c:v>
                </c:pt>
                <c:pt idx="602">
                  <c:v>40</c:v>
                </c:pt>
                <c:pt idx="603">
                  <c:v>40.6</c:v>
                </c:pt>
                <c:pt idx="604">
                  <c:v>41.600000000000009</c:v>
                </c:pt>
                <c:pt idx="605">
                  <c:v>41.4</c:v>
                </c:pt>
                <c:pt idx="606">
                  <c:v>42.199999999999996</c:v>
                </c:pt>
                <c:pt idx="607">
                  <c:v>42</c:v>
                </c:pt>
                <c:pt idx="608">
                  <c:v>43.099999999999994</c:v>
                </c:pt>
                <c:pt idx="609">
                  <c:v>43.2</c:v>
                </c:pt>
                <c:pt idx="610">
                  <c:v>44.399999999999991</c:v>
                </c:pt>
                <c:pt idx="611">
                  <c:v>43.9</c:v>
                </c:pt>
                <c:pt idx="612">
                  <c:v>43.800000000000004</c:v>
                </c:pt>
                <c:pt idx="613">
                  <c:v>42</c:v>
                </c:pt>
                <c:pt idx="614">
                  <c:v>41.8</c:v>
                </c:pt>
                <c:pt idx="615">
                  <c:v>42.300000000000004</c:v>
                </c:pt>
                <c:pt idx="616">
                  <c:v>40.999999999999993</c:v>
                </c:pt>
                <c:pt idx="617">
                  <c:v>41.1</c:v>
                </c:pt>
                <c:pt idx="618">
                  <c:v>42.199999999999996</c:v>
                </c:pt>
                <c:pt idx="619">
                  <c:v>41.8</c:v>
                </c:pt>
                <c:pt idx="620">
                  <c:v>41.9</c:v>
                </c:pt>
                <c:pt idx="621">
                  <c:v>40.199999999999996</c:v>
                </c:pt>
                <c:pt idx="622">
                  <c:v>39.6</c:v>
                </c:pt>
                <c:pt idx="623">
                  <c:v>39.299999999999997</c:v>
                </c:pt>
                <c:pt idx="624">
                  <c:v>40.699999999999996</c:v>
                </c:pt>
                <c:pt idx="625">
                  <c:v>41.1</c:v>
                </c:pt>
                <c:pt idx="626">
                  <c:v>40.800000000000004</c:v>
                </c:pt>
                <c:pt idx="627">
                  <c:v>40.999999999999993</c:v>
                </c:pt>
                <c:pt idx="628">
                  <c:v>41.400000000000006</c:v>
                </c:pt>
                <c:pt idx="629">
                  <c:v>41.7</c:v>
                </c:pt>
                <c:pt idx="630">
                  <c:v>41.5</c:v>
                </c:pt>
                <c:pt idx="631">
                  <c:v>41.2</c:v>
                </c:pt>
                <c:pt idx="632">
                  <c:v>40.699999999999996</c:v>
                </c:pt>
                <c:pt idx="633">
                  <c:v>37.699999999999996</c:v>
                </c:pt>
                <c:pt idx="634">
                  <c:v>36.5</c:v>
                </c:pt>
                <c:pt idx="635">
                  <c:v>34.9</c:v>
                </c:pt>
                <c:pt idx="636">
                  <c:v>35.6</c:v>
                </c:pt>
                <c:pt idx="637">
                  <c:v>36.200000000000003</c:v>
                </c:pt>
                <c:pt idx="638">
                  <c:v>36.1</c:v>
                </c:pt>
                <c:pt idx="639">
                  <c:v>37</c:v>
                </c:pt>
                <c:pt idx="640">
                  <c:v>37</c:v>
                </c:pt>
                <c:pt idx="641">
                  <c:v>36.4</c:v>
                </c:pt>
                <c:pt idx="642">
                  <c:v>35.299999999999997</c:v>
                </c:pt>
                <c:pt idx="643">
                  <c:v>34.1</c:v>
                </c:pt>
                <c:pt idx="644">
                  <c:v>34.699999999999996</c:v>
                </c:pt>
                <c:pt idx="645">
                  <c:v>33.9</c:v>
                </c:pt>
                <c:pt idx="646">
                  <c:v>33.5</c:v>
                </c:pt>
                <c:pt idx="647">
                  <c:v>33.9</c:v>
                </c:pt>
                <c:pt idx="648">
                  <c:v>34.799999999999997</c:v>
                </c:pt>
                <c:pt idx="649">
                  <c:v>35.6</c:v>
                </c:pt>
                <c:pt idx="650">
                  <c:v>34.9</c:v>
                </c:pt>
                <c:pt idx="651">
                  <c:v>34.6</c:v>
                </c:pt>
                <c:pt idx="652">
                  <c:v>34.700000000000003</c:v>
                </c:pt>
                <c:pt idx="653">
                  <c:v>34.6</c:v>
                </c:pt>
                <c:pt idx="654">
                  <c:v>34.9</c:v>
                </c:pt>
                <c:pt idx="655">
                  <c:v>36.4</c:v>
                </c:pt>
                <c:pt idx="656">
                  <c:v>37.199999999999996</c:v>
                </c:pt>
                <c:pt idx="657">
                  <c:v>38.400000000000006</c:v>
                </c:pt>
                <c:pt idx="658">
                  <c:v>41.4</c:v>
                </c:pt>
                <c:pt idx="659">
                  <c:v>43.099999999999994</c:v>
                </c:pt>
                <c:pt idx="660">
                  <c:v>44.7</c:v>
                </c:pt>
                <c:pt idx="661">
                  <c:v>46.2</c:v>
                </c:pt>
                <c:pt idx="662">
                  <c:v>47.400000000000006</c:v>
                </c:pt>
                <c:pt idx="663">
                  <c:v>45.300000000000004</c:v>
                </c:pt>
                <c:pt idx="664">
                  <c:v>42.400000000000006</c:v>
                </c:pt>
                <c:pt idx="665">
                  <c:v>41.2</c:v>
                </c:pt>
                <c:pt idx="666">
                  <c:v>38.599999999999994</c:v>
                </c:pt>
                <c:pt idx="667">
                  <c:v>39.299999999999997</c:v>
                </c:pt>
                <c:pt idx="668">
                  <c:v>38.5</c:v>
                </c:pt>
                <c:pt idx="669">
                  <c:v>38.1</c:v>
                </c:pt>
                <c:pt idx="670">
                  <c:v>37.9</c:v>
                </c:pt>
                <c:pt idx="671">
                  <c:v>37.800000000000004</c:v>
                </c:pt>
                <c:pt idx="672">
                  <c:v>38.1</c:v>
                </c:pt>
                <c:pt idx="673">
                  <c:v>37.5</c:v>
                </c:pt>
                <c:pt idx="674">
                  <c:v>38.1</c:v>
                </c:pt>
                <c:pt idx="675">
                  <c:v>38.5</c:v>
                </c:pt>
                <c:pt idx="676">
                  <c:v>38.4</c:v>
                </c:pt>
                <c:pt idx="677">
                  <c:v>38.199999999999996</c:v>
                </c:pt>
                <c:pt idx="678">
                  <c:v>38.299999999999997</c:v>
                </c:pt>
                <c:pt idx="679">
                  <c:v>38.199999999999996</c:v>
                </c:pt>
                <c:pt idx="680">
                  <c:v>38.200000000000003</c:v>
                </c:pt>
                <c:pt idx="681">
                  <c:v>38.199999999999996</c:v>
                </c:pt>
                <c:pt idx="682">
                  <c:v>38.5</c:v>
                </c:pt>
                <c:pt idx="683">
                  <c:v>38.9</c:v>
                </c:pt>
                <c:pt idx="684">
                  <c:v>39</c:v>
                </c:pt>
                <c:pt idx="685">
                  <c:v>37.799999999999997</c:v>
                </c:pt>
                <c:pt idx="686">
                  <c:v>38.700000000000003</c:v>
                </c:pt>
                <c:pt idx="687">
                  <c:v>38.4</c:v>
                </c:pt>
                <c:pt idx="688">
                  <c:v>38.299999999999997</c:v>
                </c:pt>
                <c:pt idx="689">
                  <c:v>38.299999999999997</c:v>
                </c:pt>
                <c:pt idx="690">
                  <c:v>38.200000000000003</c:v>
                </c:pt>
                <c:pt idx="691">
                  <c:v>40.800000000000004</c:v>
                </c:pt>
                <c:pt idx="692">
                  <c:v>40.200000000000003</c:v>
                </c:pt>
                <c:pt idx="693">
                  <c:v>39.9</c:v>
                </c:pt>
                <c:pt idx="694">
                  <c:v>40.5</c:v>
                </c:pt>
                <c:pt idx="695">
                  <c:v>41.3</c:v>
                </c:pt>
                <c:pt idx="696">
                  <c:v>41.7</c:v>
                </c:pt>
                <c:pt idx="697">
                  <c:v>42.3</c:v>
                </c:pt>
                <c:pt idx="698">
                  <c:v>42.5</c:v>
                </c:pt>
                <c:pt idx="699">
                  <c:v>42.20000000000001</c:v>
                </c:pt>
                <c:pt idx="700">
                  <c:v>43.9</c:v>
                </c:pt>
                <c:pt idx="701">
                  <c:v>43.699999999999996</c:v>
                </c:pt>
                <c:pt idx="702">
                  <c:v>43.6</c:v>
                </c:pt>
                <c:pt idx="703">
                  <c:v>43.7</c:v>
                </c:pt>
                <c:pt idx="704">
                  <c:v>43.999999999999993</c:v>
                </c:pt>
                <c:pt idx="705">
                  <c:v>43.9</c:v>
                </c:pt>
                <c:pt idx="706">
                  <c:v>44.2</c:v>
                </c:pt>
                <c:pt idx="707">
                  <c:v>43.4</c:v>
                </c:pt>
                <c:pt idx="708">
                  <c:v>41.9</c:v>
                </c:pt>
                <c:pt idx="709">
                  <c:v>41.3</c:v>
                </c:pt>
                <c:pt idx="710">
                  <c:v>41.8</c:v>
                </c:pt>
                <c:pt idx="711">
                  <c:v>42.199999999999996</c:v>
                </c:pt>
                <c:pt idx="712">
                  <c:v>42.4</c:v>
                </c:pt>
                <c:pt idx="713">
                  <c:v>41.9</c:v>
                </c:pt>
                <c:pt idx="714">
                  <c:v>40.999999999999993</c:v>
                </c:pt>
                <c:pt idx="715">
                  <c:v>40.6</c:v>
                </c:pt>
                <c:pt idx="716">
                  <c:v>40.200000000000003</c:v>
                </c:pt>
                <c:pt idx="717">
                  <c:v>40.200000000000003</c:v>
                </c:pt>
                <c:pt idx="718">
                  <c:v>40.800000000000004</c:v>
                </c:pt>
                <c:pt idx="719">
                  <c:v>41.1</c:v>
                </c:pt>
                <c:pt idx="720">
                  <c:v>41.3</c:v>
                </c:pt>
                <c:pt idx="721">
                  <c:v>41.599999999999994</c:v>
                </c:pt>
                <c:pt idx="722">
                  <c:v>41.3</c:v>
                </c:pt>
                <c:pt idx="723">
                  <c:v>40.9</c:v>
                </c:pt>
                <c:pt idx="724">
                  <c:v>42.4</c:v>
                </c:pt>
                <c:pt idx="725">
                  <c:v>41.4</c:v>
                </c:pt>
                <c:pt idx="726">
                  <c:v>41.7</c:v>
                </c:pt>
                <c:pt idx="727">
                  <c:v>43.5</c:v>
                </c:pt>
                <c:pt idx="728">
                  <c:v>44.9</c:v>
                </c:pt>
                <c:pt idx="729">
                  <c:v>49</c:v>
                </c:pt>
                <c:pt idx="730">
                  <c:v>48.4</c:v>
                </c:pt>
                <c:pt idx="731">
                  <c:v>45.6</c:v>
                </c:pt>
                <c:pt idx="732">
                  <c:v>44.9</c:v>
                </c:pt>
                <c:pt idx="733">
                  <c:v>44.6</c:v>
                </c:pt>
                <c:pt idx="734">
                  <c:v>45.000000000000007</c:v>
                </c:pt>
                <c:pt idx="735">
                  <c:v>45.1</c:v>
                </c:pt>
                <c:pt idx="736">
                  <c:v>45.4</c:v>
                </c:pt>
                <c:pt idx="737">
                  <c:v>47.399999999999991</c:v>
                </c:pt>
                <c:pt idx="738">
                  <c:v>47.2</c:v>
                </c:pt>
                <c:pt idx="739">
                  <c:v>47</c:v>
                </c:pt>
                <c:pt idx="740">
                  <c:v>47.6</c:v>
                </c:pt>
                <c:pt idx="741">
                  <c:v>47.399999999999991</c:v>
                </c:pt>
                <c:pt idx="742">
                  <c:v>48.1</c:v>
                </c:pt>
                <c:pt idx="743">
                  <c:v>48.5</c:v>
                </c:pt>
                <c:pt idx="744">
                  <c:v>48.7</c:v>
                </c:pt>
                <c:pt idx="745">
                  <c:v>49.8</c:v>
                </c:pt>
                <c:pt idx="746">
                  <c:v>51.000000000000007</c:v>
                </c:pt>
                <c:pt idx="747">
                  <c:v>53.1</c:v>
                </c:pt>
                <c:pt idx="748">
                  <c:v>52.499999999999993</c:v>
                </c:pt>
                <c:pt idx="749">
                  <c:v>52.900000000000006</c:v>
                </c:pt>
                <c:pt idx="750">
                  <c:v>53.699999999999996</c:v>
                </c:pt>
                <c:pt idx="751">
                  <c:v>53.9</c:v>
                </c:pt>
                <c:pt idx="752">
                  <c:v>54.6</c:v>
                </c:pt>
                <c:pt idx="753">
                  <c:v>53.800000000000004</c:v>
                </c:pt>
                <c:pt idx="754">
                  <c:v>54.5</c:v>
                </c:pt>
                <c:pt idx="755">
                  <c:v>55.300000000000004</c:v>
                </c:pt>
                <c:pt idx="756">
                  <c:v>55</c:v>
                </c:pt>
                <c:pt idx="757">
                  <c:v>54.800000000000004</c:v>
                </c:pt>
                <c:pt idx="758">
                  <c:v>54.8</c:v>
                </c:pt>
                <c:pt idx="759">
                  <c:v>53.599999999999994</c:v>
                </c:pt>
                <c:pt idx="760">
                  <c:v>53.4</c:v>
                </c:pt>
                <c:pt idx="761">
                  <c:v>53.800000000000004</c:v>
                </c:pt>
                <c:pt idx="762">
                  <c:v>53.5</c:v>
                </c:pt>
                <c:pt idx="763">
                  <c:v>53.699999999999996</c:v>
                </c:pt>
                <c:pt idx="764">
                  <c:v>54.1</c:v>
                </c:pt>
                <c:pt idx="765">
                  <c:v>53.800000000000004</c:v>
                </c:pt>
                <c:pt idx="766">
                  <c:v>54.5</c:v>
                </c:pt>
                <c:pt idx="767">
                  <c:v>55.099999999999994</c:v>
                </c:pt>
                <c:pt idx="768">
                  <c:v>55.4</c:v>
                </c:pt>
                <c:pt idx="769">
                  <c:v>55.5</c:v>
                </c:pt>
                <c:pt idx="770">
                  <c:v>55.199999999999996</c:v>
                </c:pt>
                <c:pt idx="771">
                  <c:v>55.300000000000004</c:v>
                </c:pt>
                <c:pt idx="772">
                  <c:v>56.4</c:v>
                </c:pt>
                <c:pt idx="773">
                  <c:v>55.4</c:v>
                </c:pt>
                <c:pt idx="774">
                  <c:v>55.4</c:v>
                </c:pt>
                <c:pt idx="775">
                  <c:v>53.9</c:v>
                </c:pt>
                <c:pt idx="776">
                  <c:v>50.9</c:v>
                </c:pt>
                <c:pt idx="777">
                  <c:v>45.900000000000006</c:v>
                </c:pt>
                <c:pt idx="778">
                  <c:v>44.2</c:v>
                </c:pt>
                <c:pt idx="779">
                  <c:v>44.7</c:v>
                </c:pt>
                <c:pt idx="780">
                  <c:v>42.900000000000006</c:v>
                </c:pt>
                <c:pt idx="781">
                  <c:v>41.599999999999994</c:v>
                </c:pt>
                <c:pt idx="782">
                  <c:v>40</c:v>
                </c:pt>
                <c:pt idx="783">
                  <c:v>40.9</c:v>
                </c:pt>
                <c:pt idx="784">
                  <c:v>40.4</c:v>
                </c:pt>
                <c:pt idx="785">
                  <c:v>40.200000000000003</c:v>
                </c:pt>
                <c:pt idx="786">
                  <c:v>40.5</c:v>
                </c:pt>
                <c:pt idx="787">
                  <c:v>45.2</c:v>
                </c:pt>
                <c:pt idx="788">
                  <c:v>46.4</c:v>
                </c:pt>
                <c:pt idx="789">
                  <c:v>47.500000000000007</c:v>
                </c:pt>
                <c:pt idx="790">
                  <c:v>50.8</c:v>
                </c:pt>
                <c:pt idx="791">
                  <c:v>51.2</c:v>
                </c:pt>
                <c:pt idx="792">
                  <c:v>50.9</c:v>
                </c:pt>
                <c:pt idx="793">
                  <c:v>51.1</c:v>
                </c:pt>
                <c:pt idx="794">
                  <c:v>51.8</c:v>
                </c:pt>
                <c:pt idx="795">
                  <c:v>52.300000000000004</c:v>
                </c:pt>
                <c:pt idx="796">
                  <c:v>53.4</c:v>
                </c:pt>
                <c:pt idx="797">
                  <c:v>52.6</c:v>
                </c:pt>
                <c:pt idx="798">
                  <c:v>52.7</c:v>
                </c:pt>
                <c:pt idx="799">
                  <c:v>52.7</c:v>
                </c:pt>
                <c:pt idx="800">
                  <c:v>53.6</c:v>
                </c:pt>
                <c:pt idx="801">
                  <c:v>54.9</c:v>
                </c:pt>
                <c:pt idx="802">
                  <c:v>54.300000000000011</c:v>
                </c:pt>
                <c:pt idx="803">
                  <c:v>57.000000000000014</c:v>
                </c:pt>
                <c:pt idx="804">
                  <c:v>57.999999999999993</c:v>
                </c:pt>
                <c:pt idx="805">
                  <c:v>60.70000000000001</c:v>
                </c:pt>
                <c:pt idx="806">
                  <c:v>60.400000000000006</c:v>
                </c:pt>
                <c:pt idx="807">
                  <c:v>72.999999999999986</c:v>
                </c:pt>
                <c:pt idx="808">
                  <c:v>71.599999999999994</c:v>
                </c:pt>
                <c:pt idx="809">
                  <c:v>74.099999999999994</c:v>
                </c:pt>
                <c:pt idx="810">
                  <c:v>75.7</c:v>
                </c:pt>
                <c:pt idx="811">
                  <c:v>75.8</c:v>
                </c:pt>
                <c:pt idx="812">
                  <c:v>78</c:v>
                </c:pt>
                <c:pt idx="813">
                  <c:v>76.8</c:v>
                </c:pt>
                <c:pt idx="814">
                  <c:v>75.500000000000014</c:v>
                </c:pt>
                <c:pt idx="815">
                  <c:v>78.199999999999989</c:v>
                </c:pt>
                <c:pt idx="816">
                  <c:v>76.8</c:v>
                </c:pt>
                <c:pt idx="817">
                  <c:v>79.2</c:v>
                </c:pt>
                <c:pt idx="818">
                  <c:v>80.900000000000006</c:v>
                </c:pt>
                <c:pt idx="819">
                  <c:v>90.7</c:v>
                </c:pt>
                <c:pt idx="820">
                  <c:v>89.500000000000014</c:v>
                </c:pt>
                <c:pt idx="821">
                  <c:v>87.3</c:v>
                </c:pt>
                <c:pt idx="822">
                  <c:v>91.9</c:v>
                </c:pt>
                <c:pt idx="823">
                  <c:v>98.7</c:v>
                </c:pt>
                <c:pt idx="824">
                  <c:v>103.8</c:v>
                </c:pt>
                <c:pt idx="825">
                  <c:v>107.49999999999999</c:v>
                </c:pt>
                <c:pt idx="826">
                  <c:v>112.1</c:v>
                </c:pt>
                <c:pt idx="827">
                  <c:v>110.3</c:v>
                </c:pt>
                <c:pt idx="828">
                  <c:v>110.60000000000001</c:v>
                </c:pt>
                <c:pt idx="829">
                  <c:v>100.6</c:v>
                </c:pt>
                <c:pt idx="830">
                  <c:v>96.100000000000009</c:v>
                </c:pt>
                <c:pt idx="831">
                  <c:v>91.700000000000017</c:v>
                </c:pt>
                <c:pt idx="832">
                  <c:v>87.999999999999986</c:v>
                </c:pt>
                <c:pt idx="833">
                  <c:v>87</c:v>
                </c:pt>
                <c:pt idx="834">
                  <c:v>86</c:v>
                </c:pt>
                <c:pt idx="835">
                  <c:v>85</c:v>
                </c:pt>
                <c:pt idx="836">
                  <c:v>86</c:v>
                </c:pt>
                <c:pt idx="837">
                  <c:v>90.000000000000014</c:v>
                </c:pt>
                <c:pt idx="838">
                  <c:v>90.399999999999991</c:v>
                </c:pt>
                <c:pt idx="839">
                  <c:v>92.8</c:v>
                </c:pt>
                <c:pt idx="840">
                  <c:v>95.4</c:v>
                </c:pt>
                <c:pt idx="841">
                  <c:v>99.4</c:v>
                </c:pt>
                <c:pt idx="842">
                  <c:v>100.10000000000001</c:v>
                </c:pt>
                <c:pt idx="843">
                  <c:v>101.00000000000001</c:v>
                </c:pt>
                <c:pt idx="844">
                  <c:v>102.3</c:v>
                </c:pt>
                <c:pt idx="845">
                  <c:v>96.100000000000023</c:v>
                </c:pt>
                <c:pt idx="846">
                  <c:v>98.399999999999977</c:v>
                </c:pt>
                <c:pt idx="847">
                  <c:v>96.000000000000014</c:v>
                </c:pt>
                <c:pt idx="848">
                  <c:v>98</c:v>
                </c:pt>
                <c:pt idx="849">
                  <c:v>98</c:v>
                </c:pt>
                <c:pt idx="850">
                  <c:v>96.9</c:v>
                </c:pt>
                <c:pt idx="851">
                  <c:v>97.5</c:v>
                </c:pt>
                <c:pt idx="852">
                  <c:v>95.000000000000014</c:v>
                </c:pt>
                <c:pt idx="853">
                  <c:v>96.3</c:v>
                </c:pt>
                <c:pt idx="854">
                  <c:v>102.40000000000002</c:v>
                </c:pt>
                <c:pt idx="855">
                  <c:v>103.10000000000001</c:v>
                </c:pt>
                <c:pt idx="856">
                  <c:v>103.7</c:v>
                </c:pt>
                <c:pt idx="857">
                  <c:v>103.1</c:v>
                </c:pt>
                <c:pt idx="858">
                  <c:v>104.30000000000001</c:v>
                </c:pt>
                <c:pt idx="859">
                  <c:v>103.80000000000003</c:v>
                </c:pt>
                <c:pt idx="860">
                  <c:v>104.40000000000002</c:v>
                </c:pt>
                <c:pt idx="861">
                  <c:v>106.30000000000001</c:v>
                </c:pt>
                <c:pt idx="862">
                  <c:v>106.1</c:v>
                </c:pt>
                <c:pt idx="863">
                  <c:v>108.20000000000002</c:v>
                </c:pt>
                <c:pt idx="864">
                  <c:v>113.50000000000001</c:v>
                </c:pt>
                <c:pt idx="865">
                  <c:v>111.39999999999999</c:v>
                </c:pt>
                <c:pt idx="866">
                  <c:v>109.89999999999999</c:v>
                </c:pt>
                <c:pt idx="867">
                  <c:v>111.1</c:v>
                </c:pt>
                <c:pt idx="868">
                  <c:v>106.60000000000002</c:v>
                </c:pt>
                <c:pt idx="869">
                  <c:v>108.2</c:v>
                </c:pt>
                <c:pt idx="870">
                  <c:v>105.89999999999999</c:v>
                </c:pt>
                <c:pt idx="871">
                  <c:v>105.09999999999998</c:v>
                </c:pt>
                <c:pt idx="872">
                  <c:v>105.49999999999999</c:v>
                </c:pt>
                <c:pt idx="873">
                  <c:v>107.8</c:v>
                </c:pt>
                <c:pt idx="874">
                  <c:v>106.00000000000001</c:v>
                </c:pt>
                <c:pt idx="875">
                  <c:v>107.60000000000001</c:v>
                </c:pt>
                <c:pt idx="876">
                  <c:v>105.80000000000001</c:v>
                </c:pt>
                <c:pt idx="877">
                  <c:v>105.10000000000002</c:v>
                </c:pt>
                <c:pt idx="878">
                  <c:v>105.10000000000002</c:v>
                </c:pt>
                <c:pt idx="879">
                  <c:v>103.4</c:v>
                </c:pt>
                <c:pt idx="880">
                  <c:v>104.39999999999998</c:v>
                </c:pt>
                <c:pt idx="881">
                  <c:v>104.69999999999999</c:v>
                </c:pt>
                <c:pt idx="882">
                  <c:v>103.30000000000001</c:v>
                </c:pt>
                <c:pt idx="883">
                  <c:v>103.60000000000001</c:v>
                </c:pt>
                <c:pt idx="884">
                  <c:v>103.99999999999997</c:v>
                </c:pt>
                <c:pt idx="885">
                  <c:v>100.30000000000003</c:v>
                </c:pt>
                <c:pt idx="886">
                  <c:v>99.3</c:v>
                </c:pt>
                <c:pt idx="887">
                  <c:v>103.39999999999999</c:v>
                </c:pt>
                <c:pt idx="888">
                  <c:v>106.2</c:v>
                </c:pt>
                <c:pt idx="889">
                  <c:v>111.00000000000003</c:v>
                </c:pt>
                <c:pt idx="890">
                  <c:v>114</c:v>
                </c:pt>
                <c:pt idx="891">
                  <c:v>107.10000000000001</c:v>
                </c:pt>
                <c:pt idx="892">
                  <c:v>105.90000000000002</c:v>
                </c:pt>
                <c:pt idx="893">
                  <c:v>101.00000000000001</c:v>
                </c:pt>
                <c:pt idx="894">
                  <c:v>105.59999999999997</c:v>
                </c:pt>
                <c:pt idx="895">
                  <c:v>108.10000000000001</c:v>
                </c:pt>
                <c:pt idx="896">
                  <c:v>103.40000000000002</c:v>
                </c:pt>
                <c:pt idx="897">
                  <c:v>103.6</c:v>
                </c:pt>
                <c:pt idx="898">
                  <c:v>103</c:v>
                </c:pt>
                <c:pt idx="899">
                  <c:v>103.5</c:v>
                </c:pt>
                <c:pt idx="900">
                  <c:v>105.20000000000002</c:v>
                </c:pt>
                <c:pt idx="901">
                  <c:v>103.20000000000003</c:v>
                </c:pt>
                <c:pt idx="902">
                  <c:v>106.89999999999998</c:v>
                </c:pt>
                <c:pt idx="903">
                  <c:v>106.19999999999999</c:v>
                </c:pt>
                <c:pt idx="904">
                  <c:v>107.89999999999999</c:v>
                </c:pt>
                <c:pt idx="905">
                  <c:v>108.8</c:v>
                </c:pt>
                <c:pt idx="906">
                  <c:v>104.49999999999999</c:v>
                </c:pt>
                <c:pt idx="907">
                  <c:v>104.50000000000001</c:v>
                </c:pt>
                <c:pt idx="908">
                  <c:v>103.7</c:v>
                </c:pt>
                <c:pt idx="909">
                  <c:v>105</c:v>
                </c:pt>
                <c:pt idx="910">
                  <c:v>105.9</c:v>
                </c:pt>
                <c:pt idx="911">
                  <c:v>106.7</c:v>
                </c:pt>
                <c:pt idx="912">
                  <c:v>110.7</c:v>
                </c:pt>
                <c:pt idx="913">
                  <c:v>113.00000000000001</c:v>
                </c:pt>
                <c:pt idx="914">
                  <c:v>112.89999999999998</c:v>
                </c:pt>
                <c:pt idx="915">
                  <c:v>110.9</c:v>
                </c:pt>
                <c:pt idx="916">
                  <c:v>112.19999999999999</c:v>
                </c:pt>
                <c:pt idx="917">
                  <c:v>114.3</c:v>
                </c:pt>
                <c:pt idx="918">
                  <c:v>114.70000000000002</c:v>
                </c:pt>
                <c:pt idx="919">
                  <c:v>114.30000000000001</c:v>
                </c:pt>
                <c:pt idx="920">
                  <c:v>114.1</c:v>
                </c:pt>
                <c:pt idx="921">
                  <c:v>113.3</c:v>
                </c:pt>
                <c:pt idx="922">
                  <c:v>112.69999999999999</c:v>
                </c:pt>
                <c:pt idx="923">
                  <c:v>111.89999999999999</c:v>
                </c:pt>
                <c:pt idx="924">
                  <c:v>112.19999999999999</c:v>
                </c:pt>
                <c:pt idx="925">
                  <c:v>110.7</c:v>
                </c:pt>
                <c:pt idx="926">
                  <c:v>109.10000000000001</c:v>
                </c:pt>
                <c:pt idx="927">
                  <c:v>109.79999999999998</c:v>
                </c:pt>
                <c:pt idx="928">
                  <c:v>105.4</c:v>
                </c:pt>
                <c:pt idx="929">
                  <c:v>107.50000000000001</c:v>
                </c:pt>
                <c:pt idx="930">
                  <c:v>108.09999999999998</c:v>
                </c:pt>
                <c:pt idx="931">
                  <c:v>108.19999999999997</c:v>
                </c:pt>
                <c:pt idx="932">
                  <c:v>110.19999999999999</c:v>
                </c:pt>
                <c:pt idx="933">
                  <c:v>108.70000000000002</c:v>
                </c:pt>
                <c:pt idx="934">
                  <c:v>108.79999999999997</c:v>
                </c:pt>
                <c:pt idx="935">
                  <c:v>109</c:v>
                </c:pt>
                <c:pt idx="936">
                  <c:v>109.60000000000001</c:v>
                </c:pt>
                <c:pt idx="937">
                  <c:v>109.69999999999999</c:v>
                </c:pt>
                <c:pt idx="938">
                  <c:v>110.10000000000001</c:v>
                </c:pt>
                <c:pt idx="939">
                  <c:v>102.7</c:v>
                </c:pt>
                <c:pt idx="940">
                  <c:v>109</c:v>
                </c:pt>
                <c:pt idx="941">
                  <c:v>109.60000000000001</c:v>
                </c:pt>
                <c:pt idx="942">
                  <c:v>109.69999999999999</c:v>
                </c:pt>
                <c:pt idx="943">
                  <c:v>110.10000000000001</c:v>
                </c:pt>
                <c:pt idx="944">
                  <c:v>102.7</c:v>
                </c:pt>
                <c:pt idx="945">
                  <c:v>112.3</c:v>
                </c:pt>
                <c:pt idx="946">
                  <c:v>113.80000000000001</c:v>
                </c:pt>
                <c:pt idx="947">
                  <c:v>113.7</c:v>
                </c:pt>
                <c:pt idx="948">
                  <c:v>114.9</c:v>
                </c:pt>
                <c:pt idx="949">
                  <c:v>113.8</c:v>
                </c:pt>
                <c:pt idx="950">
                  <c:v>114.40000000000002</c:v>
                </c:pt>
                <c:pt idx="951">
                  <c:v>113.59999999999998</c:v>
                </c:pt>
                <c:pt idx="952">
                  <c:v>114.80000000000001</c:v>
                </c:pt>
                <c:pt idx="953">
                  <c:v>115.89999999999999</c:v>
                </c:pt>
                <c:pt idx="954">
                  <c:v>115.10000000000002</c:v>
                </c:pt>
                <c:pt idx="955">
                  <c:v>111.30000000000001</c:v>
                </c:pt>
                <c:pt idx="956">
                  <c:v>110.50000000000001</c:v>
                </c:pt>
                <c:pt idx="957">
                  <c:v>107.49999999999999</c:v>
                </c:pt>
                <c:pt idx="958">
                  <c:v>111.00000000000003</c:v>
                </c:pt>
                <c:pt idx="959">
                  <c:v>110.99999999999999</c:v>
                </c:pt>
                <c:pt idx="960">
                  <c:v>109.8</c:v>
                </c:pt>
                <c:pt idx="961">
                  <c:v>110.50000000000001</c:v>
                </c:pt>
                <c:pt idx="962">
                  <c:v>109</c:v>
                </c:pt>
                <c:pt idx="963">
                  <c:v>109.40000000000002</c:v>
                </c:pt>
                <c:pt idx="964">
                  <c:v>110.50000000000001</c:v>
                </c:pt>
                <c:pt idx="965">
                  <c:v>119.50000000000003</c:v>
                </c:pt>
                <c:pt idx="966">
                  <c:v>116.20000000000002</c:v>
                </c:pt>
                <c:pt idx="967">
                  <c:v>115.99999999999999</c:v>
                </c:pt>
                <c:pt idx="968">
                  <c:v>117.6</c:v>
                </c:pt>
                <c:pt idx="969">
                  <c:v>121.50000000000001</c:v>
                </c:pt>
                <c:pt idx="970">
                  <c:v>123.4</c:v>
                </c:pt>
                <c:pt idx="971">
                  <c:v>128.29999999999998</c:v>
                </c:pt>
                <c:pt idx="972">
                  <c:v>128.99999999999997</c:v>
                </c:pt>
                <c:pt idx="973">
                  <c:v>124.99999999999997</c:v>
                </c:pt>
                <c:pt idx="974">
                  <c:v>122.8</c:v>
                </c:pt>
                <c:pt idx="975">
                  <c:v>123.69999999999999</c:v>
                </c:pt>
                <c:pt idx="976">
                  <c:v>125.60000000000002</c:v>
                </c:pt>
                <c:pt idx="977">
                  <c:v>126.39999999999999</c:v>
                </c:pt>
                <c:pt idx="978">
                  <c:v>128.10000000000002</c:v>
                </c:pt>
                <c:pt idx="979">
                  <c:v>125.30000000000003</c:v>
                </c:pt>
                <c:pt idx="980">
                  <c:v>127.00000000000003</c:v>
                </c:pt>
                <c:pt idx="981">
                  <c:v>128.59999999999997</c:v>
                </c:pt>
                <c:pt idx="982">
                  <c:v>127.30000000000001</c:v>
                </c:pt>
                <c:pt idx="983">
                  <c:v>128.5</c:v>
                </c:pt>
                <c:pt idx="984">
                  <c:v>128.99999999999994</c:v>
                </c:pt>
                <c:pt idx="985">
                  <c:v>127.19999999999995</c:v>
                </c:pt>
                <c:pt idx="986">
                  <c:v>127.59999999999997</c:v>
                </c:pt>
                <c:pt idx="987">
                  <c:v>127.00000000000003</c:v>
                </c:pt>
                <c:pt idx="988">
                  <c:v>134.80000000000007</c:v>
                </c:pt>
                <c:pt idx="989">
                  <c:v>134.29999999999998</c:v>
                </c:pt>
                <c:pt idx="990">
                  <c:v>138.69999999999996</c:v>
                </c:pt>
                <c:pt idx="991">
                  <c:v>142.39999999999995</c:v>
                </c:pt>
                <c:pt idx="992">
                  <c:v>139.30000000000004</c:v>
                </c:pt>
                <c:pt idx="993">
                  <c:v>141.09999999999994</c:v>
                </c:pt>
                <c:pt idx="994">
                  <c:v>144</c:v>
                </c:pt>
                <c:pt idx="995">
                  <c:v>145.4</c:v>
                </c:pt>
                <c:pt idx="996">
                  <c:v>145.19999999999999</c:v>
                </c:pt>
                <c:pt idx="997">
                  <c:v>145.20000000000002</c:v>
                </c:pt>
                <c:pt idx="998">
                  <c:v>145.80000000000004</c:v>
                </c:pt>
                <c:pt idx="999">
                  <c:v>142.1</c:v>
                </c:pt>
                <c:pt idx="1000">
                  <c:v>140.20000000000002</c:v>
                </c:pt>
                <c:pt idx="1001">
                  <c:v>140.89999999999998</c:v>
                </c:pt>
                <c:pt idx="1002">
                  <c:v>136.89999999999998</c:v>
                </c:pt>
                <c:pt idx="1003">
                  <c:v>139.4</c:v>
                </c:pt>
                <c:pt idx="1004">
                  <c:v>139.5</c:v>
                </c:pt>
                <c:pt idx="1005">
                  <c:v>137.29999999999998</c:v>
                </c:pt>
                <c:pt idx="1006">
                  <c:v>132.80000000000001</c:v>
                </c:pt>
                <c:pt idx="1007">
                  <c:v>123.79999999999998</c:v>
                </c:pt>
                <c:pt idx="1008">
                  <c:v>123.5</c:v>
                </c:pt>
                <c:pt idx="1009">
                  <c:v>124.2</c:v>
                </c:pt>
                <c:pt idx="1010">
                  <c:v>126</c:v>
                </c:pt>
                <c:pt idx="1011">
                  <c:v>124.9</c:v>
                </c:pt>
                <c:pt idx="1012">
                  <c:v>122.79999999999995</c:v>
                </c:pt>
                <c:pt idx="1013">
                  <c:v>123.59999999999997</c:v>
                </c:pt>
                <c:pt idx="1014">
                  <c:v>122.6</c:v>
                </c:pt>
                <c:pt idx="1015">
                  <c:v>125.89999999999998</c:v>
                </c:pt>
                <c:pt idx="1016">
                  <c:v>125.90000000000003</c:v>
                </c:pt>
                <c:pt idx="1017">
                  <c:v>123.90000000000002</c:v>
                </c:pt>
                <c:pt idx="1018">
                  <c:v>122.7</c:v>
                </c:pt>
                <c:pt idx="1019">
                  <c:v>121.80000000000004</c:v>
                </c:pt>
                <c:pt idx="1020">
                  <c:v>124.69999999999999</c:v>
                </c:pt>
                <c:pt idx="1021">
                  <c:v>124.2</c:v>
                </c:pt>
                <c:pt idx="1022">
                  <c:v>123.6</c:v>
                </c:pt>
                <c:pt idx="1023">
                  <c:v>123.80000000000003</c:v>
                </c:pt>
                <c:pt idx="1024">
                  <c:v>123.4</c:v>
                </c:pt>
                <c:pt idx="1025">
                  <c:v>124.3</c:v>
                </c:pt>
                <c:pt idx="1026">
                  <c:v>125.3</c:v>
                </c:pt>
                <c:pt idx="1027">
                  <c:v>127.99999999999999</c:v>
                </c:pt>
                <c:pt idx="1028">
                  <c:v>131.40000000000003</c:v>
                </c:pt>
                <c:pt idx="1029">
                  <c:v>128.79999999999998</c:v>
                </c:pt>
                <c:pt idx="1030">
                  <c:v>130.1</c:v>
                </c:pt>
                <c:pt idx="1031">
                  <c:v>129.70000000000002</c:v>
                </c:pt>
                <c:pt idx="1032">
                  <c:v>130.9</c:v>
                </c:pt>
                <c:pt idx="1033">
                  <c:v>131.1</c:v>
                </c:pt>
                <c:pt idx="1034">
                  <c:v>127.90000000000003</c:v>
                </c:pt>
                <c:pt idx="1035">
                  <c:v>125.60000000000005</c:v>
                </c:pt>
                <c:pt idx="1036">
                  <c:v>124.39999999999996</c:v>
                </c:pt>
                <c:pt idx="1037">
                  <c:v>125</c:v>
                </c:pt>
                <c:pt idx="1038">
                  <c:v>126.1</c:v>
                </c:pt>
                <c:pt idx="1039">
                  <c:v>127.10000000000002</c:v>
                </c:pt>
                <c:pt idx="1040">
                  <c:v>130.00000000000006</c:v>
                </c:pt>
                <c:pt idx="1041">
                  <c:v>126.30000000000003</c:v>
                </c:pt>
                <c:pt idx="1042">
                  <c:v>130.80000000000004</c:v>
                </c:pt>
                <c:pt idx="1043">
                  <c:v>128.10000000000002</c:v>
                </c:pt>
                <c:pt idx="1044">
                  <c:v>124.69999999999999</c:v>
                </c:pt>
                <c:pt idx="1045">
                  <c:v>115.89999999999999</c:v>
                </c:pt>
                <c:pt idx="1046">
                  <c:v>110.99999999999999</c:v>
                </c:pt>
                <c:pt idx="1047">
                  <c:v>110.89999999999999</c:v>
                </c:pt>
                <c:pt idx="1048">
                  <c:v>110.90000000000002</c:v>
                </c:pt>
                <c:pt idx="1049">
                  <c:v>107.39999999999996</c:v>
                </c:pt>
                <c:pt idx="1050">
                  <c:v>104.19999999999999</c:v>
                </c:pt>
                <c:pt idx="1051">
                  <c:v>103.8</c:v>
                </c:pt>
                <c:pt idx="1052">
                  <c:v>106.2</c:v>
                </c:pt>
                <c:pt idx="1053">
                  <c:v>110.10000000000002</c:v>
                </c:pt>
                <c:pt idx="1054">
                  <c:v>110.29999999999998</c:v>
                </c:pt>
                <c:pt idx="1055">
                  <c:v>112.60000000000002</c:v>
                </c:pt>
                <c:pt idx="1056">
                  <c:v>115.79999999999997</c:v>
                </c:pt>
                <c:pt idx="1057">
                  <c:v>117.90000000000002</c:v>
                </c:pt>
                <c:pt idx="1058">
                  <c:v>120.20000000000003</c:v>
                </c:pt>
                <c:pt idx="1059">
                  <c:v>122.30000000000001</c:v>
                </c:pt>
                <c:pt idx="1060">
                  <c:v>113.69999999999999</c:v>
                </c:pt>
                <c:pt idx="1061">
                  <c:v>105.09999999999998</c:v>
                </c:pt>
                <c:pt idx="1062">
                  <c:v>111.89999999999995</c:v>
                </c:pt>
                <c:pt idx="1063">
                  <c:v>110.30000000000001</c:v>
                </c:pt>
                <c:pt idx="1064">
                  <c:v>108.2</c:v>
                </c:pt>
                <c:pt idx="1065">
                  <c:v>109.10000000000004</c:v>
                </c:pt>
                <c:pt idx="1066">
                  <c:v>109.8</c:v>
                </c:pt>
                <c:pt idx="1067">
                  <c:v>112.40000000000003</c:v>
                </c:pt>
                <c:pt idx="1068">
                  <c:v>111.10000000000002</c:v>
                </c:pt>
                <c:pt idx="1069">
                  <c:v>113.39999999999999</c:v>
                </c:pt>
                <c:pt idx="1070">
                  <c:v>115.19999999999996</c:v>
                </c:pt>
                <c:pt idx="1071">
                  <c:v>117.29999999999997</c:v>
                </c:pt>
                <c:pt idx="1072">
                  <c:v>116.5</c:v>
                </c:pt>
                <c:pt idx="1073">
                  <c:v>117.30000000000001</c:v>
                </c:pt>
                <c:pt idx="1074">
                  <c:v>119.59999999999998</c:v>
                </c:pt>
                <c:pt idx="1075">
                  <c:v>119.9</c:v>
                </c:pt>
                <c:pt idx="1076">
                  <c:v>119.69999999999995</c:v>
                </c:pt>
                <c:pt idx="1077">
                  <c:v>119.80000000000001</c:v>
                </c:pt>
                <c:pt idx="1078">
                  <c:v>120.10000000000004</c:v>
                </c:pt>
                <c:pt idx="1079">
                  <c:v>117.50000000000003</c:v>
                </c:pt>
                <c:pt idx="1080">
                  <c:v>116.00000000000003</c:v>
                </c:pt>
                <c:pt idx="1081">
                  <c:v>114.39999999999999</c:v>
                </c:pt>
                <c:pt idx="1082">
                  <c:v>113.60000000000005</c:v>
                </c:pt>
                <c:pt idx="1083">
                  <c:v>113.19999999999996</c:v>
                </c:pt>
                <c:pt idx="1084">
                  <c:v>112.3</c:v>
                </c:pt>
                <c:pt idx="1085">
                  <c:v>111.00000000000006</c:v>
                </c:pt>
                <c:pt idx="1086">
                  <c:v>106.70000000000002</c:v>
                </c:pt>
                <c:pt idx="1087">
                  <c:v>106.49999999999996</c:v>
                </c:pt>
                <c:pt idx="1088">
                  <c:v>110.70000000000003</c:v>
                </c:pt>
                <c:pt idx="1089">
                  <c:v>109</c:v>
                </c:pt>
                <c:pt idx="1090">
                  <c:v>114.70000000000002</c:v>
                </c:pt>
                <c:pt idx="1091">
                  <c:v>116.49999999999997</c:v>
                </c:pt>
                <c:pt idx="1092">
                  <c:v>116.59999999999997</c:v>
                </c:pt>
                <c:pt idx="1093">
                  <c:v>115.19999999999999</c:v>
                </c:pt>
                <c:pt idx="1094">
                  <c:v>111.70000000000003</c:v>
                </c:pt>
                <c:pt idx="1095">
                  <c:v>113.59999999999998</c:v>
                </c:pt>
                <c:pt idx="1096">
                  <c:v>112.2</c:v>
                </c:pt>
                <c:pt idx="1097">
                  <c:v>109.69999999999997</c:v>
                </c:pt>
                <c:pt idx="1098">
                  <c:v>110.70000000000003</c:v>
                </c:pt>
                <c:pt idx="1099">
                  <c:v>106.90000000000002</c:v>
                </c:pt>
                <c:pt idx="1100">
                  <c:v>106.4</c:v>
                </c:pt>
                <c:pt idx="1101">
                  <c:v>102.60000000000002</c:v>
                </c:pt>
                <c:pt idx="1102">
                  <c:v>101.09999999999998</c:v>
                </c:pt>
                <c:pt idx="1103">
                  <c:v>99.100000000000023</c:v>
                </c:pt>
                <c:pt idx="1104">
                  <c:v>100.69999999999999</c:v>
                </c:pt>
                <c:pt idx="1105">
                  <c:v>96.699999999999974</c:v>
                </c:pt>
                <c:pt idx="1106">
                  <c:v>98.7</c:v>
                </c:pt>
                <c:pt idx="1107">
                  <c:v>97.80000000000004</c:v>
                </c:pt>
                <c:pt idx="1108">
                  <c:v>93.399999999999977</c:v>
                </c:pt>
                <c:pt idx="1109">
                  <c:v>92.199999999999989</c:v>
                </c:pt>
                <c:pt idx="1110">
                  <c:v>90.700000000000017</c:v>
                </c:pt>
                <c:pt idx="1111">
                  <c:v>89.6</c:v>
                </c:pt>
                <c:pt idx="1112">
                  <c:v>89.5</c:v>
                </c:pt>
                <c:pt idx="1113">
                  <c:v>89.799999999999983</c:v>
                </c:pt>
                <c:pt idx="1114">
                  <c:v>89.100000000000009</c:v>
                </c:pt>
                <c:pt idx="1115">
                  <c:v>91.1</c:v>
                </c:pt>
                <c:pt idx="1116">
                  <c:v>91</c:v>
                </c:pt>
                <c:pt idx="1117">
                  <c:v>89.699999999999989</c:v>
                </c:pt>
                <c:pt idx="1118">
                  <c:v>88.799999999999983</c:v>
                </c:pt>
                <c:pt idx="1119">
                  <c:v>85.600000000000023</c:v>
                </c:pt>
                <c:pt idx="1120">
                  <c:v>85.499999999999986</c:v>
                </c:pt>
                <c:pt idx="1121">
                  <c:v>90.3</c:v>
                </c:pt>
                <c:pt idx="1122">
                  <c:v>89.700000000000017</c:v>
                </c:pt>
                <c:pt idx="1123">
                  <c:v>90.000000000000014</c:v>
                </c:pt>
                <c:pt idx="1124">
                  <c:v>88.6</c:v>
                </c:pt>
                <c:pt idx="1125">
                  <c:v>91.700000000000017</c:v>
                </c:pt>
                <c:pt idx="1126">
                  <c:v>89.399999999999963</c:v>
                </c:pt>
                <c:pt idx="1127">
                  <c:v>90.800000000000054</c:v>
                </c:pt>
                <c:pt idx="1128">
                  <c:v>90.3</c:v>
                </c:pt>
                <c:pt idx="1129">
                  <c:v>92.200000000000031</c:v>
                </c:pt>
                <c:pt idx="1130">
                  <c:v>89.899999999999949</c:v>
                </c:pt>
                <c:pt idx="1131">
                  <c:v>89.099999999999937</c:v>
                </c:pt>
                <c:pt idx="1132">
                  <c:v>90.700000000000017</c:v>
                </c:pt>
                <c:pt idx="1133">
                  <c:v>94.799999999999955</c:v>
                </c:pt>
                <c:pt idx="1134">
                  <c:v>92.999999999999986</c:v>
                </c:pt>
                <c:pt idx="1135">
                  <c:v>91.899999999999963</c:v>
                </c:pt>
                <c:pt idx="1136">
                  <c:v>92.600000000000009</c:v>
                </c:pt>
                <c:pt idx="1137">
                  <c:v>90.399999999999991</c:v>
                </c:pt>
                <c:pt idx="1138">
                  <c:v>90.500000000000028</c:v>
                </c:pt>
                <c:pt idx="1139">
                  <c:v>91.200000000000031</c:v>
                </c:pt>
                <c:pt idx="1140">
                  <c:v>90.9</c:v>
                </c:pt>
                <c:pt idx="1141">
                  <c:v>93.300000000000011</c:v>
                </c:pt>
                <c:pt idx="1142">
                  <c:v>95.000000000000014</c:v>
                </c:pt>
                <c:pt idx="1143">
                  <c:v>94.09999999999998</c:v>
                </c:pt>
                <c:pt idx="1144">
                  <c:v>93.300000000000011</c:v>
                </c:pt>
                <c:pt idx="1145">
                  <c:v>92.300000000000026</c:v>
                </c:pt>
                <c:pt idx="1146">
                  <c:v>92.600000000000037</c:v>
                </c:pt>
                <c:pt idx="1147">
                  <c:v>94.600000000000037</c:v>
                </c:pt>
                <c:pt idx="1148">
                  <c:v>93.90000000000002</c:v>
                </c:pt>
                <c:pt idx="1149">
                  <c:v>93.700000000000031</c:v>
                </c:pt>
                <c:pt idx="1150">
                  <c:v>91.900000000000034</c:v>
                </c:pt>
                <c:pt idx="1151">
                  <c:v>93.200000000000017</c:v>
                </c:pt>
                <c:pt idx="1152">
                  <c:v>95.2</c:v>
                </c:pt>
                <c:pt idx="1153">
                  <c:v>101.19999999999997</c:v>
                </c:pt>
                <c:pt idx="1154">
                  <c:v>100.10000000000001</c:v>
                </c:pt>
                <c:pt idx="1155">
                  <c:v>108.50000000000006</c:v>
                </c:pt>
                <c:pt idx="1156">
                  <c:v>105.40000000000005</c:v>
                </c:pt>
                <c:pt idx="1157">
                  <c:v>102.69999999999997</c:v>
                </c:pt>
                <c:pt idx="1158">
                  <c:v>95.399999999999935</c:v>
                </c:pt>
                <c:pt idx="1159">
                  <c:v>92.399999999999977</c:v>
                </c:pt>
                <c:pt idx="1160">
                  <c:v>91.699999999999946</c:v>
                </c:pt>
                <c:pt idx="1161">
                  <c:v>91.600000000000009</c:v>
                </c:pt>
                <c:pt idx="1162">
                  <c:v>91.700000000000017</c:v>
                </c:pt>
                <c:pt idx="1163">
                  <c:v>90.000000000000014</c:v>
                </c:pt>
                <c:pt idx="1164">
                  <c:v>88.5</c:v>
                </c:pt>
                <c:pt idx="1165">
                  <c:v>88.400000000000034</c:v>
                </c:pt>
                <c:pt idx="1166">
                  <c:v>89.4</c:v>
                </c:pt>
                <c:pt idx="1167">
                  <c:v>89.399999999999963</c:v>
                </c:pt>
                <c:pt idx="1168">
                  <c:v>89.899999999999977</c:v>
                </c:pt>
                <c:pt idx="1169">
                  <c:v>88.300000000000011</c:v>
                </c:pt>
                <c:pt idx="1170">
                  <c:v>88.200000000000017</c:v>
                </c:pt>
                <c:pt idx="1171">
                  <c:v>89.5</c:v>
                </c:pt>
                <c:pt idx="1172">
                  <c:v>85.600000000000051</c:v>
                </c:pt>
                <c:pt idx="1173">
                  <c:v>85.500000000000014</c:v>
                </c:pt>
                <c:pt idx="1174">
                  <c:v>94.4</c:v>
                </c:pt>
                <c:pt idx="1175">
                  <c:v>92.299999999999983</c:v>
                </c:pt>
                <c:pt idx="1176">
                  <c:v>92.000000000000028</c:v>
                </c:pt>
                <c:pt idx="1177">
                  <c:v>90.599999999999952</c:v>
                </c:pt>
                <c:pt idx="1178">
                  <c:v>92.399999999999949</c:v>
                </c:pt>
                <c:pt idx="1179">
                  <c:v>91</c:v>
                </c:pt>
                <c:pt idx="1180">
                  <c:v>91.2</c:v>
                </c:pt>
                <c:pt idx="1181">
                  <c:v>90.700000000000045</c:v>
                </c:pt>
                <c:pt idx="1182">
                  <c:v>88.90000000000002</c:v>
                </c:pt>
                <c:pt idx="1183">
                  <c:v>87.8</c:v>
                </c:pt>
                <c:pt idx="1184">
                  <c:v>88.399999999999977</c:v>
                </c:pt>
                <c:pt idx="1185">
                  <c:v>87.299999999999983</c:v>
                </c:pt>
                <c:pt idx="1186">
                  <c:v>91.2</c:v>
                </c:pt>
                <c:pt idx="1187">
                  <c:v>91.099999999999966</c:v>
                </c:pt>
                <c:pt idx="1188">
                  <c:v>91.2</c:v>
                </c:pt>
                <c:pt idx="1189">
                  <c:v>92.7</c:v>
                </c:pt>
                <c:pt idx="1190">
                  <c:v>92.80000000000004</c:v>
                </c:pt>
                <c:pt idx="1191">
                  <c:v>97.200000000000031</c:v>
                </c:pt>
                <c:pt idx="1192">
                  <c:v>97.500000000000014</c:v>
                </c:pt>
                <c:pt idx="1193">
                  <c:v>96.000000000000014</c:v>
                </c:pt>
                <c:pt idx="1194">
                  <c:v>95.299999999999969</c:v>
                </c:pt>
                <c:pt idx="1195">
                  <c:v>95.5</c:v>
                </c:pt>
                <c:pt idx="1196">
                  <c:v>97.59999999999998</c:v>
                </c:pt>
                <c:pt idx="1197">
                  <c:v>97.3</c:v>
                </c:pt>
                <c:pt idx="1198">
                  <c:v>97.800000000000011</c:v>
                </c:pt>
                <c:pt idx="1199">
                  <c:v>97.9</c:v>
                </c:pt>
                <c:pt idx="1200">
                  <c:v>97.300000000000026</c:v>
                </c:pt>
                <c:pt idx="1201">
                  <c:v>96.800000000000011</c:v>
                </c:pt>
                <c:pt idx="1202">
                  <c:v>97</c:v>
                </c:pt>
                <c:pt idx="1203">
                  <c:v>97.199999999999989</c:v>
                </c:pt>
                <c:pt idx="1204">
                  <c:v>97.9</c:v>
                </c:pt>
                <c:pt idx="1205">
                  <c:v>98.899999999999991</c:v>
                </c:pt>
                <c:pt idx="1206">
                  <c:v>97.7</c:v>
                </c:pt>
                <c:pt idx="1207">
                  <c:v>99.599999999999966</c:v>
                </c:pt>
                <c:pt idx="1208">
                  <c:v>97</c:v>
                </c:pt>
                <c:pt idx="1209">
                  <c:v>88.200000000000017</c:v>
                </c:pt>
                <c:pt idx="1210">
                  <c:v>89.300000000000011</c:v>
                </c:pt>
                <c:pt idx="1211">
                  <c:v>90.3</c:v>
                </c:pt>
                <c:pt idx="1212">
                  <c:v>91.299999999999955</c:v>
                </c:pt>
                <c:pt idx="1213">
                  <c:v>90.699999999999989</c:v>
                </c:pt>
                <c:pt idx="1214">
                  <c:v>91.499999999999986</c:v>
                </c:pt>
                <c:pt idx="1215">
                  <c:v>91.40000000000002</c:v>
                </c:pt>
                <c:pt idx="1216">
                  <c:v>91.300000000000026</c:v>
                </c:pt>
                <c:pt idx="1217">
                  <c:v>92.300000000000026</c:v>
                </c:pt>
                <c:pt idx="1218">
                  <c:v>91.500000000000014</c:v>
                </c:pt>
                <c:pt idx="1219">
                  <c:v>93.199999999999989</c:v>
                </c:pt>
                <c:pt idx="1220">
                  <c:v>93.399999999999977</c:v>
                </c:pt>
                <c:pt idx="1221">
                  <c:v>92.999999999999957</c:v>
                </c:pt>
                <c:pt idx="1222">
                  <c:v>92.299999999999983</c:v>
                </c:pt>
                <c:pt idx="1223">
                  <c:v>92.40000000000002</c:v>
                </c:pt>
                <c:pt idx="1224">
                  <c:v>94.100000000000023</c:v>
                </c:pt>
                <c:pt idx="1225">
                  <c:v>93.899999999999991</c:v>
                </c:pt>
                <c:pt idx="1226">
                  <c:v>94.199999999999946</c:v>
                </c:pt>
              </c:numCache>
            </c:numRef>
          </c:val>
          <c:extLst>
            <c:ext xmlns:c16="http://schemas.microsoft.com/office/drawing/2014/chart" uri="{C3380CC4-5D6E-409C-BE32-E72D297353CC}">
              <c16:uniqueId val="{00000000-A31A-4B75-AA0A-EBEEA367266E}"/>
            </c:ext>
          </c:extLst>
        </c:ser>
        <c:dLbls>
          <c:showLegendKey val="0"/>
          <c:showVal val="0"/>
          <c:showCatName val="0"/>
          <c:showSerName val="0"/>
          <c:showPercent val="0"/>
          <c:showBubbleSize val="0"/>
        </c:dLbls>
        <c:axId val="178457600"/>
        <c:axId val="178455680"/>
      </c:areaChart>
      <c:lineChart>
        <c:grouping val="standard"/>
        <c:varyColors val="0"/>
        <c:ser>
          <c:idx val="0"/>
          <c:order val="0"/>
          <c:tx>
            <c:strRef>
              <c:f>Sheet1!$B$1</c:f>
              <c:strCache>
                <c:ptCount val="1"/>
                <c:pt idx="0">
                  <c:v>SLO 10 let (LS)</c:v>
                </c:pt>
              </c:strCache>
            </c:strRef>
          </c:tx>
          <c:spPr>
            <a:ln w="19050" cap="sq">
              <a:solidFill>
                <a:srgbClr val="C00000"/>
              </a:solidFill>
            </a:ln>
          </c:spPr>
          <c:marker>
            <c:symbol val="none"/>
          </c:marker>
          <c:cat>
            <c:numRef>
              <c:f>Sheet1!$A$2:$A$1228</c:f>
              <c:numCache>
                <c:formatCode>dd/mm/yyyy;@</c:formatCode>
                <c:ptCount val="1227"/>
                <c:pt idx="0">
                  <c:v>43467</c:v>
                </c:pt>
                <c:pt idx="1">
                  <c:v>43468</c:v>
                </c:pt>
                <c:pt idx="2">
                  <c:v>43469</c:v>
                </c:pt>
                <c:pt idx="3">
                  <c:v>43472</c:v>
                </c:pt>
                <c:pt idx="4">
                  <c:v>43473</c:v>
                </c:pt>
                <c:pt idx="5">
                  <c:v>43474</c:v>
                </c:pt>
                <c:pt idx="6">
                  <c:v>43475</c:v>
                </c:pt>
                <c:pt idx="7">
                  <c:v>43476</c:v>
                </c:pt>
                <c:pt idx="8">
                  <c:v>43479</c:v>
                </c:pt>
                <c:pt idx="9">
                  <c:v>43480</c:v>
                </c:pt>
                <c:pt idx="10">
                  <c:v>43481</c:v>
                </c:pt>
                <c:pt idx="11">
                  <c:v>43482</c:v>
                </c:pt>
                <c:pt idx="12">
                  <c:v>43483</c:v>
                </c:pt>
                <c:pt idx="13">
                  <c:v>43486</c:v>
                </c:pt>
                <c:pt idx="14">
                  <c:v>43487</c:v>
                </c:pt>
                <c:pt idx="15">
                  <c:v>43488</c:v>
                </c:pt>
                <c:pt idx="16">
                  <c:v>43489</c:v>
                </c:pt>
                <c:pt idx="17">
                  <c:v>43490</c:v>
                </c:pt>
                <c:pt idx="18">
                  <c:v>43493</c:v>
                </c:pt>
                <c:pt idx="19">
                  <c:v>43494</c:v>
                </c:pt>
                <c:pt idx="20">
                  <c:v>43495</c:v>
                </c:pt>
                <c:pt idx="21">
                  <c:v>43496</c:v>
                </c:pt>
                <c:pt idx="22">
                  <c:v>43497</c:v>
                </c:pt>
                <c:pt idx="23">
                  <c:v>43500</c:v>
                </c:pt>
                <c:pt idx="24">
                  <c:v>43501</c:v>
                </c:pt>
                <c:pt idx="25">
                  <c:v>43502</c:v>
                </c:pt>
                <c:pt idx="26">
                  <c:v>43503</c:v>
                </c:pt>
                <c:pt idx="27">
                  <c:v>43504</c:v>
                </c:pt>
                <c:pt idx="28">
                  <c:v>43507</c:v>
                </c:pt>
                <c:pt idx="29">
                  <c:v>43508</c:v>
                </c:pt>
                <c:pt idx="30">
                  <c:v>43509</c:v>
                </c:pt>
                <c:pt idx="31">
                  <c:v>43510</c:v>
                </c:pt>
                <c:pt idx="32">
                  <c:v>43511</c:v>
                </c:pt>
                <c:pt idx="33">
                  <c:v>43514</c:v>
                </c:pt>
                <c:pt idx="34">
                  <c:v>43515</c:v>
                </c:pt>
                <c:pt idx="35">
                  <c:v>43516</c:v>
                </c:pt>
                <c:pt idx="36">
                  <c:v>43517</c:v>
                </c:pt>
                <c:pt idx="37">
                  <c:v>43518</c:v>
                </c:pt>
                <c:pt idx="38">
                  <c:v>43521</c:v>
                </c:pt>
                <c:pt idx="39">
                  <c:v>43522</c:v>
                </c:pt>
                <c:pt idx="40">
                  <c:v>43523</c:v>
                </c:pt>
                <c:pt idx="41">
                  <c:v>43524</c:v>
                </c:pt>
                <c:pt idx="42">
                  <c:v>43525</c:v>
                </c:pt>
                <c:pt idx="43">
                  <c:v>43528</c:v>
                </c:pt>
                <c:pt idx="44">
                  <c:v>43529</c:v>
                </c:pt>
                <c:pt idx="45">
                  <c:v>43530</c:v>
                </c:pt>
                <c:pt idx="46">
                  <c:v>43531</c:v>
                </c:pt>
                <c:pt idx="47">
                  <c:v>43532</c:v>
                </c:pt>
                <c:pt idx="48">
                  <c:v>43535</c:v>
                </c:pt>
                <c:pt idx="49">
                  <c:v>43536</c:v>
                </c:pt>
                <c:pt idx="50">
                  <c:v>43537</c:v>
                </c:pt>
                <c:pt idx="51">
                  <c:v>43538</c:v>
                </c:pt>
                <c:pt idx="52">
                  <c:v>43539</c:v>
                </c:pt>
                <c:pt idx="53">
                  <c:v>43542</c:v>
                </c:pt>
                <c:pt idx="54">
                  <c:v>43543</c:v>
                </c:pt>
                <c:pt idx="55">
                  <c:v>43544</c:v>
                </c:pt>
                <c:pt idx="56">
                  <c:v>43545</c:v>
                </c:pt>
                <c:pt idx="57">
                  <c:v>43546</c:v>
                </c:pt>
                <c:pt idx="58">
                  <c:v>43549</c:v>
                </c:pt>
                <c:pt idx="59">
                  <c:v>43550</c:v>
                </c:pt>
                <c:pt idx="60">
                  <c:v>43551</c:v>
                </c:pt>
                <c:pt idx="61">
                  <c:v>43552</c:v>
                </c:pt>
                <c:pt idx="62">
                  <c:v>43553</c:v>
                </c:pt>
                <c:pt idx="63">
                  <c:v>43556</c:v>
                </c:pt>
                <c:pt idx="64">
                  <c:v>43557</c:v>
                </c:pt>
                <c:pt idx="65">
                  <c:v>43558</c:v>
                </c:pt>
                <c:pt idx="66">
                  <c:v>43559</c:v>
                </c:pt>
                <c:pt idx="67">
                  <c:v>43560</c:v>
                </c:pt>
                <c:pt idx="68">
                  <c:v>43563</c:v>
                </c:pt>
                <c:pt idx="69">
                  <c:v>43564</c:v>
                </c:pt>
                <c:pt idx="70">
                  <c:v>43565</c:v>
                </c:pt>
                <c:pt idx="71">
                  <c:v>43566</c:v>
                </c:pt>
                <c:pt idx="72">
                  <c:v>43567</c:v>
                </c:pt>
                <c:pt idx="73">
                  <c:v>43570</c:v>
                </c:pt>
                <c:pt idx="74">
                  <c:v>43571</c:v>
                </c:pt>
                <c:pt idx="75">
                  <c:v>43572</c:v>
                </c:pt>
                <c:pt idx="76">
                  <c:v>43573</c:v>
                </c:pt>
                <c:pt idx="77">
                  <c:v>43574</c:v>
                </c:pt>
                <c:pt idx="78">
                  <c:v>43578</c:v>
                </c:pt>
                <c:pt idx="79">
                  <c:v>43579</c:v>
                </c:pt>
                <c:pt idx="80">
                  <c:v>43580</c:v>
                </c:pt>
                <c:pt idx="81">
                  <c:v>43581</c:v>
                </c:pt>
                <c:pt idx="82">
                  <c:v>43584</c:v>
                </c:pt>
                <c:pt idx="83">
                  <c:v>43585</c:v>
                </c:pt>
                <c:pt idx="84">
                  <c:v>43587</c:v>
                </c:pt>
                <c:pt idx="85">
                  <c:v>43588</c:v>
                </c:pt>
                <c:pt idx="86">
                  <c:v>43591</c:v>
                </c:pt>
                <c:pt idx="87">
                  <c:v>43592</c:v>
                </c:pt>
                <c:pt idx="88">
                  <c:v>43593</c:v>
                </c:pt>
                <c:pt idx="89">
                  <c:v>43594</c:v>
                </c:pt>
                <c:pt idx="90">
                  <c:v>43595</c:v>
                </c:pt>
                <c:pt idx="91">
                  <c:v>43598</c:v>
                </c:pt>
                <c:pt idx="92">
                  <c:v>43599</c:v>
                </c:pt>
                <c:pt idx="93">
                  <c:v>43600</c:v>
                </c:pt>
                <c:pt idx="94">
                  <c:v>43601</c:v>
                </c:pt>
                <c:pt idx="95">
                  <c:v>43602</c:v>
                </c:pt>
                <c:pt idx="96">
                  <c:v>43605</c:v>
                </c:pt>
                <c:pt idx="97">
                  <c:v>43606</c:v>
                </c:pt>
                <c:pt idx="98">
                  <c:v>43607</c:v>
                </c:pt>
                <c:pt idx="99">
                  <c:v>43608</c:v>
                </c:pt>
                <c:pt idx="100">
                  <c:v>43609</c:v>
                </c:pt>
                <c:pt idx="101">
                  <c:v>43612</c:v>
                </c:pt>
                <c:pt idx="102">
                  <c:v>43613</c:v>
                </c:pt>
                <c:pt idx="103">
                  <c:v>43614</c:v>
                </c:pt>
                <c:pt idx="104">
                  <c:v>43615</c:v>
                </c:pt>
                <c:pt idx="105">
                  <c:v>43616</c:v>
                </c:pt>
                <c:pt idx="106">
                  <c:v>43619</c:v>
                </c:pt>
                <c:pt idx="107">
                  <c:v>43620</c:v>
                </c:pt>
                <c:pt idx="108">
                  <c:v>43621</c:v>
                </c:pt>
                <c:pt idx="109">
                  <c:v>43622</c:v>
                </c:pt>
                <c:pt idx="110">
                  <c:v>43623</c:v>
                </c:pt>
                <c:pt idx="111">
                  <c:v>43626</c:v>
                </c:pt>
                <c:pt idx="112">
                  <c:v>43627</c:v>
                </c:pt>
                <c:pt idx="113">
                  <c:v>43628</c:v>
                </c:pt>
                <c:pt idx="114">
                  <c:v>43629</c:v>
                </c:pt>
                <c:pt idx="115">
                  <c:v>43630</c:v>
                </c:pt>
                <c:pt idx="116">
                  <c:v>43633</c:v>
                </c:pt>
                <c:pt idx="117">
                  <c:v>43634</c:v>
                </c:pt>
                <c:pt idx="118">
                  <c:v>43635</c:v>
                </c:pt>
                <c:pt idx="119">
                  <c:v>43636</c:v>
                </c:pt>
                <c:pt idx="120">
                  <c:v>43637</c:v>
                </c:pt>
                <c:pt idx="121">
                  <c:v>43640</c:v>
                </c:pt>
                <c:pt idx="122">
                  <c:v>43641</c:v>
                </c:pt>
                <c:pt idx="123">
                  <c:v>43642</c:v>
                </c:pt>
                <c:pt idx="124">
                  <c:v>43643</c:v>
                </c:pt>
                <c:pt idx="125">
                  <c:v>43644</c:v>
                </c:pt>
                <c:pt idx="126">
                  <c:v>43647</c:v>
                </c:pt>
                <c:pt idx="127">
                  <c:v>43648</c:v>
                </c:pt>
                <c:pt idx="128">
                  <c:v>43649</c:v>
                </c:pt>
                <c:pt idx="129">
                  <c:v>43650</c:v>
                </c:pt>
                <c:pt idx="130">
                  <c:v>43651</c:v>
                </c:pt>
                <c:pt idx="131">
                  <c:v>43654</c:v>
                </c:pt>
                <c:pt idx="132">
                  <c:v>43655</c:v>
                </c:pt>
                <c:pt idx="133">
                  <c:v>43656</c:v>
                </c:pt>
                <c:pt idx="134">
                  <c:v>43657</c:v>
                </c:pt>
                <c:pt idx="135">
                  <c:v>43658</c:v>
                </c:pt>
                <c:pt idx="136">
                  <c:v>43661</c:v>
                </c:pt>
                <c:pt idx="137">
                  <c:v>43662</c:v>
                </c:pt>
                <c:pt idx="138">
                  <c:v>43663</c:v>
                </c:pt>
                <c:pt idx="139">
                  <c:v>43664</c:v>
                </c:pt>
                <c:pt idx="140">
                  <c:v>43665</c:v>
                </c:pt>
                <c:pt idx="141">
                  <c:v>43668</c:v>
                </c:pt>
                <c:pt idx="142">
                  <c:v>43669</c:v>
                </c:pt>
                <c:pt idx="143">
                  <c:v>43670</c:v>
                </c:pt>
                <c:pt idx="144">
                  <c:v>43671</c:v>
                </c:pt>
                <c:pt idx="145">
                  <c:v>43672</c:v>
                </c:pt>
                <c:pt idx="146">
                  <c:v>43675</c:v>
                </c:pt>
                <c:pt idx="147">
                  <c:v>43676</c:v>
                </c:pt>
                <c:pt idx="148">
                  <c:v>43677</c:v>
                </c:pt>
                <c:pt idx="149">
                  <c:v>43678</c:v>
                </c:pt>
                <c:pt idx="150">
                  <c:v>43679</c:v>
                </c:pt>
                <c:pt idx="151">
                  <c:v>43682</c:v>
                </c:pt>
                <c:pt idx="152">
                  <c:v>43683</c:v>
                </c:pt>
                <c:pt idx="153">
                  <c:v>43684</c:v>
                </c:pt>
                <c:pt idx="154">
                  <c:v>43685</c:v>
                </c:pt>
                <c:pt idx="155">
                  <c:v>43686</c:v>
                </c:pt>
                <c:pt idx="156">
                  <c:v>43689</c:v>
                </c:pt>
                <c:pt idx="157">
                  <c:v>43690</c:v>
                </c:pt>
                <c:pt idx="158">
                  <c:v>43691</c:v>
                </c:pt>
                <c:pt idx="159">
                  <c:v>43692</c:v>
                </c:pt>
                <c:pt idx="160">
                  <c:v>43693</c:v>
                </c:pt>
                <c:pt idx="161">
                  <c:v>43696</c:v>
                </c:pt>
                <c:pt idx="162">
                  <c:v>43697</c:v>
                </c:pt>
                <c:pt idx="163">
                  <c:v>43698</c:v>
                </c:pt>
                <c:pt idx="164">
                  <c:v>43699</c:v>
                </c:pt>
                <c:pt idx="165">
                  <c:v>43700</c:v>
                </c:pt>
                <c:pt idx="166">
                  <c:v>43703</c:v>
                </c:pt>
                <c:pt idx="167">
                  <c:v>43704</c:v>
                </c:pt>
                <c:pt idx="168">
                  <c:v>43705</c:v>
                </c:pt>
                <c:pt idx="169">
                  <c:v>43706</c:v>
                </c:pt>
                <c:pt idx="170">
                  <c:v>43707</c:v>
                </c:pt>
                <c:pt idx="171">
                  <c:v>43710</c:v>
                </c:pt>
                <c:pt idx="172">
                  <c:v>43711</c:v>
                </c:pt>
                <c:pt idx="173">
                  <c:v>43712</c:v>
                </c:pt>
                <c:pt idx="174">
                  <c:v>43713</c:v>
                </c:pt>
                <c:pt idx="175">
                  <c:v>43714</c:v>
                </c:pt>
                <c:pt idx="176">
                  <c:v>43717</c:v>
                </c:pt>
                <c:pt idx="177">
                  <c:v>43718</c:v>
                </c:pt>
                <c:pt idx="178">
                  <c:v>43719</c:v>
                </c:pt>
                <c:pt idx="179">
                  <c:v>43720</c:v>
                </c:pt>
                <c:pt idx="180">
                  <c:v>43721</c:v>
                </c:pt>
                <c:pt idx="181">
                  <c:v>43724</c:v>
                </c:pt>
                <c:pt idx="182">
                  <c:v>43725</c:v>
                </c:pt>
                <c:pt idx="183">
                  <c:v>43726</c:v>
                </c:pt>
                <c:pt idx="184">
                  <c:v>43727</c:v>
                </c:pt>
                <c:pt idx="185">
                  <c:v>43728</c:v>
                </c:pt>
                <c:pt idx="186">
                  <c:v>43731</c:v>
                </c:pt>
                <c:pt idx="187">
                  <c:v>43732</c:v>
                </c:pt>
                <c:pt idx="188">
                  <c:v>43733</c:v>
                </c:pt>
                <c:pt idx="189">
                  <c:v>43734</c:v>
                </c:pt>
                <c:pt idx="190">
                  <c:v>43735</c:v>
                </c:pt>
                <c:pt idx="191">
                  <c:v>43738</c:v>
                </c:pt>
                <c:pt idx="192">
                  <c:v>43739</c:v>
                </c:pt>
                <c:pt idx="193">
                  <c:v>43740</c:v>
                </c:pt>
                <c:pt idx="194">
                  <c:v>43741</c:v>
                </c:pt>
                <c:pt idx="195">
                  <c:v>43742</c:v>
                </c:pt>
                <c:pt idx="196">
                  <c:v>43745</c:v>
                </c:pt>
                <c:pt idx="197">
                  <c:v>43746</c:v>
                </c:pt>
                <c:pt idx="198">
                  <c:v>43747</c:v>
                </c:pt>
                <c:pt idx="199">
                  <c:v>43748</c:v>
                </c:pt>
                <c:pt idx="200">
                  <c:v>43749</c:v>
                </c:pt>
                <c:pt idx="201">
                  <c:v>43752</c:v>
                </c:pt>
                <c:pt idx="202">
                  <c:v>43753</c:v>
                </c:pt>
                <c:pt idx="203">
                  <c:v>43754</c:v>
                </c:pt>
                <c:pt idx="204">
                  <c:v>43755</c:v>
                </c:pt>
                <c:pt idx="205">
                  <c:v>43756</c:v>
                </c:pt>
                <c:pt idx="206">
                  <c:v>43759</c:v>
                </c:pt>
                <c:pt idx="207">
                  <c:v>43760</c:v>
                </c:pt>
                <c:pt idx="208">
                  <c:v>43761</c:v>
                </c:pt>
                <c:pt idx="209">
                  <c:v>43762</c:v>
                </c:pt>
                <c:pt idx="210">
                  <c:v>43763</c:v>
                </c:pt>
                <c:pt idx="211">
                  <c:v>43766</c:v>
                </c:pt>
                <c:pt idx="212">
                  <c:v>43767</c:v>
                </c:pt>
                <c:pt idx="213">
                  <c:v>43768</c:v>
                </c:pt>
                <c:pt idx="214">
                  <c:v>43769</c:v>
                </c:pt>
                <c:pt idx="215">
                  <c:v>43770</c:v>
                </c:pt>
                <c:pt idx="216">
                  <c:v>43773</c:v>
                </c:pt>
                <c:pt idx="217">
                  <c:v>43774</c:v>
                </c:pt>
                <c:pt idx="218">
                  <c:v>43775</c:v>
                </c:pt>
                <c:pt idx="219">
                  <c:v>43776</c:v>
                </c:pt>
                <c:pt idx="220">
                  <c:v>43777</c:v>
                </c:pt>
                <c:pt idx="221">
                  <c:v>43780</c:v>
                </c:pt>
                <c:pt idx="222">
                  <c:v>43781</c:v>
                </c:pt>
                <c:pt idx="223">
                  <c:v>43782</c:v>
                </c:pt>
                <c:pt idx="224">
                  <c:v>43783</c:v>
                </c:pt>
                <c:pt idx="225">
                  <c:v>43784</c:v>
                </c:pt>
                <c:pt idx="226">
                  <c:v>43787</c:v>
                </c:pt>
                <c:pt idx="227">
                  <c:v>43788</c:v>
                </c:pt>
                <c:pt idx="228">
                  <c:v>43789</c:v>
                </c:pt>
                <c:pt idx="229">
                  <c:v>43790</c:v>
                </c:pt>
                <c:pt idx="230">
                  <c:v>43791</c:v>
                </c:pt>
                <c:pt idx="231">
                  <c:v>43794</c:v>
                </c:pt>
                <c:pt idx="232">
                  <c:v>43795</c:v>
                </c:pt>
                <c:pt idx="233">
                  <c:v>43796</c:v>
                </c:pt>
                <c:pt idx="234">
                  <c:v>43797</c:v>
                </c:pt>
                <c:pt idx="235">
                  <c:v>43798</c:v>
                </c:pt>
                <c:pt idx="236">
                  <c:v>43801</c:v>
                </c:pt>
                <c:pt idx="237">
                  <c:v>43802</c:v>
                </c:pt>
                <c:pt idx="238">
                  <c:v>43803</c:v>
                </c:pt>
                <c:pt idx="239">
                  <c:v>43804</c:v>
                </c:pt>
                <c:pt idx="240">
                  <c:v>43805</c:v>
                </c:pt>
                <c:pt idx="241">
                  <c:v>43808</c:v>
                </c:pt>
                <c:pt idx="242">
                  <c:v>43809</c:v>
                </c:pt>
                <c:pt idx="243">
                  <c:v>43810</c:v>
                </c:pt>
                <c:pt idx="244">
                  <c:v>43811</c:v>
                </c:pt>
                <c:pt idx="245">
                  <c:v>43812</c:v>
                </c:pt>
                <c:pt idx="246">
                  <c:v>43815</c:v>
                </c:pt>
                <c:pt idx="247">
                  <c:v>43816</c:v>
                </c:pt>
                <c:pt idx="248">
                  <c:v>43817</c:v>
                </c:pt>
                <c:pt idx="249">
                  <c:v>43818</c:v>
                </c:pt>
                <c:pt idx="250">
                  <c:v>43819</c:v>
                </c:pt>
                <c:pt idx="251">
                  <c:v>43822</c:v>
                </c:pt>
                <c:pt idx="252">
                  <c:v>43826</c:v>
                </c:pt>
                <c:pt idx="253">
                  <c:v>43829</c:v>
                </c:pt>
                <c:pt idx="254">
                  <c:v>43832</c:v>
                </c:pt>
                <c:pt idx="255">
                  <c:v>43833</c:v>
                </c:pt>
                <c:pt idx="256">
                  <c:v>43836</c:v>
                </c:pt>
                <c:pt idx="257">
                  <c:v>43837</c:v>
                </c:pt>
                <c:pt idx="258">
                  <c:v>43838</c:v>
                </c:pt>
                <c:pt idx="259">
                  <c:v>43839</c:v>
                </c:pt>
                <c:pt idx="260">
                  <c:v>43840</c:v>
                </c:pt>
                <c:pt idx="261">
                  <c:v>43843</c:v>
                </c:pt>
                <c:pt idx="262">
                  <c:v>43844</c:v>
                </c:pt>
                <c:pt idx="263">
                  <c:v>43845</c:v>
                </c:pt>
                <c:pt idx="264">
                  <c:v>43846</c:v>
                </c:pt>
                <c:pt idx="265">
                  <c:v>43847</c:v>
                </c:pt>
                <c:pt idx="266">
                  <c:v>43850</c:v>
                </c:pt>
                <c:pt idx="267">
                  <c:v>43851</c:v>
                </c:pt>
                <c:pt idx="268">
                  <c:v>43852</c:v>
                </c:pt>
                <c:pt idx="269">
                  <c:v>43853</c:v>
                </c:pt>
                <c:pt idx="270">
                  <c:v>43854</c:v>
                </c:pt>
                <c:pt idx="271">
                  <c:v>43857</c:v>
                </c:pt>
                <c:pt idx="272">
                  <c:v>43858</c:v>
                </c:pt>
                <c:pt idx="273">
                  <c:v>43859</c:v>
                </c:pt>
                <c:pt idx="274">
                  <c:v>43860</c:v>
                </c:pt>
                <c:pt idx="275">
                  <c:v>43861</c:v>
                </c:pt>
                <c:pt idx="276">
                  <c:v>43864</c:v>
                </c:pt>
                <c:pt idx="277">
                  <c:v>43865</c:v>
                </c:pt>
                <c:pt idx="278">
                  <c:v>43866</c:v>
                </c:pt>
                <c:pt idx="279">
                  <c:v>43867</c:v>
                </c:pt>
                <c:pt idx="280">
                  <c:v>43868</c:v>
                </c:pt>
                <c:pt idx="281">
                  <c:v>43871</c:v>
                </c:pt>
                <c:pt idx="282">
                  <c:v>43872</c:v>
                </c:pt>
                <c:pt idx="283">
                  <c:v>43873</c:v>
                </c:pt>
                <c:pt idx="284">
                  <c:v>43874</c:v>
                </c:pt>
                <c:pt idx="285">
                  <c:v>43875</c:v>
                </c:pt>
                <c:pt idx="286">
                  <c:v>43878</c:v>
                </c:pt>
                <c:pt idx="287">
                  <c:v>43879</c:v>
                </c:pt>
                <c:pt idx="288">
                  <c:v>43880</c:v>
                </c:pt>
                <c:pt idx="289">
                  <c:v>43881</c:v>
                </c:pt>
                <c:pt idx="290">
                  <c:v>43882</c:v>
                </c:pt>
                <c:pt idx="291">
                  <c:v>43885</c:v>
                </c:pt>
                <c:pt idx="292">
                  <c:v>43886</c:v>
                </c:pt>
                <c:pt idx="293">
                  <c:v>43887</c:v>
                </c:pt>
                <c:pt idx="294">
                  <c:v>43888</c:v>
                </c:pt>
                <c:pt idx="295">
                  <c:v>43889</c:v>
                </c:pt>
                <c:pt idx="296">
                  <c:v>43892</c:v>
                </c:pt>
                <c:pt idx="297">
                  <c:v>43893</c:v>
                </c:pt>
                <c:pt idx="298">
                  <c:v>43894</c:v>
                </c:pt>
                <c:pt idx="299">
                  <c:v>43895</c:v>
                </c:pt>
                <c:pt idx="300">
                  <c:v>43896</c:v>
                </c:pt>
                <c:pt idx="301">
                  <c:v>43899</c:v>
                </c:pt>
                <c:pt idx="302">
                  <c:v>43900</c:v>
                </c:pt>
                <c:pt idx="303">
                  <c:v>43901</c:v>
                </c:pt>
                <c:pt idx="304">
                  <c:v>43902</c:v>
                </c:pt>
                <c:pt idx="305">
                  <c:v>43903</c:v>
                </c:pt>
                <c:pt idx="306">
                  <c:v>43906</c:v>
                </c:pt>
                <c:pt idx="307">
                  <c:v>43907</c:v>
                </c:pt>
                <c:pt idx="308">
                  <c:v>43908</c:v>
                </c:pt>
                <c:pt idx="309">
                  <c:v>43909</c:v>
                </c:pt>
                <c:pt idx="310">
                  <c:v>43910</c:v>
                </c:pt>
                <c:pt idx="311">
                  <c:v>43913</c:v>
                </c:pt>
                <c:pt idx="312">
                  <c:v>43914</c:v>
                </c:pt>
                <c:pt idx="313">
                  <c:v>43915</c:v>
                </c:pt>
                <c:pt idx="314">
                  <c:v>43916</c:v>
                </c:pt>
                <c:pt idx="315">
                  <c:v>43917</c:v>
                </c:pt>
                <c:pt idx="316">
                  <c:v>43920</c:v>
                </c:pt>
                <c:pt idx="317">
                  <c:v>43921</c:v>
                </c:pt>
                <c:pt idx="318">
                  <c:v>43922</c:v>
                </c:pt>
                <c:pt idx="319">
                  <c:v>43923</c:v>
                </c:pt>
                <c:pt idx="320">
                  <c:v>43924</c:v>
                </c:pt>
                <c:pt idx="321">
                  <c:v>43927</c:v>
                </c:pt>
                <c:pt idx="322">
                  <c:v>43928</c:v>
                </c:pt>
                <c:pt idx="323">
                  <c:v>43929</c:v>
                </c:pt>
                <c:pt idx="324">
                  <c:v>43930</c:v>
                </c:pt>
                <c:pt idx="325">
                  <c:v>43931</c:v>
                </c:pt>
                <c:pt idx="326">
                  <c:v>43935</c:v>
                </c:pt>
                <c:pt idx="327">
                  <c:v>43936</c:v>
                </c:pt>
                <c:pt idx="328">
                  <c:v>43937</c:v>
                </c:pt>
                <c:pt idx="329">
                  <c:v>43938</c:v>
                </c:pt>
                <c:pt idx="330">
                  <c:v>43941</c:v>
                </c:pt>
                <c:pt idx="331">
                  <c:v>43942</c:v>
                </c:pt>
                <c:pt idx="332">
                  <c:v>43943</c:v>
                </c:pt>
                <c:pt idx="333">
                  <c:v>43944</c:v>
                </c:pt>
                <c:pt idx="334">
                  <c:v>43945</c:v>
                </c:pt>
                <c:pt idx="335">
                  <c:v>43948</c:v>
                </c:pt>
                <c:pt idx="336">
                  <c:v>43949</c:v>
                </c:pt>
                <c:pt idx="337">
                  <c:v>43950</c:v>
                </c:pt>
                <c:pt idx="338">
                  <c:v>43951</c:v>
                </c:pt>
                <c:pt idx="339">
                  <c:v>43955</c:v>
                </c:pt>
                <c:pt idx="340">
                  <c:v>43956</c:v>
                </c:pt>
                <c:pt idx="341">
                  <c:v>43957</c:v>
                </c:pt>
                <c:pt idx="342">
                  <c:v>43958</c:v>
                </c:pt>
                <c:pt idx="343">
                  <c:v>43959</c:v>
                </c:pt>
                <c:pt idx="344">
                  <c:v>43962</c:v>
                </c:pt>
                <c:pt idx="345">
                  <c:v>43963</c:v>
                </c:pt>
                <c:pt idx="346">
                  <c:v>43964</c:v>
                </c:pt>
                <c:pt idx="347">
                  <c:v>43965</c:v>
                </c:pt>
                <c:pt idx="348">
                  <c:v>43966</c:v>
                </c:pt>
                <c:pt idx="349">
                  <c:v>43969</c:v>
                </c:pt>
                <c:pt idx="350">
                  <c:v>43970</c:v>
                </c:pt>
                <c:pt idx="351">
                  <c:v>43971</c:v>
                </c:pt>
                <c:pt idx="352">
                  <c:v>43972</c:v>
                </c:pt>
                <c:pt idx="353">
                  <c:v>43973</c:v>
                </c:pt>
                <c:pt idx="354">
                  <c:v>43976</c:v>
                </c:pt>
                <c:pt idx="355">
                  <c:v>43977</c:v>
                </c:pt>
                <c:pt idx="356">
                  <c:v>43978</c:v>
                </c:pt>
                <c:pt idx="357">
                  <c:v>43979</c:v>
                </c:pt>
                <c:pt idx="358">
                  <c:v>43980</c:v>
                </c:pt>
                <c:pt idx="359">
                  <c:v>43983</c:v>
                </c:pt>
                <c:pt idx="360">
                  <c:v>43984</c:v>
                </c:pt>
                <c:pt idx="361">
                  <c:v>43985</c:v>
                </c:pt>
                <c:pt idx="362">
                  <c:v>43986</c:v>
                </c:pt>
                <c:pt idx="363">
                  <c:v>43987</c:v>
                </c:pt>
                <c:pt idx="364">
                  <c:v>43990</c:v>
                </c:pt>
                <c:pt idx="365">
                  <c:v>43991</c:v>
                </c:pt>
                <c:pt idx="366">
                  <c:v>43992</c:v>
                </c:pt>
                <c:pt idx="367">
                  <c:v>43993</c:v>
                </c:pt>
                <c:pt idx="368">
                  <c:v>43994</c:v>
                </c:pt>
                <c:pt idx="369">
                  <c:v>43997</c:v>
                </c:pt>
                <c:pt idx="370">
                  <c:v>43998</c:v>
                </c:pt>
                <c:pt idx="371">
                  <c:v>43999</c:v>
                </c:pt>
                <c:pt idx="372">
                  <c:v>44000</c:v>
                </c:pt>
                <c:pt idx="373">
                  <c:v>44001</c:v>
                </c:pt>
                <c:pt idx="374">
                  <c:v>44004</c:v>
                </c:pt>
                <c:pt idx="375">
                  <c:v>44005</c:v>
                </c:pt>
                <c:pt idx="376">
                  <c:v>44006</c:v>
                </c:pt>
                <c:pt idx="377">
                  <c:v>44007</c:v>
                </c:pt>
                <c:pt idx="378">
                  <c:v>44008</c:v>
                </c:pt>
                <c:pt idx="379">
                  <c:v>44011</c:v>
                </c:pt>
                <c:pt idx="380">
                  <c:v>44012</c:v>
                </c:pt>
                <c:pt idx="381">
                  <c:v>44013</c:v>
                </c:pt>
                <c:pt idx="382">
                  <c:v>44014</c:v>
                </c:pt>
                <c:pt idx="383">
                  <c:v>44015</c:v>
                </c:pt>
                <c:pt idx="384">
                  <c:v>44018</c:v>
                </c:pt>
                <c:pt idx="385">
                  <c:v>44019</c:v>
                </c:pt>
                <c:pt idx="386">
                  <c:v>44020</c:v>
                </c:pt>
                <c:pt idx="387">
                  <c:v>44021</c:v>
                </c:pt>
                <c:pt idx="388">
                  <c:v>44022</c:v>
                </c:pt>
                <c:pt idx="389">
                  <c:v>44025</c:v>
                </c:pt>
                <c:pt idx="390">
                  <c:v>44026</c:v>
                </c:pt>
                <c:pt idx="391">
                  <c:v>44027</c:v>
                </c:pt>
                <c:pt idx="392">
                  <c:v>44028</c:v>
                </c:pt>
                <c:pt idx="393">
                  <c:v>44029</c:v>
                </c:pt>
                <c:pt idx="394">
                  <c:v>44032</c:v>
                </c:pt>
                <c:pt idx="395">
                  <c:v>44033</c:v>
                </c:pt>
                <c:pt idx="396">
                  <c:v>44034</c:v>
                </c:pt>
                <c:pt idx="397">
                  <c:v>44035</c:v>
                </c:pt>
                <c:pt idx="398">
                  <c:v>44036</c:v>
                </c:pt>
                <c:pt idx="399">
                  <c:v>44039</c:v>
                </c:pt>
                <c:pt idx="400">
                  <c:v>44040</c:v>
                </c:pt>
                <c:pt idx="401">
                  <c:v>44041</c:v>
                </c:pt>
                <c:pt idx="402">
                  <c:v>44042</c:v>
                </c:pt>
                <c:pt idx="403">
                  <c:v>44043</c:v>
                </c:pt>
                <c:pt idx="404">
                  <c:v>44046</c:v>
                </c:pt>
                <c:pt idx="405">
                  <c:v>44047</c:v>
                </c:pt>
                <c:pt idx="406">
                  <c:v>44048</c:v>
                </c:pt>
                <c:pt idx="407">
                  <c:v>44049</c:v>
                </c:pt>
                <c:pt idx="408">
                  <c:v>44050</c:v>
                </c:pt>
                <c:pt idx="409">
                  <c:v>44053</c:v>
                </c:pt>
                <c:pt idx="410">
                  <c:v>44054</c:v>
                </c:pt>
                <c:pt idx="411">
                  <c:v>44055</c:v>
                </c:pt>
                <c:pt idx="412">
                  <c:v>44056</c:v>
                </c:pt>
                <c:pt idx="413">
                  <c:v>44057</c:v>
                </c:pt>
                <c:pt idx="414">
                  <c:v>44060</c:v>
                </c:pt>
                <c:pt idx="415">
                  <c:v>44061</c:v>
                </c:pt>
                <c:pt idx="416">
                  <c:v>44062</c:v>
                </c:pt>
                <c:pt idx="417">
                  <c:v>44063</c:v>
                </c:pt>
                <c:pt idx="418">
                  <c:v>44064</c:v>
                </c:pt>
                <c:pt idx="419">
                  <c:v>44067</c:v>
                </c:pt>
                <c:pt idx="420">
                  <c:v>44068</c:v>
                </c:pt>
                <c:pt idx="421">
                  <c:v>44069</c:v>
                </c:pt>
                <c:pt idx="422">
                  <c:v>44070</c:v>
                </c:pt>
                <c:pt idx="423">
                  <c:v>44071</c:v>
                </c:pt>
                <c:pt idx="424">
                  <c:v>44074</c:v>
                </c:pt>
                <c:pt idx="425">
                  <c:v>44075</c:v>
                </c:pt>
                <c:pt idx="426">
                  <c:v>44076</c:v>
                </c:pt>
                <c:pt idx="427">
                  <c:v>44077</c:v>
                </c:pt>
                <c:pt idx="428">
                  <c:v>44078</c:v>
                </c:pt>
                <c:pt idx="429">
                  <c:v>44081</c:v>
                </c:pt>
                <c:pt idx="430">
                  <c:v>44082</c:v>
                </c:pt>
                <c:pt idx="431">
                  <c:v>44083</c:v>
                </c:pt>
                <c:pt idx="432">
                  <c:v>44084</c:v>
                </c:pt>
                <c:pt idx="433">
                  <c:v>44085</c:v>
                </c:pt>
                <c:pt idx="434">
                  <c:v>44088</c:v>
                </c:pt>
                <c:pt idx="435">
                  <c:v>44089</c:v>
                </c:pt>
                <c:pt idx="436">
                  <c:v>44090</c:v>
                </c:pt>
                <c:pt idx="437">
                  <c:v>44091</c:v>
                </c:pt>
                <c:pt idx="438">
                  <c:v>44092</c:v>
                </c:pt>
                <c:pt idx="439">
                  <c:v>44095</c:v>
                </c:pt>
                <c:pt idx="440">
                  <c:v>44096</c:v>
                </c:pt>
                <c:pt idx="441">
                  <c:v>44097</c:v>
                </c:pt>
                <c:pt idx="442">
                  <c:v>44098</c:v>
                </c:pt>
                <c:pt idx="443">
                  <c:v>44099</c:v>
                </c:pt>
                <c:pt idx="444">
                  <c:v>44102</c:v>
                </c:pt>
                <c:pt idx="445">
                  <c:v>44103</c:v>
                </c:pt>
                <c:pt idx="446">
                  <c:v>44104</c:v>
                </c:pt>
                <c:pt idx="447">
                  <c:v>44105</c:v>
                </c:pt>
                <c:pt idx="448">
                  <c:v>44106</c:v>
                </c:pt>
                <c:pt idx="449">
                  <c:v>44109</c:v>
                </c:pt>
                <c:pt idx="450">
                  <c:v>44110</c:v>
                </c:pt>
                <c:pt idx="451">
                  <c:v>44111</c:v>
                </c:pt>
                <c:pt idx="452">
                  <c:v>44112</c:v>
                </c:pt>
                <c:pt idx="453">
                  <c:v>44113</c:v>
                </c:pt>
                <c:pt idx="454">
                  <c:v>44116</c:v>
                </c:pt>
                <c:pt idx="455">
                  <c:v>44117</c:v>
                </c:pt>
                <c:pt idx="456">
                  <c:v>44118</c:v>
                </c:pt>
                <c:pt idx="457">
                  <c:v>44119</c:v>
                </c:pt>
                <c:pt idx="458">
                  <c:v>44120</c:v>
                </c:pt>
                <c:pt idx="459">
                  <c:v>44123</c:v>
                </c:pt>
                <c:pt idx="460">
                  <c:v>44124</c:v>
                </c:pt>
                <c:pt idx="461">
                  <c:v>44125</c:v>
                </c:pt>
                <c:pt idx="462">
                  <c:v>44126</c:v>
                </c:pt>
                <c:pt idx="463">
                  <c:v>44127</c:v>
                </c:pt>
                <c:pt idx="464">
                  <c:v>44130</c:v>
                </c:pt>
                <c:pt idx="465">
                  <c:v>44131</c:v>
                </c:pt>
                <c:pt idx="466">
                  <c:v>44132</c:v>
                </c:pt>
                <c:pt idx="467">
                  <c:v>44133</c:v>
                </c:pt>
                <c:pt idx="468">
                  <c:v>44134</c:v>
                </c:pt>
                <c:pt idx="469">
                  <c:v>44137</c:v>
                </c:pt>
                <c:pt idx="470">
                  <c:v>44138</c:v>
                </c:pt>
                <c:pt idx="471">
                  <c:v>44139</c:v>
                </c:pt>
                <c:pt idx="472">
                  <c:v>44140</c:v>
                </c:pt>
                <c:pt idx="473">
                  <c:v>44141</c:v>
                </c:pt>
                <c:pt idx="474">
                  <c:v>44144</c:v>
                </c:pt>
                <c:pt idx="475">
                  <c:v>44145</c:v>
                </c:pt>
                <c:pt idx="476">
                  <c:v>44146</c:v>
                </c:pt>
                <c:pt idx="477">
                  <c:v>44147</c:v>
                </c:pt>
                <c:pt idx="478">
                  <c:v>44148</c:v>
                </c:pt>
                <c:pt idx="479">
                  <c:v>44151</c:v>
                </c:pt>
                <c:pt idx="480">
                  <c:v>44152</c:v>
                </c:pt>
                <c:pt idx="481">
                  <c:v>44153</c:v>
                </c:pt>
                <c:pt idx="482">
                  <c:v>44154</c:v>
                </c:pt>
                <c:pt idx="483">
                  <c:v>44155</c:v>
                </c:pt>
                <c:pt idx="484">
                  <c:v>44158</c:v>
                </c:pt>
                <c:pt idx="485">
                  <c:v>44159</c:v>
                </c:pt>
                <c:pt idx="486">
                  <c:v>44160</c:v>
                </c:pt>
                <c:pt idx="487">
                  <c:v>44161</c:v>
                </c:pt>
                <c:pt idx="488">
                  <c:v>44162</c:v>
                </c:pt>
                <c:pt idx="489">
                  <c:v>44165</c:v>
                </c:pt>
                <c:pt idx="490">
                  <c:v>44166</c:v>
                </c:pt>
                <c:pt idx="491">
                  <c:v>44167</c:v>
                </c:pt>
                <c:pt idx="492">
                  <c:v>44168</c:v>
                </c:pt>
                <c:pt idx="493">
                  <c:v>44169</c:v>
                </c:pt>
                <c:pt idx="494">
                  <c:v>44172</c:v>
                </c:pt>
                <c:pt idx="495">
                  <c:v>44173</c:v>
                </c:pt>
                <c:pt idx="496">
                  <c:v>44174</c:v>
                </c:pt>
                <c:pt idx="497">
                  <c:v>44175</c:v>
                </c:pt>
                <c:pt idx="498">
                  <c:v>44176</c:v>
                </c:pt>
                <c:pt idx="499">
                  <c:v>44179</c:v>
                </c:pt>
                <c:pt idx="500">
                  <c:v>44180</c:v>
                </c:pt>
                <c:pt idx="501">
                  <c:v>44181</c:v>
                </c:pt>
                <c:pt idx="502">
                  <c:v>44182</c:v>
                </c:pt>
                <c:pt idx="503">
                  <c:v>44183</c:v>
                </c:pt>
                <c:pt idx="504">
                  <c:v>44186</c:v>
                </c:pt>
                <c:pt idx="505">
                  <c:v>44187</c:v>
                </c:pt>
                <c:pt idx="506">
                  <c:v>44188</c:v>
                </c:pt>
                <c:pt idx="507">
                  <c:v>44189</c:v>
                </c:pt>
                <c:pt idx="508">
                  <c:v>44190</c:v>
                </c:pt>
                <c:pt idx="509">
                  <c:v>44193</c:v>
                </c:pt>
                <c:pt idx="510">
                  <c:v>44194</c:v>
                </c:pt>
                <c:pt idx="511">
                  <c:v>44195</c:v>
                </c:pt>
                <c:pt idx="512">
                  <c:v>44200</c:v>
                </c:pt>
                <c:pt idx="513">
                  <c:v>44201</c:v>
                </c:pt>
                <c:pt idx="514">
                  <c:v>44202</c:v>
                </c:pt>
                <c:pt idx="515">
                  <c:v>44203</c:v>
                </c:pt>
                <c:pt idx="516">
                  <c:v>44204</c:v>
                </c:pt>
                <c:pt idx="517">
                  <c:v>44207</c:v>
                </c:pt>
                <c:pt idx="518">
                  <c:v>44208</c:v>
                </c:pt>
                <c:pt idx="519">
                  <c:v>44209</c:v>
                </c:pt>
                <c:pt idx="520">
                  <c:v>44210</c:v>
                </c:pt>
                <c:pt idx="521">
                  <c:v>44211</c:v>
                </c:pt>
                <c:pt idx="522">
                  <c:v>44214</c:v>
                </c:pt>
                <c:pt idx="523">
                  <c:v>44215</c:v>
                </c:pt>
                <c:pt idx="524">
                  <c:v>44216</c:v>
                </c:pt>
                <c:pt idx="525">
                  <c:v>44217</c:v>
                </c:pt>
                <c:pt idx="526">
                  <c:v>44218</c:v>
                </c:pt>
                <c:pt idx="527">
                  <c:v>44221</c:v>
                </c:pt>
                <c:pt idx="528">
                  <c:v>44222</c:v>
                </c:pt>
                <c:pt idx="529">
                  <c:v>44223</c:v>
                </c:pt>
                <c:pt idx="530">
                  <c:v>44224</c:v>
                </c:pt>
                <c:pt idx="531">
                  <c:v>44225</c:v>
                </c:pt>
                <c:pt idx="532">
                  <c:v>44228</c:v>
                </c:pt>
                <c:pt idx="533">
                  <c:v>44229</c:v>
                </c:pt>
                <c:pt idx="534">
                  <c:v>44230</c:v>
                </c:pt>
                <c:pt idx="535">
                  <c:v>44231</c:v>
                </c:pt>
                <c:pt idx="536">
                  <c:v>44232</c:v>
                </c:pt>
                <c:pt idx="537">
                  <c:v>44235</c:v>
                </c:pt>
                <c:pt idx="538">
                  <c:v>44236</c:v>
                </c:pt>
                <c:pt idx="539">
                  <c:v>44237</c:v>
                </c:pt>
                <c:pt idx="540">
                  <c:v>44238</c:v>
                </c:pt>
                <c:pt idx="541">
                  <c:v>44239</c:v>
                </c:pt>
                <c:pt idx="542">
                  <c:v>44242</c:v>
                </c:pt>
                <c:pt idx="543">
                  <c:v>44243</c:v>
                </c:pt>
                <c:pt idx="544">
                  <c:v>44244</c:v>
                </c:pt>
                <c:pt idx="545">
                  <c:v>44245</c:v>
                </c:pt>
                <c:pt idx="546">
                  <c:v>44246</c:v>
                </c:pt>
                <c:pt idx="547">
                  <c:v>44249</c:v>
                </c:pt>
                <c:pt idx="548">
                  <c:v>44250</c:v>
                </c:pt>
                <c:pt idx="549">
                  <c:v>44251</c:v>
                </c:pt>
                <c:pt idx="550">
                  <c:v>44252</c:v>
                </c:pt>
                <c:pt idx="551">
                  <c:v>44253</c:v>
                </c:pt>
                <c:pt idx="552">
                  <c:v>44256</c:v>
                </c:pt>
                <c:pt idx="553">
                  <c:v>44257</c:v>
                </c:pt>
                <c:pt idx="554">
                  <c:v>44258</c:v>
                </c:pt>
                <c:pt idx="555">
                  <c:v>44259</c:v>
                </c:pt>
                <c:pt idx="556">
                  <c:v>44260</c:v>
                </c:pt>
                <c:pt idx="557">
                  <c:v>44263</c:v>
                </c:pt>
                <c:pt idx="558">
                  <c:v>44264</c:v>
                </c:pt>
                <c:pt idx="559">
                  <c:v>44265</c:v>
                </c:pt>
                <c:pt idx="560">
                  <c:v>44266</c:v>
                </c:pt>
                <c:pt idx="561">
                  <c:v>44263</c:v>
                </c:pt>
                <c:pt idx="562">
                  <c:v>44264</c:v>
                </c:pt>
                <c:pt idx="563">
                  <c:v>44265</c:v>
                </c:pt>
                <c:pt idx="564">
                  <c:v>44266</c:v>
                </c:pt>
                <c:pt idx="565">
                  <c:v>44267</c:v>
                </c:pt>
                <c:pt idx="566">
                  <c:v>44270</c:v>
                </c:pt>
                <c:pt idx="567">
                  <c:v>44271</c:v>
                </c:pt>
                <c:pt idx="568">
                  <c:v>44272</c:v>
                </c:pt>
                <c:pt idx="569">
                  <c:v>44273</c:v>
                </c:pt>
                <c:pt idx="570">
                  <c:v>44274</c:v>
                </c:pt>
                <c:pt idx="571">
                  <c:v>44277</c:v>
                </c:pt>
                <c:pt idx="572">
                  <c:v>44278</c:v>
                </c:pt>
                <c:pt idx="573">
                  <c:v>44279</c:v>
                </c:pt>
                <c:pt idx="574">
                  <c:v>44280</c:v>
                </c:pt>
                <c:pt idx="575">
                  <c:v>44281</c:v>
                </c:pt>
                <c:pt idx="576">
                  <c:v>44284</c:v>
                </c:pt>
                <c:pt idx="577">
                  <c:v>44285</c:v>
                </c:pt>
                <c:pt idx="578">
                  <c:v>44286</c:v>
                </c:pt>
                <c:pt idx="579">
                  <c:v>44287</c:v>
                </c:pt>
                <c:pt idx="580">
                  <c:v>44288</c:v>
                </c:pt>
                <c:pt idx="581">
                  <c:v>44292</c:v>
                </c:pt>
                <c:pt idx="582">
                  <c:v>44293</c:v>
                </c:pt>
                <c:pt idx="583">
                  <c:v>44294</c:v>
                </c:pt>
                <c:pt idx="584">
                  <c:v>44295</c:v>
                </c:pt>
                <c:pt idx="585">
                  <c:v>44298</c:v>
                </c:pt>
                <c:pt idx="586">
                  <c:v>44299</c:v>
                </c:pt>
                <c:pt idx="587">
                  <c:v>44300</c:v>
                </c:pt>
                <c:pt idx="588">
                  <c:v>44301</c:v>
                </c:pt>
                <c:pt idx="589">
                  <c:v>44302</c:v>
                </c:pt>
                <c:pt idx="590">
                  <c:v>44305</c:v>
                </c:pt>
                <c:pt idx="591">
                  <c:v>44306</c:v>
                </c:pt>
                <c:pt idx="592">
                  <c:v>44307</c:v>
                </c:pt>
                <c:pt idx="593">
                  <c:v>44308</c:v>
                </c:pt>
                <c:pt idx="594">
                  <c:v>44309</c:v>
                </c:pt>
                <c:pt idx="595">
                  <c:v>44312</c:v>
                </c:pt>
                <c:pt idx="596">
                  <c:v>44313</c:v>
                </c:pt>
                <c:pt idx="597">
                  <c:v>44314</c:v>
                </c:pt>
                <c:pt idx="598">
                  <c:v>44315</c:v>
                </c:pt>
                <c:pt idx="599">
                  <c:v>44316</c:v>
                </c:pt>
                <c:pt idx="600">
                  <c:v>44319</c:v>
                </c:pt>
                <c:pt idx="601">
                  <c:v>44320</c:v>
                </c:pt>
                <c:pt idx="602">
                  <c:v>44321</c:v>
                </c:pt>
                <c:pt idx="603">
                  <c:v>44322</c:v>
                </c:pt>
                <c:pt idx="604">
                  <c:v>44323</c:v>
                </c:pt>
                <c:pt idx="605">
                  <c:v>44326</c:v>
                </c:pt>
                <c:pt idx="606">
                  <c:v>44327</c:v>
                </c:pt>
                <c:pt idx="607">
                  <c:v>44328</c:v>
                </c:pt>
                <c:pt idx="608">
                  <c:v>44329</c:v>
                </c:pt>
                <c:pt idx="609">
                  <c:v>44330</c:v>
                </c:pt>
                <c:pt idx="610">
                  <c:v>44333</c:v>
                </c:pt>
                <c:pt idx="611">
                  <c:v>44334</c:v>
                </c:pt>
                <c:pt idx="612">
                  <c:v>44335</c:v>
                </c:pt>
                <c:pt idx="613">
                  <c:v>44336</c:v>
                </c:pt>
                <c:pt idx="614">
                  <c:v>44337</c:v>
                </c:pt>
                <c:pt idx="615">
                  <c:v>44340</c:v>
                </c:pt>
                <c:pt idx="616">
                  <c:v>44341</c:v>
                </c:pt>
                <c:pt idx="617">
                  <c:v>44342</c:v>
                </c:pt>
                <c:pt idx="618">
                  <c:v>44343</c:v>
                </c:pt>
                <c:pt idx="619">
                  <c:v>44344</c:v>
                </c:pt>
                <c:pt idx="620">
                  <c:v>44347</c:v>
                </c:pt>
                <c:pt idx="621">
                  <c:v>44348</c:v>
                </c:pt>
                <c:pt idx="622">
                  <c:v>44349</c:v>
                </c:pt>
                <c:pt idx="623">
                  <c:v>44350</c:v>
                </c:pt>
                <c:pt idx="624">
                  <c:v>44351</c:v>
                </c:pt>
                <c:pt idx="625">
                  <c:v>44354</c:v>
                </c:pt>
                <c:pt idx="626">
                  <c:v>44355</c:v>
                </c:pt>
                <c:pt idx="627">
                  <c:v>44356</c:v>
                </c:pt>
                <c:pt idx="628">
                  <c:v>44357</c:v>
                </c:pt>
                <c:pt idx="629">
                  <c:v>44358</c:v>
                </c:pt>
                <c:pt idx="630">
                  <c:v>44361</c:v>
                </c:pt>
                <c:pt idx="631">
                  <c:v>44362</c:v>
                </c:pt>
                <c:pt idx="632">
                  <c:v>44363</c:v>
                </c:pt>
                <c:pt idx="633">
                  <c:v>44364</c:v>
                </c:pt>
                <c:pt idx="634">
                  <c:v>44365</c:v>
                </c:pt>
                <c:pt idx="635">
                  <c:v>44368</c:v>
                </c:pt>
                <c:pt idx="636">
                  <c:v>44369</c:v>
                </c:pt>
                <c:pt idx="637">
                  <c:v>44370</c:v>
                </c:pt>
                <c:pt idx="638">
                  <c:v>44371</c:v>
                </c:pt>
                <c:pt idx="639">
                  <c:v>44372</c:v>
                </c:pt>
                <c:pt idx="640">
                  <c:v>44375</c:v>
                </c:pt>
                <c:pt idx="641">
                  <c:v>44376</c:v>
                </c:pt>
                <c:pt idx="642">
                  <c:v>44377</c:v>
                </c:pt>
                <c:pt idx="643">
                  <c:v>44378</c:v>
                </c:pt>
                <c:pt idx="644">
                  <c:v>44379</c:v>
                </c:pt>
                <c:pt idx="645">
                  <c:v>44382</c:v>
                </c:pt>
                <c:pt idx="646">
                  <c:v>44383</c:v>
                </c:pt>
                <c:pt idx="647">
                  <c:v>44384</c:v>
                </c:pt>
                <c:pt idx="648">
                  <c:v>44385</c:v>
                </c:pt>
                <c:pt idx="649">
                  <c:v>44386</c:v>
                </c:pt>
                <c:pt idx="650">
                  <c:v>44389</c:v>
                </c:pt>
                <c:pt idx="651">
                  <c:v>44390</c:v>
                </c:pt>
                <c:pt idx="652">
                  <c:v>44391</c:v>
                </c:pt>
                <c:pt idx="653">
                  <c:v>44392</c:v>
                </c:pt>
                <c:pt idx="654">
                  <c:v>44393</c:v>
                </c:pt>
                <c:pt idx="655">
                  <c:v>44396</c:v>
                </c:pt>
                <c:pt idx="656">
                  <c:v>44397</c:v>
                </c:pt>
                <c:pt idx="657">
                  <c:v>44398</c:v>
                </c:pt>
                <c:pt idx="658">
                  <c:v>44399</c:v>
                </c:pt>
                <c:pt idx="659">
                  <c:v>44400</c:v>
                </c:pt>
                <c:pt idx="660">
                  <c:v>44403</c:v>
                </c:pt>
                <c:pt idx="661">
                  <c:v>44404</c:v>
                </c:pt>
                <c:pt idx="662">
                  <c:v>44405</c:v>
                </c:pt>
                <c:pt idx="663">
                  <c:v>44406</c:v>
                </c:pt>
                <c:pt idx="664">
                  <c:v>44407</c:v>
                </c:pt>
                <c:pt idx="665">
                  <c:v>44410</c:v>
                </c:pt>
                <c:pt idx="666">
                  <c:v>44411</c:v>
                </c:pt>
                <c:pt idx="667">
                  <c:v>44412</c:v>
                </c:pt>
                <c:pt idx="668">
                  <c:v>44413</c:v>
                </c:pt>
                <c:pt idx="669">
                  <c:v>44414</c:v>
                </c:pt>
                <c:pt idx="670">
                  <c:v>44417</c:v>
                </c:pt>
                <c:pt idx="671">
                  <c:v>44418</c:v>
                </c:pt>
                <c:pt idx="672">
                  <c:v>44419</c:v>
                </c:pt>
                <c:pt idx="673">
                  <c:v>44420</c:v>
                </c:pt>
                <c:pt idx="674">
                  <c:v>44421</c:v>
                </c:pt>
                <c:pt idx="675">
                  <c:v>44424</c:v>
                </c:pt>
                <c:pt idx="676">
                  <c:v>44425</c:v>
                </c:pt>
                <c:pt idx="677">
                  <c:v>44426</c:v>
                </c:pt>
                <c:pt idx="678">
                  <c:v>44427</c:v>
                </c:pt>
                <c:pt idx="679">
                  <c:v>44428</c:v>
                </c:pt>
                <c:pt idx="680">
                  <c:v>44431</c:v>
                </c:pt>
                <c:pt idx="681">
                  <c:v>44432</c:v>
                </c:pt>
                <c:pt idx="682">
                  <c:v>44433</c:v>
                </c:pt>
                <c:pt idx="683">
                  <c:v>44434</c:v>
                </c:pt>
                <c:pt idx="684">
                  <c:v>44435</c:v>
                </c:pt>
                <c:pt idx="685">
                  <c:v>44438</c:v>
                </c:pt>
                <c:pt idx="686">
                  <c:v>44439</c:v>
                </c:pt>
                <c:pt idx="687">
                  <c:v>44440</c:v>
                </c:pt>
                <c:pt idx="688">
                  <c:v>44441</c:v>
                </c:pt>
                <c:pt idx="689">
                  <c:v>44442</c:v>
                </c:pt>
                <c:pt idx="690">
                  <c:v>44445</c:v>
                </c:pt>
                <c:pt idx="691">
                  <c:v>44446</c:v>
                </c:pt>
                <c:pt idx="692">
                  <c:v>44447</c:v>
                </c:pt>
                <c:pt idx="693">
                  <c:v>44448</c:v>
                </c:pt>
                <c:pt idx="694">
                  <c:v>44449</c:v>
                </c:pt>
                <c:pt idx="695">
                  <c:v>44452</c:v>
                </c:pt>
                <c:pt idx="696">
                  <c:v>44453</c:v>
                </c:pt>
                <c:pt idx="697">
                  <c:v>44454</c:v>
                </c:pt>
                <c:pt idx="698">
                  <c:v>44455</c:v>
                </c:pt>
                <c:pt idx="699">
                  <c:v>44456</c:v>
                </c:pt>
                <c:pt idx="700">
                  <c:v>44459</c:v>
                </c:pt>
                <c:pt idx="701">
                  <c:v>44460</c:v>
                </c:pt>
                <c:pt idx="702">
                  <c:v>44461</c:v>
                </c:pt>
                <c:pt idx="703">
                  <c:v>44462</c:v>
                </c:pt>
                <c:pt idx="704">
                  <c:v>44463</c:v>
                </c:pt>
                <c:pt idx="705">
                  <c:v>44466</c:v>
                </c:pt>
                <c:pt idx="706">
                  <c:v>44467</c:v>
                </c:pt>
                <c:pt idx="707">
                  <c:v>44468</c:v>
                </c:pt>
                <c:pt idx="708">
                  <c:v>44469</c:v>
                </c:pt>
                <c:pt idx="709">
                  <c:v>44470</c:v>
                </c:pt>
                <c:pt idx="710">
                  <c:v>44473</c:v>
                </c:pt>
                <c:pt idx="711">
                  <c:v>44474</c:v>
                </c:pt>
                <c:pt idx="712">
                  <c:v>44475</c:v>
                </c:pt>
                <c:pt idx="713">
                  <c:v>44476</c:v>
                </c:pt>
                <c:pt idx="714">
                  <c:v>44477</c:v>
                </c:pt>
                <c:pt idx="715">
                  <c:v>44480</c:v>
                </c:pt>
                <c:pt idx="716">
                  <c:v>44481</c:v>
                </c:pt>
                <c:pt idx="717">
                  <c:v>44482</c:v>
                </c:pt>
                <c:pt idx="718">
                  <c:v>44483</c:v>
                </c:pt>
                <c:pt idx="719">
                  <c:v>44484</c:v>
                </c:pt>
                <c:pt idx="720">
                  <c:v>44487</c:v>
                </c:pt>
                <c:pt idx="721">
                  <c:v>44488</c:v>
                </c:pt>
                <c:pt idx="722">
                  <c:v>44489</c:v>
                </c:pt>
                <c:pt idx="723">
                  <c:v>44490</c:v>
                </c:pt>
                <c:pt idx="724">
                  <c:v>44491</c:v>
                </c:pt>
                <c:pt idx="725">
                  <c:v>44494</c:v>
                </c:pt>
                <c:pt idx="726">
                  <c:v>44495</c:v>
                </c:pt>
                <c:pt idx="727">
                  <c:v>44496</c:v>
                </c:pt>
                <c:pt idx="728">
                  <c:v>44497</c:v>
                </c:pt>
                <c:pt idx="729">
                  <c:v>44498</c:v>
                </c:pt>
                <c:pt idx="730">
                  <c:v>44501</c:v>
                </c:pt>
                <c:pt idx="731">
                  <c:v>44502</c:v>
                </c:pt>
                <c:pt idx="732">
                  <c:v>44503</c:v>
                </c:pt>
                <c:pt idx="733">
                  <c:v>44504</c:v>
                </c:pt>
                <c:pt idx="734">
                  <c:v>44505</c:v>
                </c:pt>
                <c:pt idx="735">
                  <c:v>44508</c:v>
                </c:pt>
                <c:pt idx="736">
                  <c:v>44509</c:v>
                </c:pt>
                <c:pt idx="737">
                  <c:v>44510</c:v>
                </c:pt>
                <c:pt idx="738">
                  <c:v>44511</c:v>
                </c:pt>
                <c:pt idx="739">
                  <c:v>44512</c:v>
                </c:pt>
                <c:pt idx="740">
                  <c:v>44515</c:v>
                </c:pt>
                <c:pt idx="741">
                  <c:v>44516</c:v>
                </c:pt>
                <c:pt idx="742">
                  <c:v>44517</c:v>
                </c:pt>
                <c:pt idx="743">
                  <c:v>44518</c:v>
                </c:pt>
                <c:pt idx="744">
                  <c:v>44519</c:v>
                </c:pt>
                <c:pt idx="745">
                  <c:v>44522</c:v>
                </c:pt>
                <c:pt idx="746">
                  <c:v>44523</c:v>
                </c:pt>
                <c:pt idx="747">
                  <c:v>44524</c:v>
                </c:pt>
                <c:pt idx="748">
                  <c:v>44525</c:v>
                </c:pt>
                <c:pt idx="749">
                  <c:v>44526</c:v>
                </c:pt>
                <c:pt idx="750">
                  <c:v>44529</c:v>
                </c:pt>
                <c:pt idx="751">
                  <c:v>44530</c:v>
                </c:pt>
                <c:pt idx="752">
                  <c:v>44531</c:v>
                </c:pt>
                <c:pt idx="753">
                  <c:v>44532</c:v>
                </c:pt>
                <c:pt idx="754">
                  <c:v>44533</c:v>
                </c:pt>
                <c:pt idx="755">
                  <c:v>44536</c:v>
                </c:pt>
                <c:pt idx="756">
                  <c:v>44537</c:v>
                </c:pt>
                <c:pt idx="757">
                  <c:v>44538</c:v>
                </c:pt>
                <c:pt idx="758">
                  <c:v>44539</c:v>
                </c:pt>
                <c:pt idx="759">
                  <c:v>44540</c:v>
                </c:pt>
                <c:pt idx="760">
                  <c:v>44543</c:v>
                </c:pt>
                <c:pt idx="761">
                  <c:v>44544</c:v>
                </c:pt>
                <c:pt idx="762">
                  <c:v>44545</c:v>
                </c:pt>
                <c:pt idx="763">
                  <c:v>44546</c:v>
                </c:pt>
                <c:pt idx="764">
                  <c:v>44547</c:v>
                </c:pt>
                <c:pt idx="765">
                  <c:v>44550</c:v>
                </c:pt>
                <c:pt idx="766">
                  <c:v>44551</c:v>
                </c:pt>
                <c:pt idx="767">
                  <c:v>44552</c:v>
                </c:pt>
                <c:pt idx="768">
                  <c:v>44553</c:v>
                </c:pt>
                <c:pt idx="769">
                  <c:v>44554</c:v>
                </c:pt>
                <c:pt idx="770">
                  <c:v>44557</c:v>
                </c:pt>
                <c:pt idx="771">
                  <c:v>44558</c:v>
                </c:pt>
                <c:pt idx="772">
                  <c:v>44559</c:v>
                </c:pt>
                <c:pt idx="773">
                  <c:v>44560</c:v>
                </c:pt>
                <c:pt idx="774">
                  <c:v>44561</c:v>
                </c:pt>
                <c:pt idx="775">
                  <c:v>44564</c:v>
                </c:pt>
                <c:pt idx="776">
                  <c:v>44565</c:v>
                </c:pt>
                <c:pt idx="777">
                  <c:v>44566</c:v>
                </c:pt>
                <c:pt idx="778">
                  <c:v>44567</c:v>
                </c:pt>
                <c:pt idx="779">
                  <c:v>44568</c:v>
                </c:pt>
                <c:pt idx="780">
                  <c:v>44571</c:v>
                </c:pt>
                <c:pt idx="781">
                  <c:v>44572</c:v>
                </c:pt>
                <c:pt idx="782">
                  <c:v>44573</c:v>
                </c:pt>
                <c:pt idx="783">
                  <c:v>44574</c:v>
                </c:pt>
                <c:pt idx="784">
                  <c:v>44575</c:v>
                </c:pt>
                <c:pt idx="785">
                  <c:v>44578</c:v>
                </c:pt>
                <c:pt idx="786">
                  <c:v>44579</c:v>
                </c:pt>
                <c:pt idx="787">
                  <c:v>44580</c:v>
                </c:pt>
                <c:pt idx="788">
                  <c:v>44581</c:v>
                </c:pt>
                <c:pt idx="789">
                  <c:v>44582</c:v>
                </c:pt>
                <c:pt idx="790">
                  <c:v>44585</c:v>
                </c:pt>
                <c:pt idx="791">
                  <c:v>44586</c:v>
                </c:pt>
                <c:pt idx="792">
                  <c:v>44587</c:v>
                </c:pt>
                <c:pt idx="793">
                  <c:v>44588</c:v>
                </c:pt>
                <c:pt idx="794">
                  <c:v>44589</c:v>
                </c:pt>
                <c:pt idx="795">
                  <c:v>44592</c:v>
                </c:pt>
                <c:pt idx="796">
                  <c:v>44593</c:v>
                </c:pt>
                <c:pt idx="797">
                  <c:v>44594</c:v>
                </c:pt>
                <c:pt idx="798">
                  <c:v>44595</c:v>
                </c:pt>
                <c:pt idx="799">
                  <c:v>44596</c:v>
                </c:pt>
                <c:pt idx="800">
                  <c:v>44599</c:v>
                </c:pt>
                <c:pt idx="801">
                  <c:v>44600</c:v>
                </c:pt>
                <c:pt idx="802">
                  <c:v>44601</c:v>
                </c:pt>
                <c:pt idx="803">
                  <c:v>44602</c:v>
                </c:pt>
                <c:pt idx="804">
                  <c:v>44603</c:v>
                </c:pt>
                <c:pt idx="805">
                  <c:v>44606</c:v>
                </c:pt>
                <c:pt idx="806">
                  <c:v>44607</c:v>
                </c:pt>
                <c:pt idx="807">
                  <c:v>44608</c:v>
                </c:pt>
                <c:pt idx="808">
                  <c:v>44609</c:v>
                </c:pt>
                <c:pt idx="809">
                  <c:v>44610</c:v>
                </c:pt>
                <c:pt idx="810">
                  <c:v>44613</c:v>
                </c:pt>
                <c:pt idx="811">
                  <c:v>44614</c:v>
                </c:pt>
                <c:pt idx="812">
                  <c:v>44615</c:v>
                </c:pt>
                <c:pt idx="813">
                  <c:v>44616</c:v>
                </c:pt>
                <c:pt idx="814">
                  <c:v>44617</c:v>
                </c:pt>
                <c:pt idx="815">
                  <c:v>44620</c:v>
                </c:pt>
                <c:pt idx="816">
                  <c:v>44621</c:v>
                </c:pt>
                <c:pt idx="817">
                  <c:v>44622</c:v>
                </c:pt>
                <c:pt idx="818">
                  <c:v>44623</c:v>
                </c:pt>
                <c:pt idx="819">
                  <c:v>44624</c:v>
                </c:pt>
                <c:pt idx="820">
                  <c:v>44627</c:v>
                </c:pt>
                <c:pt idx="821">
                  <c:v>44628</c:v>
                </c:pt>
                <c:pt idx="822">
                  <c:v>44629</c:v>
                </c:pt>
                <c:pt idx="823">
                  <c:v>44630</c:v>
                </c:pt>
                <c:pt idx="824">
                  <c:v>44631</c:v>
                </c:pt>
                <c:pt idx="825">
                  <c:v>44634</c:v>
                </c:pt>
                <c:pt idx="826">
                  <c:v>44635</c:v>
                </c:pt>
                <c:pt idx="827">
                  <c:v>44636</c:v>
                </c:pt>
                <c:pt idx="828">
                  <c:v>44637</c:v>
                </c:pt>
                <c:pt idx="829">
                  <c:v>44638</c:v>
                </c:pt>
                <c:pt idx="830">
                  <c:v>44641</c:v>
                </c:pt>
                <c:pt idx="831">
                  <c:v>44642</c:v>
                </c:pt>
                <c:pt idx="832">
                  <c:v>44643</c:v>
                </c:pt>
                <c:pt idx="833">
                  <c:v>44644</c:v>
                </c:pt>
                <c:pt idx="834">
                  <c:v>44645</c:v>
                </c:pt>
                <c:pt idx="835">
                  <c:v>44648</c:v>
                </c:pt>
                <c:pt idx="836">
                  <c:v>44649</c:v>
                </c:pt>
                <c:pt idx="837">
                  <c:v>44650</c:v>
                </c:pt>
                <c:pt idx="838">
                  <c:v>44651</c:v>
                </c:pt>
                <c:pt idx="839">
                  <c:v>44652</c:v>
                </c:pt>
                <c:pt idx="840">
                  <c:v>44655</c:v>
                </c:pt>
                <c:pt idx="841">
                  <c:v>44656</c:v>
                </c:pt>
                <c:pt idx="842">
                  <c:v>44657</c:v>
                </c:pt>
                <c:pt idx="843">
                  <c:v>44658</c:v>
                </c:pt>
                <c:pt idx="844">
                  <c:v>44659</c:v>
                </c:pt>
                <c:pt idx="845">
                  <c:v>44662</c:v>
                </c:pt>
                <c:pt idx="846">
                  <c:v>44663</c:v>
                </c:pt>
                <c:pt idx="847">
                  <c:v>44664</c:v>
                </c:pt>
                <c:pt idx="848">
                  <c:v>44665</c:v>
                </c:pt>
                <c:pt idx="849">
                  <c:v>44666</c:v>
                </c:pt>
                <c:pt idx="850">
                  <c:v>44670</c:v>
                </c:pt>
                <c:pt idx="851">
                  <c:v>44671</c:v>
                </c:pt>
                <c:pt idx="852">
                  <c:v>44672</c:v>
                </c:pt>
                <c:pt idx="853">
                  <c:v>44673</c:v>
                </c:pt>
                <c:pt idx="854">
                  <c:v>44676</c:v>
                </c:pt>
                <c:pt idx="855">
                  <c:v>44677</c:v>
                </c:pt>
                <c:pt idx="856">
                  <c:v>44678</c:v>
                </c:pt>
                <c:pt idx="857">
                  <c:v>44679</c:v>
                </c:pt>
                <c:pt idx="858">
                  <c:v>44680</c:v>
                </c:pt>
                <c:pt idx="859">
                  <c:v>44683</c:v>
                </c:pt>
                <c:pt idx="860">
                  <c:v>44684</c:v>
                </c:pt>
                <c:pt idx="861">
                  <c:v>44685</c:v>
                </c:pt>
                <c:pt idx="862">
                  <c:v>44686</c:v>
                </c:pt>
                <c:pt idx="863">
                  <c:v>44687</c:v>
                </c:pt>
                <c:pt idx="864">
                  <c:v>44690</c:v>
                </c:pt>
                <c:pt idx="865">
                  <c:v>44691</c:v>
                </c:pt>
                <c:pt idx="866">
                  <c:v>44692</c:v>
                </c:pt>
                <c:pt idx="867">
                  <c:v>44693</c:v>
                </c:pt>
                <c:pt idx="868">
                  <c:v>44694</c:v>
                </c:pt>
                <c:pt idx="869">
                  <c:v>44697</c:v>
                </c:pt>
                <c:pt idx="870">
                  <c:v>44698</c:v>
                </c:pt>
                <c:pt idx="871">
                  <c:v>44699</c:v>
                </c:pt>
                <c:pt idx="872">
                  <c:v>44700</c:v>
                </c:pt>
                <c:pt idx="873">
                  <c:v>44701</c:v>
                </c:pt>
                <c:pt idx="874">
                  <c:v>44704</c:v>
                </c:pt>
                <c:pt idx="875">
                  <c:v>44705</c:v>
                </c:pt>
                <c:pt idx="876">
                  <c:v>44706</c:v>
                </c:pt>
                <c:pt idx="877">
                  <c:v>44707</c:v>
                </c:pt>
                <c:pt idx="878">
                  <c:v>44708</c:v>
                </c:pt>
                <c:pt idx="879">
                  <c:v>44711</c:v>
                </c:pt>
                <c:pt idx="880">
                  <c:v>44712</c:v>
                </c:pt>
                <c:pt idx="881">
                  <c:v>44713</c:v>
                </c:pt>
                <c:pt idx="882">
                  <c:v>44714</c:v>
                </c:pt>
                <c:pt idx="883">
                  <c:v>44715</c:v>
                </c:pt>
                <c:pt idx="884">
                  <c:v>44718</c:v>
                </c:pt>
                <c:pt idx="885">
                  <c:v>44719</c:v>
                </c:pt>
                <c:pt idx="886">
                  <c:v>44720</c:v>
                </c:pt>
                <c:pt idx="887">
                  <c:v>44721</c:v>
                </c:pt>
                <c:pt idx="888">
                  <c:v>44722</c:v>
                </c:pt>
                <c:pt idx="889">
                  <c:v>44725</c:v>
                </c:pt>
                <c:pt idx="890">
                  <c:v>44726</c:v>
                </c:pt>
                <c:pt idx="891">
                  <c:v>44727</c:v>
                </c:pt>
                <c:pt idx="892">
                  <c:v>44728</c:v>
                </c:pt>
                <c:pt idx="893">
                  <c:v>44729</c:v>
                </c:pt>
                <c:pt idx="894">
                  <c:v>44732</c:v>
                </c:pt>
                <c:pt idx="895">
                  <c:v>44733</c:v>
                </c:pt>
                <c:pt idx="896">
                  <c:v>44734</c:v>
                </c:pt>
                <c:pt idx="897">
                  <c:v>44735</c:v>
                </c:pt>
                <c:pt idx="898">
                  <c:v>44736</c:v>
                </c:pt>
                <c:pt idx="899">
                  <c:v>44739</c:v>
                </c:pt>
                <c:pt idx="900">
                  <c:v>44740</c:v>
                </c:pt>
                <c:pt idx="901">
                  <c:v>44741</c:v>
                </c:pt>
                <c:pt idx="902">
                  <c:v>44742</c:v>
                </c:pt>
                <c:pt idx="903">
                  <c:v>44743</c:v>
                </c:pt>
                <c:pt idx="904">
                  <c:v>44746</c:v>
                </c:pt>
                <c:pt idx="905">
                  <c:v>44747</c:v>
                </c:pt>
                <c:pt idx="906">
                  <c:v>44748</c:v>
                </c:pt>
                <c:pt idx="907">
                  <c:v>44749</c:v>
                </c:pt>
                <c:pt idx="908">
                  <c:v>44750</c:v>
                </c:pt>
                <c:pt idx="909">
                  <c:v>44753</c:v>
                </c:pt>
                <c:pt idx="910">
                  <c:v>44754</c:v>
                </c:pt>
                <c:pt idx="911">
                  <c:v>44755</c:v>
                </c:pt>
                <c:pt idx="912">
                  <c:v>44756</c:v>
                </c:pt>
                <c:pt idx="913">
                  <c:v>44757</c:v>
                </c:pt>
                <c:pt idx="914">
                  <c:v>44760</c:v>
                </c:pt>
                <c:pt idx="915">
                  <c:v>44761</c:v>
                </c:pt>
                <c:pt idx="916">
                  <c:v>44762</c:v>
                </c:pt>
                <c:pt idx="917">
                  <c:v>44763</c:v>
                </c:pt>
                <c:pt idx="918">
                  <c:v>44764</c:v>
                </c:pt>
                <c:pt idx="919">
                  <c:v>44767</c:v>
                </c:pt>
                <c:pt idx="920">
                  <c:v>44768</c:v>
                </c:pt>
                <c:pt idx="921">
                  <c:v>44769</c:v>
                </c:pt>
                <c:pt idx="922">
                  <c:v>44770</c:v>
                </c:pt>
                <c:pt idx="923">
                  <c:v>44771</c:v>
                </c:pt>
                <c:pt idx="924">
                  <c:v>44774</c:v>
                </c:pt>
                <c:pt idx="925">
                  <c:v>44775</c:v>
                </c:pt>
                <c:pt idx="926">
                  <c:v>44776</c:v>
                </c:pt>
                <c:pt idx="927">
                  <c:v>44777</c:v>
                </c:pt>
                <c:pt idx="928">
                  <c:v>44778</c:v>
                </c:pt>
                <c:pt idx="929">
                  <c:v>44781</c:v>
                </c:pt>
                <c:pt idx="930">
                  <c:v>44782</c:v>
                </c:pt>
                <c:pt idx="931">
                  <c:v>44783</c:v>
                </c:pt>
                <c:pt idx="932">
                  <c:v>44784</c:v>
                </c:pt>
                <c:pt idx="933">
                  <c:v>44785</c:v>
                </c:pt>
                <c:pt idx="934">
                  <c:v>44788</c:v>
                </c:pt>
                <c:pt idx="935">
                  <c:v>44789</c:v>
                </c:pt>
                <c:pt idx="936">
                  <c:v>44790</c:v>
                </c:pt>
                <c:pt idx="937">
                  <c:v>44791</c:v>
                </c:pt>
                <c:pt idx="938">
                  <c:v>44792</c:v>
                </c:pt>
                <c:pt idx="939">
                  <c:v>44795</c:v>
                </c:pt>
                <c:pt idx="940">
                  <c:v>44789</c:v>
                </c:pt>
                <c:pt idx="941">
                  <c:v>44790</c:v>
                </c:pt>
                <c:pt idx="942">
                  <c:v>44791</c:v>
                </c:pt>
                <c:pt idx="943">
                  <c:v>44792</c:v>
                </c:pt>
                <c:pt idx="944">
                  <c:v>44795</c:v>
                </c:pt>
                <c:pt idx="945">
                  <c:v>44796</c:v>
                </c:pt>
                <c:pt idx="946">
                  <c:v>44797</c:v>
                </c:pt>
                <c:pt idx="947">
                  <c:v>44798</c:v>
                </c:pt>
                <c:pt idx="948">
                  <c:v>44799</c:v>
                </c:pt>
                <c:pt idx="949">
                  <c:v>44802</c:v>
                </c:pt>
                <c:pt idx="950">
                  <c:v>44803</c:v>
                </c:pt>
                <c:pt idx="951">
                  <c:v>44804</c:v>
                </c:pt>
                <c:pt idx="952">
                  <c:v>44805</c:v>
                </c:pt>
                <c:pt idx="953">
                  <c:v>44806</c:v>
                </c:pt>
                <c:pt idx="954">
                  <c:v>44809</c:v>
                </c:pt>
                <c:pt idx="955">
                  <c:v>44810</c:v>
                </c:pt>
                <c:pt idx="956">
                  <c:v>44811</c:v>
                </c:pt>
                <c:pt idx="957">
                  <c:v>44812</c:v>
                </c:pt>
                <c:pt idx="958">
                  <c:v>44813</c:v>
                </c:pt>
                <c:pt idx="959">
                  <c:v>44816</c:v>
                </c:pt>
                <c:pt idx="960">
                  <c:v>44817</c:v>
                </c:pt>
                <c:pt idx="961">
                  <c:v>44818</c:v>
                </c:pt>
                <c:pt idx="962">
                  <c:v>44819</c:v>
                </c:pt>
                <c:pt idx="963">
                  <c:v>44820</c:v>
                </c:pt>
                <c:pt idx="964">
                  <c:v>44823</c:v>
                </c:pt>
                <c:pt idx="965">
                  <c:v>44824</c:v>
                </c:pt>
                <c:pt idx="966">
                  <c:v>44825</c:v>
                </c:pt>
                <c:pt idx="967">
                  <c:v>44826</c:v>
                </c:pt>
                <c:pt idx="968">
                  <c:v>44827</c:v>
                </c:pt>
                <c:pt idx="969">
                  <c:v>44830</c:v>
                </c:pt>
                <c:pt idx="970">
                  <c:v>44831</c:v>
                </c:pt>
                <c:pt idx="971">
                  <c:v>44832</c:v>
                </c:pt>
                <c:pt idx="972">
                  <c:v>44833</c:v>
                </c:pt>
                <c:pt idx="973">
                  <c:v>44834</c:v>
                </c:pt>
                <c:pt idx="974">
                  <c:v>44837</c:v>
                </c:pt>
                <c:pt idx="975">
                  <c:v>44838</c:v>
                </c:pt>
                <c:pt idx="976">
                  <c:v>44839</c:v>
                </c:pt>
                <c:pt idx="977">
                  <c:v>44840</c:v>
                </c:pt>
                <c:pt idx="978">
                  <c:v>44841</c:v>
                </c:pt>
                <c:pt idx="979">
                  <c:v>44844</c:v>
                </c:pt>
                <c:pt idx="980">
                  <c:v>44845</c:v>
                </c:pt>
                <c:pt idx="981">
                  <c:v>44846</c:v>
                </c:pt>
                <c:pt idx="982">
                  <c:v>44847</c:v>
                </c:pt>
                <c:pt idx="983">
                  <c:v>44848</c:v>
                </c:pt>
                <c:pt idx="984">
                  <c:v>44851</c:v>
                </c:pt>
                <c:pt idx="985">
                  <c:v>44852</c:v>
                </c:pt>
                <c:pt idx="986">
                  <c:v>44853</c:v>
                </c:pt>
                <c:pt idx="987">
                  <c:v>44854</c:v>
                </c:pt>
                <c:pt idx="988">
                  <c:v>44855</c:v>
                </c:pt>
                <c:pt idx="989">
                  <c:v>44858</c:v>
                </c:pt>
                <c:pt idx="990">
                  <c:v>44859</c:v>
                </c:pt>
                <c:pt idx="991">
                  <c:v>44860</c:v>
                </c:pt>
                <c:pt idx="992">
                  <c:v>44861</c:v>
                </c:pt>
                <c:pt idx="993">
                  <c:v>44862</c:v>
                </c:pt>
                <c:pt idx="994">
                  <c:v>44865</c:v>
                </c:pt>
                <c:pt idx="995">
                  <c:v>44866</c:v>
                </c:pt>
                <c:pt idx="996">
                  <c:v>44867</c:v>
                </c:pt>
                <c:pt idx="997">
                  <c:v>44868</c:v>
                </c:pt>
                <c:pt idx="998">
                  <c:v>44869</c:v>
                </c:pt>
                <c:pt idx="999">
                  <c:v>44872</c:v>
                </c:pt>
                <c:pt idx="1000">
                  <c:v>44873</c:v>
                </c:pt>
                <c:pt idx="1001">
                  <c:v>44874</c:v>
                </c:pt>
                <c:pt idx="1002">
                  <c:v>44875</c:v>
                </c:pt>
                <c:pt idx="1003">
                  <c:v>44876</c:v>
                </c:pt>
                <c:pt idx="1004">
                  <c:v>44879</c:v>
                </c:pt>
                <c:pt idx="1005">
                  <c:v>44880</c:v>
                </c:pt>
                <c:pt idx="1006">
                  <c:v>44881</c:v>
                </c:pt>
                <c:pt idx="1007">
                  <c:v>44882</c:v>
                </c:pt>
                <c:pt idx="1008">
                  <c:v>44883</c:v>
                </c:pt>
                <c:pt idx="1009">
                  <c:v>44886</c:v>
                </c:pt>
                <c:pt idx="1010">
                  <c:v>44887</c:v>
                </c:pt>
                <c:pt idx="1011">
                  <c:v>44888</c:v>
                </c:pt>
                <c:pt idx="1012">
                  <c:v>44889</c:v>
                </c:pt>
                <c:pt idx="1013">
                  <c:v>44890</c:v>
                </c:pt>
                <c:pt idx="1014">
                  <c:v>44893</c:v>
                </c:pt>
                <c:pt idx="1015">
                  <c:v>44894</c:v>
                </c:pt>
                <c:pt idx="1016">
                  <c:v>44895</c:v>
                </c:pt>
                <c:pt idx="1017">
                  <c:v>44896</c:v>
                </c:pt>
                <c:pt idx="1018">
                  <c:v>44897</c:v>
                </c:pt>
                <c:pt idx="1019">
                  <c:v>44900</c:v>
                </c:pt>
                <c:pt idx="1020">
                  <c:v>44901</c:v>
                </c:pt>
                <c:pt idx="1021">
                  <c:v>44902</c:v>
                </c:pt>
                <c:pt idx="1022">
                  <c:v>44903</c:v>
                </c:pt>
                <c:pt idx="1023">
                  <c:v>44904</c:v>
                </c:pt>
                <c:pt idx="1024">
                  <c:v>44907</c:v>
                </c:pt>
                <c:pt idx="1025">
                  <c:v>44908</c:v>
                </c:pt>
                <c:pt idx="1026">
                  <c:v>44909</c:v>
                </c:pt>
                <c:pt idx="1027">
                  <c:v>44910</c:v>
                </c:pt>
                <c:pt idx="1028">
                  <c:v>44911</c:v>
                </c:pt>
                <c:pt idx="1029">
                  <c:v>44914</c:v>
                </c:pt>
                <c:pt idx="1030">
                  <c:v>44915</c:v>
                </c:pt>
                <c:pt idx="1031">
                  <c:v>44916</c:v>
                </c:pt>
                <c:pt idx="1032">
                  <c:v>44917</c:v>
                </c:pt>
                <c:pt idx="1033">
                  <c:v>44918</c:v>
                </c:pt>
                <c:pt idx="1034">
                  <c:v>44922</c:v>
                </c:pt>
                <c:pt idx="1035">
                  <c:v>44923</c:v>
                </c:pt>
                <c:pt idx="1036">
                  <c:v>44924</c:v>
                </c:pt>
                <c:pt idx="1037">
                  <c:v>44925</c:v>
                </c:pt>
                <c:pt idx="1038">
                  <c:v>44928</c:v>
                </c:pt>
                <c:pt idx="1039">
                  <c:v>44929</c:v>
                </c:pt>
                <c:pt idx="1040">
                  <c:v>44930</c:v>
                </c:pt>
                <c:pt idx="1041">
                  <c:v>44931</c:v>
                </c:pt>
                <c:pt idx="1042">
                  <c:v>44932</c:v>
                </c:pt>
                <c:pt idx="1043">
                  <c:v>44935</c:v>
                </c:pt>
                <c:pt idx="1044">
                  <c:v>44936</c:v>
                </c:pt>
                <c:pt idx="1045">
                  <c:v>44937</c:v>
                </c:pt>
                <c:pt idx="1046">
                  <c:v>44938</c:v>
                </c:pt>
                <c:pt idx="1047">
                  <c:v>44939</c:v>
                </c:pt>
                <c:pt idx="1048">
                  <c:v>44942</c:v>
                </c:pt>
                <c:pt idx="1049">
                  <c:v>44943</c:v>
                </c:pt>
                <c:pt idx="1050">
                  <c:v>44944</c:v>
                </c:pt>
                <c:pt idx="1051">
                  <c:v>44945</c:v>
                </c:pt>
                <c:pt idx="1052">
                  <c:v>44946</c:v>
                </c:pt>
                <c:pt idx="1053">
                  <c:v>44949</c:v>
                </c:pt>
                <c:pt idx="1054">
                  <c:v>44950</c:v>
                </c:pt>
                <c:pt idx="1055">
                  <c:v>44951</c:v>
                </c:pt>
                <c:pt idx="1056">
                  <c:v>44952</c:v>
                </c:pt>
                <c:pt idx="1057">
                  <c:v>44953</c:v>
                </c:pt>
                <c:pt idx="1058">
                  <c:v>44956</c:v>
                </c:pt>
                <c:pt idx="1059">
                  <c:v>44957</c:v>
                </c:pt>
                <c:pt idx="1060">
                  <c:v>44958</c:v>
                </c:pt>
                <c:pt idx="1061">
                  <c:v>44959</c:v>
                </c:pt>
                <c:pt idx="1062">
                  <c:v>44960</c:v>
                </c:pt>
                <c:pt idx="1063">
                  <c:v>44963</c:v>
                </c:pt>
                <c:pt idx="1064">
                  <c:v>44964</c:v>
                </c:pt>
                <c:pt idx="1065">
                  <c:v>44965</c:v>
                </c:pt>
                <c:pt idx="1066">
                  <c:v>44966</c:v>
                </c:pt>
                <c:pt idx="1067">
                  <c:v>44967</c:v>
                </c:pt>
                <c:pt idx="1068">
                  <c:v>44970</c:v>
                </c:pt>
                <c:pt idx="1069">
                  <c:v>44971</c:v>
                </c:pt>
                <c:pt idx="1070">
                  <c:v>44972</c:v>
                </c:pt>
                <c:pt idx="1071">
                  <c:v>44973</c:v>
                </c:pt>
                <c:pt idx="1072">
                  <c:v>44974</c:v>
                </c:pt>
                <c:pt idx="1073">
                  <c:v>44977</c:v>
                </c:pt>
                <c:pt idx="1074">
                  <c:v>44978</c:v>
                </c:pt>
                <c:pt idx="1075">
                  <c:v>44979</c:v>
                </c:pt>
                <c:pt idx="1076">
                  <c:v>44980</c:v>
                </c:pt>
                <c:pt idx="1077">
                  <c:v>44981</c:v>
                </c:pt>
                <c:pt idx="1078">
                  <c:v>44984</c:v>
                </c:pt>
                <c:pt idx="1079">
                  <c:v>44985</c:v>
                </c:pt>
                <c:pt idx="1080">
                  <c:v>44986</c:v>
                </c:pt>
                <c:pt idx="1081">
                  <c:v>44987</c:v>
                </c:pt>
                <c:pt idx="1082">
                  <c:v>44988</c:v>
                </c:pt>
                <c:pt idx="1083">
                  <c:v>44991</c:v>
                </c:pt>
                <c:pt idx="1084">
                  <c:v>44992</c:v>
                </c:pt>
                <c:pt idx="1085">
                  <c:v>44993</c:v>
                </c:pt>
                <c:pt idx="1086">
                  <c:v>44994</c:v>
                </c:pt>
                <c:pt idx="1087">
                  <c:v>44995</c:v>
                </c:pt>
                <c:pt idx="1088">
                  <c:v>44998</c:v>
                </c:pt>
                <c:pt idx="1089">
                  <c:v>44999</c:v>
                </c:pt>
                <c:pt idx="1090">
                  <c:v>45000</c:v>
                </c:pt>
                <c:pt idx="1091">
                  <c:v>45001</c:v>
                </c:pt>
                <c:pt idx="1092">
                  <c:v>45002</c:v>
                </c:pt>
                <c:pt idx="1093">
                  <c:v>45005</c:v>
                </c:pt>
                <c:pt idx="1094">
                  <c:v>45006</c:v>
                </c:pt>
                <c:pt idx="1095">
                  <c:v>45007</c:v>
                </c:pt>
                <c:pt idx="1096">
                  <c:v>45008</c:v>
                </c:pt>
                <c:pt idx="1097">
                  <c:v>45009</c:v>
                </c:pt>
                <c:pt idx="1098">
                  <c:v>45012</c:v>
                </c:pt>
                <c:pt idx="1099">
                  <c:v>45013</c:v>
                </c:pt>
                <c:pt idx="1100">
                  <c:v>45014</c:v>
                </c:pt>
                <c:pt idx="1101">
                  <c:v>45015</c:v>
                </c:pt>
                <c:pt idx="1102">
                  <c:v>45016</c:v>
                </c:pt>
                <c:pt idx="1103">
                  <c:v>45019</c:v>
                </c:pt>
                <c:pt idx="1104">
                  <c:v>45020</c:v>
                </c:pt>
                <c:pt idx="1105">
                  <c:v>45021</c:v>
                </c:pt>
                <c:pt idx="1106">
                  <c:v>45022</c:v>
                </c:pt>
                <c:pt idx="1107">
                  <c:v>45027</c:v>
                </c:pt>
                <c:pt idx="1108">
                  <c:v>45028</c:v>
                </c:pt>
                <c:pt idx="1109">
                  <c:v>45029</c:v>
                </c:pt>
                <c:pt idx="1110">
                  <c:v>45030</c:v>
                </c:pt>
                <c:pt idx="1111">
                  <c:v>45033</c:v>
                </c:pt>
                <c:pt idx="1112">
                  <c:v>45034</c:v>
                </c:pt>
                <c:pt idx="1113">
                  <c:v>45035</c:v>
                </c:pt>
                <c:pt idx="1114">
                  <c:v>45036</c:v>
                </c:pt>
                <c:pt idx="1115">
                  <c:v>45037</c:v>
                </c:pt>
                <c:pt idx="1116">
                  <c:v>45040</c:v>
                </c:pt>
                <c:pt idx="1117">
                  <c:v>45041</c:v>
                </c:pt>
                <c:pt idx="1118">
                  <c:v>45042</c:v>
                </c:pt>
                <c:pt idx="1119">
                  <c:v>45043</c:v>
                </c:pt>
                <c:pt idx="1120">
                  <c:v>45044</c:v>
                </c:pt>
                <c:pt idx="1121">
                  <c:v>45048</c:v>
                </c:pt>
                <c:pt idx="1122">
                  <c:v>45049</c:v>
                </c:pt>
                <c:pt idx="1123">
                  <c:v>45050</c:v>
                </c:pt>
                <c:pt idx="1124">
                  <c:v>45051</c:v>
                </c:pt>
                <c:pt idx="1125">
                  <c:v>45054</c:v>
                </c:pt>
                <c:pt idx="1126">
                  <c:v>45055</c:v>
                </c:pt>
                <c:pt idx="1127">
                  <c:v>45056</c:v>
                </c:pt>
                <c:pt idx="1128">
                  <c:v>45057</c:v>
                </c:pt>
                <c:pt idx="1129">
                  <c:v>45058</c:v>
                </c:pt>
                <c:pt idx="1130">
                  <c:v>45061</c:v>
                </c:pt>
                <c:pt idx="1131">
                  <c:v>45062</c:v>
                </c:pt>
                <c:pt idx="1132">
                  <c:v>45063</c:v>
                </c:pt>
                <c:pt idx="1133">
                  <c:v>45064</c:v>
                </c:pt>
                <c:pt idx="1134">
                  <c:v>45065</c:v>
                </c:pt>
                <c:pt idx="1135">
                  <c:v>45068</c:v>
                </c:pt>
                <c:pt idx="1136">
                  <c:v>45069</c:v>
                </c:pt>
                <c:pt idx="1137">
                  <c:v>45070</c:v>
                </c:pt>
                <c:pt idx="1138">
                  <c:v>45071</c:v>
                </c:pt>
                <c:pt idx="1139">
                  <c:v>45072</c:v>
                </c:pt>
                <c:pt idx="1140">
                  <c:v>45075</c:v>
                </c:pt>
                <c:pt idx="1141">
                  <c:v>45076</c:v>
                </c:pt>
                <c:pt idx="1142">
                  <c:v>45077</c:v>
                </c:pt>
                <c:pt idx="1143">
                  <c:v>45078</c:v>
                </c:pt>
                <c:pt idx="1144">
                  <c:v>45079</c:v>
                </c:pt>
                <c:pt idx="1145">
                  <c:v>45082</c:v>
                </c:pt>
                <c:pt idx="1146">
                  <c:v>45083</c:v>
                </c:pt>
                <c:pt idx="1147">
                  <c:v>45084</c:v>
                </c:pt>
                <c:pt idx="1148">
                  <c:v>45085</c:v>
                </c:pt>
                <c:pt idx="1149">
                  <c:v>45086</c:v>
                </c:pt>
                <c:pt idx="1150">
                  <c:v>45089</c:v>
                </c:pt>
                <c:pt idx="1151">
                  <c:v>45090</c:v>
                </c:pt>
                <c:pt idx="1152">
                  <c:v>45091</c:v>
                </c:pt>
                <c:pt idx="1153">
                  <c:v>45092</c:v>
                </c:pt>
                <c:pt idx="1154">
                  <c:v>45093</c:v>
                </c:pt>
                <c:pt idx="1155">
                  <c:v>45096</c:v>
                </c:pt>
                <c:pt idx="1156">
                  <c:v>45097</c:v>
                </c:pt>
                <c:pt idx="1157">
                  <c:v>45098</c:v>
                </c:pt>
                <c:pt idx="1158">
                  <c:v>45099</c:v>
                </c:pt>
                <c:pt idx="1159">
                  <c:v>45100</c:v>
                </c:pt>
                <c:pt idx="1160">
                  <c:v>45103</c:v>
                </c:pt>
                <c:pt idx="1161">
                  <c:v>45104</c:v>
                </c:pt>
                <c:pt idx="1162">
                  <c:v>45105</c:v>
                </c:pt>
                <c:pt idx="1163">
                  <c:v>45106</c:v>
                </c:pt>
                <c:pt idx="1164">
                  <c:v>45107</c:v>
                </c:pt>
                <c:pt idx="1165">
                  <c:v>45110</c:v>
                </c:pt>
                <c:pt idx="1166">
                  <c:v>45111</c:v>
                </c:pt>
                <c:pt idx="1167">
                  <c:v>45112</c:v>
                </c:pt>
                <c:pt idx="1168">
                  <c:v>45113</c:v>
                </c:pt>
                <c:pt idx="1169">
                  <c:v>45114</c:v>
                </c:pt>
                <c:pt idx="1170">
                  <c:v>45117</c:v>
                </c:pt>
                <c:pt idx="1171">
                  <c:v>45118</c:v>
                </c:pt>
                <c:pt idx="1172">
                  <c:v>45119</c:v>
                </c:pt>
                <c:pt idx="1173">
                  <c:v>45120</c:v>
                </c:pt>
                <c:pt idx="1174">
                  <c:v>45121</c:v>
                </c:pt>
                <c:pt idx="1175">
                  <c:v>45124</c:v>
                </c:pt>
                <c:pt idx="1176">
                  <c:v>45125</c:v>
                </c:pt>
                <c:pt idx="1177">
                  <c:v>45126</c:v>
                </c:pt>
                <c:pt idx="1178">
                  <c:v>45127</c:v>
                </c:pt>
                <c:pt idx="1179">
                  <c:v>45128</c:v>
                </c:pt>
                <c:pt idx="1180">
                  <c:v>45131</c:v>
                </c:pt>
                <c:pt idx="1181">
                  <c:v>45132</c:v>
                </c:pt>
                <c:pt idx="1182">
                  <c:v>45133</c:v>
                </c:pt>
                <c:pt idx="1183">
                  <c:v>45134</c:v>
                </c:pt>
                <c:pt idx="1184">
                  <c:v>45135</c:v>
                </c:pt>
                <c:pt idx="1185">
                  <c:v>45138</c:v>
                </c:pt>
                <c:pt idx="1186">
                  <c:v>45139</c:v>
                </c:pt>
                <c:pt idx="1187">
                  <c:v>45140</c:v>
                </c:pt>
                <c:pt idx="1188">
                  <c:v>45141</c:v>
                </c:pt>
                <c:pt idx="1189">
                  <c:v>45142</c:v>
                </c:pt>
                <c:pt idx="1190">
                  <c:v>45145</c:v>
                </c:pt>
                <c:pt idx="1191">
                  <c:v>45146</c:v>
                </c:pt>
                <c:pt idx="1192">
                  <c:v>45147</c:v>
                </c:pt>
                <c:pt idx="1193">
                  <c:v>45148</c:v>
                </c:pt>
                <c:pt idx="1194">
                  <c:v>45149</c:v>
                </c:pt>
                <c:pt idx="1195">
                  <c:v>45152</c:v>
                </c:pt>
                <c:pt idx="1196">
                  <c:v>45153</c:v>
                </c:pt>
                <c:pt idx="1197">
                  <c:v>45154</c:v>
                </c:pt>
                <c:pt idx="1198">
                  <c:v>45155</c:v>
                </c:pt>
                <c:pt idx="1199">
                  <c:v>45156</c:v>
                </c:pt>
                <c:pt idx="1200">
                  <c:v>45159</c:v>
                </c:pt>
                <c:pt idx="1201">
                  <c:v>45160</c:v>
                </c:pt>
                <c:pt idx="1202">
                  <c:v>45161</c:v>
                </c:pt>
                <c:pt idx="1203">
                  <c:v>45162</c:v>
                </c:pt>
                <c:pt idx="1204">
                  <c:v>45163</c:v>
                </c:pt>
                <c:pt idx="1205">
                  <c:v>45166</c:v>
                </c:pt>
                <c:pt idx="1206">
                  <c:v>45167</c:v>
                </c:pt>
                <c:pt idx="1207">
                  <c:v>45168</c:v>
                </c:pt>
                <c:pt idx="1208">
                  <c:v>45169</c:v>
                </c:pt>
                <c:pt idx="1209">
                  <c:v>45170</c:v>
                </c:pt>
                <c:pt idx="1210">
                  <c:v>45173</c:v>
                </c:pt>
                <c:pt idx="1211">
                  <c:v>45174</c:v>
                </c:pt>
                <c:pt idx="1212">
                  <c:v>45175</c:v>
                </c:pt>
                <c:pt idx="1213">
                  <c:v>45176</c:v>
                </c:pt>
                <c:pt idx="1214">
                  <c:v>45177</c:v>
                </c:pt>
                <c:pt idx="1215">
                  <c:v>45180</c:v>
                </c:pt>
                <c:pt idx="1216">
                  <c:v>45181</c:v>
                </c:pt>
                <c:pt idx="1217">
                  <c:v>45182</c:v>
                </c:pt>
                <c:pt idx="1218">
                  <c:v>45183</c:v>
                </c:pt>
                <c:pt idx="1219">
                  <c:v>45184</c:v>
                </c:pt>
                <c:pt idx="1220">
                  <c:v>45187</c:v>
                </c:pt>
                <c:pt idx="1221">
                  <c:v>45188</c:v>
                </c:pt>
                <c:pt idx="1222">
                  <c:v>45189</c:v>
                </c:pt>
                <c:pt idx="1223">
                  <c:v>45190</c:v>
                </c:pt>
                <c:pt idx="1224">
                  <c:v>45191</c:v>
                </c:pt>
                <c:pt idx="1225">
                  <c:v>45194</c:v>
                </c:pt>
                <c:pt idx="1226">
                  <c:v>45195</c:v>
                </c:pt>
              </c:numCache>
            </c:numRef>
          </c:cat>
          <c:val>
            <c:numRef>
              <c:f>Sheet1!$B$2:$B$1228</c:f>
              <c:numCache>
                <c:formatCode>0.000%</c:formatCode>
                <c:ptCount val="1227"/>
                <c:pt idx="0">
                  <c:v>1.03E-2</c:v>
                </c:pt>
                <c:pt idx="1">
                  <c:v>1.0200000000000001E-2</c:v>
                </c:pt>
                <c:pt idx="2">
                  <c:v>1.06E-2</c:v>
                </c:pt>
                <c:pt idx="3">
                  <c:v>1.1299999999999999E-2</c:v>
                </c:pt>
                <c:pt idx="4">
                  <c:v>1.12E-2</c:v>
                </c:pt>
                <c:pt idx="5">
                  <c:v>1.09E-2</c:v>
                </c:pt>
                <c:pt idx="6">
                  <c:v>1.0500000000000001E-2</c:v>
                </c:pt>
                <c:pt idx="7">
                  <c:v>1.03E-2</c:v>
                </c:pt>
                <c:pt idx="8">
                  <c:v>1.0800000000000001E-2</c:v>
                </c:pt>
                <c:pt idx="9">
                  <c:v>1.06E-2</c:v>
                </c:pt>
                <c:pt idx="10">
                  <c:v>1.0699999999999999E-2</c:v>
                </c:pt>
                <c:pt idx="11">
                  <c:v>1.0800000000000001E-2</c:v>
                </c:pt>
                <c:pt idx="12">
                  <c:v>1.09E-2</c:v>
                </c:pt>
                <c:pt idx="13">
                  <c:v>1.09E-2</c:v>
                </c:pt>
                <c:pt idx="14">
                  <c:v>1.0800000000000001E-2</c:v>
                </c:pt>
                <c:pt idx="15">
                  <c:v>1.09E-2</c:v>
                </c:pt>
                <c:pt idx="16">
                  <c:v>1.06E-2</c:v>
                </c:pt>
                <c:pt idx="17">
                  <c:v>1.0699999999999999E-2</c:v>
                </c:pt>
                <c:pt idx="18">
                  <c:v>1.0800000000000001E-2</c:v>
                </c:pt>
                <c:pt idx="19">
                  <c:v>1.0699999999999999E-2</c:v>
                </c:pt>
                <c:pt idx="20">
                  <c:v>1.0699999999999999E-2</c:v>
                </c:pt>
                <c:pt idx="21">
                  <c:v>1.03E-2</c:v>
                </c:pt>
                <c:pt idx="22">
                  <c:v>1.03E-2</c:v>
                </c:pt>
                <c:pt idx="23">
                  <c:v>1.03E-2</c:v>
                </c:pt>
                <c:pt idx="24">
                  <c:v>1.03E-2</c:v>
                </c:pt>
                <c:pt idx="25">
                  <c:v>1.0200000000000001E-2</c:v>
                </c:pt>
                <c:pt idx="26">
                  <c:v>0.01</c:v>
                </c:pt>
                <c:pt idx="27">
                  <c:v>9.9000000000000008E-3</c:v>
                </c:pt>
                <c:pt idx="28">
                  <c:v>0.01</c:v>
                </c:pt>
                <c:pt idx="29">
                  <c:v>0.01</c:v>
                </c:pt>
                <c:pt idx="30">
                  <c:v>0.01</c:v>
                </c:pt>
                <c:pt idx="31">
                  <c:v>9.7999999999999997E-3</c:v>
                </c:pt>
                <c:pt idx="32">
                  <c:v>9.7000000000000003E-3</c:v>
                </c:pt>
                <c:pt idx="33">
                  <c:v>9.7000000000000003E-3</c:v>
                </c:pt>
                <c:pt idx="34">
                  <c:v>9.5999999999999992E-3</c:v>
                </c:pt>
                <c:pt idx="35">
                  <c:v>9.4999999999999998E-3</c:v>
                </c:pt>
                <c:pt idx="36">
                  <c:v>9.5999999999999992E-3</c:v>
                </c:pt>
                <c:pt idx="37">
                  <c:v>9.4000000000000004E-3</c:v>
                </c:pt>
                <c:pt idx="38">
                  <c:v>9.2999999999999992E-3</c:v>
                </c:pt>
                <c:pt idx="39">
                  <c:v>9.1999999999999998E-3</c:v>
                </c:pt>
                <c:pt idx="40">
                  <c:v>9.4999999999999998E-3</c:v>
                </c:pt>
                <c:pt idx="41">
                  <c:v>9.5999999999999992E-3</c:v>
                </c:pt>
                <c:pt idx="42">
                  <c:v>9.7000000000000003E-3</c:v>
                </c:pt>
                <c:pt idx="43">
                  <c:v>9.4999999999999998E-3</c:v>
                </c:pt>
                <c:pt idx="44">
                  <c:v>9.4000000000000004E-3</c:v>
                </c:pt>
                <c:pt idx="45">
                  <c:v>8.6999999999999994E-3</c:v>
                </c:pt>
                <c:pt idx="46">
                  <c:v>8.0000000000000002E-3</c:v>
                </c:pt>
                <c:pt idx="47">
                  <c:v>7.7999999999999996E-3</c:v>
                </c:pt>
                <c:pt idx="48">
                  <c:v>7.7999999999999996E-3</c:v>
                </c:pt>
                <c:pt idx="49">
                  <c:v>7.9000000000000008E-3</c:v>
                </c:pt>
                <c:pt idx="50">
                  <c:v>7.9000000000000008E-3</c:v>
                </c:pt>
                <c:pt idx="51">
                  <c:v>7.9000000000000008E-3</c:v>
                </c:pt>
                <c:pt idx="52">
                  <c:v>7.9000000000000008E-3</c:v>
                </c:pt>
                <c:pt idx="53">
                  <c:v>8.0000000000000002E-3</c:v>
                </c:pt>
                <c:pt idx="54">
                  <c:v>8.3000000000000001E-3</c:v>
                </c:pt>
                <c:pt idx="55">
                  <c:v>8.3999999999999995E-3</c:v>
                </c:pt>
                <c:pt idx="56">
                  <c:v>8.0000000000000002E-3</c:v>
                </c:pt>
                <c:pt idx="57">
                  <c:v>7.7000000000000002E-3</c:v>
                </c:pt>
                <c:pt idx="58">
                  <c:v>7.7000000000000002E-3</c:v>
                </c:pt>
                <c:pt idx="59">
                  <c:v>7.7999999999999996E-3</c:v>
                </c:pt>
                <c:pt idx="60">
                  <c:v>7.1999999999999998E-3</c:v>
                </c:pt>
                <c:pt idx="61">
                  <c:v>7.3000000000000001E-3</c:v>
                </c:pt>
                <c:pt idx="62">
                  <c:v>7.1999999999999998E-3</c:v>
                </c:pt>
                <c:pt idx="63">
                  <c:v>7.3000000000000001E-3</c:v>
                </c:pt>
                <c:pt idx="64">
                  <c:v>7.1000000000000004E-3</c:v>
                </c:pt>
                <c:pt idx="65">
                  <c:v>7.3000000000000001E-3</c:v>
                </c:pt>
                <c:pt idx="66">
                  <c:v>7.3000000000000001E-3</c:v>
                </c:pt>
                <c:pt idx="67">
                  <c:v>7.3000000000000001E-3</c:v>
                </c:pt>
                <c:pt idx="68">
                  <c:v>7.1999999999999998E-3</c:v>
                </c:pt>
                <c:pt idx="69">
                  <c:v>7.0000000000000001E-3</c:v>
                </c:pt>
                <c:pt idx="70">
                  <c:v>6.6E-3</c:v>
                </c:pt>
                <c:pt idx="71">
                  <c:v>6.7000000000000002E-3</c:v>
                </c:pt>
                <c:pt idx="72">
                  <c:v>6.7999999999999996E-3</c:v>
                </c:pt>
                <c:pt idx="73">
                  <c:v>7.0000000000000001E-3</c:v>
                </c:pt>
                <c:pt idx="74">
                  <c:v>6.8999999999999999E-3</c:v>
                </c:pt>
                <c:pt idx="75">
                  <c:v>7.0000000000000001E-3</c:v>
                </c:pt>
                <c:pt idx="76">
                  <c:v>6.7999999999999996E-3</c:v>
                </c:pt>
                <c:pt idx="77">
                  <c:v>6.7999999999999996E-3</c:v>
                </c:pt>
                <c:pt idx="78">
                  <c:v>6.7299999999999999E-3</c:v>
                </c:pt>
                <c:pt idx="79">
                  <c:v>6.0299999999999998E-3</c:v>
                </c:pt>
                <c:pt idx="80">
                  <c:v>6.1199999999999996E-3</c:v>
                </c:pt>
                <c:pt idx="81">
                  <c:v>6.1500000000000001E-3</c:v>
                </c:pt>
                <c:pt idx="82">
                  <c:v>6.3E-3</c:v>
                </c:pt>
                <c:pt idx="83">
                  <c:v>6.4000000000000003E-3</c:v>
                </c:pt>
                <c:pt idx="84">
                  <c:v>6.4000000000000003E-3</c:v>
                </c:pt>
                <c:pt idx="85">
                  <c:v>6.3E-3</c:v>
                </c:pt>
                <c:pt idx="86">
                  <c:v>6.1000000000000004E-3</c:v>
                </c:pt>
                <c:pt idx="87">
                  <c:v>5.7999999999999996E-3</c:v>
                </c:pt>
                <c:pt idx="88">
                  <c:v>5.7999999999999996E-3</c:v>
                </c:pt>
                <c:pt idx="89">
                  <c:v>5.8999999999999999E-3</c:v>
                </c:pt>
                <c:pt idx="90">
                  <c:v>5.8999999999999999E-3</c:v>
                </c:pt>
                <c:pt idx="91">
                  <c:v>5.7999999999999996E-3</c:v>
                </c:pt>
                <c:pt idx="92">
                  <c:v>5.7999999999999996E-3</c:v>
                </c:pt>
                <c:pt idx="93">
                  <c:v>5.7000000000000002E-3</c:v>
                </c:pt>
                <c:pt idx="94">
                  <c:v>5.7999999999999996E-3</c:v>
                </c:pt>
                <c:pt idx="95">
                  <c:v>5.7999999999999996E-3</c:v>
                </c:pt>
                <c:pt idx="96">
                  <c:v>6.0000000000000001E-3</c:v>
                </c:pt>
                <c:pt idx="97">
                  <c:v>6.1000000000000004E-3</c:v>
                </c:pt>
                <c:pt idx="98">
                  <c:v>6.0800000000000003E-3</c:v>
                </c:pt>
                <c:pt idx="99">
                  <c:v>5.8500000000000002E-3</c:v>
                </c:pt>
                <c:pt idx="100">
                  <c:v>5.8199999999999997E-3</c:v>
                </c:pt>
                <c:pt idx="101">
                  <c:v>6.1900000000000002E-3</c:v>
                </c:pt>
                <c:pt idx="102">
                  <c:v>5.5900000000000004E-3</c:v>
                </c:pt>
                <c:pt idx="103">
                  <c:v>5.5300000000000002E-3</c:v>
                </c:pt>
                <c:pt idx="104">
                  <c:v>5.5900000000000004E-3</c:v>
                </c:pt>
                <c:pt idx="105">
                  <c:v>5.4200000000000003E-3</c:v>
                </c:pt>
                <c:pt idx="106">
                  <c:v>5.3600000000000002E-3</c:v>
                </c:pt>
                <c:pt idx="107">
                  <c:v>5.1399999999999996E-3</c:v>
                </c:pt>
                <c:pt idx="108">
                  <c:v>4.7299999999999998E-3</c:v>
                </c:pt>
                <c:pt idx="109">
                  <c:v>4.2199999999999998E-3</c:v>
                </c:pt>
                <c:pt idx="110">
                  <c:v>3.7499999999999999E-3</c:v>
                </c:pt>
                <c:pt idx="111">
                  <c:v>3.8999999999999998E-3</c:v>
                </c:pt>
                <c:pt idx="112">
                  <c:v>3.79E-3</c:v>
                </c:pt>
                <c:pt idx="113">
                  <c:v>3.5799999999999998E-3</c:v>
                </c:pt>
                <c:pt idx="114">
                  <c:v>3.65E-3</c:v>
                </c:pt>
                <c:pt idx="115">
                  <c:v>3.46E-3</c:v>
                </c:pt>
                <c:pt idx="116">
                  <c:v>3.5100000000000001E-3</c:v>
                </c:pt>
                <c:pt idx="117">
                  <c:v>2.8999999999999998E-3</c:v>
                </c:pt>
                <c:pt idx="118">
                  <c:v>3.1700000000000001E-3</c:v>
                </c:pt>
                <c:pt idx="119">
                  <c:v>2.8E-3</c:v>
                </c:pt>
                <c:pt idx="120">
                  <c:v>2.8700000000000002E-3</c:v>
                </c:pt>
                <c:pt idx="121">
                  <c:v>2.6199999999999999E-3</c:v>
                </c:pt>
                <c:pt idx="122">
                  <c:v>2.31E-3</c:v>
                </c:pt>
                <c:pt idx="123">
                  <c:v>2.3500000000000001E-3</c:v>
                </c:pt>
                <c:pt idx="124">
                  <c:v>2.14E-3</c:v>
                </c:pt>
                <c:pt idx="125">
                  <c:v>2.0999999999999999E-3</c:v>
                </c:pt>
                <c:pt idx="126">
                  <c:v>1.7899999999999999E-3</c:v>
                </c:pt>
                <c:pt idx="127">
                  <c:v>1.72E-3</c:v>
                </c:pt>
                <c:pt idx="128">
                  <c:v>1.2999999999999999E-3</c:v>
                </c:pt>
                <c:pt idx="129">
                  <c:v>1.14E-3</c:v>
                </c:pt>
                <c:pt idx="130">
                  <c:v>1.66E-3</c:v>
                </c:pt>
                <c:pt idx="131">
                  <c:v>1.97E-3</c:v>
                </c:pt>
                <c:pt idx="132">
                  <c:v>2.16E-3</c:v>
                </c:pt>
                <c:pt idx="133">
                  <c:v>2.48E-3</c:v>
                </c:pt>
                <c:pt idx="134">
                  <c:v>2.8600000000000001E-3</c:v>
                </c:pt>
                <c:pt idx="135">
                  <c:v>3.49E-3</c:v>
                </c:pt>
                <c:pt idx="136">
                  <c:v>2.99E-3</c:v>
                </c:pt>
                <c:pt idx="137">
                  <c:v>3.0300000000000001E-3</c:v>
                </c:pt>
                <c:pt idx="138">
                  <c:v>2.4599999999999999E-3</c:v>
                </c:pt>
                <c:pt idx="139">
                  <c:v>2.0400000000000001E-3</c:v>
                </c:pt>
                <c:pt idx="140">
                  <c:v>1.8600000000000001E-3</c:v>
                </c:pt>
                <c:pt idx="141">
                  <c:v>1.73E-3</c:v>
                </c:pt>
                <c:pt idx="142">
                  <c:v>1.73E-3</c:v>
                </c:pt>
                <c:pt idx="143">
                  <c:v>1.5E-3</c:v>
                </c:pt>
                <c:pt idx="144">
                  <c:v>1.6999999999999999E-3</c:v>
                </c:pt>
                <c:pt idx="145">
                  <c:v>1.72E-3</c:v>
                </c:pt>
                <c:pt idx="146">
                  <c:v>1.6299999999999999E-3</c:v>
                </c:pt>
                <c:pt idx="147">
                  <c:v>1.56E-3</c:v>
                </c:pt>
                <c:pt idx="148">
                  <c:v>1.1199999999999999E-3</c:v>
                </c:pt>
                <c:pt idx="149">
                  <c:v>7.2999999999999996E-4</c:v>
                </c:pt>
                <c:pt idx="150">
                  <c:v>2.2000000000000001E-4</c:v>
                </c:pt>
                <c:pt idx="151">
                  <c:v>5.0000000000000002E-5</c:v>
                </c:pt>
                <c:pt idx="152">
                  <c:v>-2.0000000000000001E-4</c:v>
                </c:pt>
                <c:pt idx="153">
                  <c:v>-1.1100000000000001E-3</c:v>
                </c:pt>
                <c:pt idx="154">
                  <c:v>-8.9999999999999998E-4</c:v>
                </c:pt>
                <c:pt idx="155">
                  <c:v>-8.4999999999999995E-4</c:v>
                </c:pt>
                <c:pt idx="156">
                  <c:v>-9.2000000000000003E-4</c:v>
                </c:pt>
                <c:pt idx="157">
                  <c:v>-1.08E-3</c:v>
                </c:pt>
                <c:pt idx="158">
                  <c:v>-1.49E-3</c:v>
                </c:pt>
                <c:pt idx="159">
                  <c:v>-2E-3</c:v>
                </c:pt>
                <c:pt idx="160">
                  <c:v>-1.9499999999999999E-3</c:v>
                </c:pt>
                <c:pt idx="161">
                  <c:v>-1.5399999999999999E-3</c:v>
                </c:pt>
                <c:pt idx="162">
                  <c:v>-1.8E-3</c:v>
                </c:pt>
                <c:pt idx="163">
                  <c:v>-1.6100000000000001E-3</c:v>
                </c:pt>
                <c:pt idx="164">
                  <c:v>-1.24E-3</c:v>
                </c:pt>
                <c:pt idx="165">
                  <c:v>-1.32E-3</c:v>
                </c:pt>
                <c:pt idx="166">
                  <c:v>-1.16E-3</c:v>
                </c:pt>
                <c:pt idx="167">
                  <c:v>-1.7700000000000001E-3</c:v>
                </c:pt>
                <c:pt idx="168">
                  <c:v>-1.9E-3</c:v>
                </c:pt>
                <c:pt idx="169">
                  <c:v>-1.7099999999999999E-3</c:v>
                </c:pt>
                <c:pt idx="170">
                  <c:v>-1.6900000000000001E-3</c:v>
                </c:pt>
                <c:pt idx="171">
                  <c:v>-1.7600000000000001E-3</c:v>
                </c:pt>
                <c:pt idx="172">
                  <c:v>-1.7700000000000001E-3</c:v>
                </c:pt>
                <c:pt idx="173">
                  <c:v>-1.6000000000000001E-3</c:v>
                </c:pt>
                <c:pt idx="174">
                  <c:v>-8.7000000000000001E-4</c:v>
                </c:pt>
                <c:pt idx="175">
                  <c:v>-1.1100000000000001E-3</c:v>
                </c:pt>
                <c:pt idx="176">
                  <c:v>-5.0000000000000001E-4</c:v>
                </c:pt>
                <c:pt idx="177">
                  <c:v>1.9000000000000001E-4</c:v>
                </c:pt>
                <c:pt idx="178">
                  <c:v>3.3E-4</c:v>
                </c:pt>
                <c:pt idx="179">
                  <c:v>4.6000000000000001E-4</c:v>
                </c:pt>
                <c:pt idx="180">
                  <c:v>1.3699999999999999E-3</c:v>
                </c:pt>
                <c:pt idx="181">
                  <c:v>1.14E-3</c:v>
                </c:pt>
                <c:pt idx="182">
                  <c:v>1.32E-3</c:v>
                </c:pt>
                <c:pt idx="183">
                  <c:v>1.0200000000000001E-3</c:v>
                </c:pt>
                <c:pt idx="184">
                  <c:v>1.08E-3</c:v>
                </c:pt>
                <c:pt idx="185">
                  <c:v>9.2000000000000003E-4</c:v>
                </c:pt>
                <c:pt idx="186">
                  <c:v>2.4000000000000001E-4</c:v>
                </c:pt>
                <c:pt idx="187">
                  <c:v>1.2E-4</c:v>
                </c:pt>
                <c:pt idx="188">
                  <c:v>2.7999999999999998E-4</c:v>
                </c:pt>
                <c:pt idx="189">
                  <c:v>2.4000000000000001E-4</c:v>
                </c:pt>
                <c:pt idx="190">
                  <c:v>3.3E-4</c:v>
                </c:pt>
                <c:pt idx="191">
                  <c:v>3.6999999999999999E-4</c:v>
                </c:pt>
                <c:pt idx="192">
                  <c:v>1.7000000000000001E-4</c:v>
                </c:pt>
                <c:pt idx="193">
                  <c:v>3.8000000000000002E-4</c:v>
                </c:pt>
                <c:pt idx="194">
                  <c:v>1.7000000000000001E-4</c:v>
                </c:pt>
                <c:pt idx="195">
                  <c:v>1E-4</c:v>
                </c:pt>
                <c:pt idx="196">
                  <c:v>6.9999999999999994E-5</c:v>
                </c:pt>
                <c:pt idx="197">
                  <c:v>-1.1E-4</c:v>
                </c:pt>
                <c:pt idx="198">
                  <c:v>1.8000000000000001E-4</c:v>
                </c:pt>
                <c:pt idx="199">
                  <c:v>7.6999999999999996E-4</c:v>
                </c:pt>
                <c:pt idx="200">
                  <c:v>1.0300000000000001E-3</c:v>
                </c:pt>
                <c:pt idx="201">
                  <c:v>9.1E-4</c:v>
                </c:pt>
                <c:pt idx="202">
                  <c:v>8.4999999999999995E-4</c:v>
                </c:pt>
                <c:pt idx="203">
                  <c:v>7.1000000000000002E-4</c:v>
                </c:pt>
                <c:pt idx="204">
                  <c:v>4.6999999999999999E-4</c:v>
                </c:pt>
                <c:pt idx="205">
                  <c:v>9.3999999999999997E-4</c:v>
                </c:pt>
                <c:pt idx="206">
                  <c:v>1.41E-3</c:v>
                </c:pt>
                <c:pt idx="207">
                  <c:v>1.24E-3</c:v>
                </c:pt>
                <c:pt idx="208">
                  <c:v>1.09E-3</c:v>
                </c:pt>
                <c:pt idx="209">
                  <c:v>1.08E-3</c:v>
                </c:pt>
                <c:pt idx="210">
                  <c:v>1.4599999999999999E-3</c:v>
                </c:pt>
                <c:pt idx="211">
                  <c:v>1.7700000000000001E-3</c:v>
                </c:pt>
                <c:pt idx="212">
                  <c:v>1.6100000000000001E-3</c:v>
                </c:pt>
                <c:pt idx="213">
                  <c:v>1.56E-3</c:v>
                </c:pt>
                <c:pt idx="214">
                  <c:v>1.1299999999999999E-3</c:v>
                </c:pt>
                <c:pt idx="215">
                  <c:v>1.42E-3</c:v>
                </c:pt>
                <c:pt idx="216">
                  <c:v>1.5399999999999999E-3</c:v>
                </c:pt>
                <c:pt idx="217">
                  <c:v>1.81E-3</c:v>
                </c:pt>
                <c:pt idx="218">
                  <c:v>1.6000000000000001E-3</c:v>
                </c:pt>
                <c:pt idx="219">
                  <c:v>2.48E-3</c:v>
                </c:pt>
                <c:pt idx="220">
                  <c:v>2.2599999999999999E-3</c:v>
                </c:pt>
                <c:pt idx="221">
                  <c:v>2.3700000000000001E-3</c:v>
                </c:pt>
                <c:pt idx="222">
                  <c:v>2.32E-3</c:v>
                </c:pt>
                <c:pt idx="223">
                  <c:v>2.0100000000000001E-3</c:v>
                </c:pt>
                <c:pt idx="224">
                  <c:v>1.64E-3</c:v>
                </c:pt>
                <c:pt idx="225">
                  <c:v>1.7700000000000001E-3</c:v>
                </c:pt>
                <c:pt idx="226">
                  <c:v>1.6900000000000001E-3</c:v>
                </c:pt>
                <c:pt idx="227">
                  <c:v>1.65E-3</c:v>
                </c:pt>
                <c:pt idx="228">
                  <c:v>1.6000000000000001E-3</c:v>
                </c:pt>
                <c:pt idx="229">
                  <c:v>1.7600000000000001E-3</c:v>
                </c:pt>
                <c:pt idx="230">
                  <c:v>1.5200000000000001E-3</c:v>
                </c:pt>
                <c:pt idx="231">
                  <c:v>1.6000000000000001E-3</c:v>
                </c:pt>
                <c:pt idx="232">
                  <c:v>1.4E-3</c:v>
                </c:pt>
                <c:pt idx="233">
                  <c:v>1.4499999999999999E-3</c:v>
                </c:pt>
                <c:pt idx="234">
                  <c:v>1.49E-3</c:v>
                </c:pt>
                <c:pt idx="235">
                  <c:v>1.5299999999999999E-3</c:v>
                </c:pt>
                <c:pt idx="236">
                  <c:v>2.2200000000000002E-3</c:v>
                </c:pt>
                <c:pt idx="237">
                  <c:v>1.6000000000000001E-3</c:v>
                </c:pt>
                <c:pt idx="238">
                  <c:v>1.89E-3</c:v>
                </c:pt>
                <c:pt idx="239">
                  <c:v>2.15E-3</c:v>
                </c:pt>
                <c:pt idx="240">
                  <c:v>2.2799999999999999E-3</c:v>
                </c:pt>
                <c:pt idx="241">
                  <c:v>2.1199999999999999E-3</c:v>
                </c:pt>
                <c:pt idx="242">
                  <c:v>2.2100000000000002E-3</c:v>
                </c:pt>
                <c:pt idx="243">
                  <c:v>2E-3</c:v>
                </c:pt>
                <c:pt idx="244">
                  <c:v>2.3700000000000001E-3</c:v>
                </c:pt>
                <c:pt idx="245">
                  <c:v>2.2100000000000002E-3</c:v>
                </c:pt>
                <c:pt idx="246">
                  <c:v>2.2499999999999998E-3</c:v>
                </c:pt>
                <c:pt idx="247">
                  <c:v>2.1800000000000001E-3</c:v>
                </c:pt>
                <c:pt idx="248">
                  <c:v>2.5400000000000002E-3</c:v>
                </c:pt>
                <c:pt idx="249">
                  <c:v>2.6800000000000001E-3</c:v>
                </c:pt>
                <c:pt idx="250">
                  <c:v>2.7200000000000002E-3</c:v>
                </c:pt>
                <c:pt idx="251">
                  <c:v>3.0599999999999998E-3</c:v>
                </c:pt>
                <c:pt idx="252">
                  <c:v>2.6700000000000001E-3</c:v>
                </c:pt>
                <c:pt idx="253">
                  <c:v>3.0999999999999999E-3</c:v>
                </c:pt>
                <c:pt idx="254">
                  <c:v>3.0500000000000002E-3</c:v>
                </c:pt>
                <c:pt idx="255">
                  <c:v>2.64E-3</c:v>
                </c:pt>
                <c:pt idx="256">
                  <c:v>2.8999999999999998E-3</c:v>
                </c:pt>
                <c:pt idx="257">
                  <c:v>2.48E-3</c:v>
                </c:pt>
                <c:pt idx="258">
                  <c:v>2.7399999999999998E-3</c:v>
                </c:pt>
                <c:pt idx="259">
                  <c:v>2.7499999999999998E-3</c:v>
                </c:pt>
                <c:pt idx="260">
                  <c:v>2.3900000000000002E-3</c:v>
                </c:pt>
                <c:pt idx="261">
                  <c:v>3.1700000000000001E-3</c:v>
                </c:pt>
                <c:pt idx="262">
                  <c:v>3.0500000000000002E-3</c:v>
                </c:pt>
                <c:pt idx="263">
                  <c:v>2.9299999999999999E-3</c:v>
                </c:pt>
                <c:pt idx="264">
                  <c:v>2.7100000000000002E-3</c:v>
                </c:pt>
                <c:pt idx="265">
                  <c:v>2.8900000000000002E-3</c:v>
                </c:pt>
                <c:pt idx="266">
                  <c:v>2.9499999999999999E-3</c:v>
                </c:pt>
                <c:pt idx="267">
                  <c:v>2.66E-3</c:v>
                </c:pt>
                <c:pt idx="268">
                  <c:v>2.5799999999999998E-3</c:v>
                </c:pt>
                <c:pt idx="269">
                  <c:v>2.2100000000000002E-3</c:v>
                </c:pt>
                <c:pt idx="270">
                  <c:v>1.97E-3</c:v>
                </c:pt>
                <c:pt idx="271">
                  <c:v>1.6100000000000001E-3</c:v>
                </c:pt>
                <c:pt idx="272">
                  <c:v>2.0200000000000001E-3</c:v>
                </c:pt>
                <c:pt idx="273">
                  <c:v>1.72E-3</c:v>
                </c:pt>
                <c:pt idx="274">
                  <c:v>1.4400000000000001E-3</c:v>
                </c:pt>
                <c:pt idx="275">
                  <c:v>8.0999999999999996E-4</c:v>
                </c:pt>
                <c:pt idx="276">
                  <c:v>5.9000000000000003E-4</c:v>
                </c:pt>
                <c:pt idx="277">
                  <c:v>8.3000000000000001E-4</c:v>
                </c:pt>
                <c:pt idx="278">
                  <c:v>1.08E-3</c:v>
                </c:pt>
                <c:pt idx="279">
                  <c:v>9.6000000000000002E-4</c:v>
                </c:pt>
                <c:pt idx="280">
                  <c:v>7.2000000000000005E-4</c:v>
                </c:pt>
                <c:pt idx="281">
                  <c:v>5.8E-4</c:v>
                </c:pt>
                <c:pt idx="282">
                  <c:v>6.6E-4</c:v>
                </c:pt>
                <c:pt idx="283">
                  <c:v>6.8000000000000005E-4</c:v>
                </c:pt>
                <c:pt idx="284">
                  <c:v>5.5999999999999995E-4</c:v>
                </c:pt>
                <c:pt idx="285">
                  <c:v>4.4000000000000002E-4</c:v>
                </c:pt>
                <c:pt idx="286">
                  <c:v>4.6999999999999999E-4</c:v>
                </c:pt>
                <c:pt idx="287">
                  <c:v>4.4999999999999999E-4</c:v>
                </c:pt>
                <c:pt idx="288">
                  <c:v>3.8999999999999999E-4</c:v>
                </c:pt>
                <c:pt idx="289">
                  <c:v>1.3999999999999999E-4</c:v>
                </c:pt>
                <c:pt idx="290">
                  <c:v>2.7E-4</c:v>
                </c:pt>
                <c:pt idx="291">
                  <c:v>5.0000000000000002E-5</c:v>
                </c:pt>
                <c:pt idx="292">
                  <c:v>9.0000000000000006E-5</c:v>
                </c:pt>
                <c:pt idx="293">
                  <c:v>2.9E-4</c:v>
                </c:pt>
                <c:pt idx="294">
                  <c:v>1.4999999999999999E-4</c:v>
                </c:pt>
                <c:pt idx="295">
                  <c:v>-4.0000000000000003E-5</c:v>
                </c:pt>
                <c:pt idx="296">
                  <c:v>-5.0000000000000002E-5</c:v>
                </c:pt>
                <c:pt idx="297">
                  <c:v>-1E-4</c:v>
                </c:pt>
                <c:pt idx="298">
                  <c:v>-9.0000000000000006E-5</c:v>
                </c:pt>
                <c:pt idx="299">
                  <c:v>-1.1E-4</c:v>
                </c:pt>
                <c:pt idx="300">
                  <c:v>5.0000000000000002E-5</c:v>
                </c:pt>
                <c:pt idx="301">
                  <c:v>-1.2E-4</c:v>
                </c:pt>
                <c:pt idx="302">
                  <c:v>7.2000000000000005E-4</c:v>
                </c:pt>
                <c:pt idx="303">
                  <c:v>8.4999999999999995E-4</c:v>
                </c:pt>
                <c:pt idx="304">
                  <c:v>1.89E-3</c:v>
                </c:pt>
                <c:pt idx="305">
                  <c:v>3.5699999999999998E-3</c:v>
                </c:pt>
                <c:pt idx="306">
                  <c:v>5.0099999999999997E-3</c:v>
                </c:pt>
                <c:pt idx="307">
                  <c:v>5.7800000000000004E-3</c:v>
                </c:pt>
                <c:pt idx="308">
                  <c:v>6.8100000000000001E-3</c:v>
                </c:pt>
                <c:pt idx="309">
                  <c:v>5.7299999999999999E-3</c:v>
                </c:pt>
                <c:pt idx="310">
                  <c:v>4.7499999999999999E-3</c:v>
                </c:pt>
                <c:pt idx="311">
                  <c:v>5.1599999999999997E-3</c:v>
                </c:pt>
                <c:pt idx="312">
                  <c:v>6.0099999999999997E-3</c:v>
                </c:pt>
                <c:pt idx="313">
                  <c:v>6.9199999999999999E-3</c:v>
                </c:pt>
                <c:pt idx="314">
                  <c:v>5.3400000000000001E-3</c:v>
                </c:pt>
                <c:pt idx="315">
                  <c:v>4.2900000000000004E-3</c:v>
                </c:pt>
                <c:pt idx="316">
                  <c:v>4.4999999999999997E-3</c:v>
                </c:pt>
                <c:pt idx="317">
                  <c:v>4.62E-3</c:v>
                </c:pt>
                <c:pt idx="318">
                  <c:v>4.79E-3</c:v>
                </c:pt>
                <c:pt idx="319">
                  <c:v>5.1900000000000002E-3</c:v>
                </c:pt>
                <c:pt idx="320">
                  <c:v>5.4999999999999997E-3</c:v>
                </c:pt>
                <c:pt idx="321">
                  <c:v>6.0200000000000002E-3</c:v>
                </c:pt>
                <c:pt idx="322">
                  <c:v>8.1300000000000001E-3</c:v>
                </c:pt>
                <c:pt idx="323">
                  <c:v>8.4600000000000005E-3</c:v>
                </c:pt>
                <c:pt idx="324">
                  <c:v>7.9799999999999992E-3</c:v>
                </c:pt>
                <c:pt idx="325">
                  <c:v>7.9799999999999992E-3</c:v>
                </c:pt>
                <c:pt idx="326">
                  <c:v>7.6600000000000001E-3</c:v>
                </c:pt>
                <c:pt idx="327">
                  <c:v>7.45E-3</c:v>
                </c:pt>
                <c:pt idx="328">
                  <c:v>7.1700000000000002E-3</c:v>
                </c:pt>
                <c:pt idx="329">
                  <c:v>7.2899999999999996E-3</c:v>
                </c:pt>
                <c:pt idx="330">
                  <c:v>7.7400000000000004E-3</c:v>
                </c:pt>
                <c:pt idx="331">
                  <c:v>8.1200000000000005E-3</c:v>
                </c:pt>
                <c:pt idx="332">
                  <c:v>9.8700000000000003E-3</c:v>
                </c:pt>
                <c:pt idx="333">
                  <c:v>9.7400000000000004E-3</c:v>
                </c:pt>
                <c:pt idx="334">
                  <c:v>9.3500000000000007E-3</c:v>
                </c:pt>
                <c:pt idx="335">
                  <c:v>8.9899999999999997E-3</c:v>
                </c:pt>
                <c:pt idx="336">
                  <c:v>8.2699999999999996E-3</c:v>
                </c:pt>
                <c:pt idx="337">
                  <c:v>7.9600000000000001E-3</c:v>
                </c:pt>
                <c:pt idx="338">
                  <c:v>7.4400000000000004E-3</c:v>
                </c:pt>
                <c:pt idx="339">
                  <c:v>7.9000000000000008E-3</c:v>
                </c:pt>
                <c:pt idx="340">
                  <c:v>8.1200000000000005E-3</c:v>
                </c:pt>
                <c:pt idx="341">
                  <c:v>8.6999999999999994E-3</c:v>
                </c:pt>
                <c:pt idx="342">
                  <c:v>8.2500000000000004E-3</c:v>
                </c:pt>
                <c:pt idx="343">
                  <c:v>8.1200000000000005E-3</c:v>
                </c:pt>
                <c:pt idx="344">
                  <c:v>8.43E-3</c:v>
                </c:pt>
                <c:pt idx="345">
                  <c:v>8.1899999999999994E-3</c:v>
                </c:pt>
                <c:pt idx="346">
                  <c:v>7.7299999999999999E-3</c:v>
                </c:pt>
                <c:pt idx="347">
                  <c:v>6.8599999999999998E-3</c:v>
                </c:pt>
                <c:pt idx="348">
                  <c:v>6.7099999999999998E-3</c:v>
                </c:pt>
                <c:pt idx="349">
                  <c:v>6.6899999999999998E-3</c:v>
                </c:pt>
                <c:pt idx="350">
                  <c:v>6.2100000000000002E-3</c:v>
                </c:pt>
                <c:pt idx="351">
                  <c:v>6.1399999999999996E-3</c:v>
                </c:pt>
                <c:pt idx="352">
                  <c:v>6.3899999999999998E-3</c:v>
                </c:pt>
                <c:pt idx="353">
                  <c:v>6.7400000000000003E-3</c:v>
                </c:pt>
                <c:pt idx="354">
                  <c:v>6.6800000000000002E-3</c:v>
                </c:pt>
                <c:pt idx="355">
                  <c:v>6.7499999999999999E-3</c:v>
                </c:pt>
                <c:pt idx="356">
                  <c:v>6.5399999999999998E-3</c:v>
                </c:pt>
                <c:pt idx="357">
                  <c:v>6.0899999999999999E-3</c:v>
                </c:pt>
                <c:pt idx="358">
                  <c:v>4.9199999999999999E-3</c:v>
                </c:pt>
                <c:pt idx="359">
                  <c:v>5.2199999999999998E-3</c:v>
                </c:pt>
                <c:pt idx="360">
                  <c:v>4.8599999999999997E-3</c:v>
                </c:pt>
                <c:pt idx="361">
                  <c:v>4.3600000000000002E-3</c:v>
                </c:pt>
                <c:pt idx="362">
                  <c:v>3.8800000000000002E-3</c:v>
                </c:pt>
                <c:pt idx="363">
                  <c:v>4.2199999999999998E-3</c:v>
                </c:pt>
                <c:pt idx="364">
                  <c:v>3.63E-3</c:v>
                </c:pt>
                <c:pt idx="365">
                  <c:v>3.7799999999999999E-3</c:v>
                </c:pt>
                <c:pt idx="366">
                  <c:v>4.0499999999999998E-3</c:v>
                </c:pt>
                <c:pt idx="367">
                  <c:v>3.6900000000000001E-3</c:v>
                </c:pt>
                <c:pt idx="368">
                  <c:v>3.8600000000000001E-3</c:v>
                </c:pt>
                <c:pt idx="369">
                  <c:v>3.7699999999999999E-3</c:v>
                </c:pt>
                <c:pt idx="370">
                  <c:v>3.6800000000000001E-3</c:v>
                </c:pt>
                <c:pt idx="371">
                  <c:v>3.8500000000000001E-3</c:v>
                </c:pt>
                <c:pt idx="372">
                  <c:v>3.5799999999999998E-3</c:v>
                </c:pt>
                <c:pt idx="373">
                  <c:v>3.47E-3</c:v>
                </c:pt>
                <c:pt idx="374">
                  <c:v>3.2000000000000002E-3</c:v>
                </c:pt>
                <c:pt idx="375">
                  <c:v>3.4099999999999998E-3</c:v>
                </c:pt>
                <c:pt idx="376">
                  <c:v>3.1199999999999999E-3</c:v>
                </c:pt>
                <c:pt idx="377">
                  <c:v>3.0699999999999998E-3</c:v>
                </c:pt>
                <c:pt idx="378">
                  <c:v>3.0599999999999998E-3</c:v>
                </c:pt>
                <c:pt idx="379">
                  <c:v>3.14E-3</c:v>
                </c:pt>
                <c:pt idx="380">
                  <c:v>3.0599999999999998E-3</c:v>
                </c:pt>
                <c:pt idx="381">
                  <c:v>3.5999999999999999E-3</c:v>
                </c:pt>
                <c:pt idx="382">
                  <c:v>2.98E-3</c:v>
                </c:pt>
                <c:pt idx="383">
                  <c:v>3.2000000000000002E-3</c:v>
                </c:pt>
                <c:pt idx="384">
                  <c:v>2.8400000000000001E-3</c:v>
                </c:pt>
                <c:pt idx="385">
                  <c:v>2.7200000000000002E-3</c:v>
                </c:pt>
                <c:pt idx="386">
                  <c:v>2.2399999999999998E-3</c:v>
                </c:pt>
                <c:pt idx="387">
                  <c:v>1.47E-3</c:v>
                </c:pt>
                <c:pt idx="388">
                  <c:v>1.31E-3</c:v>
                </c:pt>
                <c:pt idx="389">
                  <c:v>1.4599999999999999E-3</c:v>
                </c:pt>
                <c:pt idx="390">
                  <c:v>1.16E-3</c:v>
                </c:pt>
                <c:pt idx="391">
                  <c:v>1.1299999999999999E-3</c:v>
                </c:pt>
                <c:pt idx="392">
                  <c:v>8.7000000000000001E-4</c:v>
                </c:pt>
                <c:pt idx="393">
                  <c:v>9.5E-4</c:v>
                </c:pt>
                <c:pt idx="394">
                  <c:v>4.8000000000000001E-4</c:v>
                </c:pt>
                <c:pt idx="395">
                  <c:v>4.2999999999999999E-4</c:v>
                </c:pt>
                <c:pt idx="396">
                  <c:v>2.5000000000000001E-4</c:v>
                </c:pt>
                <c:pt idx="397">
                  <c:v>2.0000000000000001E-4</c:v>
                </c:pt>
                <c:pt idx="398">
                  <c:v>5.1999999999999995E-4</c:v>
                </c:pt>
                <c:pt idx="399">
                  <c:v>1E-4</c:v>
                </c:pt>
                <c:pt idx="400">
                  <c:v>1.4999999999999999E-4</c:v>
                </c:pt>
                <c:pt idx="401">
                  <c:v>6.0000000000000002E-5</c:v>
                </c:pt>
                <c:pt idx="402">
                  <c:v>-2.9999999999999997E-4</c:v>
                </c:pt>
                <c:pt idx="403">
                  <c:v>-1.1E-4</c:v>
                </c:pt>
                <c:pt idx="404">
                  <c:v>-2.9E-4</c:v>
                </c:pt>
                <c:pt idx="405">
                  <c:v>-7.6999999999999996E-4</c:v>
                </c:pt>
                <c:pt idx="406">
                  <c:v>-3.6000000000000002E-4</c:v>
                </c:pt>
                <c:pt idx="407">
                  <c:v>-4.6000000000000001E-4</c:v>
                </c:pt>
                <c:pt idx="408">
                  <c:v>-3.8999999999999999E-4</c:v>
                </c:pt>
                <c:pt idx="409">
                  <c:v>-5.1999999999999995E-4</c:v>
                </c:pt>
                <c:pt idx="410">
                  <c:v>-2.9999999999999997E-4</c:v>
                </c:pt>
                <c:pt idx="411">
                  <c:v>1.6000000000000001E-4</c:v>
                </c:pt>
                <c:pt idx="412">
                  <c:v>4.8999999999999998E-4</c:v>
                </c:pt>
                <c:pt idx="413">
                  <c:v>4.4999999999999999E-4</c:v>
                </c:pt>
                <c:pt idx="414">
                  <c:v>2.4000000000000001E-4</c:v>
                </c:pt>
                <c:pt idx="415">
                  <c:v>6.9999999999999994E-5</c:v>
                </c:pt>
                <c:pt idx="416">
                  <c:v>-1.2E-4</c:v>
                </c:pt>
                <c:pt idx="417">
                  <c:v>-1.4999999999999999E-4</c:v>
                </c:pt>
                <c:pt idx="418">
                  <c:v>-2.7999999999999998E-4</c:v>
                </c:pt>
                <c:pt idx="419">
                  <c:v>-1.4999999999999999E-4</c:v>
                </c:pt>
                <c:pt idx="420">
                  <c:v>3.8999999999999999E-4</c:v>
                </c:pt>
                <c:pt idx="421">
                  <c:v>4.4999999999999999E-4</c:v>
                </c:pt>
                <c:pt idx="422">
                  <c:v>6.4999999999999997E-4</c:v>
                </c:pt>
                <c:pt idx="423">
                  <c:v>6.2E-4</c:v>
                </c:pt>
                <c:pt idx="424">
                  <c:v>7.1000000000000002E-4</c:v>
                </c:pt>
                <c:pt idx="425">
                  <c:v>5.6999999999999998E-4</c:v>
                </c:pt>
                <c:pt idx="426">
                  <c:v>-4.0000000000000003E-5</c:v>
                </c:pt>
                <c:pt idx="427">
                  <c:v>-1.7000000000000001E-4</c:v>
                </c:pt>
                <c:pt idx="428">
                  <c:v>0</c:v>
                </c:pt>
                <c:pt idx="429">
                  <c:v>1.3999999999999999E-4</c:v>
                </c:pt>
                <c:pt idx="430">
                  <c:v>-8.0000000000000007E-5</c:v>
                </c:pt>
                <c:pt idx="431">
                  <c:v>1.3999999999999999E-4</c:v>
                </c:pt>
                <c:pt idx="432">
                  <c:v>3.2000000000000003E-4</c:v>
                </c:pt>
                <c:pt idx="433">
                  <c:v>3.0000000000000001E-5</c:v>
                </c:pt>
                <c:pt idx="434">
                  <c:v>-1E-4</c:v>
                </c:pt>
                <c:pt idx="435">
                  <c:v>-9.0000000000000006E-5</c:v>
                </c:pt>
                <c:pt idx="436">
                  <c:v>-1.4999999999999999E-4</c:v>
                </c:pt>
                <c:pt idx="437">
                  <c:v>5.0000000000000002E-5</c:v>
                </c:pt>
                <c:pt idx="438">
                  <c:v>4.6000000000000001E-4</c:v>
                </c:pt>
                <c:pt idx="439">
                  <c:v>4.4999999999999999E-4</c:v>
                </c:pt>
                <c:pt idx="440">
                  <c:v>8.1999999999999998E-4</c:v>
                </c:pt>
                <c:pt idx="441">
                  <c:v>8.7000000000000001E-4</c:v>
                </c:pt>
                <c:pt idx="442">
                  <c:v>7.6000000000000004E-4</c:v>
                </c:pt>
                <c:pt idx="443">
                  <c:v>5.2999999999999998E-4</c:v>
                </c:pt>
                <c:pt idx="444">
                  <c:v>5.8E-4</c:v>
                </c:pt>
                <c:pt idx="445">
                  <c:v>3.6999999999999999E-4</c:v>
                </c:pt>
                <c:pt idx="446">
                  <c:v>5.1999999999999995E-4</c:v>
                </c:pt>
                <c:pt idx="447">
                  <c:v>5.0000000000000001E-4</c:v>
                </c:pt>
                <c:pt idx="448">
                  <c:v>-1.1E-4</c:v>
                </c:pt>
                <c:pt idx="449">
                  <c:v>1.2E-4</c:v>
                </c:pt>
                <c:pt idx="450">
                  <c:v>-3.0000000000000001E-5</c:v>
                </c:pt>
                <c:pt idx="451">
                  <c:v>1.2E-4</c:v>
                </c:pt>
                <c:pt idx="452">
                  <c:v>-2.1000000000000001E-4</c:v>
                </c:pt>
                <c:pt idx="453">
                  <c:v>-1.9000000000000001E-4</c:v>
                </c:pt>
                <c:pt idx="454">
                  <c:v>-3.6999999999999999E-4</c:v>
                </c:pt>
                <c:pt idx="455">
                  <c:v>-4.4999999999999999E-4</c:v>
                </c:pt>
                <c:pt idx="456">
                  <c:v>-7.1000000000000002E-4</c:v>
                </c:pt>
                <c:pt idx="457">
                  <c:v>-1.01E-3</c:v>
                </c:pt>
                <c:pt idx="458">
                  <c:v>-1.0399999999999999E-3</c:v>
                </c:pt>
                <c:pt idx="459">
                  <c:v>-1.08E-3</c:v>
                </c:pt>
                <c:pt idx="460">
                  <c:v>-1.1299999999999999E-3</c:v>
                </c:pt>
                <c:pt idx="461">
                  <c:v>-1.1800000000000001E-3</c:v>
                </c:pt>
                <c:pt idx="462">
                  <c:v>-8.8000000000000003E-4</c:v>
                </c:pt>
                <c:pt idx="463">
                  <c:v>-9.8999999999999999E-4</c:v>
                </c:pt>
                <c:pt idx="464">
                  <c:v>-9.5E-4</c:v>
                </c:pt>
                <c:pt idx="465">
                  <c:v>-1.17E-3</c:v>
                </c:pt>
                <c:pt idx="466">
                  <c:v>-1.1100000000000001E-3</c:v>
                </c:pt>
                <c:pt idx="467">
                  <c:v>-1.34E-3</c:v>
                </c:pt>
                <c:pt idx="468">
                  <c:v>-1.4499999999999999E-3</c:v>
                </c:pt>
                <c:pt idx="469">
                  <c:v>-1.4300000000000001E-3</c:v>
                </c:pt>
                <c:pt idx="470">
                  <c:v>-1.5200000000000001E-3</c:v>
                </c:pt>
                <c:pt idx="471">
                  <c:v>-2.0600000000000002E-3</c:v>
                </c:pt>
                <c:pt idx="472">
                  <c:v>-2.2699999999999999E-3</c:v>
                </c:pt>
                <c:pt idx="473">
                  <c:v>-1.8799999999999999E-3</c:v>
                </c:pt>
                <c:pt idx="474">
                  <c:v>-8.9999999999999998E-4</c:v>
                </c:pt>
                <c:pt idx="475">
                  <c:v>-6.9999999999999999E-4</c:v>
                </c:pt>
                <c:pt idx="476">
                  <c:v>-1.1000000000000001E-3</c:v>
                </c:pt>
                <c:pt idx="477">
                  <c:v>-1.1999999999999999E-3</c:v>
                </c:pt>
                <c:pt idx="478">
                  <c:v>-1.1000000000000001E-3</c:v>
                </c:pt>
                <c:pt idx="479">
                  <c:v>-1.06E-3</c:v>
                </c:pt>
                <c:pt idx="480">
                  <c:v>-1.1800000000000001E-3</c:v>
                </c:pt>
                <c:pt idx="481">
                  <c:v>-1E-3</c:v>
                </c:pt>
                <c:pt idx="482">
                  <c:v>-1.0200000000000001E-3</c:v>
                </c:pt>
                <c:pt idx="483">
                  <c:v>-1.1100000000000001E-3</c:v>
                </c:pt>
                <c:pt idx="484">
                  <c:v>-1.1199999999999999E-3</c:v>
                </c:pt>
                <c:pt idx="485">
                  <c:v>-9.5E-4</c:v>
                </c:pt>
                <c:pt idx="486">
                  <c:v>-9.8999999999999999E-4</c:v>
                </c:pt>
                <c:pt idx="487">
                  <c:v>-1.1900000000000001E-3</c:v>
                </c:pt>
                <c:pt idx="488">
                  <c:v>-1.17E-3</c:v>
                </c:pt>
                <c:pt idx="489">
                  <c:v>-1E-3</c:v>
                </c:pt>
                <c:pt idx="490">
                  <c:v>-7.1000000000000002E-4</c:v>
                </c:pt>
                <c:pt idx="491">
                  <c:v>-6.4999999999999997E-4</c:v>
                </c:pt>
                <c:pt idx="492">
                  <c:v>-9.8999999999999999E-4</c:v>
                </c:pt>
                <c:pt idx="493">
                  <c:v>-8.4000000000000003E-4</c:v>
                </c:pt>
                <c:pt idx="494">
                  <c:v>-1.1999999999999999E-3</c:v>
                </c:pt>
                <c:pt idx="495">
                  <c:v>-1.3799999999999999E-3</c:v>
                </c:pt>
                <c:pt idx="496">
                  <c:v>-1.4400000000000001E-3</c:v>
                </c:pt>
                <c:pt idx="497">
                  <c:v>-1.66E-3</c:v>
                </c:pt>
                <c:pt idx="498">
                  <c:v>-1.89E-3</c:v>
                </c:pt>
                <c:pt idx="499">
                  <c:v>-1.8400000000000001E-3</c:v>
                </c:pt>
                <c:pt idx="500">
                  <c:v>-1.7799999999999999E-3</c:v>
                </c:pt>
                <c:pt idx="501">
                  <c:v>-1.41E-3</c:v>
                </c:pt>
                <c:pt idx="502">
                  <c:v>-1.5E-3</c:v>
                </c:pt>
                <c:pt idx="503">
                  <c:v>-1.4400000000000001E-3</c:v>
                </c:pt>
                <c:pt idx="504">
                  <c:v>-1.49E-3</c:v>
                </c:pt>
                <c:pt idx="505">
                  <c:v>-1.4599999999999999E-3</c:v>
                </c:pt>
                <c:pt idx="506">
                  <c:v>-1.14E-3</c:v>
                </c:pt>
                <c:pt idx="507">
                  <c:v>-1.14E-3</c:v>
                </c:pt>
                <c:pt idx="508">
                  <c:v>-1.14E-3</c:v>
                </c:pt>
                <c:pt idx="509">
                  <c:v>-1.34E-3</c:v>
                </c:pt>
                <c:pt idx="510">
                  <c:v>-1.4300000000000001E-3</c:v>
                </c:pt>
                <c:pt idx="511">
                  <c:v>-1.47E-3</c:v>
                </c:pt>
                <c:pt idx="512">
                  <c:v>-1.56E-3</c:v>
                </c:pt>
                <c:pt idx="513">
                  <c:v>-1.14E-3</c:v>
                </c:pt>
                <c:pt idx="514">
                  <c:v>-1.09E-3</c:v>
                </c:pt>
                <c:pt idx="515">
                  <c:v>-1.1000000000000001E-3</c:v>
                </c:pt>
                <c:pt idx="516">
                  <c:v>-1.07E-3</c:v>
                </c:pt>
                <c:pt idx="517">
                  <c:v>-8.5999999999999998E-4</c:v>
                </c:pt>
                <c:pt idx="518">
                  <c:v>-2.9E-4</c:v>
                </c:pt>
                <c:pt idx="519">
                  <c:v>-6.8999999999999997E-4</c:v>
                </c:pt>
                <c:pt idx="520">
                  <c:v>-8.8999999999999995E-4</c:v>
                </c:pt>
                <c:pt idx="521">
                  <c:v>-9.3999999999999997E-4</c:v>
                </c:pt>
                <c:pt idx="522">
                  <c:v>-7.2999999999999996E-4</c:v>
                </c:pt>
                <c:pt idx="523">
                  <c:v>-8.9999999999999998E-4</c:v>
                </c:pt>
                <c:pt idx="524">
                  <c:v>-8.0999999999999996E-4</c:v>
                </c:pt>
                <c:pt idx="525">
                  <c:v>-5.0000000000000001E-4</c:v>
                </c:pt>
                <c:pt idx="526">
                  <c:v>-5.5999999999999995E-4</c:v>
                </c:pt>
                <c:pt idx="527">
                  <c:v>-9.3000000000000005E-4</c:v>
                </c:pt>
                <c:pt idx="528">
                  <c:v>-5.9999999999999995E-4</c:v>
                </c:pt>
                <c:pt idx="529">
                  <c:v>-7.2999999999999996E-4</c:v>
                </c:pt>
                <c:pt idx="530">
                  <c:v>-7.2999999999999996E-4</c:v>
                </c:pt>
                <c:pt idx="531">
                  <c:v>-6.3000000000000003E-4</c:v>
                </c:pt>
                <c:pt idx="532">
                  <c:v>-5.9000000000000003E-4</c:v>
                </c:pt>
                <c:pt idx="533">
                  <c:v>-4.6000000000000001E-4</c:v>
                </c:pt>
                <c:pt idx="534">
                  <c:v>-4.8000000000000001E-4</c:v>
                </c:pt>
                <c:pt idx="535">
                  <c:v>-5.4000000000000001E-4</c:v>
                </c:pt>
                <c:pt idx="536">
                  <c:v>-5.4000000000000001E-4</c:v>
                </c:pt>
                <c:pt idx="537">
                  <c:v>-6.0999999999999997E-4</c:v>
                </c:pt>
                <c:pt idx="538">
                  <c:v>-6.8999999999999997E-4</c:v>
                </c:pt>
                <c:pt idx="539">
                  <c:v>-5.4000000000000001E-4</c:v>
                </c:pt>
                <c:pt idx="540">
                  <c:v>-7.6000000000000004E-4</c:v>
                </c:pt>
                <c:pt idx="541">
                  <c:v>-1.1900000000000001E-3</c:v>
                </c:pt>
                <c:pt idx="542">
                  <c:v>-7.7999999999999999E-4</c:v>
                </c:pt>
                <c:pt idx="543">
                  <c:v>-3.3E-4</c:v>
                </c:pt>
                <c:pt idx="544">
                  <c:v>-2.7E-4</c:v>
                </c:pt>
                <c:pt idx="545">
                  <c:v>2.5999999999999998E-4</c:v>
                </c:pt>
                <c:pt idx="546">
                  <c:v>5.5999999999999995E-4</c:v>
                </c:pt>
                <c:pt idx="547">
                  <c:v>2.3000000000000001E-4</c:v>
                </c:pt>
                <c:pt idx="548">
                  <c:v>5.1000000000000004E-4</c:v>
                </c:pt>
                <c:pt idx="549">
                  <c:v>7.1000000000000002E-4</c:v>
                </c:pt>
                <c:pt idx="550">
                  <c:v>1.17E-3</c:v>
                </c:pt>
                <c:pt idx="551">
                  <c:v>5.5999999999999995E-4</c:v>
                </c:pt>
                <c:pt idx="552">
                  <c:v>5.6999999999999998E-4</c:v>
                </c:pt>
                <c:pt idx="553">
                  <c:v>2.9999999999999997E-4</c:v>
                </c:pt>
                <c:pt idx="554">
                  <c:v>8.3000000000000001E-4</c:v>
                </c:pt>
                <c:pt idx="555">
                  <c:v>5.1000000000000004E-4</c:v>
                </c:pt>
                <c:pt idx="556">
                  <c:v>5.6999999999999998E-4</c:v>
                </c:pt>
                <c:pt idx="557">
                  <c:v>6.8000000000000005E-4</c:v>
                </c:pt>
                <c:pt idx="558">
                  <c:v>3.8999999999999999E-4</c:v>
                </c:pt>
                <c:pt idx="559">
                  <c:v>4.0999999999999999E-4</c:v>
                </c:pt>
                <c:pt idx="560">
                  <c:v>1E-4</c:v>
                </c:pt>
                <c:pt idx="561">
                  <c:v>6.8000000000000005E-4</c:v>
                </c:pt>
                <c:pt idx="562">
                  <c:v>3.8999999999999999E-4</c:v>
                </c:pt>
                <c:pt idx="563">
                  <c:v>4.0999999999999999E-4</c:v>
                </c:pt>
                <c:pt idx="564">
                  <c:v>1E-4</c:v>
                </c:pt>
                <c:pt idx="565">
                  <c:v>4.2999999999999999E-4</c:v>
                </c:pt>
                <c:pt idx="566">
                  <c:v>1.7000000000000001E-4</c:v>
                </c:pt>
                <c:pt idx="567">
                  <c:v>1.6000000000000001E-4</c:v>
                </c:pt>
                <c:pt idx="568">
                  <c:v>6.6E-4</c:v>
                </c:pt>
                <c:pt idx="569">
                  <c:v>8.4000000000000003E-4</c:v>
                </c:pt>
                <c:pt idx="570">
                  <c:v>5.4000000000000001E-4</c:v>
                </c:pt>
                <c:pt idx="571">
                  <c:v>3.8999999999999999E-4</c:v>
                </c:pt>
                <c:pt idx="572">
                  <c:v>5.0000000000000002E-5</c:v>
                </c:pt>
                <c:pt idx="573">
                  <c:v>-1.2E-4</c:v>
                </c:pt>
                <c:pt idx="574">
                  <c:v>-3.2000000000000003E-4</c:v>
                </c:pt>
                <c:pt idx="575">
                  <c:v>-6.0000000000000002E-5</c:v>
                </c:pt>
                <c:pt idx="576">
                  <c:v>2.7999999999999998E-4</c:v>
                </c:pt>
                <c:pt idx="577">
                  <c:v>5.5999999999999995E-4</c:v>
                </c:pt>
                <c:pt idx="578">
                  <c:v>4.8999999999999998E-4</c:v>
                </c:pt>
                <c:pt idx="579">
                  <c:v>1.4999999999999999E-4</c:v>
                </c:pt>
                <c:pt idx="580">
                  <c:v>1.4999999999999999E-4</c:v>
                </c:pt>
                <c:pt idx="581">
                  <c:v>2.7E-4</c:v>
                </c:pt>
                <c:pt idx="582">
                  <c:v>2.1000000000000001E-4</c:v>
                </c:pt>
                <c:pt idx="583">
                  <c:v>2.4000000000000001E-4</c:v>
                </c:pt>
                <c:pt idx="584">
                  <c:v>5.9000000000000003E-4</c:v>
                </c:pt>
                <c:pt idx="585">
                  <c:v>7.1000000000000002E-4</c:v>
                </c:pt>
                <c:pt idx="586">
                  <c:v>7.1000000000000002E-4</c:v>
                </c:pt>
                <c:pt idx="587">
                  <c:v>1E-3</c:v>
                </c:pt>
                <c:pt idx="588">
                  <c:v>7.3999999999999999E-4</c:v>
                </c:pt>
                <c:pt idx="589">
                  <c:v>1E-3</c:v>
                </c:pt>
                <c:pt idx="590">
                  <c:v>1.2700000000000001E-3</c:v>
                </c:pt>
                <c:pt idx="591">
                  <c:v>1.0399999999999999E-3</c:v>
                </c:pt>
                <c:pt idx="592">
                  <c:v>9.7999999999999997E-4</c:v>
                </c:pt>
                <c:pt idx="593">
                  <c:v>1.07E-3</c:v>
                </c:pt>
                <c:pt idx="594">
                  <c:v>9.5E-4</c:v>
                </c:pt>
                <c:pt idx="595">
                  <c:v>9.7999999999999997E-4</c:v>
                </c:pt>
                <c:pt idx="596">
                  <c:v>1.1000000000000001E-3</c:v>
                </c:pt>
                <c:pt idx="597">
                  <c:v>1.33E-3</c:v>
                </c:pt>
                <c:pt idx="598">
                  <c:v>1.66E-3</c:v>
                </c:pt>
                <c:pt idx="599">
                  <c:v>1.75E-3</c:v>
                </c:pt>
                <c:pt idx="600">
                  <c:v>1.82E-3</c:v>
                </c:pt>
                <c:pt idx="601">
                  <c:v>1.6000000000000001E-3</c:v>
                </c:pt>
                <c:pt idx="602">
                  <c:v>1.72E-3</c:v>
                </c:pt>
                <c:pt idx="603">
                  <c:v>1.81E-3</c:v>
                </c:pt>
                <c:pt idx="604">
                  <c:v>2.0100000000000001E-3</c:v>
                </c:pt>
                <c:pt idx="605">
                  <c:v>2.0200000000000001E-3</c:v>
                </c:pt>
                <c:pt idx="606">
                  <c:v>2.6099999999999999E-3</c:v>
                </c:pt>
                <c:pt idx="607">
                  <c:v>2.97E-3</c:v>
                </c:pt>
                <c:pt idx="608">
                  <c:v>3.1099999999999999E-3</c:v>
                </c:pt>
                <c:pt idx="609">
                  <c:v>3.0300000000000001E-3</c:v>
                </c:pt>
                <c:pt idx="610">
                  <c:v>3.29E-3</c:v>
                </c:pt>
                <c:pt idx="611">
                  <c:v>3.3600000000000001E-3</c:v>
                </c:pt>
                <c:pt idx="612">
                  <c:v>3.2799999999999999E-3</c:v>
                </c:pt>
                <c:pt idx="613">
                  <c:v>3.1099999999999999E-3</c:v>
                </c:pt>
                <c:pt idx="614">
                  <c:v>2.8800000000000002E-3</c:v>
                </c:pt>
                <c:pt idx="615">
                  <c:v>2.8300000000000001E-3</c:v>
                </c:pt>
                <c:pt idx="616">
                  <c:v>2.4299999999999999E-3</c:v>
                </c:pt>
                <c:pt idx="617">
                  <c:v>2.0500000000000002E-3</c:v>
                </c:pt>
                <c:pt idx="618">
                  <c:v>2.5000000000000001E-3</c:v>
                </c:pt>
                <c:pt idx="619">
                  <c:v>2.3500000000000001E-3</c:v>
                </c:pt>
                <c:pt idx="620">
                  <c:v>2.32E-3</c:v>
                </c:pt>
                <c:pt idx="621">
                  <c:v>2.2399999999999998E-3</c:v>
                </c:pt>
                <c:pt idx="622">
                  <c:v>1.98E-3</c:v>
                </c:pt>
                <c:pt idx="623">
                  <c:v>2.0999999999999999E-3</c:v>
                </c:pt>
                <c:pt idx="624">
                  <c:v>1.9400000000000001E-3</c:v>
                </c:pt>
                <c:pt idx="625">
                  <c:v>2.1299999999999999E-3</c:v>
                </c:pt>
                <c:pt idx="626">
                  <c:v>1.8400000000000001E-3</c:v>
                </c:pt>
                <c:pt idx="627">
                  <c:v>1.66E-3</c:v>
                </c:pt>
                <c:pt idx="628">
                  <c:v>1.58E-3</c:v>
                </c:pt>
                <c:pt idx="629">
                  <c:v>1.4300000000000001E-3</c:v>
                </c:pt>
                <c:pt idx="630">
                  <c:v>1.64E-3</c:v>
                </c:pt>
                <c:pt idx="631">
                  <c:v>1.8E-3</c:v>
                </c:pt>
                <c:pt idx="632">
                  <c:v>1.57E-3</c:v>
                </c:pt>
                <c:pt idx="633">
                  <c:v>1.82E-3</c:v>
                </c:pt>
                <c:pt idx="634">
                  <c:v>1.65E-3</c:v>
                </c:pt>
                <c:pt idx="635">
                  <c:v>1.7799999999999999E-3</c:v>
                </c:pt>
                <c:pt idx="636">
                  <c:v>1.92E-3</c:v>
                </c:pt>
                <c:pt idx="637">
                  <c:v>1.8400000000000001E-3</c:v>
                </c:pt>
                <c:pt idx="638">
                  <c:v>1.73E-3</c:v>
                </c:pt>
                <c:pt idx="639">
                  <c:v>2.15E-3</c:v>
                </c:pt>
                <c:pt idx="640">
                  <c:v>1.8E-3</c:v>
                </c:pt>
                <c:pt idx="641">
                  <c:v>1.9400000000000001E-3</c:v>
                </c:pt>
                <c:pt idx="642">
                  <c:v>1.4599999999999999E-3</c:v>
                </c:pt>
                <c:pt idx="643">
                  <c:v>1.4E-3</c:v>
                </c:pt>
                <c:pt idx="644">
                  <c:v>1.1199999999999999E-3</c:v>
                </c:pt>
                <c:pt idx="645">
                  <c:v>1.2899999999999999E-3</c:v>
                </c:pt>
                <c:pt idx="646">
                  <c:v>6.7000000000000002E-4</c:v>
                </c:pt>
                <c:pt idx="647">
                  <c:v>4.0999999999999999E-4</c:v>
                </c:pt>
                <c:pt idx="648">
                  <c:v>4.0999999999999999E-4</c:v>
                </c:pt>
                <c:pt idx="649">
                  <c:v>6.3000000000000003E-4</c:v>
                </c:pt>
                <c:pt idx="650">
                  <c:v>5.4000000000000001E-4</c:v>
                </c:pt>
                <c:pt idx="651">
                  <c:v>5.1999999999999995E-4</c:v>
                </c:pt>
                <c:pt idx="652">
                  <c:v>2.7999999999999998E-4</c:v>
                </c:pt>
                <c:pt idx="653">
                  <c:v>1.2E-4</c:v>
                </c:pt>
                <c:pt idx="654">
                  <c:v>-4.0000000000000003E-5</c:v>
                </c:pt>
                <c:pt idx="655">
                  <c:v>-2.2000000000000001E-4</c:v>
                </c:pt>
                <c:pt idx="656">
                  <c:v>-3.8000000000000002E-4</c:v>
                </c:pt>
                <c:pt idx="657">
                  <c:v>-1.1E-4</c:v>
                </c:pt>
                <c:pt idx="658">
                  <c:v>-1.2E-4</c:v>
                </c:pt>
                <c:pt idx="659">
                  <c:v>1.1E-4</c:v>
                </c:pt>
                <c:pt idx="660">
                  <c:v>2.9E-4</c:v>
                </c:pt>
                <c:pt idx="661">
                  <c:v>2.1000000000000001E-4</c:v>
                </c:pt>
                <c:pt idx="662">
                  <c:v>2.4000000000000001E-4</c:v>
                </c:pt>
                <c:pt idx="663">
                  <c:v>3.0000000000000001E-5</c:v>
                </c:pt>
                <c:pt idx="664">
                  <c:v>-3.6999999999999999E-4</c:v>
                </c:pt>
                <c:pt idx="665">
                  <c:v>-7.5000000000000002E-4</c:v>
                </c:pt>
                <c:pt idx="666">
                  <c:v>-9.6000000000000002E-4</c:v>
                </c:pt>
                <c:pt idx="667">
                  <c:v>-1.08E-3</c:v>
                </c:pt>
                <c:pt idx="668">
                  <c:v>-1.1299999999999999E-3</c:v>
                </c:pt>
                <c:pt idx="669">
                  <c:v>-7.5000000000000002E-4</c:v>
                </c:pt>
                <c:pt idx="670">
                  <c:v>-8.0999999999999996E-4</c:v>
                </c:pt>
                <c:pt idx="671">
                  <c:v>-7.9000000000000001E-4</c:v>
                </c:pt>
                <c:pt idx="672">
                  <c:v>-8.3000000000000001E-4</c:v>
                </c:pt>
                <c:pt idx="673">
                  <c:v>-8.4999999999999995E-4</c:v>
                </c:pt>
                <c:pt idx="674">
                  <c:v>-8.5999999999999998E-4</c:v>
                </c:pt>
                <c:pt idx="675">
                  <c:v>-8.4000000000000003E-4</c:v>
                </c:pt>
                <c:pt idx="676">
                  <c:v>-8.7000000000000001E-4</c:v>
                </c:pt>
                <c:pt idx="677">
                  <c:v>-1E-3</c:v>
                </c:pt>
                <c:pt idx="678">
                  <c:v>-1.06E-3</c:v>
                </c:pt>
                <c:pt idx="679">
                  <c:v>-1.1299999999999999E-3</c:v>
                </c:pt>
                <c:pt idx="680">
                  <c:v>-9.8999999999999999E-4</c:v>
                </c:pt>
                <c:pt idx="681">
                  <c:v>-9.6000000000000002E-4</c:v>
                </c:pt>
                <c:pt idx="682">
                  <c:v>-3.6999999999999999E-4</c:v>
                </c:pt>
                <c:pt idx="683">
                  <c:v>-1.8000000000000001E-4</c:v>
                </c:pt>
                <c:pt idx="684">
                  <c:v>-3.3E-4</c:v>
                </c:pt>
                <c:pt idx="685">
                  <c:v>-6.0999999999999997E-4</c:v>
                </c:pt>
                <c:pt idx="686">
                  <c:v>4.0000000000000003E-5</c:v>
                </c:pt>
                <c:pt idx="687">
                  <c:v>1.1E-4</c:v>
                </c:pt>
                <c:pt idx="688">
                  <c:v>-2.0000000000000002E-5</c:v>
                </c:pt>
                <c:pt idx="689">
                  <c:v>2.2000000000000001E-4</c:v>
                </c:pt>
                <c:pt idx="690">
                  <c:v>1.4999999999999999E-4</c:v>
                </c:pt>
                <c:pt idx="691">
                  <c:v>8.5999999999999998E-4</c:v>
                </c:pt>
                <c:pt idx="692">
                  <c:v>7.9000000000000001E-4</c:v>
                </c:pt>
                <c:pt idx="693">
                  <c:v>3.8000000000000002E-4</c:v>
                </c:pt>
                <c:pt idx="694">
                  <c:v>7.5000000000000002E-4</c:v>
                </c:pt>
                <c:pt idx="695">
                  <c:v>8.1999999999999998E-4</c:v>
                </c:pt>
                <c:pt idx="696">
                  <c:v>7.6999999999999996E-4</c:v>
                </c:pt>
                <c:pt idx="697">
                  <c:v>1.17E-3</c:v>
                </c:pt>
                <c:pt idx="698">
                  <c:v>1.23E-3</c:v>
                </c:pt>
                <c:pt idx="699">
                  <c:v>1.42E-3</c:v>
                </c:pt>
                <c:pt idx="700">
                  <c:v>1.1900000000000001E-3</c:v>
                </c:pt>
                <c:pt idx="701">
                  <c:v>1.1999999999999999E-3</c:v>
                </c:pt>
                <c:pt idx="702">
                  <c:v>1.1199999999999999E-3</c:v>
                </c:pt>
                <c:pt idx="703">
                  <c:v>1.7899999999999999E-3</c:v>
                </c:pt>
                <c:pt idx="704">
                  <c:v>2.1199999999999999E-3</c:v>
                </c:pt>
                <c:pt idx="705">
                  <c:v>2.16E-3</c:v>
                </c:pt>
                <c:pt idx="706">
                  <c:v>2.4299999999999999E-3</c:v>
                </c:pt>
                <c:pt idx="707">
                  <c:v>2.2100000000000002E-3</c:v>
                </c:pt>
                <c:pt idx="708">
                  <c:v>2.2000000000000001E-3</c:v>
                </c:pt>
                <c:pt idx="709">
                  <c:v>1.89E-3</c:v>
                </c:pt>
                <c:pt idx="710">
                  <c:v>2.0400000000000001E-3</c:v>
                </c:pt>
                <c:pt idx="711">
                  <c:v>2.3400000000000001E-3</c:v>
                </c:pt>
                <c:pt idx="712">
                  <c:v>2.4199999999999998E-3</c:v>
                </c:pt>
                <c:pt idx="713">
                  <c:v>2.3400000000000001E-3</c:v>
                </c:pt>
                <c:pt idx="714">
                  <c:v>2.5899999999999999E-3</c:v>
                </c:pt>
                <c:pt idx="715">
                  <c:v>2.8500000000000001E-3</c:v>
                </c:pt>
                <c:pt idx="716">
                  <c:v>3.16E-3</c:v>
                </c:pt>
                <c:pt idx="717">
                  <c:v>2.7499999999999998E-3</c:v>
                </c:pt>
                <c:pt idx="718">
                  <c:v>2.1700000000000001E-3</c:v>
                </c:pt>
                <c:pt idx="719">
                  <c:v>2.4399999999999999E-3</c:v>
                </c:pt>
                <c:pt idx="720">
                  <c:v>2.65E-3</c:v>
                </c:pt>
                <c:pt idx="721">
                  <c:v>3.0999999999999999E-3</c:v>
                </c:pt>
                <c:pt idx="722">
                  <c:v>2.8700000000000002E-3</c:v>
                </c:pt>
                <c:pt idx="723">
                  <c:v>3.0699999999999998E-3</c:v>
                </c:pt>
                <c:pt idx="724">
                  <c:v>3.1900000000000001E-3</c:v>
                </c:pt>
                <c:pt idx="725">
                  <c:v>3.0000000000000001E-3</c:v>
                </c:pt>
                <c:pt idx="726">
                  <c:v>3.0000000000000001E-3</c:v>
                </c:pt>
                <c:pt idx="727">
                  <c:v>2.5699999999999998E-3</c:v>
                </c:pt>
                <c:pt idx="728">
                  <c:v>3.13E-3</c:v>
                </c:pt>
                <c:pt idx="729">
                  <c:v>3.8400000000000001E-3</c:v>
                </c:pt>
                <c:pt idx="730">
                  <c:v>3.82E-3</c:v>
                </c:pt>
                <c:pt idx="731">
                  <c:v>2.9099999999999998E-3</c:v>
                </c:pt>
                <c:pt idx="732">
                  <c:v>2.81E-3</c:v>
                </c:pt>
                <c:pt idx="733">
                  <c:v>2.2200000000000002E-3</c:v>
                </c:pt>
                <c:pt idx="734">
                  <c:v>1.6999999999999999E-3</c:v>
                </c:pt>
                <c:pt idx="735">
                  <c:v>2.0799999999999998E-3</c:v>
                </c:pt>
                <c:pt idx="736">
                  <c:v>1.56E-3</c:v>
                </c:pt>
                <c:pt idx="737">
                  <c:v>2.2699999999999999E-3</c:v>
                </c:pt>
                <c:pt idx="738">
                  <c:v>2.4099999999999998E-3</c:v>
                </c:pt>
                <c:pt idx="739">
                  <c:v>2.1099999999999999E-3</c:v>
                </c:pt>
                <c:pt idx="740">
                  <c:v>2.47E-3</c:v>
                </c:pt>
                <c:pt idx="741">
                  <c:v>2.32E-3</c:v>
                </c:pt>
                <c:pt idx="742">
                  <c:v>2.3500000000000001E-3</c:v>
                </c:pt>
                <c:pt idx="743">
                  <c:v>2.0999999999999999E-3</c:v>
                </c:pt>
                <c:pt idx="744">
                  <c:v>1.4499999999999999E-3</c:v>
                </c:pt>
                <c:pt idx="745">
                  <c:v>1.97E-3</c:v>
                </c:pt>
                <c:pt idx="746">
                  <c:v>2.8999999999999998E-3</c:v>
                </c:pt>
                <c:pt idx="747">
                  <c:v>3.0300000000000001E-3</c:v>
                </c:pt>
                <c:pt idx="748">
                  <c:v>2.7399999999999998E-3</c:v>
                </c:pt>
                <c:pt idx="749">
                  <c:v>1.9400000000000001E-3</c:v>
                </c:pt>
                <c:pt idx="750">
                  <c:v>2.2000000000000001E-3</c:v>
                </c:pt>
                <c:pt idx="751">
                  <c:v>1.9E-3</c:v>
                </c:pt>
                <c:pt idx="752">
                  <c:v>2.0300000000000001E-3</c:v>
                </c:pt>
                <c:pt idx="753">
                  <c:v>1.6900000000000001E-3</c:v>
                </c:pt>
                <c:pt idx="754">
                  <c:v>1.57E-3</c:v>
                </c:pt>
                <c:pt idx="755">
                  <c:v>1.65E-3</c:v>
                </c:pt>
                <c:pt idx="756">
                  <c:v>1.75E-3</c:v>
                </c:pt>
                <c:pt idx="757">
                  <c:v>2.3500000000000001E-3</c:v>
                </c:pt>
                <c:pt idx="758">
                  <c:v>1.9499999999999999E-3</c:v>
                </c:pt>
                <c:pt idx="759">
                  <c:v>1.9E-3</c:v>
                </c:pt>
                <c:pt idx="760">
                  <c:v>1.5200000000000001E-3</c:v>
                </c:pt>
                <c:pt idx="761">
                  <c:v>1.6900000000000001E-3</c:v>
                </c:pt>
                <c:pt idx="762">
                  <c:v>1.75E-3</c:v>
                </c:pt>
                <c:pt idx="763">
                  <c:v>1.89E-3</c:v>
                </c:pt>
                <c:pt idx="764">
                  <c:v>1.6299999999999999E-3</c:v>
                </c:pt>
                <c:pt idx="765">
                  <c:v>1.72E-3</c:v>
                </c:pt>
                <c:pt idx="766">
                  <c:v>2.3900000000000002E-3</c:v>
                </c:pt>
                <c:pt idx="767">
                  <c:v>2.5799999999999998E-3</c:v>
                </c:pt>
                <c:pt idx="768">
                  <c:v>3.0500000000000002E-3</c:v>
                </c:pt>
                <c:pt idx="769">
                  <c:v>3.0500000000000002E-3</c:v>
                </c:pt>
                <c:pt idx="770">
                  <c:v>3.0899999999999999E-3</c:v>
                </c:pt>
                <c:pt idx="771">
                  <c:v>3.1700000000000001E-3</c:v>
                </c:pt>
                <c:pt idx="772">
                  <c:v>3.8E-3</c:v>
                </c:pt>
                <c:pt idx="773">
                  <c:v>3.7699999999999999E-3</c:v>
                </c:pt>
                <c:pt idx="774">
                  <c:v>3.7699999999999999E-3</c:v>
                </c:pt>
                <c:pt idx="775">
                  <c:v>4.2100000000000002E-3</c:v>
                </c:pt>
                <c:pt idx="776">
                  <c:v>3.8700000000000002E-3</c:v>
                </c:pt>
                <c:pt idx="777">
                  <c:v>3.7499999999999999E-3</c:v>
                </c:pt>
                <c:pt idx="778">
                  <c:v>3.81E-3</c:v>
                </c:pt>
                <c:pt idx="779">
                  <c:v>4.0400000000000002E-3</c:v>
                </c:pt>
                <c:pt idx="780">
                  <c:v>3.9500000000000004E-3</c:v>
                </c:pt>
                <c:pt idx="781">
                  <c:v>3.8899999999999998E-3</c:v>
                </c:pt>
                <c:pt idx="782">
                  <c:v>3.4099999999999998E-3</c:v>
                </c:pt>
                <c:pt idx="783">
                  <c:v>3.1900000000000001E-3</c:v>
                </c:pt>
                <c:pt idx="784">
                  <c:v>3.5799999999999998E-3</c:v>
                </c:pt>
                <c:pt idx="785">
                  <c:v>3.7699999999999999E-3</c:v>
                </c:pt>
                <c:pt idx="786">
                  <c:v>3.8700000000000002E-3</c:v>
                </c:pt>
                <c:pt idx="787">
                  <c:v>4.4000000000000003E-3</c:v>
                </c:pt>
                <c:pt idx="788">
                  <c:v>4.4000000000000003E-3</c:v>
                </c:pt>
                <c:pt idx="789">
                  <c:v>4.1000000000000003E-3</c:v>
                </c:pt>
                <c:pt idx="790">
                  <c:v>4.0099999999999997E-3</c:v>
                </c:pt>
                <c:pt idx="791">
                  <c:v>4.3200000000000001E-3</c:v>
                </c:pt>
                <c:pt idx="792">
                  <c:v>4.3499999999999997E-3</c:v>
                </c:pt>
                <c:pt idx="793">
                  <c:v>4.5199999999999997E-3</c:v>
                </c:pt>
                <c:pt idx="794">
                  <c:v>4.7299999999999998E-3</c:v>
                </c:pt>
                <c:pt idx="795">
                  <c:v>5.3400000000000001E-3</c:v>
                </c:pt>
                <c:pt idx="796">
                  <c:v>5.7099999999999998E-3</c:v>
                </c:pt>
                <c:pt idx="797">
                  <c:v>5.6600000000000001E-3</c:v>
                </c:pt>
                <c:pt idx="798">
                  <c:v>6.7000000000000002E-3</c:v>
                </c:pt>
                <c:pt idx="799">
                  <c:v>7.3200000000000001E-3</c:v>
                </c:pt>
                <c:pt idx="800">
                  <c:v>7.6400000000000001E-3</c:v>
                </c:pt>
                <c:pt idx="801">
                  <c:v>8.1399999999999997E-3</c:v>
                </c:pt>
                <c:pt idx="802">
                  <c:v>7.5500000000000003E-3</c:v>
                </c:pt>
                <c:pt idx="803">
                  <c:v>8.5400000000000007E-3</c:v>
                </c:pt>
                <c:pt idx="804">
                  <c:v>8.77E-3</c:v>
                </c:pt>
                <c:pt idx="805">
                  <c:v>8.8999999999999999E-3</c:v>
                </c:pt>
                <c:pt idx="806">
                  <c:v>9.1199999999999996E-3</c:v>
                </c:pt>
                <c:pt idx="807">
                  <c:v>1.0059999999999999E-2</c:v>
                </c:pt>
                <c:pt idx="808">
                  <c:v>9.4699999999999993E-3</c:v>
                </c:pt>
                <c:pt idx="809">
                  <c:v>9.3299999999999998E-3</c:v>
                </c:pt>
                <c:pt idx="810">
                  <c:v>9.6299999999999997E-3</c:v>
                </c:pt>
                <c:pt idx="811">
                  <c:v>1.001E-2</c:v>
                </c:pt>
                <c:pt idx="812">
                  <c:v>1.008E-2</c:v>
                </c:pt>
                <c:pt idx="813">
                  <c:v>9.4000000000000004E-3</c:v>
                </c:pt>
                <c:pt idx="814">
                  <c:v>9.8600000000000007E-3</c:v>
                </c:pt>
                <c:pt idx="815">
                  <c:v>9.1699999999999993E-3</c:v>
                </c:pt>
                <c:pt idx="816">
                  <c:v>6.96E-3</c:v>
                </c:pt>
                <c:pt idx="817">
                  <c:v>8.1899999999999994E-3</c:v>
                </c:pt>
                <c:pt idx="818">
                  <c:v>8.2900000000000005E-3</c:v>
                </c:pt>
                <c:pt idx="819">
                  <c:v>8.3800000000000003E-3</c:v>
                </c:pt>
                <c:pt idx="820">
                  <c:v>8.8000000000000005E-3</c:v>
                </c:pt>
                <c:pt idx="821">
                  <c:v>9.8499999999999994E-3</c:v>
                </c:pt>
                <c:pt idx="822">
                  <c:v>1.1350000000000001E-2</c:v>
                </c:pt>
                <c:pt idx="823">
                  <c:v>1.261E-2</c:v>
                </c:pt>
                <c:pt idx="824">
                  <c:v>1.2869999999999999E-2</c:v>
                </c:pt>
                <c:pt idx="825">
                  <c:v>1.443E-2</c:v>
                </c:pt>
                <c:pt idx="826">
                  <c:v>1.453E-2</c:v>
                </c:pt>
                <c:pt idx="827">
                  <c:v>1.495E-2</c:v>
                </c:pt>
                <c:pt idx="828">
                  <c:v>1.491E-2</c:v>
                </c:pt>
                <c:pt idx="829">
                  <c:v>1.379E-2</c:v>
                </c:pt>
                <c:pt idx="830">
                  <c:v>1.431E-2</c:v>
                </c:pt>
                <c:pt idx="831">
                  <c:v>1.422E-2</c:v>
                </c:pt>
                <c:pt idx="832">
                  <c:v>1.35E-2</c:v>
                </c:pt>
                <c:pt idx="833">
                  <c:v>1.4E-2</c:v>
                </c:pt>
                <c:pt idx="834">
                  <c:v>1.4500000000000001E-2</c:v>
                </c:pt>
                <c:pt idx="835">
                  <c:v>1.43E-2</c:v>
                </c:pt>
                <c:pt idx="836">
                  <c:v>1.49E-2</c:v>
                </c:pt>
                <c:pt idx="837">
                  <c:v>1.55E-2</c:v>
                </c:pt>
                <c:pt idx="838">
                  <c:v>1.452E-2</c:v>
                </c:pt>
                <c:pt idx="839">
                  <c:v>1.4829999999999999E-2</c:v>
                </c:pt>
                <c:pt idx="840">
                  <c:v>1.46E-2</c:v>
                </c:pt>
                <c:pt idx="841">
                  <c:v>1.6080000000000001E-2</c:v>
                </c:pt>
                <c:pt idx="842">
                  <c:v>1.6480000000000002E-2</c:v>
                </c:pt>
                <c:pt idx="843">
                  <c:v>1.6910000000000001E-2</c:v>
                </c:pt>
                <c:pt idx="844">
                  <c:v>1.7299999999999999E-2</c:v>
                </c:pt>
                <c:pt idx="845">
                  <c:v>1.7770000000000001E-2</c:v>
                </c:pt>
                <c:pt idx="846">
                  <c:v>1.7739999999999999E-2</c:v>
                </c:pt>
                <c:pt idx="847">
                  <c:v>1.7260000000000001E-2</c:v>
                </c:pt>
                <c:pt idx="848">
                  <c:v>1.822E-2</c:v>
                </c:pt>
                <c:pt idx="849">
                  <c:v>1.822E-2</c:v>
                </c:pt>
                <c:pt idx="850">
                  <c:v>1.8790000000000001E-2</c:v>
                </c:pt>
                <c:pt idx="851">
                  <c:v>1.8319999999999999E-2</c:v>
                </c:pt>
                <c:pt idx="852">
                  <c:v>1.898E-2</c:v>
                </c:pt>
                <c:pt idx="853">
                  <c:v>1.9349999999999999E-2</c:v>
                </c:pt>
                <c:pt idx="854">
                  <c:v>1.8610000000000002E-2</c:v>
                </c:pt>
                <c:pt idx="855">
                  <c:v>1.8460000000000001E-2</c:v>
                </c:pt>
                <c:pt idx="856">
                  <c:v>1.8380000000000001E-2</c:v>
                </c:pt>
                <c:pt idx="857">
                  <c:v>1.9310000000000001E-2</c:v>
                </c:pt>
                <c:pt idx="858">
                  <c:v>1.9810000000000001E-2</c:v>
                </c:pt>
                <c:pt idx="859">
                  <c:v>2.0060000000000001E-2</c:v>
                </c:pt>
                <c:pt idx="860">
                  <c:v>2.009E-2</c:v>
                </c:pt>
                <c:pt idx="861">
                  <c:v>2.034E-2</c:v>
                </c:pt>
                <c:pt idx="862">
                  <c:v>2.1049999999999999E-2</c:v>
                </c:pt>
                <c:pt idx="863">
                  <c:v>2.214E-2</c:v>
                </c:pt>
                <c:pt idx="864">
                  <c:v>2.23E-2</c:v>
                </c:pt>
                <c:pt idx="865">
                  <c:v>2.1139999999999999E-2</c:v>
                </c:pt>
                <c:pt idx="866">
                  <c:v>2.085E-2</c:v>
                </c:pt>
                <c:pt idx="867">
                  <c:v>1.951E-2</c:v>
                </c:pt>
                <c:pt idx="868">
                  <c:v>2.0140000000000002E-2</c:v>
                </c:pt>
                <c:pt idx="869">
                  <c:v>2.019E-2</c:v>
                </c:pt>
                <c:pt idx="870">
                  <c:v>2.1049999999999999E-2</c:v>
                </c:pt>
                <c:pt idx="871">
                  <c:v>2.0809999999999999E-2</c:v>
                </c:pt>
                <c:pt idx="872">
                  <c:v>2.0039999999999999E-2</c:v>
                </c:pt>
                <c:pt idx="873">
                  <c:v>2.0219999999999998E-2</c:v>
                </c:pt>
                <c:pt idx="874">
                  <c:v>2.077E-2</c:v>
                </c:pt>
                <c:pt idx="875">
                  <c:v>2.043E-2</c:v>
                </c:pt>
                <c:pt idx="876">
                  <c:v>2.01E-2</c:v>
                </c:pt>
                <c:pt idx="877">
                  <c:v>2.0490000000000001E-2</c:v>
                </c:pt>
                <c:pt idx="878">
                  <c:v>2.0140000000000002E-2</c:v>
                </c:pt>
                <c:pt idx="879">
                  <c:v>2.0889999999999999E-2</c:v>
                </c:pt>
                <c:pt idx="880">
                  <c:v>2.1659999999999999E-2</c:v>
                </c:pt>
                <c:pt idx="881">
                  <c:v>2.2339999999999999E-2</c:v>
                </c:pt>
                <c:pt idx="882">
                  <c:v>2.2700000000000001E-2</c:v>
                </c:pt>
                <c:pt idx="883">
                  <c:v>2.3089999999999999E-2</c:v>
                </c:pt>
                <c:pt idx="884">
                  <c:v>2.3619999999999999E-2</c:v>
                </c:pt>
                <c:pt idx="885">
                  <c:v>2.2960000000000001E-2</c:v>
                </c:pt>
                <c:pt idx="886">
                  <c:v>2.3470000000000001E-2</c:v>
                </c:pt>
                <c:pt idx="887">
                  <c:v>2.4639999999999999E-2</c:v>
                </c:pt>
                <c:pt idx="888">
                  <c:v>2.5780000000000001E-2</c:v>
                </c:pt>
                <c:pt idx="889">
                  <c:v>2.742E-2</c:v>
                </c:pt>
                <c:pt idx="890">
                  <c:v>2.8979999999999999E-2</c:v>
                </c:pt>
                <c:pt idx="891">
                  <c:v>2.7150000000000001E-2</c:v>
                </c:pt>
                <c:pt idx="892">
                  <c:v>2.7730000000000001E-2</c:v>
                </c:pt>
                <c:pt idx="893">
                  <c:v>2.6710000000000001E-2</c:v>
                </c:pt>
                <c:pt idx="894">
                  <c:v>2.8049999999999999E-2</c:v>
                </c:pt>
                <c:pt idx="895">
                  <c:v>2.852E-2</c:v>
                </c:pt>
                <c:pt idx="896">
                  <c:v>2.6720000000000001E-2</c:v>
                </c:pt>
                <c:pt idx="897">
                  <c:v>2.4639999999999999E-2</c:v>
                </c:pt>
                <c:pt idx="898">
                  <c:v>2.4719999999999999E-2</c:v>
                </c:pt>
                <c:pt idx="899">
                  <c:v>2.5819999999999999E-2</c:v>
                </c:pt>
                <c:pt idx="900">
                  <c:v>2.6800000000000001E-2</c:v>
                </c:pt>
                <c:pt idx="901">
                  <c:v>2.5510000000000001E-2</c:v>
                </c:pt>
                <c:pt idx="902">
                  <c:v>2.4049999999999998E-2</c:v>
                </c:pt>
                <c:pt idx="903">
                  <c:v>2.2939999999999999E-2</c:v>
                </c:pt>
                <c:pt idx="904">
                  <c:v>2.4119999999999999E-2</c:v>
                </c:pt>
                <c:pt idx="905">
                  <c:v>2.2669999999999999E-2</c:v>
                </c:pt>
                <c:pt idx="906">
                  <c:v>2.2509999999999999E-2</c:v>
                </c:pt>
                <c:pt idx="907">
                  <c:v>2.3630000000000002E-2</c:v>
                </c:pt>
                <c:pt idx="908">
                  <c:v>2.3820000000000001E-2</c:v>
                </c:pt>
                <c:pt idx="909">
                  <c:v>2.2960000000000001E-2</c:v>
                </c:pt>
                <c:pt idx="910">
                  <c:v>2.1909999999999999E-2</c:v>
                </c:pt>
                <c:pt idx="911">
                  <c:v>2.2120000000000001E-2</c:v>
                </c:pt>
                <c:pt idx="912">
                  <c:v>2.2849999999999999E-2</c:v>
                </c:pt>
                <c:pt idx="913">
                  <c:v>2.2630000000000001E-2</c:v>
                </c:pt>
                <c:pt idx="914">
                  <c:v>2.3439999999999999E-2</c:v>
                </c:pt>
                <c:pt idx="915">
                  <c:v>2.3859999999999999E-2</c:v>
                </c:pt>
                <c:pt idx="916">
                  <c:v>2.3789999999999999E-2</c:v>
                </c:pt>
                <c:pt idx="917">
                  <c:v>2.366E-2</c:v>
                </c:pt>
                <c:pt idx="918">
                  <c:v>2.1780000000000001E-2</c:v>
                </c:pt>
                <c:pt idx="919">
                  <c:v>2.1610000000000001E-2</c:v>
                </c:pt>
                <c:pt idx="920">
                  <c:v>2.0660000000000001E-2</c:v>
                </c:pt>
                <c:pt idx="921">
                  <c:v>2.0789999999999999E-2</c:v>
                </c:pt>
                <c:pt idx="922">
                  <c:v>1.9529999999999999E-2</c:v>
                </c:pt>
                <c:pt idx="923">
                  <c:v>1.9359999999999999E-2</c:v>
                </c:pt>
                <c:pt idx="924">
                  <c:v>1.9009999999999999E-2</c:v>
                </c:pt>
                <c:pt idx="925">
                  <c:v>1.9269999999999999E-2</c:v>
                </c:pt>
                <c:pt idx="926">
                  <c:v>1.9650000000000001E-2</c:v>
                </c:pt>
                <c:pt idx="927">
                  <c:v>1.9009999999999999E-2</c:v>
                </c:pt>
                <c:pt idx="928">
                  <c:v>2.009E-2</c:v>
                </c:pt>
                <c:pt idx="929">
                  <c:v>1.9740000000000001E-2</c:v>
                </c:pt>
                <c:pt idx="930">
                  <c:v>2.002E-2</c:v>
                </c:pt>
                <c:pt idx="931">
                  <c:v>1.9699999999999999E-2</c:v>
                </c:pt>
                <c:pt idx="932">
                  <c:v>2.0729999999999998E-2</c:v>
                </c:pt>
                <c:pt idx="933">
                  <c:v>2.0740000000000001E-2</c:v>
                </c:pt>
                <c:pt idx="934">
                  <c:v>1.9879999999999998E-2</c:v>
                </c:pt>
                <c:pt idx="935">
                  <c:v>2.061E-2</c:v>
                </c:pt>
                <c:pt idx="936">
                  <c:v>2.179E-2</c:v>
                </c:pt>
                <c:pt idx="937">
                  <c:v>2.1989999999999999E-2</c:v>
                </c:pt>
                <c:pt idx="938">
                  <c:v>2.3310000000000001E-2</c:v>
                </c:pt>
                <c:pt idx="939">
                  <c:v>2.333E-2</c:v>
                </c:pt>
                <c:pt idx="940">
                  <c:v>2.061E-2</c:v>
                </c:pt>
                <c:pt idx="941">
                  <c:v>2.179E-2</c:v>
                </c:pt>
                <c:pt idx="942">
                  <c:v>2.1989999999999999E-2</c:v>
                </c:pt>
                <c:pt idx="943">
                  <c:v>2.3310000000000001E-2</c:v>
                </c:pt>
                <c:pt idx="944">
                  <c:v>2.333E-2</c:v>
                </c:pt>
                <c:pt idx="945">
                  <c:v>2.4420000000000001E-2</c:v>
                </c:pt>
                <c:pt idx="946">
                  <c:v>2.5080000000000002E-2</c:v>
                </c:pt>
                <c:pt idx="947">
                  <c:v>2.4539999999999999E-2</c:v>
                </c:pt>
                <c:pt idx="948">
                  <c:v>2.5389999999999999E-2</c:v>
                </c:pt>
                <c:pt idx="949">
                  <c:v>2.6419999999999999E-2</c:v>
                </c:pt>
                <c:pt idx="950">
                  <c:v>2.6550000000000001E-2</c:v>
                </c:pt>
                <c:pt idx="951">
                  <c:v>2.6769999999999999E-2</c:v>
                </c:pt>
                <c:pt idx="952">
                  <c:v>2.7089999999999999E-2</c:v>
                </c:pt>
                <c:pt idx="953">
                  <c:v>2.6839999999999999E-2</c:v>
                </c:pt>
                <c:pt idx="954">
                  <c:v>2.7140000000000001E-2</c:v>
                </c:pt>
                <c:pt idx="955">
                  <c:v>2.751E-2</c:v>
                </c:pt>
                <c:pt idx="956">
                  <c:v>2.682E-2</c:v>
                </c:pt>
                <c:pt idx="957">
                  <c:v>2.792E-2</c:v>
                </c:pt>
                <c:pt idx="958">
                  <c:v>2.8080000000000001E-2</c:v>
                </c:pt>
                <c:pt idx="959">
                  <c:v>2.7629999999999998E-2</c:v>
                </c:pt>
                <c:pt idx="960">
                  <c:v>2.828E-2</c:v>
                </c:pt>
                <c:pt idx="961">
                  <c:v>2.8209999999999999E-2</c:v>
                </c:pt>
                <c:pt idx="962">
                  <c:v>2.86E-2</c:v>
                </c:pt>
                <c:pt idx="963">
                  <c:v>2.8500000000000001E-2</c:v>
                </c:pt>
                <c:pt idx="964">
                  <c:v>2.9100000000000001E-2</c:v>
                </c:pt>
                <c:pt idx="965">
                  <c:v>3.1210000000000002E-2</c:v>
                </c:pt>
                <c:pt idx="966">
                  <c:v>3.0550000000000001E-2</c:v>
                </c:pt>
                <c:pt idx="967">
                  <c:v>3.125E-2</c:v>
                </c:pt>
                <c:pt idx="968">
                  <c:v>3.2000000000000001E-2</c:v>
                </c:pt>
                <c:pt idx="969">
                  <c:v>3.3300000000000003E-2</c:v>
                </c:pt>
                <c:pt idx="970">
                  <c:v>3.465E-2</c:v>
                </c:pt>
                <c:pt idx="971">
                  <c:v>3.4029999999999998E-2</c:v>
                </c:pt>
                <c:pt idx="972">
                  <c:v>3.4709999999999998E-2</c:v>
                </c:pt>
                <c:pt idx="973">
                  <c:v>3.3579999999999999E-2</c:v>
                </c:pt>
                <c:pt idx="974">
                  <c:v>3.1449999999999999E-2</c:v>
                </c:pt>
                <c:pt idx="975">
                  <c:v>3.108E-2</c:v>
                </c:pt>
                <c:pt idx="976">
                  <c:v>3.2899999999999999E-2</c:v>
                </c:pt>
                <c:pt idx="977">
                  <c:v>3.3489999999999999E-2</c:v>
                </c:pt>
                <c:pt idx="978">
                  <c:v>3.4750000000000003E-2</c:v>
                </c:pt>
                <c:pt idx="979">
                  <c:v>3.5950000000000003E-2</c:v>
                </c:pt>
                <c:pt idx="980">
                  <c:v>3.5680000000000003E-2</c:v>
                </c:pt>
                <c:pt idx="981">
                  <c:v>3.5999999999999997E-2</c:v>
                </c:pt>
                <c:pt idx="982">
                  <c:v>3.56E-2</c:v>
                </c:pt>
                <c:pt idx="983">
                  <c:v>3.6310000000000002E-2</c:v>
                </c:pt>
                <c:pt idx="984">
                  <c:v>3.5589999999999997E-2</c:v>
                </c:pt>
                <c:pt idx="985">
                  <c:v>3.5569999999999997E-2</c:v>
                </c:pt>
                <c:pt idx="986">
                  <c:v>3.6519999999999997E-2</c:v>
                </c:pt>
                <c:pt idx="987">
                  <c:v>3.6740000000000002E-2</c:v>
                </c:pt>
                <c:pt idx="988">
                  <c:v>3.7650000000000003E-2</c:v>
                </c:pt>
                <c:pt idx="989">
                  <c:v>3.6729999999999999E-2</c:v>
                </c:pt>
                <c:pt idx="990">
                  <c:v>3.5569999999999997E-2</c:v>
                </c:pt>
                <c:pt idx="991">
                  <c:v>3.5349999999999999E-2</c:v>
                </c:pt>
                <c:pt idx="992">
                  <c:v>3.3550000000000003E-2</c:v>
                </c:pt>
                <c:pt idx="993">
                  <c:v>3.5139999999999998E-2</c:v>
                </c:pt>
                <c:pt idx="994">
                  <c:v>3.5819999999999998E-2</c:v>
                </c:pt>
                <c:pt idx="995">
                  <c:v>3.585E-2</c:v>
                </c:pt>
                <c:pt idx="996">
                  <c:v>3.5929999999999997E-2</c:v>
                </c:pt>
                <c:pt idx="997">
                  <c:v>3.6970000000000003E-2</c:v>
                </c:pt>
                <c:pt idx="998">
                  <c:v>3.7530000000000001E-2</c:v>
                </c:pt>
                <c:pt idx="999">
                  <c:v>3.764E-2</c:v>
                </c:pt>
                <c:pt idx="1000">
                  <c:v>3.6830000000000002E-2</c:v>
                </c:pt>
                <c:pt idx="1001">
                  <c:v>3.5810000000000002E-2</c:v>
                </c:pt>
                <c:pt idx="1002">
                  <c:v>3.3779999999999998E-2</c:v>
                </c:pt>
                <c:pt idx="1003">
                  <c:v>3.5540000000000002E-2</c:v>
                </c:pt>
                <c:pt idx="1004">
                  <c:v>3.542E-2</c:v>
                </c:pt>
                <c:pt idx="1005">
                  <c:v>3.4810000000000001E-2</c:v>
                </c:pt>
                <c:pt idx="1006">
                  <c:v>3.3239999999999999E-2</c:v>
                </c:pt>
                <c:pt idx="1007">
                  <c:v>3.2579999999999998E-2</c:v>
                </c:pt>
                <c:pt idx="1008">
                  <c:v>3.2489999999999998E-2</c:v>
                </c:pt>
                <c:pt idx="1009">
                  <c:v>3.236E-2</c:v>
                </c:pt>
                <c:pt idx="1010">
                  <c:v>3.2379999999999999E-2</c:v>
                </c:pt>
                <c:pt idx="1011">
                  <c:v>3.1789999999999999E-2</c:v>
                </c:pt>
                <c:pt idx="1012">
                  <c:v>3.0779999999999998E-2</c:v>
                </c:pt>
                <c:pt idx="1013">
                  <c:v>3.2099999999999997E-2</c:v>
                </c:pt>
                <c:pt idx="1014">
                  <c:v>3.218E-2</c:v>
                </c:pt>
                <c:pt idx="1015">
                  <c:v>3.1809999999999998E-2</c:v>
                </c:pt>
                <c:pt idx="1016">
                  <c:v>3.1890000000000002E-2</c:v>
                </c:pt>
                <c:pt idx="1017">
                  <c:v>3.0530000000000002E-2</c:v>
                </c:pt>
                <c:pt idx="1018">
                  <c:v>3.083E-2</c:v>
                </c:pt>
                <c:pt idx="1019">
                  <c:v>3.0980000000000001E-2</c:v>
                </c:pt>
                <c:pt idx="1020">
                  <c:v>3.0470000000000001E-2</c:v>
                </c:pt>
                <c:pt idx="1021">
                  <c:v>3.024E-2</c:v>
                </c:pt>
                <c:pt idx="1022">
                  <c:v>3.056E-2</c:v>
                </c:pt>
                <c:pt idx="1023">
                  <c:v>3.1710000000000002E-2</c:v>
                </c:pt>
                <c:pt idx="1024">
                  <c:v>3.1730000000000001E-2</c:v>
                </c:pt>
                <c:pt idx="1025">
                  <c:v>3.168E-2</c:v>
                </c:pt>
                <c:pt idx="1026">
                  <c:v>3.193E-2</c:v>
                </c:pt>
                <c:pt idx="1027">
                  <c:v>3.363E-2</c:v>
                </c:pt>
                <c:pt idx="1028">
                  <c:v>3.4660000000000003E-2</c:v>
                </c:pt>
                <c:pt idx="1029">
                  <c:v>3.4909999999999997E-2</c:v>
                </c:pt>
                <c:pt idx="1030">
                  <c:v>3.6049999999999999E-2</c:v>
                </c:pt>
                <c:pt idx="1031">
                  <c:v>3.6110000000000003E-2</c:v>
                </c:pt>
                <c:pt idx="1032">
                  <c:v>3.6700000000000003E-2</c:v>
                </c:pt>
                <c:pt idx="1033">
                  <c:v>3.7139999999999999E-2</c:v>
                </c:pt>
                <c:pt idx="1034">
                  <c:v>3.8030000000000001E-2</c:v>
                </c:pt>
                <c:pt idx="1035">
                  <c:v>3.7580000000000002E-2</c:v>
                </c:pt>
                <c:pt idx="1036">
                  <c:v>3.6819999999999999E-2</c:v>
                </c:pt>
                <c:pt idx="1037">
                  <c:v>3.8210000000000001E-2</c:v>
                </c:pt>
                <c:pt idx="1038">
                  <c:v>3.705E-2</c:v>
                </c:pt>
                <c:pt idx="1039">
                  <c:v>3.6600000000000001E-2</c:v>
                </c:pt>
                <c:pt idx="1040">
                  <c:v>3.5720000000000002E-2</c:v>
                </c:pt>
                <c:pt idx="1041">
                  <c:v>3.5790000000000002E-2</c:v>
                </c:pt>
                <c:pt idx="1042">
                  <c:v>3.5180000000000003E-2</c:v>
                </c:pt>
                <c:pt idx="1043">
                  <c:v>3.5090000000000003E-2</c:v>
                </c:pt>
                <c:pt idx="1044">
                  <c:v>3.5549999999999998E-2</c:v>
                </c:pt>
                <c:pt idx="1045">
                  <c:v>3.363E-2</c:v>
                </c:pt>
                <c:pt idx="1046">
                  <c:v>3.2689999999999997E-2</c:v>
                </c:pt>
                <c:pt idx="1047">
                  <c:v>3.2770000000000001E-2</c:v>
                </c:pt>
                <c:pt idx="1048">
                  <c:v>3.2840000000000001E-2</c:v>
                </c:pt>
                <c:pt idx="1049">
                  <c:v>3.1649999999999998E-2</c:v>
                </c:pt>
                <c:pt idx="1050">
                  <c:v>3.065E-2</c:v>
                </c:pt>
                <c:pt idx="1051">
                  <c:v>3.1029999999999999E-2</c:v>
                </c:pt>
                <c:pt idx="1052">
                  <c:v>3.2390000000000002E-2</c:v>
                </c:pt>
                <c:pt idx="1053">
                  <c:v>3.3070000000000002E-2</c:v>
                </c:pt>
                <c:pt idx="1054">
                  <c:v>3.2579999999999998E-2</c:v>
                </c:pt>
                <c:pt idx="1055">
                  <c:v>3.2840000000000001E-2</c:v>
                </c:pt>
                <c:pt idx="1056">
                  <c:v>3.3739999999999999E-2</c:v>
                </c:pt>
                <c:pt idx="1057">
                  <c:v>3.4180000000000002E-2</c:v>
                </c:pt>
                <c:pt idx="1058">
                  <c:v>3.5200000000000002E-2</c:v>
                </c:pt>
                <c:pt idx="1059">
                  <c:v>3.5090000000000003E-2</c:v>
                </c:pt>
                <c:pt idx="1060">
                  <c:v>3.4209999999999997E-2</c:v>
                </c:pt>
                <c:pt idx="1061">
                  <c:v>3.1309999999999998E-2</c:v>
                </c:pt>
                <c:pt idx="1062">
                  <c:v>3.3119999999999997E-2</c:v>
                </c:pt>
                <c:pt idx="1063">
                  <c:v>3.3989999999999999E-2</c:v>
                </c:pt>
                <c:pt idx="1064">
                  <c:v>3.431E-2</c:v>
                </c:pt>
                <c:pt idx="1065">
                  <c:v>3.4540000000000001E-2</c:v>
                </c:pt>
                <c:pt idx="1066">
                  <c:v>3.4009999999999999E-2</c:v>
                </c:pt>
                <c:pt idx="1067">
                  <c:v>3.4880000000000001E-2</c:v>
                </c:pt>
                <c:pt idx="1068">
                  <c:v>3.4790000000000001E-2</c:v>
                </c:pt>
                <c:pt idx="1069">
                  <c:v>3.5720000000000002E-2</c:v>
                </c:pt>
                <c:pt idx="1070">
                  <c:v>3.6269999999999997E-2</c:v>
                </c:pt>
                <c:pt idx="1071">
                  <c:v>3.6510000000000001E-2</c:v>
                </c:pt>
                <c:pt idx="1072">
                  <c:v>3.6049999999999999E-2</c:v>
                </c:pt>
                <c:pt idx="1073">
                  <c:v>3.637E-2</c:v>
                </c:pt>
                <c:pt idx="1074">
                  <c:v>3.7249999999999998E-2</c:v>
                </c:pt>
                <c:pt idx="1075">
                  <c:v>3.7190000000000001E-2</c:v>
                </c:pt>
                <c:pt idx="1076">
                  <c:v>3.6749999999999998E-2</c:v>
                </c:pt>
                <c:pt idx="1077">
                  <c:v>3.7350000000000001E-2</c:v>
                </c:pt>
                <c:pt idx="1078">
                  <c:v>3.7830000000000003E-2</c:v>
                </c:pt>
                <c:pt idx="1079">
                  <c:v>3.8260000000000002E-2</c:v>
                </c:pt>
                <c:pt idx="1080">
                  <c:v>3.8710000000000001E-2</c:v>
                </c:pt>
                <c:pt idx="1081">
                  <c:v>3.8949999999999999E-2</c:v>
                </c:pt>
                <c:pt idx="1082">
                  <c:v>3.8510000000000003E-2</c:v>
                </c:pt>
                <c:pt idx="1083">
                  <c:v>3.8809999999999997E-2</c:v>
                </c:pt>
                <c:pt idx="1084">
                  <c:v>3.8150000000000003E-2</c:v>
                </c:pt>
                <c:pt idx="1085">
                  <c:v>3.7560000000000003E-2</c:v>
                </c:pt>
                <c:pt idx="1086">
                  <c:v>3.7100000000000001E-2</c:v>
                </c:pt>
                <c:pt idx="1087">
                  <c:v>3.5729999999999998E-2</c:v>
                </c:pt>
                <c:pt idx="1088">
                  <c:v>3.3660000000000002E-2</c:v>
                </c:pt>
                <c:pt idx="1089">
                  <c:v>3.5099999999999999E-2</c:v>
                </c:pt>
                <c:pt idx="1090">
                  <c:v>3.2770000000000001E-2</c:v>
                </c:pt>
                <c:pt idx="1091">
                  <c:v>3.4549999999999997E-2</c:v>
                </c:pt>
                <c:pt idx="1092">
                  <c:v>3.2739999999999998E-2</c:v>
                </c:pt>
                <c:pt idx="1093">
                  <c:v>3.2770000000000001E-2</c:v>
                </c:pt>
                <c:pt idx="1094">
                  <c:v>3.4090000000000002E-2</c:v>
                </c:pt>
                <c:pt idx="1095">
                  <c:v>3.4639999999999997E-2</c:v>
                </c:pt>
                <c:pt idx="1096">
                  <c:v>3.3169999999999998E-2</c:v>
                </c:pt>
                <c:pt idx="1097">
                  <c:v>3.2259999999999997E-2</c:v>
                </c:pt>
                <c:pt idx="1098">
                  <c:v>3.3340000000000002E-2</c:v>
                </c:pt>
                <c:pt idx="1099">
                  <c:v>3.3590000000000002E-2</c:v>
                </c:pt>
                <c:pt idx="1100">
                  <c:v>3.3930000000000002E-2</c:v>
                </c:pt>
                <c:pt idx="1101">
                  <c:v>3.4000000000000002E-2</c:v>
                </c:pt>
                <c:pt idx="1102">
                  <c:v>3.3029999999999997E-2</c:v>
                </c:pt>
                <c:pt idx="1103">
                  <c:v>3.2460000000000003E-2</c:v>
                </c:pt>
                <c:pt idx="1104">
                  <c:v>3.2559999999999999E-2</c:v>
                </c:pt>
                <c:pt idx="1105">
                  <c:v>3.1489999999999997E-2</c:v>
                </c:pt>
                <c:pt idx="1106">
                  <c:v>3.1699999999999999E-2</c:v>
                </c:pt>
                <c:pt idx="1107">
                  <c:v>3.2890000000000003E-2</c:v>
                </c:pt>
                <c:pt idx="1108">
                  <c:v>3.304E-2</c:v>
                </c:pt>
                <c:pt idx="1109">
                  <c:v>3.2939999999999997E-2</c:v>
                </c:pt>
                <c:pt idx="1110">
                  <c:v>3.347E-2</c:v>
                </c:pt>
                <c:pt idx="1111">
                  <c:v>3.3689999999999998E-2</c:v>
                </c:pt>
                <c:pt idx="1112">
                  <c:v>3.372E-2</c:v>
                </c:pt>
                <c:pt idx="1113">
                  <c:v>3.4130000000000001E-2</c:v>
                </c:pt>
                <c:pt idx="1114">
                  <c:v>3.3360000000000001E-2</c:v>
                </c:pt>
                <c:pt idx="1115">
                  <c:v>3.3919999999999999E-2</c:v>
                </c:pt>
                <c:pt idx="1116">
                  <c:v>3.4180000000000002E-2</c:v>
                </c:pt>
                <c:pt idx="1117">
                  <c:v>3.2809999999999999E-2</c:v>
                </c:pt>
                <c:pt idx="1118">
                  <c:v>3.2849999999999997E-2</c:v>
                </c:pt>
                <c:pt idx="1119">
                  <c:v>3.3160000000000002E-2</c:v>
                </c:pt>
                <c:pt idx="1120">
                  <c:v>3.168E-2</c:v>
                </c:pt>
                <c:pt idx="1121">
                  <c:v>3.1609999999999999E-2</c:v>
                </c:pt>
                <c:pt idx="1122">
                  <c:v>3.1440000000000003E-2</c:v>
                </c:pt>
                <c:pt idx="1123">
                  <c:v>3.09E-2</c:v>
                </c:pt>
                <c:pt idx="1124">
                  <c:v>3.177E-2</c:v>
                </c:pt>
                <c:pt idx="1125">
                  <c:v>3.236E-2</c:v>
                </c:pt>
                <c:pt idx="1126">
                  <c:v>3.2439999999999997E-2</c:v>
                </c:pt>
                <c:pt idx="1127">
                  <c:v>3.1960000000000002E-2</c:v>
                </c:pt>
                <c:pt idx="1128">
                  <c:v>3.1280000000000002E-2</c:v>
                </c:pt>
                <c:pt idx="1129">
                  <c:v>3.1980000000000001E-2</c:v>
                </c:pt>
                <c:pt idx="1130">
                  <c:v>3.2079999999999997E-2</c:v>
                </c:pt>
                <c:pt idx="1131">
                  <c:v>3.2439999999999997E-2</c:v>
                </c:pt>
                <c:pt idx="1132">
                  <c:v>3.243E-2</c:v>
                </c:pt>
                <c:pt idx="1133">
                  <c:v>3.3939999999999998E-2</c:v>
                </c:pt>
                <c:pt idx="1134">
                  <c:v>3.3579999999999999E-2</c:v>
                </c:pt>
                <c:pt idx="1135">
                  <c:v>3.3779999999999998E-2</c:v>
                </c:pt>
                <c:pt idx="1136">
                  <c:v>3.3950000000000001E-2</c:v>
                </c:pt>
                <c:pt idx="1137">
                  <c:v>3.3759999999999998E-2</c:v>
                </c:pt>
                <c:pt idx="1138">
                  <c:v>3.4270000000000002E-2</c:v>
                </c:pt>
                <c:pt idx="1139">
                  <c:v>3.4500000000000003E-2</c:v>
                </c:pt>
                <c:pt idx="1140">
                  <c:v>3.3430000000000001E-2</c:v>
                </c:pt>
                <c:pt idx="1141">
                  <c:v>3.2750000000000001E-2</c:v>
                </c:pt>
                <c:pt idx="1142">
                  <c:v>3.2320000000000002E-2</c:v>
                </c:pt>
                <c:pt idx="1143">
                  <c:v>3.1899999999999998E-2</c:v>
                </c:pt>
                <c:pt idx="1144">
                  <c:v>3.245E-2</c:v>
                </c:pt>
                <c:pt idx="1145">
                  <c:v>3.304E-2</c:v>
                </c:pt>
                <c:pt idx="1146">
                  <c:v>3.2980000000000002E-2</c:v>
                </c:pt>
                <c:pt idx="1147">
                  <c:v>3.4020000000000002E-2</c:v>
                </c:pt>
                <c:pt idx="1148">
                  <c:v>3.3410000000000002E-2</c:v>
                </c:pt>
                <c:pt idx="1149">
                  <c:v>3.3140000000000003E-2</c:v>
                </c:pt>
                <c:pt idx="1150">
                  <c:v>3.3070000000000002E-2</c:v>
                </c:pt>
                <c:pt idx="1151">
                  <c:v>3.3550000000000003E-2</c:v>
                </c:pt>
                <c:pt idx="1152">
                  <c:v>3.4040000000000001E-2</c:v>
                </c:pt>
                <c:pt idx="1153">
                  <c:v>3.5159999999999997E-2</c:v>
                </c:pt>
                <c:pt idx="1154">
                  <c:v>3.4750000000000003E-2</c:v>
                </c:pt>
                <c:pt idx="1155">
                  <c:v>3.6020000000000003E-2</c:v>
                </c:pt>
                <c:pt idx="1156">
                  <c:v>3.4590000000000003E-2</c:v>
                </c:pt>
                <c:pt idx="1157">
                  <c:v>3.4619999999999998E-2</c:v>
                </c:pt>
                <c:pt idx="1158">
                  <c:v>3.4479999999999997E-2</c:v>
                </c:pt>
                <c:pt idx="1159">
                  <c:v>3.2770000000000001E-2</c:v>
                </c:pt>
                <c:pt idx="1160">
                  <c:v>3.2259999999999997E-2</c:v>
                </c:pt>
                <c:pt idx="1161">
                  <c:v>3.2719999999999999E-2</c:v>
                </c:pt>
                <c:pt idx="1162">
                  <c:v>3.2320000000000002E-2</c:v>
                </c:pt>
                <c:pt idx="1163">
                  <c:v>3.3160000000000002E-2</c:v>
                </c:pt>
                <c:pt idx="1164">
                  <c:v>3.2770000000000001E-2</c:v>
                </c:pt>
                <c:pt idx="1165">
                  <c:v>3.3210000000000003E-2</c:v>
                </c:pt>
                <c:pt idx="1166">
                  <c:v>3.347E-2</c:v>
                </c:pt>
                <c:pt idx="1167">
                  <c:v>3.372E-2</c:v>
                </c:pt>
                <c:pt idx="1168">
                  <c:v>3.5249999999999997E-2</c:v>
                </c:pt>
                <c:pt idx="1169">
                  <c:v>3.5200000000000002E-2</c:v>
                </c:pt>
                <c:pt idx="1170">
                  <c:v>3.5220000000000001E-2</c:v>
                </c:pt>
                <c:pt idx="1171">
                  <c:v>3.5439999999999999E-2</c:v>
                </c:pt>
                <c:pt idx="1172">
                  <c:v>3.4340000000000002E-2</c:v>
                </c:pt>
                <c:pt idx="1173">
                  <c:v>3.3399999999999999E-2</c:v>
                </c:pt>
                <c:pt idx="1174">
                  <c:v>3.456E-2</c:v>
                </c:pt>
                <c:pt idx="1175">
                  <c:v>3.4029999999999998E-2</c:v>
                </c:pt>
                <c:pt idx="1176">
                  <c:v>3.3090000000000001E-2</c:v>
                </c:pt>
                <c:pt idx="1177">
                  <c:v>3.3439999999999998E-2</c:v>
                </c:pt>
                <c:pt idx="1178">
                  <c:v>3.4139999999999997E-2</c:v>
                </c:pt>
                <c:pt idx="1179">
                  <c:v>3.3790000000000001E-2</c:v>
                </c:pt>
                <c:pt idx="1180">
                  <c:v>3.3369999999999997E-2</c:v>
                </c:pt>
                <c:pt idx="1181">
                  <c:v>3.3320000000000002E-2</c:v>
                </c:pt>
                <c:pt idx="1182">
                  <c:v>3.3739999999999999E-2</c:v>
                </c:pt>
                <c:pt idx="1183">
                  <c:v>3.3520000000000001E-2</c:v>
                </c:pt>
                <c:pt idx="1184">
                  <c:v>3.3759999999999998E-2</c:v>
                </c:pt>
                <c:pt idx="1185">
                  <c:v>3.3649999999999999E-2</c:v>
                </c:pt>
                <c:pt idx="1186">
                  <c:v>3.4689999999999999E-2</c:v>
                </c:pt>
                <c:pt idx="1187">
                  <c:v>3.4459999999999998E-2</c:v>
                </c:pt>
                <c:pt idx="1188">
                  <c:v>3.517E-2</c:v>
                </c:pt>
                <c:pt idx="1189">
                  <c:v>3.4889999999999997E-2</c:v>
                </c:pt>
                <c:pt idx="1190">
                  <c:v>3.5290000000000002E-2</c:v>
                </c:pt>
                <c:pt idx="1191">
                  <c:v>3.4410000000000003E-2</c:v>
                </c:pt>
                <c:pt idx="1192">
                  <c:v>3.4720000000000001E-2</c:v>
                </c:pt>
                <c:pt idx="1193">
                  <c:v>3.4880000000000001E-2</c:v>
                </c:pt>
                <c:pt idx="1194">
                  <c:v>3.576E-2</c:v>
                </c:pt>
                <c:pt idx="1195">
                  <c:v>3.5920000000000001E-2</c:v>
                </c:pt>
                <c:pt idx="1196">
                  <c:v>3.6479999999999999E-2</c:v>
                </c:pt>
                <c:pt idx="1197">
                  <c:v>3.6229999999999998E-2</c:v>
                </c:pt>
                <c:pt idx="1198">
                  <c:v>3.687E-2</c:v>
                </c:pt>
                <c:pt idx="1199">
                  <c:v>3.601E-2</c:v>
                </c:pt>
                <c:pt idx="1200">
                  <c:v>3.6760000000000001E-2</c:v>
                </c:pt>
                <c:pt idx="1201">
                  <c:v>3.6130000000000002E-2</c:v>
                </c:pt>
                <c:pt idx="1202">
                  <c:v>3.4869999999999998E-2</c:v>
                </c:pt>
                <c:pt idx="1203">
                  <c:v>3.4849999999999999E-2</c:v>
                </c:pt>
                <c:pt idx="1204">
                  <c:v>3.5400000000000001E-2</c:v>
                </c:pt>
                <c:pt idx="1205">
                  <c:v>3.5529999999999999E-2</c:v>
                </c:pt>
                <c:pt idx="1206">
                  <c:v>3.4869999999999998E-2</c:v>
                </c:pt>
                <c:pt idx="1207">
                  <c:v>3.5409999999999997E-2</c:v>
                </c:pt>
                <c:pt idx="1208">
                  <c:v>3.4360000000000002E-2</c:v>
                </c:pt>
                <c:pt idx="1209">
                  <c:v>3.431E-2</c:v>
                </c:pt>
                <c:pt idx="1210">
                  <c:v>3.4720000000000001E-2</c:v>
                </c:pt>
                <c:pt idx="1211">
                  <c:v>3.5150000000000001E-2</c:v>
                </c:pt>
                <c:pt idx="1212">
                  <c:v>3.5659999999999997E-2</c:v>
                </c:pt>
                <c:pt idx="1213">
                  <c:v>3.5209999999999998E-2</c:v>
                </c:pt>
                <c:pt idx="1214">
                  <c:v>3.5249999999999997E-2</c:v>
                </c:pt>
                <c:pt idx="1215">
                  <c:v>3.5520000000000003E-2</c:v>
                </c:pt>
                <c:pt idx="1216">
                  <c:v>3.5560000000000001E-2</c:v>
                </c:pt>
                <c:pt idx="1217">
                  <c:v>3.5740000000000001E-2</c:v>
                </c:pt>
                <c:pt idx="1218">
                  <c:v>3.508E-2</c:v>
                </c:pt>
                <c:pt idx="1219">
                  <c:v>3.6069999999999998E-2</c:v>
                </c:pt>
                <c:pt idx="1220">
                  <c:v>3.6420000000000001E-2</c:v>
                </c:pt>
                <c:pt idx="1221">
                  <c:v>3.6679999999999997E-2</c:v>
                </c:pt>
                <c:pt idx="1222">
                  <c:v>3.6249999999999998E-2</c:v>
                </c:pt>
                <c:pt idx="1223">
                  <c:v>3.6610000000000004E-2</c:v>
                </c:pt>
                <c:pt idx="1224">
                  <c:v>3.6799999999999999E-2</c:v>
                </c:pt>
                <c:pt idx="1225">
                  <c:v>3.737E-2</c:v>
                </c:pt>
                <c:pt idx="1226">
                  <c:v>3.7559999999999996E-2</c:v>
                </c:pt>
              </c:numCache>
            </c:numRef>
          </c:val>
          <c:smooth val="0"/>
          <c:extLst>
            <c:ext xmlns:c16="http://schemas.microsoft.com/office/drawing/2014/chart" uri="{C3380CC4-5D6E-409C-BE32-E72D297353CC}">
              <c16:uniqueId val="{00000001-A31A-4B75-AA0A-EBEEA367266E}"/>
            </c:ext>
          </c:extLst>
        </c:ser>
        <c:ser>
          <c:idx val="1"/>
          <c:order val="1"/>
          <c:tx>
            <c:strRef>
              <c:f>Sheet1!$C$1</c:f>
              <c:strCache>
                <c:ptCount val="1"/>
                <c:pt idx="0">
                  <c:v>NEM 10 let (LS)</c:v>
                </c:pt>
              </c:strCache>
            </c:strRef>
          </c:tx>
          <c:spPr>
            <a:ln w="19050">
              <a:solidFill>
                <a:schemeClr val="tx1"/>
              </a:solidFill>
            </a:ln>
          </c:spPr>
          <c:marker>
            <c:symbol val="none"/>
          </c:marker>
          <c:cat>
            <c:numRef>
              <c:f>Sheet1!$A$2:$A$1228</c:f>
              <c:numCache>
                <c:formatCode>dd/mm/yyyy;@</c:formatCode>
                <c:ptCount val="1227"/>
                <c:pt idx="0">
                  <c:v>43467</c:v>
                </c:pt>
                <c:pt idx="1">
                  <c:v>43468</c:v>
                </c:pt>
                <c:pt idx="2">
                  <c:v>43469</c:v>
                </c:pt>
                <c:pt idx="3">
                  <c:v>43472</c:v>
                </c:pt>
                <c:pt idx="4">
                  <c:v>43473</c:v>
                </c:pt>
                <c:pt idx="5">
                  <c:v>43474</c:v>
                </c:pt>
                <c:pt idx="6">
                  <c:v>43475</c:v>
                </c:pt>
                <c:pt idx="7">
                  <c:v>43476</c:v>
                </c:pt>
                <c:pt idx="8">
                  <c:v>43479</c:v>
                </c:pt>
                <c:pt idx="9">
                  <c:v>43480</c:v>
                </c:pt>
                <c:pt idx="10">
                  <c:v>43481</c:v>
                </c:pt>
                <c:pt idx="11">
                  <c:v>43482</c:v>
                </c:pt>
                <c:pt idx="12">
                  <c:v>43483</c:v>
                </c:pt>
                <c:pt idx="13">
                  <c:v>43486</c:v>
                </c:pt>
                <c:pt idx="14">
                  <c:v>43487</c:v>
                </c:pt>
                <c:pt idx="15">
                  <c:v>43488</c:v>
                </c:pt>
                <c:pt idx="16">
                  <c:v>43489</c:v>
                </c:pt>
                <c:pt idx="17">
                  <c:v>43490</c:v>
                </c:pt>
                <c:pt idx="18">
                  <c:v>43493</c:v>
                </c:pt>
                <c:pt idx="19">
                  <c:v>43494</c:v>
                </c:pt>
                <c:pt idx="20">
                  <c:v>43495</c:v>
                </c:pt>
                <c:pt idx="21">
                  <c:v>43496</c:v>
                </c:pt>
                <c:pt idx="22">
                  <c:v>43497</c:v>
                </c:pt>
                <c:pt idx="23">
                  <c:v>43500</c:v>
                </c:pt>
                <c:pt idx="24">
                  <c:v>43501</c:v>
                </c:pt>
                <c:pt idx="25">
                  <c:v>43502</c:v>
                </c:pt>
                <c:pt idx="26">
                  <c:v>43503</c:v>
                </c:pt>
                <c:pt idx="27">
                  <c:v>43504</c:v>
                </c:pt>
                <c:pt idx="28">
                  <c:v>43507</c:v>
                </c:pt>
                <c:pt idx="29">
                  <c:v>43508</c:v>
                </c:pt>
                <c:pt idx="30">
                  <c:v>43509</c:v>
                </c:pt>
                <c:pt idx="31">
                  <c:v>43510</c:v>
                </c:pt>
                <c:pt idx="32">
                  <c:v>43511</c:v>
                </c:pt>
                <c:pt idx="33">
                  <c:v>43514</c:v>
                </c:pt>
                <c:pt idx="34">
                  <c:v>43515</c:v>
                </c:pt>
                <c:pt idx="35">
                  <c:v>43516</c:v>
                </c:pt>
                <c:pt idx="36">
                  <c:v>43517</c:v>
                </c:pt>
                <c:pt idx="37">
                  <c:v>43518</c:v>
                </c:pt>
                <c:pt idx="38">
                  <c:v>43521</c:v>
                </c:pt>
                <c:pt idx="39">
                  <c:v>43522</c:v>
                </c:pt>
                <c:pt idx="40">
                  <c:v>43523</c:v>
                </c:pt>
                <c:pt idx="41">
                  <c:v>43524</c:v>
                </c:pt>
                <c:pt idx="42">
                  <c:v>43525</c:v>
                </c:pt>
                <c:pt idx="43">
                  <c:v>43528</c:v>
                </c:pt>
                <c:pt idx="44">
                  <c:v>43529</c:v>
                </c:pt>
                <c:pt idx="45">
                  <c:v>43530</c:v>
                </c:pt>
                <c:pt idx="46">
                  <c:v>43531</c:v>
                </c:pt>
                <c:pt idx="47">
                  <c:v>43532</c:v>
                </c:pt>
                <c:pt idx="48">
                  <c:v>43535</c:v>
                </c:pt>
                <c:pt idx="49">
                  <c:v>43536</c:v>
                </c:pt>
                <c:pt idx="50">
                  <c:v>43537</c:v>
                </c:pt>
                <c:pt idx="51">
                  <c:v>43538</c:v>
                </c:pt>
                <c:pt idx="52">
                  <c:v>43539</c:v>
                </c:pt>
                <c:pt idx="53">
                  <c:v>43542</c:v>
                </c:pt>
                <c:pt idx="54">
                  <c:v>43543</c:v>
                </c:pt>
                <c:pt idx="55">
                  <c:v>43544</c:v>
                </c:pt>
                <c:pt idx="56">
                  <c:v>43545</c:v>
                </c:pt>
                <c:pt idx="57">
                  <c:v>43546</c:v>
                </c:pt>
                <c:pt idx="58">
                  <c:v>43549</c:v>
                </c:pt>
                <c:pt idx="59">
                  <c:v>43550</c:v>
                </c:pt>
                <c:pt idx="60">
                  <c:v>43551</c:v>
                </c:pt>
                <c:pt idx="61">
                  <c:v>43552</c:v>
                </c:pt>
                <c:pt idx="62">
                  <c:v>43553</c:v>
                </c:pt>
                <c:pt idx="63">
                  <c:v>43556</c:v>
                </c:pt>
                <c:pt idx="64">
                  <c:v>43557</c:v>
                </c:pt>
                <c:pt idx="65">
                  <c:v>43558</c:v>
                </c:pt>
                <c:pt idx="66">
                  <c:v>43559</c:v>
                </c:pt>
                <c:pt idx="67">
                  <c:v>43560</c:v>
                </c:pt>
                <c:pt idx="68">
                  <c:v>43563</c:v>
                </c:pt>
                <c:pt idx="69">
                  <c:v>43564</c:v>
                </c:pt>
                <c:pt idx="70">
                  <c:v>43565</c:v>
                </c:pt>
                <c:pt idx="71">
                  <c:v>43566</c:v>
                </c:pt>
                <c:pt idx="72">
                  <c:v>43567</c:v>
                </c:pt>
                <c:pt idx="73">
                  <c:v>43570</c:v>
                </c:pt>
                <c:pt idx="74">
                  <c:v>43571</c:v>
                </c:pt>
                <c:pt idx="75">
                  <c:v>43572</c:v>
                </c:pt>
                <c:pt idx="76">
                  <c:v>43573</c:v>
                </c:pt>
                <c:pt idx="77">
                  <c:v>43574</c:v>
                </c:pt>
                <c:pt idx="78">
                  <c:v>43578</c:v>
                </c:pt>
                <c:pt idx="79">
                  <c:v>43579</c:v>
                </c:pt>
                <c:pt idx="80">
                  <c:v>43580</c:v>
                </c:pt>
                <c:pt idx="81">
                  <c:v>43581</c:v>
                </c:pt>
                <c:pt idx="82">
                  <c:v>43584</c:v>
                </c:pt>
                <c:pt idx="83">
                  <c:v>43585</c:v>
                </c:pt>
                <c:pt idx="84">
                  <c:v>43587</c:v>
                </c:pt>
                <c:pt idx="85">
                  <c:v>43588</c:v>
                </c:pt>
                <c:pt idx="86">
                  <c:v>43591</c:v>
                </c:pt>
                <c:pt idx="87">
                  <c:v>43592</c:v>
                </c:pt>
                <c:pt idx="88">
                  <c:v>43593</c:v>
                </c:pt>
                <c:pt idx="89">
                  <c:v>43594</c:v>
                </c:pt>
                <c:pt idx="90">
                  <c:v>43595</c:v>
                </c:pt>
                <c:pt idx="91">
                  <c:v>43598</c:v>
                </c:pt>
                <c:pt idx="92">
                  <c:v>43599</c:v>
                </c:pt>
                <c:pt idx="93">
                  <c:v>43600</c:v>
                </c:pt>
                <c:pt idx="94">
                  <c:v>43601</c:v>
                </c:pt>
                <c:pt idx="95">
                  <c:v>43602</c:v>
                </c:pt>
                <c:pt idx="96">
                  <c:v>43605</c:v>
                </c:pt>
                <c:pt idx="97">
                  <c:v>43606</c:v>
                </c:pt>
                <c:pt idx="98">
                  <c:v>43607</c:v>
                </c:pt>
                <c:pt idx="99">
                  <c:v>43608</c:v>
                </c:pt>
                <c:pt idx="100">
                  <c:v>43609</c:v>
                </c:pt>
                <c:pt idx="101">
                  <c:v>43612</c:v>
                </c:pt>
                <c:pt idx="102">
                  <c:v>43613</c:v>
                </c:pt>
                <c:pt idx="103">
                  <c:v>43614</c:v>
                </c:pt>
                <c:pt idx="104">
                  <c:v>43615</c:v>
                </c:pt>
                <c:pt idx="105">
                  <c:v>43616</c:v>
                </c:pt>
                <c:pt idx="106">
                  <c:v>43619</c:v>
                </c:pt>
                <c:pt idx="107">
                  <c:v>43620</c:v>
                </c:pt>
                <c:pt idx="108">
                  <c:v>43621</c:v>
                </c:pt>
                <c:pt idx="109">
                  <c:v>43622</c:v>
                </c:pt>
                <c:pt idx="110">
                  <c:v>43623</c:v>
                </c:pt>
                <c:pt idx="111">
                  <c:v>43626</c:v>
                </c:pt>
                <c:pt idx="112">
                  <c:v>43627</c:v>
                </c:pt>
                <c:pt idx="113">
                  <c:v>43628</c:v>
                </c:pt>
                <c:pt idx="114">
                  <c:v>43629</c:v>
                </c:pt>
                <c:pt idx="115">
                  <c:v>43630</c:v>
                </c:pt>
                <c:pt idx="116">
                  <c:v>43633</c:v>
                </c:pt>
                <c:pt idx="117">
                  <c:v>43634</c:v>
                </c:pt>
                <c:pt idx="118">
                  <c:v>43635</c:v>
                </c:pt>
                <c:pt idx="119">
                  <c:v>43636</c:v>
                </c:pt>
                <c:pt idx="120">
                  <c:v>43637</c:v>
                </c:pt>
                <c:pt idx="121">
                  <c:v>43640</c:v>
                </c:pt>
                <c:pt idx="122">
                  <c:v>43641</c:v>
                </c:pt>
                <c:pt idx="123">
                  <c:v>43642</c:v>
                </c:pt>
                <c:pt idx="124">
                  <c:v>43643</c:v>
                </c:pt>
                <c:pt idx="125">
                  <c:v>43644</c:v>
                </c:pt>
                <c:pt idx="126">
                  <c:v>43647</c:v>
                </c:pt>
                <c:pt idx="127">
                  <c:v>43648</c:v>
                </c:pt>
                <c:pt idx="128">
                  <c:v>43649</c:v>
                </c:pt>
                <c:pt idx="129">
                  <c:v>43650</c:v>
                </c:pt>
                <c:pt idx="130">
                  <c:v>43651</c:v>
                </c:pt>
                <c:pt idx="131">
                  <c:v>43654</c:v>
                </c:pt>
                <c:pt idx="132">
                  <c:v>43655</c:v>
                </c:pt>
                <c:pt idx="133">
                  <c:v>43656</c:v>
                </c:pt>
                <c:pt idx="134">
                  <c:v>43657</c:v>
                </c:pt>
                <c:pt idx="135">
                  <c:v>43658</c:v>
                </c:pt>
                <c:pt idx="136">
                  <c:v>43661</c:v>
                </c:pt>
                <c:pt idx="137">
                  <c:v>43662</c:v>
                </c:pt>
                <c:pt idx="138">
                  <c:v>43663</c:v>
                </c:pt>
                <c:pt idx="139">
                  <c:v>43664</c:v>
                </c:pt>
                <c:pt idx="140">
                  <c:v>43665</c:v>
                </c:pt>
                <c:pt idx="141">
                  <c:v>43668</c:v>
                </c:pt>
                <c:pt idx="142">
                  <c:v>43669</c:v>
                </c:pt>
                <c:pt idx="143">
                  <c:v>43670</c:v>
                </c:pt>
                <c:pt idx="144">
                  <c:v>43671</c:v>
                </c:pt>
                <c:pt idx="145">
                  <c:v>43672</c:v>
                </c:pt>
                <c:pt idx="146">
                  <c:v>43675</c:v>
                </c:pt>
                <c:pt idx="147">
                  <c:v>43676</c:v>
                </c:pt>
                <c:pt idx="148">
                  <c:v>43677</c:v>
                </c:pt>
                <c:pt idx="149">
                  <c:v>43678</c:v>
                </c:pt>
                <c:pt idx="150">
                  <c:v>43679</c:v>
                </c:pt>
                <c:pt idx="151">
                  <c:v>43682</c:v>
                </c:pt>
                <c:pt idx="152">
                  <c:v>43683</c:v>
                </c:pt>
                <c:pt idx="153">
                  <c:v>43684</c:v>
                </c:pt>
                <c:pt idx="154">
                  <c:v>43685</c:v>
                </c:pt>
                <c:pt idx="155">
                  <c:v>43686</c:v>
                </c:pt>
                <c:pt idx="156">
                  <c:v>43689</c:v>
                </c:pt>
                <c:pt idx="157">
                  <c:v>43690</c:v>
                </c:pt>
                <c:pt idx="158">
                  <c:v>43691</c:v>
                </c:pt>
                <c:pt idx="159">
                  <c:v>43692</c:v>
                </c:pt>
                <c:pt idx="160">
                  <c:v>43693</c:v>
                </c:pt>
                <c:pt idx="161">
                  <c:v>43696</c:v>
                </c:pt>
                <c:pt idx="162">
                  <c:v>43697</c:v>
                </c:pt>
                <c:pt idx="163">
                  <c:v>43698</c:v>
                </c:pt>
                <c:pt idx="164">
                  <c:v>43699</c:v>
                </c:pt>
                <c:pt idx="165">
                  <c:v>43700</c:v>
                </c:pt>
                <c:pt idx="166">
                  <c:v>43703</c:v>
                </c:pt>
                <c:pt idx="167">
                  <c:v>43704</c:v>
                </c:pt>
                <c:pt idx="168">
                  <c:v>43705</c:v>
                </c:pt>
                <c:pt idx="169">
                  <c:v>43706</c:v>
                </c:pt>
                <c:pt idx="170">
                  <c:v>43707</c:v>
                </c:pt>
                <c:pt idx="171">
                  <c:v>43710</c:v>
                </c:pt>
                <c:pt idx="172">
                  <c:v>43711</c:v>
                </c:pt>
                <c:pt idx="173">
                  <c:v>43712</c:v>
                </c:pt>
                <c:pt idx="174">
                  <c:v>43713</c:v>
                </c:pt>
                <c:pt idx="175">
                  <c:v>43714</c:v>
                </c:pt>
                <c:pt idx="176">
                  <c:v>43717</c:v>
                </c:pt>
                <c:pt idx="177">
                  <c:v>43718</c:v>
                </c:pt>
                <c:pt idx="178">
                  <c:v>43719</c:v>
                </c:pt>
                <c:pt idx="179">
                  <c:v>43720</c:v>
                </c:pt>
                <c:pt idx="180">
                  <c:v>43721</c:v>
                </c:pt>
                <c:pt idx="181">
                  <c:v>43724</c:v>
                </c:pt>
                <c:pt idx="182">
                  <c:v>43725</c:v>
                </c:pt>
                <c:pt idx="183">
                  <c:v>43726</c:v>
                </c:pt>
                <c:pt idx="184">
                  <c:v>43727</c:v>
                </c:pt>
                <c:pt idx="185">
                  <c:v>43728</c:v>
                </c:pt>
                <c:pt idx="186">
                  <c:v>43731</c:v>
                </c:pt>
                <c:pt idx="187">
                  <c:v>43732</c:v>
                </c:pt>
                <c:pt idx="188">
                  <c:v>43733</c:v>
                </c:pt>
                <c:pt idx="189">
                  <c:v>43734</c:v>
                </c:pt>
                <c:pt idx="190">
                  <c:v>43735</c:v>
                </c:pt>
                <c:pt idx="191">
                  <c:v>43738</c:v>
                </c:pt>
                <c:pt idx="192">
                  <c:v>43739</c:v>
                </c:pt>
                <c:pt idx="193">
                  <c:v>43740</c:v>
                </c:pt>
                <c:pt idx="194">
                  <c:v>43741</c:v>
                </c:pt>
                <c:pt idx="195">
                  <c:v>43742</c:v>
                </c:pt>
                <c:pt idx="196">
                  <c:v>43745</c:v>
                </c:pt>
                <c:pt idx="197">
                  <c:v>43746</c:v>
                </c:pt>
                <c:pt idx="198">
                  <c:v>43747</c:v>
                </c:pt>
                <c:pt idx="199">
                  <c:v>43748</c:v>
                </c:pt>
                <c:pt idx="200">
                  <c:v>43749</c:v>
                </c:pt>
                <c:pt idx="201">
                  <c:v>43752</c:v>
                </c:pt>
                <c:pt idx="202">
                  <c:v>43753</c:v>
                </c:pt>
                <c:pt idx="203">
                  <c:v>43754</c:v>
                </c:pt>
                <c:pt idx="204">
                  <c:v>43755</c:v>
                </c:pt>
                <c:pt idx="205">
                  <c:v>43756</c:v>
                </c:pt>
                <c:pt idx="206">
                  <c:v>43759</c:v>
                </c:pt>
                <c:pt idx="207">
                  <c:v>43760</c:v>
                </c:pt>
                <c:pt idx="208">
                  <c:v>43761</c:v>
                </c:pt>
                <c:pt idx="209">
                  <c:v>43762</c:v>
                </c:pt>
                <c:pt idx="210">
                  <c:v>43763</c:v>
                </c:pt>
                <c:pt idx="211">
                  <c:v>43766</c:v>
                </c:pt>
                <c:pt idx="212">
                  <c:v>43767</c:v>
                </c:pt>
                <c:pt idx="213">
                  <c:v>43768</c:v>
                </c:pt>
                <c:pt idx="214">
                  <c:v>43769</c:v>
                </c:pt>
                <c:pt idx="215">
                  <c:v>43770</c:v>
                </c:pt>
                <c:pt idx="216">
                  <c:v>43773</c:v>
                </c:pt>
                <c:pt idx="217">
                  <c:v>43774</c:v>
                </c:pt>
                <c:pt idx="218">
                  <c:v>43775</c:v>
                </c:pt>
                <c:pt idx="219">
                  <c:v>43776</c:v>
                </c:pt>
                <c:pt idx="220">
                  <c:v>43777</c:v>
                </c:pt>
                <c:pt idx="221">
                  <c:v>43780</c:v>
                </c:pt>
                <c:pt idx="222">
                  <c:v>43781</c:v>
                </c:pt>
                <c:pt idx="223">
                  <c:v>43782</c:v>
                </c:pt>
                <c:pt idx="224">
                  <c:v>43783</c:v>
                </c:pt>
                <c:pt idx="225">
                  <c:v>43784</c:v>
                </c:pt>
                <c:pt idx="226">
                  <c:v>43787</c:v>
                </c:pt>
                <c:pt idx="227">
                  <c:v>43788</c:v>
                </c:pt>
                <c:pt idx="228">
                  <c:v>43789</c:v>
                </c:pt>
                <c:pt idx="229">
                  <c:v>43790</c:v>
                </c:pt>
                <c:pt idx="230">
                  <c:v>43791</c:v>
                </c:pt>
                <c:pt idx="231">
                  <c:v>43794</c:v>
                </c:pt>
                <c:pt idx="232">
                  <c:v>43795</c:v>
                </c:pt>
                <c:pt idx="233">
                  <c:v>43796</c:v>
                </c:pt>
                <c:pt idx="234">
                  <c:v>43797</c:v>
                </c:pt>
                <c:pt idx="235">
                  <c:v>43798</c:v>
                </c:pt>
                <c:pt idx="236">
                  <c:v>43801</c:v>
                </c:pt>
                <c:pt idx="237">
                  <c:v>43802</c:v>
                </c:pt>
                <c:pt idx="238">
                  <c:v>43803</c:v>
                </c:pt>
                <c:pt idx="239">
                  <c:v>43804</c:v>
                </c:pt>
                <c:pt idx="240">
                  <c:v>43805</c:v>
                </c:pt>
                <c:pt idx="241">
                  <c:v>43808</c:v>
                </c:pt>
                <c:pt idx="242">
                  <c:v>43809</c:v>
                </c:pt>
                <c:pt idx="243">
                  <c:v>43810</c:v>
                </c:pt>
                <c:pt idx="244">
                  <c:v>43811</c:v>
                </c:pt>
                <c:pt idx="245">
                  <c:v>43812</c:v>
                </c:pt>
                <c:pt idx="246">
                  <c:v>43815</c:v>
                </c:pt>
                <c:pt idx="247">
                  <c:v>43816</c:v>
                </c:pt>
                <c:pt idx="248">
                  <c:v>43817</c:v>
                </c:pt>
                <c:pt idx="249">
                  <c:v>43818</c:v>
                </c:pt>
                <c:pt idx="250">
                  <c:v>43819</c:v>
                </c:pt>
                <c:pt idx="251">
                  <c:v>43822</c:v>
                </c:pt>
                <c:pt idx="252">
                  <c:v>43826</c:v>
                </c:pt>
                <c:pt idx="253">
                  <c:v>43829</c:v>
                </c:pt>
                <c:pt idx="254">
                  <c:v>43832</c:v>
                </c:pt>
                <c:pt idx="255">
                  <c:v>43833</c:v>
                </c:pt>
                <c:pt idx="256">
                  <c:v>43836</c:v>
                </c:pt>
                <c:pt idx="257">
                  <c:v>43837</c:v>
                </c:pt>
                <c:pt idx="258">
                  <c:v>43838</c:v>
                </c:pt>
                <c:pt idx="259">
                  <c:v>43839</c:v>
                </c:pt>
                <c:pt idx="260">
                  <c:v>43840</c:v>
                </c:pt>
                <c:pt idx="261">
                  <c:v>43843</c:v>
                </c:pt>
                <c:pt idx="262">
                  <c:v>43844</c:v>
                </c:pt>
                <c:pt idx="263">
                  <c:v>43845</c:v>
                </c:pt>
                <c:pt idx="264">
                  <c:v>43846</c:v>
                </c:pt>
                <c:pt idx="265">
                  <c:v>43847</c:v>
                </c:pt>
                <c:pt idx="266">
                  <c:v>43850</c:v>
                </c:pt>
                <c:pt idx="267">
                  <c:v>43851</c:v>
                </c:pt>
                <c:pt idx="268">
                  <c:v>43852</c:v>
                </c:pt>
                <c:pt idx="269">
                  <c:v>43853</c:v>
                </c:pt>
                <c:pt idx="270">
                  <c:v>43854</c:v>
                </c:pt>
                <c:pt idx="271">
                  <c:v>43857</c:v>
                </c:pt>
                <c:pt idx="272">
                  <c:v>43858</c:v>
                </c:pt>
                <c:pt idx="273">
                  <c:v>43859</c:v>
                </c:pt>
                <c:pt idx="274">
                  <c:v>43860</c:v>
                </c:pt>
                <c:pt idx="275">
                  <c:v>43861</c:v>
                </c:pt>
                <c:pt idx="276">
                  <c:v>43864</c:v>
                </c:pt>
                <c:pt idx="277">
                  <c:v>43865</c:v>
                </c:pt>
                <c:pt idx="278">
                  <c:v>43866</c:v>
                </c:pt>
                <c:pt idx="279">
                  <c:v>43867</c:v>
                </c:pt>
                <c:pt idx="280">
                  <c:v>43868</c:v>
                </c:pt>
                <c:pt idx="281">
                  <c:v>43871</c:v>
                </c:pt>
                <c:pt idx="282">
                  <c:v>43872</c:v>
                </c:pt>
                <c:pt idx="283">
                  <c:v>43873</c:v>
                </c:pt>
                <c:pt idx="284">
                  <c:v>43874</c:v>
                </c:pt>
                <c:pt idx="285">
                  <c:v>43875</c:v>
                </c:pt>
                <c:pt idx="286">
                  <c:v>43878</c:v>
                </c:pt>
                <c:pt idx="287">
                  <c:v>43879</c:v>
                </c:pt>
                <c:pt idx="288">
                  <c:v>43880</c:v>
                </c:pt>
                <c:pt idx="289">
                  <c:v>43881</c:v>
                </c:pt>
                <c:pt idx="290">
                  <c:v>43882</c:v>
                </c:pt>
                <c:pt idx="291">
                  <c:v>43885</c:v>
                </c:pt>
                <c:pt idx="292">
                  <c:v>43886</c:v>
                </c:pt>
                <c:pt idx="293">
                  <c:v>43887</c:v>
                </c:pt>
                <c:pt idx="294">
                  <c:v>43888</c:v>
                </c:pt>
                <c:pt idx="295">
                  <c:v>43889</c:v>
                </c:pt>
                <c:pt idx="296">
                  <c:v>43892</c:v>
                </c:pt>
                <c:pt idx="297">
                  <c:v>43893</c:v>
                </c:pt>
                <c:pt idx="298">
                  <c:v>43894</c:v>
                </c:pt>
                <c:pt idx="299">
                  <c:v>43895</c:v>
                </c:pt>
                <c:pt idx="300">
                  <c:v>43896</c:v>
                </c:pt>
                <c:pt idx="301">
                  <c:v>43899</c:v>
                </c:pt>
                <c:pt idx="302">
                  <c:v>43900</c:v>
                </c:pt>
                <c:pt idx="303">
                  <c:v>43901</c:v>
                </c:pt>
                <c:pt idx="304">
                  <c:v>43902</c:v>
                </c:pt>
                <c:pt idx="305">
                  <c:v>43903</c:v>
                </c:pt>
                <c:pt idx="306">
                  <c:v>43906</c:v>
                </c:pt>
                <c:pt idx="307">
                  <c:v>43907</c:v>
                </c:pt>
                <c:pt idx="308">
                  <c:v>43908</c:v>
                </c:pt>
                <c:pt idx="309">
                  <c:v>43909</c:v>
                </c:pt>
                <c:pt idx="310">
                  <c:v>43910</c:v>
                </c:pt>
                <c:pt idx="311">
                  <c:v>43913</c:v>
                </c:pt>
                <c:pt idx="312">
                  <c:v>43914</c:v>
                </c:pt>
                <c:pt idx="313">
                  <c:v>43915</c:v>
                </c:pt>
                <c:pt idx="314">
                  <c:v>43916</c:v>
                </c:pt>
                <c:pt idx="315">
                  <c:v>43917</c:v>
                </c:pt>
                <c:pt idx="316">
                  <c:v>43920</c:v>
                </c:pt>
                <c:pt idx="317">
                  <c:v>43921</c:v>
                </c:pt>
                <c:pt idx="318">
                  <c:v>43922</c:v>
                </c:pt>
                <c:pt idx="319">
                  <c:v>43923</c:v>
                </c:pt>
                <c:pt idx="320">
                  <c:v>43924</c:v>
                </c:pt>
                <c:pt idx="321">
                  <c:v>43927</c:v>
                </c:pt>
                <c:pt idx="322">
                  <c:v>43928</c:v>
                </c:pt>
                <c:pt idx="323">
                  <c:v>43929</c:v>
                </c:pt>
                <c:pt idx="324">
                  <c:v>43930</c:v>
                </c:pt>
                <c:pt idx="325">
                  <c:v>43931</c:v>
                </c:pt>
                <c:pt idx="326">
                  <c:v>43935</c:v>
                </c:pt>
                <c:pt idx="327">
                  <c:v>43936</c:v>
                </c:pt>
                <c:pt idx="328">
                  <c:v>43937</c:v>
                </c:pt>
                <c:pt idx="329">
                  <c:v>43938</c:v>
                </c:pt>
                <c:pt idx="330">
                  <c:v>43941</c:v>
                </c:pt>
                <c:pt idx="331">
                  <c:v>43942</c:v>
                </c:pt>
                <c:pt idx="332">
                  <c:v>43943</c:v>
                </c:pt>
                <c:pt idx="333">
                  <c:v>43944</c:v>
                </c:pt>
                <c:pt idx="334">
                  <c:v>43945</c:v>
                </c:pt>
                <c:pt idx="335">
                  <c:v>43948</c:v>
                </c:pt>
                <c:pt idx="336">
                  <c:v>43949</c:v>
                </c:pt>
                <c:pt idx="337">
                  <c:v>43950</c:v>
                </c:pt>
                <c:pt idx="338">
                  <c:v>43951</c:v>
                </c:pt>
                <c:pt idx="339">
                  <c:v>43955</c:v>
                </c:pt>
                <c:pt idx="340">
                  <c:v>43956</c:v>
                </c:pt>
                <c:pt idx="341">
                  <c:v>43957</c:v>
                </c:pt>
                <c:pt idx="342">
                  <c:v>43958</c:v>
                </c:pt>
                <c:pt idx="343">
                  <c:v>43959</c:v>
                </c:pt>
                <c:pt idx="344">
                  <c:v>43962</c:v>
                </c:pt>
                <c:pt idx="345">
                  <c:v>43963</c:v>
                </c:pt>
                <c:pt idx="346">
                  <c:v>43964</c:v>
                </c:pt>
                <c:pt idx="347">
                  <c:v>43965</c:v>
                </c:pt>
                <c:pt idx="348">
                  <c:v>43966</c:v>
                </c:pt>
                <c:pt idx="349">
                  <c:v>43969</c:v>
                </c:pt>
                <c:pt idx="350">
                  <c:v>43970</c:v>
                </c:pt>
                <c:pt idx="351">
                  <c:v>43971</c:v>
                </c:pt>
                <c:pt idx="352">
                  <c:v>43972</c:v>
                </c:pt>
                <c:pt idx="353">
                  <c:v>43973</c:v>
                </c:pt>
                <c:pt idx="354">
                  <c:v>43976</c:v>
                </c:pt>
                <c:pt idx="355">
                  <c:v>43977</c:v>
                </c:pt>
                <c:pt idx="356">
                  <c:v>43978</c:v>
                </c:pt>
                <c:pt idx="357">
                  <c:v>43979</c:v>
                </c:pt>
                <c:pt idx="358">
                  <c:v>43980</c:v>
                </c:pt>
                <c:pt idx="359">
                  <c:v>43983</c:v>
                </c:pt>
                <c:pt idx="360">
                  <c:v>43984</c:v>
                </c:pt>
                <c:pt idx="361">
                  <c:v>43985</c:v>
                </c:pt>
                <c:pt idx="362">
                  <c:v>43986</c:v>
                </c:pt>
                <c:pt idx="363">
                  <c:v>43987</c:v>
                </c:pt>
                <c:pt idx="364">
                  <c:v>43990</c:v>
                </c:pt>
                <c:pt idx="365">
                  <c:v>43991</c:v>
                </c:pt>
                <c:pt idx="366">
                  <c:v>43992</c:v>
                </c:pt>
                <c:pt idx="367">
                  <c:v>43993</c:v>
                </c:pt>
                <c:pt idx="368">
                  <c:v>43994</c:v>
                </c:pt>
                <c:pt idx="369">
                  <c:v>43997</c:v>
                </c:pt>
                <c:pt idx="370">
                  <c:v>43998</c:v>
                </c:pt>
                <c:pt idx="371">
                  <c:v>43999</c:v>
                </c:pt>
                <c:pt idx="372">
                  <c:v>44000</c:v>
                </c:pt>
                <c:pt idx="373">
                  <c:v>44001</c:v>
                </c:pt>
                <c:pt idx="374">
                  <c:v>44004</c:v>
                </c:pt>
                <c:pt idx="375">
                  <c:v>44005</c:v>
                </c:pt>
                <c:pt idx="376">
                  <c:v>44006</c:v>
                </c:pt>
                <c:pt idx="377">
                  <c:v>44007</c:v>
                </c:pt>
                <c:pt idx="378">
                  <c:v>44008</c:v>
                </c:pt>
                <c:pt idx="379">
                  <c:v>44011</c:v>
                </c:pt>
                <c:pt idx="380">
                  <c:v>44012</c:v>
                </c:pt>
                <c:pt idx="381">
                  <c:v>44013</c:v>
                </c:pt>
                <c:pt idx="382">
                  <c:v>44014</c:v>
                </c:pt>
                <c:pt idx="383">
                  <c:v>44015</c:v>
                </c:pt>
                <c:pt idx="384">
                  <c:v>44018</c:v>
                </c:pt>
                <c:pt idx="385">
                  <c:v>44019</c:v>
                </c:pt>
                <c:pt idx="386">
                  <c:v>44020</c:v>
                </c:pt>
                <c:pt idx="387">
                  <c:v>44021</c:v>
                </c:pt>
                <c:pt idx="388">
                  <c:v>44022</c:v>
                </c:pt>
                <c:pt idx="389">
                  <c:v>44025</c:v>
                </c:pt>
                <c:pt idx="390">
                  <c:v>44026</c:v>
                </c:pt>
                <c:pt idx="391">
                  <c:v>44027</c:v>
                </c:pt>
                <c:pt idx="392">
                  <c:v>44028</c:v>
                </c:pt>
                <c:pt idx="393">
                  <c:v>44029</c:v>
                </c:pt>
                <c:pt idx="394">
                  <c:v>44032</c:v>
                </c:pt>
                <c:pt idx="395">
                  <c:v>44033</c:v>
                </c:pt>
                <c:pt idx="396">
                  <c:v>44034</c:v>
                </c:pt>
                <c:pt idx="397">
                  <c:v>44035</c:v>
                </c:pt>
                <c:pt idx="398">
                  <c:v>44036</c:v>
                </c:pt>
                <c:pt idx="399">
                  <c:v>44039</c:v>
                </c:pt>
                <c:pt idx="400">
                  <c:v>44040</c:v>
                </c:pt>
                <c:pt idx="401">
                  <c:v>44041</c:v>
                </c:pt>
                <c:pt idx="402">
                  <c:v>44042</c:v>
                </c:pt>
                <c:pt idx="403">
                  <c:v>44043</c:v>
                </c:pt>
                <c:pt idx="404">
                  <c:v>44046</c:v>
                </c:pt>
                <c:pt idx="405">
                  <c:v>44047</c:v>
                </c:pt>
                <c:pt idx="406">
                  <c:v>44048</c:v>
                </c:pt>
                <c:pt idx="407">
                  <c:v>44049</c:v>
                </c:pt>
                <c:pt idx="408">
                  <c:v>44050</c:v>
                </c:pt>
                <c:pt idx="409">
                  <c:v>44053</c:v>
                </c:pt>
                <c:pt idx="410">
                  <c:v>44054</c:v>
                </c:pt>
                <c:pt idx="411">
                  <c:v>44055</c:v>
                </c:pt>
                <c:pt idx="412">
                  <c:v>44056</c:v>
                </c:pt>
                <c:pt idx="413">
                  <c:v>44057</c:v>
                </c:pt>
                <c:pt idx="414">
                  <c:v>44060</c:v>
                </c:pt>
                <c:pt idx="415">
                  <c:v>44061</c:v>
                </c:pt>
                <c:pt idx="416">
                  <c:v>44062</c:v>
                </c:pt>
                <c:pt idx="417">
                  <c:v>44063</c:v>
                </c:pt>
                <c:pt idx="418">
                  <c:v>44064</c:v>
                </c:pt>
                <c:pt idx="419">
                  <c:v>44067</c:v>
                </c:pt>
                <c:pt idx="420">
                  <c:v>44068</c:v>
                </c:pt>
                <c:pt idx="421">
                  <c:v>44069</c:v>
                </c:pt>
                <c:pt idx="422">
                  <c:v>44070</c:v>
                </c:pt>
                <c:pt idx="423">
                  <c:v>44071</c:v>
                </c:pt>
                <c:pt idx="424">
                  <c:v>44074</c:v>
                </c:pt>
                <c:pt idx="425">
                  <c:v>44075</c:v>
                </c:pt>
                <c:pt idx="426">
                  <c:v>44076</c:v>
                </c:pt>
                <c:pt idx="427">
                  <c:v>44077</c:v>
                </c:pt>
                <c:pt idx="428">
                  <c:v>44078</c:v>
                </c:pt>
                <c:pt idx="429">
                  <c:v>44081</c:v>
                </c:pt>
                <c:pt idx="430">
                  <c:v>44082</c:v>
                </c:pt>
                <c:pt idx="431">
                  <c:v>44083</c:v>
                </c:pt>
                <c:pt idx="432">
                  <c:v>44084</c:v>
                </c:pt>
                <c:pt idx="433">
                  <c:v>44085</c:v>
                </c:pt>
                <c:pt idx="434">
                  <c:v>44088</c:v>
                </c:pt>
                <c:pt idx="435">
                  <c:v>44089</c:v>
                </c:pt>
                <c:pt idx="436">
                  <c:v>44090</c:v>
                </c:pt>
                <c:pt idx="437">
                  <c:v>44091</c:v>
                </c:pt>
                <c:pt idx="438">
                  <c:v>44092</c:v>
                </c:pt>
                <c:pt idx="439">
                  <c:v>44095</c:v>
                </c:pt>
                <c:pt idx="440">
                  <c:v>44096</c:v>
                </c:pt>
                <c:pt idx="441">
                  <c:v>44097</c:v>
                </c:pt>
                <c:pt idx="442">
                  <c:v>44098</c:v>
                </c:pt>
                <c:pt idx="443">
                  <c:v>44099</c:v>
                </c:pt>
                <c:pt idx="444">
                  <c:v>44102</c:v>
                </c:pt>
                <c:pt idx="445">
                  <c:v>44103</c:v>
                </c:pt>
                <c:pt idx="446">
                  <c:v>44104</c:v>
                </c:pt>
                <c:pt idx="447">
                  <c:v>44105</c:v>
                </c:pt>
                <c:pt idx="448">
                  <c:v>44106</c:v>
                </c:pt>
                <c:pt idx="449">
                  <c:v>44109</c:v>
                </c:pt>
                <c:pt idx="450">
                  <c:v>44110</c:v>
                </c:pt>
                <c:pt idx="451">
                  <c:v>44111</c:v>
                </c:pt>
                <c:pt idx="452">
                  <c:v>44112</c:v>
                </c:pt>
                <c:pt idx="453">
                  <c:v>44113</c:v>
                </c:pt>
                <c:pt idx="454">
                  <c:v>44116</c:v>
                </c:pt>
                <c:pt idx="455">
                  <c:v>44117</c:v>
                </c:pt>
                <c:pt idx="456">
                  <c:v>44118</c:v>
                </c:pt>
                <c:pt idx="457">
                  <c:v>44119</c:v>
                </c:pt>
                <c:pt idx="458">
                  <c:v>44120</c:v>
                </c:pt>
                <c:pt idx="459">
                  <c:v>44123</c:v>
                </c:pt>
                <c:pt idx="460">
                  <c:v>44124</c:v>
                </c:pt>
                <c:pt idx="461">
                  <c:v>44125</c:v>
                </c:pt>
                <c:pt idx="462">
                  <c:v>44126</c:v>
                </c:pt>
                <c:pt idx="463">
                  <c:v>44127</c:v>
                </c:pt>
                <c:pt idx="464">
                  <c:v>44130</c:v>
                </c:pt>
                <c:pt idx="465">
                  <c:v>44131</c:v>
                </c:pt>
                <c:pt idx="466">
                  <c:v>44132</c:v>
                </c:pt>
                <c:pt idx="467">
                  <c:v>44133</c:v>
                </c:pt>
                <c:pt idx="468">
                  <c:v>44134</c:v>
                </c:pt>
                <c:pt idx="469">
                  <c:v>44137</c:v>
                </c:pt>
                <c:pt idx="470">
                  <c:v>44138</c:v>
                </c:pt>
                <c:pt idx="471">
                  <c:v>44139</c:v>
                </c:pt>
                <c:pt idx="472">
                  <c:v>44140</c:v>
                </c:pt>
                <c:pt idx="473">
                  <c:v>44141</c:v>
                </c:pt>
                <c:pt idx="474">
                  <c:v>44144</c:v>
                </c:pt>
                <c:pt idx="475">
                  <c:v>44145</c:v>
                </c:pt>
                <c:pt idx="476">
                  <c:v>44146</c:v>
                </c:pt>
                <c:pt idx="477">
                  <c:v>44147</c:v>
                </c:pt>
                <c:pt idx="478">
                  <c:v>44148</c:v>
                </c:pt>
                <c:pt idx="479">
                  <c:v>44151</c:v>
                </c:pt>
                <c:pt idx="480">
                  <c:v>44152</c:v>
                </c:pt>
                <c:pt idx="481">
                  <c:v>44153</c:v>
                </c:pt>
                <c:pt idx="482">
                  <c:v>44154</c:v>
                </c:pt>
                <c:pt idx="483">
                  <c:v>44155</c:v>
                </c:pt>
                <c:pt idx="484">
                  <c:v>44158</c:v>
                </c:pt>
                <c:pt idx="485">
                  <c:v>44159</c:v>
                </c:pt>
                <c:pt idx="486">
                  <c:v>44160</c:v>
                </c:pt>
                <c:pt idx="487">
                  <c:v>44161</c:v>
                </c:pt>
                <c:pt idx="488">
                  <c:v>44162</c:v>
                </c:pt>
                <c:pt idx="489">
                  <c:v>44165</c:v>
                </c:pt>
                <c:pt idx="490">
                  <c:v>44166</c:v>
                </c:pt>
                <c:pt idx="491">
                  <c:v>44167</c:v>
                </c:pt>
                <c:pt idx="492">
                  <c:v>44168</c:v>
                </c:pt>
                <c:pt idx="493">
                  <c:v>44169</c:v>
                </c:pt>
                <c:pt idx="494">
                  <c:v>44172</c:v>
                </c:pt>
                <c:pt idx="495">
                  <c:v>44173</c:v>
                </c:pt>
                <c:pt idx="496">
                  <c:v>44174</c:v>
                </c:pt>
                <c:pt idx="497">
                  <c:v>44175</c:v>
                </c:pt>
                <c:pt idx="498">
                  <c:v>44176</c:v>
                </c:pt>
                <c:pt idx="499">
                  <c:v>44179</c:v>
                </c:pt>
                <c:pt idx="500">
                  <c:v>44180</c:v>
                </c:pt>
                <c:pt idx="501">
                  <c:v>44181</c:v>
                </c:pt>
                <c:pt idx="502">
                  <c:v>44182</c:v>
                </c:pt>
                <c:pt idx="503">
                  <c:v>44183</c:v>
                </c:pt>
                <c:pt idx="504">
                  <c:v>44186</c:v>
                </c:pt>
                <c:pt idx="505">
                  <c:v>44187</c:v>
                </c:pt>
                <c:pt idx="506">
                  <c:v>44188</c:v>
                </c:pt>
                <c:pt idx="507">
                  <c:v>44189</c:v>
                </c:pt>
                <c:pt idx="508">
                  <c:v>44190</c:v>
                </c:pt>
                <c:pt idx="509">
                  <c:v>44193</c:v>
                </c:pt>
                <c:pt idx="510">
                  <c:v>44194</c:v>
                </c:pt>
                <c:pt idx="511">
                  <c:v>44195</c:v>
                </c:pt>
                <c:pt idx="512">
                  <c:v>44200</c:v>
                </c:pt>
                <c:pt idx="513">
                  <c:v>44201</c:v>
                </c:pt>
                <c:pt idx="514">
                  <c:v>44202</c:v>
                </c:pt>
                <c:pt idx="515">
                  <c:v>44203</c:v>
                </c:pt>
                <c:pt idx="516">
                  <c:v>44204</c:v>
                </c:pt>
                <c:pt idx="517">
                  <c:v>44207</c:v>
                </c:pt>
                <c:pt idx="518">
                  <c:v>44208</c:v>
                </c:pt>
                <c:pt idx="519">
                  <c:v>44209</c:v>
                </c:pt>
                <c:pt idx="520">
                  <c:v>44210</c:v>
                </c:pt>
                <c:pt idx="521">
                  <c:v>44211</c:v>
                </c:pt>
                <c:pt idx="522">
                  <c:v>44214</c:v>
                </c:pt>
                <c:pt idx="523">
                  <c:v>44215</c:v>
                </c:pt>
                <c:pt idx="524">
                  <c:v>44216</c:v>
                </c:pt>
                <c:pt idx="525">
                  <c:v>44217</c:v>
                </c:pt>
                <c:pt idx="526">
                  <c:v>44218</c:v>
                </c:pt>
                <c:pt idx="527">
                  <c:v>44221</c:v>
                </c:pt>
                <c:pt idx="528">
                  <c:v>44222</c:v>
                </c:pt>
                <c:pt idx="529">
                  <c:v>44223</c:v>
                </c:pt>
                <c:pt idx="530">
                  <c:v>44224</c:v>
                </c:pt>
                <c:pt idx="531">
                  <c:v>44225</c:v>
                </c:pt>
                <c:pt idx="532">
                  <c:v>44228</c:v>
                </c:pt>
                <c:pt idx="533">
                  <c:v>44229</c:v>
                </c:pt>
                <c:pt idx="534">
                  <c:v>44230</c:v>
                </c:pt>
                <c:pt idx="535">
                  <c:v>44231</c:v>
                </c:pt>
                <c:pt idx="536">
                  <c:v>44232</c:v>
                </c:pt>
                <c:pt idx="537">
                  <c:v>44235</c:v>
                </c:pt>
                <c:pt idx="538">
                  <c:v>44236</c:v>
                </c:pt>
                <c:pt idx="539">
                  <c:v>44237</c:v>
                </c:pt>
                <c:pt idx="540">
                  <c:v>44238</c:v>
                </c:pt>
                <c:pt idx="541">
                  <c:v>44239</c:v>
                </c:pt>
                <c:pt idx="542">
                  <c:v>44242</c:v>
                </c:pt>
                <c:pt idx="543">
                  <c:v>44243</c:v>
                </c:pt>
                <c:pt idx="544">
                  <c:v>44244</c:v>
                </c:pt>
                <c:pt idx="545">
                  <c:v>44245</c:v>
                </c:pt>
                <c:pt idx="546">
                  <c:v>44246</c:v>
                </c:pt>
                <c:pt idx="547">
                  <c:v>44249</c:v>
                </c:pt>
                <c:pt idx="548">
                  <c:v>44250</c:v>
                </c:pt>
                <c:pt idx="549">
                  <c:v>44251</c:v>
                </c:pt>
                <c:pt idx="550">
                  <c:v>44252</c:v>
                </c:pt>
                <c:pt idx="551">
                  <c:v>44253</c:v>
                </c:pt>
                <c:pt idx="552">
                  <c:v>44256</c:v>
                </c:pt>
                <c:pt idx="553">
                  <c:v>44257</c:v>
                </c:pt>
                <c:pt idx="554">
                  <c:v>44258</c:v>
                </c:pt>
                <c:pt idx="555">
                  <c:v>44259</c:v>
                </c:pt>
                <c:pt idx="556">
                  <c:v>44260</c:v>
                </c:pt>
                <c:pt idx="557">
                  <c:v>44263</c:v>
                </c:pt>
                <c:pt idx="558">
                  <c:v>44264</c:v>
                </c:pt>
                <c:pt idx="559">
                  <c:v>44265</c:v>
                </c:pt>
                <c:pt idx="560">
                  <c:v>44266</c:v>
                </c:pt>
                <c:pt idx="561">
                  <c:v>44263</c:v>
                </c:pt>
                <c:pt idx="562">
                  <c:v>44264</c:v>
                </c:pt>
                <c:pt idx="563">
                  <c:v>44265</c:v>
                </c:pt>
                <c:pt idx="564">
                  <c:v>44266</c:v>
                </c:pt>
                <c:pt idx="565">
                  <c:v>44267</c:v>
                </c:pt>
                <c:pt idx="566">
                  <c:v>44270</c:v>
                </c:pt>
                <c:pt idx="567">
                  <c:v>44271</c:v>
                </c:pt>
                <c:pt idx="568">
                  <c:v>44272</c:v>
                </c:pt>
                <c:pt idx="569">
                  <c:v>44273</c:v>
                </c:pt>
                <c:pt idx="570">
                  <c:v>44274</c:v>
                </c:pt>
                <c:pt idx="571">
                  <c:v>44277</c:v>
                </c:pt>
                <c:pt idx="572">
                  <c:v>44278</c:v>
                </c:pt>
                <c:pt idx="573">
                  <c:v>44279</c:v>
                </c:pt>
                <c:pt idx="574">
                  <c:v>44280</c:v>
                </c:pt>
                <c:pt idx="575">
                  <c:v>44281</c:v>
                </c:pt>
                <c:pt idx="576">
                  <c:v>44284</c:v>
                </c:pt>
                <c:pt idx="577">
                  <c:v>44285</c:v>
                </c:pt>
                <c:pt idx="578">
                  <c:v>44286</c:v>
                </c:pt>
                <c:pt idx="579">
                  <c:v>44287</c:v>
                </c:pt>
                <c:pt idx="580">
                  <c:v>44288</c:v>
                </c:pt>
                <c:pt idx="581">
                  <c:v>44292</c:v>
                </c:pt>
                <c:pt idx="582">
                  <c:v>44293</c:v>
                </c:pt>
                <c:pt idx="583">
                  <c:v>44294</c:v>
                </c:pt>
                <c:pt idx="584">
                  <c:v>44295</c:v>
                </c:pt>
                <c:pt idx="585">
                  <c:v>44298</c:v>
                </c:pt>
                <c:pt idx="586">
                  <c:v>44299</c:v>
                </c:pt>
                <c:pt idx="587">
                  <c:v>44300</c:v>
                </c:pt>
                <c:pt idx="588">
                  <c:v>44301</c:v>
                </c:pt>
                <c:pt idx="589">
                  <c:v>44302</c:v>
                </c:pt>
                <c:pt idx="590">
                  <c:v>44305</c:v>
                </c:pt>
                <c:pt idx="591">
                  <c:v>44306</c:v>
                </c:pt>
                <c:pt idx="592">
                  <c:v>44307</c:v>
                </c:pt>
                <c:pt idx="593">
                  <c:v>44308</c:v>
                </c:pt>
                <c:pt idx="594">
                  <c:v>44309</c:v>
                </c:pt>
                <c:pt idx="595">
                  <c:v>44312</c:v>
                </c:pt>
                <c:pt idx="596">
                  <c:v>44313</c:v>
                </c:pt>
                <c:pt idx="597">
                  <c:v>44314</c:v>
                </c:pt>
                <c:pt idx="598">
                  <c:v>44315</c:v>
                </c:pt>
                <c:pt idx="599">
                  <c:v>44316</c:v>
                </c:pt>
                <c:pt idx="600">
                  <c:v>44319</c:v>
                </c:pt>
                <c:pt idx="601">
                  <c:v>44320</c:v>
                </c:pt>
                <c:pt idx="602">
                  <c:v>44321</c:v>
                </c:pt>
                <c:pt idx="603">
                  <c:v>44322</c:v>
                </c:pt>
                <c:pt idx="604">
                  <c:v>44323</c:v>
                </c:pt>
                <c:pt idx="605">
                  <c:v>44326</c:v>
                </c:pt>
                <c:pt idx="606">
                  <c:v>44327</c:v>
                </c:pt>
                <c:pt idx="607">
                  <c:v>44328</c:v>
                </c:pt>
                <c:pt idx="608">
                  <c:v>44329</c:v>
                </c:pt>
                <c:pt idx="609">
                  <c:v>44330</c:v>
                </c:pt>
                <c:pt idx="610">
                  <c:v>44333</c:v>
                </c:pt>
                <c:pt idx="611">
                  <c:v>44334</c:v>
                </c:pt>
                <c:pt idx="612">
                  <c:v>44335</c:v>
                </c:pt>
                <c:pt idx="613">
                  <c:v>44336</c:v>
                </c:pt>
                <c:pt idx="614">
                  <c:v>44337</c:v>
                </c:pt>
                <c:pt idx="615">
                  <c:v>44340</c:v>
                </c:pt>
                <c:pt idx="616">
                  <c:v>44341</c:v>
                </c:pt>
                <c:pt idx="617">
                  <c:v>44342</c:v>
                </c:pt>
                <c:pt idx="618">
                  <c:v>44343</c:v>
                </c:pt>
                <c:pt idx="619">
                  <c:v>44344</c:v>
                </c:pt>
                <c:pt idx="620">
                  <c:v>44347</c:v>
                </c:pt>
                <c:pt idx="621">
                  <c:v>44348</c:v>
                </c:pt>
                <c:pt idx="622">
                  <c:v>44349</c:v>
                </c:pt>
                <c:pt idx="623">
                  <c:v>44350</c:v>
                </c:pt>
                <c:pt idx="624">
                  <c:v>44351</c:v>
                </c:pt>
                <c:pt idx="625">
                  <c:v>44354</c:v>
                </c:pt>
                <c:pt idx="626">
                  <c:v>44355</c:v>
                </c:pt>
                <c:pt idx="627">
                  <c:v>44356</c:v>
                </c:pt>
                <c:pt idx="628">
                  <c:v>44357</c:v>
                </c:pt>
                <c:pt idx="629">
                  <c:v>44358</c:v>
                </c:pt>
                <c:pt idx="630">
                  <c:v>44361</c:v>
                </c:pt>
                <c:pt idx="631">
                  <c:v>44362</c:v>
                </c:pt>
                <c:pt idx="632">
                  <c:v>44363</c:v>
                </c:pt>
                <c:pt idx="633">
                  <c:v>44364</c:v>
                </c:pt>
                <c:pt idx="634">
                  <c:v>44365</c:v>
                </c:pt>
                <c:pt idx="635">
                  <c:v>44368</c:v>
                </c:pt>
                <c:pt idx="636">
                  <c:v>44369</c:v>
                </c:pt>
                <c:pt idx="637">
                  <c:v>44370</c:v>
                </c:pt>
                <c:pt idx="638">
                  <c:v>44371</c:v>
                </c:pt>
                <c:pt idx="639">
                  <c:v>44372</c:v>
                </c:pt>
                <c:pt idx="640">
                  <c:v>44375</c:v>
                </c:pt>
                <c:pt idx="641">
                  <c:v>44376</c:v>
                </c:pt>
                <c:pt idx="642">
                  <c:v>44377</c:v>
                </c:pt>
                <c:pt idx="643">
                  <c:v>44378</c:v>
                </c:pt>
                <c:pt idx="644">
                  <c:v>44379</c:v>
                </c:pt>
                <c:pt idx="645">
                  <c:v>44382</c:v>
                </c:pt>
                <c:pt idx="646">
                  <c:v>44383</c:v>
                </c:pt>
                <c:pt idx="647">
                  <c:v>44384</c:v>
                </c:pt>
                <c:pt idx="648">
                  <c:v>44385</c:v>
                </c:pt>
                <c:pt idx="649">
                  <c:v>44386</c:v>
                </c:pt>
                <c:pt idx="650">
                  <c:v>44389</c:v>
                </c:pt>
                <c:pt idx="651">
                  <c:v>44390</c:v>
                </c:pt>
                <c:pt idx="652">
                  <c:v>44391</c:v>
                </c:pt>
                <c:pt idx="653">
                  <c:v>44392</c:v>
                </c:pt>
                <c:pt idx="654">
                  <c:v>44393</c:v>
                </c:pt>
                <c:pt idx="655">
                  <c:v>44396</c:v>
                </c:pt>
                <c:pt idx="656">
                  <c:v>44397</c:v>
                </c:pt>
                <c:pt idx="657">
                  <c:v>44398</c:v>
                </c:pt>
                <c:pt idx="658">
                  <c:v>44399</c:v>
                </c:pt>
                <c:pt idx="659">
                  <c:v>44400</c:v>
                </c:pt>
                <c:pt idx="660">
                  <c:v>44403</c:v>
                </c:pt>
                <c:pt idx="661">
                  <c:v>44404</c:v>
                </c:pt>
                <c:pt idx="662">
                  <c:v>44405</c:v>
                </c:pt>
                <c:pt idx="663">
                  <c:v>44406</c:v>
                </c:pt>
                <c:pt idx="664">
                  <c:v>44407</c:v>
                </c:pt>
                <c:pt idx="665">
                  <c:v>44410</c:v>
                </c:pt>
                <c:pt idx="666">
                  <c:v>44411</c:v>
                </c:pt>
                <c:pt idx="667">
                  <c:v>44412</c:v>
                </c:pt>
                <c:pt idx="668">
                  <c:v>44413</c:v>
                </c:pt>
                <c:pt idx="669">
                  <c:v>44414</c:v>
                </c:pt>
                <c:pt idx="670">
                  <c:v>44417</c:v>
                </c:pt>
                <c:pt idx="671">
                  <c:v>44418</c:v>
                </c:pt>
                <c:pt idx="672">
                  <c:v>44419</c:v>
                </c:pt>
                <c:pt idx="673">
                  <c:v>44420</c:v>
                </c:pt>
                <c:pt idx="674">
                  <c:v>44421</c:v>
                </c:pt>
                <c:pt idx="675">
                  <c:v>44424</c:v>
                </c:pt>
                <c:pt idx="676">
                  <c:v>44425</c:v>
                </c:pt>
                <c:pt idx="677">
                  <c:v>44426</c:v>
                </c:pt>
                <c:pt idx="678">
                  <c:v>44427</c:v>
                </c:pt>
                <c:pt idx="679">
                  <c:v>44428</c:v>
                </c:pt>
                <c:pt idx="680">
                  <c:v>44431</c:v>
                </c:pt>
                <c:pt idx="681">
                  <c:v>44432</c:v>
                </c:pt>
                <c:pt idx="682">
                  <c:v>44433</c:v>
                </c:pt>
                <c:pt idx="683">
                  <c:v>44434</c:v>
                </c:pt>
                <c:pt idx="684">
                  <c:v>44435</c:v>
                </c:pt>
                <c:pt idx="685">
                  <c:v>44438</c:v>
                </c:pt>
                <c:pt idx="686">
                  <c:v>44439</c:v>
                </c:pt>
                <c:pt idx="687">
                  <c:v>44440</c:v>
                </c:pt>
                <c:pt idx="688">
                  <c:v>44441</c:v>
                </c:pt>
                <c:pt idx="689">
                  <c:v>44442</c:v>
                </c:pt>
                <c:pt idx="690">
                  <c:v>44445</c:v>
                </c:pt>
                <c:pt idx="691">
                  <c:v>44446</c:v>
                </c:pt>
                <c:pt idx="692">
                  <c:v>44447</c:v>
                </c:pt>
                <c:pt idx="693">
                  <c:v>44448</c:v>
                </c:pt>
                <c:pt idx="694">
                  <c:v>44449</c:v>
                </c:pt>
                <c:pt idx="695">
                  <c:v>44452</c:v>
                </c:pt>
                <c:pt idx="696">
                  <c:v>44453</c:v>
                </c:pt>
                <c:pt idx="697">
                  <c:v>44454</c:v>
                </c:pt>
                <c:pt idx="698">
                  <c:v>44455</c:v>
                </c:pt>
                <c:pt idx="699">
                  <c:v>44456</c:v>
                </c:pt>
                <c:pt idx="700">
                  <c:v>44459</c:v>
                </c:pt>
                <c:pt idx="701">
                  <c:v>44460</c:v>
                </c:pt>
                <c:pt idx="702">
                  <c:v>44461</c:v>
                </c:pt>
                <c:pt idx="703">
                  <c:v>44462</c:v>
                </c:pt>
                <c:pt idx="704">
                  <c:v>44463</c:v>
                </c:pt>
                <c:pt idx="705">
                  <c:v>44466</c:v>
                </c:pt>
                <c:pt idx="706">
                  <c:v>44467</c:v>
                </c:pt>
                <c:pt idx="707">
                  <c:v>44468</c:v>
                </c:pt>
                <c:pt idx="708">
                  <c:v>44469</c:v>
                </c:pt>
                <c:pt idx="709">
                  <c:v>44470</c:v>
                </c:pt>
                <c:pt idx="710">
                  <c:v>44473</c:v>
                </c:pt>
                <c:pt idx="711">
                  <c:v>44474</c:v>
                </c:pt>
                <c:pt idx="712">
                  <c:v>44475</c:v>
                </c:pt>
                <c:pt idx="713">
                  <c:v>44476</c:v>
                </c:pt>
                <c:pt idx="714">
                  <c:v>44477</c:v>
                </c:pt>
                <c:pt idx="715">
                  <c:v>44480</c:v>
                </c:pt>
                <c:pt idx="716">
                  <c:v>44481</c:v>
                </c:pt>
                <c:pt idx="717">
                  <c:v>44482</c:v>
                </c:pt>
                <c:pt idx="718">
                  <c:v>44483</c:v>
                </c:pt>
                <c:pt idx="719">
                  <c:v>44484</c:v>
                </c:pt>
                <c:pt idx="720">
                  <c:v>44487</c:v>
                </c:pt>
                <c:pt idx="721">
                  <c:v>44488</c:v>
                </c:pt>
                <c:pt idx="722">
                  <c:v>44489</c:v>
                </c:pt>
                <c:pt idx="723">
                  <c:v>44490</c:v>
                </c:pt>
                <c:pt idx="724">
                  <c:v>44491</c:v>
                </c:pt>
                <c:pt idx="725">
                  <c:v>44494</c:v>
                </c:pt>
                <c:pt idx="726">
                  <c:v>44495</c:v>
                </c:pt>
                <c:pt idx="727">
                  <c:v>44496</c:v>
                </c:pt>
                <c:pt idx="728">
                  <c:v>44497</c:v>
                </c:pt>
                <c:pt idx="729">
                  <c:v>44498</c:v>
                </c:pt>
                <c:pt idx="730">
                  <c:v>44501</c:v>
                </c:pt>
                <c:pt idx="731">
                  <c:v>44502</c:v>
                </c:pt>
                <c:pt idx="732">
                  <c:v>44503</c:v>
                </c:pt>
                <c:pt idx="733">
                  <c:v>44504</c:v>
                </c:pt>
                <c:pt idx="734">
                  <c:v>44505</c:v>
                </c:pt>
                <c:pt idx="735">
                  <c:v>44508</c:v>
                </c:pt>
                <c:pt idx="736">
                  <c:v>44509</c:v>
                </c:pt>
                <c:pt idx="737">
                  <c:v>44510</c:v>
                </c:pt>
                <c:pt idx="738">
                  <c:v>44511</c:v>
                </c:pt>
                <c:pt idx="739">
                  <c:v>44512</c:v>
                </c:pt>
                <c:pt idx="740">
                  <c:v>44515</c:v>
                </c:pt>
                <c:pt idx="741">
                  <c:v>44516</c:v>
                </c:pt>
                <c:pt idx="742">
                  <c:v>44517</c:v>
                </c:pt>
                <c:pt idx="743">
                  <c:v>44518</c:v>
                </c:pt>
                <c:pt idx="744">
                  <c:v>44519</c:v>
                </c:pt>
                <c:pt idx="745">
                  <c:v>44522</c:v>
                </c:pt>
                <c:pt idx="746">
                  <c:v>44523</c:v>
                </c:pt>
                <c:pt idx="747">
                  <c:v>44524</c:v>
                </c:pt>
                <c:pt idx="748">
                  <c:v>44525</c:v>
                </c:pt>
                <c:pt idx="749">
                  <c:v>44526</c:v>
                </c:pt>
                <c:pt idx="750">
                  <c:v>44529</c:v>
                </c:pt>
                <c:pt idx="751">
                  <c:v>44530</c:v>
                </c:pt>
                <c:pt idx="752">
                  <c:v>44531</c:v>
                </c:pt>
                <c:pt idx="753">
                  <c:v>44532</c:v>
                </c:pt>
                <c:pt idx="754">
                  <c:v>44533</c:v>
                </c:pt>
                <c:pt idx="755">
                  <c:v>44536</c:v>
                </c:pt>
                <c:pt idx="756">
                  <c:v>44537</c:v>
                </c:pt>
                <c:pt idx="757">
                  <c:v>44538</c:v>
                </c:pt>
                <c:pt idx="758">
                  <c:v>44539</c:v>
                </c:pt>
                <c:pt idx="759">
                  <c:v>44540</c:v>
                </c:pt>
                <c:pt idx="760">
                  <c:v>44543</c:v>
                </c:pt>
                <c:pt idx="761">
                  <c:v>44544</c:v>
                </c:pt>
                <c:pt idx="762">
                  <c:v>44545</c:v>
                </c:pt>
                <c:pt idx="763">
                  <c:v>44546</c:v>
                </c:pt>
                <c:pt idx="764">
                  <c:v>44547</c:v>
                </c:pt>
                <c:pt idx="765">
                  <c:v>44550</c:v>
                </c:pt>
                <c:pt idx="766">
                  <c:v>44551</c:v>
                </c:pt>
                <c:pt idx="767">
                  <c:v>44552</c:v>
                </c:pt>
                <c:pt idx="768">
                  <c:v>44553</c:v>
                </c:pt>
                <c:pt idx="769">
                  <c:v>44554</c:v>
                </c:pt>
                <c:pt idx="770">
                  <c:v>44557</c:v>
                </c:pt>
                <c:pt idx="771">
                  <c:v>44558</c:v>
                </c:pt>
                <c:pt idx="772">
                  <c:v>44559</c:v>
                </c:pt>
                <c:pt idx="773">
                  <c:v>44560</c:v>
                </c:pt>
                <c:pt idx="774">
                  <c:v>44561</c:v>
                </c:pt>
                <c:pt idx="775">
                  <c:v>44564</c:v>
                </c:pt>
                <c:pt idx="776">
                  <c:v>44565</c:v>
                </c:pt>
                <c:pt idx="777">
                  <c:v>44566</c:v>
                </c:pt>
                <c:pt idx="778">
                  <c:v>44567</c:v>
                </c:pt>
                <c:pt idx="779">
                  <c:v>44568</c:v>
                </c:pt>
                <c:pt idx="780">
                  <c:v>44571</c:v>
                </c:pt>
                <c:pt idx="781">
                  <c:v>44572</c:v>
                </c:pt>
                <c:pt idx="782">
                  <c:v>44573</c:v>
                </c:pt>
                <c:pt idx="783">
                  <c:v>44574</c:v>
                </c:pt>
                <c:pt idx="784">
                  <c:v>44575</c:v>
                </c:pt>
                <c:pt idx="785">
                  <c:v>44578</c:v>
                </c:pt>
                <c:pt idx="786">
                  <c:v>44579</c:v>
                </c:pt>
                <c:pt idx="787">
                  <c:v>44580</c:v>
                </c:pt>
                <c:pt idx="788">
                  <c:v>44581</c:v>
                </c:pt>
                <c:pt idx="789">
                  <c:v>44582</c:v>
                </c:pt>
                <c:pt idx="790">
                  <c:v>44585</c:v>
                </c:pt>
                <c:pt idx="791">
                  <c:v>44586</c:v>
                </c:pt>
                <c:pt idx="792">
                  <c:v>44587</c:v>
                </c:pt>
                <c:pt idx="793">
                  <c:v>44588</c:v>
                </c:pt>
                <c:pt idx="794">
                  <c:v>44589</c:v>
                </c:pt>
                <c:pt idx="795">
                  <c:v>44592</c:v>
                </c:pt>
                <c:pt idx="796">
                  <c:v>44593</c:v>
                </c:pt>
                <c:pt idx="797">
                  <c:v>44594</c:v>
                </c:pt>
                <c:pt idx="798">
                  <c:v>44595</c:v>
                </c:pt>
                <c:pt idx="799">
                  <c:v>44596</c:v>
                </c:pt>
                <c:pt idx="800">
                  <c:v>44599</c:v>
                </c:pt>
                <c:pt idx="801">
                  <c:v>44600</c:v>
                </c:pt>
                <c:pt idx="802">
                  <c:v>44601</c:v>
                </c:pt>
                <c:pt idx="803">
                  <c:v>44602</c:v>
                </c:pt>
                <c:pt idx="804">
                  <c:v>44603</c:v>
                </c:pt>
                <c:pt idx="805">
                  <c:v>44606</c:v>
                </c:pt>
                <c:pt idx="806">
                  <c:v>44607</c:v>
                </c:pt>
                <c:pt idx="807">
                  <c:v>44608</c:v>
                </c:pt>
                <c:pt idx="808">
                  <c:v>44609</c:v>
                </c:pt>
                <c:pt idx="809">
                  <c:v>44610</c:v>
                </c:pt>
                <c:pt idx="810">
                  <c:v>44613</c:v>
                </c:pt>
                <c:pt idx="811">
                  <c:v>44614</c:v>
                </c:pt>
                <c:pt idx="812">
                  <c:v>44615</c:v>
                </c:pt>
                <c:pt idx="813">
                  <c:v>44616</c:v>
                </c:pt>
                <c:pt idx="814">
                  <c:v>44617</c:v>
                </c:pt>
                <c:pt idx="815">
                  <c:v>44620</c:v>
                </c:pt>
                <c:pt idx="816">
                  <c:v>44621</c:v>
                </c:pt>
                <c:pt idx="817">
                  <c:v>44622</c:v>
                </c:pt>
                <c:pt idx="818">
                  <c:v>44623</c:v>
                </c:pt>
                <c:pt idx="819">
                  <c:v>44624</c:v>
                </c:pt>
                <c:pt idx="820">
                  <c:v>44627</c:v>
                </c:pt>
                <c:pt idx="821">
                  <c:v>44628</c:v>
                </c:pt>
                <c:pt idx="822">
                  <c:v>44629</c:v>
                </c:pt>
                <c:pt idx="823">
                  <c:v>44630</c:v>
                </c:pt>
                <c:pt idx="824">
                  <c:v>44631</c:v>
                </c:pt>
                <c:pt idx="825">
                  <c:v>44634</c:v>
                </c:pt>
                <c:pt idx="826">
                  <c:v>44635</c:v>
                </c:pt>
                <c:pt idx="827">
                  <c:v>44636</c:v>
                </c:pt>
                <c:pt idx="828">
                  <c:v>44637</c:v>
                </c:pt>
                <c:pt idx="829">
                  <c:v>44638</c:v>
                </c:pt>
                <c:pt idx="830">
                  <c:v>44641</c:v>
                </c:pt>
                <c:pt idx="831">
                  <c:v>44642</c:v>
                </c:pt>
                <c:pt idx="832">
                  <c:v>44643</c:v>
                </c:pt>
                <c:pt idx="833">
                  <c:v>44644</c:v>
                </c:pt>
                <c:pt idx="834">
                  <c:v>44645</c:v>
                </c:pt>
                <c:pt idx="835">
                  <c:v>44648</c:v>
                </c:pt>
                <c:pt idx="836">
                  <c:v>44649</c:v>
                </c:pt>
                <c:pt idx="837">
                  <c:v>44650</c:v>
                </c:pt>
                <c:pt idx="838">
                  <c:v>44651</c:v>
                </c:pt>
                <c:pt idx="839">
                  <c:v>44652</c:v>
                </c:pt>
                <c:pt idx="840">
                  <c:v>44655</c:v>
                </c:pt>
                <c:pt idx="841">
                  <c:v>44656</c:v>
                </c:pt>
                <c:pt idx="842">
                  <c:v>44657</c:v>
                </c:pt>
                <c:pt idx="843">
                  <c:v>44658</c:v>
                </c:pt>
                <c:pt idx="844">
                  <c:v>44659</c:v>
                </c:pt>
                <c:pt idx="845">
                  <c:v>44662</c:v>
                </c:pt>
                <c:pt idx="846">
                  <c:v>44663</c:v>
                </c:pt>
                <c:pt idx="847">
                  <c:v>44664</c:v>
                </c:pt>
                <c:pt idx="848">
                  <c:v>44665</c:v>
                </c:pt>
                <c:pt idx="849">
                  <c:v>44666</c:v>
                </c:pt>
                <c:pt idx="850">
                  <c:v>44670</c:v>
                </c:pt>
                <c:pt idx="851">
                  <c:v>44671</c:v>
                </c:pt>
                <c:pt idx="852">
                  <c:v>44672</c:v>
                </c:pt>
                <c:pt idx="853">
                  <c:v>44673</c:v>
                </c:pt>
                <c:pt idx="854">
                  <c:v>44676</c:v>
                </c:pt>
                <c:pt idx="855">
                  <c:v>44677</c:v>
                </c:pt>
                <c:pt idx="856">
                  <c:v>44678</c:v>
                </c:pt>
                <c:pt idx="857">
                  <c:v>44679</c:v>
                </c:pt>
                <c:pt idx="858">
                  <c:v>44680</c:v>
                </c:pt>
                <c:pt idx="859">
                  <c:v>44683</c:v>
                </c:pt>
                <c:pt idx="860">
                  <c:v>44684</c:v>
                </c:pt>
                <c:pt idx="861">
                  <c:v>44685</c:v>
                </c:pt>
                <c:pt idx="862">
                  <c:v>44686</c:v>
                </c:pt>
                <c:pt idx="863">
                  <c:v>44687</c:v>
                </c:pt>
                <c:pt idx="864">
                  <c:v>44690</c:v>
                </c:pt>
                <c:pt idx="865">
                  <c:v>44691</c:v>
                </c:pt>
                <c:pt idx="866">
                  <c:v>44692</c:v>
                </c:pt>
                <c:pt idx="867">
                  <c:v>44693</c:v>
                </c:pt>
                <c:pt idx="868">
                  <c:v>44694</c:v>
                </c:pt>
                <c:pt idx="869">
                  <c:v>44697</c:v>
                </c:pt>
                <c:pt idx="870">
                  <c:v>44698</c:v>
                </c:pt>
                <c:pt idx="871">
                  <c:v>44699</c:v>
                </c:pt>
                <c:pt idx="872">
                  <c:v>44700</c:v>
                </c:pt>
                <c:pt idx="873">
                  <c:v>44701</c:v>
                </c:pt>
                <c:pt idx="874">
                  <c:v>44704</c:v>
                </c:pt>
                <c:pt idx="875">
                  <c:v>44705</c:v>
                </c:pt>
                <c:pt idx="876">
                  <c:v>44706</c:v>
                </c:pt>
                <c:pt idx="877">
                  <c:v>44707</c:v>
                </c:pt>
                <c:pt idx="878">
                  <c:v>44708</c:v>
                </c:pt>
                <c:pt idx="879">
                  <c:v>44711</c:v>
                </c:pt>
                <c:pt idx="880">
                  <c:v>44712</c:v>
                </c:pt>
                <c:pt idx="881">
                  <c:v>44713</c:v>
                </c:pt>
                <c:pt idx="882">
                  <c:v>44714</c:v>
                </c:pt>
                <c:pt idx="883">
                  <c:v>44715</c:v>
                </c:pt>
                <c:pt idx="884">
                  <c:v>44718</c:v>
                </c:pt>
                <c:pt idx="885">
                  <c:v>44719</c:v>
                </c:pt>
                <c:pt idx="886">
                  <c:v>44720</c:v>
                </c:pt>
                <c:pt idx="887">
                  <c:v>44721</c:v>
                </c:pt>
                <c:pt idx="888">
                  <c:v>44722</c:v>
                </c:pt>
                <c:pt idx="889">
                  <c:v>44725</c:v>
                </c:pt>
                <c:pt idx="890">
                  <c:v>44726</c:v>
                </c:pt>
                <c:pt idx="891">
                  <c:v>44727</c:v>
                </c:pt>
                <c:pt idx="892">
                  <c:v>44728</c:v>
                </c:pt>
                <c:pt idx="893">
                  <c:v>44729</c:v>
                </c:pt>
                <c:pt idx="894">
                  <c:v>44732</c:v>
                </c:pt>
                <c:pt idx="895">
                  <c:v>44733</c:v>
                </c:pt>
                <c:pt idx="896">
                  <c:v>44734</c:v>
                </c:pt>
                <c:pt idx="897">
                  <c:v>44735</c:v>
                </c:pt>
                <c:pt idx="898">
                  <c:v>44736</c:v>
                </c:pt>
                <c:pt idx="899">
                  <c:v>44739</c:v>
                </c:pt>
                <c:pt idx="900">
                  <c:v>44740</c:v>
                </c:pt>
                <c:pt idx="901">
                  <c:v>44741</c:v>
                </c:pt>
                <c:pt idx="902">
                  <c:v>44742</c:v>
                </c:pt>
                <c:pt idx="903">
                  <c:v>44743</c:v>
                </c:pt>
                <c:pt idx="904">
                  <c:v>44746</c:v>
                </c:pt>
                <c:pt idx="905">
                  <c:v>44747</c:v>
                </c:pt>
                <c:pt idx="906">
                  <c:v>44748</c:v>
                </c:pt>
                <c:pt idx="907">
                  <c:v>44749</c:v>
                </c:pt>
                <c:pt idx="908">
                  <c:v>44750</c:v>
                </c:pt>
                <c:pt idx="909">
                  <c:v>44753</c:v>
                </c:pt>
                <c:pt idx="910">
                  <c:v>44754</c:v>
                </c:pt>
                <c:pt idx="911">
                  <c:v>44755</c:v>
                </c:pt>
                <c:pt idx="912">
                  <c:v>44756</c:v>
                </c:pt>
                <c:pt idx="913">
                  <c:v>44757</c:v>
                </c:pt>
                <c:pt idx="914">
                  <c:v>44760</c:v>
                </c:pt>
                <c:pt idx="915">
                  <c:v>44761</c:v>
                </c:pt>
                <c:pt idx="916">
                  <c:v>44762</c:v>
                </c:pt>
                <c:pt idx="917">
                  <c:v>44763</c:v>
                </c:pt>
                <c:pt idx="918">
                  <c:v>44764</c:v>
                </c:pt>
                <c:pt idx="919">
                  <c:v>44767</c:v>
                </c:pt>
                <c:pt idx="920">
                  <c:v>44768</c:v>
                </c:pt>
                <c:pt idx="921">
                  <c:v>44769</c:v>
                </c:pt>
                <c:pt idx="922">
                  <c:v>44770</c:v>
                </c:pt>
                <c:pt idx="923">
                  <c:v>44771</c:v>
                </c:pt>
                <c:pt idx="924">
                  <c:v>44774</c:v>
                </c:pt>
                <c:pt idx="925">
                  <c:v>44775</c:v>
                </c:pt>
                <c:pt idx="926">
                  <c:v>44776</c:v>
                </c:pt>
                <c:pt idx="927">
                  <c:v>44777</c:v>
                </c:pt>
                <c:pt idx="928">
                  <c:v>44778</c:v>
                </c:pt>
                <c:pt idx="929">
                  <c:v>44781</c:v>
                </c:pt>
                <c:pt idx="930">
                  <c:v>44782</c:v>
                </c:pt>
                <c:pt idx="931">
                  <c:v>44783</c:v>
                </c:pt>
                <c:pt idx="932">
                  <c:v>44784</c:v>
                </c:pt>
                <c:pt idx="933">
                  <c:v>44785</c:v>
                </c:pt>
                <c:pt idx="934">
                  <c:v>44788</c:v>
                </c:pt>
                <c:pt idx="935">
                  <c:v>44789</c:v>
                </c:pt>
                <c:pt idx="936">
                  <c:v>44790</c:v>
                </c:pt>
                <c:pt idx="937">
                  <c:v>44791</c:v>
                </c:pt>
                <c:pt idx="938">
                  <c:v>44792</c:v>
                </c:pt>
                <c:pt idx="939">
                  <c:v>44795</c:v>
                </c:pt>
                <c:pt idx="940">
                  <c:v>44789</c:v>
                </c:pt>
                <c:pt idx="941">
                  <c:v>44790</c:v>
                </c:pt>
                <c:pt idx="942">
                  <c:v>44791</c:v>
                </c:pt>
                <c:pt idx="943">
                  <c:v>44792</c:v>
                </c:pt>
                <c:pt idx="944">
                  <c:v>44795</c:v>
                </c:pt>
                <c:pt idx="945">
                  <c:v>44796</c:v>
                </c:pt>
                <c:pt idx="946">
                  <c:v>44797</c:v>
                </c:pt>
                <c:pt idx="947">
                  <c:v>44798</c:v>
                </c:pt>
                <c:pt idx="948">
                  <c:v>44799</c:v>
                </c:pt>
                <c:pt idx="949">
                  <c:v>44802</c:v>
                </c:pt>
                <c:pt idx="950">
                  <c:v>44803</c:v>
                </c:pt>
                <c:pt idx="951">
                  <c:v>44804</c:v>
                </c:pt>
                <c:pt idx="952">
                  <c:v>44805</c:v>
                </c:pt>
                <c:pt idx="953">
                  <c:v>44806</c:v>
                </c:pt>
                <c:pt idx="954">
                  <c:v>44809</c:v>
                </c:pt>
                <c:pt idx="955">
                  <c:v>44810</c:v>
                </c:pt>
                <c:pt idx="956">
                  <c:v>44811</c:v>
                </c:pt>
                <c:pt idx="957">
                  <c:v>44812</c:v>
                </c:pt>
                <c:pt idx="958">
                  <c:v>44813</c:v>
                </c:pt>
                <c:pt idx="959">
                  <c:v>44816</c:v>
                </c:pt>
                <c:pt idx="960">
                  <c:v>44817</c:v>
                </c:pt>
                <c:pt idx="961">
                  <c:v>44818</c:v>
                </c:pt>
                <c:pt idx="962">
                  <c:v>44819</c:v>
                </c:pt>
                <c:pt idx="963">
                  <c:v>44820</c:v>
                </c:pt>
                <c:pt idx="964">
                  <c:v>44823</c:v>
                </c:pt>
                <c:pt idx="965">
                  <c:v>44824</c:v>
                </c:pt>
                <c:pt idx="966">
                  <c:v>44825</c:v>
                </c:pt>
                <c:pt idx="967">
                  <c:v>44826</c:v>
                </c:pt>
                <c:pt idx="968">
                  <c:v>44827</c:v>
                </c:pt>
                <c:pt idx="969">
                  <c:v>44830</c:v>
                </c:pt>
                <c:pt idx="970">
                  <c:v>44831</c:v>
                </c:pt>
                <c:pt idx="971">
                  <c:v>44832</c:v>
                </c:pt>
                <c:pt idx="972">
                  <c:v>44833</c:v>
                </c:pt>
                <c:pt idx="973">
                  <c:v>44834</c:v>
                </c:pt>
                <c:pt idx="974">
                  <c:v>44837</c:v>
                </c:pt>
                <c:pt idx="975">
                  <c:v>44838</c:v>
                </c:pt>
                <c:pt idx="976">
                  <c:v>44839</c:v>
                </c:pt>
                <c:pt idx="977">
                  <c:v>44840</c:v>
                </c:pt>
                <c:pt idx="978">
                  <c:v>44841</c:v>
                </c:pt>
                <c:pt idx="979">
                  <c:v>44844</c:v>
                </c:pt>
                <c:pt idx="980">
                  <c:v>44845</c:v>
                </c:pt>
                <c:pt idx="981">
                  <c:v>44846</c:v>
                </c:pt>
                <c:pt idx="982">
                  <c:v>44847</c:v>
                </c:pt>
                <c:pt idx="983">
                  <c:v>44848</c:v>
                </c:pt>
                <c:pt idx="984">
                  <c:v>44851</c:v>
                </c:pt>
                <c:pt idx="985">
                  <c:v>44852</c:v>
                </c:pt>
                <c:pt idx="986">
                  <c:v>44853</c:v>
                </c:pt>
                <c:pt idx="987">
                  <c:v>44854</c:v>
                </c:pt>
                <c:pt idx="988">
                  <c:v>44855</c:v>
                </c:pt>
                <c:pt idx="989">
                  <c:v>44858</c:v>
                </c:pt>
                <c:pt idx="990">
                  <c:v>44859</c:v>
                </c:pt>
                <c:pt idx="991">
                  <c:v>44860</c:v>
                </c:pt>
                <c:pt idx="992">
                  <c:v>44861</c:v>
                </c:pt>
                <c:pt idx="993">
                  <c:v>44862</c:v>
                </c:pt>
                <c:pt idx="994">
                  <c:v>44865</c:v>
                </c:pt>
                <c:pt idx="995">
                  <c:v>44866</c:v>
                </c:pt>
                <c:pt idx="996">
                  <c:v>44867</c:v>
                </c:pt>
                <c:pt idx="997">
                  <c:v>44868</c:v>
                </c:pt>
                <c:pt idx="998">
                  <c:v>44869</c:v>
                </c:pt>
                <c:pt idx="999">
                  <c:v>44872</c:v>
                </c:pt>
                <c:pt idx="1000">
                  <c:v>44873</c:v>
                </c:pt>
                <c:pt idx="1001">
                  <c:v>44874</c:v>
                </c:pt>
                <c:pt idx="1002">
                  <c:v>44875</c:v>
                </c:pt>
                <c:pt idx="1003">
                  <c:v>44876</c:v>
                </c:pt>
                <c:pt idx="1004">
                  <c:v>44879</c:v>
                </c:pt>
                <c:pt idx="1005">
                  <c:v>44880</c:v>
                </c:pt>
                <c:pt idx="1006">
                  <c:v>44881</c:v>
                </c:pt>
                <c:pt idx="1007">
                  <c:v>44882</c:v>
                </c:pt>
                <c:pt idx="1008">
                  <c:v>44883</c:v>
                </c:pt>
                <c:pt idx="1009">
                  <c:v>44886</c:v>
                </c:pt>
                <c:pt idx="1010">
                  <c:v>44887</c:v>
                </c:pt>
                <c:pt idx="1011">
                  <c:v>44888</c:v>
                </c:pt>
                <c:pt idx="1012">
                  <c:v>44889</c:v>
                </c:pt>
                <c:pt idx="1013">
                  <c:v>44890</c:v>
                </c:pt>
                <c:pt idx="1014">
                  <c:v>44893</c:v>
                </c:pt>
                <c:pt idx="1015">
                  <c:v>44894</c:v>
                </c:pt>
                <c:pt idx="1016">
                  <c:v>44895</c:v>
                </c:pt>
                <c:pt idx="1017">
                  <c:v>44896</c:v>
                </c:pt>
                <c:pt idx="1018">
                  <c:v>44897</c:v>
                </c:pt>
                <c:pt idx="1019">
                  <c:v>44900</c:v>
                </c:pt>
                <c:pt idx="1020">
                  <c:v>44901</c:v>
                </c:pt>
                <c:pt idx="1021">
                  <c:v>44902</c:v>
                </c:pt>
                <c:pt idx="1022">
                  <c:v>44903</c:v>
                </c:pt>
                <c:pt idx="1023">
                  <c:v>44904</c:v>
                </c:pt>
                <c:pt idx="1024">
                  <c:v>44907</c:v>
                </c:pt>
                <c:pt idx="1025">
                  <c:v>44908</c:v>
                </c:pt>
                <c:pt idx="1026">
                  <c:v>44909</c:v>
                </c:pt>
                <c:pt idx="1027">
                  <c:v>44910</c:v>
                </c:pt>
                <c:pt idx="1028">
                  <c:v>44911</c:v>
                </c:pt>
                <c:pt idx="1029">
                  <c:v>44914</c:v>
                </c:pt>
                <c:pt idx="1030">
                  <c:v>44915</c:v>
                </c:pt>
                <c:pt idx="1031">
                  <c:v>44916</c:v>
                </c:pt>
                <c:pt idx="1032">
                  <c:v>44917</c:v>
                </c:pt>
                <c:pt idx="1033">
                  <c:v>44918</c:v>
                </c:pt>
                <c:pt idx="1034">
                  <c:v>44922</c:v>
                </c:pt>
                <c:pt idx="1035">
                  <c:v>44923</c:v>
                </c:pt>
                <c:pt idx="1036">
                  <c:v>44924</c:v>
                </c:pt>
                <c:pt idx="1037">
                  <c:v>44925</c:v>
                </c:pt>
                <c:pt idx="1038">
                  <c:v>44928</c:v>
                </c:pt>
                <c:pt idx="1039">
                  <c:v>44929</c:v>
                </c:pt>
                <c:pt idx="1040">
                  <c:v>44930</c:v>
                </c:pt>
                <c:pt idx="1041">
                  <c:v>44931</c:v>
                </c:pt>
                <c:pt idx="1042">
                  <c:v>44932</c:v>
                </c:pt>
                <c:pt idx="1043">
                  <c:v>44935</c:v>
                </c:pt>
                <c:pt idx="1044">
                  <c:v>44936</c:v>
                </c:pt>
                <c:pt idx="1045">
                  <c:v>44937</c:v>
                </c:pt>
                <c:pt idx="1046">
                  <c:v>44938</c:v>
                </c:pt>
                <c:pt idx="1047">
                  <c:v>44939</c:v>
                </c:pt>
                <c:pt idx="1048">
                  <c:v>44942</c:v>
                </c:pt>
                <c:pt idx="1049">
                  <c:v>44943</c:v>
                </c:pt>
                <c:pt idx="1050">
                  <c:v>44944</c:v>
                </c:pt>
                <c:pt idx="1051">
                  <c:v>44945</c:v>
                </c:pt>
                <c:pt idx="1052">
                  <c:v>44946</c:v>
                </c:pt>
                <c:pt idx="1053">
                  <c:v>44949</c:v>
                </c:pt>
                <c:pt idx="1054">
                  <c:v>44950</c:v>
                </c:pt>
                <c:pt idx="1055">
                  <c:v>44951</c:v>
                </c:pt>
                <c:pt idx="1056">
                  <c:v>44952</c:v>
                </c:pt>
                <c:pt idx="1057">
                  <c:v>44953</c:v>
                </c:pt>
                <c:pt idx="1058">
                  <c:v>44956</c:v>
                </c:pt>
                <c:pt idx="1059">
                  <c:v>44957</c:v>
                </c:pt>
                <c:pt idx="1060">
                  <c:v>44958</c:v>
                </c:pt>
                <c:pt idx="1061">
                  <c:v>44959</c:v>
                </c:pt>
                <c:pt idx="1062">
                  <c:v>44960</c:v>
                </c:pt>
                <c:pt idx="1063">
                  <c:v>44963</c:v>
                </c:pt>
                <c:pt idx="1064">
                  <c:v>44964</c:v>
                </c:pt>
                <c:pt idx="1065">
                  <c:v>44965</c:v>
                </c:pt>
                <c:pt idx="1066">
                  <c:v>44966</c:v>
                </c:pt>
                <c:pt idx="1067">
                  <c:v>44967</c:v>
                </c:pt>
                <c:pt idx="1068">
                  <c:v>44970</c:v>
                </c:pt>
                <c:pt idx="1069">
                  <c:v>44971</c:v>
                </c:pt>
                <c:pt idx="1070">
                  <c:v>44972</c:v>
                </c:pt>
                <c:pt idx="1071">
                  <c:v>44973</c:v>
                </c:pt>
                <c:pt idx="1072">
                  <c:v>44974</c:v>
                </c:pt>
                <c:pt idx="1073">
                  <c:v>44977</c:v>
                </c:pt>
                <c:pt idx="1074">
                  <c:v>44978</c:v>
                </c:pt>
                <c:pt idx="1075">
                  <c:v>44979</c:v>
                </c:pt>
                <c:pt idx="1076">
                  <c:v>44980</c:v>
                </c:pt>
                <c:pt idx="1077">
                  <c:v>44981</c:v>
                </c:pt>
                <c:pt idx="1078">
                  <c:v>44984</c:v>
                </c:pt>
                <c:pt idx="1079">
                  <c:v>44985</c:v>
                </c:pt>
                <c:pt idx="1080">
                  <c:v>44986</c:v>
                </c:pt>
                <c:pt idx="1081">
                  <c:v>44987</c:v>
                </c:pt>
                <c:pt idx="1082">
                  <c:v>44988</c:v>
                </c:pt>
                <c:pt idx="1083">
                  <c:v>44991</c:v>
                </c:pt>
                <c:pt idx="1084">
                  <c:v>44992</c:v>
                </c:pt>
                <c:pt idx="1085">
                  <c:v>44993</c:v>
                </c:pt>
                <c:pt idx="1086">
                  <c:v>44994</c:v>
                </c:pt>
                <c:pt idx="1087">
                  <c:v>44995</c:v>
                </c:pt>
                <c:pt idx="1088">
                  <c:v>44998</c:v>
                </c:pt>
                <c:pt idx="1089">
                  <c:v>44999</c:v>
                </c:pt>
                <c:pt idx="1090">
                  <c:v>45000</c:v>
                </c:pt>
                <c:pt idx="1091">
                  <c:v>45001</c:v>
                </c:pt>
                <c:pt idx="1092">
                  <c:v>45002</c:v>
                </c:pt>
                <c:pt idx="1093">
                  <c:v>45005</c:v>
                </c:pt>
                <c:pt idx="1094">
                  <c:v>45006</c:v>
                </c:pt>
                <c:pt idx="1095">
                  <c:v>45007</c:v>
                </c:pt>
                <c:pt idx="1096">
                  <c:v>45008</c:v>
                </c:pt>
                <c:pt idx="1097">
                  <c:v>45009</c:v>
                </c:pt>
                <c:pt idx="1098">
                  <c:v>45012</c:v>
                </c:pt>
                <c:pt idx="1099">
                  <c:v>45013</c:v>
                </c:pt>
                <c:pt idx="1100">
                  <c:v>45014</c:v>
                </c:pt>
                <c:pt idx="1101">
                  <c:v>45015</c:v>
                </c:pt>
                <c:pt idx="1102">
                  <c:v>45016</c:v>
                </c:pt>
                <c:pt idx="1103">
                  <c:v>45019</c:v>
                </c:pt>
                <c:pt idx="1104">
                  <c:v>45020</c:v>
                </c:pt>
                <c:pt idx="1105">
                  <c:v>45021</c:v>
                </c:pt>
                <c:pt idx="1106">
                  <c:v>45022</c:v>
                </c:pt>
                <c:pt idx="1107">
                  <c:v>45027</c:v>
                </c:pt>
                <c:pt idx="1108">
                  <c:v>45028</c:v>
                </c:pt>
                <c:pt idx="1109">
                  <c:v>45029</c:v>
                </c:pt>
                <c:pt idx="1110">
                  <c:v>45030</c:v>
                </c:pt>
                <c:pt idx="1111">
                  <c:v>45033</c:v>
                </c:pt>
                <c:pt idx="1112">
                  <c:v>45034</c:v>
                </c:pt>
                <c:pt idx="1113">
                  <c:v>45035</c:v>
                </c:pt>
                <c:pt idx="1114">
                  <c:v>45036</c:v>
                </c:pt>
                <c:pt idx="1115">
                  <c:v>45037</c:v>
                </c:pt>
                <c:pt idx="1116">
                  <c:v>45040</c:v>
                </c:pt>
                <c:pt idx="1117">
                  <c:v>45041</c:v>
                </c:pt>
                <c:pt idx="1118">
                  <c:v>45042</c:v>
                </c:pt>
                <c:pt idx="1119">
                  <c:v>45043</c:v>
                </c:pt>
                <c:pt idx="1120">
                  <c:v>45044</c:v>
                </c:pt>
                <c:pt idx="1121">
                  <c:v>45048</c:v>
                </c:pt>
                <c:pt idx="1122">
                  <c:v>45049</c:v>
                </c:pt>
                <c:pt idx="1123">
                  <c:v>45050</c:v>
                </c:pt>
                <c:pt idx="1124">
                  <c:v>45051</c:v>
                </c:pt>
                <c:pt idx="1125">
                  <c:v>45054</c:v>
                </c:pt>
                <c:pt idx="1126">
                  <c:v>45055</c:v>
                </c:pt>
                <c:pt idx="1127">
                  <c:v>45056</c:v>
                </c:pt>
                <c:pt idx="1128">
                  <c:v>45057</c:v>
                </c:pt>
                <c:pt idx="1129">
                  <c:v>45058</c:v>
                </c:pt>
                <c:pt idx="1130">
                  <c:v>45061</c:v>
                </c:pt>
                <c:pt idx="1131">
                  <c:v>45062</c:v>
                </c:pt>
                <c:pt idx="1132">
                  <c:v>45063</c:v>
                </c:pt>
                <c:pt idx="1133">
                  <c:v>45064</c:v>
                </c:pt>
                <c:pt idx="1134">
                  <c:v>45065</c:v>
                </c:pt>
                <c:pt idx="1135">
                  <c:v>45068</c:v>
                </c:pt>
                <c:pt idx="1136">
                  <c:v>45069</c:v>
                </c:pt>
                <c:pt idx="1137">
                  <c:v>45070</c:v>
                </c:pt>
                <c:pt idx="1138">
                  <c:v>45071</c:v>
                </c:pt>
                <c:pt idx="1139">
                  <c:v>45072</c:v>
                </c:pt>
                <c:pt idx="1140">
                  <c:v>45075</c:v>
                </c:pt>
                <c:pt idx="1141">
                  <c:v>45076</c:v>
                </c:pt>
                <c:pt idx="1142">
                  <c:v>45077</c:v>
                </c:pt>
                <c:pt idx="1143">
                  <c:v>45078</c:v>
                </c:pt>
                <c:pt idx="1144">
                  <c:v>45079</c:v>
                </c:pt>
                <c:pt idx="1145">
                  <c:v>45082</c:v>
                </c:pt>
                <c:pt idx="1146">
                  <c:v>45083</c:v>
                </c:pt>
                <c:pt idx="1147">
                  <c:v>45084</c:v>
                </c:pt>
                <c:pt idx="1148">
                  <c:v>45085</c:v>
                </c:pt>
                <c:pt idx="1149">
                  <c:v>45086</c:v>
                </c:pt>
                <c:pt idx="1150">
                  <c:v>45089</c:v>
                </c:pt>
                <c:pt idx="1151">
                  <c:v>45090</c:v>
                </c:pt>
                <c:pt idx="1152">
                  <c:v>45091</c:v>
                </c:pt>
                <c:pt idx="1153">
                  <c:v>45092</c:v>
                </c:pt>
                <c:pt idx="1154">
                  <c:v>45093</c:v>
                </c:pt>
                <c:pt idx="1155">
                  <c:v>45096</c:v>
                </c:pt>
                <c:pt idx="1156">
                  <c:v>45097</c:v>
                </c:pt>
                <c:pt idx="1157">
                  <c:v>45098</c:v>
                </c:pt>
                <c:pt idx="1158">
                  <c:v>45099</c:v>
                </c:pt>
                <c:pt idx="1159">
                  <c:v>45100</c:v>
                </c:pt>
                <c:pt idx="1160">
                  <c:v>45103</c:v>
                </c:pt>
                <c:pt idx="1161">
                  <c:v>45104</c:v>
                </c:pt>
                <c:pt idx="1162">
                  <c:v>45105</c:v>
                </c:pt>
                <c:pt idx="1163">
                  <c:v>45106</c:v>
                </c:pt>
                <c:pt idx="1164">
                  <c:v>45107</c:v>
                </c:pt>
                <c:pt idx="1165">
                  <c:v>45110</c:v>
                </c:pt>
                <c:pt idx="1166">
                  <c:v>45111</c:v>
                </c:pt>
                <c:pt idx="1167">
                  <c:v>45112</c:v>
                </c:pt>
                <c:pt idx="1168">
                  <c:v>45113</c:v>
                </c:pt>
                <c:pt idx="1169">
                  <c:v>45114</c:v>
                </c:pt>
                <c:pt idx="1170">
                  <c:v>45117</c:v>
                </c:pt>
                <c:pt idx="1171">
                  <c:v>45118</c:v>
                </c:pt>
                <c:pt idx="1172">
                  <c:v>45119</c:v>
                </c:pt>
                <c:pt idx="1173">
                  <c:v>45120</c:v>
                </c:pt>
                <c:pt idx="1174">
                  <c:v>45121</c:v>
                </c:pt>
                <c:pt idx="1175">
                  <c:v>45124</c:v>
                </c:pt>
                <c:pt idx="1176">
                  <c:v>45125</c:v>
                </c:pt>
                <c:pt idx="1177">
                  <c:v>45126</c:v>
                </c:pt>
                <c:pt idx="1178">
                  <c:v>45127</c:v>
                </c:pt>
                <c:pt idx="1179">
                  <c:v>45128</c:v>
                </c:pt>
                <c:pt idx="1180">
                  <c:v>45131</c:v>
                </c:pt>
                <c:pt idx="1181">
                  <c:v>45132</c:v>
                </c:pt>
                <c:pt idx="1182">
                  <c:v>45133</c:v>
                </c:pt>
                <c:pt idx="1183">
                  <c:v>45134</c:v>
                </c:pt>
                <c:pt idx="1184">
                  <c:v>45135</c:v>
                </c:pt>
                <c:pt idx="1185">
                  <c:v>45138</c:v>
                </c:pt>
                <c:pt idx="1186">
                  <c:v>45139</c:v>
                </c:pt>
                <c:pt idx="1187">
                  <c:v>45140</c:v>
                </c:pt>
                <c:pt idx="1188">
                  <c:v>45141</c:v>
                </c:pt>
                <c:pt idx="1189">
                  <c:v>45142</c:v>
                </c:pt>
                <c:pt idx="1190">
                  <c:v>45145</c:v>
                </c:pt>
                <c:pt idx="1191">
                  <c:v>45146</c:v>
                </c:pt>
                <c:pt idx="1192">
                  <c:v>45147</c:v>
                </c:pt>
                <c:pt idx="1193">
                  <c:v>45148</c:v>
                </c:pt>
                <c:pt idx="1194">
                  <c:v>45149</c:v>
                </c:pt>
                <c:pt idx="1195">
                  <c:v>45152</c:v>
                </c:pt>
                <c:pt idx="1196">
                  <c:v>45153</c:v>
                </c:pt>
                <c:pt idx="1197">
                  <c:v>45154</c:v>
                </c:pt>
                <c:pt idx="1198">
                  <c:v>45155</c:v>
                </c:pt>
                <c:pt idx="1199">
                  <c:v>45156</c:v>
                </c:pt>
                <c:pt idx="1200">
                  <c:v>45159</c:v>
                </c:pt>
                <c:pt idx="1201">
                  <c:v>45160</c:v>
                </c:pt>
                <c:pt idx="1202">
                  <c:v>45161</c:v>
                </c:pt>
                <c:pt idx="1203">
                  <c:v>45162</c:v>
                </c:pt>
                <c:pt idx="1204">
                  <c:v>45163</c:v>
                </c:pt>
                <c:pt idx="1205">
                  <c:v>45166</c:v>
                </c:pt>
                <c:pt idx="1206">
                  <c:v>45167</c:v>
                </c:pt>
                <c:pt idx="1207">
                  <c:v>45168</c:v>
                </c:pt>
                <c:pt idx="1208">
                  <c:v>45169</c:v>
                </c:pt>
                <c:pt idx="1209">
                  <c:v>45170</c:v>
                </c:pt>
                <c:pt idx="1210">
                  <c:v>45173</c:v>
                </c:pt>
                <c:pt idx="1211">
                  <c:v>45174</c:v>
                </c:pt>
                <c:pt idx="1212">
                  <c:v>45175</c:v>
                </c:pt>
                <c:pt idx="1213">
                  <c:v>45176</c:v>
                </c:pt>
                <c:pt idx="1214">
                  <c:v>45177</c:v>
                </c:pt>
                <c:pt idx="1215">
                  <c:v>45180</c:v>
                </c:pt>
                <c:pt idx="1216">
                  <c:v>45181</c:v>
                </c:pt>
                <c:pt idx="1217">
                  <c:v>45182</c:v>
                </c:pt>
                <c:pt idx="1218">
                  <c:v>45183</c:v>
                </c:pt>
                <c:pt idx="1219">
                  <c:v>45184</c:v>
                </c:pt>
                <c:pt idx="1220">
                  <c:v>45187</c:v>
                </c:pt>
                <c:pt idx="1221">
                  <c:v>45188</c:v>
                </c:pt>
                <c:pt idx="1222">
                  <c:v>45189</c:v>
                </c:pt>
                <c:pt idx="1223">
                  <c:v>45190</c:v>
                </c:pt>
                <c:pt idx="1224">
                  <c:v>45191</c:v>
                </c:pt>
                <c:pt idx="1225">
                  <c:v>45194</c:v>
                </c:pt>
                <c:pt idx="1226">
                  <c:v>45195</c:v>
                </c:pt>
              </c:numCache>
            </c:numRef>
          </c:cat>
          <c:val>
            <c:numRef>
              <c:f>Sheet1!$C$2:$C$1228</c:f>
              <c:numCache>
                <c:formatCode>0.000%</c:formatCode>
                <c:ptCount val="1227"/>
                <c:pt idx="0">
                  <c:v>1.65E-3</c:v>
                </c:pt>
                <c:pt idx="1">
                  <c:v>1.5299999999999999E-3</c:v>
                </c:pt>
                <c:pt idx="2">
                  <c:v>2.0799999999999998E-3</c:v>
                </c:pt>
                <c:pt idx="3">
                  <c:v>2.2100000000000002E-3</c:v>
                </c:pt>
                <c:pt idx="4">
                  <c:v>2.2599999999999999E-3</c:v>
                </c:pt>
                <c:pt idx="5">
                  <c:v>2.7900000000000004E-3</c:v>
                </c:pt>
                <c:pt idx="6">
                  <c:v>2.5500000000000002E-3</c:v>
                </c:pt>
                <c:pt idx="7">
                  <c:v>2.3899999999999998E-3</c:v>
                </c:pt>
                <c:pt idx="8">
                  <c:v>2.31E-3</c:v>
                </c:pt>
                <c:pt idx="9">
                  <c:v>2.0599999999999998E-3</c:v>
                </c:pt>
                <c:pt idx="10">
                  <c:v>2.2400000000000002E-3</c:v>
                </c:pt>
                <c:pt idx="11">
                  <c:v>2.4299999999999999E-3</c:v>
                </c:pt>
                <c:pt idx="12">
                  <c:v>2.6199999999999999E-3</c:v>
                </c:pt>
                <c:pt idx="13">
                  <c:v>2.5500000000000002E-3</c:v>
                </c:pt>
                <c:pt idx="14">
                  <c:v>2.3599999999999997E-3</c:v>
                </c:pt>
                <c:pt idx="15">
                  <c:v>2.2500000000000003E-3</c:v>
                </c:pt>
                <c:pt idx="16">
                  <c:v>1.8E-3</c:v>
                </c:pt>
                <c:pt idx="17">
                  <c:v>1.9300000000000001E-3</c:v>
                </c:pt>
                <c:pt idx="18">
                  <c:v>2.0499999999999997E-3</c:v>
                </c:pt>
                <c:pt idx="19">
                  <c:v>2E-3</c:v>
                </c:pt>
                <c:pt idx="20">
                  <c:v>1.8799999999999999E-3</c:v>
                </c:pt>
                <c:pt idx="21">
                  <c:v>1.49E-3</c:v>
                </c:pt>
                <c:pt idx="22">
                  <c:v>1.66E-3</c:v>
                </c:pt>
                <c:pt idx="23">
                  <c:v>1.7699999999999999E-3</c:v>
                </c:pt>
                <c:pt idx="24">
                  <c:v>1.7000000000000001E-3</c:v>
                </c:pt>
                <c:pt idx="25">
                  <c:v>1.6200000000000001E-3</c:v>
                </c:pt>
                <c:pt idx="26">
                  <c:v>1.15E-3</c:v>
                </c:pt>
                <c:pt idx="27">
                  <c:v>8.699999999999999E-4</c:v>
                </c:pt>
                <c:pt idx="28">
                  <c:v>1.1999999999999999E-3</c:v>
                </c:pt>
                <c:pt idx="29">
                  <c:v>1.32E-3</c:v>
                </c:pt>
                <c:pt idx="30">
                  <c:v>1.23E-3</c:v>
                </c:pt>
                <c:pt idx="31">
                  <c:v>1.0299999999999999E-3</c:v>
                </c:pt>
                <c:pt idx="32">
                  <c:v>1.01E-3</c:v>
                </c:pt>
                <c:pt idx="33">
                  <c:v>1.1000000000000001E-3</c:v>
                </c:pt>
                <c:pt idx="34">
                  <c:v>1.0499999999999999E-3</c:v>
                </c:pt>
                <c:pt idx="35">
                  <c:v>1E-3</c:v>
                </c:pt>
                <c:pt idx="36">
                  <c:v>1.2700000000000001E-3</c:v>
                </c:pt>
                <c:pt idx="37">
                  <c:v>9.6000000000000002E-4</c:v>
                </c:pt>
                <c:pt idx="38">
                  <c:v>1.08E-3</c:v>
                </c:pt>
                <c:pt idx="39">
                  <c:v>1.1799999999999998E-3</c:v>
                </c:pt>
                <c:pt idx="40">
                  <c:v>1.48E-3</c:v>
                </c:pt>
                <c:pt idx="41">
                  <c:v>1.83E-3</c:v>
                </c:pt>
                <c:pt idx="42">
                  <c:v>1.83E-3</c:v>
                </c:pt>
                <c:pt idx="43">
                  <c:v>1.58E-3</c:v>
                </c:pt>
                <c:pt idx="44">
                  <c:v>1.6800000000000001E-3</c:v>
                </c:pt>
                <c:pt idx="45">
                  <c:v>1.2800000000000001E-3</c:v>
                </c:pt>
                <c:pt idx="46">
                  <c:v>6.7000000000000002E-4</c:v>
                </c:pt>
                <c:pt idx="47">
                  <c:v>6.9000000000000008E-4</c:v>
                </c:pt>
                <c:pt idx="48">
                  <c:v>6.9000000000000008E-4</c:v>
                </c:pt>
                <c:pt idx="49">
                  <c:v>5.5000000000000003E-4</c:v>
                </c:pt>
                <c:pt idx="50">
                  <c:v>6.4999999999999997E-4</c:v>
                </c:pt>
                <c:pt idx="51">
                  <c:v>8.5999999999999998E-4</c:v>
                </c:pt>
                <c:pt idx="52">
                  <c:v>8.4000000000000003E-4</c:v>
                </c:pt>
                <c:pt idx="53">
                  <c:v>9.2000000000000003E-4</c:v>
                </c:pt>
                <c:pt idx="54">
                  <c:v>9.7000000000000005E-4</c:v>
                </c:pt>
                <c:pt idx="55">
                  <c:v>8.4000000000000003E-4</c:v>
                </c:pt>
                <c:pt idx="56">
                  <c:v>4.0999999999999999E-4</c:v>
                </c:pt>
                <c:pt idx="57">
                  <c:v>-1.4999999999999999E-4</c:v>
                </c:pt>
                <c:pt idx="58">
                  <c:v>-2.8000000000000003E-4</c:v>
                </c:pt>
                <c:pt idx="59">
                  <c:v>-1.4999999999999999E-4</c:v>
                </c:pt>
                <c:pt idx="60">
                  <c:v>-8.1000000000000006E-4</c:v>
                </c:pt>
                <c:pt idx="61">
                  <c:v>-6.9000000000000008E-4</c:v>
                </c:pt>
                <c:pt idx="62">
                  <c:v>-7.000000000000001E-4</c:v>
                </c:pt>
                <c:pt idx="63">
                  <c:v>-2.5999999999999998E-4</c:v>
                </c:pt>
                <c:pt idx="64">
                  <c:v>-4.8999999999999998E-4</c:v>
                </c:pt>
                <c:pt idx="65">
                  <c:v>8.0000000000000007E-5</c:v>
                </c:pt>
                <c:pt idx="66">
                  <c:v>-6.0000000000000002E-5</c:v>
                </c:pt>
                <c:pt idx="67">
                  <c:v>7.0000000000000007E-5</c:v>
                </c:pt>
                <c:pt idx="68">
                  <c:v>7.0000000000000007E-5</c:v>
                </c:pt>
                <c:pt idx="69">
                  <c:v>-1E-4</c:v>
                </c:pt>
                <c:pt idx="70">
                  <c:v>-2.5999999999999998E-4</c:v>
                </c:pt>
                <c:pt idx="71">
                  <c:v>-8.9999999999999992E-5</c:v>
                </c:pt>
                <c:pt idx="72">
                  <c:v>5.5000000000000003E-4</c:v>
                </c:pt>
                <c:pt idx="73">
                  <c:v>5.6000000000000006E-4</c:v>
                </c:pt>
                <c:pt idx="74">
                  <c:v>6.6E-4</c:v>
                </c:pt>
                <c:pt idx="75">
                  <c:v>8.0000000000000004E-4</c:v>
                </c:pt>
                <c:pt idx="76">
                  <c:v>2.5000000000000001E-4</c:v>
                </c:pt>
                <c:pt idx="77">
                  <c:v>2.5000000000000001E-4</c:v>
                </c:pt>
                <c:pt idx="78">
                  <c:v>4.0999999999999999E-4</c:v>
                </c:pt>
                <c:pt idx="79">
                  <c:v>-1.2E-4</c:v>
                </c:pt>
                <c:pt idx="80">
                  <c:v>-8.9999999999999992E-5</c:v>
                </c:pt>
                <c:pt idx="81">
                  <c:v>-2.1999999999999998E-4</c:v>
                </c:pt>
                <c:pt idx="82">
                  <c:v>3.0000000000000001E-5</c:v>
                </c:pt>
                <c:pt idx="83">
                  <c:v>1.2999999999999999E-4</c:v>
                </c:pt>
                <c:pt idx="84">
                  <c:v>2.9999999999999997E-4</c:v>
                </c:pt>
                <c:pt idx="85">
                  <c:v>2.5000000000000001E-4</c:v>
                </c:pt>
                <c:pt idx="86">
                  <c:v>6.0000000000000002E-5</c:v>
                </c:pt>
                <c:pt idx="87">
                  <c:v>-3.7999999999999997E-4</c:v>
                </c:pt>
                <c:pt idx="88">
                  <c:v>-4.3999999999999996E-4</c:v>
                </c:pt>
                <c:pt idx="89">
                  <c:v>-4.6999999999999999E-4</c:v>
                </c:pt>
                <c:pt idx="90">
                  <c:v>-4.4999999999999999E-4</c:v>
                </c:pt>
                <c:pt idx="91">
                  <c:v>-7.000000000000001E-4</c:v>
                </c:pt>
                <c:pt idx="92">
                  <c:v>-7.000000000000001E-4</c:v>
                </c:pt>
                <c:pt idx="93">
                  <c:v>-9.7999999999999997E-4</c:v>
                </c:pt>
                <c:pt idx="94">
                  <c:v>-9.5E-4</c:v>
                </c:pt>
                <c:pt idx="95">
                  <c:v>-1.0399999999999999E-3</c:v>
                </c:pt>
                <c:pt idx="96">
                  <c:v>-8.699999999999999E-4</c:v>
                </c:pt>
                <c:pt idx="97">
                  <c:v>-6.3000000000000003E-4</c:v>
                </c:pt>
                <c:pt idx="98">
                  <c:v>-8.5999999999999998E-4</c:v>
                </c:pt>
                <c:pt idx="99">
                  <c:v>-1.1999999999999999E-3</c:v>
                </c:pt>
                <c:pt idx="100">
                  <c:v>-1.17E-3</c:v>
                </c:pt>
                <c:pt idx="101">
                  <c:v>-1.4399999999999999E-3</c:v>
                </c:pt>
                <c:pt idx="102">
                  <c:v>-1.6100000000000001E-3</c:v>
                </c:pt>
                <c:pt idx="103">
                  <c:v>-1.7899999999999999E-3</c:v>
                </c:pt>
                <c:pt idx="104">
                  <c:v>-1.7499999999999998E-3</c:v>
                </c:pt>
                <c:pt idx="105">
                  <c:v>-2.0200000000000001E-3</c:v>
                </c:pt>
                <c:pt idx="106">
                  <c:v>-2.0100000000000001E-3</c:v>
                </c:pt>
                <c:pt idx="107">
                  <c:v>-2.0599999999999998E-3</c:v>
                </c:pt>
                <c:pt idx="108">
                  <c:v>-2.2599999999999999E-3</c:v>
                </c:pt>
                <c:pt idx="109">
                  <c:v>-2.3899999999999998E-3</c:v>
                </c:pt>
                <c:pt idx="110">
                  <c:v>-2.5700000000000002E-3</c:v>
                </c:pt>
                <c:pt idx="111">
                  <c:v>-2.1900000000000001E-3</c:v>
                </c:pt>
                <c:pt idx="112">
                  <c:v>-2.32E-3</c:v>
                </c:pt>
                <c:pt idx="113">
                  <c:v>-2.3599999999999997E-3</c:v>
                </c:pt>
                <c:pt idx="114">
                  <c:v>-2.4099999999999998E-3</c:v>
                </c:pt>
                <c:pt idx="115">
                  <c:v>-2.5500000000000002E-3</c:v>
                </c:pt>
                <c:pt idx="116">
                  <c:v>-2.4399999999999999E-3</c:v>
                </c:pt>
                <c:pt idx="117">
                  <c:v>-3.2000000000000002E-3</c:v>
                </c:pt>
                <c:pt idx="118">
                  <c:v>-2.8799999999999997E-3</c:v>
                </c:pt>
                <c:pt idx="119">
                  <c:v>-3.1800000000000001E-3</c:v>
                </c:pt>
                <c:pt idx="120">
                  <c:v>-2.8499999999999997E-3</c:v>
                </c:pt>
                <c:pt idx="121">
                  <c:v>-3.0699999999999998E-3</c:v>
                </c:pt>
                <c:pt idx="122">
                  <c:v>-3.31E-3</c:v>
                </c:pt>
                <c:pt idx="123">
                  <c:v>-3.0299999999999997E-3</c:v>
                </c:pt>
                <c:pt idx="124">
                  <c:v>-3.2000000000000002E-3</c:v>
                </c:pt>
                <c:pt idx="125">
                  <c:v>-3.2700000000000003E-3</c:v>
                </c:pt>
                <c:pt idx="126">
                  <c:v>-3.5699999999999998E-3</c:v>
                </c:pt>
                <c:pt idx="127">
                  <c:v>-3.6700000000000001E-3</c:v>
                </c:pt>
                <c:pt idx="128">
                  <c:v>-3.8500000000000001E-3</c:v>
                </c:pt>
                <c:pt idx="129">
                  <c:v>-3.9900000000000005E-3</c:v>
                </c:pt>
                <c:pt idx="130">
                  <c:v>-3.63E-3</c:v>
                </c:pt>
                <c:pt idx="131">
                  <c:v>-3.6600000000000001E-3</c:v>
                </c:pt>
                <c:pt idx="132">
                  <c:v>-3.5399999999999997E-3</c:v>
                </c:pt>
                <c:pt idx="133">
                  <c:v>-3.0699999999999998E-3</c:v>
                </c:pt>
                <c:pt idx="134">
                  <c:v>-2.2500000000000003E-3</c:v>
                </c:pt>
                <c:pt idx="135">
                  <c:v>-2.0999999999999999E-3</c:v>
                </c:pt>
                <c:pt idx="136">
                  <c:v>-2.5100000000000001E-3</c:v>
                </c:pt>
                <c:pt idx="137">
                  <c:v>-2.4399999999999999E-3</c:v>
                </c:pt>
                <c:pt idx="138">
                  <c:v>-2.8999999999999998E-3</c:v>
                </c:pt>
                <c:pt idx="139">
                  <c:v>-3.0999999999999999E-3</c:v>
                </c:pt>
                <c:pt idx="140">
                  <c:v>-3.2400000000000003E-3</c:v>
                </c:pt>
                <c:pt idx="141">
                  <c:v>-3.4599999999999995E-3</c:v>
                </c:pt>
                <c:pt idx="142">
                  <c:v>-3.5499999999999998E-3</c:v>
                </c:pt>
                <c:pt idx="143">
                  <c:v>-3.7799999999999999E-3</c:v>
                </c:pt>
                <c:pt idx="144">
                  <c:v>-3.63E-3</c:v>
                </c:pt>
                <c:pt idx="145">
                  <c:v>-3.7599999999999999E-3</c:v>
                </c:pt>
                <c:pt idx="146">
                  <c:v>-3.9100000000000003E-3</c:v>
                </c:pt>
                <c:pt idx="147">
                  <c:v>-3.9900000000000005E-3</c:v>
                </c:pt>
                <c:pt idx="148">
                  <c:v>-4.4000000000000003E-3</c:v>
                </c:pt>
                <c:pt idx="149">
                  <c:v>-4.5000000000000005E-3</c:v>
                </c:pt>
                <c:pt idx="150">
                  <c:v>-4.9499999999999995E-3</c:v>
                </c:pt>
                <c:pt idx="151">
                  <c:v>-5.1600000000000005E-3</c:v>
                </c:pt>
                <c:pt idx="152">
                  <c:v>-5.3600000000000002E-3</c:v>
                </c:pt>
                <c:pt idx="153">
                  <c:v>-5.8099999999999992E-3</c:v>
                </c:pt>
                <c:pt idx="154">
                  <c:v>-5.6000000000000008E-3</c:v>
                </c:pt>
                <c:pt idx="155">
                  <c:v>-5.7599999999999995E-3</c:v>
                </c:pt>
                <c:pt idx="156">
                  <c:v>-5.9199999999999999E-3</c:v>
                </c:pt>
                <c:pt idx="157">
                  <c:v>-6.0899999999999999E-3</c:v>
                </c:pt>
                <c:pt idx="158">
                  <c:v>-6.5000000000000006E-3</c:v>
                </c:pt>
                <c:pt idx="159">
                  <c:v>-7.1300000000000001E-3</c:v>
                </c:pt>
                <c:pt idx="160">
                  <c:v>-6.8500000000000002E-3</c:v>
                </c:pt>
                <c:pt idx="161">
                  <c:v>-6.4800000000000005E-3</c:v>
                </c:pt>
                <c:pt idx="162">
                  <c:v>-6.8999999999999999E-3</c:v>
                </c:pt>
                <c:pt idx="163">
                  <c:v>-6.7000000000000002E-3</c:v>
                </c:pt>
                <c:pt idx="164">
                  <c:v>-6.4400000000000004E-3</c:v>
                </c:pt>
                <c:pt idx="165">
                  <c:v>-6.7500000000000008E-3</c:v>
                </c:pt>
                <c:pt idx="166">
                  <c:v>-6.6600000000000001E-3</c:v>
                </c:pt>
                <c:pt idx="167">
                  <c:v>-6.9299999999999995E-3</c:v>
                </c:pt>
                <c:pt idx="168">
                  <c:v>-7.1399999999999996E-3</c:v>
                </c:pt>
                <c:pt idx="169">
                  <c:v>-6.9199999999999991E-3</c:v>
                </c:pt>
                <c:pt idx="170">
                  <c:v>-6.9999999999999993E-3</c:v>
                </c:pt>
                <c:pt idx="171">
                  <c:v>-7.0199999999999993E-3</c:v>
                </c:pt>
                <c:pt idx="172">
                  <c:v>-7.0599999999999994E-3</c:v>
                </c:pt>
                <c:pt idx="173">
                  <c:v>-6.7400000000000003E-3</c:v>
                </c:pt>
                <c:pt idx="174">
                  <c:v>-5.94E-3</c:v>
                </c:pt>
                <c:pt idx="175">
                  <c:v>-6.3800000000000003E-3</c:v>
                </c:pt>
                <c:pt idx="176">
                  <c:v>-5.8499999999999993E-3</c:v>
                </c:pt>
                <c:pt idx="177">
                  <c:v>-5.47E-3</c:v>
                </c:pt>
                <c:pt idx="178">
                  <c:v>-5.6399999999999992E-3</c:v>
                </c:pt>
                <c:pt idx="179">
                  <c:v>-5.1600000000000005E-3</c:v>
                </c:pt>
                <c:pt idx="180">
                  <c:v>-4.4900000000000001E-3</c:v>
                </c:pt>
                <c:pt idx="181">
                  <c:v>-4.7999999999999996E-3</c:v>
                </c:pt>
                <c:pt idx="182">
                  <c:v>-4.7399999999999994E-3</c:v>
                </c:pt>
                <c:pt idx="183">
                  <c:v>-5.1000000000000004E-3</c:v>
                </c:pt>
                <c:pt idx="184">
                  <c:v>-5.0699999999999999E-3</c:v>
                </c:pt>
                <c:pt idx="185">
                  <c:v>-5.2100000000000002E-3</c:v>
                </c:pt>
                <c:pt idx="186">
                  <c:v>-5.8099999999999992E-3</c:v>
                </c:pt>
                <c:pt idx="187">
                  <c:v>-6.0000000000000001E-3</c:v>
                </c:pt>
                <c:pt idx="188">
                  <c:v>-5.7499999999999999E-3</c:v>
                </c:pt>
                <c:pt idx="189">
                  <c:v>-5.8199999999999997E-3</c:v>
                </c:pt>
                <c:pt idx="190">
                  <c:v>-5.7299999999999999E-3</c:v>
                </c:pt>
                <c:pt idx="191">
                  <c:v>-5.7099999999999998E-3</c:v>
                </c:pt>
                <c:pt idx="192">
                  <c:v>-5.6399999999999992E-3</c:v>
                </c:pt>
                <c:pt idx="193">
                  <c:v>-5.4600000000000004E-3</c:v>
                </c:pt>
                <c:pt idx="194">
                  <c:v>-5.8999999999999999E-3</c:v>
                </c:pt>
                <c:pt idx="195">
                  <c:v>-5.8599999999999998E-3</c:v>
                </c:pt>
                <c:pt idx="196">
                  <c:v>-5.7499999999999999E-3</c:v>
                </c:pt>
                <c:pt idx="197">
                  <c:v>-5.94E-3</c:v>
                </c:pt>
                <c:pt idx="198">
                  <c:v>-5.4800000000000005E-3</c:v>
                </c:pt>
                <c:pt idx="199">
                  <c:v>-4.6899999999999997E-3</c:v>
                </c:pt>
                <c:pt idx="200">
                  <c:v>-4.4200000000000003E-3</c:v>
                </c:pt>
                <c:pt idx="201">
                  <c:v>-4.5700000000000003E-3</c:v>
                </c:pt>
                <c:pt idx="202">
                  <c:v>-4.1700000000000001E-3</c:v>
                </c:pt>
                <c:pt idx="203">
                  <c:v>-3.8700000000000002E-3</c:v>
                </c:pt>
                <c:pt idx="204">
                  <c:v>-4.0799999999999994E-3</c:v>
                </c:pt>
                <c:pt idx="205">
                  <c:v>-3.82E-3</c:v>
                </c:pt>
                <c:pt idx="206">
                  <c:v>-3.4399999999999999E-3</c:v>
                </c:pt>
                <c:pt idx="207">
                  <c:v>-3.6800000000000001E-3</c:v>
                </c:pt>
                <c:pt idx="208">
                  <c:v>-3.9399999999999999E-3</c:v>
                </c:pt>
                <c:pt idx="209">
                  <c:v>-4.0400000000000002E-3</c:v>
                </c:pt>
                <c:pt idx="210">
                  <c:v>-3.62E-3</c:v>
                </c:pt>
                <c:pt idx="211">
                  <c:v>-3.32E-3</c:v>
                </c:pt>
                <c:pt idx="212">
                  <c:v>-3.5099999999999997E-3</c:v>
                </c:pt>
                <c:pt idx="213">
                  <c:v>-3.5399999999999997E-3</c:v>
                </c:pt>
                <c:pt idx="214">
                  <c:v>-4.0699999999999998E-3</c:v>
                </c:pt>
                <c:pt idx="215">
                  <c:v>-3.82E-3</c:v>
                </c:pt>
                <c:pt idx="216">
                  <c:v>-3.5099999999999997E-3</c:v>
                </c:pt>
                <c:pt idx="217">
                  <c:v>-3.0899999999999999E-3</c:v>
                </c:pt>
                <c:pt idx="218">
                  <c:v>-3.3300000000000001E-3</c:v>
                </c:pt>
                <c:pt idx="219">
                  <c:v>-2.33E-3</c:v>
                </c:pt>
                <c:pt idx="220">
                  <c:v>-2.63E-3</c:v>
                </c:pt>
                <c:pt idx="221">
                  <c:v>-2.4499999999999999E-3</c:v>
                </c:pt>
                <c:pt idx="222">
                  <c:v>-2.5200000000000001E-3</c:v>
                </c:pt>
                <c:pt idx="223">
                  <c:v>-3.0000000000000001E-3</c:v>
                </c:pt>
                <c:pt idx="224">
                  <c:v>-3.5099999999999997E-3</c:v>
                </c:pt>
                <c:pt idx="225">
                  <c:v>-3.3400000000000001E-3</c:v>
                </c:pt>
                <c:pt idx="226">
                  <c:v>-3.3600000000000001E-3</c:v>
                </c:pt>
                <c:pt idx="227">
                  <c:v>-3.3900000000000002E-3</c:v>
                </c:pt>
                <c:pt idx="228">
                  <c:v>-3.4699999999999996E-3</c:v>
                </c:pt>
                <c:pt idx="229">
                  <c:v>-3.2500000000000003E-3</c:v>
                </c:pt>
                <c:pt idx="230">
                  <c:v>-3.5899999999999999E-3</c:v>
                </c:pt>
                <c:pt idx="231">
                  <c:v>-3.4899999999999996E-3</c:v>
                </c:pt>
                <c:pt idx="232">
                  <c:v>-3.7199999999999998E-3</c:v>
                </c:pt>
                <c:pt idx="233">
                  <c:v>-3.7199999999999998E-3</c:v>
                </c:pt>
                <c:pt idx="234">
                  <c:v>-3.6099999999999999E-3</c:v>
                </c:pt>
                <c:pt idx="235">
                  <c:v>-3.5999999999999999E-3</c:v>
                </c:pt>
                <c:pt idx="236">
                  <c:v>-2.8100000000000004E-3</c:v>
                </c:pt>
                <c:pt idx="237">
                  <c:v>-3.4799999999999996E-3</c:v>
                </c:pt>
                <c:pt idx="238">
                  <c:v>-3.15E-3</c:v>
                </c:pt>
                <c:pt idx="239">
                  <c:v>-2.9399999999999999E-3</c:v>
                </c:pt>
                <c:pt idx="240">
                  <c:v>-2.8599999999999997E-3</c:v>
                </c:pt>
                <c:pt idx="241">
                  <c:v>-3.0699999999999998E-3</c:v>
                </c:pt>
                <c:pt idx="242">
                  <c:v>-2.9499999999999999E-3</c:v>
                </c:pt>
                <c:pt idx="243">
                  <c:v>-3.2100000000000002E-3</c:v>
                </c:pt>
                <c:pt idx="244">
                  <c:v>-2.6900000000000001E-3</c:v>
                </c:pt>
                <c:pt idx="245">
                  <c:v>-2.8899999999999998E-3</c:v>
                </c:pt>
                <c:pt idx="246">
                  <c:v>-2.7700000000000003E-3</c:v>
                </c:pt>
                <c:pt idx="247">
                  <c:v>-2.9499999999999999E-3</c:v>
                </c:pt>
                <c:pt idx="248">
                  <c:v>-2.49E-3</c:v>
                </c:pt>
                <c:pt idx="249">
                  <c:v>-2.3499999999999997E-3</c:v>
                </c:pt>
                <c:pt idx="250">
                  <c:v>-2.5200000000000001E-3</c:v>
                </c:pt>
                <c:pt idx="251">
                  <c:v>-2.4199999999999998E-3</c:v>
                </c:pt>
                <c:pt idx="252">
                  <c:v>-2.5600000000000002E-3</c:v>
                </c:pt>
                <c:pt idx="253">
                  <c:v>-1.8500000000000001E-3</c:v>
                </c:pt>
                <c:pt idx="254">
                  <c:v>-2.2300000000000002E-3</c:v>
                </c:pt>
                <c:pt idx="255">
                  <c:v>-2.7800000000000004E-3</c:v>
                </c:pt>
                <c:pt idx="256">
                  <c:v>-2.8699999999999997E-3</c:v>
                </c:pt>
                <c:pt idx="257">
                  <c:v>-2.8499999999999997E-3</c:v>
                </c:pt>
                <c:pt idx="258">
                  <c:v>-2.0699999999999998E-3</c:v>
                </c:pt>
                <c:pt idx="259">
                  <c:v>-1.7899999999999999E-3</c:v>
                </c:pt>
                <c:pt idx="260">
                  <c:v>-1.99E-3</c:v>
                </c:pt>
                <c:pt idx="261">
                  <c:v>-1.5900000000000001E-3</c:v>
                </c:pt>
                <c:pt idx="262">
                  <c:v>-1.7100000000000001E-3</c:v>
                </c:pt>
                <c:pt idx="263">
                  <c:v>-2E-3</c:v>
                </c:pt>
                <c:pt idx="264">
                  <c:v>-2.1900000000000001E-3</c:v>
                </c:pt>
                <c:pt idx="265">
                  <c:v>-2.15E-3</c:v>
                </c:pt>
                <c:pt idx="266">
                  <c:v>-2.1800000000000001E-3</c:v>
                </c:pt>
                <c:pt idx="267">
                  <c:v>-2.48E-3</c:v>
                </c:pt>
                <c:pt idx="268">
                  <c:v>-2.5999999999999999E-3</c:v>
                </c:pt>
                <c:pt idx="269">
                  <c:v>-3.0799999999999998E-3</c:v>
                </c:pt>
                <c:pt idx="270">
                  <c:v>-3.3500000000000001E-3</c:v>
                </c:pt>
                <c:pt idx="271">
                  <c:v>-3.8500000000000001E-3</c:v>
                </c:pt>
                <c:pt idx="272">
                  <c:v>-3.4100000000000003E-3</c:v>
                </c:pt>
                <c:pt idx="273">
                  <c:v>-3.7699999999999999E-3</c:v>
                </c:pt>
                <c:pt idx="274">
                  <c:v>-4.0600000000000002E-3</c:v>
                </c:pt>
                <c:pt idx="275">
                  <c:v>-4.3400000000000001E-3</c:v>
                </c:pt>
                <c:pt idx="276">
                  <c:v>-4.4200000000000003E-3</c:v>
                </c:pt>
                <c:pt idx="277">
                  <c:v>-3.9900000000000005E-3</c:v>
                </c:pt>
                <c:pt idx="278">
                  <c:v>-3.5899999999999999E-3</c:v>
                </c:pt>
                <c:pt idx="279">
                  <c:v>-3.7000000000000002E-3</c:v>
                </c:pt>
                <c:pt idx="280">
                  <c:v>-3.8600000000000001E-3</c:v>
                </c:pt>
                <c:pt idx="281">
                  <c:v>-4.1099999999999999E-3</c:v>
                </c:pt>
                <c:pt idx="282">
                  <c:v>-3.9100000000000003E-3</c:v>
                </c:pt>
                <c:pt idx="283">
                  <c:v>-3.7799999999999999E-3</c:v>
                </c:pt>
                <c:pt idx="284">
                  <c:v>-3.8600000000000001E-3</c:v>
                </c:pt>
                <c:pt idx="285">
                  <c:v>-4.0100000000000005E-3</c:v>
                </c:pt>
                <c:pt idx="286">
                  <c:v>-4.0100000000000005E-3</c:v>
                </c:pt>
                <c:pt idx="287">
                  <c:v>-4.0699999999999998E-3</c:v>
                </c:pt>
                <c:pt idx="288">
                  <c:v>-4.1799999999999997E-3</c:v>
                </c:pt>
                <c:pt idx="289">
                  <c:v>-4.4400000000000004E-3</c:v>
                </c:pt>
                <c:pt idx="290">
                  <c:v>-4.3099999999999996E-3</c:v>
                </c:pt>
                <c:pt idx="291">
                  <c:v>-4.81E-3</c:v>
                </c:pt>
                <c:pt idx="292">
                  <c:v>-5.1200000000000004E-3</c:v>
                </c:pt>
                <c:pt idx="293">
                  <c:v>-5.0499999999999998E-3</c:v>
                </c:pt>
                <c:pt idx="294">
                  <c:v>-5.4300000000000008E-3</c:v>
                </c:pt>
                <c:pt idx="295">
                  <c:v>-6.0699999999999999E-3</c:v>
                </c:pt>
                <c:pt idx="296">
                  <c:v>-6.2399999999999999E-3</c:v>
                </c:pt>
                <c:pt idx="297">
                  <c:v>-6.2500000000000003E-3</c:v>
                </c:pt>
                <c:pt idx="298">
                  <c:v>-6.3800000000000003E-3</c:v>
                </c:pt>
                <c:pt idx="299">
                  <c:v>-6.8600000000000006E-3</c:v>
                </c:pt>
                <c:pt idx="300">
                  <c:v>-7.0999999999999995E-3</c:v>
                </c:pt>
                <c:pt idx="301">
                  <c:v>-8.5599999999999999E-3</c:v>
                </c:pt>
                <c:pt idx="302">
                  <c:v>-7.9000000000000008E-3</c:v>
                </c:pt>
                <c:pt idx="303">
                  <c:v>-7.4199999999999995E-3</c:v>
                </c:pt>
                <c:pt idx="304">
                  <c:v>-7.4099999999999999E-3</c:v>
                </c:pt>
                <c:pt idx="305">
                  <c:v>-5.4400000000000004E-3</c:v>
                </c:pt>
                <c:pt idx="306">
                  <c:v>-4.6100000000000004E-3</c:v>
                </c:pt>
                <c:pt idx="307">
                  <c:v>-4.3400000000000001E-3</c:v>
                </c:pt>
                <c:pt idx="308">
                  <c:v>-2.3499999999999997E-3</c:v>
                </c:pt>
                <c:pt idx="309">
                  <c:v>-1.9300000000000001E-3</c:v>
                </c:pt>
                <c:pt idx="310">
                  <c:v>-3.2100000000000002E-3</c:v>
                </c:pt>
                <c:pt idx="311">
                  <c:v>-3.7499999999999999E-3</c:v>
                </c:pt>
                <c:pt idx="312">
                  <c:v>-3.2200000000000002E-3</c:v>
                </c:pt>
                <c:pt idx="313">
                  <c:v>-2.6199999999999999E-3</c:v>
                </c:pt>
                <c:pt idx="314">
                  <c:v>-3.6099999999999999E-3</c:v>
                </c:pt>
                <c:pt idx="315">
                  <c:v>-4.7399999999999994E-3</c:v>
                </c:pt>
                <c:pt idx="316">
                  <c:v>-4.8999999999999998E-3</c:v>
                </c:pt>
                <c:pt idx="317">
                  <c:v>-4.7099999999999998E-3</c:v>
                </c:pt>
                <c:pt idx="318">
                  <c:v>-4.5799999999999999E-3</c:v>
                </c:pt>
                <c:pt idx="319">
                  <c:v>-4.3299999999999996E-3</c:v>
                </c:pt>
                <c:pt idx="320">
                  <c:v>-4.4099999999999999E-3</c:v>
                </c:pt>
                <c:pt idx="321">
                  <c:v>-4.2500000000000003E-3</c:v>
                </c:pt>
                <c:pt idx="322">
                  <c:v>-3.0899999999999999E-3</c:v>
                </c:pt>
                <c:pt idx="323">
                  <c:v>-3.0599999999999998E-3</c:v>
                </c:pt>
                <c:pt idx="324">
                  <c:v>-3.4699999999999996E-3</c:v>
                </c:pt>
                <c:pt idx="325">
                  <c:v>-3.4699999999999996E-3</c:v>
                </c:pt>
                <c:pt idx="326">
                  <c:v>-3.7699999999999999E-3</c:v>
                </c:pt>
                <c:pt idx="327">
                  <c:v>-4.6500000000000005E-3</c:v>
                </c:pt>
                <c:pt idx="328">
                  <c:v>-4.7399999999999994E-3</c:v>
                </c:pt>
                <c:pt idx="329">
                  <c:v>-4.7199999999999994E-3</c:v>
                </c:pt>
                <c:pt idx="330">
                  <c:v>-4.4800000000000005E-3</c:v>
                </c:pt>
                <c:pt idx="331">
                  <c:v>-4.7699999999999999E-3</c:v>
                </c:pt>
                <c:pt idx="332">
                  <c:v>-4.0699999999999998E-3</c:v>
                </c:pt>
                <c:pt idx="333">
                  <c:v>-4.2399999999999998E-3</c:v>
                </c:pt>
                <c:pt idx="334">
                  <c:v>-4.7299999999999998E-3</c:v>
                </c:pt>
                <c:pt idx="335">
                  <c:v>-4.5300000000000002E-3</c:v>
                </c:pt>
                <c:pt idx="336">
                  <c:v>-4.6899999999999997E-3</c:v>
                </c:pt>
                <c:pt idx="337">
                  <c:v>-4.9499999999999995E-3</c:v>
                </c:pt>
                <c:pt idx="338">
                  <c:v>-5.8599999999999998E-3</c:v>
                </c:pt>
                <c:pt idx="339">
                  <c:v>-5.6299999999999996E-3</c:v>
                </c:pt>
                <c:pt idx="340">
                  <c:v>-5.7799999999999995E-3</c:v>
                </c:pt>
                <c:pt idx="341">
                  <c:v>-5.0699999999999999E-3</c:v>
                </c:pt>
                <c:pt idx="342">
                  <c:v>-5.45E-3</c:v>
                </c:pt>
                <c:pt idx="343">
                  <c:v>-5.3700000000000006E-3</c:v>
                </c:pt>
                <c:pt idx="344">
                  <c:v>-5.1200000000000004E-3</c:v>
                </c:pt>
                <c:pt idx="345">
                  <c:v>-5.0499999999999998E-3</c:v>
                </c:pt>
                <c:pt idx="346">
                  <c:v>-5.3E-3</c:v>
                </c:pt>
                <c:pt idx="347">
                  <c:v>-5.4300000000000008E-3</c:v>
                </c:pt>
                <c:pt idx="348">
                  <c:v>-5.3100000000000005E-3</c:v>
                </c:pt>
                <c:pt idx="349">
                  <c:v>-4.6700000000000005E-3</c:v>
                </c:pt>
                <c:pt idx="350">
                  <c:v>-4.64E-3</c:v>
                </c:pt>
                <c:pt idx="351">
                  <c:v>-4.6800000000000001E-3</c:v>
                </c:pt>
                <c:pt idx="352">
                  <c:v>-4.9499999999999995E-3</c:v>
                </c:pt>
                <c:pt idx="353">
                  <c:v>-4.8700000000000002E-3</c:v>
                </c:pt>
                <c:pt idx="354">
                  <c:v>-4.9399999999999999E-3</c:v>
                </c:pt>
                <c:pt idx="355">
                  <c:v>-4.2899999999999995E-3</c:v>
                </c:pt>
                <c:pt idx="356">
                  <c:v>-4.1399999999999996E-3</c:v>
                </c:pt>
                <c:pt idx="357">
                  <c:v>-4.1900000000000001E-3</c:v>
                </c:pt>
                <c:pt idx="358">
                  <c:v>-4.47E-3</c:v>
                </c:pt>
                <c:pt idx="359">
                  <c:v>-4.0200000000000001E-3</c:v>
                </c:pt>
                <c:pt idx="360">
                  <c:v>-4.15E-3</c:v>
                </c:pt>
                <c:pt idx="361">
                  <c:v>-3.5399999999999997E-3</c:v>
                </c:pt>
                <c:pt idx="362">
                  <c:v>-3.2000000000000002E-3</c:v>
                </c:pt>
                <c:pt idx="363">
                  <c:v>-2.7700000000000003E-3</c:v>
                </c:pt>
                <c:pt idx="364">
                  <c:v>-3.1900000000000001E-3</c:v>
                </c:pt>
                <c:pt idx="365">
                  <c:v>-3.0899999999999999E-3</c:v>
                </c:pt>
                <c:pt idx="366">
                  <c:v>-3.31E-3</c:v>
                </c:pt>
                <c:pt idx="367">
                  <c:v>-4.1399999999999996E-3</c:v>
                </c:pt>
                <c:pt idx="368">
                  <c:v>-4.3899999999999998E-3</c:v>
                </c:pt>
                <c:pt idx="369">
                  <c:v>-4.4600000000000004E-3</c:v>
                </c:pt>
                <c:pt idx="370">
                  <c:v>-4.2699999999999995E-3</c:v>
                </c:pt>
                <c:pt idx="371">
                  <c:v>-3.9199999999999999E-3</c:v>
                </c:pt>
                <c:pt idx="372">
                  <c:v>-4.0699999999999998E-3</c:v>
                </c:pt>
                <c:pt idx="373">
                  <c:v>-4.15E-3</c:v>
                </c:pt>
                <c:pt idx="374">
                  <c:v>-4.3899999999999998E-3</c:v>
                </c:pt>
                <c:pt idx="375">
                  <c:v>-4.0799999999999994E-3</c:v>
                </c:pt>
                <c:pt idx="376">
                  <c:v>-4.4000000000000003E-3</c:v>
                </c:pt>
                <c:pt idx="377">
                  <c:v>-4.6800000000000001E-3</c:v>
                </c:pt>
                <c:pt idx="378">
                  <c:v>-4.8199999999999996E-3</c:v>
                </c:pt>
                <c:pt idx="379">
                  <c:v>-4.6999999999999993E-3</c:v>
                </c:pt>
                <c:pt idx="380">
                  <c:v>-4.5399999999999998E-3</c:v>
                </c:pt>
                <c:pt idx="381">
                  <c:v>-3.9500000000000004E-3</c:v>
                </c:pt>
                <c:pt idx="382">
                  <c:v>-4.28E-3</c:v>
                </c:pt>
                <c:pt idx="383">
                  <c:v>-4.3200000000000001E-3</c:v>
                </c:pt>
                <c:pt idx="384">
                  <c:v>-4.3099999999999996E-3</c:v>
                </c:pt>
                <c:pt idx="385">
                  <c:v>-4.2899999999999995E-3</c:v>
                </c:pt>
                <c:pt idx="386">
                  <c:v>-4.4000000000000003E-3</c:v>
                </c:pt>
                <c:pt idx="387">
                  <c:v>-4.6300000000000004E-3</c:v>
                </c:pt>
                <c:pt idx="388">
                  <c:v>-4.6500000000000005E-3</c:v>
                </c:pt>
                <c:pt idx="389">
                  <c:v>-4.1700000000000001E-3</c:v>
                </c:pt>
                <c:pt idx="390">
                  <c:v>-4.47E-3</c:v>
                </c:pt>
                <c:pt idx="391">
                  <c:v>-4.4400000000000004E-3</c:v>
                </c:pt>
                <c:pt idx="392">
                  <c:v>-4.6500000000000005E-3</c:v>
                </c:pt>
                <c:pt idx="393">
                  <c:v>-4.47E-3</c:v>
                </c:pt>
                <c:pt idx="394">
                  <c:v>-4.5999999999999999E-3</c:v>
                </c:pt>
                <c:pt idx="395">
                  <c:v>-4.5999999999999999E-3</c:v>
                </c:pt>
                <c:pt idx="396">
                  <c:v>-4.8999999999999998E-3</c:v>
                </c:pt>
                <c:pt idx="397">
                  <c:v>-4.81E-3</c:v>
                </c:pt>
                <c:pt idx="398">
                  <c:v>-4.4800000000000005E-3</c:v>
                </c:pt>
                <c:pt idx="399">
                  <c:v>-4.9100000000000003E-3</c:v>
                </c:pt>
                <c:pt idx="400">
                  <c:v>-5.0800000000000003E-3</c:v>
                </c:pt>
                <c:pt idx="401">
                  <c:v>-4.9800000000000001E-3</c:v>
                </c:pt>
                <c:pt idx="402">
                  <c:v>-5.4200000000000003E-3</c:v>
                </c:pt>
                <c:pt idx="403">
                  <c:v>-5.2399999999999999E-3</c:v>
                </c:pt>
                <c:pt idx="404">
                  <c:v>-5.2300000000000003E-3</c:v>
                </c:pt>
                <c:pt idx="405">
                  <c:v>-5.5300000000000002E-3</c:v>
                </c:pt>
                <c:pt idx="406">
                  <c:v>-5.0600000000000003E-3</c:v>
                </c:pt>
                <c:pt idx="407">
                  <c:v>-5.3100000000000005E-3</c:v>
                </c:pt>
                <c:pt idx="408">
                  <c:v>-5.0899999999999999E-3</c:v>
                </c:pt>
                <c:pt idx="409">
                  <c:v>-5.2599999999999999E-3</c:v>
                </c:pt>
                <c:pt idx="410">
                  <c:v>-4.7799999999999995E-3</c:v>
                </c:pt>
                <c:pt idx="411">
                  <c:v>-4.47E-3</c:v>
                </c:pt>
                <c:pt idx="412">
                  <c:v>-4.1199999999999995E-3</c:v>
                </c:pt>
                <c:pt idx="413">
                  <c:v>-4.2100000000000002E-3</c:v>
                </c:pt>
                <c:pt idx="414">
                  <c:v>-4.5100000000000001E-3</c:v>
                </c:pt>
                <c:pt idx="415">
                  <c:v>-4.6300000000000004E-3</c:v>
                </c:pt>
                <c:pt idx="416">
                  <c:v>-4.7199999999999994E-3</c:v>
                </c:pt>
                <c:pt idx="417">
                  <c:v>-4.96E-3</c:v>
                </c:pt>
                <c:pt idx="418">
                  <c:v>-5.0699999999999999E-3</c:v>
                </c:pt>
                <c:pt idx="419">
                  <c:v>-4.9100000000000003E-3</c:v>
                </c:pt>
                <c:pt idx="420">
                  <c:v>-4.3099999999999996E-3</c:v>
                </c:pt>
                <c:pt idx="421">
                  <c:v>-4.15E-3</c:v>
                </c:pt>
                <c:pt idx="422">
                  <c:v>-4.0699999999999998E-3</c:v>
                </c:pt>
                <c:pt idx="423">
                  <c:v>-4.0899999999999999E-3</c:v>
                </c:pt>
                <c:pt idx="424">
                  <c:v>-3.9700000000000004E-3</c:v>
                </c:pt>
                <c:pt idx="425">
                  <c:v>-4.1999999999999997E-3</c:v>
                </c:pt>
                <c:pt idx="426">
                  <c:v>-4.7299999999999998E-3</c:v>
                </c:pt>
                <c:pt idx="427">
                  <c:v>-4.8799999999999998E-3</c:v>
                </c:pt>
                <c:pt idx="428">
                  <c:v>-4.7199999999999994E-3</c:v>
                </c:pt>
                <c:pt idx="429">
                  <c:v>-4.6300000000000004E-3</c:v>
                </c:pt>
                <c:pt idx="430">
                  <c:v>-4.9499999999999995E-3</c:v>
                </c:pt>
                <c:pt idx="431">
                  <c:v>-4.62E-3</c:v>
                </c:pt>
                <c:pt idx="432">
                  <c:v>-4.3299999999999996E-3</c:v>
                </c:pt>
                <c:pt idx="433">
                  <c:v>-4.81E-3</c:v>
                </c:pt>
                <c:pt idx="434">
                  <c:v>-4.7999999999999996E-3</c:v>
                </c:pt>
                <c:pt idx="435">
                  <c:v>-4.79E-3</c:v>
                </c:pt>
                <c:pt idx="436">
                  <c:v>-4.8399999999999997E-3</c:v>
                </c:pt>
                <c:pt idx="437">
                  <c:v>-4.9100000000000003E-3</c:v>
                </c:pt>
                <c:pt idx="438">
                  <c:v>-4.8500000000000001E-3</c:v>
                </c:pt>
                <c:pt idx="439">
                  <c:v>-5.3E-3</c:v>
                </c:pt>
                <c:pt idx="440">
                  <c:v>-5.0499999999999998E-3</c:v>
                </c:pt>
                <c:pt idx="441">
                  <c:v>-5.0499999999999998E-3</c:v>
                </c:pt>
                <c:pt idx="442">
                  <c:v>-5.0099999999999997E-3</c:v>
                </c:pt>
                <c:pt idx="443">
                  <c:v>-5.2900000000000004E-3</c:v>
                </c:pt>
                <c:pt idx="444">
                  <c:v>-5.28E-3</c:v>
                </c:pt>
                <c:pt idx="445">
                  <c:v>-5.45E-3</c:v>
                </c:pt>
                <c:pt idx="446">
                  <c:v>-5.2199999999999998E-3</c:v>
                </c:pt>
                <c:pt idx="447">
                  <c:v>-5.3600000000000002E-3</c:v>
                </c:pt>
                <c:pt idx="448">
                  <c:v>-5.3600000000000002E-3</c:v>
                </c:pt>
                <c:pt idx="449">
                  <c:v>-5.1000000000000004E-3</c:v>
                </c:pt>
                <c:pt idx="450">
                  <c:v>-5.0699999999999999E-3</c:v>
                </c:pt>
                <c:pt idx="451">
                  <c:v>-4.9300000000000004E-3</c:v>
                </c:pt>
                <c:pt idx="452">
                  <c:v>-5.2300000000000003E-3</c:v>
                </c:pt>
                <c:pt idx="453">
                  <c:v>-5.2700000000000004E-3</c:v>
                </c:pt>
                <c:pt idx="454">
                  <c:v>-5.45E-3</c:v>
                </c:pt>
                <c:pt idx="455">
                  <c:v>-5.5600000000000007E-3</c:v>
                </c:pt>
                <c:pt idx="456">
                  <c:v>-5.8099999999999992E-3</c:v>
                </c:pt>
                <c:pt idx="457">
                  <c:v>-6.0999999999999995E-3</c:v>
                </c:pt>
                <c:pt idx="458">
                  <c:v>-6.2199999999999998E-3</c:v>
                </c:pt>
                <c:pt idx="459">
                  <c:v>-6.28E-3</c:v>
                </c:pt>
                <c:pt idx="460">
                  <c:v>-6.0599999999999994E-3</c:v>
                </c:pt>
                <c:pt idx="461">
                  <c:v>-5.8799999999999998E-3</c:v>
                </c:pt>
                <c:pt idx="462">
                  <c:v>-5.6599999999999992E-3</c:v>
                </c:pt>
                <c:pt idx="463">
                  <c:v>-5.7399999999999994E-3</c:v>
                </c:pt>
                <c:pt idx="464">
                  <c:v>-5.7999999999999996E-3</c:v>
                </c:pt>
                <c:pt idx="465">
                  <c:v>-6.1500000000000001E-3</c:v>
                </c:pt>
                <c:pt idx="466">
                  <c:v>-6.2500000000000003E-3</c:v>
                </c:pt>
                <c:pt idx="467">
                  <c:v>-6.3600000000000002E-3</c:v>
                </c:pt>
                <c:pt idx="468">
                  <c:v>-6.2700000000000004E-3</c:v>
                </c:pt>
                <c:pt idx="469">
                  <c:v>-6.4000000000000003E-3</c:v>
                </c:pt>
                <c:pt idx="470">
                  <c:v>-6.1999999999999998E-3</c:v>
                </c:pt>
                <c:pt idx="471">
                  <c:v>-6.3800000000000003E-3</c:v>
                </c:pt>
                <c:pt idx="472">
                  <c:v>-6.3699999999999998E-3</c:v>
                </c:pt>
                <c:pt idx="473">
                  <c:v>-6.2100000000000002E-3</c:v>
                </c:pt>
                <c:pt idx="474">
                  <c:v>-5.0899999999999999E-3</c:v>
                </c:pt>
                <c:pt idx="475">
                  <c:v>-4.8500000000000001E-3</c:v>
                </c:pt>
                <c:pt idx="476">
                  <c:v>-5.0699999999999999E-3</c:v>
                </c:pt>
                <c:pt idx="477">
                  <c:v>-5.3600000000000002E-3</c:v>
                </c:pt>
                <c:pt idx="478">
                  <c:v>-5.47E-3</c:v>
                </c:pt>
                <c:pt idx="479">
                  <c:v>-5.45E-3</c:v>
                </c:pt>
                <c:pt idx="480">
                  <c:v>-5.6299999999999996E-3</c:v>
                </c:pt>
                <c:pt idx="481">
                  <c:v>-5.5400000000000007E-3</c:v>
                </c:pt>
                <c:pt idx="482">
                  <c:v>-5.7099999999999998E-3</c:v>
                </c:pt>
                <c:pt idx="483">
                  <c:v>-5.8299999999999992E-3</c:v>
                </c:pt>
                <c:pt idx="484">
                  <c:v>-5.8099999999999992E-3</c:v>
                </c:pt>
                <c:pt idx="485">
                  <c:v>-5.6299999999999996E-3</c:v>
                </c:pt>
                <c:pt idx="486">
                  <c:v>-5.6799999999999993E-3</c:v>
                </c:pt>
                <c:pt idx="487">
                  <c:v>-5.8799999999999998E-3</c:v>
                </c:pt>
                <c:pt idx="488">
                  <c:v>-5.8799999999999998E-3</c:v>
                </c:pt>
                <c:pt idx="489">
                  <c:v>-5.7099999999999998E-3</c:v>
                </c:pt>
                <c:pt idx="490">
                  <c:v>-5.28E-3</c:v>
                </c:pt>
                <c:pt idx="491">
                  <c:v>-5.1900000000000002E-3</c:v>
                </c:pt>
                <c:pt idx="492">
                  <c:v>-5.5600000000000007E-3</c:v>
                </c:pt>
                <c:pt idx="493">
                  <c:v>-5.47E-3</c:v>
                </c:pt>
                <c:pt idx="494">
                  <c:v>-5.8199999999999997E-3</c:v>
                </c:pt>
                <c:pt idx="495">
                  <c:v>-6.0699999999999999E-3</c:v>
                </c:pt>
                <c:pt idx="496">
                  <c:v>-6.0499999999999998E-3</c:v>
                </c:pt>
                <c:pt idx="497">
                  <c:v>-6.0299999999999998E-3</c:v>
                </c:pt>
                <c:pt idx="498">
                  <c:v>-6.3600000000000002E-3</c:v>
                </c:pt>
                <c:pt idx="499">
                  <c:v>-6.1999999999999998E-3</c:v>
                </c:pt>
                <c:pt idx="500">
                  <c:v>-6.11E-3</c:v>
                </c:pt>
                <c:pt idx="501">
                  <c:v>-5.6699999999999997E-3</c:v>
                </c:pt>
                <c:pt idx="502">
                  <c:v>-5.6999999999999993E-3</c:v>
                </c:pt>
                <c:pt idx="503">
                  <c:v>-5.7099999999999998E-3</c:v>
                </c:pt>
                <c:pt idx="504">
                  <c:v>-5.7999999999999996E-3</c:v>
                </c:pt>
                <c:pt idx="505">
                  <c:v>-5.9499999999999996E-3</c:v>
                </c:pt>
                <c:pt idx="506">
                  <c:v>-5.47E-3</c:v>
                </c:pt>
                <c:pt idx="507">
                  <c:v>-5.4800000000000005E-3</c:v>
                </c:pt>
                <c:pt idx="508">
                  <c:v>-5.4800000000000005E-3</c:v>
                </c:pt>
                <c:pt idx="509">
                  <c:v>-5.6499999999999996E-3</c:v>
                </c:pt>
                <c:pt idx="510">
                  <c:v>-5.7099999999999998E-3</c:v>
                </c:pt>
                <c:pt idx="511">
                  <c:v>-5.6899999999999997E-3</c:v>
                </c:pt>
                <c:pt idx="512">
                  <c:v>-6.0400000000000002E-3</c:v>
                </c:pt>
                <c:pt idx="513">
                  <c:v>-5.77E-3</c:v>
                </c:pt>
                <c:pt idx="514">
                  <c:v>-5.1999999999999998E-3</c:v>
                </c:pt>
                <c:pt idx="515">
                  <c:v>-5.2199999999999998E-3</c:v>
                </c:pt>
                <c:pt idx="516">
                  <c:v>-5.1900000000000002E-3</c:v>
                </c:pt>
                <c:pt idx="517">
                  <c:v>-4.96E-3</c:v>
                </c:pt>
                <c:pt idx="518">
                  <c:v>-4.6800000000000001E-3</c:v>
                </c:pt>
                <c:pt idx="519">
                  <c:v>-5.2199999999999998E-3</c:v>
                </c:pt>
                <c:pt idx="520">
                  <c:v>-5.5000000000000005E-3</c:v>
                </c:pt>
                <c:pt idx="521">
                  <c:v>-5.4300000000000008E-3</c:v>
                </c:pt>
                <c:pt idx="522">
                  <c:v>-5.2700000000000004E-3</c:v>
                </c:pt>
                <c:pt idx="523">
                  <c:v>-5.2599999999999999E-3</c:v>
                </c:pt>
                <c:pt idx="524">
                  <c:v>-5.2900000000000004E-3</c:v>
                </c:pt>
                <c:pt idx="525">
                  <c:v>-4.96E-3</c:v>
                </c:pt>
                <c:pt idx="526">
                  <c:v>-5.1200000000000004E-3</c:v>
                </c:pt>
                <c:pt idx="527">
                  <c:v>-5.5000000000000005E-3</c:v>
                </c:pt>
                <c:pt idx="528">
                  <c:v>-5.3300000000000005E-3</c:v>
                </c:pt>
                <c:pt idx="529">
                  <c:v>-5.4600000000000004E-3</c:v>
                </c:pt>
                <c:pt idx="530">
                  <c:v>-5.3900000000000007E-3</c:v>
                </c:pt>
                <c:pt idx="531">
                  <c:v>-5.1800000000000006E-3</c:v>
                </c:pt>
                <c:pt idx="532">
                  <c:v>-5.1600000000000005E-3</c:v>
                </c:pt>
                <c:pt idx="533">
                  <c:v>-4.8900000000000002E-3</c:v>
                </c:pt>
                <c:pt idx="534">
                  <c:v>-4.64E-3</c:v>
                </c:pt>
                <c:pt idx="535">
                  <c:v>-4.5399999999999998E-3</c:v>
                </c:pt>
                <c:pt idx="536">
                  <c:v>-4.4800000000000005E-3</c:v>
                </c:pt>
                <c:pt idx="537">
                  <c:v>-4.45E-3</c:v>
                </c:pt>
                <c:pt idx="538">
                  <c:v>-4.4600000000000004E-3</c:v>
                </c:pt>
                <c:pt idx="539">
                  <c:v>-4.3699999999999998E-3</c:v>
                </c:pt>
                <c:pt idx="540">
                  <c:v>-4.5799999999999999E-3</c:v>
                </c:pt>
                <c:pt idx="541">
                  <c:v>-4.28E-3</c:v>
                </c:pt>
                <c:pt idx="542">
                  <c:v>-3.81E-3</c:v>
                </c:pt>
                <c:pt idx="543">
                  <c:v>-3.4799999999999996E-3</c:v>
                </c:pt>
                <c:pt idx="544">
                  <c:v>-3.6800000000000001E-3</c:v>
                </c:pt>
                <c:pt idx="545">
                  <c:v>-3.4599999999999995E-3</c:v>
                </c:pt>
                <c:pt idx="546">
                  <c:v>-3.0499999999999998E-3</c:v>
                </c:pt>
                <c:pt idx="547">
                  <c:v>-3.3900000000000002E-3</c:v>
                </c:pt>
                <c:pt idx="548">
                  <c:v>-3.15E-3</c:v>
                </c:pt>
                <c:pt idx="549">
                  <c:v>-3.0399999999999997E-3</c:v>
                </c:pt>
                <c:pt idx="550">
                  <c:v>-2.32E-3</c:v>
                </c:pt>
                <c:pt idx="551">
                  <c:v>-2.5999999999999999E-3</c:v>
                </c:pt>
                <c:pt idx="552">
                  <c:v>-3.3400000000000001E-3</c:v>
                </c:pt>
                <c:pt idx="553">
                  <c:v>-3.5199999999999997E-3</c:v>
                </c:pt>
                <c:pt idx="554">
                  <c:v>-2.8799999999999997E-3</c:v>
                </c:pt>
                <c:pt idx="555">
                  <c:v>-3.1099999999999999E-3</c:v>
                </c:pt>
                <c:pt idx="556">
                  <c:v>-3.0200000000000001E-3</c:v>
                </c:pt>
                <c:pt idx="557">
                  <c:v>-2.7700000000000003E-3</c:v>
                </c:pt>
                <c:pt idx="558">
                  <c:v>-3.0100000000000001E-3</c:v>
                </c:pt>
                <c:pt idx="559">
                  <c:v>-3.13E-3</c:v>
                </c:pt>
                <c:pt idx="560">
                  <c:v>-3.3400000000000001E-3</c:v>
                </c:pt>
                <c:pt idx="561">
                  <c:v>-2.7700000000000003E-3</c:v>
                </c:pt>
                <c:pt idx="562">
                  <c:v>-3.0100000000000001E-3</c:v>
                </c:pt>
                <c:pt idx="563">
                  <c:v>-3.13E-3</c:v>
                </c:pt>
                <c:pt idx="564">
                  <c:v>-3.3400000000000001E-3</c:v>
                </c:pt>
                <c:pt idx="565">
                  <c:v>-3.0599999999999998E-3</c:v>
                </c:pt>
                <c:pt idx="566">
                  <c:v>-3.3400000000000001E-3</c:v>
                </c:pt>
                <c:pt idx="567">
                  <c:v>-3.3600000000000001E-3</c:v>
                </c:pt>
                <c:pt idx="568">
                  <c:v>-2.9099999999999998E-3</c:v>
                </c:pt>
                <c:pt idx="569">
                  <c:v>-2.64E-3</c:v>
                </c:pt>
                <c:pt idx="570">
                  <c:v>-2.9399999999999999E-3</c:v>
                </c:pt>
                <c:pt idx="571">
                  <c:v>-3.1099999999999999E-3</c:v>
                </c:pt>
                <c:pt idx="572">
                  <c:v>-3.4100000000000003E-3</c:v>
                </c:pt>
                <c:pt idx="573">
                  <c:v>-3.5299999999999997E-3</c:v>
                </c:pt>
                <c:pt idx="574">
                  <c:v>-3.8400000000000001E-3</c:v>
                </c:pt>
                <c:pt idx="575">
                  <c:v>-3.4599999999999995E-3</c:v>
                </c:pt>
                <c:pt idx="576">
                  <c:v>-3.1800000000000001E-3</c:v>
                </c:pt>
                <c:pt idx="577">
                  <c:v>-2.8599999999999997E-3</c:v>
                </c:pt>
                <c:pt idx="578">
                  <c:v>-2.9199999999999999E-3</c:v>
                </c:pt>
                <c:pt idx="579">
                  <c:v>-3.2799999999999999E-3</c:v>
                </c:pt>
                <c:pt idx="580">
                  <c:v>-3.2799999999999999E-3</c:v>
                </c:pt>
                <c:pt idx="581">
                  <c:v>-3.16E-3</c:v>
                </c:pt>
                <c:pt idx="582">
                  <c:v>-3.2400000000000003E-3</c:v>
                </c:pt>
                <c:pt idx="583">
                  <c:v>-3.3600000000000001E-3</c:v>
                </c:pt>
                <c:pt idx="584">
                  <c:v>-3.0299999999999997E-3</c:v>
                </c:pt>
                <c:pt idx="585">
                  <c:v>-2.9299999999999999E-3</c:v>
                </c:pt>
                <c:pt idx="586">
                  <c:v>-2.9199999999999999E-3</c:v>
                </c:pt>
                <c:pt idx="587">
                  <c:v>-2.5800000000000003E-3</c:v>
                </c:pt>
                <c:pt idx="588">
                  <c:v>-2.8999999999999998E-3</c:v>
                </c:pt>
                <c:pt idx="589">
                  <c:v>-2.6199999999999999E-3</c:v>
                </c:pt>
                <c:pt idx="590">
                  <c:v>-2.3499999999999997E-3</c:v>
                </c:pt>
                <c:pt idx="591">
                  <c:v>-2.6199999999999999E-3</c:v>
                </c:pt>
                <c:pt idx="592">
                  <c:v>-2.6199999999999999E-3</c:v>
                </c:pt>
                <c:pt idx="593">
                  <c:v>-2.5200000000000001E-3</c:v>
                </c:pt>
                <c:pt idx="594">
                  <c:v>-2.5700000000000002E-3</c:v>
                </c:pt>
                <c:pt idx="595">
                  <c:v>-2.5300000000000001E-3</c:v>
                </c:pt>
                <c:pt idx="596">
                  <c:v>-2.49E-3</c:v>
                </c:pt>
                <c:pt idx="597">
                  <c:v>-2.31E-3</c:v>
                </c:pt>
                <c:pt idx="598">
                  <c:v>-1.9300000000000001E-3</c:v>
                </c:pt>
                <c:pt idx="599">
                  <c:v>-2.0200000000000001E-3</c:v>
                </c:pt>
                <c:pt idx="600">
                  <c:v>-2.0399999999999997E-3</c:v>
                </c:pt>
                <c:pt idx="601">
                  <c:v>-2.3799999999999997E-3</c:v>
                </c:pt>
                <c:pt idx="602">
                  <c:v>-2.2799999999999999E-3</c:v>
                </c:pt>
                <c:pt idx="603">
                  <c:v>-2.2500000000000003E-3</c:v>
                </c:pt>
                <c:pt idx="604">
                  <c:v>-2.15E-3</c:v>
                </c:pt>
                <c:pt idx="605">
                  <c:v>-2.1199999999999999E-3</c:v>
                </c:pt>
                <c:pt idx="606">
                  <c:v>-1.6100000000000001E-3</c:v>
                </c:pt>
                <c:pt idx="607">
                  <c:v>-1.23E-3</c:v>
                </c:pt>
                <c:pt idx="608">
                  <c:v>-1.1999999999999999E-3</c:v>
                </c:pt>
                <c:pt idx="609">
                  <c:v>-1.2900000000000001E-3</c:v>
                </c:pt>
                <c:pt idx="610">
                  <c:v>-1.15E-3</c:v>
                </c:pt>
                <c:pt idx="611">
                  <c:v>-1.0299999999999999E-3</c:v>
                </c:pt>
                <c:pt idx="612">
                  <c:v>-1.1000000000000001E-3</c:v>
                </c:pt>
                <c:pt idx="613">
                  <c:v>-1.09E-3</c:v>
                </c:pt>
                <c:pt idx="614">
                  <c:v>-1.2999999999999999E-3</c:v>
                </c:pt>
                <c:pt idx="615">
                  <c:v>-1.4000000000000002E-3</c:v>
                </c:pt>
                <c:pt idx="616">
                  <c:v>-1.67E-3</c:v>
                </c:pt>
                <c:pt idx="617">
                  <c:v>-2.0599999999999998E-3</c:v>
                </c:pt>
                <c:pt idx="618">
                  <c:v>-1.72E-3</c:v>
                </c:pt>
                <c:pt idx="619">
                  <c:v>-1.83E-3</c:v>
                </c:pt>
                <c:pt idx="620">
                  <c:v>-1.8699999999999999E-3</c:v>
                </c:pt>
                <c:pt idx="621">
                  <c:v>-1.7799999999999999E-3</c:v>
                </c:pt>
                <c:pt idx="622">
                  <c:v>-1.98E-3</c:v>
                </c:pt>
                <c:pt idx="623">
                  <c:v>-1.83E-3</c:v>
                </c:pt>
                <c:pt idx="624">
                  <c:v>-2.1299999999999999E-3</c:v>
                </c:pt>
                <c:pt idx="625">
                  <c:v>-1.98E-3</c:v>
                </c:pt>
                <c:pt idx="626">
                  <c:v>-2.2400000000000002E-3</c:v>
                </c:pt>
                <c:pt idx="627">
                  <c:v>-2.4399999999999999E-3</c:v>
                </c:pt>
                <c:pt idx="628">
                  <c:v>-2.5600000000000002E-3</c:v>
                </c:pt>
                <c:pt idx="629">
                  <c:v>-2.7400000000000002E-3</c:v>
                </c:pt>
                <c:pt idx="630">
                  <c:v>-2.5100000000000001E-3</c:v>
                </c:pt>
                <c:pt idx="631">
                  <c:v>-2.32E-3</c:v>
                </c:pt>
                <c:pt idx="632">
                  <c:v>-2.5000000000000001E-3</c:v>
                </c:pt>
                <c:pt idx="633">
                  <c:v>-1.9500000000000001E-3</c:v>
                </c:pt>
                <c:pt idx="634">
                  <c:v>-2E-3</c:v>
                </c:pt>
                <c:pt idx="635">
                  <c:v>-1.7100000000000001E-3</c:v>
                </c:pt>
                <c:pt idx="636">
                  <c:v>-1.64E-3</c:v>
                </c:pt>
                <c:pt idx="637">
                  <c:v>-1.7799999999999999E-3</c:v>
                </c:pt>
                <c:pt idx="638">
                  <c:v>-1.8799999999999999E-3</c:v>
                </c:pt>
                <c:pt idx="639">
                  <c:v>-1.5499999999999999E-3</c:v>
                </c:pt>
                <c:pt idx="640">
                  <c:v>-1.9E-3</c:v>
                </c:pt>
                <c:pt idx="641">
                  <c:v>-1.7000000000000001E-3</c:v>
                </c:pt>
                <c:pt idx="642">
                  <c:v>-2.0699999999999998E-3</c:v>
                </c:pt>
                <c:pt idx="643">
                  <c:v>-2.0100000000000001E-3</c:v>
                </c:pt>
                <c:pt idx="644">
                  <c:v>-2.3499999999999997E-3</c:v>
                </c:pt>
                <c:pt idx="645">
                  <c:v>-2.0999999999999999E-3</c:v>
                </c:pt>
                <c:pt idx="646">
                  <c:v>-2.6800000000000001E-3</c:v>
                </c:pt>
                <c:pt idx="647">
                  <c:v>-2.98E-3</c:v>
                </c:pt>
                <c:pt idx="648">
                  <c:v>-3.0699999999999998E-3</c:v>
                </c:pt>
                <c:pt idx="649">
                  <c:v>-2.9299999999999999E-3</c:v>
                </c:pt>
                <c:pt idx="650">
                  <c:v>-2.9499999999999999E-3</c:v>
                </c:pt>
                <c:pt idx="651">
                  <c:v>-2.9399999999999999E-3</c:v>
                </c:pt>
                <c:pt idx="652">
                  <c:v>-3.1900000000000001E-3</c:v>
                </c:pt>
                <c:pt idx="653">
                  <c:v>-3.3400000000000001E-3</c:v>
                </c:pt>
                <c:pt idx="654">
                  <c:v>-3.5299999999999997E-3</c:v>
                </c:pt>
                <c:pt idx="655">
                  <c:v>-3.8600000000000001E-3</c:v>
                </c:pt>
                <c:pt idx="656">
                  <c:v>-4.0999999999999995E-3</c:v>
                </c:pt>
                <c:pt idx="657">
                  <c:v>-3.9500000000000004E-3</c:v>
                </c:pt>
                <c:pt idx="658">
                  <c:v>-4.2599999999999999E-3</c:v>
                </c:pt>
                <c:pt idx="659">
                  <c:v>-4.1999999999999997E-3</c:v>
                </c:pt>
                <c:pt idx="660">
                  <c:v>-4.1799999999999997E-3</c:v>
                </c:pt>
                <c:pt idx="661">
                  <c:v>-4.4099999999999999E-3</c:v>
                </c:pt>
                <c:pt idx="662">
                  <c:v>-4.5000000000000005E-3</c:v>
                </c:pt>
                <c:pt idx="663">
                  <c:v>-4.5000000000000005E-3</c:v>
                </c:pt>
                <c:pt idx="664">
                  <c:v>-4.6100000000000004E-3</c:v>
                </c:pt>
                <c:pt idx="665">
                  <c:v>-4.8700000000000002E-3</c:v>
                </c:pt>
                <c:pt idx="666">
                  <c:v>-4.8199999999999996E-3</c:v>
                </c:pt>
                <c:pt idx="667">
                  <c:v>-5.0099999999999997E-3</c:v>
                </c:pt>
                <c:pt idx="668">
                  <c:v>-4.9800000000000001E-3</c:v>
                </c:pt>
                <c:pt idx="669">
                  <c:v>-4.5599999999999998E-3</c:v>
                </c:pt>
                <c:pt idx="670">
                  <c:v>-4.5999999999999999E-3</c:v>
                </c:pt>
                <c:pt idx="671">
                  <c:v>-4.5700000000000003E-3</c:v>
                </c:pt>
                <c:pt idx="672">
                  <c:v>-4.64E-3</c:v>
                </c:pt>
                <c:pt idx="673">
                  <c:v>-4.5999999999999999E-3</c:v>
                </c:pt>
                <c:pt idx="674">
                  <c:v>-4.6700000000000005E-3</c:v>
                </c:pt>
                <c:pt idx="675">
                  <c:v>-4.6899999999999997E-3</c:v>
                </c:pt>
                <c:pt idx="676">
                  <c:v>-4.7099999999999998E-3</c:v>
                </c:pt>
                <c:pt idx="677">
                  <c:v>-4.8199999999999996E-3</c:v>
                </c:pt>
                <c:pt idx="678">
                  <c:v>-4.8900000000000002E-3</c:v>
                </c:pt>
                <c:pt idx="679">
                  <c:v>-4.9499999999999995E-3</c:v>
                </c:pt>
                <c:pt idx="680">
                  <c:v>-4.81E-3</c:v>
                </c:pt>
                <c:pt idx="681">
                  <c:v>-4.7799999999999995E-3</c:v>
                </c:pt>
                <c:pt idx="682">
                  <c:v>-4.2199999999999998E-3</c:v>
                </c:pt>
                <c:pt idx="683">
                  <c:v>-4.0699999999999998E-3</c:v>
                </c:pt>
                <c:pt idx="684">
                  <c:v>-4.2300000000000003E-3</c:v>
                </c:pt>
                <c:pt idx="685">
                  <c:v>-4.3899999999999998E-3</c:v>
                </c:pt>
                <c:pt idx="686">
                  <c:v>-3.8300000000000001E-3</c:v>
                </c:pt>
                <c:pt idx="687">
                  <c:v>-3.7299999999999998E-3</c:v>
                </c:pt>
                <c:pt idx="688">
                  <c:v>-3.8500000000000001E-3</c:v>
                </c:pt>
                <c:pt idx="689">
                  <c:v>-3.6099999999999999E-3</c:v>
                </c:pt>
                <c:pt idx="690">
                  <c:v>-3.6700000000000001E-3</c:v>
                </c:pt>
                <c:pt idx="691">
                  <c:v>-3.2200000000000002E-3</c:v>
                </c:pt>
                <c:pt idx="692">
                  <c:v>-3.2300000000000002E-3</c:v>
                </c:pt>
                <c:pt idx="693">
                  <c:v>-3.6099999999999999E-3</c:v>
                </c:pt>
                <c:pt idx="694">
                  <c:v>-3.3E-3</c:v>
                </c:pt>
                <c:pt idx="695">
                  <c:v>-3.31E-3</c:v>
                </c:pt>
                <c:pt idx="696">
                  <c:v>-3.4000000000000002E-3</c:v>
                </c:pt>
                <c:pt idx="697">
                  <c:v>-3.0599999999999998E-3</c:v>
                </c:pt>
                <c:pt idx="698">
                  <c:v>-3.0200000000000001E-3</c:v>
                </c:pt>
                <c:pt idx="699">
                  <c:v>-2.8000000000000004E-3</c:v>
                </c:pt>
                <c:pt idx="700">
                  <c:v>-3.2000000000000002E-3</c:v>
                </c:pt>
                <c:pt idx="701">
                  <c:v>-3.1700000000000001E-3</c:v>
                </c:pt>
                <c:pt idx="702">
                  <c:v>-3.2400000000000003E-3</c:v>
                </c:pt>
                <c:pt idx="703">
                  <c:v>-2.5800000000000003E-3</c:v>
                </c:pt>
                <c:pt idx="704">
                  <c:v>-2.2799999999999999E-3</c:v>
                </c:pt>
                <c:pt idx="705">
                  <c:v>-2.2300000000000002E-3</c:v>
                </c:pt>
                <c:pt idx="706">
                  <c:v>-1.99E-3</c:v>
                </c:pt>
                <c:pt idx="707">
                  <c:v>-2.1299999999999999E-3</c:v>
                </c:pt>
                <c:pt idx="708">
                  <c:v>-1.99E-3</c:v>
                </c:pt>
                <c:pt idx="709">
                  <c:v>-2.2400000000000002E-3</c:v>
                </c:pt>
                <c:pt idx="710">
                  <c:v>-2.14E-3</c:v>
                </c:pt>
                <c:pt idx="711">
                  <c:v>-1.8799999999999999E-3</c:v>
                </c:pt>
                <c:pt idx="712">
                  <c:v>-1.82E-3</c:v>
                </c:pt>
                <c:pt idx="713">
                  <c:v>-1.8500000000000001E-3</c:v>
                </c:pt>
                <c:pt idx="714">
                  <c:v>-1.5100000000000001E-3</c:v>
                </c:pt>
                <c:pt idx="715">
                  <c:v>-1.2099999999999999E-3</c:v>
                </c:pt>
                <c:pt idx="716">
                  <c:v>-8.5999999999999998E-4</c:v>
                </c:pt>
                <c:pt idx="717">
                  <c:v>-1.2700000000000001E-3</c:v>
                </c:pt>
                <c:pt idx="718">
                  <c:v>-1.91E-3</c:v>
                </c:pt>
                <c:pt idx="719">
                  <c:v>-1.67E-3</c:v>
                </c:pt>
                <c:pt idx="720">
                  <c:v>-1.48E-3</c:v>
                </c:pt>
                <c:pt idx="721">
                  <c:v>-1.06E-3</c:v>
                </c:pt>
                <c:pt idx="722">
                  <c:v>-1.2600000000000001E-3</c:v>
                </c:pt>
                <c:pt idx="723">
                  <c:v>-1.0199999999999999E-3</c:v>
                </c:pt>
                <c:pt idx="724">
                  <c:v>-1.0499999999999999E-3</c:v>
                </c:pt>
                <c:pt idx="725">
                  <c:v>-1.14E-3</c:v>
                </c:pt>
                <c:pt idx="726">
                  <c:v>-1.17E-3</c:v>
                </c:pt>
                <c:pt idx="727">
                  <c:v>-1.7799999999999999E-3</c:v>
                </c:pt>
                <c:pt idx="728">
                  <c:v>-1.3600000000000001E-3</c:v>
                </c:pt>
                <c:pt idx="729">
                  <c:v>-1.06E-3</c:v>
                </c:pt>
                <c:pt idx="730">
                  <c:v>-1.0199999999999999E-3</c:v>
                </c:pt>
                <c:pt idx="731">
                  <c:v>-1.65E-3</c:v>
                </c:pt>
                <c:pt idx="732">
                  <c:v>-1.6800000000000001E-3</c:v>
                </c:pt>
                <c:pt idx="733">
                  <c:v>-2.2400000000000002E-3</c:v>
                </c:pt>
                <c:pt idx="734">
                  <c:v>-2.8000000000000004E-3</c:v>
                </c:pt>
                <c:pt idx="735">
                  <c:v>-2.4299999999999999E-3</c:v>
                </c:pt>
                <c:pt idx="736">
                  <c:v>-2.98E-3</c:v>
                </c:pt>
                <c:pt idx="737">
                  <c:v>-2.47E-3</c:v>
                </c:pt>
                <c:pt idx="738">
                  <c:v>-2.31E-3</c:v>
                </c:pt>
                <c:pt idx="739">
                  <c:v>-2.5900000000000003E-3</c:v>
                </c:pt>
                <c:pt idx="740">
                  <c:v>-2.2899999999999999E-3</c:v>
                </c:pt>
                <c:pt idx="741">
                  <c:v>-2.4199999999999998E-3</c:v>
                </c:pt>
                <c:pt idx="742">
                  <c:v>-2.4599999999999999E-3</c:v>
                </c:pt>
                <c:pt idx="743">
                  <c:v>-2.7500000000000003E-3</c:v>
                </c:pt>
                <c:pt idx="744">
                  <c:v>-3.4200000000000003E-3</c:v>
                </c:pt>
                <c:pt idx="745">
                  <c:v>-3.0100000000000001E-3</c:v>
                </c:pt>
                <c:pt idx="746">
                  <c:v>-2.2000000000000001E-3</c:v>
                </c:pt>
                <c:pt idx="747">
                  <c:v>-2.2799999999999999E-3</c:v>
                </c:pt>
                <c:pt idx="748">
                  <c:v>-2.5100000000000001E-3</c:v>
                </c:pt>
                <c:pt idx="749">
                  <c:v>-3.3500000000000001E-3</c:v>
                </c:pt>
                <c:pt idx="750">
                  <c:v>-3.1700000000000001E-3</c:v>
                </c:pt>
                <c:pt idx="751">
                  <c:v>-3.4899999999999996E-3</c:v>
                </c:pt>
                <c:pt idx="752">
                  <c:v>-3.4300000000000003E-3</c:v>
                </c:pt>
                <c:pt idx="753">
                  <c:v>-3.6900000000000001E-3</c:v>
                </c:pt>
                <c:pt idx="754">
                  <c:v>-3.8800000000000002E-3</c:v>
                </c:pt>
                <c:pt idx="755">
                  <c:v>-3.8800000000000002E-3</c:v>
                </c:pt>
                <c:pt idx="756">
                  <c:v>-3.7499999999999999E-3</c:v>
                </c:pt>
                <c:pt idx="757">
                  <c:v>-3.13E-3</c:v>
                </c:pt>
                <c:pt idx="758">
                  <c:v>-3.5299999999999997E-3</c:v>
                </c:pt>
                <c:pt idx="759">
                  <c:v>-3.4599999999999995E-3</c:v>
                </c:pt>
                <c:pt idx="760">
                  <c:v>-3.82E-3</c:v>
                </c:pt>
                <c:pt idx="761">
                  <c:v>-3.6900000000000001E-3</c:v>
                </c:pt>
                <c:pt idx="762">
                  <c:v>-3.5999999999999999E-3</c:v>
                </c:pt>
                <c:pt idx="763">
                  <c:v>-3.4799999999999996E-3</c:v>
                </c:pt>
                <c:pt idx="764">
                  <c:v>-3.7799999999999999E-3</c:v>
                </c:pt>
                <c:pt idx="765">
                  <c:v>-3.6600000000000001E-3</c:v>
                </c:pt>
                <c:pt idx="766">
                  <c:v>-3.0599999999999998E-3</c:v>
                </c:pt>
                <c:pt idx="767">
                  <c:v>-2.9299999999999999E-3</c:v>
                </c:pt>
                <c:pt idx="768">
                  <c:v>-2.49E-3</c:v>
                </c:pt>
                <c:pt idx="769">
                  <c:v>-2.5000000000000001E-3</c:v>
                </c:pt>
                <c:pt idx="770">
                  <c:v>-2.4299999999999999E-3</c:v>
                </c:pt>
                <c:pt idx="771">
                  <c:v>-2.3599999999999997E-3</c:v>
                </c:pt>
                <c:pt idx="772">
                  <c:v>-1.8400000000000001E-3</c:v>
                </c:pt>
                <c:pt idx="773">
                  <c:v>-1.7699999999999999E-3</c:v>
                </c:pt>
                <c:pt idx="774">
                  <c:v>-1.7699999999999999E-3</c:v>
                </c:pt>
                <c:pt idx="775">
                  <c:v>-1.1799999999999998E-3</c:v>
                </c:pt>
                <c:pt idx="776">
                  <c:v>-1.2199999999999999E-3</c:v>
                </c:pt>
                <c:pt idx="777">
                  <c:v>-8.4000000000000003E-4</c:v>
                </c:pt>
                <c:pt idx="778">
                  <c:v>-6.0999999999999997E-4</c:v>
                </c:pt>
                <c:pt idx="779">
                  <c:v>-4.2999999999999999E-4</c:v>
                </c:pt>
                <c:pt idx="780">
                  <c:v>-3.4000000000000002E-4</c:v>
                </c:pt>
                <c:pt idx="781">
                  <c:v>-2.7E-4</c:v>
                </c:pt>
                <c:pt idx="782">
                  <c:v>-5.8999999999999992E-4</c:v>
                </c:pt>
                <c:pt idx="783">
                  <c:v>-8.9999999999999998E-4</c:v>
                </c:pt>
                <c:pt idx="784">
                  <c:v>-4.6000000000000001E-4</c:v>
                </c:pt>
                <c:pt idx="785">
                  <c:v>-2.5000000000000001E-4</c:v>
                </c:pt>
                <c:pt idx="786">
                  <c:v>-1.7999999999999998E-4</c:v>
                </c:pt>
                <c:pt idx="787">
                  <c:v>-1.2E-4</c:v>
                </c:pt>
                <c:pt idx="788">
                  <c:v>-2.4000000000000001E-4</c:v>
                </c:pt>
                <c:pt idx="789">
                  <c:v>-6.4999999999999997E-4</c:v>
                </c:pt>
                <c:pt idx="790">
                  <c:v>-1.07E-3</c:v>
                </c:pt>
                <c:pt idx="791">
                  <c:v>-8.0000000000000004E-4</c:v>
                </c:pt>
                <c:pt idx="792">
                  <c:v>-7.3999999999999999E-4</c:v>
                </c:pt>
                <c:pt idx="793">
                  <c:v>-5.8999999999999992E-4</c:v>
                </c:pt>
                <c:pt idx="794">
                  <c:v>-4.4999999999999999E-4</c:v>
                </c:pt>
                <c:pt idx="795">
                  <c:v>1.0999999999999999E-4</c:v>
                </c:pt>
                <c:pt idx="796">
                  <c:v>3.6999999999999999E-4</c:v>
                </c:pt>
                <c:pt idx="797">
                  <c:v>4.0000000000000002E-4</c:v>
                </c:pt>
                <c:pt idx="798">
                  <c:v>1.4299999999999998E-3</c:v>
                </c:pt>
                <c:pt idx="799">
                  <c:v>2.0499999999999997E-3</c:v>
                </c:pt>
                <c:pt idx="800">
                  <c:v>2.2799999999999999E-3</c:v>
                </c:pt>
                <c:pt idx="801">
                  <c:v>2.65E-3</c:v>
                </c:pt>
                <c:pt idx="802">
                  <c:v>2.1199999999999999E-3</c:v>
                </c:pt>
                <c:pt idx="803">
                  <c:v>2.8399999999999996E-3</c:v>
                </c:pt>
                <c:pt idx="804">
                  <c:v>2.97E-3</c:v>
                </c:pt>
                <c:pt idx="805">
                  <c:v>2.8299999999999996E-3</c:v>
                </c:pt>
                <c:pt idx="806">
                  <c:v>3.0799999999999998E-3</c:v>
                </c:pt>
                <c:pt idx="807">
                  <c:v>2.7600000000000003E-3</c:v>
                </c:pt>
                <c:pt idx="808">
                  <c:v>2.31E-3</c:v>
                </c:pt>
                <c:pt idx="809">
                  <c:v>1.92E-3</c:v>
                </c:pt>
                <c:pt idx="810">
                  <c:v>2.0599999999999998E-3</c:v>
                </c:pt>
                <c:pt idx="811">
                  <c:v>2.4299999999999999E-3</c:v>
                </c:pt>
                <c:pt idx="812">
                  <c:v>2.2799999999999999E-3</c:v>
                </c:pt>
                <c:pt idx="813">
                  <c:v>1.72E-3</c:v>
                </c:pt>
                <c:pt idx="814">
                  <c:v>2.31E-3</c:v>
                </c:pt>
                <c:pt idx="815">
                  <c:v>1.3500000000000001E-3</c:v>
                </c:pt>
                <c:pt idx="816">
                  <c:v>-7.1999999999999994E-4</c:v>
                </c:pt>
                <c:pt idx="817">
                  <c:v>2.7E-4</c:v>
                </c:pt>
                <c:pt idx="818">
                  <c:v>2.0000000000000001E-4</c:v>
                </c:pt>
                <c:pt idx="819">
                  <c:v>-6.9000000000000008E-4</c:v>
                </c:pt>
                <c:pt idx="820">
                  <c:v>-1.4999999999999999E-4</c:v>
                </c:pt>
                <c:pt idx="821">
                  <c:v>1.1200000000000001E-3</c:v>
                </c:pt>
                <c:pt idx="822">
                  <c:v>2.16E-3</c:v>
                </c:pt>
                <c:pt idx="823">
                  <c:v>2.7400000000000002E-3</c:v>
                </c:pt>
                <c:pt idx="824">
                  <c:v>2.49E-3</c:v>
                </c:pt>
                <c:pt idx="825">
                  <c:v>3.6800000000000001E-3</c:v>
                </c:pt>
                <c:pt idx="826">
                  <c:v>3.32E-3</c:v>
                </c:pt>
                <c:pt idx="827">
                  <c:v>3.9199999999999999E-3</c:v>
                </c:pt>
                <c:pt idx="828">
                  <c:v>3.8500000000000001E-3</c:v>
                </c:pt>
                <c:pt idx="829">
                  <c:v>3.7299999999999998E-3</c:v>
                </c:pt>
                <c:pt idx="830">
                  <c:v>4.6999999999999993E-3</c:v>
                </c:pt>
                <c:pt idx="831">
                  <c:v>5.0499999999999998E-3</c:v>
                </c:pt>
                <c:pt idx="832">
                  <c:v>4.7000000000000002E-3</c:v>
                </c:pt>
                <c:pt idx="833">
                  <c:v>5.3E-3</c:v>
                </c:pt>
                <c:pt idx="834">
                  <c:v>5.8999999999999999E-3</c:v>
                </c:pt>
                <c:pt idx="835">
                  <c:v>5.7999999999999996E-3</c:v>
                </c:pt>
                <c:pt idx="836">
                  <c:v>6.3E-3</c:v>
                </c:pt>
                <c:pt idx="837">
                  <c:v>6.4999999999999997E-3</c:v>
                </c:pt>
                <c:pt idx="838">
                  <c:v>5.4800000000000005E-3</c:v>
                </c:pt>
                <c:pt idx="839">
                  <c:v>5.5500000000000002E-3</c:v>
                </c:pt>
                <c:pt idx="840">
                  <c:v>5.0600000000000003E-3</c:v>
                </c:pt>
                <c:pt idx="841">
                  <c:v>6.1399999999999996E-3</c:v>
                </c:pt>
                <c:pt idx="842">
                  <c:v>6.4700000000000001E-3</c:v>
                </c:pt>
                <c:pt idx="843">
                  <c:v>6.8100000000000001E-3</c:v>
                </c:pt>
                <c:pt idx="844">
                  <c:v>7.0699999999999999E-3</c:v>
                </c:pt>
                <c:pt idx="845">
                  <c:v>8.1599999999999989E-3</c:v>
                </c:pt>
                <c:pt idx="846">
                  <c:v>7.9000000000000008E-3</c:v>
                </c:pt>
                <c:pt idx="847">
                  <c:v>7.6600000000000001E-3</c:v>
                </c:pt>
                <c:pt idx="848">
                  <c:v>8.4200000000000004E-3</c:v>
                </c:pt>
                <c:pt idx="849">
                  <c:v>8.4200000000000004E-3</c:v>
                </c:pt>
                <c:pt idx="850">
                  <c:v>9.1000000000000004E-3</c:v>
                </c:pt>
                <c:pt idx="851">
                  <c:v>8.5699999999999995E-3</c:v>
                </c:pt>
                <c:pt idx="852">
                  <c:v>9.4799999999999988E-3</c:v>
                </c:pt>
                <c:pt idx="853">
                  <c:v>9.7199999999999995E-3</c:v>
                </c:pt>
                <c:pt idx="854">
                  <c:v>8.369999999999999E-3</c:v>
                </c:pt>
                <c:pt idx="855">
                  <c:v>8.1499999999999993E-3</c:v>
                </c:pt>
                <c:pt idx="856">
                  <c:v>8.0099999999999998E-3</c:v>
                </c:pt>
                <c:pt idx="857">
                  <c:v>9.0000000000000011E-3</c:v>
                </c:pt>
                <c:pt idx="858">
                  <c:v>9.3799999999999994E-3</c:v>
                </c:pt>
                <c:pt idx="859">
                  <c:v>9.6799999999999994E-3</c:v>
                </c:pt>
                <c:pt idx="860">
                  <c:v>9.6499999999999989E-3</c:v>
                </c:pt>
                <c:pt idx="861">
                  <c:v>9.7099999999999999E-3</c:v>
                </c:pt>
                <c:pt idx="862">
                  <c:v>1.044E-2</c:v>
                </c:pt>
                <c:pt idx="863">
                  <c:v>1.1319999999999998E-2</c:v>
                </c:pt>
                <c:pt idx="864">
                  <c:v>1.095E-2</c:v>
                </c:pt>
                <c:pt idx="865">
                  <c:v>0.01</c:v>
                </c:pt>
                <c:pt idx="866">
                  <c:v>9.8600000000000007E-3</c:v>
                </c:pt>
                <c:pt idx="867">
                  <c:v>8.3999999999999995E-3</c:v>
                </c:pt>
                <c:pt idx="868">
                  <c:v>9.4799999999999988E-3</c:v>
                </c:pt>
                <c:pt idx="869">
                  <c:v>9.3699999999999999E-3</c:v>
                </c:pt>
                <c:pt idx="870">
                  <c:v>1.0460000000000001E-2</c:v>
                </c:pt>
                <c:pt idx="871">
                  <c:v>1.03E-2</c:v>
                </c:pt>
                <c:pt idx="872">
                  <c:v>9.4900000000000002E-3</c:v>
                </c:pt>
                <c:pt idx="873">
                  <c:v>9.4399999999999987E-3</c:v>
                </c:pt>
                <c:pt idx="874">
                  <c:v>1.0169999999999998E-2</c:v>
                </c:pt>
                <c:pt idx="875">
                  <c:v>9.6699999999999998E-3</c:v>
                </c:pt>
                <c:pt idx="876">
                  <c:v>9.5199999999999989E-3</c:v>
                </c:pt>
                <c:pt idx="877">
                  <c:v>9.9799999999999993E-3</c:v>
                </c:pt>
                <c:pt idx="878">
                  <c:v>9.6299999999999997E-3</c:v>
                </c:pt>
                <c:pt idx="879">
                  <c:v>1.0549999999999999E-2</c:v>
                </c:pt>
                <c:pt idx="880">
                  <c:v>1.1220000000000001E-2</c:v>
                </c:pt>
                <c:pt idx="881">
                  <c:v>1.187E-2</c:v>
                </c:pt>
                <c:pt idx="882">
                  <c:v>1.2370000000000001E-2</c:v>
                </c:pt>
                <c:pt idx="883">
                  <c:v>1.2729999999999998E-2</c:v>
                </c:pt>
                <c:pt idx="884">
                  <c:v>1.3220000000000001E-2</c:v>
                </c:pt>
                <c:pt idx="885">
                  <c:v>1.2929999999999999E-2</c:v>
                </c:pt>
                <c:pt idx="886">
                  <c:v>1.3540000000000002E-2</c:v>
                </c:pt>
                <c:pt idx="887">
                  <c:v>1.43E-2</c:v>
                </c:pt>
                <c:pt idx="888">
                  <c:v>1.516E-2</c:v>
                </c:pt>
                <c:pt idx="889">
                  <c:v>1.6319999999999998E-2</c:v>
                </c:pt>
                <c:pt idx="890">
                  <c:v>1.7579999999999998E-2</c:v>
                </c:pt>
                <c:pt idx="891">
                  <c:v>1.644E-2</c:v>
                </c:pt>
                <c:pt idx="892">
                  <c:v>1.7139999999999999E-2</c:v>
                </c:pt>
                <c:pt idx="893">
                  <c:v>1.661E-2</c:v>
                </c:pt>
                <c:pt idx="894">
                  <c:v>1.7490000000000002E-2</c:v>
                </c:pt>
                <c:pt idx="895">
                  <c:v>1.771E-2</c:v>
                </c:pt>
                <c:pt idx="896">
                  <c:v>1.6379999999999999E-2</c:v>
                </c:pt>
                <c:pt idx="897">
                  <c:v>1.4279999999999999E-2</c:v>
                </c:pt>
                <c:pt idx="898">
                  <c:v>1.4419999999999999E-2</c:v>
                </c:pt>
                <c:pt idx="899">
                  <c:v>1.5469999999999999E-2</c:v>
                </c:pt>
                <c:pt idx="900">
                  <c:v>1.6279999999999999E-2</c:v>
                </c:pt>
                <c:pt idx="901">
                  <c:v>1.5189999999999999E-2</c:v>
                </c:pt>
                <c:pt idx="902">
                  <c:v>1.336E-2</c:v>
                </c:pt>
                <c:pt idx="903">
                  <c:v>1.2319999999999999E-2</c:v>
                </c:pt>
                <c:pt idx="904">
                  <c:v>1.333E-2</c:v>
                </c:pt>
                <c:pt idx="905">
                  <c:v>1.179E-2</c:v>
                </c:pt>
                <c:pt idx="906">
                  <c:v>1.206E-2</c:v>
                </c:pt>
                <c:pt idx="907">
                  <c:v>1.3180000000000001E-2</c:v>
                </c:pt>
                <c:pt idx="908">
                  <c:v>1.345E-2</c:v>
                </c:pt>
                <c:pt idx="909">
                  <c:v>1.2460000000000001E-2</c:v>
                </c:pt>
                <c:pt idx="910">
                  <c:v>1.1319999999999998E-2</c:v>
                </c:pt>
                <c:pt idx="911">
                  <c:v>1.145E-2</c:v>
                </c:pt>
                <c:pt idx="912">
                  <c:v>1.1779999999999999E-2</c:v>
                </c:pt>
                <c:pt idx="913">
                  <c:v>1.133E-2</c:v>
                </c:pt>
                <c:pt idx="914">
                  <c:v>1.2150000000000001E-2</c:v>
                </c:pt>
                <c:pt idx="915">
                  <c:v>1.2769999999999998E-2</c:v>
                </c:pt>
                <c:pt idx="916">
                  <c:v>1.257E-2</c:v>
                </c:pt>
                <c:pt idx="917">
                  <c:v>1.2230000000000001E-2</c:v>
                </c:pt>
                <c:pt idx="918">
                  <c:v>1.031E-2</c:v>
                </c:pt>
                <c:pt idx="919">
                  <c:v>1.018E-2</c:v>
                </c:pt>
                <c:pt idx="920">
                  <c:v>9.2500000000000013E-3</c:v>
                </c:pt>
                <c:pt idx="921">
                  <c:v>9.4599999999999997E-3</c:v>
                </c:pt>
                <c:pt idx="922">
                  <c:v>8.26E-3</c:v>
                </c:pt>
                <c:pt idx="923">
                  <c:v>8.1700000000000002E-3</c:v>
                </c:pt>
                <c:pt idx="924">
                  <c:v>7.79E-3</c:v>
                </c:pt>
                <c:pt idx="925">
                  <c:v>8.199999999999999E-3</c:v>
                </c:pt>
                <c:pt idx="926">
                  <c:v>8.7399999999999995E-3</c:v>
                </c:pt>
                <c:pt idx="927">
                  <c:v>8.0300000000000007E-3</c:v>
                </c:pt>
                <c:pt idx="928">
                  <c:v>9.5499999999999995E-3</c:v>
                </c:pt>
                <c:pt idx="929">
                  <c:v>8.9899999999999997E-3</c:v>
                </c:pt>
                <c:pt idx="930">
                  <c:v>9.2100000000000012E-3</c:v>
                </c:pt>
                <c:pt idx="931">
                  <c:v>8.8800000000000007E-3</c:v>
                </c:pt>
                <c:pt idx="932">
                  <c:v>9.7099999999999999E-3</c:v>
                </c:pt>
                <c:pt idx="933">
                  <c:v>9.8700000000000003E-3</c:v>
                </c:pt>
                <c:pt idx="934">
                  <c:v>9.0000000000000011E-3</c:v>
                </c:pt>
                <c:pt idx="935">
                  <c:v>9.7099999999999999E-3</c:v>
                </c:pt>
                <c:pt idx="936">
                  <c:v>1.0829999999999999E-2</c:v>
                </c:pt>
                <c:pt idx="937">
                  <c:v>1.102E-2</c:v>
                </c:pt>
                <c:pt idx="938">
                  <c:v>1.23E-2</c:v>
                </c:pt>
                <c:pt idx="939">
                  <c:v>1.306E-2</c:v>
                </c:pt>
                <c:pt idx="940">
                  <c:v>9.7099999999999999E-3</c:v>
                </c:pt>
                <c:pt idx="941">
                  <c:v>1.0829999999999999E-2</c:v>
                </c:pt>
                <c:pt idx="942">
                  <c:v>1.102E-2</c:v>
                </c:pt>
                <c:pt idx="943">
                  <c:v>1.23E-2</c:v>
                </c:pt>
                <c:pt idx="944">
                  <c:v>1.306E-2</c:v>
                </c:pt>
                <c:pt idx="945">
                  <c:v>1.319E-2</c:v>
                </c:pt>
                <c:pt idx="946">
                  <c:v>1.37E-2</c:v>
                </c:pt>
                <c:pt idx="947">
                  <c:v>1.3169999999999999E-2</c:v>
                </c:pt>
                <c:pt idx="948">
                  <c:v>1.3899999999999999E-2</c:v>
                </c:pt>
                <c:pt idx="949">
                  <c:v>1.504E-2</c:v>
                </c:pt>
                <c:pt idx="950">
                  <c:v>1.5109999999999998E-2</c:v>
                </c:pt>
                <c:pt idx="951">
                  <c:v>1.541E-2</c:v>
                </c:pt>
                <c:pt idx="952">
                  <c:v>1.5609999999999999E-2</c:v>
                </c:pt>
                <c:pt idx="953">
                  <c:v>1.525E-2</c:v>
                </c:pt>
                <c:pt idx="954">
                  <c:v>1.5629999999999998E-2</c:v>
                </c:pt>
                <c:pt idx="955">
                  <c:v>1.6379999999999999E-2</c:v>
                </c:pt>
                <c:pt idx="956">
                  <c:v>1.5769999999999999E-2</c:v>
                </c:pt>
                <c:pt idx="957">
                  <c:v>1.7170000000000001E-2</c:v>
                </c:pt>
                <c:pt idx="958">
                  <c:v>1.6979999999999999E-2</c:v>
                </c:pt>
                <c:pt idx="959">
                  <c:v>1.653E-2</c:v>
                </c:pt>
                <c:pt idx="960">
                  <c:v>1.7299999999999999E-2</c:v>
                </c:pt>
                <c:pt idx="961">
                  <c:v>1.7159999999999998E-2</c:v>
                </c:pt>
                <c:pt idx="962">
                  <c:v>1.77E-2</c:v>
                </c:pt>
                <c:pt idx="963">
                  <c:v>1.7559999999999999E-2</c:v>
                </c:pt>
                <c:pt idx="964">
                  <c:v>1.805E-2</c:v>
                </c:pt>
                <c:pt idx="965">
                  <c:v>1.9259999999999999E-2</c:v>
                </c:pt>
                <c:pt idx="966">
                  <c:v>1.8929999999999999E-2</c:v>
                </c:pt>
                <c:pt idx="967">
                  <c:v>1.9650000000000001E-2</c:v>
                </c:pt>
                <c:pt idx="968">
                  <c:v>2.0240000000000001E-2</c:v>
                </c:pt>
                <c:pt idx="969">
                  <c:v>2.1150000000000002E-2</c:v>
                </c:pt>
                <c:pt idx="970">
                  <c:v>2.231E-2</c:v>
                </c:pt>
                <c:pt idx="971">
                  <c:v>2.12E-2</c:v>
                </c:pt>
                <c:pt idx="972">
                  <c:v>2.181E-2</c:v>
                </c:pt>
                <c:pt idx="973">
                  <c:v>2.1080000000000002E-2</c:v>
                </c:pt>
                <c:pt idx="974">
                  <c:v>1.917E-2</c:v>
                </c:pt>
                <c:pt idx="975">
                  <c:v>1.8710000000000001E-2</c:v>
                </c:pt>
                <c:pt idx="976">
                  <c:v>2.0339999999999997E-2</c:v>
                </c:pt>
                <c:pt idx="977">
                  <c:v>2.085E-2</c:v>
                </c:pt>
                <c:pt idx="978">
                  <c:v>2.1940000000000001E-2</c:v>
                </c:pt>
                <c:pt idx="979">
                  <c:v>2.342E-2</c:v>
                </c:pt>
                <c:pt idx="980">
                  <c:v>2.298E-2</c:v>
                </c:pt>
                <c:pt idx="981">
                  <c:v>2.3140000000000001E-2</c:v>
                </c:pt>
                <c:pt idx="982">
                  <c:v>2.2869999999999998E-2</c:v>
                </c:pt>
                <c:pt idx="983">
                  <c:v>2.3460000000000002E-2</c:v>
                </c:pt>
                <c:pt idx="984">
                  <c:v>2.2690000000000002E-2</c:v>
                </c:pt>
                <c:pt idx="985">
                  <c:v>2.2850000000000002E-2</c:v>
                </c:pt>
                <c:pt idx="986">
                  <c:v>2.376E-2</c:v>
                </c:pt>
                <c:pt idx="987">
                  <c:v>2.4039999999999999E-2</c:v>
                </c:pt>
                <c:pt idx="988">
                  <c:v>2.4169999999999997E-2</c:v>
                </c:pt>
                <c:pt idx="989">
                  <c:v>2.3300000000000001E-2</c:v>
                </c:pt>
                <c:pt idx="990">
                  <c:v>2.1700000000000001E-2</c:v>
                </c:pt>
                <c:pt idx="991">
                  <c:v>2.1110000000000004E-2</c:v>
                </c:pt>
                <c:pt idx="992">
                  <c:v>1.9619999999999999E-2</c:v>
                </c:pt>
                <c:pt idx="993">
                  <c:v>2.1030000000000004E-2</c:v>
                </c:pt>
                <c:pt idx="994">
                  <c:v>2.1419999999999998E-2</c:v>
                </c:pt>
                <c:pt idx="995">
                  <c:v>2.1309999999999999E-2</c:v>
                </c:pt>
                <c:pt idx="996">
                  <c:v>2.1409999999999998E-2</c:v>
                </c:pt>
                <c:pt idx="997">
                  <c:v>2.2450000000000001E-2</c:v>
                </c:pt>
                <c:pt idx="998">
                  <c:v>2.2949999999999998E-2</c:v>
                </c:pt>
                <c:pt idx="999">
                  <c:v>2.3429999999999999E-2</c:v>
                </c:pt>
                <c:pt idx="1000">
                  <c:v>2.281E-2</c:v>
                </c:pt>
                <c:pt idx="1001">
                  <c:v>2.1720000000000003E-2</c:v>
                </c:pt>
                <c:pt idx="1002">
                  <c:v>2.009E-2</c:v>
                </c:pt>
                <c:pt idx="1003">
                  <c:v>2.1600000000000001E-2</c:v>
                </c:pt>
                <c:pt idx="1004">
                  <c:v>2.147E-2</c:v>
                </c:pt>
                <c:pt idx="1005">
                  <c:v>2.1080000000000002E-2</c:v>
                </c:pt>
                <c:pt idx="1006">
                  <c:v>1.9959999999999999E-2</c:v>
                </c:pt>
                <c:pt idx="1007">
                  <c:v>2.0199999999999999E-2</c:v>
                </c:pt>
                <c:pt idx="1008">
                  <c:v>2.0139999999999998E-2</c:v>
                </c:pt>
                <c:pt idx="1009">
                  <c:v>1.9939999999999999E-2</c:v>
                </c:pt>
                <c:pt idx="1010">
                  <c:v>1.9779999999999999E-2</c:v>
                </c:pt>
                <c:pt idx="1011">
                  <c:v>1.9299999999999998E-2</c:v>
                </c:pt>
                <c:pt idx="1012">
                  <c:v>1.8500000000000003E-2</c:v>
                </c:pt>
                <c:pt idx="1013">
                  <c:v>1.9740000000000001E-2</c:v>
                </c:pt>
                <c:pt idx="1014">
                  <c:v>1.992E-2</c:v>
                </c:pt>
                <c:pt idx="1015">
                  <c:v>1.9220000000000001E-2</c:v>
                </c:pt>
                <c:pt idx="1016">
                  <c:v>1.9299999999999998E-2</c:v>
                </c:pt>
                <c:pt idx="1017">
                  <c:v>1.814E-2</c:v>
                </c:pt>
                <c:pt idx="1018">
                  <c:v>1.856E-2</c:v>
                </c:pt>
                <c:pt idx="1019">
                  <c:v>1.8799999999999997E-2</c:v>
                </c:pt>
                <c:pt idx="1020">
                  <c:v>1.8000000000000002E-2</c:v>
                </c:pt>
                <c:pt idx="1021">
                  <c:v>1.7819999999999999E-2</c:v>
                </c:pt>
                <c:pt idx="1022">
                  <c:v>1.8200000000000001E-2</c:v>
                </c:pt>
                <c:pt idx="1023">
                  <c:v>1.933E-2</c:v>
                </c:pt>
                <c:pt idx="1024">
                  <c:v>1.9390000000000001E-2</c:v>
                </c:pt>
                <c:pt idx="1025">
                  <c:v>1.925E-2</c:v>
                </c:pt>
                <c:pt idx="1026">
                  <c:v>1.9400000000000001E-2</c:v>
                </c:pt>
                <c:pt idx="1027">
                  <c:v>2.0830000000000001E-2</c:v>
                </c:pt>
                <c:pt idx="1028">
                  <c:v>2.1520000000000001E-2</c:v>
                </c:pt>
                <c:pt idx="1029">
                  <c:v>2.2029999999999998E-2</c:v>
                </c:pt>
                <c:pt idx="1030">
                  <c:v>2.3039999999999998E-2</c:v>
                </c:pt>
                <c:pt idx="1031">
                  <c:v>2.3140000000000001E-2</c:v>
                </c:pt>
                <c:pt idx="1032">
                  <c:v>2.3610000000000003E-2</c:v>
                </c:pt>
                <c:pt idx="1033">
                  <c:v>2.4029999999999999E-2</c:v>
                </c:pt>
                <c:pt idx="1034">
                  <c:v>2.5239999999999999E-2</c:v>
                </c:pt>
                <c:pt idx="1035">
                  <c:v>2.5019999999999997E-2</c:v>
                </c:pt>
                <c:pt idx="1036">
                  <c:v>2.4380000000000002E-2</c:v>
                </c:pt>
                <c:pt idx="1037">
                  <c:v>2.571E-2</c:v>
                </c:pt>
                <c:pt idx="1038">
                  <c:v>2.444E-2</c:v>
                </c:pt>
                <c:pt idx="1039">
                  <c:v>2.3889999999999998E-2</c:v>
                </c:pt>
                <c:pt idx="1040">
                  <c:v>2.2719999999999997E-2</c:v>
                </c:pt>
                <c:pt idx="1041">
                  <c:v>2.316E-2</c:v>
                </c:pt>
                <c:pt idx="1042">
                  <c:v>2.2099999999999998E-2</c:v>
                </c:pt>
                <c:pt idx="1043">
                  <c:v>2.2280000000000001E-2</c:v>
                </c:pt>
                <c:pt idx="1044">
                  <c:v>2.308E-2</c:v>
                </c:pt>
                <c:pt idx="1045">
                  <c:v>2.2040000000000001E-2</c:v>
                </c:pt>
                <c:pt idx="1046">
                  <c:v>2.1589999999999998E-2</c:v>
                </c:pt>
                <c:pt idx="1047">
                  <c:v>2.1680000000000001E-2</c:v>
                </c:pt>
                <c:pt idx="1048">
                  <c:v>2.1749999999999999E-2</c:v>
                </c:pt>
                <c:pt idx="1049">
                  <c:v>2.0910000000000002E-2</c:v>
                </c:pt>
                <c:pt idx="1050">
                  <c:v>2.0230000000000001E-2</c:v>
                </c:pt>
                <c:pt idx="1051">
                  <c:v>2.0649999999999998E-2</c:v>
                </c:pt>
                <c:pt idx="1052">
                  <c:v>2.1770000000000001E-2</c:v>
                </c:pt>
                <c:pt idx="1053">
                  <c:v>2.206E-2</c:v>
                </c:pt>
                <c:pt idx="1054">
                  <c:v>2.155E-2</c:v>
                </c:pt>
                <c:pt idx="1055">
                  <c:v>2.1579999999999998E-2</c:v>
                </c:pt>
                <c:pt idx="1056">
                  <c:v>2.2160000000000003E-2</c:v>
                </c:pt>
                <c:pt idx="1057">
                  <c:v>2.239E-2</c:v>
                </c:pt>
                <c:pt idx="1058">
                  <c:v>2.3179999999999999E-2</c:v>
                </c:pt>
                <c:pt idx="1059">
                  <c:v>2.2860000000000002E-2</c:v>
                </c:pt>
                <c:pt idx="1060">
                  <c:v>2.2839999999999999E-2</c:v>
                </c:pt>
                <c:pt idx="1061">
                  <c:v>2.0799999999999999E-2</c:v>
                </c:pt>
                <c:pt idx="1062">
                  <c:v>2.1930000000000002E-2</c:v>
                </c:pt>
                <c:pt idx="1063">
                  <c:v>2.2959999999999998E-2</c:v>
                </c:pt>
                <c:pt idx="1064">
                  <c:v>2.349E-2</c:v>
                </c:pt>
                <c:pt idx="1065">
                  <c:v>2.3629999999999998E-2</c:v>
                </c:pt>
                <c:pt idx="1066">
                  <c:v>2.3029999999999998E-2</c:v>
                </c:pt>
                <c:pt idx="1067">
                  <c:v>2.3639999999999998E-2</c:v>
                </c:pt>
                <c:pt idx="1068">
                  <c:v>2.368E-2</c:v>
                </c:pt>
                <c:pt idx="1069">
                  <c:v>2.4380000000000002E-2</c:v>
                </c:pt>
                <c:pt idx="1070">
                  <c:v>2.4750000000000001E-2</c:v>
                </c:pt>
                <c:pt idx="1071">
                  <c:v>2.4780000000000003E-2</c:v>
                </c:pt>
                <c:pt idx="1072">
                  <c:v>2.4399999999999998E-2</c:v>
                </c:pt>
                <c:pt idx="1073">
                  <c:v>2.4639999999999999E-2</c:v>
                </c:pt>
                <c:pt idx="1074">
                  <c:v>2.529E-2</c:v>
                </c:pt>
                <c:pt idx="1075">
                  <c:v>2.52E-2</c:v>
                </c:pt>
                <c:pt idx="1076">
                  <c:v>2.4780000000000003E-2</c:v>
                </c:pt>
                <c:pt idx="1077">
                  <c:v>2.537E-2</c:v>
                </c:pt>
                <c:pt idx="1078">
                  <c:v>2.5819999999999999E-2</c:v>
                </c:pt>
                <c:pt idx="1079">
                  <c:v>2.6509999999999999E-2</c:v>
                </c:pt>
                <c:pt idx="1080">
                  <c:v>2.7109999999999999E-2</c:v>
                </c:pt>
                <c:pt idx="1081">
                  <c:v>2.751E-2</c:v>
                </c:pt>
                <c:pt idx="1082">
                  <c:v>2.7149999999999997E-2</c:v>
                </c:pt>
                <c:pt idx="1083">
                  <c:v>2.7490000000000001E-2</c:v>
                </c:pt>
                <c:pt idx="1084">
                  <c:v>2.6920000000000003E-2</c:v>
                </c:pt>
                <c:pt idx="1085">
                  <c:v>2.6459999999999997E-2</c:v>
                </c:pt>
                <c:pt idx="1086">
                  <c:v>2.6429999999999999E-2</c:v>
                </c:pt>
                <c:pt idx="1087">
                  <c:v>2.5080000000000002E-2</c:v>
                </c:pt>
                <c:pt idx="1088">
                  <c:v>2.2589999999999999E-2</c:v>
                </c:pt>
                <c:pt idx="1089">
                  <c:v>2.4199999999999999E-2</c:v>
                </c:pt>
                <c:pt idx="1090">
                  <c:v>2.1299999999999999E-2</c:v>
                </c:pt>
                <c:pt idx="1091">
                  <c:v>2.29E-2</c:v>
                </c:pt>
                <c:pt idx="1092">
                  <c:v>2.1080000000000002E-2</c:v>
                </c:pt>
                <c:pt idx="1093">
                  <c:v>2.1250000000000002E-2</c:v>
                </c:pt>
                <c:pt idx="1094">
                  <c:v>2.2919999999999999E-2</c:v>
                </c:pt>
                <c:pt idx="1095">
                  <c:v>2.3279999999999999E-2</c:v>
                </c:pt>
                <c:pt idx="1096">
                  <c:v>2.1949999999999997E-2</c:v>
                </c:pt>
                <c:pt idx="1097">
                  <c:v>2.129E-2</c:v>
                </c:pt>
                <c:pt idx="1098">
                  <c:v>2.2269999999999998E-2</c:v>
                </c:pt>
                <c:pt idx="1099">
                  <c:v>2.29E-2</c:v>
                </c:pt>
                <c:pt idx="1100">
                  <c:v>2.3290000000000002E-2</c:v>
                </c:pt>
                <c:pt idx="1101">
                  <c:v>2.3740000000000001E-2</c:v>
                </c:pt>
                <c:pt idx="1102">
                  <c:v>2.2919999999999999E-2</c:v>
                </c:pt>
                <c:pt idx="1103">
                  <c:v>2.2550000000000001E-2</c:v>
                </c:pt>
                <c:pt idx="1104">
                  <c:v>2.249E-2</c:v>
                </c:pt>
                <c:pt idx="1105">
                  <c:v>2.1819999999999999E-2</c:v>
                </c:pt>
                <c:pt idx="1106">
                  <c:v>2.1829999999999999E-2</c:v>
                </c:pt>
                <c:pt idx="1107">
                  <c:v>2.3109999999999999E-2</c:v>
                </c:pt>
                <c:pt idx="1108">
                  <c:v>2.3700000000000002E-2</c:v>
                </c:pt>
                <c:pt idx="1109">
                  <c:v>2.3719999999999998E-2</c:v>
                </c:pt>
                <c:pt idx="1110">
                  <c:v>2.4399999999999998E-2</c:v>
                </c:pt>
                <c:pt idx="1111">
                  <c:v>2.4729999999999999E-2</c:v>
                </c:pt>
                <c:pt idx="1112">
                  <c:v>2.477E-2</c:v>
                </c:pt>
                <c:pt idx="1113">
                  <c:v>2.5150000000000002E-2</c:v>
                </c:pt>
                <c:pt idx="1114">
                  <c:v>2.445E-2</c:v>
                </c:pt>
                <c:pt idx="1115">
                  <c:v>2.4809999999999999E-2</c:v>
                </c:pt>
                <c:pt idx="1116">
                  <c:v>2.5080000000000002E-2</c:v>
                </c:pt>
                <c:pt idx="1117">
                  <c:v>2.384E-2</c:v>
                </c:pt>
                <c:pt idx="1118">
                  <c:v>2.3969999999999998E-2</c:v>
                </c:pt>
                <c:pt idx="1119">
                  <c:v>2.46E-2</c:v>
                </c:pt>
                <c:pt idx="1120">
                  <c:v>2.3130000000000001E-2</c:v>
                </c:pt>
                <c:pt idx="1121">
                  <c:v>2.2579999999999999E-2</c:v>
                </c:pt>
                <c:pt idx="1122">
                  <c:v>2.247E-2</c:v>
                </c:pt>
                <c:pt idx="1123">
                  <c:v>2.1899999999999999E-2</c:v>
                </c:pt>
                <c:pt idx="1124">
                  <c:v>2.291E-2</c:v>
                </c:pt>
                <c:pt idx="1125">
                  <c:v>2.3189999999999999E-2</c:v>
                </c:pt>
                <c:pt idx="1126">
                  <c:v>2.35E-2</c:v>
                </c:pt>
                <c:pt idx="1127">
                  <c:v>2.2879999999999998E-2</c:v>
                </c:pt>
                <c:pt idx="1128">
                  <c:v>2.2250000000000002E-2</c:v>
                </c:pt>
                <c:pt idx="1129">
                  <c:v>2.2759999999999999E-2</c:v>
                </c:pt>
                <c:pt idx="1130">
                  <c:v>2.3090000000000003E-2</c:v>
                </c:pt>
                <c:pt idx="1131">
                  <c:v>2.3530000000000002E-2</c:v>
                </c:pt>
                <c:pt idx="1132">
                  <c:v>2.3359999999999999E-2</c:v>
                </c:pt>
                <c:pt idx="1133">
                  <c:v>2.4460000000000003E-2</c:v>
                </c:pt>
                <c:pt idx="1134">
                  <c:v>2.4279999999999999E-2</c:v>
                </c:pt>
                <c:pt idx="1135">
                  <c:v>2.4590000000000001E-2</c:v>
                </c:pt>
                <c:pt idx="1136">
                  <c:v>2.469E-2</c:v>
                </c:pt>
                <c:pt idx="1137">
                  <c:v>2.4719999999999999E-2</c:v>
                </c:pt>
                <c:pt idx="1138">
                  <c:v>2.5219999999999999E-2</c:v>
                </c:pt>
                <c:pt idx="1139">
                  <c:v>2.538E-2</c:v>
                </c:pt>
                <c:pt idx="1140">
                  <c:v>2.4340000000000001E-2</c:v>
                </c:pt>
                <c:pt idx="1141">
                  <c:v>2.342E-2</c:v>
                </c:pt>
                <c:pt idx="1142">
                  <c:v>2.282E-2</c:v>
                </c:pt>
                <c:pt idx="1143">
                  <c:v>2.249E-2</c:v>
                </c:pt>
                <c:pt idx="1144">
                  <c:v>2.3119999999999998E-2</c:v>
                </c:pt>
                <c:pt idx="1145">
                  <c:v>2.3809999999999998E-2</c:v>
                </c:pt>
                <c:pt idx="1146">
                  <c:v>2.3719999999999998E-2</c:v>
                </c:pt>
                <c:pt idx="1147">
                  <c:v>2.4559999999999998E-2</c:v>
                </c:pt>
                <c:pt idx="1148">
                  <c:v>2.402E-2</c:v>
                </c:pt>
                <c:pt idx="1149">
                  <c:v>2.3769999999999999E-2</c:v>
                </c:pt>
                <c:pt idx="1150">
                  <c:v>2.3879999999999998E-2</c:v>
                </c:pt>
                <c:pt idx="1151">
                  <c:v>2.4230000000000002E-2</c:v>
                </c:pt>
                <c:pt idx="1152">
                  <c:v>2.452E-2</c:v>
                </c:pt>
                <c:pt idx="1153">
                  <c:v>2.504E-2</c:v>
                </c:pt>
                <c:pt idx="1154">
                  <c:v>2.4740000000000002E-2</c:v>
                </c:pt>
                <c:pt idx="1155">
                  <c:v>2.5169999999999998E-2</c:v>
                </c:pt>
                <c:pt idx="1156">
                  <c:v>2.4049999999999998E-2</c:v>
                </c:pt>
                <c:pt idx="1157">
                  <c:v>2.435E-2</c:v>
                </c:pt>
                <c:pt idx="1158">
                  <c:v>2.4940000000000004E-2</c:v>
                </c:pt>
                <c:pt idx="1159">
                  <c:v>2.3530000000000002E-2</c:v>
                </c:pt>
                <c:pt idx="1160">
                  <c:v>2.3090000000000003E-2</c:v>
                </c:pt>
                <c:pt idx="1161">
                  <c:v>2.3559999999999998E-2</c:v>
                </c:pt>
                <c:pt idx="1162">
                  <c:v>2.315E-2</c:v>
                </c:pt>
                <c:pt idx="1163">
                  <c:v>2.4160000000000001E-2</c:v>
                </c:pt>
                <c:pt idx="1164">
                  <c:v>2.392E-2</c:v>
                </c:pt>
                <c:pt idx="1165">
                  <c:v>2.4369999999999999E-2</c:v>
                </c:pt>
                <c:pt idx="1166">
                  <c:v>2.453E-2</c:v>
                </c:pt>
                <c:pt idx="1167">
                  <c:v>2.4780000000000003E-2</c:v>
                </c:pt>
                <c:pt idx="1168">
                  <c:v>2.6259999999999999E-2</c:v>
                </c:pt>
                <c:pt idx="1169">
                  <c:v>2.6370000000000001E-2</c:v>
                </c:pt>
                <c:pt idx="1170">
                  <c:v>2.64E-2</c:v>
                </c:pt>
                <c:pt idx="1171">
                  <c:v>2.649E-2</c:v>
                </c:pt>
                <c:pt idx="1172">
                  <c:v>2.5779999999999997E-2</c:v>
                </c:pt>
                <c:pt idx="1173">
                  <c:v>2.4849999999999997E-2</c:v>
                </c:pt>
                <c:pt idx="1174">
                  <c:v>2.512E-2</c:v>
                </c:pt>
                <c:pt idx="1175">
                  <c:v>2.4799999999999999E-2</c:v>
                </c:pt>
                <c:pt idx="1176">
                  <c:v>2.3889999999999998E-2</c:v>
                </c:pt>
                <c:pt idx="1177">
                  <c:v>2.4380000000000002E-2</c:v>
                </c:pt>
                <c:pt idx="1178">
                  <c:v>2.4900000000000002E-2</c:v>
                </c:pt>
                <c:pt idx="1179">
                  <c:v>2.469E-2</c:v>
                </c:pt>
                <c:pt idx="1180">
                  <c:v>2.4249999999999997E-2</c:v>
                </c:pt>
                <c:pt idx="1181">
                  <c:v>2.4249999999999997E-2</c:v>
                </c:pt>
                <c:pt idx="1182">
                  <c:v>2.4849999999999997E-2</c:v>
                </c:pt>
                <c:pt idx="1183">
                  <c:v>2.4740000000000002E-2</c:v>
                </c:pt>
                <c:pt idx="1184">
                  <c:v>2.4920000000000001E-2</c:v>
                </c:pt>
                <c:pt idx="1185">
                  <c:v>2.4920000000000001E-2</c:v>
                </c:pt>
                <c:pt idx="1186">
                  <c:v>2.5569999999999999E-2</c:v>
                </c:pt>
                <c:pt idx="1187">
                  <c:v>2.5350000000000001E-2</c:v>
                </c:pt>
                <c:pt idx="1188">
                  <c:v>2.605E-2</c:v>
                </c:pt>
                <c:pt idx="1189">
                  <c:v>2.5619999999999997E-2</c:v>
                </c:pt>
                <c:pt idx="1190">
                  <c:v>2.6009999999999998E-2</c:v>
                </c:pt>
                <c:pt idx="1191">
                  <c:v>2.469E-2</c:v>
                </c:pt>
                <c:pt idx="1192">
                  <c:v>2.4969999999999999E-2</c:v>
                </c:pt>
                <c:pt idx="1193">
                  <c:v>2.528E-2</c:v>
                </c:pt>
                <c:pt idx="1194">
                  <c:v>2.6230000000000003E-2</c:v>
                </c:pt>
                <c:pt idx="1195">
                  <c:v>2.6370000000000001E-2</c:v>
                </c:pt>
                <c:pt idx="1196">
                  <c:v>2.6720000000000001E-2</c:v>
                </c:pt>
                <c:pt idx="1197">
                  <c:v>2.6499999999999999E-2</c:v>
                </c:pt>
                <c:pt idx="1198">
                  <c:v>2.7089999999999999E-2</c:v>
                </c:pt>
                <c:pt idx="1199">
                  <c:v>2.622E-2</c:v>
                </c:pt>
                <c:pt idx="1200">
                  <c:v>2.7029999999999998E-2</c:v>
                </c:pt>
                <c:pt idx="1201">
                  <c:v>2.6450000000000001E-2</c:v>
                </c:pt>
                <c:pt idx="1202">
                  <c:v>2.5169999999999998E-2</c:v>
                </c:pt>
                <c:pt idx="1203">
                  <c:v>2.513E-2</c:v>
                </c:pt>
                <c:pt idx="1204">
                  <c:v>2.5610000000000001E-2</c:v>
                </c:pt>
                <c:pt idx="1205">
                  <c:v>2.564E-2</c:v>
                </c:pt>
                <c:pt idx="1206">
                  <c:v>2.5099999999999997E-2</c:v>
                </c:pt>
                <c:pt idx="1207">
                  <c:v>2.545E-2</c:v>
                </c:pt>
                <c:pt idx="1208">
                  <c:v>2.4660000000000001E-2</c:v>
                </c:pt>
                <c:pt idx="1209">
                  <c:v>2.5489999999999999E-2</c:v>
                </c:pt>
                <c:pt idx="1210">
                  <c:v>2.579E-2</c:v>
                </c:pt>
                <c:pt idx="1211">
                  <c:v>2.6120000000000001E-2</c:v>
                </c:pt>
                <c:pt idx="1212">
                  <c:v>2.6530000000000001E-2</c:v>
                </c:pt>
                <c:pt idx="1213">
                  <c:v>2.614E-2</c:v>
                </c:pt>
                <c:pt idx="1214">
                  <c:v>2.6099999999999998E-2</c:v>
                </c:pt>
                <c:pt idx="1215">
                  <c:v>2.6380000000000001E-2</c:v>
                </c:pt>
                <c:pt idx="1216">
                  <c:v>2.6429999999999999E-2</c:v>
                </c:pt>
                <c:pt idx="1217">
                  <c:v>2.6509999999999999E-2</c:v>
                </c:pt>
                <c:pt idx="1218">
                  <c:v>2.5929999999999998E-2</c:v>
                </c:pt>
                <c:pt idx="1219">
                  <c:v>2.6749999999999999E-2</c:v>
                </c:pt>
                <c:pt idx="1220">
                  <c:v>2.7080000000000003E-2</c:v>
                </c:pt>
                <c:pt idx="1221">
                  <c:v>2.7380000000000002E-2</c:v>
                </c:pt>
                <c:pt idx="1222">
                  <c:v>2.7019999999999999E-2</c:v>
                </c:pt>
                <c:pt idx="1223">
                  <c:v>2.7370000000000002E-2</c:v>
                </c:pt>
                <c:pt idx="1224">
                  <c:v>2.7389999999999998E-2</c:v>
                </c:pt>
                <c:pt idx="1225">
                  <c:v>2.7980000000000001E-2</c:v>
                </c:pt>
                <c:pt idx="1226">
                  <c:v>2.8140000000000002E-2</c:v>
                </c:pt>
              </c:numCache>
            </c:numRef>
          </c:val>
          <c:smooth val="0"/>
          <c:extLst>
            <c:ext xmlns:c16="http://schemas.microsoft.com/office/drawing/2014/chart" uri="{C3380CC4-5D6E-409C-BE32-E72D297353CC}">
              <c16:uniqueId val="{00000002-A31A-4B75-AA0A-EBEEA367266E}"/>
            </c:ext>
          </c:extLst>
        </c:ser>
        <c:dLbls>
          <c:showLegendKey val="0"/>
          <c:showVal val="0"/>
          <c:showCatName val="0"/>
          <c:showSerName val="0"/>
          <c:showPercent val="0"/>
          <c:showBubbleSize val="0"/>
        </c:dLbls>
        <c:marker val="1"/>
        <c:smooth val="0"/>
        <c:axId val="178583040"/>
        <c:axId val="178584576"/>
      </c:lineChart>
      <c:dateAx>
        <c:axId val="178583040"/>
        <c:scaling>
          <c:orientation val="minMax"/>
          <c:min val="43466"/>
        </c:scaling>
        <c:delete val="0"/>
        <c:axPos val="b"/>
        <c:numFmt formatCode="dd/mm/yyyy;@" sourceLinked="1"/>
        <c:majorTickMark val="out"/>
        <c:minorTickMark val="none"/>
        <c:tickLblPos val="nextTo"/>
        <c:txPr>
          <a:bodyPr rot="-5400000" vert="horz"/>
          <a:lstStyle/>
          <a:p>
            <a:pPr>
              <a:defRPr/>
            </a:pPr>
            <a:endParaRPr lang="en-US"/>
          </a:p>
        </c:txPr>
        <c:crossAx val="178584576"/>
        <c:crossesAt val="-1.0000000000000002E-2"/>
        <c:auto val="0"/>
        <c:lblOffset val="100"/>
        <c:baseTimeUnit val="days"/>
        <c:majorUnit val="2"/>
        <c:majorTimeUnit val="months"/>
      </c:dateAx>
      <c:valAx>
        <c:axId val="178584576"/>
        <c:scaling>
          <c:orientation val="minMax"/>
          <c:min val="-1.0000000000000002E-2"/>
        </c:scaling>
        <c:delete val="0"/>
        <c:axPos val="l"/>
        <c:majorGridlines>
          <c:spPr>
            <a:ln w="6350">
              <a:prstDash val="dash"/>
            </a:ln>
          </c:spPr>
        </c:majorGridlines>
        <c:title>
          <c:tx>
            <c:rich>
              <a:bodyPr rot="0" vert="horz"/>
              <a:lstStyle/>
              <a:p>
                <a:pPr>
                  <a:defRPr sz="1000" b="0"/>
                </a:pPr>
                <a:r>
                  <a:rPr lang="sl-SI" sz="1000" b="0" dirty="0"/>
                  <a:t>%</a:t>
                </a:r>
              </a:p>
            </c:rich>
          </c:tx>
          <c:layout>
            <c:manualLayout>
              <c:xMode val="edge"/>
              <c:yMode val="edge"/>
              <c:x val="5.2851032509825153E-3"/>
              <c:y val="1.1010309590263754E-2"/>
            </c:manualLayout>
          </c:layout>
          <c:overlay val="0"/>
        </c:title>
        <c:numFmt formatCode="0.0%" sourceLinked="0"/>
        <c:majorTickMark val="out"/>
        <c:minorTickMark val="none"/>
        <c:tickLblPos val="nextTo"/>
        <c:crossAx val="178583040"/>
        <c:crosses val="autoZero"/>
        <c:crossBetween val="between"/>
      </c:valAx>
      <c:valAx>
        <c:axId val="178455680"/>
        <c:scaling>
          <c:orientation val="minMax"/>
          <c:max val="175"/>
          <c:min val="-50"/>
        </c:scaling>
        <c:delete val="0"/>
        <c:axPos val="r"/>
        <c:title>
          <c:tx>
            <c:rich>
              <a:bodyPr rot="0" vert="horz"/>
              <a:lstStyle/>
              <a:p>
                <a:pPr>
                  <a:defRPr b="0"/>
                </a:pPr>
                <a:r>
                  <a:rPr lang="sl-SI" sz="1000" b="0" dirty="0" err="1"/>
                  <a:t>bt</a:t>
                </a:r>
                <a:endParaRPr lang="sl-SI" sz="1000" b="0" dirty="0"/>
              </a:p>
            </c:rich>
          </c:tx>
          <c:layout>
            <c:manualLayout>
              <c:xMode val="edge"/>
              <c:yMode val="edge"/>
              <c:x val="0.9554232804232804"/>
              <c:y val="1.4851558540773182E-2"/>
            </c:manualLayout>
          </c:layout>
          <c:overlay val="0"/>
        </c:title>
        <c:numFmt formatCode="0" sourceLinked="0"/>
        <c:majorTickMark val="out"/>
        <c:minorTickMark val="none"/>
        <c:tickLblPos val="nextTo"/>
        <c:crossAx val="178457600"/>
        <c:crosses val="max"/>
        <c:crossBetween val="between"/>
        <c:majorUnit val="25"/>
        <c:minorUnit val="25"/>
      </c:valAx>
      <c:dateAx>
        <c:axId val="178457600"/>
        <c:scaling>
          <c:orientation val="minMax"/>
        </c:scaling>
        <c:delete val="1"/>
        <c:axPos val="b"/>
        <c:numFmt formatCode="dd/mm/yyyy;@" sourceLinked="1"/>
        <c:majorTickMark val="out"/>
        <c:minorTickMark val="none"/>
        <c:tickLblPos val="nextTo"/>
        <c:crossAx val="178455680"/>
        <c:crosses val="autoZero"/>
        <c:auto val="1"/>
        <c:lblOffset val="100"/>
        <c:baseTimeUnit val="days"/>
        <c:majorUnit val="1"/>
        <c:minorUnit val="1"/>
      </c:dateAx>
    </c:plotArea>
    <c:legend>
      <c:legendPos val="r"/>
      <c:layout>
        <c:manualLayout>
          <c:xMode val="edge"/>
          <c:yMode val="edge"/>
          <c:x val="6.4399415350858927E-2"/>
          <c:y val="0.92423789965735548"/>
          <c:w val="0.86681352330958628"/>
          <c:h val="7.4607181152453336E-2"/>
        </c:manualLayout>
      </c:layout>
      <c:overlay val="1"/>
      <c:spPr>
        <a:noFill/>
      </c:spPr>
      <c:txPr>
        <a:bodyPr/>
        <a:lstStyle/>
        <a:p>
          <a:pPr>
            <a:defRPr sz="1000"/>
          </a:pPr>
          <a:endParaRPr lang="en-US"/>
        </a:p>
      </c:txPr>
    </c:legend>
    <c:plotVisOnly val="1"/>
    <c:dispBlanksAs val="gap"/>
    <c:showDLblsOverMax val="0"/>
  </c:chart>
  <c:spPr>
    <a:solidFill>
      <a:schemeClr val="bg1"/>
    </a:solidFill>
    <a:ln>
      <a:noFill/>
    </a:ln>
  </c:spPr>
  <c:txPr>
    <a:bodyPr/>
    <a:lstStyle/>
    <a:p>
      <a:pPr>
        <a:defRPr sz="800">
          <a:solidFill>
            <a:sysClr val="windowText" lastClr="000000"/>
          </a:solidFill>
          <a:latin typeface="Arial" panose="020B0604020202020204" pitchFamily="34" charset="0"/>
          <a:cs typeface="Arial" panose="020B0604020202020204" pitchFamily="34" charset="0"/>
        </a:defRPr>
      </a:pPr>
      <a:endParaRPr lang="en-US"/>
    </a:p>
  </c:tx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8684614191988116E-2"/>
          <c:y val="9.0606094987406113E-2"/>
          <c:w val="0.91543808127844628"/>
          <c:h val="0.63937592863258974"/>
        </c:manualLayout>
      </c:layout>
      <c:areaChart>
        <c:grouping val="standard"/>
        <c:varyColors val="0"/>
        <c:ser>
          <c:idx val="2"/>
          <c:order val="1"/>
          <c:tx>
            <c:strRef>
              <c:f>Sheet1!$D$1</c:f>
              <c:strCache>
                <c:ptCount val="1"/>
                <c:pt idx="0">
                  <c:v>Kreditni pribitek nad MS 10 let (DS)</c:v>
                </c:pt>
              </c:strCache>
            </c:strRef>
          </c:tx>
          <c:spPr>
            <a:solidFill>
              <a:schemeClr val="bg2">
                <a:lumMod val="75000"/>
              </a:schemeClr>
            </a:solidFill>
            <a:ln w="19050">
              <a:solidFill>
                <a:schemeClr val="bg1">
                  <a:lumMod val="65000"/>
                </a:schemeClr>
              </a:solidFill>
            </a:ln>
          </c:spPr>
          <c:cat>
            <c:numRef>
              <c:f>Sheet1!$A$2:$A$1226</c:f>
              <c:numCache>
                <c:formatCode>dd/mm/yyyy;@</c:formatCode>
                <c:ptCount val="1225"/>
                <c:pt idx="0">
                  <c:v>43467</c:v>
                </c:pt>
                <c:pt idx="1">
                  <c:v>43468</c:v>
                </c:pt>
                <c:pt idx="2">
                  <c:v>43469</c:v>
                </c:pt>
                <c:pt idx="3">
                  <c:v>43472</c:v>
                </c:pt>
                <c:pt idx="4">
                  <c:v>43473</c:v>
                </c:pt>
                <c:pt idx="5">
                  <c:v>43474</c:v>
                </c:pt>
                <c:pt idx="6">
                  <c:v>43475</c:v>
                </c:pt>
                <c:pt idx="7">
                  <c:v>43476</c:v>
                </c:pt>
                <c:pt idx="8">
                  <c:v>43479</c:v>
                </c:pt>
                <c:pt idx="9">
                  <c:v>43480</c:v>
                </c:pt>
                <c:pt idx="10">
                  <c:v>43481</c:v>
                </c:pt>
                <c:pt idx="11">
                  <c:v>43482</c:v>
                </c:pt>
                <c:pt idx="12">
                  <c:v>43483</c:v>
                </c:pt>
                <c:pt idx="13">
                  <c:v>43486</c:v>
                </c:pt>
                <c:pt idx="14">
                  <c:v>43487</c:v>
                </c:pt>
                <c:pt idx="15">
                  <c:v>43488</c:v>
                </c:pt>
                <c:pt idx="16">
                  <c:v>43489</c:v>
                </c:pt>
                <c:pt idx="17">
                  <c:v>43490</c:v>
                </c:pt>
                <c:pt idx="18">
                  <c:v>43493</c:v>
                </c:pt>
                <c:pt idx="19">
                  <c:v>43494</c:v>
                </c:pt>
                <c:pt idx="20">
                  <c:v>43495</c:v>
                </c:pt>
                <c:pt idx="21">
                  <c:v>43496</c:v>
                </c:pt>
                <c:pt idx="22">
                  <c:v>43497</c:v>
                </c:pt>
                <c:pt idx="23">
                  <c:v>43500</c:v>
                </c:pt>
                <c:pt idx="24">
                  <c:v>43501</c:v>
                </c:pt>
                <c:pt idx="25">
                  <c:v>43502</c:v>
                </c:pt>
                <c:pt idx="26">
                  <c:v>43503</c:v>
                </c:pt>
                <c:pt idx="27">
                  <c:v>43504</c:v>
                </c:pt>
                <c:pt idx="28">
                  <c:v>43507</c:v>
                </c:pt>
                <c:pt idx="29">
                  <c:v>43508</c:v>
                </c:pt>
                <c:pt idx="30">
                  <c:v>43509</c:v>
                </c:pt>
                <c:pt idx="31">
                  <c:v>43510</c:v>
                </c:pt>
                <c:pt idx="32">
                  <c:v>43511</c:v>
                </c:pt>
                <c:pt idx="33">
                  <c:v>43514</c:v>
                </c:pt>
                <c:pt idx="34">
                  <c:v>43515</c:v>
                </c:pt>
                <c:pt idx="35">
                  <c:v>43516</c:v>
                </c:pt>
                <c:pt idx="36">
                  <c:v>43517</c:v>
                </c:pt>
                <c:pt idx="37">
                  <c:v>43518</c:v>
                </c:pt>
                <c:pt idx="38">
                  <c:v>43521</c:v>
                </c:pt>
                <c:pt idx="39">
                  <c:v>43522</c:v>
                </c:pt>
                <c:pt idx="40">
                  <c:v>43523</c:v>
                </c:pt>
                <c:pt idx="41">
                  <c:v>43524</c:v>
                </c:pt>
                <c:pt idx="42">
                  <c:v>43525</c:v>
                </c:pt>
                <c:pt idx="43">
                  <c:v>43528</c:v>
                </c:pt>
                <c:pt idx="44">
                  <c:v>43529</c:v>
                </c:pt>
                <c:pt idx="45">
                  <c:v>43530</c:v>
                </c:pt>
                <c:pt idx="46">
                  <c:v>43531</c:v>
                </c:pt>
                <c:pt idx="47">
                  <c:v>43532</c:v>
                </c:pt>
                <c:pt idx="48">
                  <c:v>43535</c:v>
                </c:pt>
                <c:pt idx="49">
                  <c:v>43536</c:v>
                </c:pt>
                <c:pt idx="50">
                  <c:v>43537</c:v>
                </c:pt>
                <c:pt idx="51">
                  <c:v>43538</c:v>
                </c:pt>
                <c:pt idx="52">
                  <c:v>43539</c:v>
                </c:pt>
                <c:pt idx="53">
                  <c:v>43542</c:v>
                </c:pt>
                <c:pt idx="54">
                  <c:v>43543</c:v>
                </c:pt>
                <c:pt idx="55">
                  <c:v>43544</c:v>
                </c:pt>
                <c:pt idx="56">
                  <c:v>43545</c:v>
                </c:pt>
                <c:pt idx="57">
                  <c:v>43546</c:v>
                </c:pt>
                <c:pt idx="58">
                  <c:v>43549</c:v>
                </c:pt>
                <c:pt idx="59">
                  <c:v>43550</c:v>
                </c:pt>
                <c:pt idx="60">
                  <c:v>43551</c:v>
                </c:pt>
                <c:pt idx="61">
                  <c:v>43552</c:v>
                </c:pt>
                <c:pt idx="62">
                  <c:v>43553</c:v>
                </c:pt>
                <c:pt idx="63">
                  <c:v>43556</c:v>
                </c:pt>
                <c:pt idx="64">
                  <c:v>43557</c:v>
                </c:pt>
                <c:pt idx="65">
                  <c:v>43558</c:v>
                </c:pt>
                <c:pt idx="66">
                  <c:v>43559</c:v>
                </c:pt>
                <c:pt idx="67">
                  <c:v>43560</c:v>
                </c:pt>
                <c:pt idx="68">
                  <c:v>43563</c:v>
                </c:pt>
                <c:pt idx="69">
                  <c:v>43564</c:v>
                </c:pt>
                <c:pt idx="70">
                  <c:v>43565</c:v>
                </c:pt>
                <c:pt idx="71">
                  <c:v>43566</c:v>
                </c:pt>
                <c:pt idx="72">
                  <c:v>43567</c:v>
                </c:pt>
                <c:pt idx="73">
                  <c:v>43570</c:v>
                </c:pt>
                <c:pt idx="74">
                  <c:v>43571</c:v>
                </c:pt>
                <c:pt idx="75">
                  <c:v>43572</c:v>
                </c:pt>
                <c:pt idx="76">
                  <c:v>43573</c:v>
                </c:pt>
                <c:pt idx="77">
                  <c:v>43578</c:v>
                </c:pt>
                <c:pt idx="78">
                  <c:v>43579</c:v>
                </c:pt>
                <c:pt idx="79">
                  <c:v>43580</c:v>
                </c:pt>
                <c:pt idx="80">
                  <c:v>43581</c:v>
                </c:pt>
                <c:pt idx="81">
                  <c:v>43584</c:v>
                </c:pt>
                <c:pt idx="82">
                  <c:v>43585</c:v>
                </c:pt>
                <c:pt idx="83">
                  <c:v>43587</c:v>
                </c:pt>
                <c:pt idx="84">
                  <c:v>43588</c:v>
                </c:pt>
                <c:pt idx="85">
                  <c:v>43591</c:v>
                </c:pt>
                <c:pt idx="86">
                  <c:v>43592</c:v>
                </c:pt>
                <c:pt idx="87">
                  <c:v>43593</c:v>
                </c:pt>
                <c:pt idx="88">
                  <c:v>43594</c:v>
                </c:pt>
                <c:pt idx="89">
                  <c:v>43595</c:v>
                </c:pt>
                <c:pt idx="90">
                  <c:v>43598</c:v>
                </c:pt>
                <c:pt idx="91">
                  <c:v>43599</c:v>
                </c:pt>
                <c:pt idx="92">
                  <c:v>43600</c:v>
                </c:pt>
                <c:pt idx="93">
                  <c:v>43601</c:v>
                </c:pt>
                <c:pt idx="94">
                  <c:v>43602</c:v>
                </c:pt>
                <c:pt idx="95">
                  <c:v>43605</c:v>
                </c:pt>
                <c:pt idx="96">
                  <c:v>43606</c:v>
                </c:pt>
                <c:pt idx="97">
                  <c:v>43607</c:v>
                </c:pt>
                <c:pt idx="98">
                  <c:v>43608</c:v>
                </c:pt>
                <c:pt idx="99">
                  <c:v>43609</c:v>
                </c:pt>
                <c:pt idx="100">
                  <c:v>43612</c:v>
                </c:pt>
                <c:pt idx="101">
                  <c:v>43613</c:v>
                </c:pt>
                <c:pt idx="102">
                  <c:v>43614</c:v>
                </c:pt>
                <c:pt idx="103">
                  <c:v>43615</c:v>
                </c:pt>
                <c:pt idx="104">
                  <c:v>43616</c:v>
                </c:pt>
                <c:pt idx="105">
                  <c:v>43619</c:v>
                </c:pt>
                <c:pt idx="106">
                  <c:v>43620</c:v>
                </c:pt>
                <c:pt idx="107">
                  <c:v>43621</c:v>
                </c:pt>
                <c:pt idx="108">
                  <c:v>43622</c:v>
                </c:pt>
                <c:pt idx="109">
                  <c:v>43623</c:v>
                </c:pt>
                <c:pt idx="110">
                  <c:v>43626</c:v>
                </c:pt>
                <c:pt idx="111">
                  <c:v>43627</c:v>
                </c:pt>
                <c:pt idx="112">
                  <c:v>43628</c:v>
                </c:pt>
                <c:pt idx="113">
                  <c:v>43629</c:v>
                </c:pt>
                <c:pt idx="114">
                  <c:v>43630</c:v>
                </c:pt>
                <c:pt idx="115">
                  <c:v>43633</c:v>
                </c:pt>
                <c:pt idx="116">
                  <c:v>43634</c:v>
                </c:pt>
                <c:pt idx="117">
                  <c:v>43635</c:v>
                </c:pt>
                <c:pt idx="118">
                  <c:v>43636</c:v>
                </c:pt>
                <c:pt idx="119">
                  <c:v>43637</c:v>
                </c:pt>
                <c:pt idx="120">
                  <c:v>43640</c:v>
                </c:pt>
                <c:pt idx="121">
                  <c:v>43641</c:v>
                </c:pt>
                <c:pt idx="122">
                  <c:v>43642</c:v>
                </c:pt>
                <c:pt idx="123">
                  <c:v>43643</c:v>
                </c:pt>
                <c:pt idx="124">
                  <c:v>43644</c:v>
                </c:pt>
                <c:pt idx="125">
                  <c:v>43647</c:v>
                </c:pt>
                <c:pt idx="126">
                  <c:v>43648</c:v>
                </c:pt>
                <c:pt idx="127">
                  <c:v>43649</c:v>
                </c:pt>
                <c:pt idx="128">
                  <c:v>43650</c:v>
                </c:pt>
                <c:pt idx="129">
                  <c:v>43651</c:v>
                </c:pt>
                <c:pt idx="130">
                  <c:v>43654</c:v>
                </c:pt>
                <c:pt idx="131">
                  <c:v>43655</c:v>
                </c:pt>
                <c:pt idx="132">
                  <c:v>43656</c:v>
                </c:pt>
                <c:pt idx="133">
                  <c:v>43657</c:v>
                </c:pt>
                <c:pt idx="134">
                  <c:v>43658</c:v>
                </c:pt>
                <c:pt idx="135">
                  <c:v>43661</c:v>
                </c:pt>
                <c:pt idx="136">
                  <c:v>43662</c:v>
                </c:pt>
                <c:pt idx="137">
                  <c:v>43663</c:v>
                </c:pt>
                <c:pt idx="138">
                  <c:v>43664</c:v>
                </c:pt>
                <c:pt idx="139">
                  <c:v>43665</c:v>
                </c:pt>
                <c:pt idx="140">
                  <c:v>43668</c:v>
                </c:pt>
                <c:pt idx="141">
                  <c:v>43669</c:v>
                </c:pt>
                <c:pt idx="142">
                  <c:v>43670</c:v>
                </c:pt>
                <c:pt idx="143">
                  <c:v>43671</c:v>
                </c:pt>
                <c:pt idx="144">
                  <c:v>43672</c:v>
                </c:pt>
                <c:pt idx="145">
                  <c:v>43675</c:v>
                </c:pt>
                <c:pt idx="146">
                  <c:v>43676</c:v>
                </c:pt>
                <c:pt idx="147">
                  <c:v>43677</c:v>
                </c:pt>
                <c:pt idx="148">
                  <c:v>43678</c:v>
                </c:pt>
                <c:pt idx="149">
                  <c:v>43679</c:v>
                </c:pt>
                <c:pt idx="150">
                  <c:v>43682</c:v>
                </c:pt>
                <c:pt idx="151">
                  <c:v>43683</c:v>
                </c:pt>
                <c:pt idx="152">
                  <c:v>43684</c:v>
                </c:pt>
                <c:pt idx="153">
                  <c:v>43685</c:v>
                </c:pt>
                <c:pt idx="154">
                  <c:v>43686</c:v>
                </c:pt>
                <c:pt idx="155">
                  <c:v>43689</c:v>
                </c:pt>
                <c:pt idx="156">
                  <c:v>43690</c:v>
                </c:pt>
                <c:pt idx="157">
                  <c:v>43691</c:v>
                </c:pt>
                <c:pt idx="158">
                  <c:v>43692</c:v>
                </c:pt>
                <c:pt idx="159">
                  <c:v>43693</c:v>
                </c:pt>
                <c:pt idx="160">
                  <c:v>43696</c:v>
                </c:pt>
                <c:pt idx="161">
                  <c:v>43697</c:v>
                </c:pt>
                <c:pt idx="162">
                  <c:v>43698</c:v>
                </c:pt>
                <c:pt idx="163">
                  <c:v>43699</c:v>
                </c:pt>
                <c:pt idx="164">
                  <c:v>43700</c:v>
                </c:pt>
                <c:pt idx="165">
                  <c:v>43703</c:v>
                </c:pt>
                <c:pt idx="166">
                  <c:v>43704</c:v>
                </c:pt>
                <c:pt idx="167">
                  <c:v>43705</c:v>
                </c:pt>
                <c:pt idx="168">
                  <c:v>43706</c:v>
                </c:pt>
                <c:pt idx="169">
                  <c:v>43707</c:v>
                </c:pt>
                <c:pt idx="170">
                  <c:v>43710</c:v>
                </c:pt>
                <c:pt idx="171">
                  <c:v>43711</c:v>
                </c:pt>
                <c:pt idx="172">
                  <c:v>43712</c:v>
                </c:pt>
                <c:pt idx="173">
                  <c:v>43713</c:v>
                </c:pt>
                <c:pt idx="174">
                  <c:v>43714</c:v>
                </c:pt>
                <c:pt idx="175">
                  <c:v>43717</c:v>
                </c:pt>
                <c:pt idx="176">
                  <c:v>43718</c:v>
                </c:pt>
                <c:pt idx="177">
                  <c:v>43719</c:v>
                </c:pt>
                <c:pt idx="178">
                  <c:v>43720</c:v>
                </c:pt>
                <c:pt idx="179">
                  <c:v>43721</c:v>
                </c:pt>
                <c:pt idx="180">
                  <c:v>43724</c:v>
                </c:pt>
                <c:pt idx="181">
                  <c:v>43725</c:v>
                </c:pt>
                <c:pt idx="182">
                  <c:v>43726</c:v>
                </c:pt>
                <c:pt idx="183">
                  <c:v>43727</c:v>
                </c:pt>
                <c:pt idx="184">
                  <c:v>43728</c:v>
                </c:pt>
                <c:pt idx="185">
                  <c:v>43731</c:v>
                </c:pt>
                <c:pt idx="186">
                  <c:v>43732</c:v>
                </c:pt>
                <c:pt idx="187">
                  <c:v>43733</c:v>
                </c:pt>
                <c:pt idx="188">
                  <c:v>43734</c:v>
                </c:pt>
                <c:pt idx="189">
                  <c:v>43735</c:v>
                </c:pt>
                <c:pt idx="190">
                  <c:v>43738</c:v>
                </c:pt>
                <c:pt idx="191">
                  <c:v>43739</c:v>
                </c:pt>
                <c:pt idx="192">
                  <c:v>43740</c:v>
                </c:pt>
                <c:pt idx="193">
                  <c:v>43741</c:v>
                </c:pt>
                <c:pt idx="194">
                  <c:v>43742</c:v>
                </c:pt>
                <c:pt idx="195">
                  <c:v>43745</c:v>
                </c:pt>
                <c:pt idx="196">
                  <c:v>43746</c:v>
                </c:pt>
                <c:pt idx="197">
                  <c:v>43747</c:v>
                </c:pt>
                <c:pt idx="198">
                  <c:v>43748</c:v>
                </c:pt>
                <c:pt idx="199">
                  <c:v>43749</c:v>
                </c:pt>
                <c:pt idx="200">
                  <c:v>43752</c:v>
                </c:pt>
                <c:pt idx="201">
                  <c:v>43753</c:v>
                </c:pt>
                <c:pt idx="202">
                  <c:v>43754</c:v>
                </c:pt>
                <c:pt idx="203">
                  <c:v>43755</c:v>
                </c:pt>
                <c:pt idx="204">
                  <c:v>43756</c:v>
                </c:pt>
                <c:pt idx="205">
                  <c:v>43759</c:v>
                </c:pt>
                <c:pt idx="206">
                  <c:v>43760</c:v>
                </c:pt>
                <c:pt idx="207">
                  <c:v>43761</c:v>
                </c:pt>
                <c:pt idx="208">
                  <c:v>43762</c:v>
                </c:pt>
                <c:pt idx="209">
                  <c:v>43763</c:v>
                </c:pt>
                <c:pt idx="210">
                  <c:v>43766</c:v>
                </c:pt>
                <c:pt idx="211">
                  <c:v>43767</c:v>
                </c:pt>
                <c:pt idx="212">
                  <c:v>43768</c:v>
                </c:pt>
                <c:pt idx="213">
                  <c:v>43769</c:v>
                </c:pt>
                <c:pt idx="214">
                  <c:v>43770</c:v>
                </c:pt>
                <c:pt idx="215">
                  <c:v>43773</c:v>
                </c:pt>
                <c:pt idx="216">
                  <c:v>43774</c:v>
                </c:pt>
                <c:pt idx="217">
                  <c:v>43775</c:v>
                </c:pt>
                <c:pt idx="218">
                  <c:v>43776</c:v>
                </c:pt>
                <c:pt idx="219">
                  <c:v>43777</c:v>
                </c:pt>
                <c:pt idx="220">
                  <c:v>43780</c:v>
                </c:pt>
                <c:pt idx="221">
                  <c:v>43781</c:v>
                </c:pt>
                <c:pt idx="222">
                  <c:v>43782</c:v>
                </c:pt>
                <c:pt idx="223">
                  <c:v>43783</c:v>
                </c:pt>
                <c:pt idx="224">
                  <c:v>43784</c:v>
                </c:pt>
                <c:pt idx="225">
                  <c:v>43787</c:v>
                </c:pt>
                <c:pt idx="226">
                  <c:v>43788</c:v>
                </c:pt>
                <c:pt idx="227">
                  <c:v>43789</c:v>
                </c:pt>
                <c:pt idx="228">
                  <c:v>43790</c:v>
                </c:pt>
                <c:pt idx="229">
                  <c:v>43791</c:v>
                </c:pt>
                <c:pt idx="230">
                  <c:v>43794</c:v>
                </c:pt>
                <c:pt idx="231">
                  <c:v>43795</c:v>
                </c:pt>
                <c:pt idx="232">
                  <c:v>43796</c:v>
                </c:pt>
                <c:pt idx="233">
                  <c:v>43797</c:v>
                </c:pt>
                <c:pt idx="234">
                  <c:v>43798</c:v>
                </c:pt>
                <c:pt idx="235">
                  <c:v>43801</c:v>
                </c:pt>
                <c:pt idx="236">
                  <c:v>43802</c:v>
                </c:pt>
                <c:pt idx="237">
                  <c:v>43803</c:v>
                </c:pt>
                <c:pt idx="238">
                  <c:v>43804</c:v>
                </c:pt>
                <c:pt idx="239">
                  <c:v>43805</c:v>
                </c:pt>
                <c:pt idx="240">
                  <c:v>43808</c:v>
                </c:pt>
                <c:pt idx="241">
                  <c:v>43809</c:v>
                </c:pt>
                <c:pt idx="242">
                  <c:v>43810</c:v>
                </c:pt>
                <c:pt idx="243">
                  <c:v>43811</c:v>
                </c:pt>
                <c:pt idx="244">
                  <c:v>43812</c:v>
                </c:pt>
                <c:pt idx="245">
                  <c:v>43815</c:v>
                </c:pt>
                <c:pt idx="246">
                  <c:v>43816</c:v>
                </c:pt>
                <c:pt idx="247">
                  <c:v>43817</c:v>
                </c:pt>
                <c:pt idx="248">
                  <c:v>43818</c:v>
                </c:pt>
                <c:pt idx="249">
                  <c:v>43819</c:v>
                </c:pt>
                <c:pt idx="250">
                  <c:v>43822</c:v>
                </c:pt>
                <c:pt idx="251">
                  <c:v>43826</c:v>
                </c:pt>
                <c:pt idx="252">
                  <c:v>43829</c:v>
                </c:pt>
                <c:pt idx="253">
                  <c:v>43832</c:v>
                </c:pt>
                <c:pt idx="254">
                  <c:v>43833</c:v>
                </c:pt>
                <c:pt idx="255">
                  <c:v>43836</c:v>
                </c:pt>
                <c:pt idx="256">
                  <c:v>43837</c:v>
                </c:pt>
                <c:pt idx="257">
                  <c:v>43838</c:v>
                </c:pt>
                <c:pt idx="258">
                  <c:v>43839</c:v>
                </c:pt>
                <c:pt idx="259">
                  <c:v>43840</c:v>
                </c:pt>
                <c:pt idx="260">
                  <c:v>43843</c:v>
                </c:pt>
                <c:pt idx="261">
                  <c:v>43844</c:v>
                </c:pt>
                <c:pt idx="262">
                  <c:v>43845</c:v>
                </c:pt>
                <c:pt idx="263">
                  <c:v>43846</c:v>
                </c:pt>
                <c:pt idx="264">
                  <c:v>43847</c:v>
                </c:pt>
                <c:pt idx="265">
                  <c:v>43850</c:v>
                </c:pt>
                <c:pt idx="266">
                  <c:v>43851</c:v>
                </c:pt>
                <c:pt idx="267">
                  <c:v>43852</c:v>
                </c:pt>
                <c:pt idx="268">
                  <c:v>43853</c:v>
                </c:pt>
                <c:pt idx="269">
                  <c:v>43854</c:v>
                </c:pt>
                <c:pt idx="270">
                  <c:v>43857</c:v>
                </c:pt>
                <c:pt idx="271">
                  <c:v>43858</c:v>
                </c:pt>
                <c:pt idx="272">
                  <c:v>43859</c:v>
                </c:pt>
                <c:pt idx="273">
                  <c:v>43860</c:v>
                </c:pt>
                <c:pt idx="274">
                  <c:v>43861</c:v>
                </c:pt>
                <c:pt idx="275">
                  <c:v>43864</c:v>
                </c:pt>
                <c:pt idx="276">
                  <c:v>43865</c:v>
                </c:pt>
                <c:pt idx="277">
                  <c:v>43866</c:v>
                </c:pt>
                <c:pt idx="278">
                  <c:v>43867</c:v>
                </c:pt>
                <c:pt idx="279">
                  <c:v>43868</c:v>
                </c:pt>
                <c:pt idx="280">
                  <c:v>43871</c:v>
                </c:pt>
                <c:pt idx="281">
                  <c:v>43872</c:v>
                </c:pt>
                <c:pt idx="282">
                  <c:v>43873</c:v>
                </c:pt>
                <c:pt idx="283">
                  <c:v>43874</c:v>
                </c:pt>
                <c:pt idx="284">
                  <c:v>43875</c:v>
                </c:pt>
                <c:pt idx="285">
                  <c:v>43878</c:v>
                </c:pt>
                <c:pt idx="286">
                  <c:v>43879</c:v>
                </c:pt>
                <c:pt idx="287">
                  <c:v>43880</c:v>
                </c:pt>
                <c:pt idx="288">
                  <c:v>43881</c:v>
                </c:pt>
                <c:pt idx="289">
                  <c:v>43882</c:v>
                </c:pt>
                <c:pt idx="290">
                  <c:v>43885</c:v>
                </c:pt>
                <c:pt idx="291">
                  <c:v>43886</c:v>
                </c:pt>
                <c:pt idx="292">
                  <c:v>43887</c:v>
                </c:pt>
                <c:pt idx="293">
                  <c:v>43888</c:v>
                </c:pt>
                <c:pt idx="294">
                  <c:v>43889</c:v>
                </c:pt>
                <c:pt idx="295">
                  <c:v>43892</c:v>
                </c:pt>
                <c:pt idx="296">
                  <c:v>43893</c:v>
                </c:pt>
                <c:pt idx="297">
                  <c:v>43894</c:v>
                </c:pt>
                <c:pt idx="298">
                  <c:v>43895</c:v>
                </c:pt>
                <c:pt idx="299">
                  <c:v>43896</c:v>
                </c:pt>
                <c:pt idx="300">
                  <c:v>43899</c:v>
                </c:pt>
                <c:pt idx="301">
                  <c:v>43900</c:v>
                </c:pt>
                <c:pt idx="302">
                  <c:v>43901</c:v>
                </c:pt>
                <c:pt idx="303">
                  <c:v>43902</c:v>
                </c:pt>
                <c:pt idx="304">
                  <c:v>43903</c:v>
                </c:pt>
                <c:pt idx="305">
                  <c:v>43906</c:v>
                </c:pt>
                <c:pt idx="306">
                  <c:v>43907</c:v>
                </c:pt>
                <c:pt idx="307">
                  <c:v>43908</c:v>
                </c:pt>
                <c:pt idx="308">
                  <c:v>43909</c:v>
                </c:pt>
                <c:pt idx="309">
                  <c:v>43910</c:v>
                </c:pt>
                <c:pt idx="310">
                  <c:v>43913</c:v>
                </c:pt>
                <c:pt idx="311">
                  <c:v>43914</c:v>
                </c:pt>
                <c:pt idx="312">
                  <c:v>43915</c:v>
                </c:pt>
                <c:pt idx="313">
                  <c:v>43916</c:v>
                </c:pt>
                <c:pt idx="314">
                  <c:v>43917</c:v>
                </c:pt>
                <c:pt idx="315">
                  <c:v>43920</c:v>
                </c:pt>
                <c:pt idx="316">
                  <c:v>43921</c:v>
                </c:pt>
                <c:pt idx="317">
                  <c:v>43922</c:v>
                </c:pt>
                <c:pt idx="318">
                  <c:v>43923</c:v>
                </c:pt>
                <c:pt idx="319">
                  <c:v>43924</c:v>
                </c:pt>
                <c:pt idx="320">
                  <c:v>43927</c:v>
                </c:pt>
                <c:pt idx="321">
                  <c:v>43928</c:v>
                </c:pt>
                <c:pt idx="322">
                  <c:v>43929</c:v>
                </c:pt>
                <c:pt idx="323">
                  <c:v>43930</c:v>
                </c:pt>
                <c:pt idx="324">
                  <c:v>43935</c:v>
                </c:pt>
                <c:pt idx="325">
                  <c:v>43936</c:v>
                </c:pt>
                <c:pt idx="326">
                  <c:v>43937</c:v>
                </c:pt>
                <c:pt idx="327">
                  <c:v>43938</c:v>
                </c:pt>
                <c:pt idx="328">
                  <c:v>43941</c:v>
                </c:pt>
                <c:pt idx="329">
                  <c:v>43942</c:v>
                </c:pt>
                <c:pt idx="330">
                  <c:v>43943</c:v>
                </c:pt>
                <c:pt idx="331">
                  <c:v>43944</c:v>
                </c:pt>
                <c:pt idx="332">
                  <c:v>43945</c:v>
                </c:pt>
                <c:pt idx="333">
                  <c:v>43948</c:v>
                </c:pt>
                <c:pt idx="334">
                  <c:v>43949</c:v>
                </c:pt>
                <c:pt idx="335">
                  <c:v>43950</c:v>
                </c:pt>
                <c:pt idx="336">
                  <c:v>43951</c:v>
                </c:pt>
                <c:pt idx="337">
                  <c:v>43955</c:v>
                </c:pt>
                <c:pt idx="338">
                  <c:v>43956</c:v>
                </c:pt>
                <c:pt idx="339">
                  <c:v>43957</c:v>
                </c:pt>
                <c:pt idx="340">
                  <c:v>43958</c:v>
                </c:pt>
                <c:pt idx="341">
                  <c:v>43959</c:v>
                </c:pt>
                <c:pt idx="342">
                  <c:v>43962</c:v>
                </c:pt>
                <c:pt idx="343">
                  <c:v>43963</c:v>
                </c:pt>
                <c:pt idx="344">
                  <c:v>43964</c:v>
                </c:pt>
                <c:pt idx="345">
                  <c:v>43965</c:v>
                </c:pt>
                <c:pt idx="346">
                  <c:v>43966</c:v>
                </c:pt>
                <c:pt idx="347">
                  <c:v>43969</c:v>
                </c:pt>
                <c:pt idx="348">
                  <c:v>43970</c:v>
                </c:pt>
                <c:pt idx="349">
                  <c:v>43971</c:v>
                </c:pt>
                <c:pt idx="350">
                  <c:v>43972</c:v>
                </c:pt>
                <c:pt idx="351">
                  <c:v>43973</c:v>
                </c:pt>
                <c:pt idx="352">
                  <c:v>43976</c:v>
                </c:pt>
                <c:pt idx="353">
                  <c:v>43977</c:v>
                </c:pt>
                <c:pt idx="354">
                  <c:v>43978</c:v>
                </c:pt>
                <c:pt idx="355">
                  <c:v>43979</c:v>
                </c:pt>
                <c:pt idx="356">
                  <c:v>43980</c:v>
                </c:pt>
                <c:pt idx="357">
                  <c:v>43983</c:v>
                </c:pt>
                <c:pt idx="358">
                  <c:v>43984</c:v>
                </c:pt>
                <c:pt idx="359">
                  <c:v>43985</c:v>
                </c:pt>
                <c:pt idx="360">
                  <c:v>43986</c:v>
                </c:pt>
                <c:pt idx="361">
                  <c:v>43987</c:v>
                </c:pt>
                <c:pt idx="362">
                  <c:v>43990</c:v>
                </c:pt>
                <c:pt idx="363">
                  <c:v>43991</c:v>
                </c:pt>
                <c:pt idx="364">
                  <c:v>43992</c:v>
                </c:pt>
                <c:pt idx="365">
                  <c:v>43993</c:v>
                </c:pt>
                <c:pt idx="366">
                  <c:v>43994</c:v>
                </c:pt>
                <c:pt idx="367">
                  <c:v>43997</c:v>
                </c:pt>
                <c:pt idx="368">
                  <c:v>43998</c:v>
                </c:pt>
                <c:pt idx="369">
                  <c:v>43999</c:v>
                </c:pt>
                <c:pt idx="370">
                  <c:v>44000</c:v>
                </c:pt>
                <c:pt idx="371">
                  <c:v>44001</c:v>
                </c:pt>
                <c:pt idx="372">
                  <c:v>44004</c:v>
                </c:pt>
                <c:pt idx="373">
                  <c:v>44005</c:v>
                </c:pt>
                <c:pt idx="374">
                  <c:v>44006</c:v>
                </c:pt>
                <c:pt idx="375">
                  <c:v>44007</c:v>
                </c:pt>
                <c:pt idx="376">
                  <c:v>44008</c:v>
                </c:pt>
                <c:pt idx="377">
                  <c:v>44011</c:v>
                </c:pt>
                <c:pt idx="378">
                  <c:v>44012</c:v>
                </c:pt>
                <c:pt idx="379">
                  <c:v>44013</c:v>
                </c:pt>
                <c:pt idx="380">
                  <c:v>44014</c:v>
                </c:pt>
                <c:pt idx="381">
                  <c:v>44015</c:v>
                </c:pt>
                <c:pt idx="382">
                  <c:v>44018</c:v>
                </c:pt>
                <c:pt idx="383">
                  <c:v>44019</c:v>
                </c:pt>
                <c:pt idx="384">
                  <c:v>44020</c:v>
                </c:pt>
                <c:pt idx="385">
                  <c:v>44021</c:v>
                </c:pt>
                <c:pt idx="386">
                  <c:v>44022</c:v>
                </c:pt>
                <c:pt idx="387">
                  <c:v>44025</c:v>
                </c:pt>
                <c:pt idx="388">
                  <c:v>44026</c:v>
                </c:pt>
                <c:pt idx="389">
                  <c:v>44027</c:v>
                </c:pt>
                <c:pt idx="390">
                  <c:v>44028</c:v>
                </c:pt>
                <c:pt idx="391">
                  <c:v>44029</c:v>
                </c:pt>
                <c:pt idx="392">
                  <c:v>44032</c:v>
                </c:pt>
                <c:pt idx="393">
                  <c:v>44033</c:v>
                </c:pt>
                <c:pt idx="394">
                  <c:v>44034</c:v>
                </c:pt>
                <c:pt idx="395">
                  <c:v>44035</c:v>
                </c:pt>
                <c:pt idx="396">
                  <c:v>44036</c:v>
                </c:pt>
                <c:pt idx="397">
                  <c:v>44039</c:v>
                </c:pt>
                <c:pt idx="398">
                  <c:v>44040</c:v>
                </c:pt>
                <c:pt idx="399">
                  <c:v>44041</c:v>
                </c:pt>
                <c:pt idx="400">
                  <c:v>44042</c:v>
                </c:pt>
                <c:pt idx="401">
                  <c:v>44043</c:v>
                </c:pt>
                <c:pt idx="402">
                  <c:v>44046</c:v>
                </c:pt>
                <c:pt idx="403">
                  <c:v>44047</c:v>
                </c:pt>
                <c:pt idx="404">
                  <c:v>44048</c:v>
                </c:pt>
                <c:pt idx="405">
                  <c:v>44049</c:v>
                </c:pt>
                <c:pt idx="406">
                  <c:v>44050</c:v>
                </c:pt>
                <c:pt idx="407">
                  <c:v>44053</c:v>
                </c:pt>
                <c:pt idx="408">
                  <c:v>44054</c:v>
                </c:pt>
                <c:pt idx="409">
                  <c:v>44055</c:v>
                </c:pt>
                <c:pt idx="410">
                  <c:v>44056</c:v>
                </c:pt>
                <c:pt idx="411">
                  <c:v>44057</c:v>
                </c:pt>
                <c:pt idx="412">
                  <c:v>44060</c:v>
                </c:pt>
                <c:pt idx="413">
                  <c:v>44061</c:v>
                </c:pt>
                <c:pt idx="414">
                  <c:v>44062</c:v>
                </c:pt>
                <c:pt idx="415">
                  <c:v>44063</c:v>
                </c:pt>
                <c:pt idx="416">
                  <c:v>44064</c:v>
                </c:pt>
                <c:pt idx="417">
                  <c:v>44067</c:v>
                </c:pt>
                <c:pt idx="418">
                  <c:v>44068</c:v>
                </c:pt>
                <c:pt idx="419">
                  <c:v>44069</c:v>
                </c:pt>
                <c:pt idx="420">
                  <c:v>44070</c:v>
                </c:pt>
                <c:pt idx="421">
                  <c:v>44071</c:v>
                </c:pt>
                <c:pt idx="422">
                  <c:v>44074</c:v>
                </c:pt>
                <c:pt idx="423">
                  <c:v>44075</c:v>
                </c:pt>
                <c:pt idx="424">
                  <c:v>44076</c:v>
                </c:pt>
                <c:pt idx="425">
                  <c:v>44077</c:v>
                </c:pt>
                <c:pt idx="426">
                  <c:v>44078</c:v>
                </c:pt>
                <c:pt idx="427">
                  <c:v>44081</c:v>
                </c:pt>
                <c:pt idx="428">
                  <c:v>44082</c:v>
                </c:pt>
                <c:pt idx="429">
                  <c:v>44083</c:v>
                </c:pt>
                <c:pt idx="430">
                  <c:v>44084</c:v>
                </c:pt>
                <c:pt idx="431">
                  <c:v>44085</c:v>
                </c:pt>
                <c:pt idx="432">
                  <c:v>44088</c:v>
                </c:pt>
                <c:pt idx="433">
                  <c:v>44089</c:v>
                </c:pt>
                <c:pt idx="434">
                  <c:v>44090</c:v>
                </c:pt>
                <c:pt idx="435">
                  <c:v>44091</c:v>
                </c:pt>
                <c:pt idx="436">
                  <c:v>44092</c:v>
                </c:pt>
                <c:pt idx="437">
                  <c:v>44095</c:v>
                </c:pt>
                <c:pt idx="438">
                  <c:v>44096</c:v>
                </c:pt>
                <c:pt idx="439">
                  <c:v>44097</c:v>
                </c:pt>
                <c:pt idx="440">
                  <c:v>44098</c:v>
                </c:pt>
                <c:pt idx="441">
                  <c:v>44099</c:v>
                </c:pt>
                <c:pt idx="442">
                  <c:v>44102</c:v>
                </c:pt>
                <c:pt idx="443">
                  <c:v>44103</c:v>
                </c:pt>
                <c:pt idx="444">
                  <c:v>44104</c:v>
                </c:pt>
                <c:pt idx="445">
                  <c:v>44105</c:v>
                </c:pt>
                <c:pt idx="446">
                  <c:v>44106</c:v>
                </c:pt>
                <c:pt idx="447">
                  <c:v>44109</c:v>
                </c:pt>
                <c:pt idx="448">
                  <c:v>44110</c:v>
                </c:pt>
                <c:pt idx="449">
                  <c:v>44111</c:v>
                </c:pt>
                <c:pt idx="450">
                  <c:v>44112</c:v>
                </c:pt>
                <c:pt idx="451">
                  <c:v>44113</c:v>
                </c:pt>
                <c:pt idx="452">
                  <c:v>44116</c:v>
                </c:pt>
                <c:pt idx="453">
                  <c:v>44117</c:v>
                </c:pt>
                <c:pt idx="454">
                  <c:v>44118</c:v>
                </c:pt>
                <c:pt idx="455">
                  <c:v>44119</c:v>
                </c:pt>
                <c:pt idx="456">
                  <c:v>44120</c:v>
                </c:pt>
                <c:pt idx="457">
                  <c:v>44123</c:v>
                </c:pt>
                <c:pt idx="458">
                  <c:v>44124</c:v>
                </c:pt>
                <c:pt idx="459">
                  <c:v>44125</c:v>
                </c:pt>
                <c:pt idx="460">
                  <c:v>44126</c:v>
                </c:pt>
                <c:pt idx="461">
                  <c:v>44127</c:v>
                </c:pt>
                <c:pt idx="462">
                  <c:v>44130</c:v>
                </c:pt>
                <c:pt idx="463">
                  <c:v>44131</c:v>
                </c:pt>
                <c:pt idx="464">
                  <c:v>44132</c:v>
                </c:pt>
                <c:pt idx="465">
                  <c:v>44133</c:v>
                </c:pt>
                <c:pt idx="466">
                  <c:v>44134</c:v>
                </c:pt>
                <c:pt idx="467">
                  <c:v>44137</c:v>
                </c:pt>
                <c:pt idx="468">
                  <c:v>44138</c:v>
                </c:pt>
                <c:pt idx="469">
                  <c:v>44139</c:v>
                </c:pt>
                <c:pt idx="470">
                  <c:v>44140</c:v>
                </c:pt>
                <c:pt idx="471">
                  <c:v>44141</c:v>
                </c:pt>
                <c:pt idx="472">
                  <c:v>44144</c:v>
                </c:pt>
                <c:pt idx="473">
                  <c:v>44145</c:v>
                </c:pt>
                <c:pt idx="474">
                  <c:v>44146</c:v>
                </c:pt>
                <c:pt idx="475">
                  <c:v>44147</c:v>
                </c:pt>
                <c:pt idx="476">
                  <c:v>44148</c:v>
                </c:pt>
                <c:pt idx="477">
                  <c:v>44151</c:v>
                </c:pt>
                <c:pt idx="478">
                  <c:v>44152</c:v>
                </c:pt>
                <c:pt idx="479">
                  <c:v>44153</c:v>
                </c:pt>
                <c:pt idx="480">
                  <c:v>44154</c:v>
                </c:pt>
                <c:pt idx="481">
                  <c:v>44155</c:v>
                </c:pt>
                <c:pt idx="482">
                  <c:v>44158</c:v>
                </c:pt>
                <c:pt idx="483">
                  <c:v>44159</c:v>
                </c:pt>
                <c:pt idx="484">
                  <c:v>44160</c:v>
                </c:pt>
                <c:pt idx="485">
                  <c:v>44161</c:v>
                </c:pt>
                <c:pt idx="486">
                  <c:v>44162</c:v>
                </c:pt>
                <c:pt idx="487">
                  <c:v>44165</c:v>
                </c:pt>
                <c:pt idx="488">
                  <c:v>44166</c:v>
                </c:pt>
                <c:pt idx="489">
                  <c:v>44167</c:v>
                </c:pt>
                <c:pt idx="490">
                  <c:v>44168</c:v>
                </c:pt>
                <c:pt idx="491">
                  <c:v>44169</c:v>
                </c:pt>
                <c:pt idx="492">
                  <c:v>44172</c:v>
                </c:pt>
                <c:pt idx="493">
                  <c:v>44173</c:v>
                </c:pt>
                <c:pt idx="494">
                  <c:v>44174</c:v>
                </c:pt>
                <c:pt idx="495">
                  <c:v>44175</c:v>
                </c:pt>
                <c:pt idx="496">
                  <c:v>44176</c:v>
                </c:pt>
                <c:pt idx="497">
                  <c:v>44179</c:v>
                </c:pt>
                <c:pt idx="498">
                  <c:v>44180</c:v>
                </c:pt>
                <c:pt idx="499">
                  <c:v>44181</c:v>
                </c:pt>
                <c:pt idx="500">
                  <c:v>44182</c:v>
                </c:pt>
                <c:pt idx="501">
                  <c:v>44183</c:v>
                </c:pt>
                <c:pt idx="502">
                  <c:v>44186</c:v>
                </c:pt>
                <c:pt idx="503">
                  <c:v>44187</c:v>
                </c:pt>
                <c:pt idx="504">
                  <c:v>44188</c:v>
                </c:pt>
                <c:pt idx="505">
                  <c:v>44189</c:v>
                </c:pt>
                <c:pt idx="506">
                  <c:v>44190</c:v>
                </c:pt>
                <c:pt idx="507">
                  <c:v>44193</c:v>
                </c:pt>
                <c:pt idx="508">
                  <c:v>44194</c:v>
                </c:pt>
                <c:pt idx="509">
                  <c:v>44195</c:v>
                </c:pt>
                <c:pt idx="510">
                  <c:v>44200</c:v>
                </c:pt>
                <c:pt idx="511">
                  <c:v>44201</c:v>
                </c:pt>
                <c:pt idx="512">
                  <c:v>44202</c:v>
                </c:pt>
                <c:pt idx="513">
                  <c:v>44203</c:v>
                </c:pt>
                <c:pt idx="514">
                  <c:v>44204</c:v>
                </c:pt>
                <c:pt idx="515">
                  <c:v>44207</c:v>
                </c:pt>
                <c:pt idx="516">
                  <c:v>44208</c:v>
                </c:pt>
                <c:pt idx="517">
                  <c:v>44209</c:v>
                </c:pt>
                <c:pt idx="518">
                  <c:v>44210</c:v>
                </c:pt>
                <c:pt idx="519">
                  <c:v>44211</c:v>
                </c:pt>
                <c:pt idx="520">
                  <c:v>44214</c:v>
                </c:pt>
                <c:pt idx="521">
                  <c:v>44215</c:v>
                </c:pt>
                <c:pt idx="522">
                  <c:v>44216</c:v>
                </c:pt>
                <c:pt idx="523">
                  <c:v>44217</c:v>
                </c:pt>
                <c:pt idx="524">
                  <c:v>44218</c:v>
                </c:pt>
                <c:pt idx="525">
                  <c:v>44221</c:v>
                </c:pt>
                <c:pt idx="526">
                  <c:v>44222</c:v>
                </c:pt>
                <c:pt idx="527">
                  <c:v>44223</c:v>
                </c:pt>
                <c:pt idx="528">
                  <c:v>44224</c:v>
                </c:pt>
                <c:pt idx="529">
                  <c:v>44225</c:v>
                </c:pt>
                <c:pt idx="530">
                  <c:v>44228</c:v>
                </c:pt>
                <c:pt idx="531">
                  <c:v>44229</c:v>
                </c:pt>
                <c:pt idx="532">
                  <c:v>44230</c:v>
                </c:pt>
                <c:pt idx="533">
                  <c:v>44231</c:v>
                </c:pt>
                <c:pt idx="534">
                  <c:v>44232</c:v>
                </c:pt>
                <c:pt idx="535">
                  <c:v>44235</c:v>
                </c:pt>
                <c:pt idx="536">
                  <c:v>44236</c:v>
                </c:pt>
                <c:pt idx="537">
                  <c:v>44237</c:v>
                </c:pt>
                <c:pt idx="538">
                  <c:v>44238</c:v>
                </c:pt>
                <c:pt idx="539">
                  <c:v>44239</c:v>
                </c:pt>
                <c:pt idx="540">
                  <c:v>44242</c:v>
                </c:pt>
                <c:pt idx="541">
                  <c:v>44243</c:v>
                </c:pt>
                <c:pt idx="542">
                  <c:v>44244</c:v>
                </c:pt>
                <c:pt idx="543">
                  <c:v>44245</c:v>
                </c:pt>
                <c:pt idx="544">
                  <c:v>44246</c:v>
                </c:pt>
                <c:pt idx="545">
                  <c:v>44249</c:v>
                </c:pt>
                <c:pt idx="546">
                  <c:v>44250</c:v>
                </c:pt>
                <c:pt idx="547">
                  <c:v>44251</c:v>
                </c:pt>
                <c:pt idx="548">
                  <c:v>44252</c:v>
                </c:pt>
                <c:pt idx="549">
                  <c:v>44253</c:v>
                </c:pt>
                <c:pt idx="550">
                  <c:v>44256</c:v>
                </c:pt>
                <c:pt idx="551">
                  <c:v>44257</c:v>
                </c:pt>
                <c:pt idx="552">
                  <c:v>44258</c:v>
                </c:pt>
                <c:pt idx="553">
                  <c:v>44259</c:v>
                </c:pt>
                <c:pt idx="554">
                  <c:v>44260</c:v>
                </c:pt>
                <c:pt idx="555">
                  <c:v>44263</c:v>
                </c:pt>
                <c:pt idx="556">
                  <c:v>44264</c:v>
                </c:pt>
                <c:pt idx="557">
                  <c:v>44265</c:v>
                </c:pt>
                <c:pt idx="558">
                  <c:v>44266</c:v>
                </c:pt>
                <c:pt idx="559">
                  <c:v>44263</c:v>
                </c:pt>
                <c:pt idx="560">
                  <c:v>44264</c:v>
                </c:pt>
                <c:pt idx="561">
                  <c:v>44265</c:v>
                </c:pt>
                <c:pt idx="562">
                  <c:v>44266</c:v>
                </c:pt>
                <c:pt idx="563">
                  <c:v>44267</c:v>
                </c:pt>
                <c:pt idx="564">
                  <c:v>44270</c:v>
                </c:pt>
                <c:pt idx="565">
                  <c:v>44271</c:v>
                </c:pt>
                <c:pt idx="566">
                  <c:v>44272</c:v>
                </c:pt>
                <c:pt idx="567">
                  <c:v>44273</c:v>
                </c:pt>
                <c:pt idx="568">
                  <c:v>44274</c:v>
                </c:pt>
                <c:pt idx="569">
                  <c:v>44277</c:v>
                </c:pt>
                <c:pt idx="570">
                  <c:v>44278</c:v>
                </c:pt>
                <c:pt idx="571">
                  <c:v>44279</c:v>
                </c:pt>
                <c:pt idx="572">
                  <c:v>44280</c:v>
                </c:pt>
                <c:pt idx="573">
                  <c:v>44281</c:v>
                </c:pt>
                <c:pt idx="574">
                  <c:v>44284</c:v>
                </c:pt>
                <c:pt idx="575">
                  <c:v>44285</c:v>
                </c:pt>
                <c:pt idx="576">
                  <c:v>44286</c:v>
                </c:pt>
                <c:pt idx="577">
                  <c:v>44287</c:v>
                </c:pt>
                <c:pt idx="578">
                  <c:v>44288</c:v>
                </c:pt>
                <c:pt idx="579">
                  <c:v>44292</c:v>
                </c:pt>
                <c:pt idx="580">
                  <c:v>44293</c:v>
                </c:pt>
                <c:pt idx="581">
                  <c:v>44294</c:v>
                </c:pt>
                <c:pt idx="582">
                  <c:v>44295</c:v>
                </c:pt>
                <c:pt idx="583">
                  <c:v>44298</c:v>
                </c:pt>
                <c:pt idx="584">
                  <c:v>44299</c:v>
                </c:pt>
                <c:pt idx="585">
                  <c:v>44300</c:v>
                </c:pt>
                <c:pt idx="586">
                  <c:v>44301</c:v>
                </c:pt>
                <c:pt idx="587">
                  <c:v>44302</c:v>
                </c:pt>
                <c:pt idx="588">
                  <c:v>44305</c:v>
                </c:pt>
                <c:pt idx="589">
                  <c:v>44306</c:v>
                </c:pt>
                <c:pt idx="590">
                  <c:v>44307</c:v>
                </c:pt>
                <c:pt idx="591">
                  <c:v>44308</c:v>
                </c:pt>
                <c:pt idx="592">
                  <c:v>44309</c:v>
                </c:pt>
                <c:pt idx="593">
                  <c:v>44312</c:v>
                </c:pt>
                <c:pt idx="594">
                  <c:v>44313</c:v>
                </c:pt>
                <c:pt idx="595">
                  <c:v>44314</c:v>
                </c:pt>
                <c:pt idx="596">
                  <c:v>44315</c:v>
                </c:pt>
                <c:pt idx="597">
                  <c:v>44316</c:v>
                </c:pt>
                <c:pt idx="598">
                  <c:v>44319</c:v>
                </c:pt>
                <c:pt idx="599">
                  <c:v>44320</c:v>
                </c:pt>
                <c:pt idx="600">
                  <c:v>44321</c:v>
                </c:pt>
                <c:pt idx="601">
                  <c:v>44322</c:v>
                </c:pt>
                <c:pt idx="602">
                  <c:v>44323</c:v>
                </c:pt>
                <c:pt idx="603">
                  <c:v>44326</c:v>
                </c:pt>
                <c:pt idx="604">
                  <c:v>44327</c:v>
                </c:pt>
                <c:pt idx="605">
                  <c:v>44328</c:v>
                </c:pt>
                <c:pt idx="606">
                  <c:v>44329</c:v>
                </c:pt>
                <c:pt idx="607">
                  <c:v>44330</c:v>
                </c:pt>
                <c:pt idx="608">
                  <c:v>44333</c:v>
                </c:pt>
                <c:pt idx="609">
                  <c:v>44334</c:v>
                </c:pt>
                <c:pt idx="610">
                  <c:v>44335</c:v>
                </c:pt>
                <c:pt idx="611">
                  <c:v>44336</c:v>
                </c:pt>
                <c:pt idx="612">
                  <c:v>44337</c:v>
                </c:pt>
                <c:pt idx="613">
                  <c:v>44340</c:v>
                </c:pt>
                <c:pt idx="614">
                  <c:v>44341</c:v>
                </c:pt>
                <c:pt idx="615">
                  <c:v>44342</c:v>
                </c:pt>
                <c:pt idx="616">
                  <c:v>44343</c:v>
                </c:pt>
                <c:pt idx="617">
                  <c:v>44344</c:v>
                </c:pt>
                <c:pt idx="618">
                  <c:v>44347</c:v>
                </c:pt>
                <c:pt idx="619">
                  <c:v>44348</c:v>
                </c:pt>
                <c:pt idx="620">
                  <c:v>44349</c:v>
                </c:pt>
                <c:pt idx="621">
                  <c:v>44350</c:v>
                </c:pt>
                <c:pt idx="622">
                  <c:v>44351</c:v>
                </c:pt>
                <c:pt idx="623">
                  <c:v>44354</c:v>
                </c:pt>
                <c:pt idx="624">
                  <c:v>44355</c:v>
                </c:pt>
                <c:pt idx="625">
                  <c:v>44356</c:v>
                </c:pt>
                <c:pt idx="626">
                  <c:v>44357</c:v>
                </c:pt>
                <c:pt idx="627">
                  <c:v>44358</c:v>
                </c:pt>
                <c:pt idx="628">
                  <c:v>44361</c:v>
                </c:pt>
                <c:pt idx="629">
                  <c:v>44362</c:v>
                </c:pt>
                <c:pt idx="630">
                  <c:v>44363</c:v>
                </c:pt>
                <c:pt idx="631">
                  <c:v>44364</c:v>
                </c:pt>
                <c:pt idx="632">
                  <c:v>44365</c:v>
                </c:pt>
                <c:pt idx="633">
                  <c:v>44368</c:v>
                </c:pt>
                <c:pt idx="634">
                  <c:v>44369</c:v>
                </c:pt>
                <c:pt idx="635">
                  <c:v>44370</c:v>
                </c:pt>
                <c:pt idx="636">
                  <c:v>44371</c:v>
                </c:pt>
                <c:pt idx="637">
                  <c:v>44372</c:v>
                </c:pt>
                <c:pt idx="638">
                  <c:v>44375</c:v>
                </c:pt>
                <c:pt idx="639">
                  <c:v>44376</c:v>
                </c:pt>
                <c:pt idx="640">
                  <c:v>44377</c:v>
                </c:pt>
                <c:pt idx="641">
                  <c:v>44378</c:v>
                </c:pt>
                <c:pt idx="642">
                  <c:v>44379</c:v>
                </c:pt>
                <c:pt idx="643">
                  <c:v>44382</c:v>
                </c:pt>
                <c:pt idx="644">
                  <c:v>44383</c:v>
                </c:pt>
                <c:pt idx="645">
                  <c:v>44384</c:v>
                </c:pt>
                <c:pt idx="646">
                  <c:v>44385</c:v>
                </c:pt>
                <c:pt idx="647">
                  <c:v>44386</c:v>
                </c:pt>
                <c:pt idx="648">
                  <c:v>44389</c:v>
                </c:pt>
                <c:pt idx="649">
                  <c:v>44390</c:v>
                </c:pt>
                <c:pt idx="650">
                  <c:v>44391</c:v>
                </c:pt>
                <c:pt idx="651">
                  <c:v>44392</c:v>
                </c:pt>
                <c:pt idx="652">
                  <c:v>44393</c:v>
                </c:pt>
                <c:pt idx="653">
                  <c:v>44396</c:v>
                </c:pt>
                <c:pt idx="654">
                  <c:v>44397</c:v>
                </c:pt>
                <c:pt idx="655">
                  <c:v>44398</c:v>
                </c:pt>
                <c:pt idx="656">
                  <c:v>44399</c:v>
                </c:pt>
                <c:pt idx="657">
                  <c:v>44400</c:v>
                </c:pt>
                <c:pt idx="658">
                  <c:v>44403</c:v>
                </c:pt>
                <c:pt idx="659">
                  <c:v>44404</c:v>
                </c:pt>
                <c:pt idx="660">
                  <c:v>44405</c:v>
                </c:pt>
                <c:pt idx="661">
                  <c:v>44406</c:v>
                </c:pt>
                <c:pt idx="662">
                  <c:v>44407</c:v>
                </c:pt>
                <c:pt idx="663">
                  <c:v>44410</c:v>
                </c:pt>
                <c:pt idx="664">
                  <c:v>44411</c:v>
                </c:pt>
                <c:pt idx="665">
                  <c:v>44412</c:v>
                </c:pt>
                <c:pt idx="666">
                  <c:v>44413</c:v>
                </c:pt>
                <c:pt idx="667">
                  <c:v>44414</c:v>
                </c:pt>
                <c:pt idx="668">
                  <c:v>44417</c:v>
                </c:pt>
                <c:pt idx="669">
                  <c:v>44418</c:v>
                </c:pt>
                <c:pt idx="670">
                  <c:v>44419</c:v>
                </c:pt>
                <c:pt idx="671">
                  <c:v>44420</c:v>
                </c:pt>
                <c:pt idx="672">
                  <c:v>44421</c:v>
                </c:pt>
                <c:pt idx="673">
                  <c:v>44424</c:v>
                </c:pt>
                <c:pt idx="674">
                  <c:v>44425</c:v>
                </c:pt>
                <c:pt idx="675">
                  <c:v>44426</c:v>
                </c:pt>
                <c:pt idx="676">
                  <c:v>44427</c:v>
                </c:pt>
                <c:pt idx="677">
                  <c:v>44428</c:v>
                </c:pt>
                <c:pt idx="678">
                  <c:v>44431</c:v>
                </c:pt>
                <c:pt idx="679">
                  <c:v>44432</c:v>
                </c:pt>
                <c:pt idx="680">
                  <c:v>44433</c:v>
                </c:pt>
                <c:pt idx="681">
                  <c:v>44434</c:v>
                </c:pt>
                <c:pt idx="682">
                  <c:v>44435</c:v>
                </c:pt>
                <c:pt idx="683">
                  <c:v>44438</c:v>
                </c:pt>
                <c:pt idx="684">
                  <c:v>44439</c:v>
                </c:pt>
                <c:pt idx="685">
                  <c:v>44440</c:v>
                </c:pt>
                <c:pt idx="686">
                  <c:v>44441</c:v>
                </c:pt>
                <c:pt idx="687">
                  <c:v>44442</c:v>
                </c:pt>
                <c:pt idx="688">
                  <c:v>44445</c:v>
                </c:pt>
                <c:pt idx="689">
                  <c:v>44446</c:v>
                </c:pt>
                <c:pt idx="690">
                  <c:v>44447</c:v>
                </c:pt>
                <c:pt idx="691">
                  <c:v>44448</c:v>
                </c:pt>
                <c:pt idx="692">
                  <c:v>44449</c:v>
                </c:pt>
                <c:pt idx="693">
                  <c:v>44452</c:v>
                </c:pt>
                <c:pt idx="694">
                  <c:v>44453</c:v>
                </c:pt>
                <c:pt idx="695">
                  <c:v>44454</c:v>
                </c:pt>
                <c:pt idx="696">
                  <c:v>44455</c:v>
                </c:pt>
                <c:pt idx="697">
                  <c:v>44456</c:v>
                </c:pt>
                <c:pt idx="698">
                  <c:v>44459</c:v>
                </c:pt>
                <c:pt idx="699">
                  <c:v>44460</c:v>
                </c:pt>
                <c:pt idx="700">
                  <c:v>44461</c:v>
                </c:pt>
                <c:pt idx="701">
                  <c:v>44462</c:v>
                </c:pt>
                <c:pt idx="702">
                  <c:v>44463</c:v>
                </c:pt>
                <c:pt idx="703">
                  <c:v>44466</c:v>
                </c:pt>
                <c:pt idx="704">
                  <c:v>44467</c:v>
                </c:pt>
                <c:pt idx="705">
                  <c:v>44468</c:v>
                </c:pt>
                <c:pt idx="706">
                  <c:v>44469</c:v>
                </c:pt>
                <c:pt idx="707">
                  <c:v>44470</c:v>
                </c:pt>
                <c:pt idx="708">
                  <c:v>44473</c:v>
                </c:pt>
                <c:pt idx="709">
                  <c:v>44474</c:v>
                </c:pt>
                <c:pt idx="710">
                  <c:v>44475</c:v>
                </c:pt>
                <c:pt idx="711">
                  <c:v>44476</c:v>
                </c:pt>
                <c:pt idx="712">
                  <c:v>44477</c:v>
                </c:pt>
                <c:pt idx="713">
                  <c:v>44480</c:v>
                </c:pt>
                <c:pt idx="714">
                  <c:v>44481</c:v>
                </c:pt>
                <c:pt idx="715">
                  <c:v>44482</c:v>
                </c:pt>
                <c:pt idx="716">
                  <c:v>44483</c:v>
                </c:pt>
                <c:pt idx="717">
                  <c:v>44484</c:v>
                </c:pt>
                <c:pt idx="718">
                  <c:v>44487</c:v>
                </c:pt>
                <c:pt idx="719">
                  <c:v>44488</c:v>
                </c:pt>
                <c:pt idx="720">
                  <c:v>44489</c:v>
                </c:pt>
                <c:pt idx="721">
                  <c:v>44490</c:v>
                </c:pt>
                <c:pt idx="722">
                  <c:v>44491</c:v>
                </c:pt>
                <c:pt idx="723">
                  <c:v>44494</c:v>
                </c:pt>
                <c:pt idx="724">
                  <c:v>44495</c:v>
                </c:pt>
                <c:pt idx="725">
                  <c:v>44496</c:v>
                </c:pt>
                <c:pt idx="726">
                  <c:v>44497</c:v>
                </c:pt>
                <c:pt idx="727">
                  <c:v>44498</c:v>
                </c:pt>
                <c:pt idx="728">
                  <c:v>44501</c:v>
                </c:pt>
                <c:pt idx="729">
                  <c:v>44502</c:v>
                </c:pt>
                <c:pt idx="730">
                  <c:v>44503</c:v>
                </c:pt>
                <c:pt idx="731">
                  <c:v>44504</c:v>
                </c:pt>
                <c:pt idx="732">
                  <c:v>44505</c:v>
                </c:pt>
                <c:pt idx="733">
                  <c:v>44508</c:v>
                </c:pt>
                <c:pt idx="734">
                  <c:v>44509</c:v>
                </c:pt>
                <c:pt idx="735">
                  <c:v>44510</c:v>
                </c:pt>
                <c:pt idx="736">
                  <c:v>44511</c:v>
                </c:pt>
                <c:pt idx="737">
                  <c:v>44512</c:v>
                </c:pt>
                <c:pt idx="738">
                  <c:v>44515</c:v>
                </c:pt>
                <c:pt idx="739">
                  <c:v>44516</c:v>
                </c:pt>
                <c:pt idx="740">
                  <c:v>44517</c:v>
                </c:pt>
                <c:pt idx="741">
                  <c:v>44518</c:v>
                </c:pt>
                <c:pt idx="742">
                  <c:v>44519</c:v>
                </c:pt>
                <c:pt idx="743">
                  <c:v>44522</c:v>
                </c:pt>
                <c:pt idx="744">
                  <c:v>44523</c:v>
                </c:pt>
                <c:pt idx="745">
                  <c:v>44524</c:v>
                </c:pt>
                <c:pt idx="746">
                  <c:v>44525</c:v>
                </c:pt>
                <c:pt idx="747">
                  <c:v>44526</c:v>
                </c:pt>
                <c:pt idx="748">
                  <c:v>44529</c:v>
                </c:pt>
                <c:pt idx="749">
                  <c:v>44530</c:v>
                </c:pt>
                <c:pt idx="750">
                  <c:v>44531</c:v>
                </c:pt>
                <c:pt idx="751">
                  <c:v>44532</c:v>
                </c:pt>
                <c:pt idx="752">
                  <c:v>44533</c:v>
                </c:pt>
                <c:pt idx="753">
                  <c:v>44536</c:v>
                </c:pt>
                <c:pt idx="754">
                  <c:v>44537</c:v>
                </c:pt>
                <c:pt idx="755">
                  <c:v>44538</c:v>
                </c:pt>
                <c:pt idx="756">
                  <c:v>44539</c:v>
                </c:pt>
                <c:pt idx="757">
                  <c:v>44540</c:v>
                </c:pt>
                <c:pt idx="758">
                  <c:v>44543</c:v>
                </c:pt>
                <c:pt idx="759">
                  <c:v>44544</c:v>
                </c:pt>
                <c:pt idx="760">
                  <c:v>44545</c:v>
                </c:pt>
                <c:pt idx="761">
                  <c:v>44546</c:v>
                </c:pt>
                <c:pt idx="762">
                  <c:v>44547</c:v>
                </c:pt>
                <c:pt idx="763">
                  <c:v>44550</c:v>
                </c:pt>
                <c:pt idx="764">
                  <c:v>44551</c:v>
                </c:pt>
                <c:pt idx="765">
                  <c:v>44552</c:v>
                </c:pt>
                <c:pt idx="766">
                  <c:v>44553</c:v>
                </c:pt>
                <c:pt idx="767">
                  <c:v>44554</c:v>
                </c:pt>
                <c:pt idx="768">
                  <c:v>44557</c:v>
                </c:pt>
                <c:pt idx="769">
                  <c:v>44558</c:v>
                </c:pt>
                <c:pt idx="770">
                  <c:v>44559</c:v>
                </c:pt>
                <c:pt idx="771">
                  <c:v>44560</c:v>
                </c:pt>
                <c:pt idx="772">
                  <c:v>44561</c:v>
                </c:pt>
                <c:pt idx="773">
                  <c:v>44564</c:v>
                </c:pt>
                <c:pt idx="774">
                  <c:v>44565</c:v>
                </c:pt>
                <c:pt idx="775">
                  <c:v>44566</c:v>
                </c:pt>
                <c:pt idx="776">
                  <c:v>44567</c:v>
                </c:pt>
                <c:pt idx="777">
                  <c:v>44568</c:v>
                </c:pt>
                <c:pt idx="778">
                  <c:v>44571</c:v>
                </c:pt>
                <c:pt idx="779">
                  <c:v>44572</c:v>
                </c:pt>
                <c:pt idx="780">
                  <c:v>44573</c:v>
                </c:pt>
                <c:pt idx="781">
                  <c:v>44574</c:v>
                </c:pt>
                <c:pt idx="782">
                  <c:v>44575</c:v>
                </c:pt>
                <c:pt idx="783">
                  <c:v>44578</c:v>
                </c:pt>
                <c:pt idx="784">
                  <c:v>44579</c:v>
                </c:pt>
                <c:pt idx="785">
                  <c:v>44580</c:v>
                </c:pt>
                <c:pt idx="786">
                  <c:v>44581</c:v>
                </c:pt>
                <c:pt idx="787">
                  <c:v>44582</c:v>
                </c:pt>
                <c:pt idx="788">
                  <c:v>44585</c:v>
                </c:pt>
                <c:pt idx="789">
                  <c:v>44586</c:v>
                </c:pt>
                <c:pt idx="790">
                  <c:v>44587</c:v>
                </c:pt>
                <c:pt idx="791">
                  <c:v>44588</c:v>
                </c:pt>
                <c:pt idx="792">
                  <c:v>44589</c:v>
                </c:pt>
                <c:pt idx="793">
                  <c:v>44592</c:v>
                </c:pt>
                <c:pt idx="794">
                  <c:v>44593</c:v>
                </c:pt>
                <c:pt idx="795">
                  <c:v>44594</c:v>
                </c:pt>
                <c:pt idx="796">
                  <c:v>44595</c:v>
                </c:pt>
                <c:pt idx="797">
                  <c:v>44596</c:v>
                </c:pt>
                <c:pt idx="798">
                  <c:v>44599</c:v>
                </c:pt>
                <c:pt idx="799">
                  <c:v>44600</c:v>
                </c:pt>
                <c:pt idx="800">
                  <c:v>44601</c:v>
                </c:pt>
                <c:pt idx="801">
                  <c:v>44602</c:v>
                </c:pt>
                <c:pt idx="802">
                  <c:v>44603</c:v>
                </c:pt>
                <c:pt idx="803">
                  <c:v>44606</c:v>
                </c:pt>
                <c:pt idx="804">
                  <c:v>44607</c:v>
                </c:pt>
                <c:pt idx="805">
                  <c:v>44608</c:v>
                </c:pt>
                <c:pt idx="806">
                  <c:v>44609</c:v>
                </c:pt>
                <c:pt idx="807">
                  <c:v>44610</c:v>
                </c:pt>
                <c:pt idx="808">
                  <c:v>44613</c:v>
                </c:pt>
                <c:pt idx="809">
                  <c:v>44614</c:v>
                </c:pt>
                <c:pt idx="810">
                  <c:v>44615</c:v>
                </c:pt>
                <c:pt idx="811">
                  <c:v>44616</c:v>
                </c:pt>
                <c:pt idx="812">
                  <c:v>44617</c:v>
                </c:pt>
                <c:pt idx="813">
                  <c:v>44620</c:v>
                </c:pt>
                <c:pt idx="814">
                  <c:v>44621</c:v>
                </c:pt>
                <c:pt idx="815">
                  <c:v>44622</c:v>
                </c:pt>
                <c:pt idx="816">
                  <c:v>44623</c:v>
                </c:pt>
                <c:pt idx="817">
                  <c:v>44624</c:v>
                </c:pt>
                <c:pt idx="818">
                  <c:v>44627</c:v>
                </c:pt>
                <c:pt idx="819">
                  <c:v>44628</c:v>
                </c:pt>
                <c:pt idx="820">
                  <c:v>44629</c:v>
                </c:pt>
                <c:pt idx="821">
                  <c:v>44630</c:v>
                </c:pt>
                <c:pt idx="822">
                  <c:v>44631</c:v>
                </c:pt>
                <c:pt idx="823">
                  <c:v>44634</c:v>
                </c:pt>
                <c:pt idx="824">
                  <c:v>44635</c:v>
                </c:pt>
                <c:pt idx="825">
                  <c:v>44636</c:v>
                </c:pt>
                <c:pt idx="826">
                  <c:v>44637</c:v>
                </c:pt>
                <c:pt idx="827">
                  <c:v>44638</c:v>
                </c:pt>
                <c:pt idx="828">
                  <c:v>44641</c:v>
                </c:pt>
                <c:pt idx="829">
                  <c:v>44642</c:v>
                </c:pt>
                <c:pt idx="830">
                  <c:v>44643</c:v>
                </c:pt>
                <c:pt idx="831">
                  <c:v>44644</c:v>
                </c:pt>
                <c:pt idx="832">
                  <c:v>44645</c:v>
                </c:pt>
                <c:pt idx="833">
                  <c:v>44648</c:v>
                </c:pt>
                <c:pt idx="834">
                  <c:v>44649</c:v>
                </c:pt>
                <c:pt idx="835">
                  <c:v>44650</c:v>
                </c:pt>
                <c:pt idx="836">
                  <c:v>44651</c:v>
                </c:pt>
                <c:pt idx="837">
                  <c:v>44652</c:v>
                </c:pt>
                <c:pt idx="838">
                  <c:v>44655</c:v>
                </c:pt>
                <c:pt idx="839">
                  <c:v>44656</c:v>
                </c:pt>
                <c:pt idx="840">
                  <c:v>44657</c:v>
                </c:pt>
                <c:pt idx="841">
                  <c:v>44658</c:v>
                </c:pt>
                <c:pt idx="842">
                  <c:v>44659</c:v>
                </c:pt>
                <c:pt idx="843">
                  <c:v>44662</c:v>
                </c:pt>
                <c:pt idx="844">
                  <c:v>44663</c:v>
                </c:pt>
                <c:pt idx="845">
                  <c:v>44664</c:v>
                </c:pt>
                <c:pt idx="846">
                  <c:v>44665</c:v>
                </c:pt>
                <c:pt idx="847">
                  <c:v>44666</c:v>
                </c:pt>
                <c:pt idx="848">
                  <c:v>44670</c:v>
                </c:pt>
                <c:pt idx="849">
                  <c:v>44671</c:v>
                </c:pt>
                <c:pt idx="850">
                  <c:v>44672</c:v>
                </c:pt>
                <c:pt idx="851">
                  <c:v>44673</c:v>
                </c:pt>
                <c:pt idx="852">
                  <c:v>44676</c:v>
                </c:pt>
                <c:pt idx="853">
                  <c:v>44677</c:v>
                </c:pt>
                <c:pt idx="854">
                  <c:v>44678</c:v>
                </c:pt>
                <c:pt idx="855">
                  <c:v>44679</c:v>
                </c:pt>
                <c:pt idx="856">
                  <c:v>44680</c:v>
                </c:pt>
                <c:pt idx="857">
                  <c:v>44683</c:v>
                </c:pt>
                <c:pt idx="858">
                  <c:v>44684</c:v>
                </c:pt>
                <c:pt idx="859">
                  <c:v>44685</c:v>
                </c:pt>
                <c:pt idx="860">
                  <c:v>44686</c:v>
                </c:pt>
                <c:pt idx="861">
                  <c:v>44687</c:v>
                </c:pt>
                <c:pt idx="862">
                  <c:v>44690</c:v>
                </c:pt>
                <c:pt idx="863">
                  <c:v>44691</c:v>
                </c:pt>
                <c:pt idx="864">
                  <c:v>44692</c:v>
                </c:pt>
                <c:pt idx="865">
                  <c:v>44693</c:v>
                </c:pt>
                <c:pt idx="866">
                  <c:v>44694</c:v>
                </c:pt>
                <c:pt idx="867">
                  <c:v>44697</c:v>
                </c:pt>
                <c:pt idx="868">
                  <c:v>44698</c:v>
                </c:pt>
                <c:pt idx="869">
                  <c:v>44699</c:v>
                </c:pt>
                <c:pt idx="870">
                  <c:v>44700</c:v>
                </c:pt>
                <c:pt idx="871">
                  <c:v>44701</c:v>
                </c:pt>
                <c:pt idx="872">
                  <c:v>44704</c:v>
                </c:pt>
                <c:pt idx="873">
                  <c:v>44705</c:v>
                </c:pt>
                <c:pt idx="874">
                  <c:v>44706</c:v>
                </c:pt>
                <c:pt idx="875">
                  <c:v>44707</c:v>
                </c:pt>
                <c:pt idx="876">
                  <c:v>44708</c:v>
                </c:pt>
                <c:pt idx="877">
                  <c:v>44711</c:v>
                </c:pt>
                <c:pt idx="878">
                  <c:v>44712</c:v>
                </c:pt>
                <c:pt idx="879">
                  <c:v>44713</c:v>
                </c:pt>
                <c:pt idx="880">
                  <c:v>44714</c:v>
                </c:pt>
                <c:pt idx="881">
                  <c:v>44715</c:v>
                </c:pt>
                <c:pt idx="882">
                  <c:v>44718</c:v>
                </c:pt>
                <c:pt idx="883">
                  <c:v>44719</c:v>
                </c:pt>
                <c:pt idx="884">
                  <c:v>44720</c:v>
                </c:pt>
                <c:pt idx="885">
                  <c:v>44721</c:v>
                </c:pt>
                <c:pt idx="886">
                  <c:v>44722</c:v>
                </c:pt>
                <c:pt idx="887">
                  <c:v>44725</c:v>
                </c:pt>
                <c:pt idx="888">
                  <c:v>44726</c:v>
                </c:pt>
                <c:pt idx="889">
                  <c:v>44727</c:v>
                </c:pt>
                <c:pt idx="890">
                  <c:v>44728</c:v>
                </c:pt>
                <c:pt idx="891">
                  <c:v>44729</c:v>
                </c:pt>
                <c:pt idx="892">
                  <c:v>44732</c:v>
                </c:pt>
                <c:pt idx="893">
                  <c:v>44733</c:v>
                </c:pt>
                <c:pt idx="894">
                  <c:v>44734</c:v>
                </c:pt>
                <c:pt idx="895">
                  <c:v>44735</c:v>
                </c:pt>
                <c:pt idx="896">
                  <c:v>44736</c:v>
                </c:pt>
                <c:pt idx="897">
                  <c:v>44739</c:v>
                </c:pt>
                <c:pt idx="898">
                  <c:v>44740</c:v>
                </c:pt>
                <c:pt idx="899">
                  <c:v>44741</c:v>
                </c:pt>
                <c:pt idx="900">
                  <c:v>44742</c:v>
                </c:pt>
                <c:pt idx="901">
                  <c:v>44743</c:v>
                </c:pt>
                <c:pt idx="902">
                  <c:v>44746</c:v>
                </c:pt>
                <c:pt idx="903">
                  <c:v>44747</c:v>
                </c:pt>
                <c:pt idx="904">
                  <c:v>44748</c:v>
                </c:pt>
                <c:pt idx="905">
                  <c:v>44749</c:v>
                </c:pt>
                <c:pt idx="906">
                  <c:v>44750</c:v>
                </c:pt>
                <c:pt idx="907">
                  <c:v>44753</c:v>
                </c:pt>
                <c:pt idx="908">
                  <c:v>44754</c:v>
                </c:pt>
                <c:pt idx="909">
                  <c:v>44755</c:v>
                </c:pt>
                <c:pt idx="910">
                  <c:v>44756</c:v>
                </c:pt>
                <c:pt idx="911">
                  <c:v>44757</c:v>
                </c:pt>
                <c:pt idx="912">
                  <c:v>44760</c:v>
                </c:pt>
                <c:pt idx="913">
                  <c:v>44761</c:v>
                </c:pt>
                <c:pt idx="914">
                  <c:v>44762</c:v>
                </c:pt>
                <c:pt idx="915">
                  <c:v>44763</c:v>
                </c:pt>
                <c:pt idx="916">
                  <c:v>44764</c:v>
                </c:pt>
                <c:pt idx="917">
                  <c:v>44767</c:v>
                </c:pt>
                <c:pt idx="918">
                  <c:v>44768</c:v>
                </c:pt>
                <c:pt idx="919">
                  <c:v>44769</c:v>
                </c:pt>
                <c:pt idx="920">
                  <c:v>44770</c:v>
                </c:pt>
                <c:pt idx="921">
                  <c:v>44771</c:v>
                </c:pt>
                <c:pt idx="922">
                  <c:v>44774</c:v>
                </c:pt>
                <c:pt idx="923">
                  <c:v>44775</c:v>
                </c:pt>
                <c:pt idx="924">
                  <c:v>44776</c:v>
                </c:pt>
                <c:pt idx="925">
                  <c:v>44777</c:v>
                </c:pt>
                <c:pt idx="926">
                  <c:v>44778</c:v>
                </c:pt>
                <c:pt idx="927">
                  <c:v>44781</c:v>
                </c:pt>
                <c:pt idx="928">
                  <c:v>44782</c:v>
                </c:pt>
                <c:pt idx="929">
                  <c:v>44783</c:v>
                </c:pt>
                <c:pt idx="930">
                  <c:v>44784</c:v>
                </c:pt>
                <c:pt idx="931">
                  <c:v>44785</c:v>
                </c:pt>
                <c:pt idx="932">
                  <c:v>44788</c:v>
                </c:pt>
                <c:pt idx="933">
                  <c:v>44789</c:v>
                </c:pt>
                <c:pt idx="934">
                  <c:v>44790</c:v>
                </c:pt>
                <c:pt idx="935">
                  <c:v>44791</c:v>
                </c:pt>
                <c:pt idx="936">
                  <c:v>44792</c:v>
                </c:pt>
                <c:pt idx="937">
                  <c:v>44795</c:v>
                </c:pt>
                <c:pt idx="938">
                  <c:v>44789</c:v>
                </c:pt>
                <c:pt idx="939">
                  <c:v>44790</c:v>
                </c:pt>
                <c:pt idx="940">
                  <c:v>44791</c:v>
                </c:pt>
                <c:pt idx="941">
                  <c:v>44792</c:v>
                </c:pt>
                <c:pt idx="942">
                  <c:v>44795</c:v>
                </c:pt>
                <c:pt idx="943">
                  <c:v>44796</c:v>
                </c:pt>
                <c:pt idx="944">
                  <c:v>44797</c:v>
                </c:pt>
                <c:pt idx="945">
                  <c:v>44798</c:v>
                </c:pt>
                <c:pt idx="946">
                  <c:v>44799</c:v>
                </c:pt>
                <c:pt idx="947">
                  <c:v>44802</c:v>
                </c:pt>
                <c:pt idx="948">
                  <c:v>44803</c:v>
                </c:pt>
                <c:pt idx="949">
                  <c:v>44804</c:v>
                </c:pt>
                <c:pt idx="950">
                  <c:v>44805</c:v>
                </c:pt>
                <c:pt idx="951">
                  <c:v>44806</c:v>
                </c:pt>
                <c:pt idx="952">
                  <c:v>44809</c:v>
                </c:pt>
                <c:pt idx="953">
                  <c:v>44810</c:v>
                </c:pt>
                <c:pt idx="954">
                  <c:v>44811</c:v>
                </c:pt>
                <c:pt idx="955">
                  <c:v>44812</c:v>
                </c:pt>
                <c:pt idx="956">
                  <c:v>44813</c:v>
                </c:pt>
                <c:pt idx="957">
                  <c:v>44816</c:v>
                </c:pt>
                <c:pt idx="958">
                  <c:v>44817</c:v>
                </c:pt>
                <c:pt idx="959">
                  <c:v>44818</c:v>
                </c:pt>
                <c:pt idx="960">
                  <c:v>44819</c:v>
                </c:pt>
                <c:pt idx="961">
                  <c:v>44820</c:v>
                </c:pt>
                <c:pt idx="962">
                  <c:v>44823</c:v>
                </c:pt>
                <c:pt idx="963">
                  <c:v>44824</c:v>
                </c:pt>
                <c:pt idx="964">
                  <c:v>44825</c:v>
                </c:pt>
                <c:pt idx="965">
                  <c:v>44826</c:v>
                </c:pt>
                <c:pt idx="966">
                  <c:v>44827</c:v>
                </c:pt>
                <c:pt idx="967">
                  <c:v>44830</c:v>
                </c:pt>
                <c:pt idx="968">
                  <c:v>44831</c:v>
                </c:pt>
                <c:pt idx="969">
                  <c:v>44832</c:v>
                </c:pt>
                <c:pt idx="970">
                  <c:v>44833</c:v>
                </c:pt>
                <c:pt idx="971">
                  <c:v>44834</c:v>
                </c:pt>
                <c:pt idx="972">
                  <c:v>44837</c:v>
                </c:pt>
                <c:pt idx="973">
                  <c:v>44838</c:v>
                </c:pt>
                <c:pt idx="974">
                  <c:v>44839</c:v>
                </c:pt>
                <c:pt idx="975">
                  <c:v>44840</c:v>
                </c:pt>
                <c:pt idx="976">
                  <c:v>44841</c:v>
                </c:pt>
                <c:pt idx="977">
                  <c:v>44844</c:v>
                </c:pt>
                <c:pt idx="978">
                  <c:v>44845</c:v>
                </c:pt>
                <c:pt idx="979">
                  <c:v>44846</c:v>
                </c:pt>
                <c:pt idx="980">
                  <c:v>44847</c:v>
                </c:pt>
                <c:pt idx="981">
                  <c:v>44848</c:v>
                </c:pt>
                <c:pt idx="982">
                  <c:v>44851</c:v>
                </c:pt>
                <c:pt idx="983">
                  <c:v>44852</c:v>
                </c:pt>
                <c:pt idx="984">
                  <c:v>44853</c:v>
                </c:pt>
                <c:pt idx="985">
                  <c:v>44854</c:v>
                </c:pt>
                <c:pt idx="986">
                  <c:v>44855</c:v>
                </c:pt>
                <c:pt idx="987">
                  <c:v>44858</c:v>
                </c:pt>
                <c:pt idx="988">
                  <c:v>44859</c:v>
                </c:pt>
                <c:pt idx="989">
                  <c:v>44860</c:v>
                </c:pt>
                <c:pt idx="990">
                  <c:v>44861</c:v>
                </c:pt>
                <c:pt idx="991">
                  <c:v>44862</c:v>
                </c:pt>
                <c:pt idx="992">
                  <c:v>44865</c:v>
                </c:pt>
                <c:pt idx="993">
                  <c:v>44866</c:v>
                </c:pt>
                <c:pt idx="994">
                  <c:v>44867</c:v>
                </c:pt>
                <c:pt idx="995">
                  <c:v>44868</c:v>
                </c:pt>
                <c:pt idx="996">
                  <c:v>44869</c:v>
                </c:pt>
                <c:pt idx="997">
                  <c:v>44872</c:v>
                </c:pt>
                <c:pt idx="998">
                  <c:v>44873</c:v>
                </c:pt>
                <c:pt idx="999">
                  <c:v>44874</c:v>
                </c:pt>
                <c:pt idx="1000">
                  <c:v>44875</c:v>
                </c:pt>
                <c:pt idx="1001">
                  <c:v>44876</c:v>
                </c:pt>
                <c:pt idx="1002">
                  <c:v>44879</c:v>
                </c:pt>
                <c:pt idx="1003">
                  <c:v>44880</c:v>
                </c:pt>
                <c:pt idx="1004">
                  <c:v>44881</c:v>
                </c:pt>
                <c:pt idx="1005">
                  <c:v>44882</c:v>
                </c:pt>
                <c:pt idx="1006">
                  <c:v>44883</c:v>
                </c:pt>
                <c:pt idx="1007">
                  <c:v>44886</c:v>
                </c:pt>
                <c:pt idx="1008">
                  <c:v>44887</c:v>
                </c:pt>
                <c:pt idx="1009">
                  <c:v>44888</c:v>
                </c:pt>
                <c:pt idx="1010">
                  <c:v>44889</c:v>
                </c:pt>
                <c:pt idx="1011">
                  <c:v>44890</c:v>
                </c:pt>
                <c:pt idx="1012">
                  <c:v>44893</c:v>
                </c:pt>
                <c:pt idx="1013">
                  <c:v>44894</c:v>
                </c:pt>
                <c:pt idx="1014">
                  <c:v>44895</c:v>
                </c:pt>
                <c:pt idx="1015">
                  <c:v>44896</c:v>
                </c:pt>
                <c:pt idx="1016">
                  <c:v>44897</c:v>
                </c:pt>
                <c:pt idx="1017">
                  <c:v>44900</c:v>
                </c:pt>
                <c:pt idx="1018">
                  <c:v>44901</c:v>
                </c:pt>
                <c:pt idx="1019">
                  <c:v>44902</c:v>
                </c:pt>
                <c:pt idx="1020">
                  <c:v>44903</c:v>
                </c:pt>
                <c:pt idx="1021">
                  <c:v>44904</c:v>
                </c:pt>
                <c:pt idx="1022">
                  <c:v>44907</c:v>
                </c:pt>
                <c:pt idx="1023">
                  <c:v>44908</c:v>
                </c:pt>
                <c:pt idx="1024">
                  <c:v>44909</c:v>
                </c:pt>
                <c:pt idx="1025">
                  <c:v>44910</c:v>
                </c:pt>
                <c:pt idx="1026">
                  <c:v>44911</c:v>
                </c:pt>
                <c:pt idx="1027">
                  <c:v>44914</c:v>
                </c:pt>
                <c:pt idx="1028">
                  <c:v>44915</c:v>
                </c:pt>
                <c:pt idx="1029">
                  <c:v>44916</c:v>
                </c:pt>
                <c:pt idx="1030">
                  <c:v>44917</c:v>
                </c:pt>
                <c:pt idx="1031">
                  <c:v>44918</c:v>
                </c:pt>
                <c:pt idx="1032">
                  <c:v>44922</c:v>
                </c:pt>
                <c:pt idx="1033">
                  <c:v>44923</c:v>
                </c:pt>
                <c:pt idx="1034">
                  <c:v>44924</c:v>
                </c:pt>
                <c:pt idx="1035">
                  <c:v>44925</c:v>
                </c:pt>
                <c:pt idx="1036">
                  <c:v>44928</c:v>
                </c:pt>
                <c:pt idx="1037">
                  <c:v>44929</c:v>
                </c:pt>
                <c:pt idx="1038">
                  <c:v>44930</c:v>
                </c:pt>
                <c:pt idx="1039">
                  <c:v>44931</c:v>
                </c:pt>
                <c:pt idx="1040">
                  <c:v>44932</c:v>
                </c:pt>
                <c:pt idx="1041">
                  <c:v>44935</c:v>
                </c:pt>
                <c:pt idx="1042">
                  <c:v>44936</c:v>
                </c:pt>
                <c:pt idx="1043">
                  <c:v>44937</c:v>
                </c:pt>
                <c:pt idx="1044">
                  <c:v>44938</c:v>
                </c:pt>
                <c:pt idx="1045">
                  <c:v>44939</c:v>
                </c:pt>
                <c:pt idx="1046">
                  <c:v>44942</c:v>
                </c:pt>
                <c:pt idx="1047">
                  <c:v>44943</c:v>
                </c:pt>
                <c:pt idx="1048">
                  <c:v>44944</c:v>
                </c:pt>
                <c:pt idx="1049">
                  <c:v>44945</c:v>
                </c:pt>
                <c:pt idx="1050">
                  <c:v>44946</c:v>
                </c:pt>
                <c:pt idx="1051">
                  <c:v>44949</c:v>
                </c:pt>
                <c:pt idx="1052">
                  <c:v>44950</c:v>
                </c:pt>
                <c:pt idx="1053">
                  <c:v>44951</c:v>
                </c:pt>
                <c:pt idx="1054">
                  <c:v>44952</c:v>
                </c:pt>
                <c:pt idx="1055">
                  <c:v>44953</c:v>
                </c:pt>
                <c:pt idx="1056">
                  <c:v>44956</c:v>
                </c:pt>
                <c:pt idx="1057">
                  <c:v>44957</c:v>
                </c:pt>
                <c:pt idx="1058">
                  <c:v>44958</c:v>
                </c:pt>
                <c:pt idx="1059">
                  <c:v>44959</c:v>
                </c:pt>
                <c:pt idx="1060">
                  <c:v>44960</c:v>
                </c:pt>
                <c:pt idx="1061">
                  <c:v>44963</c:v>
                </c:pt>
                <c:pt idx="1062">
                  <c:v>44964</c:v>
                </c:pt>
                <c:pt idx="1063">
                  <c:v>44965</c:v>
                </c:pt>
                <c:pt idx="1064">
                  <c:v>44966</c:v>
                </c:pt>
                <c:pt idx="1065">
                  <c:v>44967</c:v>
                </c:pt>
                <c:pt idx="1066">
                  <c:v>44970</c:v>
                </c:pt>
                <c:pt idx="1067">
                  <c:v>44971</c:v>
                </c:pt>
                <c:pt idx="1068">
                  <c:v>44972</c:v>
                </c:pt>
                <c:pt idx="1069">
                  <c:v>44973</c:v>
                </c:pt>
                <c:pt idx="1070">
                  <c:v>44974</c:v>
                </c:pt>
                <c:pt idx="1071">
                  <c:v>44977</c:v>
                </c:pt>
                <c:pt idx="1072">
                  <c:v>44978</c:v>
                </c:pt>
                <c:pt idx="1073">
                  <c:v>44979</c:v>
                </c:pt>
                <c:pt idx="1074">
                  <c:v>44980</c:v>
                </c:pt>
                <c:pt idx="1075">
                  <c:v>44981</c:v>
                </c:pt>
                <c:pt idx="1076">
                  <c:v>44984</c:v>
                </c:pt>
                <c:pt idx="1077">
                  <c:v>44985</c:v>
                </c:pt>
                <c:pt idx="1078">
                  <c:v>44986</c:v>
                </c:pt>
                <c:pt idx="1079">
                  <c:v>44987</c:v>
                </c:pt>
                <c:pt idx="1080">
                  <c:v>44988</c:v>
                </c:pt>
                <c:pt idx="1081">
                  <c:v>44991</c:v>
                </c:pt>
                <c:pt idx="1082">
                  <c:v>44992</c:v>
                </c:pt>
                <c:pt idx="1083">
                  <c:v>44993</c:v>
                </c:pt>
                <c:pt idx="1084">
                  <c:v>44994</c:v>
                </c:pt>
                <c:pt idx="1085">
                  <c:v>44995</c:v>
                </c:pt>
                <c:pt idx="1086">
                  <c:v>44998</c:v>
                </c:pt>
                <c:pt idx="1087">
                  <c:v>44999</c:v>
                </c:pt>
                <c:pt idx="1088">
                  <c:v>45000</c:v>
                </c:pt>
                <c:pt idx="1089">
                  <c:v>45001</c:v>
                </c:pt>
                <c:pt idx="1090">
                  <c:v>45002</c:v>
                </c:pt>
                <c:pt idx="1091">
                  <c:v>45005</c:v>
                </c:pt>
                <c:pt idx="1092">
                  <c:v>45006</c:v>
                </c:pt>
                <c:pt idx="1093">
                  <c:v>45007</c:v>
                </c:pt>
                <c:pt idx="1094">
                  <c:v>45008</c:v>
                </c:pt>
                <c:pt idx="1095">
                  <c:v>45009</c:v>
                </c:pt>
                <c:pt idx="1096">
                  <c:v>45012</c:v>
                </c:pt>
                <c:pt idx="1097">
                  <c:v>45013</c:v>
                </c:pt>
                <c:pt idx="1098">
                  <c:v>45014</c:v>
                </c:pt>
                <c:pt idx="1099">
                  <c:v>45015</c:v>
                </c:pt>
                <c:pt idx="1100">
                  <c:v>45016</c:v>
                </c:pt>
                <c:pt idx="1101">
                  <c:v>45019</c:v>
                </c:pt>
                <c:pt idx="1102">
                  <c:v>45020</c:v>
                </c:pt>
                <c:pt idx="1103">
                  <c:v>45021</c:v>
                </c:pt>
                <c:pt idx="1104">
                  <c:v>45022</c:v>
                </c:pt>
                <c:pt idx="1105">
                  <c:v>45027</c:v>
                </c:pt>
                <c:pt idx="1106">
                  <c:v>45028</c:v>
                </c:pt>
                <c:pt idx="1107">
                  <c:v>45029</c:v>
                </c:pt>
                <c:pt idx="1108">
                  <c:v>45030</c:v>
                </c:pt>
                <c:pt idx="1109">
                  <c:v>45033</c:v>
                </c:pt>
                <c:pt idx="1110">
                  <c:v>45034</c:v>
                </c:pt>
                <c:pt idx="1111">
                  <c:v>45035</c:v>
                </c:pt>
                <c:pt idx="1112">
                  <c:v>45036</c:v>
                </c:pt>
                <c:pt idx="1113">
                  <c:v>45037</c:v>
                </c:pt>
                <c:pt idx="1114">
                  <c:v>45040</c:v>
                </c:pt>
                <c:pt idx="1115">
                  <c:v>45041</c:v>
                </c:pt>
                <c:pt idx="1116">
                  <c:v>45042</c:v>
                </c:pt>
                <c:pt idx="1117">
                  <c:v>45043</c:v>
                </c:pt>
                <c:pt idx="1118">
                  <c:v>45044</c:v>
                </c:pt>
                <c:pt idx="1119">
                  <c:v>45048</c:v>
                </c:pt>
                <c:pt idx="1120">
                  <c:v>45049</c:v>
                </c:pt>
                <c:pt idx="1121">
                  <c:v>45050</c:v>
                </c:pt>
                <c:pt idx="1122">
                  <c:v>45051</c:v>
                </c:pt>
                <c:pt idx="1123">
                  <c:v>45054</c:v>
                </c:pt>
                <c:pt idx="1124">
                  <c:v>45055</c:v>
                </c:pt>
                <c:pt idx="1125">
                  <c:v>45056</c:v>
                </c:pt>
                <c:pt idx="1126">
                  <c:v>45057</c:v>
                </c:pt>
                <c:pt idx="1127">
                  <c:v>45058</c:v>
                </c:pt>
                <c:pt idx="1128">
                  <c:v>45061</c:v>
                </c:pt>
                <c:pt idx="1129">
                  <c:v>45062</c:v>
                </c:pt>
                <c:pt idx="1130">
                  <c:v>45063</c:v>
                </c:pt>
                <c:pt idx="1131">
                  <c:v>45064</c:v>
                </c:pt>
                <c:pt idx="1132">
                  <c:v>45065</c:v>
                </c:pt>
                <c:pt idx="1133">
                  <c:v>45068</c:v>
                </c:pt>
                <c:pt idx="1134">
                  <c:v>45069</c:v>
                </c:pt>
                <c:pt idx="1135">
                  <c:v>45070</c:v>
                </c:pt>
                <c:pt idx="1136">
                  <c:v>45071</c:v>
                </c:pt>
                <c:pt idx="1137">
                  <c:v>45072</c:v>
                </c:pt>
                <c:pt idx="1138">
                  <c:v>45075</c:v>
                </c:pt>
                <c:pt idx="1139">
                  <c:v>45076</c:v>
                </c:pt>
                <c:pt idx="1140">
                  <c:v>45077</c:v>
                </c:pt>
                <c:pt idx="1141">
                  <c:v>45078</c:v>
                </c:pt>
                <c:pt idx="1142">
                  <c:v>45079</c:v>
                </c:pt>
                <c:pt idx="1143">
                  <c:v>45082</c:v>
                </c:pt>
                <c:pt idx="1144">
                  <c:v>45083</c:v>
                </c:pt>
                <c:pt idx="1145">
                  <c:v>45084</c:v>
                </c:pt>
                <c:pt idx="1146">
                  <c:v>45085</c:v>
                </c:pt>
                <c:pt idx="1147">
                  <c:v>45086</c:v>
                </c:pt>
                <c:pt idx="1148">
                  <c:v>45089</c:v>
                </c:pt>
                <c:pt idx="1149">
                  <c:v>45090</c:v>
                </c:pt>
                <c:pt idx="1150">
                  <c:v>45091</c:v>
                </c:pt>
                <c:pt idx="1151">
                  <c:v>45092</c:v>
                </c:pt>
                <c:pt idx="1152">
                  <c:v>45093</c:v>
                </c:pt>
                <c:pt idx="1153">
                  <c:v>45096</c:v>
                </c:pt>
                <c:pt idx="1154">
                  <c:v>45097</c:v>
                </c:pt>
                <c:pt idx="1155">
                  <c:v>45098</c:v>
                </c:pt>
                <c:pt idx="1156">
                  <c:v>45099</c:v>
                </c:pt>
                <c:pt idx="1157">
                  <c:v>45100</c:v>
                </c:pt>
                <c:pt idx="1158">
                  <c:v>45103</c:v>
                </c:pt>
                <c:pt idx="1159">
                  <c:v>45104</c:v>
                </c:pt>
                <c:pt idx="1160">
                  <c:v>45105</c:v>
                </c:pt>
                <c:pt idx="1161">
                  <c:v>45106</c:v>
                </c:pt>
                <c:pt idx="1162">
                  <c:v>45107</c:v>
                </c:pt>
                <c:pt idx="1163">
                  <c:v>45110</c:v>
                </c:pt>
                <c:pt idx="1164">
                  <c:v>45111</c:v>
                </c:pt>
                <c:pt idx="1165">
                  <c:v>45112</c:v>
                </c:pt>
                <c:pt idx="1166">
                  <c:v>45113</c:v>
                </c:pt>
                <c:pt idx="1167">
                  <c:v>45114</c:v>
                </c:pt>
                <c:pt idx="1168">
                  <c:v>45117</c:v>
                </c:pt>
                <c:pt idx="1169">
                  <c:v>45118</c:v>
                </c:pt>
                <c:pt idx="1170">
                  <c:v>45119</c:v>
                </c:pt>
                <c:pt idx="1171">
                  <c:v>45120</c:v>
                </c:pt>
                <c:pt idx="1172">
                  <c:v>45121</c:v>
                </c:pt>
                <c:pt idx="1173">
                  <c:v>45124</c:v>
                </c:pt>
                <c:pt idx="1174">
                  <c:v>45125</c:v>
                </c:pt>
                <c:pt idx="1175">
                  <c:v>45126</c:v>
                </c:pt>
                <c:pt idx="1176">
                  <c:v>45127</c:v>
                </c:pt>
                <c:pt idx="1177">
                  <c:v>45128</c:v>
                </c:pt>
                <c:pt idx="1178">
                  <c:v>45131</c:v>
                </c:pt>
                <c:pt idx="1179">
                  <c:v>45132</c:v>
                </c:pt>
                <c:pt idx="1180">
                  <c:v>45133</c:v>
                </c:pt>
                <c:pt idx="1181">
                  <c:v>45134</c:v>
                </c:pt>
                <c:pt idx="1182">
                  <c:v>45135</c:v>
                </c:pt>
                <c:pt idx="1183">
                  <c:v>45138</c:v>
                </c:pt>
                <c:pt idx="1184">
                  <c:v>45139</c:v>
                </c:pt>
                <c:pt idx="1185">
                  <c:v>45140</c:v>
                </c:pt>
                <c:pt idx="1186">
                  <c:v>45141</c:v>
                </c:pt>
                <c:pt idx="1187">
                  <c:v>45142</c:v>
                </c:pt>
                <c:pt idx="1188">
                  <c:v>45145</c:v>
                </c:pt>
                <c:pt idx="1189">
                  <c:v>45146</c:v>
                </c:pt>
                <c:pt idx="1190">
                  <c:v>45147</c:v>
                </c:pt>
                <c:pt idx="1191">
                  <c:v>45148</c:v>
                </c:pt>
                <c:pt idx="1192">
                  <c:v>45149</c:v>
                </c:pt>
                <c:pt idx="1193">
                  <c:v>45152</c:v>
                </c:pt>
                <c:pt idx="1194">
                  <c:v>45153</c:v>
                </c:pt>
                <c:pt idx="1195">
                  <c:v>45154</c:v>
                </c:pt>
                <c:pt idx="1196">
                  <c:v>45155</c:v>
                </c:pt>
                <c:pt idx="1197">
                  <c:v>45156</c:v>
                </c:pt>
                <c:pt idx="1198">
                  <c:v>45159</c:v>
                </c:pt>
                <c:pt idx="1199">
                  <c:v>45160</c:v>
                </c:pt>
                <c:pt idx="1200">
                  <c:v>45161</c:v>
                </c:pt>
                <c:pt idx="1201">
                  <c:v>45162</c:v>
                </c:pt>
                <c:pt idx="1202">
                  <c:v>45163</c:v>
                </c:pt>
                <c:pt idx="1203">
                  <c:v>45166</c:v>
                </c:pt>
                <c:pt idx="1204">
                  <c:v>45167</c:v>
                </c:pt>
                <c:pt idx="1205">
                  <c:v>45168</c:v>
                </c:pt>
                <c:pt idx="1206">
                  <c:v>45169</c:v>
                </c:pt>
                <c:pt idx="1207">
                  <c:v>45170</c:v>
                </c:pt>
                <c:pt idx="1208">
                  <c:v>45173</c:v>
                </c:pt>
                <c:pt idx="1209">
                  <c:v>45174</c:v>
                </c:pt>
                <c:pt idx="1210">
                  <c:v>45175</c:v>
                </c:pt>
                <c:pt idx="1211">
                  <c:v>45176</c:v>
                </c:pt>
                <c:pt idx="1212">
                  <c:v>45177</c:v>
                </c:pt>
                <c:pt idx="1213">
                  <c:v>45180</c:v>
                </c:pt>
                <c:pt idx="1214">
                  <c:v>45181</c:v>
                </c:pt>
                <c:pt idx="1215">
                  <c:v>45182</c:v>
                </c:pt>
                <c:pt idx="1216">
                  <c:v>45183</c:v>
                </c:pt>
                <c:pt idx="1217">
                  <c:v>45184</c:v>
                </c:pt>
                <c:pt idx="1218">
                  <c:v>45187</c:v>
                </c:pt>
                <c:pt idx="1219">
                  <c:v>45188</c:v>
                </c:pt>
                <c:pt idx="1220">
                  <c:v>45189</c:v>
                </c:pt>
                <c:pt idx="1221">
                  <c:v>45190</c:v>
                </c:pt>
                <c:pt idx="1222">
                  <c:v>45191</c:v>
                </c:pt>
                <c:pt idx="1223">
                  <c:v>45194</c:v>
                </c:pt>
                <c:pt idx="1224">
                  <c:v>45195</c:v>
                </c:pt>
              </c:numCache>
            </c:numRef>
          </c:cat>
          <c:val>
            <c:numRef>
              <c:f>Sheet1!$D$2:$D$1226</c:f>
              <c:numCache>
                <c:formatCode>0.000</c:formatCode>
                <c:ptCount val="1225"/>
                <c:pt idx="0">
                  <c:v>28.1</c:v>
                </c:pt>
                <c:pt idx="1">
                  <c:v>27.500000000000007</c:v>
                </c:pt>
                <c:pt idx="2">
                  <c:v>26.8</c:v>
                </c:pt>
                <c:pt idx="3">
                  <c:v>33.199999999999982</c:v>
                </c:pt>
                <c:pt idx="4">
                  <c:v>30.500000000000007</c:v>
                </c:pt>
                <c:pt idx="5">
                  <c:v>26.600000000000009</c:v>
                </c:pt>
                <c:pt idx="6">
                  <c:v>23.600000000000009</c:v>
                </c:pt>
                <c:pt idx="7">
                  <c:v>22.79999999999999</c:v>
                </c:pt>
                <c:pt idx="8">
                  <c:v>28.599999999999998</c:v>
                </c:pt>
                <c:pt idx="9">
                  <c:v>28.81</c:v>
                </c:pt>
                <c:pt idx="10">
                  <c:v>28.699999999999992</c:v>
                </c:pt>
                <c:pt idx="11">
                  <c:v>29.200000000000006</c:v>
                </c:pt>
                <c:pt idx="12">
                  <c:v>27.999999999999986</c:v>
                </c:pt>
                <c:pt idx="13">
                  <c:v>28.95</c:v>
                </c:pt>
                <c:pt idx="14">
                  <c:v>29.8</c:v>
                </c:pt>
                <c:pt idx="15">
                  <c:v>32.580000000000005</c:v>
                </c:pt>
                <c:pt idx="16">
                  <c:v>33.92</c:v>
                </c:pt>
                <c:pt idx="17">
                  <c:v>33.349999999999994</c:v>
                </c:pt>
                <c:pt idx="18">
                  <c:v>34.200000000000003</c:v>
                </c:pt>
                <c:pt idx="19">
                  <c:v>34.5</c:v>
                </c:pt>
                <c:pt idx="20">
                  <c:v>36.219999999999992</c:v>
                </c:pt>
                <c:pt idx="21">
                  <c:v>36.720000000000006</c:v>
                </c:pt>
                <c:pt idx="22">
                  <c:v>33.20000000000001</c:v>
                </c:pt>
                <c:pt idx="23">
                  <c:v>32.35</c:v>
                </c:pt>
                <c:pt idx="24">
                  <c:v>33.20000000000001</c:v>
                </c:pt>
                <c:pt idx="25">
                  <c:v>33.17</c:v>
                </c:pt>
                <c:pt idx="26">
                  <c:v>34.319999999999993</c:v>
                </c:pt>
                <c:pt idx="27">
                  <c:v>36.27000000000001</c:v>
                </c:pt>
                <c:pt idx="28">
                  <c:v>34.53</c:v>
                </c:pt>
                <c:pt idx="29">
                  <c:v>33.54</c:v>
                </c:pt>
                <c:pt idx="30">
                  <c:v>33.570000000000007</c:v>
                </c:pt>
                <c:pt idx="31">
                  <c:v>32.68</c:v>
                </c:pt>
                <c:pt idx="32">
                  <c:v>31.719999999999995</c:v>
                </c:pt>
                <c:pt idx="33">
                  <c:v>31.169999999999998</c:v>
                </c:pt>
                <c:pt idx="34">
                  <c:v>31.159999999999989</c:v>
                </c:pt>
                <c:pt idx="35">
                  <c:v>31.589999999999996</c:v>
                </c:pt>
                <c:pt idx="36">
                  <c:v>30.249999999999989</c:v>
                </c:pt>
                <c:pt idx="37">
                  <c:v>31.150000000000006</c:v>
                </c:pt>
                <c:pt idx="38">
                  <c:v>28.849999999999994</c:v>
                </c:pt>
                <c:pt idx="39">
                  <c:v>27.25</c:v>
                </c:pt>
                <c:pt idx="40">
                  <c:v>27.369999999999997</c:v>
                </c:pt>
                <c:pt idx="41">
                  <c:v>25.61999999999999</c:v>
                </c:pt>
                <c:pt idx="42">
                  <c:v>26.300000000000004</c:v>
                </c:pt>
                <c:pt idx="43">
                  <c:v>26.169999999999995</c:v>
                </c:pt>
                <c:pt idx="44">
                  <c:v>25.55</c:v>
                </c:pt>
                <c:pt idx="45">
                  <c:v>22.419999999999991</c:v>
                </c:pt>
                <c:pt idx="46">
                  <c:v>21.669999999999998</c:v>
                </c:pt>
                <c:pt idx="47">
                  <c:v>21.720000000000002</c:v>
                </c:pt>
                <c:pt idx="48">
                  <c:v>20.819999999999997</c:v>
                </c:pt>
                <c:pt idx="49">
                  <c:v>22.500000000000011</c:v>
                </c:pt>
                <c:pt idx="50">
                  <c:v>21.320000000000011</c:v>
                </c:pt>
                <c:pt idx="51">
                  <c:v>19.800000000000008</c:v>
                </c:pt>
                <c:pt idx="52">
                  <c:v>20.300000000000004</c:v>
                </c:pt>
                <c:pt idx="53">
                  <c:v>22.500000000000004</c:v>
                </c:pt>
                <c:pt idx="54">
                  <c:v>23.699999999999996</c:v>
                </c:pt>
                <c:pt idx="55">
                  <c:v>26.199999999999992</c:v>
                </c:pt>
                <c:pt idx="56">
                  <c:v>25.1</c:v>
                </c:pt>
                <c:pt idx="57">
                  <c:v>27.200000000000003</c:v>
                </c:pt>
                <c:pt idx="58">
                  <c:v>29.000000000000007</c:v>
                </c:pt>
                <c:pt idx="59">
                  <c:v>28.599999999999998</c:v>
                </c:pt>
                <c:pt idx="60">
                  <c:v>27.999999999999996</c:v>
                </c:pt>
                <c:pt idx="61">
                  <c:v>27.200000000000003</c:v>
                </c:pt>
                <c:pt idx="62">
                  <c:v>24.800000000000004</c:v>
                </c:pt>
                <c:pt idx="63">
                  <c:v>22.599999999999998</c:v>
                </c:pt>
                <c:pt idx="64">
                  <c:v>22.000000000000007</c:v>
                </c:pt>
                <c:pt idx="65">
                  <c:v>20.299999999999997</c:v>
                </c:pt>
                <c:pt idx="66">
                  <c:v>21.3</c:v>
                </c:pt>
                <c:pt idx="67">
                  <c:v>20.299999999999997</c:v>
                </c:pt>
                <c:pt idx="68">
                  <c:v>19.699999999999996</c:v>
                </c:pt>
                <c:pt idx="69">
                  <c:v>18.5</c:v>
                </c:pt>
                <c:pt idx="70">
                  <c:v>17.7</c:v>
                </c:pt>
                <c:pt idx="71">
                  <c:v>17.100000000000005</c:v>
                </c:pt>
                <c:pt idx="72">
                  <c:v>12.999999999999991</c:v>
                </c:pt>
                <c:pt idx="73">
                  <c:v>14.499999999999998</c:v>
                </c:pt>
                <c:pt idx="74">
                  <c:v>12.200000000000006</c:v>
                </c:pt>
                <c:pt idx="75">
                  <c:v>12.400000000000006</c:v>
                </c:pt>
                <c:pt idx="76">
                  <c:v>15.699999999999994</c:v>
                </c:pt>
                <c:pt idx="77">
                  <c:v>13.399999999999991</c:v>
                </c:pt>
                <c:pt idx="78">
                  <c:v>11.299999999999999</c:v>
                </c:pt>
                <c:pt idx="79">
                  <c:v>10.599999999999993</c:v>
                </c:pt>
                <c:pt idx="80">
                  <c:v>12.100000000000001</c:v>
                </c:pt>
                <c:pt idx="81">
                  <c:v>11.799999999999995</c:v>
                </c:pt>
                <c:pt idx="82">
                  <c:v>13.100000000000003</c:v>
                </c:pt>
                <c:pt idx="83">
                  <c:v>11.400000000000004</c:v>
                </c:pt>
                <c:pt idx="84">
                  <c:v>10.800000000000002</c:v>
                </c:pt>
                <c:pt idx="85">
                  <c:v>10.200000000000001</c:v>
                </c:pt>
                <c:pt idx="86">
                  <c:v>10.800000000000002</c:v>
                </c:pt>
                <c:pt idx="87">
                  <c:v>10.600000000000001</c:v>
                </c:pt>
                <c:pt idx="88">
                  <c:v>10.800000000000002</c:v>
                </c:pt>
                <c:pt idx="89">
                  <c:v>11.000000000000004</c:v>
                </c:pt>
                <c:pt idx="90">
                  <c:v>12.799999999999999</c:v>
                </c:pt>
                <c:pt idx="91">
                  <c:v>13.599999999999993</c:v>
                </c:pt>
                <c:pt idx="92">
                  <c:v>14.9</c:v>
                </c:pt>
                <c:pt idx="93">
                  <c:v>14.399999999999995</c:v>
                </c:pt>
                <c:pt idx="94">
                  <c:v>15.3</c:v>
                </c:pt>
                <c:pt idx="95">
                  <c:v>15.700000000000003</c:v>
                </c:pt>
                <c:pt idx="96">
                  <c:v>16.399999999999999</c:v>
                </c:pt>
                <c:pt idx="97">
                  <c:v>17.800000000000004</c:v>
                </c:pt>
                <c:pt idx="98">
                  <c:v>18.5</c:v>
                </c:pt>
                <c:pt idx="99">
                  <c:v>17.400000000000002</c:v>
                </c:pt>
                <c:pt idx="100">
                  <c:v>23.400000000000002</c:v>
                </c:pt>
                <c:pt idx="101">
                  <c:v>18.800000000000004</c:v>
                </c:pt>
                <c:pt idx="102">
                  <c:v>19.700000000000003</c:v>
                </c:pt>
                <c:pt idx="103">
                  <c:v>20.000000000000004</c:v>
                </c:pt>
                <c:pt idx="104">
                  <c:v>20.6</c:v>
                </c:pt>
                <c:pt idx="105">
                  <c:v>21.2</c:v>
                </c:pt>
                <c:pt idx="106">
                  <c:v>20.499999999999996</c:v>
                </c:pt>
                <c:pt idx="107">
                  <c:v>19.100000000000001</c:v>
                </c:pt>
                <c:pt idx="108">
                  <c:v>14.899999999999995</c:v>
                </c:pt>
                <c:pt idx="109">
                  <c:v>12.299999999999997</c:v>
                </c:pt>
                <c:pt idx="110">
                  <c:v>9.4999999999999982</c:v>
                </c:pt>
                <c:pt idx="111">
                  <c:v>10.199999999999996</c:v>
                </c:pt>
                <c:pt idx="112">
                  <c:v>8.0999999999999961</c:v>
                </c:pt>
                <c:pt idx="113">
                  <c:v>10.1</c:v>
                </c:pt>
                <c:pt idx="114">
                  <c:v>10.200000000000001</c:v>
                </c:pt>
                <c:pt idx="115">
                  <c:v>9.2999999999999989</c:v>
                </c:pt>
                <c:pt idx="116">
                  <c:v>9.1999999999999975</c:v>
                </c:pt>
                <c:pt idx="117">
                  <c:v>9.4999999999999982</c:v>
                </c:pt>
                <c:pt idx="118">
                  <c:v>7.6000000000000023</c:v>
                </c:pt>
                <c:pt idx="119">
                  <c:v>5.2000000000000046</c:v>
                </c:pt>
                <c:pt idx="120">
                  <c:v>5.4000000000000012</c:v>
                </c:pt>
                <c:pt idx="121">
                  <c:v>4.5999999999999988</c:v>
                </c:pt>
                <c:pt idx="122">
                  <c:v>2.9000000000000035</c:v>
                </c:pt>
                <c:pt idx="123">
                  <c:v>2.9999999999999991</c:v>
                </c:pt>
                <c:pt idx="124">
                  <c:v>3.5000000000000004</c:v>
                </c:pt>
                <c:pt idx="125">
                  <c:v>1.699999999999998</c:v>
                </c:pt>
                <c:pt idx="126">
                  <c:v>2.2999999999999994</c:v>
                </c:pt>
                <c:pt idx="127">
                  <c:v>2.0999999999999992</c:v>
                </c:pt>
                <c:pt idx="128">
                  <c:v>3.5999999999999996</c:v>
                </c:pt>
                <c:pt idx="129">
                  <c:v>5.8</c:v>
                </c:pt>
                <c:pt idx="130">
                  <c:v>9.2000000000000011</c:v>
                </c:pt>
                <c:pt idx="131">
                  <c:v>7.7999999999999989</c:v>
                </c:pt>
                <c:pt idx="132">
                  <c:v>7.5000000000000027</c:v>
                </c:pt>
                <c:pt idx="133">
                  <c:v>5.5000000000000018</c:v>
                </c:pt>
                <c:pt idx="134">
                  <c:v>11.300000000000004</c:v>
                </c:pt>
                <c:pt idx="135">
                  <c:v>10.200000000000001</c:v>
                </c:pt>
                <c:pt idx="136">
                  <c:v>12.700000000000003</c:v>
                </c:pt>
                <c:pt idx="137">
                  <c:v>10.799999999999997</c:v>
                </c:pt>
                <c:pt idx="138">
                  <c:v>7.8000000000000007</c:v>
                </c:pt>
                <c:pt idx="139">
                  <c:v>7.1000000000000014</c:v>
                </c:pt>
                <c:pt idx="140">
                  <c:v>7.1999999999999993</c:v>
                </c:pt>
                <c:pt idx="141">
                  <c:v>8</c:v>
                </c:pt>
                <c:pt idx="142">
                  <c:v>8.5</c:v>
                </c:pt>
                <c:pt idx="143">
                  <c:v>11.8</c:v>
                </c:pt>
                <c:pt idx="144">
                  <c:v>11.2</c:v>
                </c:pt>
                <c:pt idx="145">
                  <c:v>11.299999999999999</c:v>
                </c:pt>
                <c:pt idx="146">
                  <c:v>10.8</c:v>
                </c:pt>
                <c:pt idx="147">
                  <c:v>10.7</c:v>
                </c:pt>
                <c:pt idx="148">
                  <c:v>9.4</c:v>
                </c:pt>
                <c:pt idx="149">
                  <c:v>9.1000000000000014</c:v>
                </c:pt>
                <c:pt idx="150">
                  <c:v>9.4</c:v>
                </c:pt>
                <c:pt idx="151">
                  <c:v>7.3</c:v>
                </c:pt>
                <c:pt idx="152">
                  <c:v>2.0999999999999992</c:v>
                </c:pt>
                <c:pt idx="153">
                  <c:v>1.2999999999999992</c:v>
                </c:pt>
                <c:pt idx="154">
                  <c:v>3.6999999999999997</c:v>
                </c:pt>
                <c:pt idx="155">
                  <c:v>4.7000000000000011</c:v>
                </c:pt>
                <c:pt idx="156">
                  <c:v>4.8999999999999995</c:v>
                </c:pt>
                <c:pt idx="157">
                  <c:v>7.8999999999999995</c:v>
                </c:pt>
                <c:pt idx="158">
                  <c:v>13</c:v>
                </c:pt>
                <c:pt idx="159">
                  <c:v>13.000000000000004</c:v>
                </c:pt>
                <c:pt idx="160">
                  <c:v>9.8000000000000025</c:v>
                </c:pt>
                <c:pt idx="161">
                  <c:v>9.4000000000000021</c:v>
                </c:pt>
                <c:pt idx="162">
                  <c:v>8.6999999999999993</c:v>
                </c:pt>
                <c:pt idx="163">
                  <c:v>7.7000000000000011</c:v>
                </c:pt>
                <c:pt idx="164">
                  <c:v>9.3000000000000025</c:v>
                </c:pt>
                <c:pt idx="165">
                  <c:v>9.9</c:v>
                </c:pt>
                <c:pt idx="166">
                  <c:v>9.6000000000000014</c:v>
                </c:pt>
                <c:pt idx="167">
                  <c:v>11.100000000000001</c:v>
                </c:pt>
                <c:pt idx="168">
                  <c:v>11.099999999999996</c:v>
                </c:pt>
                <c:pt idx="169">
                  <c:v>10.200000000000001</c:v>
                </c:pt>
                <c:pt idx="170">
                  <c:v>10.100000000000003</c:v>
                </c:pt>
                <c:pt idx="171">
                  <c:v>10.200000000000003</c:v>
                </c:pt>
                <c:pt idx="172">
                  <c:v>9.6000000000000014</c:v>
                </c:pt>
                <c:pt idx="173">
                  <c:v>7.3000000000000007</c:v>
                </c:pt>
                <c:pt idx="174">
                  <c:v>9.8999999999999986</c:v>
                </c:pt>
                <c:pt idx="175">
                  <c:v>12.000000000000002</c:v>
                </c:pt>
                <c:pt idx="176">
                  <c:v>15.3</c:v>
                </c:pt>
                <c:pt idx="177">
                  <c:v>17</c:v>
                </c:pt>
                <c:pt idx="178">
                  <c:v>12.4</c:v>
                </c:pt>
                <c:pt idx="179">
                  <c:v>13.2</c:v>
                </c:pt>
                <c:pt idx="180">
                  <c:v>16.2</c:v>
                </c:pt>
                <c:pt idx="181">
                  <c:v>19.599999999999998</c:v>
                </c:pt>
                <c:pt idx="182">
                  <c:v>21.000000000000004</c:v>
                </c:pt>
                <c:pt idx="183">
                  <c:v>21.7</c:v>
                </c:pt>
                <c:pt idx="184">
                  <c:v>21</c:v>
                </c:pt>
                <c:pt idx="185">
                  <c:v>19.599999999999998</c:v>
                </c:pt>
                <c:pt idx="186">
                  <c:v>21.999999999999996</c:v>
                </c:pt>
                <c:pt idx="187">
                  <c:v>18</c:v>
                </c:pt>
                <c:pt idx="188">
                  <c:v>18.8</c:v>
                </c:pt>
                <c:pt idx="189">
                  <c:v>19.400000000000002</c:v>
                </c:pt>
                <c:pt idx="190">
                  <c:v>18.8</c:v>
                </c:pt>
                <c:pt idx="191">
                  <c:v>14.7</c:v>
                </c:pt>
                <c:pt idx="192">
                  <c:v>18.2</c:v>
                </c:pt>
                <c:pt idx="193">
                  <c:v>18.8</c:v>
                </c:pt>
                <c:pt idx="194">
                  <c:v>17.8</c:v>
                </c:pt>
                <c:pt idx="195">
                  <c:v>15.7</c:v>
                </c:pt>
                <c:pt idx="196">
                  <c:v>14.7</c:v>
                </c:pt>
                <c:pt idx="197">
                  <c:v>13.6</c:v>
                </c:pt>
                <c:pt idx="198">
                  <c:v>13.6</c:v>
                </c:pt>
                <c:pt idx="199">
                  <c:v>12.8</c:v>
                </c:pt>
                <c:pt idx="200">
                  <c:v>13.5</c:v>
                </c:pt>
                <c:pt idx="201">
                  <c:v>7.9999999999999991</c:v>
                </c:pt>
                <c:pt idx="202">
                  <c:v>4.4000000000000004</c:v>
                </c:pt>
                <c:pt idx="203">
                  <c:v>4.5999999999999996</c:v>
                </c:pt>
                <c:pt idx="204">
                  <c:v>5.9999999999999991</c:v>
                </c:pt>
                <c:pt idx="205">
                  <c:v>7.0999999999999988</c:v>
                </c:pt>
                <c:pt idx="206">
                  <c:v>7.9</c:v>
                </c:pt>
                <c:pt idx="207">
                  <c:v>10.200000000000001</c:v>
                </c:pt>
                <c:pt idx="208">
                  <c:v>9.7000000000000011</c:v>
                </c:pt>
                <c:pt idx="209">
                  <c:v>9.1</c:v>
                </c:pt>
                <c:pt idx="210">
                  <c:v>9.7000000000000011</c:v>
                </c:pt>
                <c:pt idx="211">
                  <c:v>9.5000000000000018</c:v>
                </c:pt>
                <c:pt idx="212">
                  <c:v>8.9</c:v>
                </c:pt>
                <c:pt idx="213">
                  <c:v>9.2999999999999989</c:v>
                </c:pt>
                <c:pt idx="214">
                  <c:v>10</c:v>
                </c:pt>
                <c:pt idx="215">
                  <c:v>8.1999999999999993</c:v>
                </c:pt>
                <c:pt idx="216">
                  <c:v>7.9999999999999991</c:v>
                </c:pt>
                <c:pt idx="217">
                  <c:v>9</c:v>
                </c:pt>
                <c:pt idx="218">
                  <c:v>7.9999999999999991</c:v>
                </c:pt>
                <c:pt idx="219">
                  <c:v>7.9999999999999991</c:v>
                </c:pt>
                <c:pt idx="220">
                  <c:v>8.5000000000000036</c:v>
                </c:pt>
                <c:pt idx="221">
                  <c:v>9.6</c:v>
                </c:pt>
                <c:pt idx="222">
                  <c:v>9.8000000000000025</c:v>
                </c:pt>
                <c:pt idx="223">
                  <c:v>10.1</c:v>
                </c:pt>
                <c:pt idx="224">
                  <c:v>10.3</c:v>
                </c:pt>
                <c:pt idx="225">
                  <c:v>8.9</c:v>
                </c:pt>
                <c:pt idx="226">
                  <c:v>9.2000000000000011</c:v>
                </c:pt>
                <c:pt idx="227">
                  <c:v>9.9</c:v>
                </c:pt>
                <c:pt idx="228">
                  <c:v>8.5</c:v>
                </c:pt>
                <c:pt idx="229">
                  <c:v>9.7999999999999989</c:v>
                </c:pt>
                <c:pt idx="230">
                  <c:v>9.1</c:v>
                </c:pt>
                <c:pt idx="231">
                  <c:v>9.3000000000000007</c:v>
                </c:pt>
                <c:pt idx="232">
                  <c:v>10.799999999999997</c:v>
                </c:pt>
                <c:pt idx="233">
                  <c:v>10.1</c:v>
                </c:pt>
                <c:pt idx="234">
                  <c:v>9.4999999999999982</c:v>
                </c:pt>
                <c:pt idx="235">
                  <c:v>10.300000000000002</c:v>
                </c:pt>
                <c:pt idx="236">
                  <c:v>10.500000000000002</c:v>
                </c:pt>
                <c:pt idx="237">
                  <c:v>10.1</c:v>
                </c:pt>
                <c:pt idx="238">
                  <c:v>10.7</c:v>
                </c:pt>
                <c:pt idx="239">
                  <c:v>11.5</c:v>
                </c:pt>
                <c:pt idx="240">
                  <c:v>11.299999999999999</c:v>
                </c:pt>
                <c:pt idx="241">
                  <c:v>11.400000000000002</c:v>
                </c:pt>
                <c:pt idx="242">
                  <c:v>11.700000000000001</c:v>
                </c:pt>
                <c:pt idx="243">
                  <c:v>11.3</c:v>
                </c:pt>
                <c:pt idx="244">
                  <c:v>13.100000000000001</c:v>
                </c:pt>
                <c:pt idx="245">
                  <c:v>10.999999999999998</c:v>
                </c:pt>
                <c:pt idx="246">
                  <c:v>11.3</c:v>
                </c:pt>
                <c:pt idx="247">
                  <c:v>10.400000000000002</c:v>
                </c:pt>
                <c:pt idx="248">
                  <c:v>11.700000000000001</c:v>
                </c:pt>
                <c:pt idx="249">
                  <c:v>12.500000000000002</c:v>
                </c:pt>
                <c:pt idx="250">
                  <c:v>14.399999999999997</c:v>
                </c:pt>
                <c:pt idx="251">
                  <c:v>11.400000000000002</c:v>
                </c:pt>
                <c:pt idx="252">
                  <c:v>10.600000000000001</c:v>
                </c:pt>
                <c:pt idx="253">
                  <c:v>13.5</c:v>
                </c:pt>
                <c:pt idx="254">
                  <c:v>14.600000000000001</c:v>
                </c:pt>
                <c:pt idx="255">
                  <c:v>18.099999999999998</c:v>
                </c:pt>
                <c:pt idx="256">
                  <c:v>13.799999999999999</c:v>
                </c:pt>
                <c:pt idx="257">
                  <c:v>13</c:v>
                </c:pt>
                <c:pt idx="258">
                  <c:v>11.199999999999998</c:v>
                </c:pt>
                <c:pt idx="259">
                  <c:v>8.5000000000000036</c:v>
                </c:pt>
                <c:pt idx="260">
                  <c:v>12.900000000000002</c:v>
                </c:pt>
                <c:pt idx="261">
                  <c:v>11.800000000000002</c:v>
                </c:pt>
                <c:pt idx="262">
                  <c:v>12.999999999999996</c:v>
                </c:pt>
                <c:pt idx="263">
                  <c:v>12.500000000000002</c:v>
                </c:pt>
                <c:pt idx="264">
                  <c:v>14.200000000000003</c:v>
                </c:pt>
                <c:pt idx="265">
                  <c:v>15.400000000000002</c:v>
                </c:pt>
                <c:pt idx="266">
                  <c:v>15.3</c:v>
                </c:pt>
                <c:pt idx="267">
                  <c:v>15.5</c:v>
                </c:pt>
                <c:pt idx="268">
                  <c:v>15.800000000000002</c:v>
                </c:pt>
                <c:pt idx="269">
                  <c:v>15.999999999999998</c:v>
                </c:pt>
                <c:pt idx="270">
                  <c:v>18.100000000000001</c:v>
                </c:pt>
                <c:pt idx="271">
                  <c:v>17.900000000000002</c:v>
                </c:pt>
                <c:pt idx="272">
                  <c:v>17.2</c:v>
                </c:pt>
                <c:pt idx="273">
                  <c:v>17.399999999999999</c:v>
                </c:pt>
                <c:pt idx="274">
                  <c:v>13.5</c:v>
                </c:pt>
                <c:pt idx="275">
                  <c:v>11.8</c:v>
                </c:pt>
                <c:pt idx="276">
                  <c:v>10.5</c:v>
                </c:pt>
                <c:pt idx="277">
                  <c:v>9.2000000000000011</c:v>
                </c:pt>
                <c:pt idx="278">
                  <c:v>8.9</c:v>
                </c:pt>
                <c:pt idx="279">
                  <c:v>8.5</c:v>
                </c:pt>
                <c:pt idx="280">
                  <c:v>10.7</c:v>
                </c:pt>
                <c:pt idx="281">
                  <c:v>9.1</c:v>
                </c:pt>
                <c:pt idx="282">
                  <c:v>9</c:v>
                </c:pt>
                <c:pt idx="283">
                  <c:v>9.6</c:v>
                </c:pt>
                <c:pt idx="284">
                  <c:v>9.3000000000000007</c:v>
                </c:pt>
                <c:pt idx="285">
                  <c:v>9.7999999999999989</c:v>
                </c:pt>
                <c:pt idx="286">
                  <c:v>10.8</c:v>
                </c:pt>
                <c:pt idx="287">
                  <c:v>11.700000000000001</c:v>
                </c:pt>
                <c:pt idx="288">
                  <c:v>11.2</c:v>
                </c:pt>
                <c:pt idx="289">
                  <c:v>12.2</c:v>
                </c:pt>
                <c:pt idx="290">
                  <c:v>13.7</c:v>
                </c:pt>
                <c:pt idx="291">
                  <c:v>15.8</c:v>
                </c:pt>
                <c:pt idx="292">
                  <c:v>15.400000000000002</c:v>
                </c:pt>
                <c:pt idx="293">
                  <c:v>15.3</c:v>
                </c:pt>
                <c:pt idx="294">
                  <c:v>17.199999999999996</c:v>
                </c:pt>
                <c:pt idx="295">
                  <c:v>19.599999999999998</c:v>
                </c:pt>
                <c:pt idx="296">
                  <c:v>19.499999999999996</c:v>
                </c:pt>
                <c:pt idx="297">
                  <c:v>20.5</c:v>
                </c:pt>
                <c:pt idx="298">
                  <c:v>22</c:v>
                </c:pt>
                <c:pt idx="299">
                  <c:v>25.3</c:v>
                </c:pt>
                <c:pt idx="300">
                  <c:v>31.500000000000004</c:v>
                </c:pt>
                <c:pt idx="301">
                  <c:v>32.200000000000003</c:v>
                </c:pt>
                <c:pt idx="302">
                  <c:v>34.799999999999997</c:v>
                </c:pt>
                <c:pt idx="303">
                  <c:v>42</c:v>
                </c:pt>
                <c:pt idx="304">
                  <c:v>45.899999999999991</c:v>
                </c:pt>
                <c:pt idx="305">
                  <c:v>57.3</c:v>
                </c:pt>
                <c:pt idx="306">
                  <c:v>62.20000000000001</c:v>
                </c:pt>
                <c:pt idx="307">
                  <c:v>57.3</c:v>
                </c:pt>
                <c:pt idx="308">
                  <c:v>46.099999999999994</c:v>
                </c:pt>
                <c:pt idx="309">
                  <c:v>42.8</c:v>
                </c:pt>
                <c:pt idx="310">
                  <c:v>49.8</c:v>
                </c:pt>
                <c:pt idx="311">
                  <c:v>53.5</c:v>
                </c:pt>
                <c:pt idx="312">
                  <c:v>57.400000000000006</c:v>
                </c:pt>
                <c:pt idx="313">
                  <c:v>48.5</c:v>
                </c:pt>
                <c:pt idx="314">
                  <c:v>44.500000000000007</c:v>
                </c:pt>
                <c:pt idx="315">
                  <c:v>49.099999999999994</c:v>
                </c:pt>
                <c:pt idx="316">
                  <c:v>48.599999999999994</c:v>
                </c:pt>
                <c:pt idx="317">
                  <c:v>51.199999999999996</c:v>
                </c:pt>
                <c:pt idx="318">
                  <c:v>55.5</c:v>
                </c:pt>
                <c:pt idx="319">
                  <c:v>59</c:v>
                </c:pt>
                <c:pt idx="320">
                  <c:v>62</c:v>
                </c:pt>
                <c:pt idx="321">
                  <c:v>76.100000000000009</c:v>
                </c:pt>
                <c:pt idx="322">
                  <c:v>80.300000000000011</c:v>
                </c:pt>
                <c:pt idx="323">
                  <c:v>78.699999999999989</c:v>
                </c:pt>
                <c:pt idx="324">
                  <c:v>78.3</c:v>
                </c:pt>
                <c:pt idx="325">
                  <c:v>80.400000000000006</c:v>
                </c:pt>
                <c:pt idx="326">
                  <c:v>80.900000000000006</c:v>
                </c:pt>
                <c:pt idx="327">
                  <c:v>80.8</c:v>
                </c:pt>
                <c:pt idx="328">
                  <c:v>82</c:v>
                </c:pt>
                <c:pt idx="329">
                  <c:v>86.600000000000009</c:v>
                </c:pt>
                <c:pt idx="330">
                  <c:v>98.399999999999991</c:v>
                </c:pt>
                <c:pt idx="331">
                  <c:v>99.5</c:v>
                </c:pt>
                <c:pt idx="332">
                  <c:v>100.30000000000001</c:v>
                </c:pt>
                <c:pt idx="333">
                  <c:v>95.1</c:v>
                </c:pt>
                <c:pt idx="334">
                  <c:v>89.699999999999989</c:v>
                </c:pt>
                <c:pt idx="335">
                  <c:v>88.6</c:v>
                </c:pt>
                <c:pt idx="336">
                  <c:v>90.100000000000009</c:v>
                </c:pt>
                <c:pt idx="337">
                  <c:v>93.2</c:v>
                </c:pt>
                <c:pt idx="338">
                  <c:v>97</c:v>
                </c:pt>
                <c:pt idx="339">
                  <c:v>97.6</c:v>
                </c:pt>
                <c:pt idx="340">
                  <c:v>96.800000000000011</c:v>
                </c:pt>
                <c:pt idx="341">
                  <c:v>92.600000000000009</c:v>
                </c:pt>
                <c:pt idx="342">
                  <c:v>95.899999999999991</c:v>
                </c:pt>
                <c:pt idx="343">
                  <c:v>95.5</c:v>
                </c:pt>
                <c:pt idx="344">
                  <c:v>92.3</c:v>
                </c:pt>
                <c:pt idx="345">
                  <c:v>84.899999999999991</c:v>
                </c:pt>
                <c:pt idx="346">
                  <c:v>82.699999999999989</c:v>
                </c:pt>
                <c:pt idx="347">
                  <c:v>79.8</c:v>
                </c:pt>
                <c:pt idx="348">
                  <c:v>74.7</c:v>
                </c:pt>
                <c:pt idx="349">
                  <c:v>74.199999999999989</c:v>
                </c:pt>
                <c:pt idx="350">
                  <c:v>77.599999999999994</c:v>
                </c:pt>
                <c:pt idx="351">
                  <c:v>81.100000000000009</c:v>
                </c:pt>
                <c:pt idx="352">
                  <c:v>80.7</c:v>
                </c:pt>
                <c:pt idx="353">
                  <c:v>77.900000000000006</c:v>
                </c:pt>
                <c:pt idx="354">
                  <c:v>76.400000000000006</c:v>
                </c:pt>
                <c:pt idx="355">
                  <c:v>71.599999999999994</c:v>
                </c:pt>
                <c:pt idx="356">
                  <c:v>62</c:v>
                </c:pt>
                <c:pt idx="357">
                  <c:v>62.4</c:v>
                </c:pt>
                <c:pt idx="358">
                  <c:v>57.7</c:v>
                </c:pt>
                <c:pt idx="359">
                  <c:v>49.8</c:v>
                </c:pt>
                <c:pt idx="360">
                  <c:v>42.1</c:v>
                </c:pt>
                <c:pt idx="361">
                  <c:v>43.3</c:v>
                </c:pt>
                <c:pt idx="362">
                  <c:v>41.1</c:v>
                </c:pt>
                <c:pt idx="363">
                  <c:v>40.299999999999997</c:v>
                </c:pt>
                <c:pt idx="364">
                  <c:v>45.300000000000004</c:v>
                </c:pt>
                <c:pt idx="365">
                  <c:v>48.000000000000007</c:v>
                </c:pt>
                <c:pt idx="366">
                  <c:v>51.2</c:v>
                </c:pt>
                <c:pt idx="367">
                  <c:v>50.5</c:v>
                </c:pt>
                <c:pt idx="368">
                  <c:v>48.8</c:v>
                </c:pt>
                <c:pt idx="369">
                  <c:v>49.9</c:v>
                </c:pt>
                <c:pt idx="370">
                  <c:v>50.099999999999994</c:v>
                </c:pt>
                <c:pt idx="371">
                  <c:v>49.4</c:v>
                </c:pt>
                <c:pt idx="372">
                  <c:v>48.400000000000006</c:v>
                </c:pt>
                <c:pt idx="373">
                  <c:v>48.29999999999999</c:v>
                </c:pt>
                <c:pt idx="374">
                  <c:v>47.099999999999994</c:v>
                </c:pt>
                <c:pt idx="375">
                  <c:v>47.399999999999991</c:v>
                </c:pt>
                <c:pt idx="376">
                  <c:v>49.099999999999994</c:v>
                </c:pt>
                <c:pt idx="377">
                  <c:v>49.199999999999996</c:v>
                </c:pt>
                <c:pt idx="378">
                  <c:v>47.899999999999991</c:v>
                </c:pt>
                <c:pt idx="379">
                  <c:v>49.8</c:v>
                </c:pt>
                <c:pt idx="380">
                  <c:v>46.2</c:v>
                </c:pt>
                <c:pt idx="381">
                  <c:v>47.9</c:v>
                </c:pt>
                <c:pt idx="382">
                  <c:v>44.5</c:v>
                </c:pt>
                <c:pt idx="383">
                  <c:v>43.6</c:v>
                </c:pt>
                <c:pt idx="384">
                  <c:v>39</c:v>
                </c:pt>
                <c:pt idx="385">
                  <c:v>33.200000000000003</c:v>
                </c:pt>
                <c:pt idx="386">
                  <c:v>31.900000000000002</c:v>
                </c:pt>
                <c:pt idx="387">
                  <c:v>30</c:v>
                </c:pt>
                <c:pt idx="388">
                  <c:v>29.599999999999998</c:v>
                </c:pt>
                <c:pt idx="389">
                  <c:v>29.8</c:v>
                </c:pt>
                <c:pt idx="390">
                  <c:v>28.3</c:v>
                </c:pt>
                <c:pt idx="391">
                  <c:v>27.299999999999997</c:v>
                </c:pt>
                <c:pt idx="392">
                  <c:v>24.200000000000003</c:v>
                </c:pt>
                <c:pt idx="393">
                  <c:v>24.799999999999997</c:v>
                </c:pt>
                <c:pt idx="394">
                  <c:v>24.9</c:v>
                </c:pt>
                <c:pt idx="395">
                  <c:v>23.400000000000002</c:v>
                </c:pt>
                <c:pt idx="396">
                  <c:v>24.299999999999997</c:v>
                </c:pt>
                <c:pt idx="397">
                  <c:v>23</c:v>
                </c:pt>
                <c:pt idx="398">
                  <c:v>25.4</c:v>
                </c:pt>
                <c:pt idx="399">
                  <c:v>22.400000000000002</c:v>
                </c:pt>
                <c:pt idx="400">
                  <c:v>22.500000000000004</c:v>
                </c:pt>
                <c:pt idx="401">
                  <c:v>21.8</c:v>
                </c:pt>
                <c:pt idx="402">
                  <c:v>20.100000000000001</c:v>
                </c:pt>
                <c:pt idx="403">
                  <c:v>18.5</c:v>
                </c:pt>
                <c:pt idx="404">
                  <c:v>18.400000000000002</c:v>
                </c:pt>
                <c:pt idx="405">
                  <c:v>19.399999999999999</c:v>
                </c:pt>
                <c:pt idx="406">
                  <c:v>17.900000000000002</c:v>
                </c:pt>
                <c:pt idx="407">
                  <c:v>19.299999999999997</c:v>
                </c:pt>
                <c:pt idx="408">
                  <c:v>17.200000000000003</c:v>
                </c:pt>
                <c:pt idx="409">
                  <c:v>20.400000000000002</c:v>
                </c:pt>
                <c:pt idx="410">
                  <c:v>19.899999999999999</c:v>
                </c:pt>
                <c:pt idx="411">
                  <c:v>20.2</c:v>
                </c:pt>
                <c:pt idx="412">
                  <c:v>20.900000000000002</c:v>
                </c:pt>
                <c:pt idx="413">
                  <c:v>20.5</c:v>
                </c:pt>
                <c:pt idx="414">
                  <c:v>19</c:v>
                </c:pt>
                <c:pt idx="415">
                  <c:v>20.5</c:v>
                </c:pt>
                <c:pt idx="416">
                  <c:v>19.8</c:v>
                </c:pt>
                <c:pt idx="417">
                  <c:v>20.100000000000001</c:v>
                </c:pt>
                <c:pt idx="418">
                  <c:v>21.8</c:v>
                </c:pt>
                <c:pt idx="419">
                  <c:v>20.5</c:v>
                </c:pt>
                <c:pt idx="420">
                  <c:v>20.100000000000001</c:v>
                </c:pt>
                <c:pt idx="421">
                  <c:v>20.100000000000001</c:v>
                </c:pt>
                <c:pt idx="422">
                  <c:v>21.6</c:v>
                </c:pt>
                <c:pt idx="423">
                  <c:v>21.6</c:v>
                </c:pt>
                <c:pt idx="424">
                  <c:v>19.5</c:v>
                </c:pt>
                <c:pt idx="425">
                  <c:v>19.899999999999999</c:v>
                </c:pt>
                <c:pt idx="426">
                  <c:v>19</c:v>
                </c:pt>
                <c:pt idx="427">
                  <c:v>21.2</c:v>
                </c:pt>
                <c:pt idx="428">
                  <c:v>21.4</c:v>
                </c:pt>
                <c:pt idx="429">
                  <c:v>20</c:v>
                </c:pt>
                <c:pt idx="430">
                  <c:v>20.499999999999996</c:v>
                </c:pt>
                <c:pt idx="431">
                  <c:v>21.4</c:v>
                </c:pt>
                <c:pt idx="432">
                  <c:v>20.3</c:v>
                </c:pt>
                <c:pt idx="433">
                  <c:v>20.2</c:v>
                </c:pt>
                <c:pt idx="434">
                  <c:v>20.100000000000001</c:v>
                </c:pt>
                <c:pt idx="435">
                  <c:v>23.5</c:v>
                </c:pt>
                <c:pt idx="436">
                  <c:v>26.8</c:v>
                </c:pt>
                <c:pt idx="437">
                  <c:v>28.299999999999997</c:v>
                </c:pt>
                <c:pt idx="438">
                  <c:v>31.099999999999998</c:v>
                </c:pt>
                <c:pt idx="439">
                  <c:v>30.700000000000003</c:v>
                </c:pt>
                <c:pt idx="440">
                  <c:v>30</c:v>
                </c:pt>
                <c:pt idx="441">
                  <c:v>29.099999999999998</c:v>
                </c:pt>
                <c:pt idx="442">
                  <c:v>29.1</c:v>
                </c:pt>
                <c:pt idx="443">
                  <c:v>28.3</c:v>
                </c:pt>
                <c:pt idx="444">
                  <c:v>28.1</c:v>
                </c:pt>
                <c:pt idx="445">
                  <c:v>28.1</c:v>
                </c:pt>
                <c:pt idx="446">
                  <c:v>22.5</c:v>
                </c:pt>
                <c:pt idx="447">
                  <c:v>23.3</c:v>
                </c:pt>
                <c:pt idx="448">
                  <c:v>21.5</c:v>
                </c:pt>
                <c:pt idx="449">
                  <c:v>22.299999999999997</c:v>
                </c:pt>
                <c:pt idx="450">
                  <c:v>20.400000000000002</c:v>
                </c:pt>
                <c:pt idx="451">
                  <c:v>20.3</c:v>
                </c:pt>
                <c:pt idx="452">
                  <c:v>19.599999999999998</c:v>
                </c:pt>
                <c:pt idx="453">
                  <c:v>20.6</c:v>
                </c:pt>
                <c:pt idx="454">
                  <c:v>20</c:v>
                </c:pt>
                <c:pt idx="455">
                  <c:v>18.999999999999996</c:v>
                </c:pt>
                <c:pt idx="456">
                  <c:v>19.599999999999998</c:v>
                </c:pt>
                <c:pt idx="457">
                  <c:v>19</c:v>
                </c:pt>
                <c:pt idx="458">
                  <c:v>15.400000000000002</c:v>
                </c:pt>
                <c:pt idx="459">
                  <c:v>13.900000000000002</c:v>
                </c:pt>
                <c:pt idx="460">
                  <c:v>15.399999999999997</c:v>
                </c:pt>
                <c:pt idx="461">
                  <c:v>14.7</c:v>
                </c:pt>
                <c:pt idx="462">
                  <c:v>15.600000000000001</c:v>
                </c:pt>
                <c:pt idx="463">
                  <c:v>16.100000000000001</c:v>
                </c:pt>
                <c:pt idx="464">
                  <c:v>16.600000000000001</c:v>
                </c:pt>
                <c:pt idx="465">
                  <c:v>13.700000000000001</c:v>
                </c:pt>
                <c:pt idx="466">
                  <c:v>12.900000000000004</c:v>
                </c:pt>
                <c:pt idx="467">
                  <c:v>12.4</c:v>
                </c:pt>
                <c:pt idx="468">
                  <c:v>10.3</c:v>
                </c:pt>
                <c:pt idx="469">
                  <c:v>6.5</c:v>
                </c:pt>
                <c:pt idx="470">
                  <c:v>5.0000000000000044</c:v>
                </c:pt>
                <c:pt idx="471">
                  <c:v>7.3999999999999995</c:v>
                </c:pt>
                <c:pt idx="472">
                  <c:v>10.200000000000001</c:v>
                </c:pt>
                <c:pt idx="473">
                  <c:v>10.599999999999998</c:v>
                </c:pt>
                <c:pt idx="474">
                  <c:v>7.7999999999999989</c:v>
                </c:pt>
                <c:pt idx="475">
                  <c:v>9.1</c:v>
                </c:pt>
                <c:pt idx="476">
                  <c:v>11.200000000000001</c:v>
                </c:pt>
                <c:pt idx="477">
                  <c:v>11.600000000000001</c:v>
                </c:pt>
                <c:pt idx="478">
                  <c:v>11.6</c:v>
                </c:pt>
                <c:pt idx="479">
                  <c:v>12.300000000000002</c:v>
                </c:pt>
                <c:pt idx="480">
                  <c:v>13.999999999999998</c:v>
                </c:pt>
                <c:pt idx="481">
                  <c:v>14.500000000000002</c:v>
                </c:pt>
                <c:pt idx="482">
                  <c:v>13.600000000000001</c:v>
                </c:pt>
                <c:pt idx="483">
                  <c:v>13.900000000000002</c:v>
                </c:pt>
                <c:pt idx="484">
                  <c:v>13.999999999999998</c:v>
                </c:pt>
                <c:pt idx="485">
                  <c:v>13.5</c:v>
                </c:pt>
                <c:pt idx="486">
                  <c:v>14.100000000000001</c:v>
                </c:pt>
                <c:pt idx="487">
                  <c:v>15</c:v>
                </c:pt>
                <c:pt idx="488">
                  <c:v>15.499999999999996</c:v>
                </c:pt>
                <c:pt idx="489">
                  <c:v>16.099999999999998</c:v>
                </c:pt>
                <c:pt idx="490">
                  <c:v>14.099999999999998</c:v>
                </c:pt>
                <c:pt idx="491">
                  <c:v>15.099999999999996</c:v>
                </c:pt>
                <c:pt idx="492">
                  <c:v>13.700000000000003</c:v>
                </c:pt>
                <c:pt idx="493">
                  <c:v>13.500000000000004</c:v>
                </c:pt>
                <c:pt idx="494">
                  <c:v>13.000000000000002</c:v>
                </c:pt>
                <c:pt idx="495">
                  <c:v>11.200000000000003</c:v>
                </c:pt>
                <c:pt idx="496">
                  <c:v>11.699999999999998</c:v>
                </c:pt>
                <c:pt idx="497">
                  <c:v>11.099999999999998</c:v>
                </c:pt>
                <c:pt idx="498">
                  <c:v>11.299999999999999</c:v>
                </c:pt>
                <c:pt idx="499">
                  <c:v>12.299999999999999</c:v>
                </c:pt>
                <c:pt idx="500">
                  <c:v>11.8</c:v>
                </c:pt>
                <c:pt idx="501">
                  <c:v>11.899999999999999</c:v>
                </c:pt>
                <c:pt idx="502">
                  <c:v>11.000000000000004</c:v>
                </c:pt>
                <c:pt idx="503">
                  <c:v>11.9</c:v>
                </c:pt>
                <c:pt idx="504">
                  <c:v>12.499999999999998</c:v>
                </c:pt>
                <c:pt idx="505">
                  <c:v>12.499999999999998</c:v>
                </c:pt>
                <c:pt idx="506">
                  <c:v>12.499999999999998</c:v>
                </c:pt>
                <c:pt idx="507">
                  <c:v>12.100000000000001</c:v>
                </c:pt>
                <c:pt idx="508">
                  <c:v>11.899999999999999</c:v>
                </c:pt>
                <c:pt idx="509">
                  <c:v>11.700000000000001</c:v>
                </c:pt>
                <c:pt idx="510">
                  <c:v>13.499999999999998</c:v>
                </c:pt>
                <c:pt idx="511">
                  <c:v>15.500000000000002</c:v>
                </c:pt>
                <c:pt idx="512">
                  <c:v>14.1</c:v>
                </c:pt>
                <c:pt idx="513">
                  <c:v>12.499999999999996</c:v>
                </c:pt>
                <c:pt idx="514">
                  <c:v>12.4</c:v>
                </c:pt>
                <c:pt idx="515">
                  <c:v>12.399999999999999</c:v>
                </c:pt>
                <c:pt idx="516">
                  <c:v>15.3</c:v>
                </c:pt>
                <c:pt idx="517">
                  <c:v>16.2</c:v>
                </c:pt>
                <c:pt idx="518">
                  <c:v>15.5</c:v>
                </c:pt>
                <c:pt idx="519">
                  <c:v>14.199999999999998</c:v>
                </c:pt>
                <c:pt idx="520">
                  <c:v>15.5</c:v>
                </c:pt>
                <c:pt idx="521">
                  <c:v>13.200000000000003</c:v>
                </c:pt>
                <c:pt idx="522">
                  <c:v>13.900000000000002</c:v>
                </c:pt>
                <c:pt idx="523">
                  <c:v>13.9</c:v>
                </c:pt>
                <c:pt idx="524">
                  <c:v>14.899999999999999</c:v>
                </c:pt>
                <c:pt idx="525">
                  <c:v>13.299999999999997</c:v>
                </c:pt>
                <c:pt idx="526">
                  <c:v>14.6</c:v>
                </c:pt>
                <c:pt idx="527">
                  <c:v>13.499999999999998</c:v>
                </c:pt>
                <c:pt idx="528">
                  <c:v>12.900000000000002</c:v>
                </c:pt>
                <c:pt idx="529">
                  <c:v>12.499999999999998</c:v>
                </c:pt>
                <c:pt idx="530">
                  <c:v>12.899999999999999</c:v>
                </c:pt>
                <c:pt idx="531">
                  <c:v>12.200000000000001</c:v>
                </c:pt>
                <c:pt idx="532">
                  <c:v>9.4999999999999982</c:v>
                </c:pt>
                <c:pt idx="533">
                  <c:v>8.2000000000000011</c:v>
                </c:pt>
                <c:pt idx="534">
                  <c:v>6.4999999999999982</c:v>
                </c:pt>
                <c:pt idx="535">
                  <c:v>5.8999999999999995</c:v>
                </c:pt>
                <c:pt idx="536">
                  <c:v>5.1999999999999993</c:v>
                </c:pt>
                <c:pt idx="537">
                  <c:v>5.7000000000000011</c:v>
                </c:pt>
                <c:pt idx="538">
                  <c:v>5.1000000000000005</c:v>
                </c:pt>
                <c:pt idx="539">
                  <c:v>-2.8000000000000007</c:v>
                </c:pt>
                <c:pt idx="540">
                  <c:v>-2.1999999999999993</c:v>
                </c:pt>
                <c:pt idx="541">
                  <c:v>-1.5000000000000002</c:v>
                </c:pt>
                <c:pt idx="542">
                  <c:v>0.99999999999999989</c:v>
                </c:pt>
                <c:pt idx="543">
                  <c:v>4.2</c:v>
                </c:pt>
                <c:pt idx="544">
                  <c:v>3.4</c:v>
                </c:pt>
                <c:pt idx="545">
                  <c:v>3.3</c:v>
                </c:pt>
                <c:pt idx="546">
                  <c:v>4.8999999999999995</c:v>
                </c:pt>
                <c:pt idx="547">
                  <c:v>6.7</c:v>
                </c:pt>
                <c:pt idx="548">
                  <c:v>2.2000000000000002</c:v>
                </c:pt>
                <c:pt idx="549">
                  <c:v>2.0999999999999992</c:v>
                </c:pt>
                <c:pt idx="550">
                  <c:v>8.5</c:v>
                </c:pt>
                <c:pt idx="551">
                  <c:v>7.0999999999999988</c:v>
                </c:pt>
                <c:pt idx="552">
                  <c:v>6.2</c:v>
                </c:pt>
                <c:pt idx="553">
                  <c:v>2.1000000000000005</c:v>
                </c:pt>
                <c:pt idx="554">
                  <c:v>3.9</c:v>
                </c:pt>
                <c:pt idx="555">
                  <c:v>2.0000000000000004</c:v>
                </c:pt>
                <c:pt idx="556">
                  <c:v>1.2</c:v>
                </c:pt>
                <c:pt idx="557">
                  <c:v>3.4</c:v>
                </c:pt>
                <c:pt idx="558">
                  <c:v>0.70000000000000007</c:v>
                </c:pt>
                <c:pt idx="559">
                  <c:v>2.0000000000000004</c:v>
                </c:pt>
                <c:pt idx="560">
                  <c:v>1.2</c:v>
                </c:pt>
                <c:pt idx="561">
                  <c:v>3.4</c:v>
                </c:pt>
                <c:pt idx="562">
                  <c:v>0.70000000000000007</c:v>
                </c:pt>
                <c:pt idx="563">
                  <c:v>0.79999999999999938</c:v>
                </c:pt>
                <c:pt idx="564">
                  <c:v>0.3</c:v>
                </c:pt>
                <c:pt idx="565">
                  <c:v>1.0000000000000002</c:v>
                </c:pt>
                <c:pt idx="566">
                  <c:v>1.3000000000000003</c:v>
                </c:pt>
                <c:pt idx="567">
                  <c:v>0.80000000000000104</c:v>
                </c:pt>
                <c:pt idx="568">
                  <c:v>-0.59999999999999942</c:v>
                </c:pt>
                <c:pt idx="569">
                  <c:v>-0.99999999999999989</c:v>
                </c:pt>
                <c:pt idx="570">
                  <c:v>-2</c:v>
                </c:pt>
                <c:pt idx="571">
                  <c:v>-2.2000000000000002</c:v>
                </c:pt>
                <c:pt idx="572">
                  <c:v>-2.4000000000000004</c:v>
                </c:pt>
                <c:pt idx="573">
                  <c:v>-3.1</c:v>
                </c:pt>
                <c:pt idx="574">
                  <c:v>-1.7000000000000002</c:v>
                </c:pt>
                <c:pt idx="575">
                  <c:v>-0.90000000000000024</c:v>
                </c:pt>
                <c:pt idx="576">
                  <c:v>-2.0000000000000009</c:v>
                </c:pt>
                <c:pt idx="577">
                  <c:v>-2.2000000000000002</c:v>
                </c:pt>
                <c:pt idx="578">
                  <c:v>-2.2000000000000002</c:v>
                </c:pt>
                <c:pt idx="579">
                  <c:v>-0.80000000000000049</c:v>
                </c:pt>
                <c:pt idx="580">
                  <c:v>-0.6</c:v>
                </c:pt>
                <c:pt idx="581">
                  <c:v>0.7</c:v>
                </c:pt>
                <c:pt idx="582">
                  <c:v>1.2000000000000004</c:v>
                </c:pt>
                <c:pt idx="583">
                  <c:v>1.3000000000000003</c:v>
                </c:pt>
                <c:pt idx="584">
                  <c:v>1.3000000000000003</c:v>
                </c:pt>
                <c:pt idx="585">
                  <c:v>0.50000000000000022</c:v>
                </c:pt>
                <c:pt idx="586">
                  <c:v>2.7</c:v>
                </c:pt>
                <c:pt idx="587">
                  <c:v>1.7000000000000002</c:v>
                </c:pt>
                <c:pt idx="588">
                  <c:v>2.5000000000000022</c:v>
                </c:pt>
                <c:pt idx="589">
                  <c:v>2.5999999999999992</c:v>
                </c:pt>
                <c:pt idx="590">
                  <c:v>2.4</c:v>
                </c:pt>
                <c:pt idx="591">
                  <c:v>2.8</c:v>
                </c:pt>
                <c:pt idx="592">
                  <c:v>1.2</c:v>
                </c:pt>
                <c:pt idx="593">
                  <c:v>0.90000000000000024</c:v>
                </c:pt>
                <c:pt idx="594">
                  <c:v>1.3000000000000003</c:v>
                </c:pt>
                <c:pt idx="595">
                  <c:v>2.5</c:v>
                </c:pt>
                <c:pt idx="596">
                  <c:v>1.7000000000000002</c:v>
                </c:pt>
                <c:pt idx="597">
                  <c:v>3.7999999999999989</c:v>
                </c:pt>
                <c:pt idx="598">
                  <c:v>4.0000000000000018</c:v>
                </c:pt>
                <c:pt idx="599">
                  <c:v>6.1000000000000005</c:v>
                </c:pt>
                <c:pt idx="600">
                  <c:v>6.3999999999999995</c:v>
                </c:pt>
                <c:pt idx="601">
                  <c:v>7.3999999999999995</c:v>
                </c:pt>
                <c:pt idx="602">
                  <c:v>8.6000000000000014</c:v>
                </c:pt>
                <c:pt idx="603">
                  <c:v>7.7000000000000011</c:v>
                </c:pt>
                <c:pt idx="604">
                  <c:v>10.399999999999999</c:v>
                </c:pt>
                <c:pt idx="605">
                  <c:v>11.4</c:v>
                </c:pt>
                <c:pt idx="606">
                  <c:v>14.399999999999999</c:v>
                </c:pt>
                <c:pt idx="607">
                  <c:v>14.4</c:v>
                </c:pt>
                <c:pt idx="608">
                  <c:v>16.099999999999998</c:v>
                </c:pt>
                <c:pt idx="609">
                  <c:v>14.700000000000001</c:v>
                </c:pt>
                <c:pt idx="610">
                  <c:v>14.299999999999999</c:v>
                </c:pt>
                <c:pt idx="611">
                  <c:v>12.5</c:v>
                </c:pt>
                <c:pt idx="612">
                  <c:v>12.5</c:v>
                </c:pt>
                <c:pt idx="613">
                  <c:v>12.900000000000002</c:v>
                </c:pt>
                <c:pt idx="614">
                  <c:v>10.799999999999997</c:v>
                </c:pt>
                <c:pt idx="615">
                  <c:v>10.600000000000001</c:v>
                </c:pt>
                <c:pt idx="616">
                  <c:v>11.4</c:v>
                </c:pt>
                <c:pt idx="617">
                  <c:v>11.100000000000001</c:v>
                </c:pt>
                <c:pt idx="618">
                  <c:v>11.100000000000001</c:v>
                </c:pt>
                <c:pt idx="619">
                  <c:v>10.6</c:v>
                </c:pt>
                <c:pt idx="620">
                  <c:v>8.7999999999999989</c:v>
                </c:pt>
                <c:pt idx="621">
                  <c:v>7.8999999999999995</c:v>
                </c:pt>
                <c:pt idx="622">
                  <c:v>8.7000000000000011</c:v>
                </c:pt>
                <c:pt idx="623">
                  <c:v>9</c:v>
                </c:pt>
                <c:pt idx="624">
                  <c:v>8.2000000000000028</c:v>
                </c:pt>
                <c:pt idx="625">
                  <c:v>8.6999999999999993</c:v>
                </c:pt>
                <c:pt idx="626">
                  <c:v>8.7000000000000011</c:v>
                </c:pt>
                <c:pt idx="627">
                  <c:v>8.5</c:v>
                </c:pt>
                <c:pt idx="628">
                  <c:v>7.5</c:v>
                </c:pt>
                <c:pt idx="629">
                  <c:v>7.3</c:v>
                </c:pt>
                <c:pt idx="630">
                  <c:v>6.6</c:v>
                </c:pt>
                <c:pt idx="631">
                  <c:v>9.6</c:v>
                </c:pt>
                <c:pt idx="632">
                  <c:v>8.1</c:v>
                </c:pt>
                <c:pt idx="633">
                  <c:v>6.799999999999998</c:v>
                </c:pt>
                <c:pt idx="634">
                  <c:v>7.9999999999999991</c:v>
                </c:pt>
                <c:pt idx="635">
                  <c:v>7.6000000000000005</c:v>
                </c:pt>
                <c:pt idx="636">
                  <c:v>6.9</c:v>
                </c:pt>
                <c:pt idx="637">
                  <c:v>8.1</c:v>
                </c:pt>
                <c:pt idx="638">
                  <c:v>7.0999999999999988</c:v>
                </c:pt>
                <c:pt idx="639">
                  <c:v>6.4000000000000012</c:v>
                </c:pt>
                <c:pt idx="640">
                  <c:v>4.4000000000000004</c:v>
                </c:pt>
                <c:pt idx="641">
                  <c:v>3.4000000000000004</c:v>
                </c:pt>
                <c:pt idx="642">
                  <c:v>3.8999999999999995</c:v>
                </c:pt>
                <c:pt idx="643">
                  <c:v>2.7999999999999985</c:v>
                </c:pt>
                <c:pt idx="644">
                  <c:v>2.0000000000000004</c:v>
                </c:pt>
                <c:pt idx="645">
                  <c:v>2.2000000000000002</c:v>
                </c:pt>
                <c:pt idx="646">
                  <c:v>3.1999999999999997</c:v>
                </c:pt>
                <c:pt idx="647">
                  <c:v>3.4000000000000004</c:v>
                </c:pt>
                <c:pt idx="648">
                  <c:v>2.5</c:v>
                </c:pt>
                <c:pt idx="649">
                  <c:v>1.5999999999999999</c:v>
                </c:pt>
                <c:pt idx="650">
                  <c:v>1.0999999999999996</c:v>
                </c:pt>
                <c:pt idx="651">
                  <c:v>1.5000000000000002</c:v>
                </c:pt>
                <c:pt idx="652">
                  <c:v>0.79999999999999993</c:v>
                </c:pt>
                <c:pt idx="653">
                  <c:v>2.2999999999999998</c:v>
                </c:pt>
                <c:pt idx="654">
                  <c:v>1.5999999999999999</c:v>
                </c:pt>
                <c:pt idx="655">
                  <c:v>1.7000000000000002</c:v>
                </c:pt>
                <c:pt idx="656">
                  <c:v>4.8</c:v>
                </c:pt>
                <c:pt idx="657">
                  <c:v>6.3999999999999995</c:v>
                </c:pt>
                <c:pt idx="658">
                  <c:v>7.5</c:v>
                </c:pt>
                <c:pt idx="659">
                  <c:v>7.9999999999999991</c:v>
                </c:pt>
                <c:pt idx="660">
                  <c:v>8.1999999999999993</c:v>
                </c:pt>
                <c:pt idx="661">
                  <c:v>6.2999999999999989</c:v>
                </c:pt>
                <c:pt idx="662">
                  <c:v>3.399999999999999</c:v>
                </c:pt>
                <c:pt idx="663">
                  <c:v>2.1</c:v>
                </c:pt>
                <c:pt idx="664">
                  <c:v>0.69999999999999862</c:v>
                </c:pt>
                <c:pt idx="665">
                  <c:v>0.30000000000000077</c:v>
                </c:pt>
                <c:pt idx="666">
                  <c:v>-0.19999999999999835</c:v>
                </c:pt>
                <c:pt idx="667">
                  <c:v>-0.20000000000000051</c:v>
                </c:pt>
                <c:pt idx="668">
                  <c:v>0.40000000000000102</c:v>
                </c:pt>
                <c:pt idx="669">
                  <c:v>0.99999999999999933</c:v>
                </c:pt>
                <c:pt idx="670">
                  <c:v>1.3000000000000003</c:v>
                </c:pt>
                <c:pt idx="671">
                  <c:v>0.29999999999999971</c:v>
                </c:pt>
                <c:pt idx="672">
                  <c:v>1.8999999999999995</c:v>
                </c:pt>
                <c:pt idx="673">
                  <c:v>1.7999999999999983</c:v>
                </c:pt>
                <c:pt idx="674">
                  <c:v>1.6999999999999991</c:v>
                </c:pt>
                <c:pt idx="675">
                  <c:v>0.10000000000000026</c:v>
                </c:pt>
                <c:pt idx="676">
                  <c:v>0.60000000000000153</c:v>
                </c:pt>
                <c:pt idx="677">
                  <c:v>0.40000000000000102</c:v>
                </c:pt>
                <c:pt idx="678">
                  <c:v>1.3000000000000012</c:v>
                </c:pt>
                <c:pt idx="679">
                  <c:v>0.99999999999999933</c:v>
                </c:pt>
                <c:pt idx="680">
                  <c:v>2.9</c:v>
                </c:pt>
                <c:pt idx="681">
                  <c:v>2.8</c:v>
                </c:pt>
                <c:pt idx="682">
                  <c:v>2.5</c:v>
                </c:pt>
                <c:pt idx="683">
                  <c:v>0.80000000000000104</c:v>
                </c:pt>
                <c:pt idx="684">
                  <c:v>3.6999999999999997</c:v>
                </c:pt>
                <c:pt idx="685">
                  <c:v>2.8000000000000003</c:v>
                </c:pt>
                <c:pt idx="686">
                  <c:v>1.9000000000000001</c:v>
                </c:pt>
                <c:pt idx="687">
                  <c:v>2.1</c:v>
                </c:pt>
                <c:pt idx="688">
                  <c:v>1.4999999999999998</c:v>
                </c:pt>
                <c:pt idx="689">
                  <c:v>5.1999999999999993</c:v>
                </c:pt>
                <c:pt idx="690">
                  <c:v>4.2</c:v>
                </c:pt>
                <c:pt idx="691">
                  <c:v>3.8000000000000003</c:v>
                </c:pt>
                <c:pt idx="692">
                  <c:v>4.6000000000000005</c:v>
                </c:pt>
                <c:pt idx="693">
                  <c:v>4.8</c:v>
                </c:pt>
                <c:pt idx="694">
                  <c:v>5.8</c:v>
                </c:pt>
                <c:pt idx="695">
                  <c:v>6.7</c:v>
                </c:pt>
                <c:pt idx="696">
                  <c:v>6.3</c:v>
                </c:pt>
                <c:pt idx="697">
                  <c:v>5.3000000000000007</c:v>
                </c:pt>
                <c:pt idx="698">
                  <c:v>5.9000000000000012</c:v>
                </c:pt>
                <c:pt idx="699">
                  <c:v>6.1999999999999993</c:v>
                </c:pt>
                <c:pt idx="700">
                  <c:v>6.8</c:v>
                </c:pt>
                <c:pt idx="701">
                  <c:v>7.0999999999999988</c:v>
                </c:pt>
                <c:pt idx="702">
                  <c:v>7.4999999999999982</c:v>
                </c:pt>
                <c:pt idx="703">
                  <c:v>7.4000000000000021</c:v>
                </c:pt>
                <c:pt idx="704">
                  <c:v>7.5999999999999979</c:v>
                </c:pt>
                <c:pt idx="705">
                  <c:v>6.1000000000000005</c:v>
                </c:pt>
                <c:pt idx="706">
                  <c:v>6.2000000000000011</c:v>
                </c:pt>
                <c:pt idx="707">
                  <c:v>4.2</c:v>
                </c:pt>
                <c:pt idx="708">
                  <c:v>5.4000000000000012</c:v>
                </c:pt>
                <c:pt idx="709">
                  <c:v>5.3000000000000007</c:v>
                </c:pt>
                <c:pt idx="710">
                  <c:v>5.2999999999999989</c:v>
                </c:pt>
                <c:pt idx="711">
                  <c:v>3.8999999999999995</c:v>
                </c:pt>
                <c:pt idx="712">
                  <c:v>2.7999999999999985</c:v>
                </c:pt>
                <c:pt idx="713">
                  <c:v>1.2999999999999992</c:v>
                </c:pt>
                <c:pt idx="714">
                  <c:v>1.7000000000000002</c:v>
                </c:pt>
                <c:pt idx="715">
                  <c:v>1.8999999999999964</c:v>
                </c:pt>
                <c:pt idx="716">
                  <c:v>2.5</c:v>
                </c:pt>
                <c:pt idx="717">
                  <c:v>2.4999999999999978</c:v>
                </c:pt>
                <c:pt idx="718">
                  <c:v>1.9000000000000006</c:v>
                </c:pt>
                <c:pt idx="719">
                  <c:v>3.3999999999999959</c:v>
                </c:pt>
                <c:pt idx="720">
                  <c:v>3.600000000000001</c:v>
                </c:pt>
                <c:pt idx="721">
                  <c:v>2.3000000000000016</c:v>
                </c:pt>
                <c:pt idx="722">
                  <c:v>4.299999999999998</c:v>
                </c:pt>
                <c:pt idx="723">
                  <c:v>2.2999999999999972</c:v>
                </c:pt>
                <c:pt idx="724">
                  <c:v>4.0999999999999979</c:v>
                </c:pt>
                <c:pt idx="725">
                  <c:v>5.9999999999999982</c:v>
                </c:pt>
                <c:pt idx="726">
                  <c:v>6.5</c:v>
                </c:pt>
                <c:pt idx="727">
                  <c:v>10.299999999999997</c:v>
                </c:pt>
                <c:pt idx="728">
                  <c:v>11.2</c:v>
                </c:pt>
                <c:pt idx="729">
                  <c:v>8.6000000000000014</c:v>
                </c:pt>
                <c:pt idx="730">
                  <c:v>6.9</c:v>
                </c:pt>
                <c:pt idx="731">
                  <c:v>7.1000000000000014</c:v>
                </c:pt>
                <c:pt idx="732">
                  <c:v>6.7</c:v>
                </c:pt>
                <c:pt idx="733">
                  <c:v>5.9999999999999982</c:v>
                </c:pt>
                <c:pt idx="734">
                  <c:v>6.3</c:v>
                </c:pt>
                <c:pt idx="735">
                  <c:v>5.2000000000000011</c:v>
                </c:pt>
                <c:pt idx="736">
                  <c:v>4.3999999999999986</c:v>
                </c:pt>
                <c:pt idx="737">
                  <c:v>2.5999999999999983</c:v>
                </c:pt>
                <c:pt idx="738">
                  <c:v>5</c:v>
                </c:pt>
                <c:pt idx="739">
                  <c:v>3.1999999999999997</c:v>
                </c:pt>
                <c:pt idx="740">
                  <c:v>3.600000000000001</c:v>
                </c:pt>
                <c:pt idx="741">
                  <c:v>3.5000000000000004</c:v>
                </c:pt>
                <c:pt idx="742">
                  <c:v>2.5</c:v>
                </c:pt>
                <c:pt idx="743">
                  <c:v>4.5000000000000009</c:v>
                </c:pt>
                <c:pt idx="744">
                  <c:v>6.3999999999999995</c:v>
                </c:pt>
                <c:pt idx="745">
                  <c:v>7.6000000000000023</c:v>
                </c:pt>
                <c:pt idx="746">
                  <c:v>6.2999999999999989</c:v>
                </c:pt>
                <c:pt idx="747">
                  <c:v>6.0000000000000009</c:v>
                </c:pt>
                <c:pt idx="748">
                  <c:v>5.2000000000000011</c:v>
                </c:pt>
                <c:pt idx="749">
                  <c:v>6.0000000000000009</c:v>
                </c:pt>
                <c:pt idx="750">
                  <c:v>7.9000000000000012</c:v>
                </c:pt>
                <c:pt idx="751">
                  <c:v>5.6000000000000014</c:v>
                </c:pt>
                <c:pt idx="752">
                  <c:v>6.5</c:v>
                </c:pt>
                <c:pt idx="753">
                  <c:v>5.2999999999999989</c:v>
                </c:pt>
                <c:pt idx="754">
                  <c:v>7.200000000000002</c:v>
                </c:pt>
                <c:pt idx="755">
                  <c:v>9.4000000000000021</c:v>
                </c:pt>
                <c:pt idx="756">
                  <c:v>7.9999999999999991</c:v>
                </c:pt>
                <c:pt idx="757">
                  <c:v>7.6000000000000005</c:v>
                </c:pt>
                <c:pt idx="758">
                  <c:v>6.9</c:v>
                </c:pt>
                <c:pt idx="759">
                  <c:v>7.1000000000000014</c:v>
                </c:pt>
                <c:pt idx="760">
                  <c:v>6.2999999999999989</c:v>
                </c:pt>
                <c:pt idx="761">
                  <c:v>8.1999999999999993</c:v>
                </c:pt>
                <c:pt idx="762">
                  <c:v>6.5999999999999988</c:v>
                </c:pt>
                <c:pt idx="763">
                  <c:v>4.6999999999999993</c:v>
                </c:pt>
                <c:pt idx="764">
                  <c:v>5.3000000000000034</c:v>
                </c:pt>
                <c:pt idx="765">
                  <c:v>5.799999999999998</c:v>
                </c:pt>
                <c:pt idx="766">
                  <c:v>6.2000000000000028</c:v>
                </c:pt>
                <c:pt idx="767">
                  <c:v>6.2000000000000028</c:v>
                </c:pt>
                <c:pt idx="768">
                  <c:v>6.5</c:v>
                </c:pt>
                <c:pt idx="769">
                  <c:v>6.5</c:v>
                </c:pt>
                <c:pt idx="770">
                  <c:v>7.0000000000000009</c:v>
                </c:pt>
                <c:pt idx="771">
                  <c:v>7.6999999999999984</c:v>
                </c:pt>
                <c:pt idx="772">
                  <c:v>7.6999999999999984</c:v>
                </c:pt>
                <c:pt idx="773">
                  <c:v>8.4</c:v>
                </c:pt>
                <c:pt idx="774">
                  <c:v>5.3000000000000007</c:v>
                </c:pt>
                <c:pt idx="775">
                  <c:v>4.3999999999999986</c:v>
                </c:pt>
                <c:pt idx="776">
                  <c:v>2.6000000000000023</c:v>
                </c:pt>
                <c:pt idx="777">
                  <c:v>3.600000000000001</c:v>
                </c:pt>
                <c:pt idx="778">
                  <c:v>1.4000000000000037</c:v>
                </c:pt>
                <c:pt idx="779">
                  <c:v>-1.0000000000000069</c:v>
                </c:pt>
                <c:pt idx="780">
                  <c:v>-2.0000000000000009</c:v>
                </c:pt>
                <c:pt idx="781">
                  <c:v>-1.0999999999999985</c:v>
                </c:pt>
                <c:pt idx="782">
                  <c:v>-3.2000000000000042</c:v>
                </c:pt>
                <c:pt idx="783">
                  <c:v>-2.3000000000000016</c:v>
                </c:pt>
                <c:pt idx="784">
                  <c:v>-3.1999999999999997</c:v>
                </c:pt>
                <c:pt idx="785">
                  <c:v>2.7000000000000028</c:v>
                </c:pt>
                <c:pt idx="786">
                  <c:v>3.8000000000000012</c:v>
                </c:pt>
                <c:pt idx="787">
                  <c:v>3.2000000000000042</c:v>
                </c:pt>
                <c:pt idx="788">
                  <c:v>4.6999999999999993</c:v>
                </c:pt>
                <c:pt idx="789">
                  <c:v>4.8</c:v>
                </c:pt>
                <c:pt idx="790">
                  <c:v>4.6999999999999948</c:v>
                </c:pt>
                <c:pt idx="791">
                  <c:v>6.4999999999999956</c:v>
                </c:pt>
                <c:pt idx="792">
                  <c:v>5.799999999999998</c:v>
                </c:pt>
                <c:pt idx="793">
                  <c:v>7.4999999999999982</c:v>
                </c:pt>
                <c:pt idx="794">
                  <c:v>9.5000000000000036</c:v>
                </c:pt>
                <c:pt idx="795">
                  <c:v>7.4000000000000021</c:v>
                </c:pt>
                <c:pt idx="796">
                  <c:v>8.600000000000005</c:v>
                </c:pt>
                <c:pt idx="797">
                  <c:v>8.7999999999999972</c:v>
                </c:pt>
                <c:pt idx="798">
                  <c:v>6.6000000000000085</c:v>
                </c:pt>
                <c:pt idx="799">
                  <c:v>4.0999999999999979</c:v>
                </c:pt>
                <c:pt idx="800">
                  <c:v>2.7000000000000028</c:v>
                </c:pt>
                <c:pt idx="801">
                  <c:v>1.4000000000000123</c:v>
                </c:pt>
                <c:pt idx="802">
                  <c:v>3.4000000000000004</c:v>
                </c:pt>
                <c:pt idx="803">
                  <c:v>1.6000000000000041</c:v>
                </c:pt>
                <c:pt idx="804">
                  <c:v>4.7999999999999954</c:v>
                </c:pt>
                <c:pt idx="805">
                  <c:v>18.099999999999991</c:v>
                </c:pt>
                <c:pt idx="806">
                  <c:v>14.69999999999999</c:v>
                </c:pt>
                <c:pt idx="807">
                  <c:v>15.399999999999997</c:v>
                </c:pt>
                <c:pt idx="808">
                  <c:v>16.499999999999986</c:v>
                </c:pt>
                <c:pt idx="809">
                  <c:v>17.499999999999996</c:v>
                </c:pt>
                <c:pt idx="810">
                  <c:v>16.800000000000008</c:v>
                </c:pt>
                <c:pt idx="811">
                  <c:v>13.399999999999991</c:v>
                </c:pt>
                <c:pt idx="812">
                  <c:v>11.000000000000004</c:v>
                </c:pt>
                <c:pt idx="813">
                  <c:v>12.699999999999985</c:v>
                </c:pt>
                <c:pt idx="814">
                  <c:v>4.299999999999998</c:v>
                </c:pt>
                <c:pt idx="815">
                  <c:v>10.999999999999995</c:v>
                </c:pt>
                <c:pt idx="816">
                  <c:v>8.800000000000006</c:v>
                </c:pt>
                <c:pt idx="817">
                  <c:v>11.900000000000009</c:v>
                </c:pt>
                <c:pt idx="818">
                  <c:v>14.700000000000008</c:v>
                </c:pt>
                <c:pt idx="819">
                  <c:v>14.69999999999999</c:v>
                </c:pt>
                <c:pt idx="820">
                  <c:v>23.400000000000002</c:v>
                </c:pt>
                <c:pt idx="821">
                  <c:v>30.100000000000005</c:v>
                </c:pt>
                <c:pt idx="822">
                  <c:v>34.199999999999996</c:v>
                </c:pt>
                <c:pt idx="823">
                  <c:v>40</c:v>
                </c:pt>
                <c:pt idx="824">
                  <c:v>41.4</c:v>
                </c:pt>
                <c:pt idx="825">
                  <c:v>44.000000000000014</c:v>
                </c:pt>
                <c:pt idx="826">
                  <c:v>47.800000000000011</c:v>
                </c:pt>
                <c:pt idx="827">
                  <c:v>36.800000000000011</c:v>
                </c:pt>
                <c:pt idx="828">
                  <c:v>33.200000000000003</c:v>
                </c:pt>
                <c:pt idx="829">
                  <c:v>29.499999999999996</c:v>
                </c:pt>
                <c:pt idx="830">
                  <c:v>27.799999999999994</c:v>
                </c:pt>
                <c:pt idx="831">
                  <c:v>25.500000000000004</c:v>
                </c:pt>
                <c:pt idx="832">
                  <c:v>25.599999999999998</c:v>
                </c:pt>
                <c:pt idx="833">
                  <c:v>23.20000000000001</c:v>
                </c:pt>
                <c:pt idx="834">
                  <c:v>23.9</c:v>
                </c:pt>
                <c:pt idx="835">
                  <c:v>26.4</c:v>
                </c:pt>
                <c:pt idx="836">
                  <c:v>26.299999999999986</c:v>
                </c:pt>
                <c:pt idx="837">
                  <c:v>28.79999999999999</c:v>
                </c:pt>
                <c:pt idx="838">
                  <c:v>29.200000000000006</c:v>
                </c:pt>
                <c:pt idx="839">
                  <c:v>33.100000000000023</c:v>
                </c:pt>
                <c:pt idx="840">
                  <c:v>33.100000000000023</c:v>
                </c:pt>
                <c:pt idx="841">
                  <c:v>34.70000000000001</c:v>
                </c:pt>
                <c:pt idx="842">
                  <c:v>32.9</c:v>
                </c:pt>
                <c:pt idx="843">
                  <c:v>28.400000000000006</c:v>
                </c:pt>
                <c:pt idx="844">
                  <c:v>28.699999999999974</c:v>
                </c:pt>
                <c:pt idx="845">
                  <c:v>23.700000000000006</c:v>
                </c:pt>
                <c:pt idx="846">
                  <c:v>24.999999999999986</c:v>
                </c:pt>
                <c:pt idx="847">
                  <c:v>24.999999999999986</c:v>
                </c:pt>
                <c:pt idx="848">
                  <c:v>24.500000000000007</c:v>
                </c:pt>
                <c:pt idx="849">
                  <c:v>26.599999999999991</c:v>
                </c:pt>
                <c:pt idx="850">
                  <c:v>24.7</c:v>
                </c:pt>
                <c:pt idx="851">
                  <c:v>26.100000000000012</c:v>
                </c:pt>
                <c:pt idx="852">
                  <c:v>26.800000000000018</c:v>
                </c:pt>
                <c:pt idx="853">
                  <c:v>27.599999999999987</c:v>
                </c:pt>
                <c:pt idx="854">
                  <c:v>27.100000000000005</c:v>
                </c:pt>
                <c:pt idx="855">
                  <c:v>25.500000000000004</c:v>
                </c:pt>
                <c:pt idx="856">
                  <c:v>26.100000000000012</c:v>
                </c:pt>
                <c:pt idx="857">
                  <c:v>24.400000000000013</c:v>
                </c:pt>
                <c:pt idx="858">
                  <c:v>25.100000000000019</c:v>
                </c:pt>
                <c:pt idx="859">
                  <c:v>27.500000000000025</c:v>
                </c:pt>
                <c:pt idx="860">
                  <c:v>28.199999999999996</c:v>
                </c:pt>
                <c:pt idx="861">
                  <c:v>26.800000000000018</c:v>
                </c:pt>
                <c:pt idx="862">
                  <c:v>27.699999999999982</c:v>
                </c:pt>
                <c:pt idx="863">
                  <c:v>24.799999999999997</c:v>
                </c:pt>
                <c:pt idx="864">
                  <c:v>28.999999999999996</c:v>
                </c:pt>
                <c:pt idx="865">
                  <c:v>29.8</c:v>
                </c:pt>
                <c:pt idx="866">
                  <c:v>29.899999999999995</c:v>
                </c:pt>
                <c:pt idx="867">
                  <c:v>34</c:v>
                </c:pt>
                <c:pt idx="868">
                  <c:v>33.900000000000006</c:v>
                </c:pt>
                <c:pt idx="869">
                  <c:v>34.1</c:v>
                </c:pt>
                <c:pt idx="870">
                  <c:v>31.199999999999978</c:v>
                </c:pt>
                <c:pt idx="871">
                  <c:v>35.899999999999991</c:v>
                </c:pt>
                <c:pt idx="872">
                  <c:v>34.800000000000004</c:v>
                </c:pt>
                <c:pt idx="873">
                  <c:v>36.100000000000023</c:v>
                </c:pt>
                <c:pt idx="874">
                  <c:v>29.8</c:v>
                </c:pt>
                <c:pt idx="875">
                  <c:v>28.500000000000018</c:v>
                </c:pt>
                <c:pt idx="876">
                  <c:v>28.600000000000016</c:v>
                </c:pt>
                <c:pt idx="877">
                  <c:v>31.799999999999986</c:v>
                </c:pt>
                <c:pt idx="878">
                  <c:v>32.599999999999987</c:v>
                </c:pt>
                <c:pt idx="879">
                  <c:v>33.89999999999997</c:v>
                </c:pt>
                <c:pt idx="880">
                  <c:v>32.100000000000009</c:v>
                </c:pt>
                <c:pt idx="881">
                  <c:v>32.900000000000013</c:v>
                </c:pt>
                <c:pt idx="882">
                  <c:v>34.1</c:v>
                </c:pt>
                <c:pt idx="883">
                  <c:v>28.900000000000002</c:v>
                </c:pt>
                <c:pt idx="884">
                  <c:v>28.900000000000038</c:v>
                </c:pt>
                <c:pt idx="885">
                  <c:v>33.299999999999997</c:v>
                </c:pt>
                <c:pt idx="886">
                  <c:v>37.500000000000036</c:v>
                </c:pt>
                <c:pt idx="887">
                  <c:v>37.000000000000021</c:v>
                </c:pt>
                <c:pt idx="888">
                  <c:v>28.800000000000008</c:v>
                </c:pt>
                <c:pt idx="889">
                  <c:v>26.499999999999996</c:v>
                </c:pt>
                <c:pt idx="890">
                  <c:v>26.100000000000012</c:v>
                </c:pt>
                <c:pt idx="891">
                  <c:v>24.200000000000021</c:v>
                </c:pt>
                <c:pt idx="892">
                  <c:v>28.1</c:v>
                </c:pt>
                <c:pt idx="893">
                  <c:v>30.7</c:v>
                </c:pt>
                <c:pt idx="894">
                  <c:v>24.899999999999991</c:v>
                </c:pt>
                <c:pt idx="895">
                  <c:v>25.400000000000006</c:v>
                </c:pt>
                <c:pt idx="896">
                  <c:v>24.399999999999977</c:v>
                </c:pt>
                <c:pt idx="897">
                  <c:v>24.7</c:v>
                </c:pt>
                <c:pt idx="898">
                  <c:v>27.200000000000003</c:v>
                </c:pt>
                <c:pt idx="899">
                  <c:v>20.400000000000002</c:v>
                </c:pt>
                <c:pt idx="900">
                  <c:v>23.999999999999993</c:v>
                </c:pt>
                <c:pt idx="901">
                  <c:v>22.399999999999988</c:v>
                </c:pt>
                <c:pt idx="902">
                  <c:v>23.599999999999977</c:v>
                </c:pt>
                <c:pt idx="903">
                  <c:v>19.79999999999999</c:v>
                </c:pt>
                <c:pt idx="904">
                  <c:v>23.399999999999984</c:v>
                </c:pt>
                <c:pt idx="905">
                  <c:v>24.600000000000005</c:v>
                </c:pt>
                <c:pt idx="906">
                  <c:v>22.59999999999998</c:v>
                </c:pt>
                <c:pt idx="907">
                  <c:v>20.800000000000018</c:v>
                </c:pt>
                <c:pt idx="908">
                  <c:v>21.199999999999967</c:v>
                </c:pt>
                <c:pt idx="909">
                  <c:v>26.100000000000012</c:v>
                </c:pt>
                <c:pt idx="910">
                  <c:v>29.899999999999995</c:v>
                </c:pt>
                <c:pt idx="911">
                  <c:v>29.899999999999995</c:v>
                </c:pt>
                <c:pt idx="912">
                  <c:v>32.899999999999977</c:v>
                </c:pt>
                <c:pt idx="913">
                  <c:v>31.200000000000014</c:v>
                </c:pt>
                <c:pt idx="914">
                  <c:v>34.399999999999984</c:v>
                </c:pt>
                <c:pt idx="915">
                  <c:v>35.200000000000024</c:v>
                </c:pt>
                <c:pt idx="916">
                  <c:v>32.900000000000013</c:v>
                </c:pt>
                <c:pt idx="917">
                  <c:v>33.700000000000017</c:v>
                </c:pt>
                <c:pt idx="918">
                  <c:v>32.4</c:v>
                </c:pt>
                <c:pt idx="919">
                  <c:v>32.4</c:v>
                </c:pt>
                <c:pt idx="920">
                  <c:v>29.399999999999981</c:v>
                </c:pt>
                <c:pt idx="921">
                  <c:v>28.399999999999988</c:v>
                </c:pt>
                <c:pt idx="922">
                  <c:v>27.599999999999987</c:v>
                </c:pt>
                <c:pt idx="923">
                  <c:v>26.599999999999991</c:v>
                </c:pt>
                <c:pt idx="924">
                  <c:v>27.299999999999997</c:v>
                </c:pt>
                <c:pt idx="925">
                  <c:v>26.599999999999991</c:v>
                </c:pt>
                <c:pt idx="926">
                  <c:v>21.399999999999995</c:v>
                </c:pt>
                <c:pt idx="927">
                  <c:v>22.399999999999988</c:v>
                </c:pt>
                <c:pt idx="928">
                  <c:v>21.499999999999993</c:v>
                </c:pt>
                <c:pt idx="929">
                  <c:v>20.300000000000004</c:v>
                </c:pt>
                <c:pt idx="930">
                  <c:v>24.600000000000005</c:v>
                </c:pt>
                <c:pt idx="931">
                  <c:v>25.90000000000002</c:v>
                </c:pt>
                <c:pt idx="932">
                  <c:v>25.499999999999968</c:v>
                </c:pt>
                <c:pt idx="933">
                  <c:v>28.199999999999996</c:v>
                </c:pt>
                <c:pt idx="934">
                  <c:v>29.500000000000011</c:v>
                </c:pt>
                <c:pt idx="935">
                  <c:v>27.900000000000009</c:v>
                </c:pt>
                <c:pt idx="936">
                  <c:v>28.399999999999988</c:v>
                </c:pt>
                <c:pt idx="937">
                  <c:v>17.800000000000004</c:v>
                </c:pt>
                <c:pt idx="938">
                  <c:v>28.199999999999996</c:v>
                </c:pt>
                <c:pt idx="939">
                  <c:v>29.500000000000011</c:v>
                </c:pt>
                <c:pt idx="940">
                  <c:v>27.900000000000009</c:v>
                </c:pt>
                <c:pt idx="941">
                  <c:v>28.399999999999988</c:v>
                </c:pt>
                <c:pt idx="942">
                  <c:v>17.800000000000004</c:v>
                </c:pt>
                <c:pt idx="943">
                  <c:v>24.799999999999997</c:v>
                </c:pt>
                <c:pt idx="944">
                  <c:v>24.600000000000005</c:v>
                </c:pt>
                <c:pt idx="945">
                  <c:v>26.199999999999974</c:v>
                </c:pt>
                <c:pt idx="946">
                  <c:v>24.7</c:v>
                </c:pt>
                <c:pt idx="947">
                  <c:v>22.900000000000002</c:v>
                </c:pt>
                <c:pt idx="948">
                  <c:v>25.599999999999998</c:v>
                </c:pt>
                <c:pt idx="949">
                  <c:v>26.4</c:v>
                </c:pt>
                <c:pt idx="950">
                  <c:v>26.299999999999969</c:v>
                </c:pt>
                <c:pt idx="951">
                  <c:v>28.999999999999964</c:v>
                </c:pt>
                <c:pt idx="952">
                  <c:v>21.300000000000033</c:v>
                </c:pt>
                <c:pt idx="953">
                  <c:v>20.500000000000032</c:v>
                </c:pt>
                <c:pt idx="954">
                  <c:v>24.100000000000023</c:v>
                </c:pt>
                <c:pt idx="955">
                  <c:v>25.599999999999998</c:v>
                </c:pt>
                <c:pt idx="956">
                  <c:v>28.1</c:v>
                </c:pt>
                <c:pt idx="957">
                  <c:v>30.199999999999985</c:v>
                </c:pt>
                <c:pt idx="958">
                  <c:v>27.599999999999987</c:v>
                </c:pt>
                <c:pt idx="959">
                  <c:v>27.799999999999976</c:v>
                </c:pt>
                <c:pt idx="960">
                  <c:v>30.600000000000037</c:v>
                </c:pt>
                <c:pt idx="961">
                  <c:v>32.400000000000034</c:v>
                </c:pt>
                <c:pt idx="962">
                  <c:v>34.600000000000016</c:v>
                </c:pt>
                <c:pt idx="963">
                  <c:v>43.400000000000034</c:v>
                </c:pt>
                <c:pt idx="964">
                  <c:v>36.400000000000006</c:v>
                </c:pt>
                <c:pt idx="965">
                  <c:v>35.700000000000038</c:v>
                </c:pt>
                <c:pt idx="966">
                  <c:v>34.600000000000016</c:v>
                </c:pt>
                <c:pt idx="967">
                  <c:v>31.300000000000043</c:v>
                </c:pt>
                <c:pt idx="968">
                  <c:v>31.000000000000057</c:v>
                </c:pt>
                <c:pt idx="969">
                  <c:v>30.699999999999964</c:v>
                </c:pt>
                <c:pt idx="970">
                  <c:v>32.900000000000013</c:v>
                </c:pt>
                <c:pt idx="971">
                  <c:v>28.299999999999958</c:v>
                </c:pt>
                <c:pt idx="972">
                  <c:v>26.199999999999974</c:v>
                </c:pt>
                <c:pt idx="973">
                  <c:v>28.900000000000002</c:v>
                </c:pt>
                <c:pt idx="974">
                  <c:v>32.799999999999983</c:v>
                </c:pt>
                <c:pt idx="975">
                  <c:v>26.099999999999977</c:v>
                </c:pt>
                <c:pt idx="976">
                  <c:v>27.20000000000007</c:v>
                </c:pt>
                <c:pt idx="977">
                  <c:v>26.499999999999996</c:v>
                </c:pt>
                <c:pt idx="978">
                  <c:v>25.90000000000002</c:v>
                </c:pt>
                <c:pt idx="979">
                  <c:v>29.399999999999981</c:v>
                </c:pt>
                <c:pt idx="980">
                  <c:v>30.299999999999979</c:v>
                </c:pt>
                <c:pt idx="981">
                  <c:v>31.60000000000003</c:v>
                </c:pt>
                <c:pt idx="982">
                  <c:v>31.599999999999962</c:v>
                </c:pt>
                <c:pt idx="983">
                  <c:v>36.199999999999982</c:v>
                </c:pt>
                <c:pt idx="984">
                  <c:v>39.70000000000001</c:v>
                </c:pt>
                <c:pt idx="985">
                  <c:v>39.100000000000037</c:v>
                </c:pt>
                <c:pt idx="986">
                  <c:v>50.000000000000043</c:v>
                </c:pt>
                <c:pt idx="987">
                  <c:v>51.999999999999964</c:v>
                </c:pt>
                <c:pt idx="988">
                  <c:v>54.300000000000011</c:v>
                </c:pt>
                <c:pt idx="989">
                  <c:v>55.499999999999993</c:v>
                </c:pt>
                <c:pt idx="990">
                  <c:v>50.2</c:v>
                </c:pt>
                <c:pt idx="991">
                  <c:v>53.199999999999946</c:v>
                </c:pt>
                <c:pt idx="992">
                  <c:v>55.300000000000004</c:v>
                </c:pt>
                <c:pt idx="993">
                  <c:v>56.2</c:v>
                </c:pt>
                <c:pt idx="994">
                  <c:v>57.799999999999969</c:v>
                </c:pt>
                <c:pt idx="995">
                  <c:v>58.500000000000007</c:v>
                </c:pt>
                <c:pt idx="996">
                  <c:v>61.000000000000014</c:v>
                </c:pt>
                <c:pt idx="997">
                  <c:v>61.300000000000033</c:v>
                </c:pt>
                <c:pt idx="998">
                  <c:v>62.200000000000031</c:v>
                </c:pt>
                <c:pt idx="999">
                  <c:v>64.200000000000017</c:v>
                </c:pt>
                <c:pt idx="1000">
                  <c:v>57</c:v>
                </c:pt>
                <c:pt idx="1001">
                  <c:v>66.400000000000006</c:v>
                </c:pt>
                <c:pt idx="1002">
                  <c:v>67.000000000000014</c:v>
                </c:pt>
                <c:pt idx="1003">
                  <c:v>67.100000000000009</c:v>
                </c:pt>
                <c:pt idx="1004">
                  <c:v>60.599999999999994</c:v>
                </c:pt>
                <c:pt idx="1005">
                  <c:v>49.4</c:v>
                </c:pt>
                <c:pt idx="1006">
                  <c:v>48.299999999999976</c:v>
                </c:pt>
                <c:pt idx="1007">
                  <c:v>49.599999999999994</c:v>
                </c:pt>
                <c:pt idx="1008">
                  <c:v>53.999999999999986</c:v>
                </c:pt>
                <c:pt idx="1009">
                  <c:v>52.500000000000014</c:v>
                </c:pt>
                <c:pt idx="1010">
                  <c:v>50.599999999999987</c:v>
                </c:pt>
                <c:pt idx="1011">
                  <c:v>54.199999999999946</c:v>
                </c:pt>
                <c:pt idx="1012">
                  <c:v>52.300000000000018</c:v>
                </c:pt>
                <c:pt idx="1013">
                  <c:v>51.000000000000007</c:v>
                </c:pt>
                <c:pt idx="1014">
                  <c:v>53.300000000000011</c:v>
                </c:pt>
                <c:pt idx="1015">
                  <c:v>51.70000000000001</c:v>
                </c:pt>
                <c:pt idx="1016">
                  <c:v>50.3</c:v>
                </c:pt>
                <c:pt idx="1017">
                  <c:v>49.799999999999983</c:v>
                </c:pt>
                <c:pt idx="1018">
                  <c:v>51.000000000000007</c:v>
                </c:pt>
                <c:pt idx="1019">
                  <c:v>49.4</c:v>
                </c:pt>
                <c:pt idx="1020">
                  <c:v>50.3</c:v>
                </c:pt>
                <c:pt idx="1021">
                  <c:v>55.900000000000013</c:v>
                </c:pt>
                <c:pt idx="1022">
                  <c:v>54.60000000000003</c:v>
                </c:pt>
                <c:pt idx="1023">
                  <c:v>52.8</c:v>
                </c:pt>
                <c:pt idx="1024">
                  <c:v>59.39999999999997</c:v>
                </c:pt>
                <c:pt idx="1025">
                  <c:v>64.899999999999991</c:v>
                </c:pt>
                <c:pt idx="1026">
                  <c:v>65.600000000000037</c:v>
                </c:pt>
                <c:pt idx="1027">
                  <c:v>64.899999999999963</c:v>
                </c:pt>
                <c:pt idx="1028">
                  <c:v>66.899999999999977</c:v>
                </c:pt>
                <c:pt idx="1029">
                  <c:v>62.500000000000021</c:v>
                </c:pt>
                <c:pt idx="1030">
                  <c:v>64.100000000000065</c:v>
                </c:pt>
                <c:pt idx="1031">
                  <c:v>65.499999999999972</c:v>
                </c:pt>
                <c:pt idx="1032">
                  <c:v>63</c:v>
                </c:pt>
                <c:pt idx="1033">
                  <c:v>61.500000000000028</c:v>
                </c:pt>
                <c:pt idx="1034">
                  <c:v>59.79999999999999</c:v>
                </c:pt>
                <c:pt idx="1035">
                  <c:v>61.800000000000047</c:v>
                </c:pt>
                <c:pt idx="1036">
                  <c:v>63.70000000000001</c:v>
                </c:pt>
                <c:pt idx="1037">
                  <c:v>67.2</c:v>
                </c:pt>
                <c:pt idx="1038">
                  <c:v>68.40000000000002</c:v>
                </c:pt>
                <c:pt idx="1039">
                  <c:v>64.500000000000014</c:v>
                </c:pt>
                <c:pt idx="1040">
                  <c:v>67.200000000000031</c:v>
                </c:pt>
                <c:pt idx="1041">
                  <c:v>64.600000000000037</c:v>
                </c:pt>
                <c:pt idx="1042">
                  <c:v>64.199999999999989</c:v>
                </c:pt>
                <c:pt idx="1043">
                  <c:v>57.999999999999993</c:v>
                </c:pt>
                <c:pt idx="1044">
                  <c:v>55.599999999999952</c:v>
                </c:pt>
                <c:pt idx="1045">
                  <c:v>55.900000000000013</c:v>
                </c:pt>
                <c:pt idx="1046">
                  <c:v>56.500000000000021</c:v>
                </c:pt>
                <c:pt idx="1047">
                  <c:v>51.9</c:v>
                </c:pt>
                <c:pt idx="1048">
                  <c:v>46.40000000000002</c:v>
                </c:pt>
                <c:pt idx="1049">
                  <c:v>45.70000000000001</c:v>
                </c:pt>
                <c:pt idx="1050">
                  <c:v>49.700000000000024</c:v>
                </c:pt>
                <c:pt idx="1051">
                  <c:v>51.300000000000026</c:v>
                </c:pt>
                <c:pt idx="1052">
                  <c:v>49.000000000000014</c:v>
                </c:pt>
                <c:pt idx="1053">
                  <c:v>51.600000000000051</c:v>
                </c:pt>
                <c:pt idx="1054">
                  <c:v>57.29999999999999</c:v>
                </c:pt>
                <c:pt idx="1055">
                  <c:v>58.400000000000013</c:v>
                </c:pt>
                <c:pt idx="1056">
                  <c:v>62.000000000000043</c:v>
                </c:pt>
                <c:pt idx="1057">
                  <c:v>63.40000000000002</c:v>
                </c:pt>
                <c:pt idx="1058">
                  <c:v>56.89999999999997</c:v>
                </c:pt>
                <c:pt idx="1059">
                  <c:v>48.5</c:v>
                </c:pt>
                <c:pt idx="1060">
                  <c:v>55.399999999999963</c:v>
                </c:pt>
                <c:pt idx="1061">
                  <c:v>52.300000000000018</c:v>
                </c:pt>
                <c:pt idx="1062">
                  <c:v>52.7</c:v>
                </c:pt>
                <c:pt idx="1063">
                  <c:v>56.700000000000017</c:v>
                </c:pt>
                <c:pt idx="1064">
                  <c:v>54.899999999999984</c:v>
                </c:pt>
                <c:pt idx="1065">
                  <c:v>59.200000000000017</c:v>
                </c:pt>
                <c:pt idx="1066">
                  <c:v>57.29999999999999</c:v>
                </c:pt>
                <c:pt idx="1067">
                  <c:v>58.700000000000038</c:v>
                </c:pt>
                <c:pt idx="1068">
                  <c:v>60.899999999999984</c:v>
                </c:pt>
                <c:pt idx="1069">
                  <c:v>63.700000000000038</c:v>
                </c:pt>
                <c:pt idx="1070">
                  <c:v>62.000000000000007</c:v>
                </c:pt>
                <c:pt idx="1071">
                  <c:v>62.1</c:v>
                </c:pt>
                <c:pt idx="1072">
                  <c:v>63.799999999999969</c:v>
                </c:pt>
                <c:pt idx="1073">
                  <c:v>62.3</c:v>
                </c:pt>
                <c:pt idx="1074">
                  <c:v>60.299999999999969</c:v>
                </c:pt>
                <c:pt idx="1075">
                  <c:v>60.60000000000003</c:v>
                </c:pt>
                <c:pt idx="1076">
                  <c:v>59.700000000000031</c:v>
                </c:pt>
                <c:pt idx="1077">
                  <c:v>59.6</c:v>
                </c:pt>
                <c:pt idx="1078">
                  <c:v>58.500000000000007</c:v>
                </c:pt>
                <c:pt idx="1079">
                  <c:v>56.59999999999998</c:v>
                </c:pt>
                <c:pt idx="1080">
                  <c:v>57.40000000000002</c:v>
                </c:pt>
                <c:pt idx="1081">
                  <c:v>59.69999999999996</c:v>
                </c:pt>
                <c:pt idx="1082">
                  <c:v>59.000000000000021</c:v>
                </c:pt>
                <c:pt idx="1083">
                  <c:v>56.100000000000037</c:v>
                </c:pt>
                <c:pt idx="1084">
                  <c:v>52.300000000000054</c:v>
                </c:pt>
                <c:pt idx="1085">
                  <c:v>50.799999999999976</c:v>
                </c:pt>
                <c:pt idx="1086">
                  <c:v>41.300000000000054</c:v>
                </c:pt>
                <c:pt idx="1087">
                  <c:v>45.89999999999997</c:v>
                </c:pt>
                <c:pt idx="1088">
                  <c:v>33.000000000000007</c:v>
                </c:pt>
                <c:pt idx="1089">
                  <c:v>47.699999999999967</c:v>
                </c:pt>
                <c:pt idx="1090">
                  <c:v>39.800000000000011</c:v>
                </c:pt>
                <c:pt idx="1091">
                  <c:v>40.600000000000009</c:v>
                </c:pt>
                <c:pt idx="1092">
                  <c:v>45.800000000000004</c:v>
                </c:pt>
                <c:pt idx="1093">
                  <c:v>47.599999999999966</c:v>
                </c:pt>
                <c:pt idx="1094">
                  <c:v>41.399999999999977</c:v>
                </c:pt>
                <c:pt idx="1095">
                  <c:v>35.699999999999932</c:v>
                </c:pt>
                <c:pt idx="1096">
                  <c:v>39.59999999999998</c:v>
                </c:pt>
                <c:pt idx="1097">
                  <c:v>38.4</c:v>
                </c:pt>
                <c:pt idx="1098">
                  <c:v>39.800000000000011</c:v>
                </c:pt>
                <c:pt idx="1099">
                  <c:v>37.500000000000036</c:v>
                </c:pt>
                <c:pt idx="1100">
                  <c:v>34.699999999999974</c:v>
                </c:pt>
                <c:pt idx="1101">
                  <c:v>33.800000000000047</c:v>
                </c:pt>
                <c:pt idx="1102">
                  <c:v>35.299999999999983</c:v>
                </c:pt>
                <c:pt idx="1103">
                  <c:v>31.599999999999962</c:v>
                </c:pt>
                <c:pt idx="1104">
                  <c:v>33.1</c:v>
                </c:pt>
                <c:pt idx="1105">
                  <c:v>34.000000000000036</c:v>
                </c:pt>
                <c:pt idx="1106">
                  <c:v>30.300000000000015</c:v>
                </c:pt>
                <c:pt idx="1107">
                  <c:v>29.799999999999965</c:v>
                </c:pt>
                <c:pt idx="1108">
                  <c:v>31.199999999999978</c:v>
                </c:pt>
                <c:pt idx="1109">
                  <c:v>28.699999999999974</c:v>
                </c:pt>
                <c:pt idx="1110">
                  <c:v>27.100000000000005</c:v>
                </c:pt>
                <c:pt idx="1111">
                  <c:v>28.1</c:v>
                </c:pt>
                <c:pt idx="1112">
                  <c:v>24.600000000000037</c:v>
                </c:pt>
                <c:pt idx="1113">
                  <c:v>27.899999999999974</c:v>
                </c:pt>
                <c:pt idx="1114">
                  <c:v>26.900000000000048</c:v>
                </c:pt>
                <c:pt idx="1115">
                  <c:v>23.600000000000009</c:v>
                </c:pt>
                <c:pt idx="1116">
                  <c:v>21.199999999999967</c:v>
                </c:pt>
                <c:pt idx="1117">
                  <c:v>21.800000000000047</c:v>
                </c:pt>
                <c:pt idx="1118">
                  <c:v>17.899999999999999</c:v>
                </c:pt>
                <c:pt idx="1119">
                  <c:v>21.799999999999979</c:v>
                </c:pt>
                <c:pt idx="1120">
                  <c:v>21.900000000000045</c:v>
                </c:pt>
                <c:pt idx="1121">
                  <c:v>20.20000000000001</c:v>
                </c:pt>
                <c:pt idx="1122">
                  <c:v>22.299999999999994</c:v>
                </c:pt>
                <c:pt idx="1123">
                  <c:v>25.200000000000014</c:v>
                </c:pt>
                <c:pt idx="1124">
                  <c:v>23.899999999999963</c:v>
                </c:pt>
                <c:pt idx="1125">
                  <c:v>24.200000000000021</c:v>
                </c:pt>
                <c:pt idx="1126">
                  <c:v>23.600000000000044</c:v>
                </c:pt>
                <c:pt idx="1127">
                  <c:v>25.599999999999998</c:v>
                </c:pt>
                <c:pt idx="1128">
                  <c:v>24.999999999999954</c:v>
                </c:pt>
                <c:pt idx="1129">
                  <c:v>23.999999999999957</c:v>
                </c:pt>
                <c:pt idx="1130">
                  <c:v>25.100000000000019</c:v>
                </c:pt>
                <c:pt idx="1131">
                  <c:v>29.899999999999963</c:v>
                </c:pt>
                <c:pt idx="1132">
                  <c:v>27.299999999999997</c:v>
                </c:pt>
                <c:pt idx="1133">
                  <c:v>27.799999999999976</c:v>
                </c:pt>
                <c:pt idx="1134">
                  <c:v>28.199999999999996</c:v>
                </c:pt>
                <c:pt idx="1135">
                  <c:v>24.799999999999962</c:v>
                </c:pt>
                <c:pt idx="1136">
                  <c:v>25.90000000000002</c:v>
                </c:pt>
                <c:pt idx="1137">
                  <c:v>27.700000000000017</c:v>
                </c:pt>
                <c:pt idx="1138">
                  <c:v>25.90000000000002</c:v>
                </c:pt>
                <c:pt idx="1139">
                  <c:v>28.900000000000002</c:v>
                </c:pt>
                <c:pt idx="1140">
                  <c:v>27.700000000000017</c:v>
                </c:pt>
                <c:pt idx="1141">
                  <c:v>27.299999999999997</c:v>
                </c:pt>
                <c:pt idx="1142">
                  <c:v>28.59999999999998</c:v>
                </c:pt>
                <c:pt idx="1143">
                  <c:v>29.400000000000016</c:v>
                </c:pt>
                <c:pt idx="1144">
                  <c:v>31.5</c:v>
                </c:pt>
                <c:pt idx="1145">
                  <c:v>33.700000000000017</c:v>
                </c:pt>
                <c:pt idx="1146">
                  <c:v>32.400000000000034</c:v>
                </c:pt>
                <c:pt idx="1147">
                  <c:v>33.600000000000016</c:v>
                </c:pt>
                <c:pt idx="1148">
                  <c:v>32.600000000000023</c:v>
                </c:pt>
                <c:pt idx="1149">
                  <c:v>33.700000000000053</c:v>
                </c:pt>
                <c:pt idx="1150">
                  <c:v>36.500000000000007</c:v>
                </c:pt>
                <c:pt idx="1151">
                  <c:v>43.599999999999959</c:v>
                </c:pt>
                <c:pt idx="1152">
                  <c:v>42.100000000000051</c:v>
                </c:pt>
                <c:pt idx="1153">
                  <c:v>49.700000000000024</c:v>
                </c:pt>
                <c:pt idx="1154">
                  <c:v>46.40000000000002</c:v>
                </c:pt>
                <c:pt idx="1155">
                  <c:v>43.399999999999963</c:v>
                </c:pt>
                <c:pt idx="1156">
                  <c:v>35.899999999999963</c:v>
                </c:pt>
                <c:pt idx="1157">
                  <c:v>30.000000000000028</c:v>
                </c:pt>
                <c:pt idx="1158">
                  <c:v>29.299999999999986</c:v>
                </c:pt>
                <c:pt idx="1159">
                  <c:v>29.799999999999965</c:v>
                </c:pt>
                <c:pt idx="1160">
                  <c:v>29.10000000000003</c:v>
                </c:pt>
                <c:pt idx="1161">
                  <c:v>27.900000000000041</c:v>
                </c:pt>
                <c:pt idx="1162">
                  <c:v>26.100000000000012</c:v>
                </c:pt>
                <c:pt idx="1163">
                  <c:v>26.900000000000013</c:v>
                </c:pt>
                <c:pt idx="1164">
                  <c:v>27.700000000000017</c:v>
                </c:pt>
                <c:pt idx="1165">
                  <c:v>27.100000000000005</c:v>
                </c:pt>
                <c:pt idx="1166">
                  <c:v>27.599999999999987</c:v>
                </c:pt>
                <c:pt idx="1167">
                  <c:v>27.700000000000017</c:v>
                </c:pt>
                <c:pt idx="1168">
                  <c:v>26.800000000000018</c:v>
                </c:pt>
                <c:pt idx="1169">
                  <c:v>29.300000000000022</c:v>
                </c:pt>
                <c:pt idx="1170">
                  <c:v>26.800000000000018</c:v>
                </c:pt>
                <c:pt idx="1171">
                  <c:v>26.499999999999961</c:v>
                </c:pt>
                <c:pt idx="1172">
                  <c:v>34.600000000000016</c:v>
                </c:pt>
                <c:pt idx="1173">
                  <c:v>32.799999999999947</c:v>
                </c:pt>
                <c:pt idx="1174">
                  <c:v>32.500000000000028</c:v>
                </c:pt>
                <c:pt idx="1175">
                  <c:v>31.5</c:v>
                </c:pt>
                <c:pt idx="1176">
                  <c:v>31.39999999999997</c:v>
                </c:pt>
                <c:pt idx="1177">
                  <c:v>29.999999999999993</c:v>
                </c:pt>
                <c:pt idx="1178">
                  <c:v>28.899999999999967</c:v>
                </c:pt>
                <c:pt idx="1179">
                  <c:v>29.600000000000009</c:v>
                </c:pt>
                <c:pt idx="1180">
                  <c:v>29.199999999999989</c:v>
                </c:pt>
                <c:pt idx="1181">
                  <c:v>27.400000000000027</c:v>
                </c:pt>
                <c:pt idx="1182">
                  <c:v>29.299999999999951</c:v>
                </c:pt>
                <c:pt idx="1183">
                  <c:v>29.600000000000009</c:v>
                </c:pt>
                <c:pt idx="1184">
                  <c:v>32.799999999999983</c:v>
                </c:pt>
                <c:pt idx="1185">
                  <c:v>32.799999999999983</c:v>
                </c:pt>
                <c:pt idx="1186">
                  <c:v>33.000000000000043</c:v>
                </c:pt>
                <c:pt idx="1187">
                  <c:v>34.59999999999998</c:v>
                </c:pt>
                <c:pt idx="1188">
                  <c:v>33.400000000000027</c:v>
                </c:pt>
                <c:pt idx="1189">
                  <c:v>36.6</c:v>
                </c:pt>
                <c:pt idx="1190">
                  <c:v>37.400000000000034</c:v>
                </c:pt>
                <c:pt idx="1191">
                  <c:v>36.400000000000006</c:v>
                </c:pt>
                <c:pt idx="1192">
                  <c:v>35.899999999999963</c:v>
                </c:pt>
                <c:pt idx="1193">
                  <c:v>37.799999999999983</c:v>
                </c:pt>
                <c:pt idx="1194">
                  <c:v>37.700000000000024</c:v>
                </c:pt>
                <c:pt idx="1195">
                  <c:v>37.699999999999953</c:v>
                </c:pt>
                <c:pt idx="1196">
                  <c:v>39.000000000000007</c:v>
                </c:pt>
                <c:pt idx="1197">
                  <c:v>38.600000000000023</c:v>
                </c:pt>
                <c:pt idx="1198">
                  <c:v>38.800000000000018</c:v>
                </c:pt>
                <c:pt idx="1199">
                  <c:v>38.100000000000009</c:v>
                </c:pt>
                <c:pt idx="1200">
                  <c:v>37.799999999999983</c:v>
                </c:pt>
                <c:pt idx="1201">
                  <c:v>36.399999999999977</c:v>
                </c:pt>
                <c:pt idx="1202">
                  <c:v>38.500000000000064</c:v>
                </c:pt>
                <c:pt idx="1203">
                  <c:v>39.999999999999964</c:v>
                </c:pt>
                <c:pt idx="1204">
                  <c:v>39.199999999999967</c:v>
                </c:pt>
                <c:pt idx="1205">
                  <c:v>41.099999999999959</c:v>
                </c:pt>
                <c:pt idx="1206">
                  <c:v>39.70000000000001</c:v>
                </c:pt>
                <c:pt idx="1207">
                  <c:v>31.400000000000006</c:v>
                </c:pt>
                <c:pt idx="1208">
                  <c:v>32.4</c:v>
                </c:pt>
                <c:pt idx="1209">
                  <c:v>34.199999999999996</c:v>
                </c:pt>
                <c:pt idx="1210">
                  <c:v>37.09999999999998</c:v>
                </c:pt>
                <c:pt idx="1211">
                  <c:v>35.899999999999963</c:v>
                </c:pt>
                <c:pt idx="1212">
                  <c:v>36.199999999999982</c:v>
                </c:pt>
                <c:pt idx="1213">
                  <c:v>36.500000000000071</c:v>
                </c:pt>
                <c:pt idx="1214">
                  <c:v>35.999999999999993</c:v>
                </c:pt>
                <c:pt idx="1215">
                  <c:v>38.00000000000005</c:v>
                </c:pt>
                <c:pt idx="1216">
                  <c:v>36.600000000000037</c:v>
                </c:pt>
                <c:pt idx="1217">
                  <c:v>39.799999999999976</c:v>
                </c:pt>
                <c:pt idx="1218">
                  <c:v>40.499999999999979</c:v>
                </c:pt>
                <c:pt idx="1219">
                  <c:v>40.499999999999979</c:v>
                </c:pt>
                <c:pt idx="1220">
                  <c:v>39.399999999999991</c:v>
                </c:pt>
                <c:pt idx="1221">
                  <c:v>38.700000000000053</c:v>
                </c:pt>
                <c:pt idx="1222">
                  <c:v>39.799999999999976</c:v>
                </c:pt>
                <c:pt idx="1223">
                  <c:v>39.59999999999998</c:v>
                </c:pt>
                <c:pt idx="1224">
                  <c:v>39.799999999999976</c:v>
                </c:pt>
              </c:numCache>
            </c:numRef>
          </c:val>
          <c:extLst>
            <c:ext xmlns:c16="http://schemas.microsoft.com/office/drawing/2014/chart" uri="{C3380CC4-5D6E-409C-BE32-E72D297353CC}">
              <c16:uniqueId val="{00000000-C402-47E0-91B1-CC5F1ADD356C}"/>
            </c:ext>
          </c:extLst>
        </c:ser>
        <c:dLbls>
          <c:showLegendKey val="0"/>
          <c:showVal val="0"/>
          <c:showCatName val="0"/>
          <c:showSerName val="0"/>
          <c:showPercent val="0"/>
          <c:showBubbleSize val="0"/>
        </c:dLbls>
        <c:axId val="215326080"/>
        <c:axId val="215324160"/>
      </c:areaChart>
      <c:lineChart>
        <c:grouping val="standard"/>
        <c:varyColors val="0"/>
        <c:ser>
          <c:idx val="0"/>
          <c:order val="0"/>
          <c:tx>
            <c:strRef>
              <c:f>Sheet1!$B$1</c:f>
              <c:strCache>
                <c:ptCount val="1"/>
                <c:pt idx="0">
                  <c:v>SLO 10 let (LS)</c:v>
                </c:pt>
              </c:strCache>
            </c:strRef>
          </c:tx>
          <c:spPr>
            <a:ln w="19050" cap="sq">
              <a:solidFill>
                <a:srgbClr val="C00000"/>
              </a:solidFill>
            </a:ln>
          </c:spPr>
          <c:marker>
            <c:symbol val="none"/>
          </c:marker>
          <c:cat>
            <c:numRef>
              <c:f>Sheet1!$A$2:$A$1226</c:f>
              <c:numCache>
                <c:formatCode>dd/mm/yyyy;@</c:formatCode>
                <c:ptCount val="1225"/>
                <c:pt idx="0">
                  <c:v>43467</c:v>
                </c:pt>
                <c:pt idx="1">
                  <c:v>43468</c:v>
                </c:pt>
                <c:pt idx="2">
                  <c:v>43469</c:v>
                </c:pt>
                <c:pt idx="3">
                  <c:v>43472</c:v>
                </c:pt>
                <c:pt idx="4">
                  <c:v>43473</c:v>
                </c:pt>
                <c:pt idx="5">
                  <c:v>43474</c:v>
                </c:pt>
                <c:pt idx="6">
                  <c:v>43475</c:v>
                </c:pt>
                <c:pt idx="7">
                  <c:v>43476</c:v>
                </c:pt>
                <c:pt idx="8">
                  <c:v>43479</c:v>
                </c:pt>
                <c:pt idx="9">
                  <c:v>43480</c:v>
                </c:pt>
                <c:pt idx="10">
                  <c:v>43481</c:v>
                </c:pt>
                <c:pt idx="11">
                  <c:v>43482</c:v>
                </c:pt>
                <c:pt idx="12">
                  <c:v>43483</c:v>
                </c:pt>
                <c:pt idx="13">
                  <c:v>43486</c:v>
                </c:pt>
                <c:pt idx="14">
                  <c:v>43487</c:v>
                </c:pt>
                <c:pt idx="15">
                  <c:v>43488</c:v>
                </c:pt>
                <c:pt idx="16">
                  <c:v>43489</c:v>
                </c:pt>
                <c:pt idx="17">
                  <c:v>43490</c:v>
                </c:pt>
                <c:pt idx="18">
                  <c:v>43493</c:v>
                </c:pt>
                <c:pt idx="19">
                  <c:v>43494</c:v>
                </c:pt>
                <c:pt idx="20">
                  <c:v>43495</c:v>
                </c:pt>
                <c:pt idx="21">
                  <c:v>43496</c:v>
                </c:pt>
                <c:pt idx="22">
                  <c:v>43497</c:v>
                </c:pt>
                <c:pt idx="23">
                  <c:v>43500</c:v>
                </c:pt>
                <c:pt idx="24">
                  <c:v>43501</c:v>
                </c:pt>
                <c:pt idx="25">
                  <c:v>43502</c:v>
                </c:pt>
                <c:pt idx="26">
                  <c:v>43503</c:v>
                </c:pt>
                <c:pt idx="27">
                  <c:v>43504</c:v>
                </c:pt>
                <c:pt idx="28">
                  <c:v>43507</c:v>
                </c:pt>
                <c:pt idx="29">
                  <c:v>43508</c:v>
                </c:pt>
                <c:pt idx="30">
                  <c:v>43509</c:v>
                </c:pt>
                <c:pt idx="31">
                  <c:v>43510</c:v>
                </c:pt>
                <c:pt idx="32">
                  <c:v>43511</c:v>
                </c:pt>
                <c:pt idx="33">
                  <c:v>43514</c:v>
                </c:pt>
                <c:pt idx="34">
                  <c:v>43515</c:v>
                </c:pt>
                <c:pt idx="35">
                  <c:v>43516</c:v>
                </c:pt>
                <c:pt idx="36">
                  <c:v>43517</c:v>
                </c:pt>
                <c:pt idx="37">
                  <c:v>43518</c:v>
                </c:pt>
                <c:pt idx="38">
                  <c:v>43521</c:v>
                </c:pt>
                <c:pt idx="39">
                  <c:v>43522</c:v>
                </c:pt>
                <c:pt idx="40">
                  <c:v>43523</c:v>
                </c:pt>
                <c:pt idx="41">
                  <c:v>43524</c:v>
                </c:pt>
                <c:pt idx="42">
                  <c:v>43525</c:v>
                </c:pt>
                <c:pt idx="43">
                  <c:v>43528</c:v>
                </c:pt>
                <c:pt idx="44">
                  <c:v>43529</c:v>
                </c:pt>
                <c:pt idx="45">
                  <c:v>43530</c:v>
                </c:pt>
                <c:pt idx="46">
                  <c:v>43531</c:v>
                </c:pt>
                <c:pt idx="47">
                  <c:v>43532</c:v>
                </c:pt>
                <c:pt idx="48">
                  <c:v>43535</c:v>
                </c:pt>
                <c:pt idx="49">
                  <c:v>43536</c:v>
                </c:pt>
                <c:pt idx="50">
                  <c:v>43537</c:v>
                </c:pt>
                <c:pt idx="51">
                  <c:v>43538</c:v>
                </c:pt>
                <c:pt idx="52">
                  <c:v>43539</c:v>
                </c:pt>
                <c:pt idx="53">
                  <c:v>43542</c:v>
                </c:pt>
                <c:pt idx="54">
                  <c:v>43543</c:v>
                </c:pt>
                <c:pt idx="55">
                  <c:v>43544</c:v>
                </c:pt>
                <c:pt idx="56">
                  <c:v>43545</c:v>
                </c:pt>
                <c:pt idx="57">
                  <c:v>43546</c:v>
                </c:pt>
                <c:pt idx="58">
                  <c:v>43549</c:v>
                </c:pt>
                <c:pt idx="59">
                  <c:v>43550</c:v>
                </c:pt>
                <c:pt idx="60">
                  <c:v>43551</c:v>
                </c:pt>
                <c:pt idx="61">
                  <c:v>43552</c:v>
                </c:pt>
                <c:pt idx="62">
                  <c:v>43553</c:v>
                </c:pt>
                <c:pt idx="63">
                  <c:v>43556</c:v>
                </c:pt>
                <c:pt idx="64">
                  <c:v>43557</c:v>
                </c:pt>
                <c:pt idx="65">
                  <c:v>43558</c:v>
                </c:pt>
                <c:pt idx="66">
                  <c:v>43559</c:v>
                </c:pt>
                <c:pt idx="67">
                  <c:v>43560</c:v>
                </c:pt>
                <c:pt idx="68">
                  <c:v>43563</c:v>
                </c:pt>
                <c:pt idx="69">
                  <c:v>43564</c:v>
                </c:pt>
                <c:pt idx="70">
                  <c:v>43565</c:v>
                </c:pt>
                <c:pt idx="71">
                  <c:v>43566</c:v>
                </c:pt>
                <c:pt idx="72">
                  <c:v>43567</c:v>
                </c:pt>
                <c:pt idx="73">
                  <c:v>43570</c:v>
                </c:pt>
                <c:pt idx="74">
                  <c:v>43571</c:v>
                </c:pt>
                <c:pt idx="75">
                  <c:v>43572</c:v>
                </c:pt>
                <c:pt idx="76">
                  <c:v>43573</c:v>
                </c:pt>
                <c:pt idx="77">
                  <c:v>43578</c:v>
                </c:pt>
                <c:pt idx="78">
                  <c:v>43579</c:v>
                </c:pt>
                <c:pt idx="79">
                  <c:v>43580</c:v>
                </c:pt>
                <c:pt idx="80">
                  <c:v>43581</c:v>
                </c:pt>
                <c:pt idx="81">
                  <c:v>43584</c:v>
                </c:pt>
                <c:pt idx="82">
                  <c:v>43585</c:v>
                </c:pt>
                <c:pt idx="83">
                  <c:v>43587</c:v>
                </c:pt>
                <c:pt idx="84">
                  <c:v>43588</c:v>
                </c:pt>
                <c:pt idx="85">
                  <c:v>43591</c:v>
                </c:pt>
                <c:pt idx="86">
                  <c:v>43592</c:v>
                </c:pt>
                <c:pt idx="87">
                  <c:v>43593</c:v>
                </c:pt>
                <c:pt idx="88">
                  <c:v>43594</c:v>
                </c:pt>
                <c:pt idx="89">
                  <c:v>43595</c:v>
                </c:pt>
                <c:pt idx="90">
                  <c:v>43598</c:v>
                </c:pt>
                <c:pt idx="91">
                  <c:v>43599</c:v>
                </c:pt>
                <c:pt idx="92">
                  <c:v>43600</c:v>
                </c:pt>
                <c:pt idx="93">
                  <c:v>43601</c:v>
                </c:pt>
                <c:pt idx="94">
                  <c:v>43602</c:v>
                </c:pt>
                <c:pt idx="95">
                  <c:v>43605</c:v>
                </c:pt>
                <c:pt idx="96">
                  <c:v>43606</c:v>
                </c:pt>
                <c:pt idx="97">
                  <c:v>43607</c:v>
                </c:pt>
                <c:pt idx="98">
                  <c:v>43608</c:v>
                </c:pt>
                <c:pt idx="99">
                  <c:v>43609</c:v>
                </c:pt>
                <c:pt idx="100">
                  <c:v>43612</c:v>
                </c:pt>
                <c:pt idx="101">
                  <c:v>43613</c:v>
                </c:pt>
                <c:pt idx="102">
                  <c:v>43614</c:v>
                </c:pt>
                <c:pt idx="103">
                  <c:v>43615</c:v>
                </c:pt>
                <c:pt idx="104">
                  <c:v>43616</c:v>
                </c:pt>
                <c:pt idx="105">
                  <c:v>43619</c:v>
                </c:pt>
                <c:pt idx="106">
                  <c:v>43620</c:v>
                </c:pt>
                <c:pt idx="107">
                  <c:v>43621</c:v>
                </c:pt>
                <c:pt idx="108">
                  <c:v>43622</c:v>
                </c:pt>
                <c:pt idx="109">
                  <c:v>43623</c:v>
                </c:pt>
                <c:pt idx="110">
                  <c:v>43626</c:v>
                </c:pt>
                <c:pt idx="111">
                  <c:v>43627</c:v>
                </c:pt>
                <c:pt idx="112">
                  <c:v>43628</c:v>
                </c:pt>
                <c:pt idx="113">
                  <c:v>43629</c:v>
                </c:pt>
                <c:pt idx="114">
                  <c:v>43630</c:v>
                </c:pt>
                <c:pt idx="115">
                  <c:v>43633</c:v>
                </c:pt>
                <c:pt idx="116">
                  <c:v>43634</c:v>
                </c:pt>
                <c:pt idx="117">
                  <c:v>43635</c:v>
                </c:pt>
                <c:pt idx="118">
                  <c:v>43636</c:v>
                </c:pt>
                <c:pt idx="119">
                  <c:v>43637</c:v>
                </c:pt>
                <c:pt idx="120">
                  <c:v>43640</c:v>
                </c:pt>
                <c:pt idx="121">
                  <c:v>43641</c:v>
                </c:pt>
                <c:pt idx="122">
                  <c:v>43642</c:v>
                </c:pt>
                <c:pt idx="123">
                  <c:v>43643</c:v>
                </c:pt>
                <c:pt idx="124">
                  <c:v>43644</c:v>
                </c:pt>
                <c:pt idx="125">
                  <c:v>43647</c:v>
                </c:pt>
                <c:pt idx="126">
                  <c:v>43648</c:v>
                </c:pt>
                <c:pt idx="127">
                  <c:v>43649</c:v>
                </c:pt>
                <c:pt idx="128">
                  <c:v>43650</c:v>
                </c:pt>
                <c:pt idx="129">
                  <c:v>43651</c:v>
                </c:pt>
                <c:pt idx="130">
                  <c:v>43654</c:v>
                </c:pt>
                <c:pt idx="131">
                  <c:v>43655</c:v>
                </c:pt>
                <c:pt idx="132">
                  <c:v>43656</c:v>
                </c:pt>
                <c:pt idx="133">
                  <c:v>43657</c:v>
                </c:pt>
                <c:pt idx="134">
                  <c:v>43658</c:v>
                </c:pt>
                <c:pt idx="135">
                  <c:v>43661</c:v>
                </c:pt>
                <c:pt idx="136">
                  <c:v>43662</c:v>
                </c:pt>
                <c:pt idx="137">
                  <c:v>43663</c:v>
                </c:pt>
                <c:pt idx="138">
                  <c:v>43664</c:v>
                </c:pt>
                <c:pt idx="139">
                  <c:v>43665</c:v>
                </c:pt>
                <c:pt idx="140">
                  <c:v>43668</c:v>
                </c:pt>
                <c:pt idx="141">
                  <c:v>43669</c:v>
                </c:pt>
                <c:pt idx="142">
                  <c:v>43670</c:v>
                </c:pt>
                <c:pt idx="143">
                  <c:v>43671</c:v>
                </c:pt>
                <c:pt idx="144">
                  <c:v>43672</c:v>
                </c:pt>
                <c:pt idx="145">
                  <c:v>43675</c:v>
                </c:pt>
                <c:pt idx="146">
                  <c:v>43676</c:v>
                </c:pt>
                <c:pt idx="147">
                  <c:v>43677</c:v>
                </c:pt>
                <c:pt idx="148">
                  <c:v>43678</c:v>
                </c:pt>
                <c:pt idx="149">
                  <c:v>43679</c:v>
                </c:pt>
                <c:pt idx="150">
                  <c:v>43682</c:v>
                </c:pt>
                <c:pt idx="151">
                  <c:v>43683</c:v>
                </c:pt>
                <c:pt idx="152">
                  <c:v>43684</c:v>
                </c:pt>
                <c:pt idx="153">
                  <c:v>43685</c:v>
                </c:pt>
                <c:pt idx="154">
                  <c:v>43686</c:v>
                </c:pt>
                <c:pt idx="155">
                  <c:v>43689</c:v>
                </c:pt>
                <c:pt idx="156">
                  <c:v>43690</c:v>
                </c:pt>
                <c:pt idx="157">
                  <c:v>43691</c:v>
                </c:pt>
                <c:pt idx="158">
                  <c:v>43692</c:v>
                </c:pt>
                <c:pt idx="159">
                  <c:v>43693</c:v>
                </c:pt>
                <c:pt idx="160">
                  <c:v>43696</c:v>
                </c:pt>
                <c:pt idx="161">
                  <c:v>43697</c:v>
                </c:pt>
                <c:pt idx="162">
                  <c:v>43698</c:v>
                </c:pt>
                <c:pt idx="163">
                  <c:v>43699</c:v>
                </c:pt>
                <c:pt idx="164">
                  <c:v>43700</c:v>
                </c:pt>
                <c:pt idx="165">
                  <c:v>43703</c:v>
                </c:pt>
                <c:pt idx="166">
                  <c:v>43704</c:v>
                </c:pt>
                <c:pt idx="167">
                  <c:v>43705</c:v>
                </c:pt>
                <c:pt idx="168">
                  <c:v>43706</c:v>
                </c:pt>
                <c:pt idx="169">
                  <c:v>43707</c:v>
                </c:pt>
                <c:pt idx="170">
                  <c:v>43710</c:v>
                </c:pt>
                <c:pt idx="171">
                  <c:v>43711</c:v>
                </c:pt>
                <c:pt idx="172">
                  <c:v>43712</c:v>
                </c:pt>
                <c:pt idx="173">
                  <c:v>43713</c:v>
                </c:pt>
                <c:pt idx="174">
                  <c:v>43714</c:v>
                </c:pt>
                <c:pt idx="175">
                  <c:v>43717</c:v>
                </c:pt>
                <c:pt idx="176">
                  <c:v>43718</c:v>
                </c:pt>
                <c:pt idx="177">
                  <c:v>43719</c:v>
                </c:pt>
                <c:pt idx="178">
                  <c:v>43720</c:v>
                </c:pt>
                <c:pt idx="179">
                  <c:v>43721</c:v>
                </c:pt>
                <c:pt idx="180">
                  <c:v>43724</c:v>
                </c:pt>
                <c:pt idx="181">
                  <c:v>43725</c:v>
                </c:pt>
                <c:pt idx="182">
                  <c:v>43726</c:v>
                </c:pt>
                <c:pt idx="183">
                  <c:v>43727</c:v>
                </c:pt>
                <c:pt idx="184">
                  <c:v>43728</c:v>
                </c:pt>
                <c:pt idx="185">
                  <c:v>43731</c:v>
                </c:pt>
                <c:pt idx="186">
                  <c:v>43732</c:v>
                </c:pt>
                <c:pt idx="187">
                  <c:v>43733</c:v>
                </c:pt>
                <c:pt idx="188">
                  <c:v>43734</c:v>
                </c:pt>
                <c:pt idx="189">
                  <c:v>43735</c:v>
                </c:pt>
                <c:pt idx="190">
                  <c:v>43738</c:v>
                </c:pt>
                <c:pt idx="191">
                  <c:v>43739</c:v>
                </c:pt>
                <c:pt idx="192">
                  <c:v>43740</c:v>
                </c:pt>
                <c:pt idx="193">
                  <c:v>43741</c:v>
                </c:pt>
                <c:pt idx="194">
                  <c:v>43742</c:v>
                </c:pt>
                <c:pt idx="195">
                  <c:v>43745</c:v>
                </c:pt>
                <c:pt idx="196">
                  <c:v>43746</c:v>
                </c:pt>
                <c:pt idx="197">
                  <c:v>43747</c:v>
                </c:pt>
                <c:pt idx="198">
                  <c:v>43748</c:v>
                </c:pt>
                <c:pt idx="199">
                  <c:v>43749</c:v>
                </c:pt>
                <c:pt idx="200">
                  <c:v>43752</c:v>
                </c:pt>
                <c:pt idx="201">
                  <c:v>43753</c:v>
                </c:pt>
                <c:pt idx="202">
                  <c:v>43754</c:v>
                </c:pt>
                <c:pt idx="203">
                  <c:v>43755</c:v>
                </c:pt>
                <c:pt idx="204">
                  <c:v>43756</c:v>
                </c:pt>
                <c:pt idx="205">
                  <c:v>43759</c:v>
                </c:pt>
                <c:pt idx="206">
                  <c:v>43760</c:v>
                </c:pt>
                <c:pt idx="207">
                  <c:v>43761</c:v>
                </c:pt>
                <c:pt idx="208">
                  <c:v>43762</c:v>
                </c:pt>
                <c:pt idx="209">
                  <c:v>43763</c:v>
                </c:pt>
                <c:pt idx="210">
                  <c:v>43766</c:v>
                </c:pt>
                <c:pt idx="211">
                  <c:v>43767</c:v>
                </c:pt>
                <c:pt idx="212">
                  <c:v>43768</c:v>
                </c:pt>
                <c:pt idx="213">
                  <c:v>43769</c:v>
                </c:pt>
                <c:pt idx="214">
                  <c:v>43770</c:v>
                </c:pt>
                <c:pt idx="215">
                  <c:v>43773</c:v>
                </c:pt>
                <c:pt idx="216">
                  <c:v>43774</c:v>
                </c:pt>
                <c:pt idx="217">
                  <c:v>43775</c:v>
                </c:pt>
                <c:pt idx="218">
                  <c:v>43776</c:v>
                </c:pt>
                <c:pt idx="219">
                  <c:v>43777</c:v>
                </c:pt>
                <c:pt idx="220">
                  <c:v>43780</c:v>
                </c:pt>
                <c:pt idx="221">
                  <c:v>43781</c:v>
                </c:pt>
                <c:pt idx="222">
                  <c:v>43782</c:v>
                </c:pt>
                <c:pt idx="223">
                  <c:v>43783</c:v>
                </c:pt>
                <c:pt idx="224">
                  <c:v>43784</c:v>
                </c:pt>
                <c:pt idx="225">
                  <c:v>43787</c:v>
                </c:pt>
                <c:pt idx="226">
                  <c:v>43788</c:v>
                </c:pt>
                <c:pt idx="227">
                  <c:v>43789</c:v>
                </c:pt>
                <c:pt idx="228">
                  <c:v>43790</c:v>
                </c:pt>
                <c:pt idx="229">
                  <c:v>43791</c:v>
                </c:pt>
                <c:pt idx="230">
                  <c:v>43794</c:v>
                </c:pt>
                <c:pt idx="231">
                  <c:v>43795</c:v>
                </c:pt>
                <c:pt idx="232">
                  <c:v>43796</c:v>
                </c:pt>
                <c:pt idx="233">
                  <c:v>43797</c:v>
                </c:pt>
                <c:pt idx="234">
                  <c:v>43798</c:v>
                </c:pt>
                <c:pt idx="235">
                  <c:v>43801</c:v>
                </c:pt>
                <c:pt idx="236">
                  <c:v>43802</c:v>
                </c:pt>
                <c:pt idx="237">
                  <c:v>43803</c:v>
                </c:pt>
                <c:pt idx="238">
                  <c:v>43804</c:v>
                </c:pt>
                <c:pt idx="239">
                  <c:v>43805</c:v>
                </c:pt>
                <c:pt idx="240">
                  <c:v>43808</c:v>
                </c:pt>
                <c:pt idx="241">
                  <c:v>43809</c:v>
                </c:pt>
                <c:pt idx="242">
                  <c:v>43810</c:v>
                </c:pt>
                <c:pt idx="243">
                  <c:v>43811</c:v>
                </c:pt>
                <c:pt idx="244">
                  <c:v>43812</c:v>
                </c:pt>
                <c:pt idx="245">
                  <c:v>43815</c:v>
                </c:pt>
                <c:pt idx="246">
                  <c:v>43816</c:v>
                </c:pt>
                <c:pt idx="247">
                  <c:v>43817</c:v>
                </c:pt>
                <c:pt idx="248">
                  <c:v>43818</c:v>
                </c:pt>
                <c:pt idx="249">
                  <c:v>43819</c:v>
                </c:pt>
                <c:pt idx="250">
                  <c:v>43822</c:v>
                </c:pt>
                <c:pt idx="251">
                  <c:v>43826</c:v>
                </c:pt>
                <c:pt idx="252">
                  <c:v>43829</c:v>
                </c:pt>
                <c:pt idx="253">
                  <c:v>43832</c:v>
                </c:pt>
                <c:pt idx="254">
                  <c:v>43833</c:v>
                </c:pt>
                <c:pt idx="255">
                  <c:v>43836</c:v>
                </c:pt>
                <c:pt idx="256">
                  <c:v>43837</c:v>
                </c:pt>
                <c:pt idx="257">
                  <c:v>43838</c:v>
                </c:pt>
                <c:pt idx="258">
                  <c:v>43839</c:v>
                </c:pt>
                <c:pt idx="259">
                  <c:v>43840</c:v>
                </c:pt>
                <c:pt idx="260">
                  <c:v>43843</c:v>
                </c:pt>
                <c:pt idx="261">
                  <c:v>43844</c:v>
                </c:pt>
                <c:pt idx="262">
                  <c:v>43845</c:v>
                </c:pt>
                <c:pt idx="263">
                  <c:v>43846</c:v>
                </c:pt>
                <c:pt idx="264">
                  <c:v>43847</c:v>
                </c:pt>
                <c:pt idx="265">
                  <c:v>43850</c:v>
                </c:pt>
                <c:pt idx="266">
                  <c:v>43851</c:v>
                </c:pt>
                <c:pt idx="267">
                  <c:v>43852</c:v>
                </c:pt>
                <c:pt idx="268">
                  <c:v>43853</c:v>
                </c:pt>
                <c:pt idx="269">
                  <c:v>43854</c:v>
                </c:pt>
                <c:pt idx="270">
                  <c:v>43857</c:v>
                </c:pt>
                <c:pt idx="271">
                  <c:v>43858</c:v>
                </c:pt>
                <c:pt idx="272">
                  <c:v>43859</c:v>
                </c:pt>
                <c:pt idx="273">
                  <c:v>43860</c:v>
                </c:pt>
                <c:pt idx="274">
                  <c:v>43861</c:v>
                </c:pt>
                <c:pt idx="275">
                  <c:v>43864</c:v>
                </c:pt>
                <c:pt idx="276">
                  <c:v>43865</c:v>
                </c:pt>
                <c:pt idx="277">
                  <c:v>43866</c:v>
                </c:pt>
                <c:pt idx="278">
                  <c:v>43867</c:v>
                </c:pt>
                <c:pt idx="279">
                  <c:v>43868</c:v>
                </c:pt>
                <c:pt idx="280">
                  <c:v>43871</c:v>
                </c:pt>
                <c:pt idx="281">
                  <c:v>43872</c:v>
                </c:pt>
                <c:pt idx="282">
                  <c:v>43873</c:v>
                </c:pt>
                <c:pt idx="283">
                  <c:v>43874</c:v>
                </c:pt>
                <c:pt idx="284">
                  <c:v>43875</c:v>
                </c:pt>
                <c:pt idx="285">
                  <c:v>43878</c:v>
                </c:pt>
                <c:pt idx="286">
                  <c:v>43879</c:v>
                </c:pt>
                <c:pt idx="287">
                  <c:v>43880</c:v>
                </c:pt>
                <c:pt idx="288">
                  <c:v>43881</c:v>
                </c:pt>
                <c:pt idx="289">
                  <c:v>43882</c:v>
                </c:pt>
                <c:pt idx="290">
                  <c:v>43885</c:v>
                </c:pt>
                <c:pt idx="291">
                  <c:v>43886</c:v>
                </c:pt>
                <c:pt idx="292">
                  <c:v>43887</c:v>
                </c:pt>
                <c:pt idx="293">
                  <c:v>43888</c:v>
                </c:pt>
                <c:pt idx="294">
                  <c:v>43889</c:v>
                </c:pt>
                <c:pt idx="295">
                  <c:v>43892</c:v>
                </c:pt>
                <c:pt idx="296">
                  <c:v>43893</c:v>
                </c:pt>
                <c:pt idx="297">
                  <c:v>43894</c:v>
                </c:pt>
                <c:pt idx="298">
                  <c:v>43895</c:v>
                </c:pt>
                <c:pt idx="299">
                  <c:v>43896</c:v>
                </c:pt>
                <c:pt idx="300">
                  <c:v>43899</c:v>
                </c:pt>
                <c:pt idx="301">
                  <c:v>43900</c:v>
                </c:pt>
                <c:pt idx="302">
                  <c:v>43901</c:v>
                </c:pt>
                <c:pt idx="303">
                  <c:v>43902</c:v>
                </c:pt>
                <c:pt idx="304">
                  <c:v>43903</c:v>
                </c:pt>
                <c:pt idx="305">
                  <c:v>43906</c:v>
                </c:pt>
                <c:pt idx="306">
                  <c:v>43907</c:v>
                </c:pt>
                <c:pt idx="307">
                  <c:v>43908</c:v>
                </c:pt>
                <c:pt idx="308">
                  <c:v>43909</c:v>
                </c:pt>
                <c:pt idx="309">
                  <c:v>43910</c:v>
                </c:pt>
                <c:pt idx="310">
                  <c:v>43913</c:v>
                </c:pt>
                <c:pt idx="311">
                  <c:v>43914</c:v>
                </c:pt>
                <c:pt idx="312">
                  <c:v>43915</c:v>
                </c:pt>
                <c:pt idx="313">
                  <c:v>43916</c:v>
                </c:pt>
                <c:pt idx="314">
                  <c:v>43917</c:v>
                </c:pt>
                <c:pt idx="315">
                  <c:v>43920</c:v>
                </c:pt>
                <c:pt idx="316">
                  <c:v>43921</c:v>
                </c:pt>
                <c:pt idx="317">
                  <c:v>43922</c:v>
                </c:pt>
                <c:pt idx="318">
                  <c:v>43923</c:v>
                </c:pt>
                <c:pt idx="319">
                  <c:v>43924</c:v>
                </c:pt>
                <c:pt idx="320">
                  <c:v>43927</c:v>
                </c:pt>
                <c:pt idx="321">
                  <c:v>43928</c:v>
                </c:pt>
                <c:pt idx="322">
                  <c:v>43929</c:v>
                </c:pt>
                <c:pt idx="323">
                  <c:v>43930</c:v>
                </c:pt>
                <c:pt idx="324">
                  <c:v>43935</c:v>
                </c:pt>
                <c:pt idx="325">
                  <c:v>43936</c:v>
                </c:pt>
                <c:pt idx="326">
                  <c:v>43937</c:v>
                </c:pt>
                <c:pt idx="327">
                  <c:v>43938</c:v>
                </c:pt>
                <c:pt idx="328">
                  <c:v>43941</c:v>
                </c:pt>
                <c:pt idx="329">
                  <c:v>43942</c:v>
                </c:pt>
                <c:pt idx="330">
                  <c:v>43943</c:v>
                </c:pt>
                <c:pt idx="331">
                  <c:v>43944</c:v>
                </c:pt>
                <c:pt idx="332">
                  <c:v>43945</c:v>
                </c:pt>
                <c:pt idx="333">
                  <c:v>43948</c:v>
                </c:pt>
                <c:pt idx="334">
                  <c:v>43949</c:v>
                </c:pt>
                <c:pt idx="335">
                  <c:v>43950</c:v>
                </c:pt>
                <c:pt idx="336">
                  <c:v>43951</c:v>
                </c:pt>
                <c:pt idx="337">
                  <c:v>43955</c:v>
                </c:pt>
                <c:pt idx="338">
                  <c:v>43956</c:v>
                </c:pt>
                <c:pt idx="339">
                  <c:v>43957</c:v>
                </c:pt>
                <c:pt idx="340">
                  <c:v>43958</c:v>
                </c:pt>
                <c:pt idx="341">
                  <c:v>43959</c:v>
                </c:pt>
                <c:pt idx="342">
                  <c:v>43962</c:v>
                </c:pt>
                <c:pt idx="343">
                  <c:v>43963</c:v>
                </c:pt>
                <c:pt idx="344">
                  <c:v>43964</c:v>
                </c:pt>
                <c:pt idx="345">
                  <c:v>43965</c:v>
                </c:pt>
                <c:pt idx="346">
                  <c:v>43966</c:v>
                </c:pt>
                <c:pt idx="347">
                  <c:v>43969</c:v>
                </c:pt>
                <c:pt idx="348">
                  <c:v>43970</c:v>
                </c:pt>
                <c:pt idx="349">
                  <c:v>43971</c:v>
                </c:pt>
                <c:pt idx="350">
                  <c:v>43972</c:v>
                </c:pt>
                <c:pt idx="351">
                  <c:v>43973</c:v>
                </c:pt>
                <c:pt idx="352">
                  <c:v>43976</c:v>
                </c:pt>
                <c:pt idx="353">
                  <c:v>43977</c:v>
                </c:pt>
                <c:pt idx="354">
                  <c:v>43978</c:v>
                </c:pt>
                <c:pt idx="355">
                  <c:v>43979</c:v>
                </c:pt>
                <c:pt idx="356">
                  <c:v>43980</c:v>
                </c:pt>
                <c:pt idx="357">
                  <c:v>43983</c:v>
                </c:pt>
                <c:pt idx="358">
                  <c:v>43984</c:v>
                </c:pt>
                <c:pt idx="359">
                  <c:v>43985</c:v>
                </c:pt>
                <c:pt idx="360">
                  <c:v>43986</c:v>
                </c:pt>
                <c:pt idx="361">
                  <c:v>43987</c:v>
                </c:pt>
                <c:pt idx="362">
                  <c:v>43990</c:v>
                </c:pt>
                <c:pt idx="363">
                  <c:v>43991</c:v>
                </c:pt>
                <c:pt idx="364">
                  <c:v>43992</c:v>
                </c:pt>
                <c:pt idx="365">
                  <c:v>43993</c:v>
                </c:pt>
                <c:pt idx="366">
                  <c:v>43994</c:v>
                </c:pt>
                <c:pt idx="367">
                  <c:v>43997</c:v>
                </c:pt>
                <c:pt idx="368">
                  <c:v>43998</c:v>
                </c:pt>
                <c:pt idx="369">
                  <c:v>43999</c:v>
                </c:pt>
                <c:pt idx="370">
                  <c:v>44000</c:v>
                </c:pt>
                <c:pt idx="371">
                  <c:v>44001</c:v>
                </c:pt>
                <c:pt idx="372">
                  <c:v>44004</c:v>
                </c:pt>
                <c:pt idx="373">
                  <c:v>44005</c:v>
                </c:pt>
                <c:pt idx="374">
                  <c:v>44006</c:v>
                </c:pt>
                <c:pt idx="375">
                  <c:v>44007</c:v>
                </c:pt>
                <c:pt idx="376">
                  <c:v>44008</c:v>
                </c:pt>
                <c:pt idx="377">
                  <c:v>44011</c:v>
                </c:pt>
                <c:pt idx="378">
                  <c:v>44012</c:v>
                </c:pt>
                <c:pt idx="379">
                  <c:v>44013</c:v>
                </c:pt>
                <c:pt idx="380">
                  <c:v>44014</c:v>
                </c:pt>
                <c:pt idx="381">
                  <c:v>44015</c:v>
                </c:pt>
                <c:pt idx="382">
                  <c:v>44018</c:v>
                </c:pt>
                <c:pt idx="383">
                  <c:v>44019</c:v>
                </c:pt>
                <c:pt idx="384">
                  <c:v>44020</c:v>
                </c:pt>
                <c:pt idx="385">
                  <c:v>44021</c:v>
                </c:pt>
                <c:pt idx="386">
                  <c:v>44022</c:v>
                </c:pt>
                <c:pt idx="387">
                  <c:v>44025</c:v>
                </c:pt>
                <c:pt idx="388">
                  <c:v>44026</c:v>
                </c:pt>
                <c:pt idx="389">
                  <c:v>44027</c:v>
                </c:pt>
                <c:pt idx="390">
                  <c:v>44028</c:v>
                </c:pt>
                <c:pt idx="391">
                  <c:v>44029</c:v>
                </c:pt>
                <c:pt idx="392">
                  <c:v>44032</c:v>
                </c:pt>
                <c:pt idx="393">
                  <c:v>44033</c:v>
                </c:pt>
                <c:pt idx="394">
                  <c:v>44034</c:v>
                </c:pt>
                <c:pt idx="395">
                  <c:v>44035</c:v>
                </c:pt>
                <c:pt idx="396">
                  <c:v>44036</c:v>
                </c:pt>
                <c:pt idx="397">
                  <c:v>44039</c:v>
                </c:pt>
                <c:pt idx="398">
                  <c:v>44040</c:v>
                </c:pt>
                <c:pt idx="399">
                  <c:v>44041</c:v>
                </c:pt>
                <c:pt idx="400">
                  <c:v>44042</c:v>
                </c:pt>
                <c:pt idx="401">
                  <c:v>44043</c:v>
                </c:pt>
                <c:pt idx="402">
                  <c:v>44046</c:v>
                </c:pt>
                <c:pt idx="403">
                  <c:v>44047</c:v>
                </c:pt>
                <c:pt idx="404">
                  <c:v>44048</c:v>
                </c:pt>
                <c:pt idx="405">
                  <c:v>44049</c:v>
                </c:pt>
                <c:pt idx="406">
                  <c:v>44050</c:v>
                </c:pt>
                <c:pt idx="407">
                  <c:v>44053</c:v>
                </c:pt>
                <c:pt idx="408">
                  <c:v>44054</c:v>
                </c:pt>
                <c:pt idx="409">
                  <c:v>44055</c:v>
                </c:pt>
                <c:pt idx="410">
                  <c:v>44056</c:v>
                </c:pt>
                <c:pt idx="411">
                  <c:v>44057</c:v>
                </c:pt>
                <c:pt idx="412">
                  <c:v>44060</c:v>
                </c:pt>
                <c:pt idx="413">
                  <c:v>44061</c:v>
                </c:pt>
                <c:pt idx="414">
                  <c:v>44062</c:v>
                </c:pt>
                <c:pt idx="415">
                  <c:v>44063</c:v>
                </c:pt>
                <c:pt idx="416">
                  <c:v>44064</c:v>
                </c:pt>
                <c:pt idx="417">
                  <c:v>44067</c:v>
                </c:pt>
                <c:pt idx="418">
                  <c:v>44068</c:v>
                </c:pt>
                <c:pt idx="419">
                  <c:v>44069</c:v>
                </c:pt>
                <c:pt idx="420">
                  <c:v>44070</c:v>
                </c:pt>
                <c:pt idx="421">
                  <c:v>44071</c:v>
                </c:pt>
                <c:pt idx="422">
                  <c:v>44074</c:v>
                </c:pt>
                <c:pt idx="423">
                  <c:v>44075</c:v>
                </c:pt>
                <c:pt idx="424">
                  <c:v>44076</c:v>
                </c:pt>
                <c:pt idx="425">
                  <c:v>44077</c:v>
                </c:pt>
                <c:pt idx="426">
                  <c:v>44078</c:v>
                </c:pt>
                <c:pt idx="427">
                  <c:v>44081</c:v>
                </c:pt>
                <c:pt idx="428">
                  <c:v>44082</c:v>
                </c:pt>
                <c:pt idx="429">
                  <c:v>44083</c:v>
                </c:pt>
                <c:pt idx="430">
                  <c:v>44084</c:v>
                </c:pt>
                <c:pt idx="431">
                  <c:v>44085</c:v>
                </c:pt>
                <c:pt idx="432">
                  <c:v>44088</c:v>
                </c:pt>
                <c:pt idx="433">
                  <c:v>44089</c:v>
                </c:pt>
                <c:pt idx="434">
                  <c:v>44090</c:v>
                </c:pt>
                <c:pt idx="435">
                  <c:v>44091</c:v>
                </c:pt>
                <c:pt idx="436">
                  <c:v>44092</c:v>
                </c:pt>
                <c:pt idx="437">
                  <c:v>44095</c:v>
                </c:pt>
                <c:pt idx="438">
                  <c:v>44096</c:v>
                </c:pt>
                <c:pt idx="439">
                  <c:v>44097</c:v>
                </c:pt>
                <c:pt idx="440">
                  <c:v>44098</c:v>
                </c:pt>
                <c:pt idx="441">
                  <c:v>44099</c:v>
                </c:pt>
                <c:pt idx="442">
                  <c:v>44102</c:v>
                </c:pt>
                <c:pt idx="443">
                  <c:v>44103</c:v>
                </c:pt>
                <c:pt idx="444">
                  <c:v>44104</c:v>
                </c:pt>
                <c:pt idx="445">
                  <c:v>44105</c:v>
                </c:pt>
                <c:pt idx="446">
                  <c:v>44106</c:v>
                </c:pt>
                <c:pt idx="447">
                  <c:v>44109</c:v>
                </c:pt>
                <c:pt idx="448">
                  <c:v>44110</c:v>
                </c:pt>
                <c:pt idx="449">
                  <c:v>44111</c:v>
                </c:pt>
                <c:pt idx="450">
                  <c:v>44112</c:v>
                </c:pt>
                <c:pt idx="451">
                  <c:v>44113</c:v>
                </c:pt>
                <c:pt idx="452">
                  <c:v>44116</c:v>
                </c:pt>
                <c:pt idx="453">
                  <c:v>44117</c:v>
                </c:pt>
                <c:pt idx="454">
                  <c:v>44118</c:v>
                </c:pt>
                <c:pt idx="455">
                  <c:v>44119</c:v>
                </c:pt>
                <c:pt idx="456">
                  <c:v>44120</c:v>
                </c:pt>
                <c:pt idx="457">
                  <c:v>44123</c:v>
                </c:pt>
                <c:pt idx="458">
                  <c:v>44124</c:v>
                </c:pt>
                <c:pt idx="459">
                  <c:v>44125</c:v>
                </c:pt>
                <c:pt idx="460">
                  <c:v>44126</c:v>
                </c:pt>
                <c:pt idx="461">
                  <c:v>44127</c:v>
                </c:pt>
                <c:pt idx="462">
                  <c:v>44130</c:v>
                </c:pt>
                <c:pt idx="463">
                  <c:v>44131</c:v>
                </c:pt>
                <c:pt idx="464">
                  <c:v>44132</c:v>
                </c:pt>
                <c:pt idx="465">
                  <c:v>44133</c:v>
                </c:pt>
                <c:pt idx="466">
                  <c:v>44134</c:v>
                </c:pt>
                <c:pt idx="467">
                  <c:v>44137</c:v>
                </c:pt>
                <c:pt idx="468">
                  <c:v>44138</c:v>
                </c:pt>
                <c:pt idx="469">
                  <c:v>44139</c:v>
                </c:pt>
                <c:pt idx="470">
                  <c:v>44140</c:v>
                </c:pt>
                <c:pt idx="471">
                  <c:v>44141</c:v>
                </c:pt>
                <c:pt idx="472">
                  <c:v>44144</c:v>
                </c:pt>
                <c:pt idx="473">
                  <c:v>44145</c:v>
                </c:pt>
                <c:pt idx="474">
                  <c:v>44146</c:v>
                </c:pt>
                <c:pt idx="475">
                  <c:v>44147</c:v>
                </c:pt>
                <c:pt idx="476">
                  <c:v>44148</c:v>
                </c:pt>
                <c:pt idx="477">
                  <c:v>44151</c:v>
                </c:pt>
                <c:pt idx="478">
                  <c:v>44152</c:v>
                </c:pt>
                <c:pt idx="479">
                  <c:v>44153</c:v>
                </c:pt>
                <c:pt idx="480">
                  <c:v>44154</c:v>
                </c:pt>
                <c:pt idx="481">
                  <c:v>44155</c:v>
                </c:pt>
                <c:pt idx="482">
                  <c:v>44158</c:v>
                </c:pt>
                <c:pt idx="483">
                  <c:v>44159</c:v>
                </c:pt>
                <c:pt idx="484">
                  <c:v>44160</c:v>
                </c:pt>
                <c:pt idx="485">
                  <c:v>44161</c:v>
                </c:pt>
                <c:pt idx="486">
                  <c:v>44162</c:v>
                </c:pt>
                <c:pt idx="487">
                  <c:v>44165</c:v>
                </c:pt>
                <c:pt idx="488">
                  <c:v>44166</c:v>
                </c:pt>
                <c:pt idx="489">
                  <c:v>44167</c:v>
                </c:pt>
                <c:pt idx="490">
                  <c:v>44168</c:v>
                </c:pt>
                <c:pt idx="491">
                  <c:v>44169</c:v>
                </c:pt>
                <c:pt idx="492">
                  <c:v>44172</c:v>
                </c:pt>
                <c:pt idx="493">
                  <c:v>44173</c:v>
                </c:pt>
                <c:pt idx="494">
                  <c:v>44174</c:v>
                </c:pt>
                <c:pt idx="495">
                  <c:v>44175</c:v>
                </c:pt>
                <c:pt idx="496">
                  <c:v>44176</c:v>
                </c:pt>
                <c:pt idx="497">
                  <c:v>44179</c:v>
                </c:pt>
                <c:pt idx="498">
                  <c:v>44180</c:v>
                </c:pt>
                <c:pt idx="499">
                  <c:v>44181</c:v>
                </c:pt>
                <c:pt idx="500">
                  <c:v>44182</c:v>
                </c:pt>
                <c:pt idx="501">
                  <c:v>44183</c:v>
                </c:pt>
                <c:pt idx="502">
                  <c:v>44186</c:v>
                </c:pt>
                <c:pt idx="503">
                  <c:v>44187</c:v>
                </c:pt>
                <c:pt idx="504">
                  <c:v>44188</c:v>
                </c:pt>
                <c:pt idx="505">
                  <c:v>44189</c:v>
                </c:pt>
                <c:pt idx="506">
                  <c:v>44190</c:v>
                </c:pt>
                <c:pt idx="507">
                  <c:v>44193</c:v>
                </c:pt>
                <c:pt idx="508">
                  <c:v>44194</c:v>
                </c:pt>
                <c:pt idx="509">
                  <c:v>44195</c:v>
                </c:pt>
                <c:pt idx="510">
                  <c:v>44200</c:v>
                </c:pt>
                <c:pt idx="511">
                  <c:v>44201</c:v>
                </c:pt>
                <c:pt idx="512">
                  <c:v>44202</c:v>
                </c:pt>
                <c:pt idx="513">
                  <c:v>44203</c:v>
                </c:pt>
                <c:pt idx="514">
                  <c:v>44204</c:v>
                </c:pt>
                <c:pt idx="515">
                  <c:v>44207</c:v>
                </c:pt>
                <c:pt idx="516">
                  <c:v>44208</c:v>
                </c:pt>
                <c:pt idx="517">
                  <c:v>44209</c:v>
                </c:pt>
                <c:pt idx="518">
                  <c:v>44210</c:v>
                </c:pt>
                <c:pt idx="519">
                  <c:v>44211</c:v>
                </c:pt>
                <c:pt idx="520">
                  <c:v>44214</c:v>
                </c:pt>
                <c:pt idx="521">
                  <c:v>44215</c:v>
                </c:pt>
                <c:pt idx="522">
                  <c:v>44216</c:v>
                </c:pt>
                <c:pt idx="523">
                  <c:v>44217</c:v>
                </c:pt>
                <c:pt idx="524">
                  <c:v>44218</c:v>
                </c:pt>
                <c:pt idx="525">
                  <c:v>44221</c:v>
                </c:pt>
                <c:pt idx="526">
                  <c:v>44222</c:v>
                </c:pt>
                <c:pt idx="527">
                  <c:v>44223</c:v>
                </c:pt>
                <c:pt idx="528">
                  <c:v>44224</c:v>
                </c:pt>
                <c:pt idx="529">
                  <c:v>44225</c:v>
                </c:pt>
                <c:pt idx="530">
                  <c:v>44228</c:v>
                </c:pt>
                <c:pt idx="531">
                  <c:v>44229</c:v>
                </c:pt>
                <c:pt idx="532">
                  <c:v>44230</c:v>
                </c:pt>
                <c:pt idx="533">
                  <c:v>44231</c:v>
                </c:pt>
                <c:pt idx="534">
                  <c:v>44232</c:v>
                </c:pt>
                <c:pt idx="535">
                  <c:v>44235</c:v>
                </c:pt>
                <c:pt idx="536">
                  <c:v>44236</c:v>
                </c:pt>
                <c:pt idx="537">
                  <c:v>44237</c:v>
                </c:pt>
                <c:pt idx="538">
                  <c:v>44238</c:v>
                </c:pt>
                <c:pt idx="539">
                  <c:v>44239</c:v>
                </c:pt>
                <c:pt idx="540">
                  <c:v>44242</c:v>
                </c:pt>
                <c:pt idx="541">
                  <c:v>44243</c:v>
                </c:pt>
                <c:pt idx="542">
                  <c:v>44244</c:v>
                </c:pt>
                <c:pt idx="543">
                  <c:v>44245</c:v>
                </c:pt>
                <c:pt idx="544">
                  <c:v>44246</c:v>
                </c:pt>
                <c:pt idx="545">
                  <c:v>44249</c:v>
                </c:pt>
                <c:pt idx="546">
                  <c:v>44250</c:v>
                </c:pt>
                <c:pt idx="547">
                  <c:v>44251</c:v>
                </c:pt>
                <c:pt idx="548">
                  <c:v>44252</c:v>
                </c:pt>
                <c:pt idx="549">
                  <c:v>44253</c:v>
                </c:pt>
                <c:pt idx="550">
                  <c:v>44256</c:v>
                </c:pt>
                <c:pt idx="551">
                  <c:v>44257</c:v>
                </c:pt>
                <c:pt idx="552">
                  <c:v>44258</c:v>
                </c:pt>
                <c:pt idx="553">
                  <c:v>44259</c:v>
                </c:pt>
                <c:pt idx="554">
                  <c:v>44260</c:v>
                </c:pt>
                <c:pt idx="555">
                  <c:v>44263</c:v>
                </c:pt>
                <c:pt idx="556">
                  <c:v>44264</c:v>
                </c:pt>
                <c:pt idx="557">
                  <c:v>44265</c:v>
                </c:pt>
                <c:pt idx="558">
                  <c:v>44266</c:v>
                </c:pt>
                <c:pt idx="559">
                  <c:v>44263</c:v>
                </c:pt>
                <c:pt idx="560">
                  <c:v>44264</c:v>
                </c:pt>
                <c:pt idx="561">
                  <c:v>44265</c:v>
                </c:pt>
                <c:pt idx="562">
                  <c:v>44266</c:v>
                </c:pt>
                <c:pt idx="563">
                  <c:v>44267</c:v>
                </c:pt>
                <c:pt idx="564">
                  <c:v>44270</c:v>
                </c:pt>
                <c:pt idx="565">
                  <c:v>44271</c:v>
                </c:pt>
                <c:pt idx="566">
                  <c:v>44272</c:v>
                </c:pt>
                <c:pt idx="567">
                  <c:v>44273</c:v>
                </c:pt>
                <c:pt idx="568">
                  <c:v>44274</c:v>
                </c:pt>
                <c:pt idx="569">
                  <c:v>44277</c:v>
                </c:pt>
                <c:pt idx="570">
                  <c:v>44278</c:v>
                </c:pt>
                <c:pt idx="571">
                  <c:v>44279</c:v>
                </c:pt>
                <c:pt idx="572">
                  <c:v>44280</c:v>
                </c:pt>
                <c:pt idx="573">
                  <c:v>44281</c:v>
                </c:pt>
                <c:pt idx="574">
                  <c:v>44284</c:v>
                </c:pt>
                <c:pt idx="575">
                  <c:v>44285</c:v>
                </c:pt>
                <c:pt idx="576">
                  <c:v>44286</c:v>
                </c:pt>
                <c:pt idx="577">
                  <c:v>44287</c:v>
                </c:pt>
                <c:pt idx="578">
                  <c:v>44288</c:v>
                </c:pt>
                <c:pt idx="579">
                  <c:v>44292</c:v>
                </c:pt>
                <c:pt idx="580">
                  <c:v>44293</c:v>
                </c:pt>
                <c:pt idx="581">
                  <c:v>44294</c:v>
                </c:pt>
                <c:pt idx="582">
                  <c:v>44295</c:v>
                </c:pt>
                <c:pt idx="583">
                  <c:v>44298</c:v>
                </c:pt>
                <c:pt idx="584">
                  <c:v>44299</c:v>
                </c:pt>
                <c:pt idx="585">
                  <c:v>44300</c:v>
                </c:pt>
                <c:pt idx="586">
                  <c:v>44301</c:v>
                </c:pt>
                <c:pt idx="587">
                  <c:v>44302</c:v>
                </c:pt>
                <c:pt idx="588">
                  <c:v>44305</c:v>
                </c:pt>
                <c:pt idx="589">
                  <c:v>44306</c:v>
                </c:pt>
                <c:pt idx="590">
                  <c:v>44307</c:v>
                </c:pt>
                <c:pt idx="591">
                  <c:v>44308</c:v>
                </c:pt>
                <c:pt idx="592">
                  <c:v>44309</c:v>
                </c:pt>
                <c:pt idx="593">
                  <c:v>44312</c:v>
                </c:pt>
                <c:pt idx="594">
                  <c:v>44313</c:v>
                </c:pt>
                <c:pt idx="595">
                  <c:v>44314</c:v>
                </c:pt>
                <c:pt idx="596">
                  <c:v>44315</c:v>
                </c:pt>
                <c:pt idx="597">
                  <c:v>44316</c:v>
                </c:pt>
                <c:pt idx="598">
                  <c:v>44319</c:v>
                </c:pt>
                <c:pt idx="599">
                  <c:v>44320</c:v>
                </c:pt>
                <c:pt idx="600">
                  <c:v>44321</c:v>
                </c:pt>
                <c:pt idx="601">
                  <c:v>44322</c:v>
                </c:pt>
                <c:pt idx="602">
                  <c:v>44323</c:v>
                </c:pt>
                <c:pt idx="603">
                  <c:v>44326</c:v>
                </c:pt>
                <c:pt idx="604">
                  <c:v>44327</c:v>
                </c:pt>
                <c:pt idx="605">
                  <c:v>44328</c:v>
                </c:pt>
                <c:pt idx="606">
                  <c:v>44329</c:v>
                </c:pt>
                <c:pt idx="607">
                  <c:v>44330</c:v>
                </c:pt>
                <c:pt idx="608">
                  <c:v>44333</c:v>
                </c:pt>
                <c:pt idx="609">
                  <c:v>44334</c:v>
                </c:pt>
                <c:pt idx="610">
                  <c:v>44335</c:v>
                </c:pt>
                <c:pt idx="611">
                  <c:v>44336</c:v>
                </c:pt>
                <c:pt idx="612">
                  <c:v>44337</c:v>
                </c:pt>
                <c:pt idx="613">
                  <c:v>44340</c:v>
                </c:pt>
                <c:pt idx="614">
                  <c:v>44341</c:v>
                </c:pt>
                <c:pt idx="615">
                  <c:v>44342</c:v>
                </c:pt>
                <c:pt idx="616">
                  <c:v>44343</c:v>
                </c:pt>
                <c:pt idx="617">
                  <c:v>44344</c:v>
                </c:pt>
                <c:pt idx="618">
                  <c:v>44347</c:v>
                </c:pt>
                <c:pt idx="619">
                  <c:v>44348</c:v>
                </c:pt>
                <c:pt idx="620">
                  <c:v>44349</c:v>
                </c:pt>
                <c:pt idx="621">
                  <c:v>44350</c:v>
                </c:pt>
                <c:pt idx="622">
                  <c:v>44351</c:v>
                </c:pt>
                <c:pt idx="623">
                  <c:v>44354</c:v>
                </c:pt>
                <c:pt idx="624">
                  <c:v>44355</c:v>
                </c:pt>
                <c:pt idx="625">
                  <c:v>44356</c:v>
                </c:pt>
                <c:pt idx="626">
                  <c:v>44357</c:v>
                </c:pt>
                <c:pt idx="627">
                  <c:v>44358</c:v>
                </c:pt>
                <c:pt idx="628">
                  <c:v>44361</c:v>
                </c:pt>
                <c:pt idx="629">
                  <c:v>44362</c:v>
                </c:pt>
                <c:pt idx="630">
                  <c:v>44363</c:v>
                </c:pt>
                <c:pt idx="631">
                  <c:v>44364</c:v>
                </c:pt>
                <c:pt idx="632">
                  <c:v>44365</c:v>
                </c:pt>
                <c:pt idx="633">
                  <c:v>44368</c:v>
                </c:pt>
                <c:pt idx="634">
                  <c:v>44369</c:v>
                </c:pt>
                <c:pt idx="635">
                  <c:v>44370</c:v>
                </c:pt>
                <c:pt idx="636">
                  <c:v>44371</c:v>
                </c:pt>
                <c:pt idx="637">
                  <c:v>44372</c:v>
                </c:pt>
                <c:pt idx="638">
                  <c:v>44375</c:v>
                </c:pt>
                <c:pt idx="639">
                  <c:v>44376</c:v>
                </c:pt>
                <c:pt idx="640">
                  <c:v>44377</c:v>
                </c:pt>
                <c:pt idx="641">
                  <c:v>44378</c:v>
                </c:pt>
                <c:pt idx="642">
                  <c:v>44379</c:v>
                </c:pt>
                <c:pt idx="643">
                  <c:v>44382</c:v>
                </c:pt>
                <c:pt idx="644">
                  <c:v>44383</c:v>
                </c:pt>
                <c:pt idx="645">
                  <c:v>44384</c:v>
                </c:pt>
                <c:pt idx="646">
                  <c:v>44385</c:v>
                </c:pt>
                <c:pt idx="647">
                  <c:v>44386</c:v>
                </c:pt>
                <c:pt idx="648">
                  <c:v>44389</c:v>
                </c:pt>
                <c:pt idx="649">
                  <c:v>44390</c:v>
                </c:pt>
                <c:pt idx="650">
                  <c:v>44391</c:v>
                </c:pt>
                <c:pt idx="651">
                  <c:v>44392</c:v>
                </c:pt>
                <c:pt idx="652">
                  <c:v>44393</c:v>
                </c:pt>
                <c:pt idx="653">
                  <c:v>44396</c:v>
                </c:pt>
                <c:pt idx="654">
                  <c:v>44397</c:v>
                </c:pt>
                <c:pt idx="655">
                  <c:v>44398</c:v>
                </c:pt>
                <c:pt idx="656">
                  <c:v>44399</c:v>
                </c:pt>
                <c:pt idx="657">
                  <c:v>44400</c:v>
                </c:pt>
                <c:pt idx="658">
                  <c:v>44403</c:v>
                </c:pt>
                <c:pt idx="659">
                  <c:v>44404</c:v>
                </c:pt>
                <c:pt idx="660">
                  <c:v>44405</c:v>
                </c:pt>
                <c:pt idx="661">
                  <c:v>44406</c:v>
                </c:pt>
                <c:pt idx="662">
                  <c:v>44407</c:v>
                </c:pt>
                <c:pt idx="663">
                  <c:v>44410</c:v>
                </c:pt>
                <c:pt idx="664">
                  <c:v>44411</c:v>
                </c:pt>
                <c:pt idx="665">
                  <c:v>44412</c:v>
                </c:pt>
                <c:pt idx="666">
                  <c:v>44413</c:v>
                </c:pt>
                <c:pt idx="667">
                  <c:v>44414</c:v>
                </c:pt>
                <c:pt idx="668">
                  <c:v>44417</c:v>
                </c:pt>
                <c:pt idx="669">
                  <c:v>44418</c:v>
                </c:pt>
                <c:pt idx="670">
                  <c:v>44419</c:v>
                </c:pt>
                <c:pt idx="671">
                  <c:v>44420</c:v>
                </c:pt>
                <c:pt idx="672">
                  <c:v>44421</c:v>
                </c:pt>
                <c:pt idx="673">
                  <c:v>44424</c:v>
                </c:pt>
                <c:pt idx="674">
                  <c:v>44425</c:v>
                </c:pt>
                <c:pt idx="675">
                  <c:v>44426</c:v>
                </c:pt>
                <c:pt idx="676">
                  <c:v>44427</c:v>
                </c:pt>
                <c:pt idx="677">
                  <c:v>44428</c:v>
                </c:pt>
                <c:pt idx="678">
                  <c:v>44431</c:v>
                </c:pt>
                <c:pt idx="679">
                  <c:v>44432</c:v>
                </c:pt>
                <c:pt idx="680">
                  <c:v>44433</c:v>
                </c:pt>
                <c:pt idx="681">
                  <c:v>44434</c:v>
                </c:pt>
                <c:pt idx="682">
                  <c:v>44435</c:v>
                </c:pt>
                <c:pt idx="683">
                  <c:v>44438</c:v>
                </c:pt>
                <c:pt idx="684">
                  <c:v>44439</c:v>
                </c:pt>
                <c:pt idx="685">
                  <c:v>44440</c:v>
                </c:pt>
                <c:pt idx="686">
                  <c:v>44441</c:v>
                </c:pt>
                <c:pt idx="687">
                  <c:v>44442</c:v>
                </c:pt>
                <c:pt idx="688">
                  <c:v>44445</c:v>
                </c:pt>
                <c:pt idx="689">
                  <c:v>44446</c:v>
                </c:pt>
                <c:pt idx="690">
                  <c:v>44447</c:v>
                </c:pt>
                <c:pt idx="691">
                  <c:v>44448</c:v>
                </c:pt>
                <c:pt idx="692">
                  <c:v>44449</c:v>
                </c:pt>
                <c:pt idx="693">
                  <c:v>44452</c:v>
                </c:pt>
                <c:pt idx="694">
                  <c:v>44453</c:v>
                </c:pt>
                <c:pt idx="695">
                  <c:v>44454</c:v>
                </c:pt>
                <c:pt idx="696">
                  <c:v>44455</c:v>
                </c:pt>
                <c:pt idx="697">
                  <c:v>44456</c:v>
                </c:pt>
                <c:pt idx="698">
                  <c:v>44459</c:v>
                </c:pt>
                <c:pt idx="699">
                  <c:v>44460</c:v>
                </c:pt>
                <c:pt idx="700">
                  <c:v>44461</c:v>
                </c:pt>
                <c:pt idx="701">
                  <c:v>44462</c:v>
                </c:pt>
                <c:pt idx="702">
                  <c:v>44463</c:v>
                </c:pt>
                <c:pt idx="703">
                  <c:v>44466</c:v>
                </c:pt>
                <c:pt idx="704">
                  <c:v>44467</c:v>
                </c:pt>
                <c:pt idx="705">
                  <c:v>44468</c:v>
                </c:pt>
                <c:pt idx="706">
                  <c:v>44469</c:v>
                </c:pt>
                <c:pt idx="707">
                  <c:v>44470</c:v>
                </c:pt>
                <c:pt idx="708">
                  <c:v>44473</c:v>
                </c:pt>
                <c:pt idx="709">
                  <c:v>44474</c:v>
                </c:pt>
                <c:pt idx="710">
                  <c:v>44475</c:v>
                </c:pt>
                <c:pt idx="711">
                  <c:v>44476</c:v>
                </c:pt>
                <c:pt idx="712">
                  <c:v>44477</c:v>
                </c:pt>
                <c:pt idx="713">
                  <c:v>44480</c:v>
                </c:pt>
                <c:pt idx="714">
                  <c:v>44481</c:v>
                </c:pt>
                <c:pt idx="715">
                  <c:v>44482</c:v>
                </c:pt>
                <c:pt idx="716">
                  <c:v>44483</c:v>
                </c:pt>
                <c:pt idx="717">
                  <c:v>44484</c:v>
                </c:pt>
                <c:pt idx="718">
                  <c:v>44487</c:v>
                </c:pt>
                <c:pt idx="719">
                  <c:v>44488</c:v>
                </c:pt>
                <c:pt idx="720">
                  <c:v>44489</c:v>
                </c:pt>
                <c:pt idx="721">
                  <c:v>44490</c:v>
                </c:pt>
                <c:pt idx="722">
                  <c:v>44491</c:v>
                </c:pt>
                <c:pt idx="723">
                  <c:v>44494</c:v>
                </c:pt>
                <c:pt idx="724">
                  <c:v>44495</c:v>
                </c:pt>
                <c:pt idx="725">
                  <c:v>44496</c:v>
                </c:pt>
                <c:pt idx="726">
                  <c:v>44497</c:v>
                </c:pt>
                <c:pt idx="727">
                  <c:v>44498</c:v>
                </c:pt>
                <c:pt idx="728">
                  <c:v>44501</c:v>
                </c:pt>
                <c:pt idx="729">
                  <c:v>44502</c:v>
                </c:pt>
                <c:pt idx="730">
                  <c:v>44503</c:v>
                </c:pt>
                <c:pt idx="731">
                  <c:v>44504</c:v>
                </c:pt>
                <c:pt idx="732">
                  <c:v>44505</c:v>
                </c:pt>
                <c:pt idx="733">
                  <c:v>44508</c:v>
                </c:pt>
                <c:pt idx="734">
                  <c:v>44509</c:v>
                </c:pt>
                <c:pt idx="735">
                  <c:v>44510</c:v>
                </c:pt>
                <c:pt idx="736">
                  <c:v>44511</c:v>
                </c:pt>
                <c:pt idx="737">
                  <c:v>44512</c:v>
                </c:pt>
                <c:pt idx="738">
                  <c:v>44515</c:v>
                </c:pt>
                <c:pt idx="739">
                  <c:v>44516</c:v>
                </c:pt>
                <c:pt idx="740">
                  <c:v>44517</c:v>
                </c:pt>
                <c:pt idx="741">
                  <c:v>44518</c:v>
                </c:pt>
                <c:pt idx="742">
                  <c:v>44519</c:v>
                </c:pt>
                <c:pt idx="743">
                  <c:v>44522</c:v>
                </c:pt>
                <c:pt idx="744">
                  <c:v>44523</c:v>
                </c:pt>
                <c:pt idx="745">
                  <c:v>44524</c:v>
                </c:pt>
                <c:pt idx="746">
                  <c:v>44525</c:v>
                </c:pt>
                <c:pt idx="747">
                  <c:v>44526</c:v>
                </c:pt>
                <c:pt idx="748">
                  <c:v>44529</c:v>
                </c:pt>
                <c:pt idx="749">
                  <c:v>44530</c:v>
                </c:pt>
                <c:pt idx="750">
                  <c:v>44531</c:v>
                </c:pt>
                <c:pt idx="751">
                  <c:v>44532</c:v>
                </c:pt>
                <c:pt idx="752">
                  <c:v>44533</c:v>
                </c:pt>
                <c:pt idx="753">
                  <c:v>44536</c:v>
                </c:pt>
                <c:pt idx="754">
                  <c:v>44537</c:v>
                </c:pt>
                <c:pt idx="755">
                  <c:v>44538</c:v>
                </c:pt>
                <c:pt idx="756">
                  <c:v>44539</c:v>
                </c:pt>
                <c:pt idx="757">
                  <c:v>44540</c:v>
                </c:pt>
                <c:pt idx="758">
                  <c:v>44543</c:v>
                </c:pt>
                <c:pt idx="759">
                  <c:v>44544</c:v>
                </c:pt>
                <c:pt idx="760">
                  <c:v>44545</c:v>
                </c:pt>
                <c:pt idx="761">
                  <c:v>44546</c:v>
                </c:pt>
                <c:pt idx="762">
                  <c:v>44547</c:v>
                </c:pt>
                <c:pt idx="763">
                  <c:v>44550</c:v>
                </c:pt>
                <c:pt idx="764">
                  <c:v>44551</c:v>
                </c:pt>
                <c:pt idx="765">
                  <c:v>44552</c:v>
                </c:pt>
                <c:pt idx="766">
                  <c:v>44553</c:v>
                </c:pt>
                <c:pt idx="767">
                  <c:v>44554</c:v>
                </c:pt>
                <c:pt idx="768">
                  <c:v>44557</c:v>
                </c:pt>
                <c:pt idx="769">
                  <c:v>44558</c:v>
                </c:pt>
                <c:pt idx="770">
                  <c:v>44559</c:v>
                </c:pt>
                <c:pt idx="771">
                  <c:v>44560</c:v>
                </c:pt>
                <c:pt idx="772">
                  <c:v>44561</c:v>
                </c:pt>
                <c:pt idx="773">
                  <c:v>44564</c:v>
                </c:pt>
                <c:pt idx="774">
                  <c:v>44565</c:v>
                </c:pt>
                <c:pt idx="775">
                  <c:v>44566</c:v>
                </c:pt>
                <c:pt idx="776">
                  <c:v>44567</c:v>
                </c:pt>
                <c:pt idx="777">
                  <c:v>44568</c:v>
                </c:pt>
                <c:pt idx="778">
                  <c:v>44571</c:v>
                </c:pt>
                <c:pt idx="779">
                  <c:v>44572</c:v>
                </c:pt>
                <c:pt idx="780">
                  <c:v>44573</c:v>
                </c:pt>
                <c:pt idx="781">
                  <c:v>44574</c:v>
                </c:pt>
                <c:pt idx="782">
                  <c:v>44575</c:v>
                </c:pt>
                <c:pt idx="783">
                  <c:v>44578</c:v>
                </c:pt>
                <c:pt idx="784">
                  <c:v>44579</c:v>
                </c:pt>
                <c:pt idx="785">
                  <c:v>44580</c:v>
                </c:pt>
                <c:pt idx="786">
                  <c:v>44581</c:v>
                </c:pt>
                <c:pt idx="787">
                  <c:v>44582</c:v>
                </c:pt>
                <c:pt idx="788">
                  <c:v>44585</c:v>
                </c:pt>
                <c:pt idx="789">
                  <c:v>44586</c:v>
                </c:pt>
                <c:pt idx="790">
                  <c:v>44587</c:v>
                </c:pt>
                <c:pt idx="791">
                  <c:v>44588</c:v>
                </c:pt>
                <c:pt idx="792">
                  <c:v>44589</c:v>
                </c:pt>
                <c:pt idx="793">
                  <c:v>44592</c:v>
                </c:pt>
                <c:pt idx="794">
                  <c:v>44593</c:v>
                </c:pt>
                <c:pt idx="795">
                  <c:v>44594</c:v>
                </c:pt>
                <c:pt idx="796">
                  <c:v>44595</c:v>
                </c:pt>
                <c:pt idx="797">
                  <c:v>44596</c:v>
                </c:pt>
                <c:pt idx="798">
                  <c:v>44599</c:v>
                </c:pt>
                <c:pt idx="799">
                  <c:v>44600</c:v>
                </c:pt>
                <c:pt idx="800">
                  <c:v>44601</c:v>
                </c:pt>
                <c:pt idx="801">
                  <c:v>44602</c:v>
                </c:pt>
                <c:pt idx="802">
                  <c:v>44603</c:v>
                </c:pt>
                <c:pt idx="803">
                  <c:v>44606</c:v>
                </c:pt>
                <c:pt idx="804">
                  <c:v>44607</c:v>
                </c:pt>
                <c:pt idx="805">
                  <c:v>44608</c:v>
                </c:pt>
                <c:pt idx="806">
                  <c:v>44609</c:v>
                </c:pt>
                <c:pt idx="807">
                  <c:v>44610</c:v>
                </c:pt>
                <c:pt idx="808">
                  <c:v>44613</c:v>
                </c:pt>
                <c:pt idx="809">
                  <c:v>44614</c:v>
                </c:pt>
                <c:pt idx="810">
                  <c:v>44615</c:v>
                </c:pt>
                <c:pt idx="811">
                  <c:v>44616</c:v>
                </c:pt>
                <c:pt idx="812">
                  <c:v>44617</c:v>
                </c:pt>
                <c:pt idx="813">
                  <c:v>44620</c:v>
                </c:pt>
                <c:pt idx="814">
                  <c:v>44621</c:v>
                </c:pt>
                <c:pt idx="815">
                  <c:v>44622</c:v>
                </c:pt>
                <c:pt idx="816">
                  <c:v>44623</c:v>
                </c:pt>
                <c:pt idx="817">
                  <c:v>44624</c:v>
                </c:pt>
                <c:pt idx="818">
                  <c:v>44627</c:v>
                </c:pt>
                <c:pt idx="819">
                  <c:v>44628</c:v>
                </c:pt>
                <c:pt idx="820">
                  <c:v>44629</c:v>
                </c:pt>
                <c:pt idx="821">
                  <c:v>44630</c:v>
                </c:pt>
                <c:pt idx="822">
                  <c:v>44631</c:v>
                </c:pt>
                <c:pt idx="823">
                  <c:v>44634</c:v>
                </c:pt>
                <c:pt idx="824">
                  <c:v>44635</c:v>
                </c:pt>
                <c:pt idx="825">
                  <c:v>44636</c:v>
                </c:pt>
                <c:pt idx="826">
                  <c:v>44637</c:v>
                </c:pt>
                <c:pt idx="827">
                  <c:v>44638</c:v>
                </c:pt>
                <c:pt idx="828">
                  <c:v>44641</c:v>
                </c:pt>
                <c:pt idx="829">
                  <c:v>44642</c:v>
                </c:pt>
                <c:pt idx="830">
                  <c:v>44643</c:v>
                </c:pt>
                <c:pt idx="831">
                  <c:v>44644</c:v>
                </c:pt>
                <c:pt idx="832">
                  <c:v>44645</c:v>
                </c:pt>
                <c:pt idx="833">
                  <c:v>44648</c:v>
                </c:pt>
                <c:pt idx="834">
                  <c:v>44649</c:v>
                </c:pt>
                <c:pt idx="835">
                  <c:v>44650</c:v>
                </c:pt>
                <c:pt idx="836">
                  <c:v>44651</c:v>
                </c:pt>
                <c:pt idx="837">
                  <c:v>44652</c:v>
                </c:pt>
                <c:pt idx="838">
                  <c:v>44655</c:v>
                </c:pt>
                <c:pt idx="839">
                  <c:v>44656</c:v>
                </c:pt>
                <c:pt idx="840">
                  <c:v>44657</c:v>
                </c:pt>
                <c:pt idx="841">
                  <c:v>44658</c:v>
                </c:pt>
                <c:pt idx="842">
                  <c:v>44659</c:v>
                </c:pt>
                <c:pt idx="843">
                  <c:v>44662</c:v>
                </c:pt>
                <c:pt idx="844">
                  <c:v>44663</c:v>
                </c:pt>
                <c:pt idx="845">
                  <c:v>44664</c:v>
                </c:pt>
                <c:pt idx="846">
                  <c:v>44665</c:v>
                </c:pt>
                <c:pt idx="847">
                  <c:v>44666</c:v>
                </c:pt>
                <c:pt idx="848">
                  <c:v>44670</c:v>
                </c:pt>
                <c:pt idx="849">
                  <c:v>44671</c:v>
                </c:pt>
                <c:pt idx="850">
                  <c:v>44672</c:v>
                </c:pt>
                <c:pt idx="851">
                  <c:v>44673</c:v>
                </c:pt>
                <c:pt idx="852">
                  <c:v>44676</c:v>
                </c:pt>
                <c:pt idx="853">
                  <c:v>44677</c:v>
                </c:pt>
                <c:pt idx="854">
                  <c:v>44678</c:v>
                </c:pt>
                <c:pt idx="855">
                  <c:v>44679</c:v>
                </c:pt>
                <c:pt idx="856">
                  <c:v>44680</c:v>
                </c:pt>
                <c:pt idx="857">
                  <c:v>44683</c:v>
                </c:pt>
                <c:pt idx="858">
                  <c:v>44684</c:v>
                </c:pt>
                <c:pt idx="859">
                  <c:v>44685</c:v>
                </c:pt>
                <c:pt idx="860">
                  <c:v>44686</c:v>
                </c:pt>
                <c:pt idx="861">
                  <c:v>44687</c:v>
                </c:pt>
                <c:pt idx="862">
                  <c:v>44690</c:v>
                </c:pt>
                <c:pt idx="863">
                  <c:v>44691</c:v>
                </c:pt>
                <c:pt idx="864">
                  <c:v>44692</c:v>
                </c:pt>
                <c:pt idx="865">
                  <c:v>44693</c:v>
                </c:pt>
                <c:pt idx="866">
                  <c:v>44694</c:v>
                </c:pt>
                <c:pt idx="867">
                  <c:v>44697</c:v>
                </c:pt>
                <c:pt idx="868">
                  <c:v>44698</c:v>
                </c:pt>
                <c:pt idx="869">
                  <c:v>44699</c:v>
                </c:pt>
                <c:pt idx="870">
                  <c:v>44700</c:v>
                </c:pt>
                <c:pt idx="871">
                  <c:v>44701</c:v>
                </c:pt>
                <c:pt idx="872">
                  <c:v>44704</c:v>
                </c:pt>
                <c:pt idx="873">
                  <c:v>44705</c:v>
                </c:pt>
                <c:pt idx="874">
                  <c:v>44706</c:v>
                </c:pt>
                <c:pt idx="875">
                  <c:v>44707</c:v>
                </c:pt>
                <c:pt idx="876">
                  <c:v>44708</c:v>
                </c:pt>
                <c:pt idx="877">
                  <c:v>44711</c:v>
                </c:pt>
                <c:pt idx="878">
                  <c:v>44712</c:v>
                </c:pt>
                <c:pt idx="879">
                  <c:v>44713</c:v>
                </c:pt>
                <c:pt idx="880">
                  <c:v>44714</c:v>
                </c:pt>
                <c:pt idx="881">
                  <c:v>44715</c:v>
                </c:pt>
                <c:pt idx="882">
                  <c:v>44718</c:v>
                </c:pt>
                <c:pt idx="883">
                  <c:v>44719</c:v>
                </c:pt>
                <c:pt idx="884">
                  <c:v>44720</c:v>
                </c:pt>
                <c:pt idx="885">
                  <c:v>44721</c:v>
                </c:pt>
                <c:pt idx="886">
                  <c:v>44722</c:v>
                </c:pt>
                <c:pt idx="887">
                  <c:v>44725</c:v>
                </c:pt>
                <c:pt idx="888">
                  <c:v>44726</c:v>
                </c:pt>
                <c:pt idx="889">
                  <c:v>44727</c:v>
                </c:pt>
                <c:pt idx="890">
                  <c:v>44728</c:v>
                </c:pt>
                <c:pt idx="891">
                  <c:v>44729</c:v>
                </c:pt>
                <c:pt idx="892">
                  <c:v>44732</c:v>
                </c:pt>
                <c:pt idx="893">
                  <c:v>44733</c:v>
                </c:pt>
                <c:pt idx="894">
                  <c:v>44734</c:v>
                </c:pt>
                <c:pt idx="895">
                  <c:v>44735</c:v>
                </c:pt>
                <c:pt idx="896">
                  <c:v>44736</c:v>
                </c:pt>
                <c:pt idx="897">
                  <c:v>44739</c:v>
                </c:pt>
                <c:pt idx="898">
                  <c:v>44740</c:v>
                </c:pt>
                <c:pt idx="899">
                  <c:v>44741</c:v>
                </c:pt>
                <c:pt idx="900">
                  <c:v>44742</c:v>
                </c:pt>
                <c:pt idx="901">
                  <c:v>44743</c:v>
                </c:pt>
                <c:pt idx="902">
                  <c:v>44746</c:v>
                </c:pt>
                <c:pt idx="903">
                  <c:v>44747</c:v>
                </c:pt>
                <c:pt idx="904">
                  <c:v>44748</c:v>
                </c:pt>
                <c:pt idx="905">
                  <c:v>44749</c:v>
                </c:pt>
                <c:pt idx="906">
                  <c:v>44750</c:v>
                </c:pt>
                <c:pt idx="907">
                  <c:v>44753</c:v>
                </c:pt>
                <c:pt idx="908">
                  <c:v>44754</c:v>
                </c:pt>
                <c:pt idx="909">
                  <c:v>44755</c:v>
                </c:pt>
                <c:pt idx="910">
                  <c:v>44756</c:v>
                </c:pt>
                <c:pt idx="911">
                  <c:v>44757</c:v>
                </c:pt>
                <c:pt idx="912">
                  <c:v>44760</c:v>
                </c:pt>
                <c:pt idx="913">
                  <c:v>44761</c:v>
                </c:pt>
                <c:pt idx="914">
                  <c:v>44762</c:v>
                </c:pt>
                <c:pt idx="915">
                  <c:v>44763</c:v>
                </c:pt>
                <c:pt idx="916">
                  <c:v>44764</c:v>
                </c:pt>
                <c:pt idx="917">
                  <c:v>44767</c:v>
                </c:pt>
                <c:pt idx="918">
                  <c:v>44768</c:v>
                </c:pt>
                <c:pt idx="919">
                  <c:v>44769</c:v>
                </c:pt>
                <c:pt idx="920">
                  <c:v>44770</c:v>
                </c:pt>
                <c:pt idx="921">
                  <c:v>44771</c:v>
                </c:pt>
                <c:pt idx="922">
                  <c:v>44774</c:v>
                </c:pt>
                <c:pt idx="923">
                  <c:v>44775</c:v>
                </c:pt>
                <c:pt idx="924">
                  <c:v>44776</c:v>
                </c:pt>
                <c:pt idx="925">
                  <c:v>44777</c:v>
                </c:pt>
                <c:pt idx="926">
                  <c:v>44778</c:v>
                </c:pt>
                <c:pt idx="927">
                  <c:v>44781</c:v>
                </c:pt>
                <c:pt idx="928">
                  <c:v>44782</c:v>
                </c:pt>
                <c:pt idx="929">
                  <c:v>44783</c:v>
                </c:pt>
                <c:pt idx="930">
                  <c:v>44784</c:v>
                </c:pt>
                <c:pt idx="931">
                  <c:v>44785</c:v>
                </c:pt>
                <c:pt idx="932">
                  <c:v>44788</c:v>
                </c:pt>
                <c:pt idx="933">
                  <c:v>44789</c:v>
                </c:pt>
                <c:pt idx="934">
                  <c:v>44790</c:v>
                </c:pt>
                <c:pt idx="935">
                  <c:v>44791</c:v>
                </c:pt>
                <c:pt idx="936">
                  <c:v>44792</c:v>
                </c:pt>
                <c:pt idx="937">
                  <c:v>44795</c:v>
                </c:pt>
                <c:pt idx="938">
                  <c:v>44789</c:v>
                </c:pt>
                <c:pt idx="939">
                  <c:v>44790</c:v>
                </c:pt>
                <c:pt idx="940">
                  <c:v>44791</c:v>
                </c:pt>
                <c:pt idx="941">
                  <c:v>44792</c:v>
                </c:pt>
                <c:pt idx="942">
                  <c:v>44795</c:v>
                </c:pt>
                <c:pt idx="943">
                  <c:v>44796</c:v>
                </c:pt>
                <c:pt idx="944">
                  <c:v>44797</c:v>
                </c:pt>
                <c:pt idx="945">
                  <c:v>44798</c:v>
                </c:pt>
                <c:pt idx="946">
                  <c:v>44799</c:v>
                </c:pt>
                <c:pt idx="947">
                  <c:v>44802</c:v>
                </c:pt>
                <c:pt idx="948">
                  <c:v>44803</c:v>
                </c:pt>
                <c:pt idx="949">
                  <c:v>44804</c:v>
                </c:pt>
                <c:pt idx="950">
                  <c:v>44805</c:v>
                </c:pt>
                <c:pt idx="951">
                  <c:v>44806</c:v>
                </c:pt>
                <c:pt idx="952">
                  <c:v>44809</c:v>
                </c:pt>
                <c:pt idx="953">
                  <c:v>44810</c:v>
                </c:pt>
                <c:pt idx="954">
                  <c:v>44811</c:v>
                </c:pt>
                <c:pt idx="955">
                  <c:v>44812</c:v>
                </c:pt>
                <c:pt idx="956">
                  <c:v>44813</c:v>
                </c:pt>
                <c:pt idx="957">
                  <c:v>44816</c:v>
                </c:pt>
                <c:pt idx="958">
                  <c:v>44817</c:v>
                </c:pt>
                <c:pt idx="959">
                  <c:v>44818</c:v>
                </c:pt>
                <c:pt idx="960">
                  <c:v>44819</c:v>
                </c:pt>
                <c:pt idx="961">
                  <c:v>44820</c:v>
                </c:pt>
                <c:pt idx="962">
                  <c:v>44823</c:v>
                </c:pt>
                <c:pt idx="963">
                  <c:v>44824</c:v>
                </c:pt>
                <c:pt idx="964">
                  <c:v>44825</c:v>
                </c:pt>
                <c:pt idx="965">
                  <c:v>44826</c:v>
                </c:pt>
                <c:pt idx="966">
                  <c:v>44827</c:v>
                </c:pt>
                <c:pt idx="967">
                  <c:v>44830</c:v>
                </c:pt>
                <c:pt idx="968">
                  <c:v>44831</c:v>
                </c:pt>
                <c:pt idx="969">
                  <c:v>44832</c:v>
                </c:pt>
                <c:pt idx="970">
                  <c:v>44833</c:v>
                </c:pt>
                <c:pt idx="971">
                  <c:v>44834</c:v>
                </c:pt>
                <c:pt idx="972">
                  <c:v>44837</c:v>
                </c:pt>
                <c:pt idx="973">
                  <c:v>44838</c:v>
                </c:pt>
                <c:pt idx="974">
                  <c:v>44839</c:v>
                </c:pt>
                <c:pt idx="975">
                  <c:v>44840</c:v>
                </c:pt>
                <c:pt idx="976">
                  <c:v>44841</c:v>
                </c:pt>
                <c:pt idx="977">
                  <c:v>44844</c:v>
                </c:pt>
                <c:pt idx="978">
                  <c:v>44845</c:v>
                </c:pt>
                <c:pt idx="979">
                  <c:v>44846</c:v>
                </c:pt>
                <c:pt idx="980">
                  <c:v>44847</c:v>
                </c:pt>
                <c:pt idx="981">
                  <c:v>44848</c:v>
                </c:pt>
                <c:pt idx="982">
                  <c:v>44851</c:v>
                </c:pt>
                <c:pt idx="983">
                  <c:v>44852</c:v>
                </c:pt>
                <c:pt idx="984">
                  <c:v>44853</c:v>
                </c:pt>
                <c:pt idx="985">
                  <c:v>44854</c:v>
                </c:pt>
                <c:pt idx="986">
                  <c:v>44855</c:v>
                </c:pt>
                <c:pt idx="987">
                  <c:v>44858</c:v>
                </c:pt>
                <c:pt idx="988">
                  <c:v>44859</c:v>
                </c:pt>
                <c:pt idx="989">
                  <c:v>44860</c:v>
                </c:pt>
                <c:pt idx="990">
                  <c:v>44861</c:v>
                </c:pt>
                <c:pt idx="991">
                  <c:v>44862</c:v>
                </c:pt>
                <c:pt idx="992">
                  <c:v>44865</c:v>
                </c:pt>
                <c:pt idx="993">
                  <c:v>44866</c:v>
                </c:pt>
                <c:pt idx="994">
                  <c:v>44867</c:v>
                </c:pt>
                <c:pt idx="995">
                  <c:v>44868</c:v>
                </c:pt>
                <c:pt idx="996">
                  <c:v>44869</c:v>
                </c:pt>
                <c:pt idx="997">
                  <c:v>44872</c:v>
                </c:pt>
                <c:pt idx="998">
                  <c:v>44873</c:v>
                </c:pt>
                <c:pt idx="999">
                  <c:v>44874</c:v>
                </c:pt>
                <c:pt idx="1000">
                  <c:v>44875</c:v>
                </c:pt>
                <c:pt idx="1001">
                  <c:v>44876</c:v>
                </c:pt>
                <c:pt idx="1002">
                  <c:v>44879</c:v>
                </c:pt>
                <c:pt idx="1003">
                  <c:v>44880</c:v>
                </c:pt>
                <c:pt idx="1004">
                  <c:v>44881</c:v>
                </c:pt>
                <c:pt idx="1005">
                  <c:v>44882</c:v>
                </c:pt>
                <c:pt idx="1006">
                  <c:v>44883</c:v>
                </c:pt>
                <c:pt idx="1007">
                  <c:v>44886</c:v>
                </c:pt>
                <c:pt idx="1008">
                  <c:v>44887</c:v>
                </c:pt>
                <c:pt idx="1009">
                  <c:v>44888</c:v>
                </c:pt>
                <c:pt idx="1010">
                  <c:v>44889</c:v>
                </c:pt>
                <c:pt idx="1011">
                  <c:v>44890</c:v>
                </c:pt>
                <c:pt idx="1012">
                  <c:v>44893</c:v>
                </c:pt>
                <c:pt idx="1013">
                  <c:v>44894</c:v>
                </c:pt>
                <c:pt idx="1014">
                  <c:v>44895</c:v>
                </c:pt>
                <c:pt idx="1015">
                  <c:v>44896</c:v>
                </c:pt>
                <c:pt idx="1016">
                  <c:v>44897</c:v>
                </c:pt>
                <c:pt idx="1017">
                  <c:v>44900</c:v>
                </c:pt>
                <c:pt idx="1018">
                  <c:v>44901</c:v>
                </c:pt>
                <c:pt idx="1019">
                  <c:v>44902</c:v>
                </c:pt>
                <c:pt idx="1020">
                  <c:v>44903</c:v>
                </c:pt>
                <c:pt idx="1021">
                  <c:v>44904</c:v>
                </c:pt>
                <c:pt idx="1022">
                  <c:v>44907</c:v>
                </c:pt>
                <c:pt idx="1023">
                  <c:v>44908</c:v>
                </c:pt>
                <c:pt idx="1024">
                  <c:v>44909</c:v>
                </c:pt>
                <c:pt idx="1025">
                  <c:v>44910</c:v>
                </c:pt>
                <c:pt idx="1026">
                  <c:v>44911</c:v>
                </c:pt>
                <c:pt idx="1027">
                  <c:v>44914</c:v>
                </c:pt>
                <c:pt idx="1028">
                  <c:v>44915</c:v>
                </c:pt>
                <c:pt idx="1029">
                  <c:v>44916</c:v>
                </c:pt>
                <c:pt idx="1030">
                  <c:v>44917</c:v>
                </c:pt>
                <c:pt idx="1031">
                  <c:v>44918</c:v>
                </c:pt>
                <c:pt idx="1032">
                  <c:v>44922</c:v>
                </c:pt>
                <c:pt idx="1033">
                  <c:v>44923</c:v>
                </c:pt>
                <c:pt idx="1034">
                  <c:v>44924</c:v>
                </c:pt>
                <c:pt idx="1035">
                  <c:v>44925</c:v>
                </c:pt>
                <c:pt idx="1036">
                  <c:v>44928</c:v>
                </c:pt>
                <c:pt idx="1037">
                  <c:v>44929</c:v>
                </c:pt>
                <c:pt idx="1038">
                  <c:v>44930</c:v>
                </c:pt>
                <c:pt idx="1039">
                  <c:v>44931</c:v>
                </c:pt>
                <c:pt idx="1040">
                  <c:v>44932</c:v>
                </c:pt>
                <c:pt idx="1041">
                  <c:v>44935</c:v>
                </c:pt>
                <c:pt idx="1042">
                  <c:v>44936</c:v>
                </c:pt>
                <c:pt idx="1043">
                  <c:v>44937</c:v>
                </c:pt>
                <c:pt idx="1044">
                  <c:v>44938</c:v>
                </c:pt>
                <c:pt idx="1045">
                  <c:v>44939</c:v>
                </c:pt>
                <c:pt idx="1046">
                  <c:v>44942</c:v>
                </c:pt>
                <c:pt idx="1047">
                  <c:v>44943</c:v>
                </c:pt>
                <c:pt idx="1048">
                  <c:v>44944</c:v>
                </c:pt>
                <c:pt idx="1049">
                  <c:v>44945</c:v>
                </c:pt>
                <c:pt idx="1050">
                  <c:v>44946</c:v>
                </c:pt>
                <c:pt idx="1051">
                  <c:v>44949</c:v>
                </c:pt>
                <c:pt idx="1052">
                  <c:v>44950</c:v>
                </c:pt>
                <c:pt idx="1053">
                  <c:v>44951</c:v>
                </c:pt>
                <c:pt idx="1054">
                  <c:v>44952</c:v>
                </c:pt>
                <c:pt idx="1055">
                  <c:v>44953</c:v>
                </c:pt>
                <c:pt idx="1056">
                  <c:v>44956</c:v>
                </c:pt>
                <c:pt idx="1057">
                  <c:v>44957</c:v>
                </c:pt>
                <c:pt idx="1058">
                  <c:v>44958</c:v>
                </c:pt>
                <c:pt idx="1059">
                  <c:v>44959</c:v>
                </c:pt>
                <c:pt idx="1060">
                  <c:v>44960</c:v>
                </c:pt>
                <c:pt idx="1061">
                  <c:v>44963</c:v>
                </c:pt>
                <c:pt idx="1062">
                  <c:v>44964</c:v>
                </c:pt>
                <c:pt idx="1063">
                  <c:v>44965</c:v>
                </c:pt>
                <c:pt idx="1064">
                  <c:v>44966</c:v>
                </c:pt>
                <c:pt idx="1065">
                  <c:v>44967</c:v>
                </c:pt>
                <c:pt idx="1066">
                  <c:v>44970</c:v>
                </c:pt>
                <c:pt idx="1067">
                  <c:v>44971</c:v>
                </c:pt>
                <c:pt idx="1068">
                  <c:v>44972</c:v>
                </c:pt>
                <c:pt idx="1069">
                  <c:v>44973</c:v>
                </c:pt>
                <c:pt idx="1070">
                  <c:v>44974</c:v>
                </c:pt>
                <c:pt idx="1071">
                  <c:v>44977</c:v>
                </c:pt>
                <c:pt idx="1072">
                  <c:v>44978</c:v>
                </c:pt>
                <c:pt idx="1073">
                  <c:v>44979</c:v>
                </c:pt>
                <c:pt idx="1074">
                  <c:v>44980</c:v>
                </c:pt>
                <c:pt idx="1075">
                  <c:v>44981</c:v>
                </c:pt>
                <c:pt idx="1076">
                  <c:v>44984</c:v>
                </c:pt>
                <c:pt idx="1077">
                  <c:v>44985</c:v>
                </c:pt>
                <c:pt idx="1078">
                  <c:v>44986</c:v>
                </c:pt>
                <c:pt idx="1079">
                  <c:v>44987</c:v>
                </c:pt>
                <c:pt idx="1080">
                  <c:v>44988</c:v>
                </c:pt>
                <c:pt idx="1081">
                  <c:v>44991</c:v>
                </c:pt>
                <c:pt idx="1082">
                  <c:v>44992</c:v>
                </c:pt>
                <c:pt idx="1083">
                  <c:v>44993</c:v>
                </c:pt>
                <c:pt idx="1084">
                  <c:v>44994</c:v>
                </c:pt>
                <c:pt idx="1085">
                  <c:v>44995</c:v>
                </c:pt>
                <c:pt idx="1086">
                  <c:v>44998</c:v>
                </c:pt>
                <c:pt idx="1087">
                  <c:v>44999</c:v>
                </c:pt>
                <c:pt idx="1088">
                  <c:v>45000</c:v>
                </c:pt>
                <c:pt idx="1089">
                  <c:v>45001</c:v>
                </c:pt>
                <c:pt idx="1090">
                  <c:v>45002</c:v>
                </c:pt>
                <c:pt idx="1091">
                  <c:v>45005</c:v>
                </c:pt>
                <c:pt idx="1092">
                  <c:v>45006</c:v>
                </c:pt>
                <c:pt idx="1093">
                  <c:v>45007</c:v>
                </c:pt>
                <c:pt idx="1094">
                  <c:v>45008</c:v>
                </c:pt>
                <c:pt idx="1095">
                  <c:v>45009</c:v>
                </c:pt>
                <c:pt idx="1096">
                  <c:v>45012</c:v>
                </c:pt>
                <c:pt idx="1097">
                  <c:v>45013</c:v>
                </c:pt>
                <c:pt idx="1098">
                  <c:v>45014</c:v>
                </c:pt>
                <c:pt idx="1099">
                  <c:v>45015</c:v>
                </c:pt>
                <c:pt idx="1100">
                  <c:v>45016</c:v>
                </c:pt>
                <c:pt idx="1101">
                  <c:v>45019</c:v>
                </c:pt>
                <c:pt idx="1102">
                  <c:v>45020</c:v>
                </c:pt>
                <c:pt idx="1103">
                  <c:v>45021</c:v>
                </c:pt>
                <c:pt idx="1104">
                  <c:v>45022</c:v>
                </c:pt>
                <c:pt idx="1105">
                  <c:v>45027</c:v>
                </c:pt>
                <c:pt idx="1106">
                  <c:v>45028</c:v>
                </c:pt>
                <c:pt idx="1107">
                  <c:v>45029</c:v>
                </c:pt>
                <c:pt idx="1108">
                  <c:v>45030</c:v>
                </c:pt>
                <c:pt idx="1109">
                  <c:v>45033</c:v>
                </c:pt>
                <c:pt idx="1110">
                  <c:v>45034</c:v>
                </c:pt>
                <c:pt idx="1111">
                  <c:v>45035</c:v>
                </c:pt>
                <c:pt idx="1112">
                  <c:v>45036</c:v>
                </c:pt>
                <c:pt idx="1113">
                  <c:v>45037</c:v>
                </c:pt>
                <c:pt idx="1114">
                  <c:v>45040</c:v>
                </c:pt>
                <c:pt idx="1115">
                  <c:v>45041</c:v>
                </c:pt>
                <c:pt idx="1116">
                  <c:v>45042</c:v>
                </c:pt>
                <c:pt idx="1117">
                  <c:v>45043</c:v>
                </c:pt>
                <c:pt idx="1118">
                  <c:v>45044</c:v>
                </c:pt>
                <c:pt idx="1119">
                  <c:v>45048</c:v>
                </c:pt>
                <c:pt idx="1120">
                  <c:v>45049</c:v>
                </c:pt>
                <c:pt idx="1121">
                  <c:v>45050</c:v>
                </c:pt>
                <c:pt idx="1122">
                  <c:v>45051</c:v>
                </c:pt>
                <c:pt idx="1123">
                  <c:v>45054</c:v>
                </c:pt>
                <c:pt idx="1124">
                  <c:v>45055</c:v>
                </c:pt>
                <c:pt idx="1125">
                  <c:v>45056</c:v>
                </c:pt>
                <c:pt idx="1126">
                  <c:v>45057</c:v>
                </c:pt>
                <c:pt idx="1127">
                  <c:v>45058</c:v>
                </c:pt>
                <c:pt idx="1128">
                  <c:v>45061</c:v>
                </c:pt>
                <c:pt idx="1129">
                  <c:v>45062</c:v>
                </c:pt>
                <c:pt idx="1130">
                  <c:v>45063</c:v>
                </c:pt>
                <c:pt idx="1131">
                  <c:v>45064</c:v>
                </c:pt>
                <c:pt idx="1132">
                  <c:v>45065</c:v>
                </c:pt>
                <c:pt idx="1133">
                  <c:v>45068</c:v>
                </c:pt>
                <c:pt idx="1134">
                  <c:v>45069</c:v>
                </c:pt>
                <c:pt idx="1135">
                  <c:v>45070</c:v>
                </c:pt>
                <c:pt idx="1136">
                  <c:v>45071</c:v>
                </c:pt>
                <c:pt idx="1137">
                  <c:v>45072</c:v>
                </c:pt>
                <c:pt idx="1138">
                  <c:v>45075</c:v>
                </c:pt>
                <c:pt idx="1139">
                  <c:v>45076</c:v>
                </c:pt>
                <c:pt idx="1140">
                  <c:v>45077</c:v>
                </c:pt>
                <c:pt idx="1141">
                  <c:v>45078</c:v>
                </c:pt>
                <c:pt idx="1142">
                  <c:v>45079</c:v>
                </c:pt>
                <c:pt idx="1143">
                  <c:v>45082</c:v>
                </c:pt>
                <c:pt idx="1144">
                  <c:v>45083</c:v>
                </c:pt>
                <c:pt idx="1145">
                  <c:v>45084</c:v>
                </c:pt>
                <c:pt idx="1146">
                  <c:v>45085</c:v>
                </c:pt>
                <c:pt idx="1147">
                  <c:v>45086</c:v>
                </c:pt>
                <c:pt idx="1148">
                  <c:v>45089</c:v>
                </c:pt>
                <c:pt idx="1149">
                  <c:v>45090</c:v>
                </c:pt>
                <c:pt idx="1150">
                  <c:v>45091</c:v>
                </c:pt>
                <c:pt idx="1151">
                  <c:v>45092</c:v>
                </c:pt>
                <c:pt idx="1152">
                  <c:v>45093</c:v>
                </c:pt>
                <c:pt idx="1153">
                  <c:v>45096</c:v>
                </c:pt>
                <c:pt idx="1154">
                  <c:v>45097</c:v>
                </c:pt>
                <c:pt idx="1155">
                  <c:v>45098</c:v>
                </c:pt>
                <c:pt idx="1156">
                  <c:v>45099</c:v>
                </c:pt>
                <c:pt idx="1157">
                  <c:v>45100</c:v>
                </c:pt>
                <c:pt idx="1158">
                  <c:v>45103</c:v>
                </c:pt>
                <c:pt idx="1159">
                  <c:v>45104</c:v>
                </c:pt>
                <c:pt idx="1160">
                  <c:v>45105</c:v>
                </c:pt>
                <c:pt idx="1161">
                  <c:v>45106</c:v>
                </c:pt>
                <c:pt idx="1162">
                  <c:v>45107</c:v>
                </c:pt>
                <c:pt idx="1163">
                  <c:v>45110</c:v>
                </c:pt>
                <c:pt idx="1164">
                  <c:v>45111</c:v>
                </c:pt>
                <c:pt idx="1165">
                  <c:v>45112</c:v>
                </c:pt>
                <c:pt idx="1166">
                  <c:v>45113</c:v>
                </c:pt>
                <c:pt idx="1167">
                  <c:v>45114</c:v>
                </c:pt>
                <c:pt idx="1168">
                  <c:v>45117</c:v>
                </c:pt>
                <c:pt idx="1169">
                  <c:v>45118</c:v>
                </c:pt>
                <c:pt idx="1170">
                  <c:v>45119</c:v>
                </c:pt>
                <c:pt idx="1171">
                  <c:v>45120</c:v>
                </c:pt>
                <c:pt idx="1172">
                  <c:v>45121</c:v>
                </c:pt>
                <c:pt idx="1173">
                  <c:v>45124</c:v>
                </c:pt>
                <c:pt idx="1174">
                  <c:v>45125</c:v>
                </c:pt>
                <c:pt idx="1175">
                  <c:v>45126</c:v>
                </c:pt>
                <c:pt idx="1176">
                  <c:v>45127</c:v>
                </c:pt>
                <c:pt idx="1177">
                  <c:v>45128</c:v>
                </c:pt>
                <c:pt idx="1178">
                  <c:v>45131</c:v>
                </c:pt>
                <c:pt idx="1179">
                  <c:v>45132</c:v>
                </c:pt>
                <c:pt idx="1180">
                  <c:v>45133</c:v>
                </c:pt>
                <c:pt idx="1181">
                  <c:v>45134</c:v>
                </c:pt>
                <c:pt idx="1182">
                  <c:v>45135</c:v>
                </c:pt>
                <c:pt idx="1183">
                  <c:v>45138</c:v>
                </c:pt>
                <c:pt idx="1184">
                  <c:v>45139</c:v>
                </c:pt>
                <c:pt idx="1185">
                  <c:v>45140</c:v>
                </c:pt>
                <c:pt idx="1186">
                  <c:v>45141</c:v>
                </c:pt>
                <c:pt idx="1187">
                  <c:v>45142</c:v>
                </c:pt>
                <c:pt idx="1188">
                  <c:v>45145</c:v>
                </c:pt>
                <c:pt idx="1189">
                  <c:v>45146</c:v>
                </c:pt>
                <c:pt idx="1190">
                  <c:v>45147</c:v>
                </c:pt>
                <c:pt idx="1191">
                  <c:v>45148</c:v>
                </c:pt>
                <c:pt idx="1192">
                  <c:v>45149</c:v>
                </c:pt>
                <c:pt idx="1193">
                  <c:v>45152</c:v>
                </c:pt>
                <c:pt idx="1194">
                  <c:v>45153</c:v>
                </c:pt>
                <c:pt idx="1195">
                  <c:v>45154</c:v>
                </c:pt>
                <c:pt idx="1196">
                  <c:v>45155</c:v>
                </c:pt>
                <c:pt idx="1197">
                  <c:v>45156</c:v>
                </c:pt>
                <c:pt idx="1198">
                  <c:v>45159</c:v>
                </c:pt>
                <c:pt idx="1199">
                  <c:v>45160</c:v>
                </c:pt>
                <c:pt idx="1200">
                  <c:v>45161</c:v>
                </c:pt>
                <c:pt idx="1201">
                  <c:v>45162</c:v>
                </c:pt>
                <c:pt idx="1202">
                  <c:v>45163</c:v>
                </c:pt>
                <c:pt idx="1203">
                  <c:v>45166</c:v>
                </c:pt>
                <c:pt idx="1204">
                  <c:v>45167</c:v>
                </c:pt>
                <c:pt idx="1205">
                  <c:v>45168</c:v>
                </c:pt>
                <c:pt idx="1206">
                  <c:v>45169</c:v>
                </c:pt>
                <c:pt idx="1207">
                  <c:v>45170</c:v>
                </c:pt>
                <c:pt idx="1208">
                  <c:v>45173</c:v>
                </c:pt>
                <c:pt idx="1209">
                  <c:v>45174</c:v>
                </c:pt>
                <c:pt idx="1210">
                  <c:v>45175</c:v>
                </c:pt>
                <c:pt idx="1211">
                  <c:v>45176</c:v>
                </c:pt>
                <c:pt idx="1212">
                  <c:v>45177</c:v>
                </c:pt>
                <c:pt idx="1213">
                  <c:v>45180</c:v>
                </c:pt>
                <c:pt idx="1214">
                  <c:v>45181</c:v>
                </c:pt>
                <c:pt idx="1215">
                  <c:v>45182</c:v>
                </c:pt>
                <c:pt idx="1216">
                  <c:v>45183</c:v>
                </c:pt>
                <c:pt idx="1217">
                  <c:v>45184</c:v>
                </c:pt>
                <c:pt idx="1218">
                  <c:v>45187</c:v>
                </c:pt>
                <c:pt idx="1219">
                  <c:v>45188</c:v>
                </c:pt>
                <c:pt idx="1220">
                  <c:v>45189</c:v>
                </c:pt>
                <c:pt idx="1221">
                  <c:v>45190</c:v>
                </c:pt>
                <c:pt idx="1222">
                  <c:v>45191</c:v>
                </c:pt>
                <c:pt idx="1223">
                  <c:v>45194</c:v>
                </c:pt>
                <c:pt idx="1224">
                  <c:v>45195</c:v>
                </c:pt>
              </c:numCache>
            </c:numRef>
          </c:cat>
          <c:val>
            <c:numRef>
              <c:f>Sheet1!$B$2:$B$1226</c:f>
              <c:numCache>
                <c:formatCode>0.000%</c:formatCode>
                <c:ptCount val="1225"/>
                <c:pt idx="0">
                  <c:v>1.03E-2</c:v>
                </c:pt>
                <c:pt idx="1">
                  <c:v>1.0200000000000001E-2</c:v>
                </c:pt>
                <c:pt idx="2">
                  <c:v>1.06E-2</c:v>
                </c:pt>
                <c:pt idx="3">
                  <c:v>1.1299999999999999E-2</c:v>
                </c:pt>
                <c:pt idx="4">
                  <c:v>1.12E-2</c:v>
                </c:pt>
                <c:pt idx="5">
                  <c:v>1.09E-2</c:v>
                </c:pt>
                <c:pt idx="6">
                  <c:v>1.0500000000000001E-2</c:v>
                </c:pt>
                <c:pt idx="7">
                  <c:v>1.03E-2</c:v>
                </c:pt>
                <c:pt idx="8">
                  <c:v>1.0800000000000001E-2</c:v>
                </c:pt>
                <c:pt idx="9">
                  <c:v>1.06E-2</c:v>
                </c:pt>
                <c:pt idx="10">
                  <c:v>1.0699999999999999E-2</c:v>
                </c:pt>
                <c:pt idx="11">
                  <c:v>1.0800000000000001E-2</c:v>
                </c:pt>
                <c:pt idx="12">
                  <c:v>1.09E-2</c:v>
                </c:pt>
                <c:pt idx="13">
                  <c:v>1.09E-2</c:v>
                </c:pt>
                <c:pt idx="14">
                  <c:v>1.0800000000000001E-2</c:v>
                </c:pt>
                <c:pt idx="15">
                  <c:v>1.09E-2</c:v>
                </c:pt>
                <c:pt idx="16">
                  <c:v>1.06E-2</c:v>
                </c:pt>
                <c:pt idx="17">
                  <c:v>1.0699999999999999E-2</c:v>
                </c:pt>
                <c:pt idx="18">
                  <c:v>1.0800000000000001E-2</c:v>
                </c:pt>
                <c:pt idx="19">
                  <c:v>1.0699999999999999E-2</c:v>
                </c:pt>
                <c:pt idx="20">
                  <c:v>1.0699999999999999E-2</c:v>
                </c:pt>
                <c:pt idx="21">
                  <c:v>1.03E-2</c:v>
                </c:pt>
                <c:pt idx="22">
                  <c:v>1.03E-2</c:v>
                </c:pt>
                <c:pt idx="23">
                  <c:v>1.03E-2</c:v>
                </c:pt>
                <c:pt idx="24">
                  <c:v>1.03E-2</c:v>
                </c:pt>
                <c:pt idx="25">
                  <c:v>1.0200000000000001E-2</c:v>
                </c:pt>
                <c:pt idx="26">
                  <c:v>0.01</c:v>
                </c:pt>
                <c:pt idx="27">
                  <c:v>9.9000000000000008E-3</c:v>
                </c:pt>
                <c:pt idx="28">
                  <c:v>0.01</c:v>
                </c:pt>
                <c:pt idx="29">
                  <c:v>0.01</c:v>
                </c:pt>
                <c:pt idx="30">
                  <c:v>0.01</c:v>
                </c:pt>
                <c:pt idx="31">
                  <c:v>9.7999999999999997E-3</c:v>
                </c:pt>
                <c:pt idx="32">
                  <c:v>9.7000000000000003E-3</c:v>
                </c:pt>
                <c:pt idx="33">
                  <c:v>9.7000000000000003E-3</c:v>
                </c:pt>
                <c:pt idx="34">
                  <c:v>9.5999999999999992E-3</c:v>
                </c:pt>
                <c:pt idx="35">
                  <c:v>9.4999999999999998E-3</c:v>
                </c:pt>
                <c:pt idx="36">
                  <c:v>9.5999999999999992E-3</c:v>
                </c:pt>
                <c:pt idx="37">
                  <c:v>9.4000000000000004E-3</c:v>
                </c:pt>
                <c:pt idx="38">
                  <c:v>9.2999999999999992E-3</c:v>
                </c:pt>
                <c:pt idx="39">
                  <c:v>9.1999999999999998E-3</c:v>
                </c:pt>
                <c:pt idx="40">
                  <c:v>9.4999999999999998E-3</c:v>
                </c:pt>
                <c:pt idx="41">
                  <c:v>9.5999999999999992E-3</c:v>
                </c:pt>
                <c:pt idx="42">
                  <c:v>9.7000000000000003E-3</c:v>
                </c:pt>
                <c:pt idx="43">
                  <c:v>9.4999999999999998E-3</c:v>
                </c:pt>
                <c:pt idx="44">
                  <c:v>9.4000000000000004E-3</c:v>
                </c:pt>
                <c:pt idx="45">
                  <c:v>8.6999999999999994E-3</c:v>
                </c:pt>
                <c:pt idx="46">
                  <c:v>8.0000000000000002E-3</c:v>
                </c:pt>
                <c:pt idx="47">
                  <c:v>7.7999999999999996E-3</c:v>
                </c:pt>
                <c:pt idx="48">
                  <c:v>7.7999999999999996E-3</c:v>
                </c:pt>
                <c:pt idx="49">
                  <c:v>7.9000000000000008E-3</c:v>
                </c:pt>
                <c:pt idx="50">
                  <c:v>7.9000000000000008E-3</c:v>
                </c:pt>
                <c:pt idx="51">
                  <c:v>7.9000000000000008E-3</c:v>
                </c:pt>
                <c:pt idx="52">
                  <c:v>7.9000000000000008E-3</c:v>
                </c:pt>
                <c:pt idx="53">
                  <c:v>8.0000000000000002E-3</c:v>
                </c:pt>
                <c:pt idx="54">
                  <c:v>8.3000000000000001E-3</c:v>
                </c:pt>
                <c:pt idx="55">
                  <c:v>8.3999999999999995E-3</c:v>
                </c:pt>
                <c:pt idx="56">
                  <c:v>8.0000000000000002E-3</c:v>
                </c:pt>
                <c:pt idx="57">
                  <c:v>7.7000000000000002E-3</c:v>
                </c:pt>
                <c:pt idx="58">
                  <c:v>7.7000000000000002E-3</c:v>
                </c:pt>
                <c:pt idx="59">
                  <c:v>7.7999999999999996E-3</c:v>
                </c:pt>
                <c:pt idx="60">
                  <c:v>7.1999999999999998E-3</c:v>
                </c:pt>
                <c:pt idx="61">
                  <c:v>7.3000000000000001E-3</c:v>
                </c:pt>
                <c:pt idx="62">
                  <c:v>7.1999999999999998E-3</c:v>
                </c:pt>
                <c:pt idx="63">
                  <c:v>7.3000000000000001E-3</c:v>
                </c:pt>
                <c:pt idx="64">
                  <c:v>7.1000000000000004E-3</c:v>
                </c:pt>
                <c:pt idx="65">
                  <c:v>7.3000000000000001E-3</c:v>
                </c:pt>
                <c:pt idx="66">
                  <c:v>7.3000000000000001E-3</c:v>
                </c:pt>
                <c:pt idx="67">
                  <c:v>7.3000000000000001E-3</c:v>
                </c:pt>
                <c:pt idx="68">
                  <c:v>7.1999999999999998E-3</c:v>
                </c:pt>
                <c:pt idx="69">
                  <c:v>7.0000000000000001E-3</c:v>
                </c:pt>
                <c:pt idx="70">
                  <c:v>6.6E-3</c:v>
                </c:pt>
                <c:pt idx="71">
                  <c:v>6.7000000000000002E-3</c:v>
                </c:pt>
                <c:pt idx="72">
                  <c:v>6.7999999999999996E-3</c:v>
                </c:pt>
                <c:pt idx="73">
                  <c:v>7.0000000000000001E-3</c:v>
                </c:pt>
                <c:pt idx="74">
                  <c:v>6.8999999999999999E-3</c:v>
                </c:pt>
                <c:pt idx="75">
                  <c:v>7.0000000000000001E-3</c:v>
                </c:pt>
                <c:pt idx="76">
                  <c:v>6.7999999999999996E-3</c:v>
                </c:pt>
                <c:pt idx="77">
                  <c:v>6.7299999999999999E-3</c:v>
                </c:pt>
                <c:pt idx="78">
                  <c:v>6.0299999999999998E-3</c:v>
                </c:pt>
                <c:pt idx="79">
                  <c:v>6.1199999999999996E-3</c:v>
                </c:pt>
                <c:pt idx="80">
                  <c:v>6.1500000000000001E-3</c:v>
                </c:pt>
                <c:pt idx="81">
                  <c:v>6.3E-3</c:v>
                </c:pt>
                <c:pt idx="82">
                  <c:v>6.4000000000000003E-3</c:v>
                </c:pt>
                <c:pt idx="83">
                  <c:v>6.4000000000000003E-3</c:v>
                </c:pt>
                <c:pt idx="84">
                  <c:v>6.3E-3</c:v>
                </c:pt>
                <c:pt idx="85">
                  <c:v>6.1000000000000004E-3</c:v>
                </c:pt>
                <c:pt idx="86">
                  <c:v>5.7999999999999996E-3</c:v>
                </c:pt>
                <c:pt idx="87">
                  <c:v>5.7999999999999996E-3</c:v>
                </c:pt>
                <c:pt idx="88">
                  <c:v>5.8999999999999999E-3</c:v>
                </c:pt>
                <c:pt idx="89">
                  <c:v>5.8999999999999999E-3</c:v>
                </c:pt>
                <c:pt idx="90">
                  <c:v>5.7999999999999996E-3</c:v>
                </c:pt>
                <c:pt idx="91">
                  <c:v>5.7999999999999996E-3</c:v>
                </c:pt>
                <c:pt idx="92">
                  <c:v>5.7000000000000002E-3</c:v>
                </c:pt>
                <c:pt idx="93">
                  <c:v>5.7999999999999996E-3</c:v>
                </c:pt>
                <c:pt idx="94">
                  <c:v>5.7999999999999996E-3</c:v>
                </c:pt>
                <c:pt idx="95">
                  <c:v>6.0000000000000001E-3</c:v>
                </c:pt>
                <c:pt idx="96">
                  <c:v>6.1000000000000004E-3</c:v>
                </c:pt>
                <c:pt idx="97">
                  <c:v>6.0800000000000003E-3</c:v>
                </c:pt>
                <c:pt idx="98">
                  <c:v>5.8500000000000002E-3</c:v>
                </c:pt>
                <c:pt idx="99">
                  <c:v>5.8199999999999997E-3</c:v>
                </c:pt>
                <c:pt idx="100">
                  <c:v>6.1900000000000002E-3</c:v>
                </c:pt>
                <c:pt idx="101">
                  <c:v>5.5900000000000004E-3</c:v>
                </c:pt>
                <c:pt idx="102">
                  <c:v>5.5300000000000002E-3</c:v>
                </c:pt>
                <c:pt idx="103">
                  <c:v>5.5900000000000004E-3</c:v>
                </c:pt>
                <c:pt idx="104">
                  <c:v>5.4200000000000003E-3</c:v>
                </c:pt>
                <c:pt idx="105">
                  <c:v>5.3600000000000002E-3</c:v>
                </c:pt>
                <c:pt idx="106">
                  <c:v>5.1399999999999996E-3</c:v>
                </c:pt>
                <c:pt idx="107">
                  <c:v>4.7299999999999998E-3</c:v>
                </c:pt>
                <c:pt idx="108">
                  <c:v>4.2199999999999998E-3</c:v>
                </c:pt>
                <c:pt idx="109">
                  <c:v>3.7499999999999999E-3</c:v>
                </c:pt>
                <c:pt idx="110">
                  <c:v>3.8999999999999998E-3</c:v>
                </c:pt>
                <c:pt idx="111">
                  <c:v>3.79E-3</c:v>
                </c:pt>
                <c:pt idx="112">
                  <c:v>3.5799999999999998E-3</c:v>
                </c:pt>
                <c:pt idx="113">
                  <c:v>3.65E-3</c:v>
                </c:pt>
                <c:pt idx="114">
                  <c:v>3.46E-3</c:v>
                </c:pt>
                <c:pt idx="115">
                  <c:v>3.5100000000000001E-3</c:v>
                </c:pt>
                <c:pt idx="116">
                  <c:v>2.8999999999999998E-3</c:v>
                </c:pt>
                <c:pt idx="117">
                  <c:v>3.1700000000000001E-3</c:v>
                </c:pt>
                <c:pt idx="118">
                  <c:v>2.8E-3</c:v>
                </c:pt>
                <c:pt idx="119">
                  <c:v>2.8700000000000002E-3</c:v>
                </c:pt>
                <c:pt idx="120">
                  <c:v>2.6199999999999999E-3</c:v>
                </c:pt>
                <c:pt idx="121">
                  <c:v>2.31E-3</c:v>
                </c:pt>
                <c:pt idx="122">
                  <c:v>2.3500000000000001E-3</c:v>
                </c:pt>
                <c:pt idx="123">
                  <c:v>2.14E-3</c:v>
                </c:pt>
                <c:pt idx="124">
                  <c:v>2.0999999999999999E-3</c:v>
                </c:pt>
                <c:pt idx="125">
                  <c:v>1.7899999999999999E-3</c:v>
                </c:pt>
                <c:pt idx="126">
                  <c:v>1.72E-3</c:v>
                </c:pt>
                <c:pt idx="127">
                  <c:v>1.2999999999999999E-3</c:v>
                </c:pt>
                <c:pt idx="128">
                  <c:v>1.14E-3</c:v>
                </c:pt>
                <c:pt idx="129">
                  <c:v>1.66E-3</c:v>
                </c:pt>
                <c:pt idx="130">
                  <c:v>1.97E-3</c:v>
                </c:pt>
                <c:pt idx="131">
                  <c:v>2.16E-3</c:v>
                </c:pt>
                <c:pt idx="132">
                  <c:v>2.48E-3</c:v>
                </c:pt>
                <c:pt idx="133">
                  <c:v>2.8600000000000001E-3</c:v>
                </c:pt>
                <c:pt idx="134">
                  <c:v>3.49E-3</c:v>
                </c:pt>
                <c:pt idx="135">
                  <c:v>2.99E-3</c:v>
                </c:pt>
                <c:pt idx="136">
                  <c:v>3.0300000000000001E-3</c:v>
                </c:pt>
                <c:pt idx="137">
                  <c:v>2.4599999999999999E-3</c:v>
                </c:pt>
                <c:pt idx="138">
                  <c:v>2.0400000000000001E-3</c:v>
                </c:pt>
                <c:pt idx="139">
                  <c:v>1.8600000000000001E-3</c:v>
                </c:pt>
                <c:pt idx="140">
                  <c:v>1.73E-3</c:v>
                </c:pt>
                <c:pt idx="141">
                  <c:v>1.73E-3</c:v>
                </c:pt>
                <c:pt idx="142">
                  <c:v>1.5E-3</c:v>
                </c:pt>
                <c:pt idx="143">
                  <c:v>1.6999999999999999E-3</c:v>
                </c:pt>
                <c:pt idx="144">
                  <c:v>1.72E-3</c:v>
                </c:pt>
                <c:pt idx="145">
                  <c:v>1.6299999999999999E-3</c:v>
                </c:pt>
                <c:pt idx="146">
                  <c:v>1.56E-3</c:v>
                </c:pt>
                <c:pt idx="147">
                  <c:v>1.1199999999999999E-3</c:v>
                </c:pt>
                <c:pt idx="148">
                  <c:v>7.2999999999999996E-4</c:v>
                </c:pt>
                <c:pt idx="149">
                  <c:v>2.2000000000000001E-4</c:v>
                </c:pt>
                <c:pt idx="150">
                  <c:v>5.0000000000000002E-5</c:v>
                </c:pt>
                <c:pt idx="151">
                  <c:v>-2.0000000000000001E-4</c:v>
                </c:pt>
                <c:pt idx="152">
                  <c:v>-1.1100000000000001E-3</c:v>
                </c:pt>
                <c:pt idx="153">
                  <c:v>-8.9999999999999998E-4</c:v>
                </c:pt>
                <c:pt idx="154">
                  <c:v>-8.4999999999999995E-4</c:v>
                </c:pt>
                <c:pt idx="155">
                  <c:v>-9.2000000000000003E-4</c:v>
                </c:pt>
                <c:pt idx="156">
                  <c:v>-1.08E-3</c:v>
                </c:pt>
                <c:pt idx="157">
                  <c:v>-1.49E-3</c:v>
                </c:pt>
                <c:pt idx="158">
                  <c:v>-2E-3</c:v>
                </c:pt>
                <c:pt idx="159">
                  <c:v>-1.9499999999999999E-3</c:v>
                </c:pt>
                <c:pt idx="160">
                  <c:v>-1.5399999999999999E-3</c:v>
                </c:pt>
                <c:pt idx="161">
                  <c:v>-1.8E-3</c:v>
                </c:pt>
                <c:pt idx="162">
                  <c:v>-1.6100000000000001E-3</c:v>
                </c:pt>
                <c:pt idx="163">
                  <c:v>-1.24E-3</c:v>
                </c:pt>
                <c:pt idx="164">
                  <c:v>-1.32E-3</c:v>
                </c:pt>
                <c:pt idx="165">
                  <c:v>-1.16E-3</c:v>
                </c:pt>
                <c:pt idx="166">
                  <c:v>-1.7700000000000001E-3</c:v>
                </c:pt>
                <c:pt idx="167">
                  <c:v>-1.9E-3</c:v>
                </c:pt>
                <c:pt idx="168">
                  <c:v>-1.7099999999999999E-3</c:v>
                </c:pt>
                <c:pt idx="169">
                  <c:v>-1.6900000000000001E-3</c:v>
                </c:pt>
                <c:pt idx="170">
                  <c:v>-1.7600000000000001E-3</c:v>
                </c:pt>
                <c:pt idx="171">
                  <c:v>-1.7700000000000001E-3</c:v>
                </c:pt>
                <c:pt idx="172">
                  <c:v>-1.6000000000000001E-3</c:v>
                </c:pt>
                <c:pt idx="173">
                  <c:v>-8.7000000000000001E-4</c:v>
                </c:pt>
                <c:pt idx="174">
                  <c:v>-1.1100000000000001E-3</c:v>
                </c:pt>
                <c:pt idx="175">
                  <c:v>-5.0000000000000001E-4</c:v>
                </c:pt>
                <c:pt idx="176">
                  <c:v>1.9000000000000001E-4</c:v>
                </c:pt>
                <c:pt idx="177">
                  <c:v>3.3E-4</c:v>
                </c:pt>
                <c:pt idx="178">
                  <c:v>4.6000000000000001E-4</c:v>
                </c:pt>
                <c:pt idx="179">
                  <c:v>1.3699999999999999E-3</c:v>
                </c:pt>
                <c:pt idx="180">
                  <c:v>1.14E-3</c:v>
                </c:pt>
                <c:pt idx="181">
                  <c:v>1.32E-3</c:v>
                </c:pt>
                <c:pt idx="182">
                  <c:v>1.0200000000000001E-3</c:v>
                </c:pt>
                <c:pt idx="183">
                  <c:v>1.08E-3</c:v>
                </c:pt>
                <c:pt idx="184">
                  <c:v>9.2000000000000003E-4</c:v>
                </c:pt>
                <c:pt idx="185">
                  <c:v>2.4000000000000001E-4</c:v>
                </c:pt>
                <c:pt idx="186">
                  <c:v>1.2E-4</c:v>
                </c:pt>
                <c:pt idx="187">
                  <c:v>2.7999999999999998E-4</c:v>
                </c:pt>
                <c:pt idx="188">
                  <c:v>2.4000000000000001E-4</c:v>
                </c:pt>
                <c:pt idx="189">
                  <c:v>3.3E-4</c:v>
                </c:pt>
                <c:pt idx="190">
                  <c:v>3.6999999999999999E-4</c:v>
                </c:pt>
                <c:pt idx="191">
                  <c:v>1.7000000000000001E-4</c:v>
                </c:pt>
                <c:pt idx="192">
                  <c:v>3.8000000000000002E-4</c:v>
                </c:pt>
                <c:pt idx="193">
                  <c:v>1.7000000000000001E-4</c:v>
                </c:pt>
                <c:pt idx="194">
                  <c:v>1E-4</c:v>
                </c:pt>
                <c:pt idx="195">
                  <c:v>6.9999999999999994E-5</c:v>
                </c:pt>
                <c:pt idx="196">
                  <c:v>-1.1E-4</c:v>
                </c:pt>
                <c:pt idx="197">
                  <c:v>1.8000000000000001E-4</c:v>
                </c:pt>
                <c:pt idx="198">
                  <c:v>7.6999999999999996E-4</c:v>
                </c:pt>
                <c:pt idx="199">
                  <c:v>1.0300000000000001E-3</c:v>
                </c:pt>
                <c:pt idx="200">
                  <c:v>9.1E-4</c:v>
                </c:pt>
                <c:pt idx="201">
                  <c:v>8.4999999999999995E-4</c:v>
                </c:pt>
                <c:pt idx="202">
                  <c:v>7.1000000000000002E-4</c:v>
                </c:pt>
                <c:pt idx="203">
                  <c:v>4.6999999999999999E-4</c:v>
                </c:pt>
                <c:pt idx="204">
                  <c:v>9.3999999999999997E-4</c:v>
                </c:pt>
                <c:pt idx="205">
                  <c:v>1.41E-3</c:v>
                </c:pt>
                <c:pt idx="206">
                  <c:v>1.24E-3</c:v>
                </c:pt>
                <c:pt idx="207">
                  <c:v>1.09E-3</c:v>
                </c:pt>
                <c:pt idx="208">
                  <c:v>1.08E-3</c:v>
                </c:pt>
                <c:pt idx="209">
                  <c:v>1.4599999999999999E-3</c:v>
                </c:pt>
                <c:pt idx="210">
                  <c:v>1.7700000000000001E-3</c:v>
                </c:pt>
                <c:pt idx="211">
                  <c:v>1.6100000000000001E-3</c:v>
                </c:pt>
                <c:pt idx="212">
                  <c:v>1.56E-3</c:v>
                </c:pt>
                <c:pt idx="213">
                  <c:v>1.1299999999999999E-3</c:v>
                </c:pt>
                <c:pt idx="214">
                  <c:v>1.42E-3</c:v>
                </c:pt>
                <c:pt idx="215">
                  <c:v>1.5399999999999999E-3</c:v>
                </c:pt>
                <c:pt idx="216">
                  <c:v>1.81E-3</c:v>
                </c:pt>
                <c:pt idx="217">
                  <c:v>1.6000000000000001E-3</c:v>
                </c:pt>
                <c:pt idx="218">
                  <c:v>2.48E-3</c:v>
                </c:pt>
                <c:pt idx="219">
                  <c:v>2.2599999999999999E-3</c:v>
                </c:pt>
                <c:pt idx="220">
                  <c:v>2.3700000000000001E-3</c:v>
                </c:pt>
                <c:pt idx="221">
                  <c:v>2.32E-3</c:v>
                </c:pt>
                <c:pt idx="222">
                  <c:v>2.0100000000000001E-3</c:v>
                </c:pt>
                <c:pt idx="223">
                  <c:v>1.64E-3</c:v>
                </c:pt>
                <c:pt idx="224">
                  <c:v>1.7700000000000001E-3</c:v>
                </c:pt>
                <c:pt idx="225">
                  <c:v>1.6900000000000001E-3</c:v>
                </c:pt>
                <c:pt idx="226">
                  <c:v>1.65E-3</c:v>
                </c:pt>
                <c:pt idx="227">
                  <c:v>1.6000000000000001E-3</c:v>
                </c:pt>
                <c:pt idx="228">
                  <c:v>1.7600000000000001E-3</c:v>
                </c:pt>
                <c:pt idx="229">
                  <c:v>1.5200000000000001E-3</c:v>
                </c:pt>
                <c:pt idx="230">
                  <c:v>1.6000000000000001E-3</c:v>
                </c:pt>
                <c:pt idx="231">
                  <c:v>1.4E-3</c:v>
                </c:pt>
                <c:pt idx="232">
                  <c:v>1.4499999999999999E-3</c:v>
                </c:pt>
                <c:pt idx="233">
                  <c:v>1.49E-3</c:v>
                </c:pt>
                <c:pt idx="234">
                  <c:v>1.5299999999999999E-3</c:v>
                </c:pt>
                <c:pt idx="235">
                  <c:v>2.2200000000000002E-3</c:v>
                </c:pt>
                <c:pt idx="236">
                  <c:v>1.6000000000000001E-3</c:v>
                </c:pt>
                <c:pt idx="237">
                  <c:v>1.89E-3</c:v>
                </c:pt>
                <c:pt idx="238">
                  <c:v>2.15E-3</c:v>
                </c:pt>
                <c:pt idx="239">
                  <c:v>2.2799999999999999E-3</c:v>
                </c:pt>
                <c:pt idx="240">
                  <c:v>2.1199999999999999E-3</c:v>
                </c:pt>
                <c:pt idx="241">
                  <c:v>2.2100000000000002E-3</c:v>
                </c:pt>
                <c:pt idx="242">
                  <c:v>2E-3</c:v>
                </c:pt>
                <c:pt idx="243">
                  <c:v>2.3700000000000001E-3</c:v>
                </c:pt>
                <c:pt idx="244">
                  <c:v>2.2100000000000002E-3</c:v>
                </c:pt>
                <c:pt idx="245">
                  <c:v>2.2499999999999998E-3</c:v>
                </c:pt>
                <c:pt idx="246">
                  <c:v>2.1800000000000001E-3</c:v>
                </c:pt>
                <c:pt idx="247">
                  <c:v>2.5400000000000002E-3</c:v>
                </c:pt>
                <c:pt idx="248">
                  <c:v>2.6800000000000001E-3</c:v>
                </c:pt>
                <c:pt idx="249">
                  <c:v>2.7200000000000002E-3</c:v>
                </c:pt>
                <c:pt idx="250">
                  <c:v>3.0599999999999998E-3</c:v>
                </c:pt>
                <c:pt idx="251">
                  <c:v>2.6700000000000001E-3</c:v>
                </c:pt>
                <c:pt idx="252">
                  <c:v>3.0999999999999999E-3</c:v>
                </c:pt>
                <c:pt idx="253">
                  <c:v>3.0500000000000002E-3</c:v>
                </c:pt>
                <c:pt idx="254">
                  <c:v>2.64E-3</c:v>
                </c:pt>
                <c:pt idx="255">
                  <c:v>2.8999999999999998E-3</c:v>
                </c:pt>
                <c:pt idx="256">
                  <c:v>2.48E-3</c:v>
                </c:pt>
                <c:pt idx="257">
                  <c:v>2.7399999999999998E-3</c:v>
                </c:pt>
                <c:pt idx="258">
                  <c:v>2.7499999999999998E-3</c:v>
                </c:pt>
                <c:pt idx="259">
                  <c:v>2.3900000000000002E-3</c:v>
                </c:pt>
                <c:pt idx="260">
                  <c:v>3.1700000000000001E-3</c:v>
                </c:pt>
                <c:pt idx="261">
                  <c:v>3.0500000000000002E-3</c:v>
                </c:pt>
                <c:pt idx="262">
                  <c:v>2.9299999999999999E-3</c:v>
                </c:pt>
                <c:pt idx="263">
                  <c:v>2.7100000000000002E-3</c:v>
                </c:pt>
                <c:pt idx="264">
                  <c:v>2.8900000000000002E-3</c:v>
                </c:pt>
                <c:pt idx="265">
                  <c:v>2.9499999999999999E-3</c:v>
                </c:pt>
                <c:pt idx="266">
                  <c:v>2.66E-3</c:v>
                </c:pt>
                <c:pt idx="267">
                  <c:v>2.5799999999999998E-3</c:v>
                </c:pt>
                <c:pt idx="268">
                  <c:v>2.2100000000000002E-3</c:v>
                </c:pt>
                <c:pt idx="269">
                  <c:v>1.97E-3</c:v>
                </c:pt>
                <c:pt idx="270">
                  <c:v>1.6100000000000001E-3</c:v>
                </c:pt>
                <c:pt idx="271">
                  <c:v>2.0200000000000001E-3</c:v>
                </c:pt>
                <c:pt idx="272">
                  <c:v>1.72E-3</c:v>
                </c:pt>
                <c:pt idx="273">
                  <c:v>1.4400000000000001E-3</c:v>
                </c:pt>
                <c:pt idx="274">
                  <c:v>8.0999999999999996E-4</c:v>
                </c:pt>
                <c:pt idx="275">
                  <c:v>5.9000000000000003E-4</c:v>
                </c:pt>
                <c:pt idx="276">
                  <c:v>8.3000000000000001E-4</c:v>
                </c:pt>
                <c:pt idx="277">
                  <c:v>1.08E-3</c:v>
                </c:pt>
                <c:pt idx="278">
                  <c:v>9.6000000000000002E-4</c:v>
                </c:pt>
                <c:pt idx="279">
                  <c:v>7.2000000000000005E-4</c:v>
                </c:pt>
                <c:pt idx="280">
                  <c:v>5.8E-4</c:v>
                </c:pt>
                <c:pt idx="281">
                  <c:v>6.6E-4</c:v>
                </c:pt>
                <c:pt idx="282">
                  <c:v>6.8000000000000005E-4</c:v>
                </c:pt>
                <c:pt idx="283">
                  <c:v>5.5999999999999995E-4</c:v>
                </c:pt>
                <c:pt idx="284">
                  <c:v>4.4000000000000002E-4</c:v>
                </c:pt>
                <c:pt idx="285">
                  <c:v>4.6999999999999999E-4</c:v>
                </c:pt>
                <c:pt idx="286">
                  <c:v>4.4999999999999999E-4</c:v>
                </c:pt>
                <c:pt idx="287">
                  <c:v>3.8999999999999999E-4</c:v>
                </c:pt>
                <c:pt idx="288">
                  <c:v>1.3999999999999999E-4</c:v>
                </c:pt>
                <c:pt idx="289">
                  <c:v>2.7E-4</c:v>
                </c:pt>
                <c:pt idx="290">
                  <c:v>5.0000000000000002E-5</c:v>
                </c:pt>
                <c:pt idx="291">
                  <c:v>9.0000000000000006E-5</c:v>
                </c:pt>
                <c:pt idx="292">
                  <c:v>2.9E-4</c:v>
                </c:pt>
                <c:pt idx="293">
                  <c:v>1.4999999999999999E-4</c:v>
                </c:pt>
                <c:pt idx="294">
                  <c:v>-4.0000000000000003E-5</c:v>
                </c:pt>
                <c:pt idx="295">
                  <c:v>-5.0000000000000002E-5</c:v>
                </c:pt>
                <c:pt idx="296">
                  <c:v>-1E-4</c:v>
                </c:pt>
                <c:pt idx="297">
                  <c:v>-9.0000000000000006E-5</c:v>
                </c:pt>
                <c:pt idx="298">
                  <c:v>-1.1E-4</c:v>
                </c:pt>
                <c:pt idx="299">
                  <c:v>5.0000000000000002E-5</c:v>
                </c:pt>
                <c:pt idx="300">
                  <c:v>-1.2E-4</c:v>
                </c:pt>
                <c:pt idx="301">
                  <c:v>7.2000000000000005E-4</c:v>
                </c:pt>
                <c:pt idx="302">
                  <c:v>8.4999999999999995E-4</c:v>
                </c:pt>
                <c:pt idx="303">
                  <c:v>1.89E-3</c:v>
                </c:pt>
                <c:pt idx="304">
                  <c:v>3.5699999999999998E-3</c:v>
                </c:pt>
                <c:pt idx="305">
                  <c:v>5.0099999999999997E-3</c:v>
                </c:pt>
                <c:pt idx="306">
                  <c:v>5.7800000000000004E-3</c:v>
                </c:pt>
                <c:pt idx="307">
                  <c:v>6.8100000000000001E-3</c:v>
                </c:pt>
                <c:pt idx="308">
                  <c:v>5.7299999999999999E-3</c:v>
                </c:pt>
                <c:pt idx="309">
                  <c:v>4.7499999999999999E-3</c:v>
                </c:pt>
                <c:pt idx="310">
                  <c:v>5.1599999999999997E-3</c:v>
                </c:pt>
                <c:pt idx="311">
                  <c:v>6.0099999999999997E-3</c:v>
                </c:pt>
                <c:pt idx="312">
                  <c:v>6.9199999999999999E-3</c:v>
                </c:pt>
                <c:pt idx="313">
                  <c:v>5.3400000000000001E-3</c:v>
                </c:pt>
                <c:pt idx="314">
                  <c:v>4.2900000000000004E-3</c:v>
                </c:pt>
                <c:pt idx="315">
                  <c:v>4.4999999999999997E-3</c:v>
                </c:pt>
                <c:pt idx="316">
                  <c:v>4.62E-3</c:v>
                </c:pt>
                <c:pt idx="317">
                  <c:v>4.79E-3</c:v>
                </c:pt>
                <c:pt idx="318">
                  <c:v>5.1900000000000002E-3</c:v>
                </c:pt>
                <c:pt idx="319">
                  <c:v>5.4999999999999997E-3</c:v>
                </c:pt>
                <c:pt idx="320">
                  <c:v>6.0200000000000002E-3</c:v>
                </c:pt>
                <c:pt idx="321">
                  <c:v>8.1300000000000001E-3</c:v>
                </c:pt>
                <c:pt idx="322">
                  <c:v>8.4600000000000005E-3</c:v>
                </c:pt>
                <c:pt idx="323">
                  <c:v>7.9799999999999992E-3</c:v>
                </c:pt>
                <c:pt idx="324">
                  <c:v>7.6600000000000001E-3</c:v>
                </c:pt>
                <c:pt idx="325">
                  <c:v>7.45E-3</c:v>
                </c:pt>
                <c:pt idx="326">
                  <c:v>7.1700000000000002E-3</c:v>
                </c:pt>
                <c:pt idx="327">
                  <c:v>7.2899999999999996E-3</c:v>
                </c:pt>
                <c:pt idx="328">
                  <c:v>7.7400000000000004E-3</c:v>
                </c:pt>
                <c:pt idx="329">
                  <c:v>8.1200000000000005E-3</c:v>
                </c:pt>
                <c:pt idx="330">
                  <c:v>9.8700000000000003E-3</c:v>
                </c:pt>
                <c:pt idx="331">
                  <c:v>9.7400000000000004E-3</c:v>
                </c:pt>
                <c:pt idx="332">
                  <c:v>9.3500000000000007E-3</c:v>
                </c:pt>
                <c:pt idx="333">
                  <c:v>8.9899999999999997E-3</c:v>
                </c:pt>
                <c:pt idx="334">
                  <c:v>8.2699999999999996E-3</c:v>
                </c:pt>
                <c:pt idx="335">
                  <c:v>7.9600000000000001E-3</c:v>
                </c:pt>
                <c:pt idx="336">
                  <c:v>7.4400000000000004E-3</c:v>
                </c:pt>
                <c:pt idx="337">
                  <c:v>7.9000000000000008E-3</c:v>
                </c:pt>
                <c:pt idx="338">
                  <c:v>8.1200000000000005E-3</c:v>
                </c:pt>
                <c:pt idx="339">
                  <c:v>8.6999999999999994E-3</c:v>
                </c:pt>
                <c:pt idx="340">
                  <c:v>8.2500000000000004E-3</c:v>
                </c:pt>
                <c:pt idx="341">
                  <c:v>8.1200000000000005E-3</c:v>
                </c:pt>
                <c:pt idx="342">
                  <c:v>8.43E-3</c:v>
                </c:pt>
                <c:pt idx="343">
                  <c:v>8.1899999999999994E-3</c:v>
                </c:pt>
                <c:pt idx="344">
                  <c:v>7.7299999999999999E-3</c:v>
                </c:pt>
                <c:pt idx="345">
                  <c:v>6.8599999999999998E-3</c:v>
                </c:pt>
                <c:pt idx="346">
                  <c:v>6.7099999999999998E-3</c:v>
                </c:pt>
                <c:pt idx="347">
                  <c:v>6.6899999999999998E-3</c:v>
                </c:pt>
                <c:pt idx="348">
                  <c:v>6.2100000000000002E-3</c:v>
                </c:pt>
                <c:pt idx="349">
                  <c:v>6.1399999999999996E-3</c:v>
                </c:pt>
                <c:pt idx="350">
                  <c:v>6.3899999999999998E-3</c:v>
                </c:pt>
                <c:pt idx="351">
                  <c:v>6.7400000000000003E-3</c:v>
                </c:pt>
                <c:pt idx="352">
                  <c:v>6.6800000000000002E-3</c:v>
                </c:pt>
                <c:pt idx="353">
                  <c:v>6.7499999999999999E-3</c:v>
                </c:pt>
                <c:pt idx="354">
                  <c:v>6.5399999999999998E-3</c:v>
                </c:pt>
                <c:pt idx="355">
                  <c:v>6.0899999999999999E-3</c:v>
                </c:pt>
                <c:pt idx="356">
                  <c:v>4.9199999999999999E-3</c:v>
                </c:pt>
                <c:pt idx="357">
                  <c:v>5.2199999999999998E-3</c:v>
                </c:pt>
                <c:pt idx="358">
                  <c:v>4.8599999999999997E-3</c:v>
                </c:pt>
                <c:pt idx="359">
                  <c:v>4.3600000000000002E-3</c:v>
                </c:pt>
                <c:pt idx="360">
                  <c:v>3.8800000000000002E-3</c:v>
                </c:pt>
                <c:pt idx="361">
                  <c:v>4.2199999999999998E-3</c:v>
                </c:pt>
                <c:pt idx="362">
                  <c:v>3.63E-3</c:v>
                </c:pt>
                <c:pt idx="363">
                  <c:v>3.7799999999999999E-3</c:v>
                </c:pt>
                <c:pt idx="364">
                  <c:v>4.0499999999999998E-3</c:v>
                </c:pt>
                <c:pt idx="365">
                  <c:v>3.6900000000000001E-3</c:v>
                </c:pt>
                <c:pt idx="366">
                  <c:v>3.8600000000000001E-3</c:v>
                </c:pt>
                <c:pt idx="367">
                  <c:v>3.7699999999999999E-3</c:v>
                </c:pt>
                <c:pt idx="368">
                  <c:v>3.6800000000000001E-3</c:v>
                </c:pt>
                <c:pt idx="369">
                  <c:v>3.8500000000000001E-3</c:v>
                </c:pt>
                <c:pt idx="370">
                  <c:v>3.5799999999999998E-3</c:v>
                </c:pt>
                <c:pt idx="371">
                  <c:v>3.47E-3</c:v>
                </c:pt>
                <c:pt idx="372">
                  <c:v>3.2000000000000002E-3</c:v>
                </c:pt>
                <c:pt idx="373">
                  <c:v>3.4099999999999998E-3</c:v>
                </c:pt>
                <c:pt idx="374">
                  <c:v>3.1199999999999999E-3</c:v>
                </c:pt>
                <c:pt idx="375">
                  <c:v>3.0699999999999998E-3</c:v>
                </c:pt>
                <c:pt idx="376">
                  <c:v>3.0599999999999998E-3</c:v>
                </c:pt>
                <c:pt idx="377">
                  <c:v>3.14E-3</c:v>
                </c:pt>
                <c:pt idx="378">
                  <c:v>3.0599999999999998E-3</c:v>
                </c:pt>
                <c:pt idx="379">
                  <c:v>3.5999999999999999E-3</c:v>
                </c:pt>
                <c:pt idx="380">
                  <c:v>2.98E-3</c:v>
                </c:pt>
                <c:pt idx="381">
                  <c:v>3.2000000000000002E-3</c:v>
                </c:pt>
                <c:pt idx="382">
                  <c:v>2.8400000000000001E-3</c:v>
                </c:pt>
                <c:pt idx="383">
                  <c:v>2.7200000000000002E-3</c:v>
                </c:pt>
                <c:pt idx="384">
                  <c:v>2.2399999999999998E-3</c:v>
                </c:pt>
                <c:pt idx="385">
                  <c:v>1.47E-3</c:v>
                </c:pt>
                <c:pt idx="386">
                  <c:v>1.31E-3</c:v>
                </c:pt>
                <c:pt idx="387">
                  <c:v>1.4599999999999999E-3</c:v>
                </c:pt>
                <c:pt idx="388">
                  <c:v>1.16E-3</c:v>
                </c:pt>
                <c:pt idx="389">
                  <c:v>1.1299999999999999E-3</c:v>
                </c:pt>
                <c:pt idx="390">
                  <c:v>8.7000000000000001E-4</c:v>
                </c:pt>
                <c:pt idx="391">
                  <c:v>9.5E-4</c:v>
                </c:pt>
                <c:pt idx="392">
                  <c:v>4.8000000000000001E-4</c:v>
                </c:pt>
                <c:pt idx="393">
                  <c:v>4.2999999999999999E-4</c:v>
                </c:pt>
                <c:pt idx="394">
                  <c:v>2.5000000000000001E-4</c:v>
                </c:pt>
                <c:pt idx="395">
                  <c:v>2.0000000000000001E-4</c:v>
                </c:pt>
                <c:pt idx="396">
                  <c:v>5.1999999999999995E-4</c:v>
                </c:pt>
                <c:pt idx="397">
                  <c:v>1E-4</c:v>
                </c:pt>
                <c:pt idx="398">
                  <c:v>1.4999999999999999E-4</c:v>
                </c:pt>
                <c:pt idx="399">
                  <c:v>6.0000000000000002E-5</c:v>
                </c:pt>
                <c:pt idx="400">
                  <c:v>-2.9999999999999997E-4</c:v>
                </c:pt>
                <c:pt idx="401">
                  <c:v>-1.1E-4</c:v>
                </c:pt>
                <c:pt idx="402">
                  <c:v>-2.9E-4</c:v>
                </c:pt>
                <c:pt idx="403">
                  <c:v>-7.6999999999999996E-4</c:v>
                </c:pt>
                <c:pt idx="404">
                  <c:v>-3.6000000000000002E-4</c:v>
                </c:pt>
                <c:pt idx="405">
                  <c:v>-4.6000000000000001E-4</c:v>
                </c:pt>
                <c:pt idx="406">
                  <c:v>-3.8999999999999999E-4</c:v>
                </c:pt>
                <c:pt idx="407">
                  <c:v>-5.1999999999999995E-4</c:v>
                </c:pt>
                <c:pt idx="408">
                  <c:v>-2.9999999999999997E-4</c:v>
                </c:pt>
                <c:pt idx="409">
                  <c:v>1.6000000000000001E-4</c:v>
                </c:pt>
                <c:pt idx="410">
                  <c:v>4.8999999999999998E-4</c:v>
                </c:pt>
                <c:pt idx="411">
                  <c:v>4.4999999999999999E-4</c:v>
                </c:pt>
                <c:pt idx="412">
                  <c:v>2.4000000000000001E-4</c:v>
                </c:pt>
                <c:pt idx="413">
                  <c:v>6.9999999999999994E-5</c:v>
                </c:pt>
                <c:pt idx="414">
                  <c:v>-1.2E-4</c:v>
                </c:pt>
                <c:pt idx="415">
                  <c:v>-1.4999999999999999E-4</c:v>
                </c:pt>
                <c:pt idx="416">
                  <c:v>-2.7999999999999998E-4</c:v>
                </c:pt>
                <c:pt idx="417">
                  <c:v>-1.4999999999999999E-4</c:v>
                </c:pt>
                <c:pt idx="418">
                  <c:v>3.8999999999999999E-4</c:v>
                </c:pt>
                <c:pt idx="419">
                  <c:v>4.4999999999999999E-4</c:v>
                </c:pt>
                <c:pt idx="420">
                  <c:v>6.4999999999999997E-4</c:v>
                </c:pt>
                <c:pt idx="421">
                  <c:v>6.2E-4</c:v>
                </c:pt>
                <c:pt idx="422">
                  <c:v>7.1000000000000002E-4</c:v>
                </c:pt>
                <c:pt idx="423">
                  <c:v>5.6999999999999998E-4</c:v>
                </c:pt>
                <c:pt idx="424">
                  <c:v>-4.0000000000000003E-5</c:v>
                </c:pt>
                <c:pt idx="425">
                  <c:v>-1.7000000000000001E-4</c:v>
                </c:pt>
                <c:pt idx="426">
                  <c:v>0</c:v>
                </c:pt>
                <c:pt idx="427">
                  <c:v>1.3999999999999999E-4</c:v>
                </c:pt>
                <c:pt idx="428">
                  <c:v>-8.0000000000000007E-5</c:v>
                </c:pt>
                <c:pt idx="429">
                  <c:v>1.3999999999999999E-4</c:v>
                </c:pt>
                <c:pt idx="430">
                  <c:v>3.2000000000000003E-4</c:v>
                </c:pt>
                <c:pt idx="431">
                  <c:v>3.0000000000000001E-5</c:v>
                </c:pt>
                <c:pt idx="432">
                  <c:v>-1E-4</c:v>
                </c:pt>
                <c:pt idx="433">
                  <c:v>-9.0000000000000006E-5</c:v>
                </c:pt>
                <c:pt idx="434">
                  <c:v>-1.4999999999999999E-4</c:v>
                </c:pt>
                <c:pt idx="435">
                  <c:v>5.0000000000000002E-5</c:v>
                </c:pt>
                <c:pt idx="436">
                  <c:v>4.6000000000000001E-4</c:v>
                </c:pt>
                <c:pt idx="437">
                  <c:v>4.4999999999999999E-4</c:v>
                </c:pt>
                <c:pt idx="438">
                  <c:v>8.1999999999999998E-4</c:v>
                </c:pt>
                <c:pt idx="439">
                  <c:v>8.7000000000000001E-4</c:v>
                </c:pt>
                <c:pt idx="440">
                  <c:v>7.6000000000000004E-4</c:v>
                </c:pt>
                <c:pt idx="441">
                  <c:v>5.2999999999999998E-4</c:v>
                </c:pt>
                <c:pt idx="442">
                  <c:v>5.8E-4</c:v>
                </c:pt>
                <c:pt idx="443">
                  <c:v>3.6999999999999999E-4</c:v>
                </c:pt>
                <c:pt idx="444">
                  <c:v>5.1999999999999995E-4</c:v>
                </c:pt>
                <c:pt idx="445">
                  <c:v>5.0000000000000001E-4</c:v>
                </c:pt>
                <c:pt idx="446">
                  <c:v>-1.1E-4</c:v>
                </c:pt>
                <c:pt idx="447">
                  <c:v>1.2E-4</c:v>
                </c:pt>
                <c:pt idx="448">
                  <c:v>-3.0000000000000001E-5</c:v>
                </c:pt>
                <c:pt idx="449">
                  <c:v>1.2E-4</c:v>
                </c:pt>
                <c:pt idx="450">
                  <c:v>-2.1000000000000001E-4</c:v>
                </c:pt>
                <c:pt idx="451">
                  <c:v>-1.9000000000000001E-4</c:v>
                </c:pt>
                <c:pt idx="452">
                  <c:v>-3.6999999999999999E-4</c:v>
                </c:pt>
                <c:pt idx="453">
                  <c:v>-4.4999999999999999E-4</c:v>
                </c:pt>
                <c:pt idx="454">
                  <c:v>-7.1000000000000002E-4</c:v>
                </c:pt>
                <c:pt idx="455">
                  <c:v>-1.01E-3</c:v>
                </c:pt>
                <c:pt idx="456">
                  <c:v>-1.0399999999999999E-3</c:v>
                </c:pt>
                <c:pt idx="457">
                  <c:v>-1.08E-3</c:v>
                </c:pt>
                <c:pt idx="458">
                  <c:v>-1.1299999999999999E-3</c:v>
                </c:pt>
                <c:pt idx="459">
                  <c:v>-1.1800000000000001E-3</c:v>
                </c:pt>
                <c:pt idx="460">
                  <c:v>-8.8000000000000003E-4</c:v>
                </c:pt>
                <c:pt idx="461">
                  <c:v>-9.8999999999999999E-4</c:v>
                </c:pt>
                <c:pt idx="462">
                  <c:v>-9.5E-4</c:v>
                </c:pt>
                <c:pt idx="463">
                  <c:v>-1.17E-3</c:v>
                </c:pt>
                <c:pt idx="464">
                  <c:v>-1.1100000000000001E-3</c:v>
                </c:pt>
                <c:pt idx="465">
                  <c:v>-1.34E-3</c:v>
                </c:pt>
                <c:pt idx="466">
                  <c:v>-1.4499999999999999E-3</c:v>
                </c:pt>
                <c:pt idx="467">
                  <c:v>-1.4300000000000001E-3</c:v>
                </c:pt>
                <c:pt idx="468">
                  <c:v>-1.5200000000000001E-3</c:v>
                </c:pt>
                <c:pt idx="469">
                  <c:v>-2.0600000000000002E-3</c:v>
                </c:pt>
                <c:pt idx="470">
                  <c:v>-2.2699999999999999E-3</c:v>
                </c:pt>
                <c:pt idx="471">
                  <c:v>-1.8799999999999999E-3</c:v>
                </c:pt>
                <c:pt idx="472">
                  <c:v>-8.9999999999999998E-4</c:v>
                </c:pt>
                <c:pt idx="473">
                  <c:v>-6.9999999999999999E-4</c:v>
                </c:pt>
                <c:pt idx="474">
                  <c:v>-1.1000000000000001E-3</c:v>
                </c:pt>
                <c:pt idx="475">
                  <c:v>-1.1999999999999999E-3</c:v>
                </c:pt>
                <c:pt idx="476">
                  <c:v>-1.1000000000000001E-3</c:v>
                </c:pt>
                <c:pt idx="477">
                  <c:v>-1.06E-3</c:v>
                </c:pt>
                <c:pt idx="478">
                  <c:v>-1.1800000000000001E-3</c:v>
                </c:pt>
                <c:pt idx="479">
                  <c:v>-1E-3</c:v>
                </c:pt>
                <c:pt idx="480">
                  <c:v>-1.0200000000000001E-3</c:v>
                </c:pt>
                <c:pt idx="481">
                  <c:v>-1.1100000000000001E-3</c:v>
                </c:pt>
                <c:pt idx="482">
                  <c:v>-1.1199999999999999E-3</c:v>
                </c:pt>
                <c:pt idx="483">
                  <c:v>-9.5E-4</c:v>
                </c:pt>
                <c:pt idx="484">
                  <c:v>-9.8999999999999999E-4</c:v>
                </c:pt>
                <c:pt idx="485">
                  <c:v>-1.1900000000000001E-3</c:v>
                </c:pt>
                <c:pt idx="486">
                  <c:v>-1.17E-3</c:v>
                </c:pt>
                <c:pt idx="487">
                  <c:v>-1E-3</c:v>
                </c:pt>
                <c:pt idx="488">
                  <c:v>-7.1000000000000002E-4</c:v>
                </c:pt>
                <c:pt idx="489">
                  <c:v>-6.4999999999999997E-4</c:v>
                </c:pt>
                <c:pt idx="490">
                  <c:v>-9.8999999999999999E-4</c:v>
                </c:pt>
                <c:pt idx="491">
                  <c:v>-8.4000000000000003E-4</c:v>
                </c:pt>
                <c:pt idx="492">
                  <c:v>-1.1999999999999999E-3</c:v>
                </c:pt>
                <c:pt idx="493">
                  <c:v>-1.3799999999999999E-3</c:v>
                </c:pt>
                <c:pt idx="494">
                  <c:v>-1.4400000000000001E-3</c:v>
                </c:pt>
                <c:pt idx="495">
                  <c:v>-1.66E-3</c:v>
                </c:pt>
                <c:pt idx="496">
                  <c:v>-1.89E-3</c:v>
                </c:pt>
                <c:pt idx="497">
                  <c:v>-1.8400000000000001E-3</c:v>
                </c:pt>
                <c:pt idx="498">
                  <c:v>-1.7799999999999999E-3</c:v>
                </c:pt>
                <c:pt idx="499">
                  <c:v>-1.41E-3</c:v>
                </c:pt>
                <c:pt idx="500">
                  <c:v>-1.5E-3</c:v>
                </c:pt>
                <c:pt idx="501">
                  <c:v>-1.4400000000000001E-3</c:v>
                </c:pt>
                <c:pt idx="502">
                  <c:v>-1.49E-3</c:v>
                </c:pt>
                <c:pt idx="503">
                  <c:v>-1.4599999999999999E-3</c:v>
                </c:pt>
                <c:pt idx="504">
                  <c:v>-1.14E-3</c:v>
                </c:pt>
                <c:pt idx="505">
                  <c:v>-1.14E-3</c:v>
                </c:pt>
                <c:pt idx="506">
                  <c:v>-1.14E-3</c:v>
                </c:pt>
                <c:pt idx="507">
                  <c:v>-1.34E-3</c:v>
                </c:pt>
                <c:pt idx="508">
                  <c:v>-1.4300000000000001E-3</c:v>
                </c:pt>
                <c:pt idx="509">
                  <c:v>-1.47E-3</c:v>
                </c:pt>
                <c:pt idx="510">
                  <c:v>-1.56E-3</c:v>
                </c:pt>
                <c:pt idx="511">
                  <c:v>-1.14E-3</c:v>
                </c:pt>
                <c:pt idx="512">
                  <c:v>-1.09E-3</c:v>
                </c:pt>
                <c:pt idx="513">
                  <c:v>-1.1000000000000001E-3</c:v>
                </c:pt>
                <c:pt idx="514">
                  <c:v>-1.07E-3</c:v>
                </c:pt>
                <c:pt idx="515">
                  <c:v>-8.5999999999999998E-4</c:v>
                </c:pt>
                <c:pt idx="516">
                  <c:v>-2.9E-4</c:v>
                </c:pt>
                <c:pt idx="517">
                  <c:v>-6.8999999999999997E-4</c:v>
                </c:pt>
                <c:pt idx="518">
                  <c:v>-8.8999999999999995E-4</c:v>
                </c:pt>
                <c:pt idx="519">
                  <c:v>-9.3999999999999997E-4</c:v>
                </c:pt>
                <c:pt idx="520">
                  <c:v>-7.2999999999999996E-4</c:v>
                </c:pt>
                <c:pt idx="521">
                  <c:v>-8.9999999999999998E-4</c:v>
                </c:pt>
                <c:pt idx="522">
                  <c:v>-8.0999999999999996E-4</c:v>
                </c:pt>
                <c:pt idx="523">
                  <c:v>-5.0000000000000001E-4</c:v>
                </c:pt>
                <c:pt idx="524">
                  <c:v>-5.5999999999999995E-4</c:v>
                </c:pt>
                <c:pt idx="525">
                  <c:v>-9.3000000000000005E-4</c:v>
                </c:pt>
                <c:pt idx="526">
                  <c:v>-5.9999999999999995E-4</c:v>
                </c:pt>
                <c:pt idx="527">
                  <c:v>-7.2999999999999996E-4</c:v>
                </c:pt>
                <c:pt idx="528">
                  <c:v>-7.2999999999999996E-4</c:v>
                </c:pt>
                <c:pt idx="529">
                  <c:v>-6.3000000000000003E-4</c:v>
                </c:pt>
                <c:pt idx="530">
                  <c:v>-5.9000000000000003E-4</c:v>
                </c:pt>
                <c:pt idx="531">
                  <c:v>-4.6000000000000001E-4</c:v>
                </c:pt>
                <c:pt idx="532">
                  <c:v>-4.8000000000000001E-4</c:v>
                </c:pt>
                <c:pt idx="533">
                  <c:v>-5.4000000000000001E-4</c:v>
                </c:pt>
                <c:pt idx="534">
                  <c:v>-5.4000000000000001E-4</c:v>
                </c:pt>
                <c:pt idx="535">
                  <c:v>-6.0999999999999997E-4</c:v>
                </c:pt>
                <c:pt idx="536">
                  <c:v>-6.8999999999999997E-4</c:v>
                </c:pt>
                <c:pt idx="537">
                  <c:v>-5.4000000000000001E-4</c:v>
                </c:pt>
                <c:pt idx="538">
                  <c:v>-7.6000000000000004E-4</c:v>
                </c:pt>
                <c:pt idx="539">
                  <c:v>-1.1900000000000001E-3</c:v>
                </c:pt>
                <c:pt idx="540">
                  <c:v>-7.7999999999999999E-4</c:v>
                </c:pt>
                <c:pt idx="541">
                  <c:v>-3.3E-4</c:v>
                </c:pt>
                <c:pt idx="542">
                  <c:v>-2.7E-4</c:v>
                </c:pt>
                <c:pt idx="543">
                  <c:v>2.5999999999999998E-4</c:v>
                </c:pt>
                <c:pt idx="544">
                  <c:v>5.5999999999999995E-4</c:v>
                </c:pt>
                <c:pt idx="545">
                  <c:v>2.3000000000000001E-4</c:v>
                </c:pt>
                <c:pt idx="546">
                  <c:v>5.1000000000000004E-4</c:v>
                </c:pt>
                <c:pt idx="547">
                  <c:v>7.1000000000000002E-4</c:v>
                </c:pt>
                <c:pt idx="548">
                  <c:v>1.17E-3</c:v>
                </c:pt>
                <c:pt idx="549">
                  <c:v>5.5999999999999995E-4</c:v>
                </c:pt>
                <c:pt idx="550">
                  <c:v>5.6999999999999998E-4</c:v>
                </c:pt>
                <c:pt idx="551">
                  <c:v>2.9999999999999997E-4</c:v>
                </c:pt>
                <c:pt idx="552">
                  <c:v>8.3000000000000001E-4</c:v>
                </c:pt>
                <c:pt idx="553">
                  <c:v>5.1000000000000004E-4</c:v>
                </c:pt>
                <c:pt idx="554">
                  <c:v>5.6999999999999998E-4</c:v>
                </c:pt>
                <c:pt idx="555">
                  <c:v>6.8000000000000005E-4</c:v>
                </c:pt>
                <c:pt idx="556">
                  <c:v>3.8999999999999999E-4</c:v>
                </c:pt>
                <c:pt idx="557">
                  <c:v>4.0999999999999999E-4</c:v>
                </c:pt>
                <c:pt idx="558">
                  <c:v>1E-4</c:v>
                </c:pt>
                <c:pt idx="559">
                  <c:v>6.8000000000000005E-4</c:v>
                </c:pt>
                <c:pt idx="560">
                  <c:v>3.8999999999999999E-4</c:v>
                </c:pt>
                <c:pt idx="561">
                  <c:v>4.0999999999999999E-4</c:v>
                </c:pt>
                <c:pt idx="562">
                  <c:v>1E-4</c:v>
                </c:pt>
                <c:pt idx="563">
                  <c:v>4.2999999999999999E-4</c:v>
                </c:pt>
                <c:pt idx="564">
                  <c:v>1.7000000000000001E-4</c:v>
                </c:pt>
                <c:pt idx="565">
                  <c:v>1.6000000000000001E-4</c:v>
                </c:pt>
                <c:pt idx="566">
                  <c:v>6.6E-4</c:v>
                </c:pt>
                <c:pt idx="567">
                  <c:v>8.4000000000000003E-4</c:v>
                </c:pt>
                <c:pt idx="568">
                  <c:v>5.4000000000000001E-4</c:v>
                </c:pt>
                <c:pt idx="569">
                  <c:v>3.8999999999999999E-4</c:v>
                </c:pt>
                <c:pt idx="570">
                  <c:v>5.0000000000000002E-5</c:v>
                </c:pt>
                <c:pt idx="571">
                  <c:v>-1.2E-4</c:v>
                </c:pt>
                <c:pt idx="572">
                  <c:v>-3.2000000000000003E-4</c:v>
                </c:pt>
                <c:pt idx="573">
                  <c:v>-6.0000000000000002E-5</c:v>
                </c:pt>
                <c:pt idx="574">
                  <c:v>2.7999999999999998E-4</c:v>
                </c:pt>
                <c:pt idx="575">
                  <c:v>5.5999999999999995E-4</c:v>
                </c:pt>
                <c:pt idx="576">
                  <c:v>4.8999999999999998E-4</c:v>
                </c:pt>
                <c:pt idx="577">
                  <c:v>1.4999999999999999E-4</c:v>
                </c:pt>
                <c:pt idx="578">
                  <c:v>1.4999999999999999E-4</c:v>
                </c:pt>
                <c:pt idx="579">
                  <c:v>2.7E-4</c:v>
                </c:pt>
                <c:pt idx="580">
                  <c:v>2.1000000000000001E-4</c:v>
                </c:pt>
                <c:pt idx="581">
                  <c:v>2.4000000000000001E-4</c:v>
                </c:pt>
                <c:pt idx="582">
                  <c:v>5.9000000000000003E-4</c:v>
                </c:pt>
                <c:pt idx="583">
                  <c:v>7.1000000000000002E-4</c:v>
                </c:pt>
                <c:pt idx="584">
                  <c:v>7.1000000000000002E-4</c:v>
                </c:pt>
                <c:pt idx="585">
                  <c:v>1E-3</c:v>
                </c:pt>
                <c:pt idx="586">
                  <c:v>7.3999999999999999E-4</c:v>
                </c:pt>
                <c:pt idx="587">
                  <c:v>1E-3</c:v>
                </c:pt>
                <c:pt idx="588">
                  <c:v>1.2700000000000001E-3</c:v>
                </c:pt>
                <c:pt idx="589">
                  <c:v>1.0399999999999999E-3</c:v>
                </c:pt>
                <c:pt idx="590">
                  <c:v>9.7999999999999997E-4</c:v>
                </c:pt>
                <c:pt idx="591">
                  <c:v>1.07E-3</c:v>
                </c:pt>
                <c:pt idx="592">
                  <c:v>9.5E-4</c:v>
                </c:pt>
                <c:pt idx="593">
                  <c:v>9.7999999999999997E-4</c:v>
                </c:pt>
                <c:pt idx="594">
                  <c:v>1.1000000000000001E-3</c:v>
                </c:pt>
                <c:pt idx="595">
                  <c:v>1.33E-3</c:v>
                </c:pt>
                <c:pt idx="596">
                  <c:v>1.66E-3</c:v>
                </c:pt>
                <c:pt idx="597">
                  <c:v>1.75E-3</c:v>
                </c:pt>
                <c:pt idx="598">
                  <c:v>1.82E-3</c:v>
                </c:pt>
                <c:pt idx="599">
                  <c:v>1.6000000000000001E-3</c:v>
                </c:pt>
                <c:pt idx="600">
                  <c:v>1.72E-3</c:v>
                </c:pt>
                <c:pt idx="601">
                  <c:v>1.81E-3</c:v>
                </c:pt>
                <c:pt idx="602">
                  <c:v>2.0100000000000001E-3</c:v>
                </c:pt>
                <c:pt idx="603">
                  <c:v>2.0200000000000001E-3</c:v>
                </c:pt>
                <c:pt idx="604">
                  <c:v>2.6099999999999999E-3</c:v>
                </c:pt>
                <c:pt idx="605">
                  <c:v>2.97E-3</c:v>
                </c:pt>
                <c:pt idx="606">
                  <c:v>3.1099999999999999E-3</c:v>
                </c:pt>
                <c:pt idx="607">
                  <c:v>3.0300000000000001E-3</c:v>
                </c:pt>
                <c:pt idx="608">
                  <c:v>3.29E-3</c:v>
                </c:pt>
                <c:pt idx="609">
                  <c:v>3.3600000000000001E-3</c:v>
                </c:pt>
                <c:pt idx="610">
                  <c:v>3.2799999999999999E-3</c:v>
                </c:pt>
                <c:pt idx="611">
                  <c:v>3.1099999999999999E-3</c:v>
                </c:pt>
                <c:pt idx="612">
                  <c:v>2.8800000000000002E-3</c:v>
                </c:pt>
                <c:pt idx="613">
                  <c:v>2.8300000000000001E-3</c:v>
                </c:pt>
                <c:pt idx="614">
                  <c:v>2.4299999999999999E-3</c:v>
                </c:pt>
                <c:pt idx="615">
                  <c:v>2.0500000000000002E-3</c:v>
                </c:pt>
                <c:pt idx="616">
                  <c:v>2.5000000000000001E-3</c:v>
                </c:pt>
                <c:pt idx="617">
                  <c:v>2.3500000000000001E-3</c:v>
                </c:pt>
                <c:pt idx="618">
                  <c:v>2.32E-3</c:v>
                </c:pt>
                <c:pt idx="619">
                  <c:v>2.2399999999999998E-3</c:v>
                </c:pt>
                <c:pt idx="620">
                  <c:v>1.98E-3</c:v>
                </c:pt>
                <c:pt idx="621">
                  <c:v>2.0999999999999999E-3</c:v>
                </c:pt>
                <c:pt idx="622">
                  <c:v>1.9400000000000001E-3</c:v>
                </c:pt>
                <c:pt idx="623">
                  <c:v>2.1299999999999999E-3</c:v>
                </c:pt>
                <c:pt idx="624">
                  <c:v>1.8400000000000001E-3</c:v>
                </c:pt>
                <c:pt idx="625">
                  <c:v>1.66E-3</c:v>
                </c:pt>
                <c:pt idx="626">
                  <c:v>1.58E-3</c:v>
                </c:pt>
                <c:pt idx="627">
                  <c:v>1.4300000000000001E-3</c:v>
                </c:pt>
                <c:pt idx="628">
                  <c:v>1.64E-3</c:v>
                </c:pt>
                <c:pt idx="629">
                  <c:v>1.8E-3</c:v>
                </c:pt>
                <c:pt idx="630">
                  <c:v>1.57E-3</c:v>
                </c:pt>
                <c:pt idx="631">
                  <c:v>1.82E-3</c:v>
                </c:pt>
                <c:pt idx="632">
                  <c:v>1.65E-3</c:v>
                </c:pt>
                <c:pt idx="633">
                  <c:v>1.7799999999999999E-3</c:v>
                </c:pt>
                <c:pt idx="634">
                  <c:v>1.92E-3</c:v>
                </c:pt>
                <c:pt idx="635">
                  <c:v>1.8400000000000001E-3</c:v>
                </c:pt>
                <c:pt idx="636">
                  <c:v>1.73E-3</c:v>
                </c:pt>
                <c:pt idx="637">
                  <c:v>2.15E-3</c:v>
                </c:pt>
                <c:pt idx="638">
                  <c:v>1.8E-3</c:v>
                </c:pt>
                <c:pt idx="639">
                  <c:v>1.9400000000000001E-3</c:v>
                </c:pt>
                <c:pt idx="640">
                  <c:v>1.4599999999999999E-3</c:v>
                </c:pt>
                <c:pt idx="641">
                  <c:v>1.4E-3</c:v>
                </c:pt>
                <c:pt idx="642">
                  <c:v>1.1199999999999999E-3</c:v>
                </c:pt>
                <c:pt idx="643">
                  <c:v>1.2899999999999999E-3</c:v>
                </c:pt>
                <c:pt idx="644">
                  <c:v>6.7000000000000002E-4</c:v>
                </c:pt>
                <c:pt idx="645">
                  <c:v>4.0999999999999999E-4</c:v>
                </c:pt>
                <c:pt idx="646">
                  <c:v>4.0999999999999999E-4</c:v>
                </c:pt>
                <c:pt idx="647">
                  <c:v>6.3000000000000003E-4</c:v>
                </c:pt>
                <c:pt idx="648">
                  <c:v>5.4000000000000001E-4</c:v>
                </c:pt>
                <c:pt idx="649">
                  <c:v>5.1999999999999995E-4</c:v>
                </c:pt>
                <c:pt idx="650">
                  <c:v>2.7999999999999998E-4</c:v>
                </c:pt>
                <c:pt idx="651">
                  <c:v>1.2E-4</c:v>
                </c:pt>
                <c:pt idx="652">
                  <c:v>-4.0000000000000003E-5</c:v>
                </c:pt>
                <c:pt idx="653">
                  <c:v>-2.2000000000000001E-4</c:v>
                </c:pt>
                <c:pt idx="654">
                  <c:v>-3.8000000000000002E-4</c:v>
                </c:pt>
                <c:pt idx="655">
                  <c:v>-1.1E-4</c:v>
                </c:pt>
                <c:pt idx="656">
                  <c:v>-1.2E-4</c:v>
                </c:pt>
                <c:pt idx="657">
                  <c:v>1.1E-4</c:v>
                </c:pt>
                <c:pt idx="658">
                  <c:v>2.9E-4</c:v>
                </c:pt>
                <c:pt idx="659">
                  <c:v>2.1000000000000001E-4</c:v>
                </c:pt>
                <c:pt idx="660">
                  <c:v>2.4000000000000001E-4</c:v>
                </c:pt>
                <c:pt idx="661">
                  <c:v>3.0000000000000001E-5</c:v>
                </c:pt>
                <c:pt idx="662">
                  <c:v>-3.6999999999999999E-4</c:v>
                </c:pt>
                <c:pt idx="663">
                  <c:v>-7.5000000000000002E-4</c:v>
                </c:pt>
                <c:pt idx="664">
                  <c:v>-9.6000000000000002E-4</c:v>
                </c:pt>
                <c:pt idx="665">
                  <c:v>-1.08E-3</c:v>
                </c:pt>
                <c:pt idx="666">
                  <c:v>-1.1299999999999999E-3</c:v>
                </c:pt>
                <c:pt idx="667">
                  <c:v>-7.5000000000000002E-4</c:v>
                </c:pt>
                <c:pt idx="668">
                  <c:v>-8.0999999999999996E-4</c:v>
                </c:pt>
                <c:pt idx="669">
                  <c:v>-7.9000000000000001E-4</c:v>
                </c:pt>
                <c:pt idx="670">
                  <c:v>-8.3000000000000001E-4</c:v>
                </c:pt>
                <c:pt idx="671">
                  <c:v>-8.4999999999999995E-4</c:v>
                </c:pt>
                <c:pt idx="672">
                  <c:v>-8.5999999999999998E-4</c:v>
                </c:pt>
                <c:pt idx="673">
                  <c:v>-8.4000000000000003E-4</c:v>
                </c:pt>
                <c:pt idx="674">
                  <c:v>-8.7000000000000001E-4</c:v>
                </c:pt>
                <c:pt idx="675">
                  <c:v>-1E-3</c:v>
                </c:pt>
                <c:pt idx="676">
                  <c:v>-1.06E-3</c:v>
                </c:pt>
                <c:pt idx="677">
                  <c:v>-1.1299999999999999E-3</c:v>
                </c:pt>
                <c:pt idx="678">
                  <c:v>-9.8999999999999999E-4</c:v>
                </c:pt>
                <c:pt idx="679">
                  <c:v>-9.6000000000000002E-4</c:v>
                </c:pt>
                <c:pt idx="680">
                  <c:v>-3.6999999999999999E-4</c:v>
                </c:pt>
                <c:pt idx="681">
                  <c:v>-1.8000000000000001E-4</c:v>
                </c:pt>
                <c:pt idx="682">
                  <c:v>-3.3E-4</c:v>
                </c:pt>
                <c:pt idx="683">
                  <c:v>-6.0999999999999997E-4</c:v>
                </c:pt>
                <c:pt idx="684">
                  <c:v>4.0000000000000003E-5</c:v>
                </c:pt>
                <c:pt idx="685">
                  <c:v>1.1E-4</c:v>
                </c:pt>
                <c:pt idx="686">
                  <c:v>-2.0000000000000002E-5</c:v>
                </c:pt>
                <c:pt idx="687">
                  <c:v>2.2000000000000001E-4</c:v>
                </c:pt>
                <c:pt idx="688">
                  <c:v>1.4999999999999999E-4</c:v>
                </c:pt>
                <c:pt idx="689">
                  <c:v>8.5999999999999998E-4</c:v>
                </c:pt>
                <c:pt idx="690">
                  <c:v>7.9000000000000001E-4</c:v>
                </c:pt>
                <c:pt idx="691">
                  <c:v>3.8000000000000002E-4</c:v>
                </c:pt>
                <c:pt idx="692">
                  <c:v>7.5000000000000002E-4</c:v>
                </c:pt>
                <c:pt idx="693">
                  <c:v>8.1999999999999998E-4</c:v>
                </c:pt>
                <c:pt idx="694">
                  <c:v>7.6999999999999996E-4</c:v>
                </c:pt>
                <c:pt idx="695">
                  <c:v>1.17E-3</c:v>
                </c:pt>
                <c:pt idx="696">
                  <c:v>1.23E-3</c:v>
                </c:pt>
                <c:pt idx="697">
                  <c:v>1.42E-3</c:v>
                </c:pt>
                <c:pt idx="698">
                  <c:v>1.1900000000000001E-3</c:v>
                </c:pt>
                <c:pt idx="699">
                  <c:v>1.1999999999999999E-3</c:v>
                </c:pt>
                <c:pt idx="700">
                  <c:v>1.1199999999999999E-3</c:v>
                </c:pt>
                <c:pt idx="701">
                  <c:v>1.7899999999999999E-3</c:v>
                </c:pt>
                <c:pt idx="702">
                  <c:v>2.1199999999999999E-3</c:v>
                </c:pt>
                <c:pt idx="703">
                  <c:v>2.16E-3</c:v>
                </c:pt>
                <c:pt idx="704">
                  <c:v>2.4299999999999999E-3</c:v>
                </c:pt>
                <c:pt idx="705">
                  <c:v>2.2100000000000002E-3</c:v>
                </c:pt>
                <c:pt idx="706">
                  <c:v>2.2000000000000001E-3</c:v>
                </c:pt>
                <c:pt idx="707">
                  <c:v>1.89E-3</c:v>
                </c:pt>
                <c:pt idx="708">
                  <c:v>2.0400000000000001E-3</c:v>
                </c:pt>
                <c:pt idx="709">
                  <c:v>2.3400000000000001E-3</c:v>
                </c:pt>
                <c:pt idx="710">
                  <c:v>2.4199999999999998E-3</c:v>
                </c:pt>
                <c:pt idx="711">
                  <c:v>2.3400000000000001E-3</c:v>
                </c:pt>
                <c:pt idx="712">
                  <c:v>2.5899999999999999E-3</c:v>
                </c:pt>
                <c:pt idx="713">
                  <c:v>2.8500000000000001E-3</c:v>
                </c:pt>
                <c:pt idx="714">
                  <c:v>3.16E-3</c:v>
                </c:pt>
                <c:pt idx="715">
                  <c:v>2.7499999999999998E-3</c:v>
                </c:pt>
                <c:pt idx="716">
                  <c:v>2.1700000000000001E-3</c:v>
                </c:pt>
                <c:pt idx="717">
                  <c:v>2.4399999999999999E-3</c:v>
                </c:pt>
                <c:pt idx="718">
                  <c:v>2.65E-3</c:v>
                </c:pt>
                <c:pt idx="719">
                  <c:v>3.0999999999999999E-3</c:v>
                </c:pt>
                <c:pt idx="720">
                  <c:v>2.8700000000000002E-3</c:v>
                </c:pt>
                <c:pt idx="721">
                  <c:v>3.0699999999999998E-3</c:v>
                </c:pt>
                <c:pt idx="722">
                  <c:v>3.1900000000000001E-3</c:v>
                </c:pt>
                <c:pt idx="723">
                  <c:v>3.0000000000000001E-3</c:v>
                </c:pt>
                <c:pt idx="724">
                  <c:v>3.0000000000000001E-3</c:v>
                </c:pt>
                <c:pt idx="725">
                  <c:v>2.5699999999999998E-3</c:v>
                </c:pt>
                <c:pt idx="726">
                  <c:v>3.13E-3</c:v>
                </c:pt>
                <c:pt idx="727">
                  <c:v>3.8400000000000001E-3</c:v>
                </c:pt>
                <c:pt idx="728">
                  <c:v>3.82E-3</c:v>
                </c:pt>
                <c:pt idx="729">
                  <c:v>2.9099999999999998E-3</c:v>
                </c:pt>
                <c:pt idx="730">
                  <c:v>2.81E-3</c:v>
                </c:pt>
                <c:pt idx="731">
                  <c:v>2.2200000000000002E-3</c:v>
                </c:pt>
                <c:pt idx="732">
                  <c:v>1.6999999999999999E-3</c:v>
                </c:pt>
                <c:pt idx="733">
                  <c:v>2.0799999999999998E-3</c:v>
                </c:pt>
                <c:pt idx="734">
                  <c:v>1.56E-3</c:v>
                </c:pt>
                <c:pt idx="735">
                  <c:v>2.2699999999999999E-3</c:v>
                </c:pt>
                <c:pt idx="736">
                  <c:v>2.4099999999999998E-3</c:v>
                </c:pt>
                <c:pt idx="737">
                  <c:v>2.1099999999999999E-3</c:v>
                </c:pt>
                <c:pt idx="738">
                  <c:v>2.47E-3</c:v>
                </c:pt>
                <c:pt idx="739">
                  <c:v>2.32E-3</c:v>
                </c:pt>
                <c:pt idx="740">
                  <c:v>2.3500000000000001E-3</c:v>
                </c:pt>
                <c:pt idx="741">
                  <c:v>2.0999999999999999E-3</c:v>
                </c:pt>
                <c:pt idx="742">
                  <c:v>1.4499999999999999E-3</c:v>
                </c:pt>
                <c:pt idx="743">
                  <c:v>1.97E-3</c:v>
                </c:pt>
                <c:pt idx="744">
                  <c:v>2.8999999999999998E-3</c:v>
                </c:pt>
                <c:pt idx="745">
                  <c:v>3.0300000000000001E-3</c:v>
                </c:pt>
                <c:pt idx="746">
                  <c:v>2.7399999999999998E-3</c:v>
                </c:pt>
                <c:pt idx="747">
                  <c:v>1.9400000000000001E-3</c:v>
                </c:pt>
                <c:pt idx="748">
                  <c:v>2.2000000000000001E-3</c:v>
                </c:pt>
                <c:pt idx="749">
                  <c:v>1.9E-3</c:v>
                </c:pt>
                <c:pt idx="750">
                  <c:v>2.0300000000000001E-3</c:v>
                </c:pt>
                <c:pt idx="751">
                  <c:v>1.6900000000000001E-3</c:v>
                </c:pt>
                <c:pt idx="752">
                  <c:v>1.57E-3</c:v>
                </c:pt>
                <c:pt idx="753">
                  <c:v>1.65E-3</c:v>
                </c:pt>
                <c:pt idx="754">
                  <c:v>1.75E-3</c:v>
                </c:pt>
                <c:pt idx="755">
                  <c:v>2.3500000000000001E-3</c:v>
                </c:pt>
                <c:pt idx="756">
                  <c:v>1.9499999999999999E-3</c:v>
                </c:pt>
                <c:pt idx="757">
                  <c:v>1.9E-3</c:v>
                </c:pt>
                <c:pt idx="758">
                  <c:v>1.5200000000000001E-3</c:v>
                </c:pt>
                <c:pt idx="759">
                  <c:v>1.6900000000000001E-3</c:v>
                </c:pt>
                <c:pt idx="760">
                  <c:v>1.75E-3</c:v>
                </c:pt>
                <c:pt idx="761">
                  <c:v>1.89E-3</c:v>
                </c:pt>
                <c:pt idx="762">
                  <c:v>1.6299999999999999E-3</c:v>
                </c:pt>
                <c:pt idx="763">
                  <c:v>1.72E-3</c:v>
                </c:pt>
                <c:pt idx="764">
                  <c:v>2.3900000000000002E-3</c:v>
                </c:pt>
                <c:pt idx="765">
                  <c:v>2.5799999999999998E-3</c:v>
                </c:pt>
                <c:pt idx="766">
                  <c:v>3.0500000000000002E-3</c:v>
                </c:pt>
                <c:pt idx="767">
                  <c:v>3.0500000000000002E-3</c:v>
                </c:pt>
                <c:pt idx="768">
                  <c:v>3.0899999999999999E-3</c:v>
                </c:pt>
                <c:pt idx="769">
                  <c:v>3.1700000000000001E-3</c:v>
                </c:pt>
                <c:pt idx="770">
                  <c:v>3.8E-3</c:v>
                </c:pt>
                <c:pt idx="771">
                  <c:v>3.7699999999999999E-3</c:v>
                </c:pt>
                <c:pt idx="772">
                  <c:v>3.7699999999999999E-3</c:v>
                </c:pt>
                <c:pt idx="773">
                  <c:v>4.2100000000000002E-3</c:v>
                </c:pt>
                <c:pt idx="774">
                  <c:v>3.8700000000000002E-3</c:v>
                </c:pt>
                <c:pt idx="775">
                  <c:v>3.7499999999999999E-3</c:v>
                </c:pt>
                <c:pt idx="776">
                  <c:v>3.81E-3</c:v>
                </c:pt>
                <c:pt idx="777">
                  <c:v>4.0400000000000002E-3</c:v>
                </c:pt>
                <c:pt idx="778">
                  <c:v>3.9500000000000004E-3</c:v>
                </c:pt>
                <c:pt idx="779">
                  <c:v>3.8899999999999998E-3</c:v>
                </c:pt>
                <c:pt idx="780">
                  <c:v>3.4099999999999998E-3</c:v>
                </c:pt>
                <c:pt idx="781">
                  <c:v>3.1900000000000001E-3</c:v>
                </c:pt>
                <c:pt idx="782">
                  <c:v>3.5799999999999998E-3</c:v>
                </c:pt>
                <c:pt idx="783">
                  <c:v>3.7699999999999999E-3</c:v>
                </c:pt>
                <c:pt idx="784">
                  <c:v>3.8700000000000002E-3</c:v>
                </c:pt>
                <c:pt idx="785">
                  <c:v>4.4000000000000003E-3</c:v>
                </c:pt>
                <c:pt idx="786">
                  <c:v>4.4000000000000003E-3</c:v>
                </c:pt>
                <c:pt idx="787">
                  <c:v>4.1000000000000003E-3</c:v>
                </c:pt>
                <c:pt idx="788">
                  <c:v>4.0099999999999997E-3</c:v>
                </c:pt>
                <c:pt idx="789">
                  <c:v>4.3200000000000001E-3</c:v>
                </c:pt>
                <c:pt idx="790">
                  <c:v>4.3499999999999997E-3</c:v>
                </c:pt>
                <c:pt idx="791">
                  <c:v>4.5199999999999997E-3</c:v>
                </c:pt>
                <c:pt idx="792">
                  <c:v>4.7299999999999998E-3</c:v>
                </c:pt>
                <c:pt idx="793">
                  <c:v>5.3400000000000001E-3</c:v>
                </c:pt>
                <c:pt idx="794">
                  <c:v>5.7099999999999998E-3</c:v>
                </c:pt>
                <c:pt idx="795">
                  <c:v>5.6600000000000001E-3</c:v>
                </c:pt>
                <c:pt idx="796">
                  <c:v>6.7000000000000002E-3</c:v>
                </c:pt>
                <c:pt idx="797">
                  <c:v>7.3200000000000001E-3</c:v>
                </c:pt>
                <c:pt idx="798">
                  <c:v>7.6400000000000001E-3</c:v>
                </c:pt>
                <c:pt idx="799">
                  <c:v>8.1399999999999997E-3</c:v>
                </c:pt>
                <c:pt idx="800">
                  <c:v>7.5500000000000003E-3</c:v>
                </c:pt>
                <c:pt idx="801">
                  <c:v>8.5400000000000007E-3</c:v>
                </c:pt>
                <c:pt idx="802">
                  <c:v>8.77E-3</c:v>
                </c:pt>
                <c:pt idx="803">
                  <c:v>8.8999999999999999E-3</c:v>
                </c:pt>
                <c:pt idx="804">
                  <c:v>9.1199999999999996E-3</c:v>
                </c:pt>
                <c:pt idx="805">
                  <c:v>1.0059999999999999E-2</c:v>
                </c:pt>
                <c:pt idx="806">
                  <c:v>9.4699999999999993E-3</c:v>
                </c:pt>
                <c:pt idx="807">
                  <c:v>9.3299999999999998E-3</c:v>
                </c:pt>
                <c:pt idx="808">
                  <c:v>9.6299999999999997E-3</c:v>
                </c:pt>
                <c:pt idx="809">
                  <c:v>1.001E-2</c:v>
                </c:pt>
                <c:pt idx="810">
                  <c:v>1.008E-2</c:v>
                </c:pt>
                <c:pt idx="811">
                  <c:v>9.4000000000000004E-3</c:v>
                </c:pt>
                <c:pt idx="812">
                  <c:v>9.8600000000000007E-3</c:v>
                </c:pt>
                <c:pt idx="813">
                  <c:v>9.1699999999999993E-3</c:v>
                </c:pt>
                <c:pt idx="814">
                  <c:v>6.96E-3</c:v>
                </c:pt>
                <c:pt idx="815">
                  <c:v>8.1899999999999994E-3</c:v>
                </c:pt>
                <c:pt idx="816">
                  <c:v>8.2900000000000005E-3</c:v>
                </c:pt>
                <c:pt idx="817">
                  <c:v>8.3800000000000003E-3</c:v>
                </c:pt>
                <c:pt idx="818">
                  <c:v>8.8000000000000005E-3</c:v>
                </c:pt>
                <c:pt idx="819">
                  <c:v>9.8499999999999994E-3</c:v>
                </c:pt>
                <c:pt idx="820">
                  <c:v>1.1350000000000001E-2</c:v>
                </c:pt>
                <c:pt idx="821">
                  <c:v>1.261E-2</c:v>
                </c:pt>
                <c:pt idx="822">
                  <c:v>1.2869999999999999E-2</c:v>
                </c:pt>
                <c:pt idx="823">
                  <c:v>1.443E-2</c:v>
                </c:pt>
                <c:pt idx="824">
                  <c:v>1.453E-2</c:v>
                </c:pt>
                <c:pt idx="825">
                  <c:v>1.495E-2</c:v>
                </c:pt>
                <c:pt idx="826">
                  <c:v>1.491E-2</c:v>
                </c:pt>
                <c:pt idx="827">
                  <c:v>1.379E-2</c:v>
                </c:pt>
                <c:pt idx="828">
                  <c:v>1.431E-2</c:v>
                </c:pt>
                <c:pt idx="829">
                  <c:v>1.422E-2</c:v>
                </c:pt>
                <c:pt idx="830">
                  <c:v>1.3469999999999999E-2</c:v>
                </c:pt>
                <c:pt idx="831">
                  <c:v>1.3950000000000001E-2</c:v>
                </c:pt>
                <c:pt idx="832">
                  <c:v>1.4449999999999999E-2</c:v>
                </c:pt>
                <c:pt idx="833">
                  <c:v>1.4330000000000001E-2</c:v>
                </c:pt>
                <c:pt idx="834">
                  <c:v>1.4919999999999999E-2</c:v>
                </c:pt>
                <c:pt idx="835">
                  <c:v>1.545E-2</c:v>
                </c:pt>
                <c:pt idx="836">
                  <c:v>1.452E-2</c:v>
                </c:pt>
                <c:pt idx="837">
                  <c:v>1.4829999999999999E-2</c:v>
                </c:pt>
                <c:pt idx="838">
                  <c:v>1.46E-2</c:v>
                </c:pt>
                <c:pt idx="839">
                  <c:v>1.6080000000000001E-2</c:v>
                </c:pt>
                <c:pt idx="840">
                  <c:v>1.6480000000000002E-2</c:v>
                </c:pt>
                <c:pt idx="841">
                  <c:v>1.6910000000000001E-2</c:v>
                </c:pt>
                <c:pt idx="842">
                  <c:v>1.7299999999999999E-2</c:v>
                </c:pt>
                <c:pt idx="843">
                  <c:v>1.7770000000000001E-2</c:v>
                </c:pt>
                <c:pt idx="844">
                  <c:v>1.7739999999999999E-2</c:v>
                </c:pt>
                <c:pt idx="845">
                  <c:v>1.7260000000000001E-2</c:v>
                </c:pt>
                <c:pt idx="846">
                  <c:v>1.822E-2</c:v>
                </c:pt>
                <c:pt idx="847">
                  <c:v>1.822E-2</c:v>
                </c:pt>
                <c:pt idx="848">
                  <c:v>1.8790000000000001E-2</c:v>
                </c:pt>
                <c:pt idx="849">
                  <c:v>1.8319999999999999E-2</c:v>
                </c:pt>
                <c:pt idx="850">
                  <c:v>1.898E-2</c:v>
                </c:pt>
                <c:pt idx="851">
                  <c:v>1.9349999999999999E-2</c:v>
                </c:pt>
                <c:pt idx="852">
                  <c:v>1.8610000000000002E-2</c:v>
                </c:pt>
                <c:pt idx="853">
                  <c:v>1.8460000000000001E-2</c:v>
                </c:pt>
                <c:pt idx="854">
                  <c:v>1.8380000000000001E-2</c:v>
                </c:pt>
                <c:pt idx="855">
                  <c:v>1.9310000000000001E-2</c:v>
                </c:pt>
                <c:pt idx="856">
                  <c:v>1.9810000000000001E-2</c:v>
                </c:pt>
                <c:pt idx="857">
                  <c:v>2.0060000000000001E-2</c:v>
                </c:pt>
                <c:pt idx="858">
                  <c:v>2.009E-2</c:v>
                </c:pt>
                <c:pt idx="859">
                  <c:v>2.034E-2</c:v>
                </c:pt>
                <c:pt idx="860">
                  <c:v>2.1049999999999999E-2</c:v>
                </c:pt>
                <c:pt idx="861">
                  <c:v>2.214E-2</c:v>
                </c:pt>
                <c:pt idx="862">
                  <c:v>2.23E-2</c:v>
                </c:pt>
                <c:pt idx="863">
                  <c:v>2.1139999999999999E-2</c:v>
                </c:pt>
                <c:pt idx="864">
                  <c:v>2.085E-2</c:v>
                </c:pt>
                <c:pt idx="865">
                  <c:v>1.951E-2</c:v>
                </c:pt>
                <c:pt idx="866">
                  <c:v>2.0140000000000002E-2</c:v>
                </c:pt>
                <c:pt idx="867">
                  <c:v>2.019E-2</c:v>
                </c:pt>
                <c:pt idx="868">
                  <c:v>2.1049999999999999E-2</c:v>
                </c:pt>
                <c:pt idx="869">
                  <c:v>2.0809999999999999E-2</c:v>
                </c:pt>
                <c:pt idx="870">
                  <c:v>2.0039999999999999E-2</c:v>
                </c:pt>
                <c:pt idx="871">
                  <c:v>2.0219999999999998E-2</c:v>
                </c:pt>
                <c:pt idx="872">
                  <c:v>2.077E-2</c:v>
                </c:pt>
                <c:pt idx="873">
                  <c:v>2.043E-2</c:v>
                </c:pt>
                <c:pt idx="874">
                  <c:v>2.01E-2</c:v>
                </c:pt>
                <c:pt idx="875">
                  <c:v>2.0490000000000001E-2</c:v>
                </c:pt>
                <c:pt idx="876">
                  <c:v>2.0140000000000002E-2</c:v>
                </c:pt>
                <c:pt idx="877">
                  <c:v>2.0889999999999999E-2</c:v>
                </c:pt>
                <c:pt idx="878">
                  <c:v>2.1659999999999999E-2</c:v>
                </c:pt>
                <c:pt idx="879">
                  <c:v>2.2339999999999999E-2</c:v>
                </c:pt>
                <c:pt idx="880">
                  <c:v>2.2700000000000001E-2</c:v>
                </c:pt>
                <c:pt idx="881">
                  <c:v>2.3089999999999999E-2</c:v>
                </c:pt>
                <c:pt idx="882">
                  <c:v>2.3619999999999999E-2</c:v>
                </c:pt>
                <c:pt idx="883">
                  <c:v>2.2960000000000001E-2</c:v>
                </c:pt>
                <c:pt idx="884">
                  <c:v>2.3470000000000001E-2</c:v>
                </c:pt>
                <c:pt idx="885">
                  <c:v>2.4639999999999999E-2</c:v>
                </c:pt>
                <c:pt idx="886">
                  <c:v>2.5780000000000001E-2</c:v>
                </c:pt>
                <c:pt idx="887">
                  <c:v>2.742E-2</c:v>
                </c:pt>
                <c:pt idx="888">
                  <c:v>2.8979999999999999E-2</c:v>
                </c:pt>
                <c:pt idx="889">
                  <c:v>2.7150000000000001E-2</c:v>
                </c:pt>
                <c:pt idx="890">
                  <c:v>2.7730000000000001E-2</c:v>
                </c:pt>
                <c:pt idx="891">
                  <c:v>2.6710000000000001E-2</c:v>
                </c:pt>
                <c:pt idx="892">
                  <c:v>2.8049999999999999E-2</c:v>
                </c:pt>
                <c:pt idx="893">
                  <c:v>2.852E-2</c:v>
                </c:pt>
                <c:pt idx="894">
                  <c:v>2.6720000000000001E-2</c:v>
                </c:pt>
                <c:pt idx="895">
                  <c:v>2.4639999999999999E-2</c:v>
                </c:pt>
                <c:pt idx="896">
                  <c:v>2.4719999999999999E-2</c:v>
                </c:pt>
                <c:pt idx="897">
                  <c:v>2.5819999999999999E-2</c:v>
                </c:pt>
                <c:pt idx="898">
                  <c:v>2.6800000000000001E-2</c:v>
                </c:pt>
                <c:pt idx="899">
                  <c:v>2.5510000000000001E-2</c:v>
                </c:pt>
                <c:pt idx="900">
                  <c:v>2.4049999999999998E-2</c:v>
                </c:pt>
                <c:pt idx="901">
                  <c:v>2.2939999999999999E-2</c:v>
                </c:pt>
                <c:pt idx="902">
                  <c:v>2.4119999999999999E-2</c:v>
                </c:pt>
                <c:pt idx="903">
                  <c:v>2.2669999999999999E-2</c:v>
                </c:pt>
                <c:pt idx="904">
                  <c:v>2.2509999999999999E-2</c:v>
                </c:pt>
                <c:pt idx="905">
                  <c:v>2.3630000000000002E-2</c:v>
                </c:pt>
                <c:pt idx="906">
                  <c:v>2.3820000000000001E-2</c:v>
                </c:pt>
                <c:pt idx="907">
                  <c:v>2.2960000000000001E-2</c:v>
                </c:pt>
                <c:pt idx="908">
                  <c:v>2.1909999999999999E-2</c:v>
                </c:pt>
                <c:pt idx="909">
                  <c:v>2.2120000000000001E-2</c:v>
                </c:pt>
                <c:pt idx="910">
                  <c:v>2.2849999999999999E-2</c:v>
                </c:pt>
                <c:pt idx="911">
                  <c:v>2.2630000000000001E-2</c:v>
                </c:pt>
                <c:pt idx="912">
                  <c:v>2.3439999999999999E-2</c:v>
                </c:pt>
                <c:pt idx="913">
                  <c:v>2.3859999999999999E-2</c:v>
                </c:pt>
                <c:pt idx="914">
                  <c:v>2.3789999999999999E-2</c:v>
                </c:pt>
                <c:pt idx="915">
                  <c:v>2.366E-2</c:v>
                </c:pt>
                <c:pt idx="916">
                  <c:v>2.1780000000000001E-2</c:v>
                </c:pt>
                <c:pt idx="917">
                  <c:v>2.1610000000000001E-2</c:v>
                </c:pt>
                <c:pt idx="918">
                  <c:v>2.0660000000000001E-2</c:v>
                </c:pt>
                <c:pt idx="919">
                  <c:v>2.0789999999999999E-2</c:v>
                </c:pt>
                <c:pt idx="920">
                  <c:v>1.9529999999999999E-2</c:v>
                </c:pt>
                <c:pt idx="921">
                  <c:v>1.9359999999999999E-2</c:v>
                </c:pt>
                <c:pt idx="922">
                  <c:v>1.9009999999999999E-2</c:v>
                </c:pt>
                <c:pt idx="923">
                  <c:v>1.9269999999999999E-2</c:v>
                </c:pt>
                <c:pt idx="924">
                  <c:v>1.9650000000000001E-2</c:v>
                </c:pt>
                <c:pt idx="925">
                  <c:v>1.9009999999999999E-2</c:v>
                </c:pt>
                <c:pt idx="926">
                  <c:v>2.009E-2</c:v>
                </c:pt>
                <c:pt idx="927">
                  <c:v>1.9740000000000001E-2</c:v>
                </c:pt>
                <c:pt idx="928">
                  <c:v>2.002E-2</c:v>
                </c:pt>
                <c:pt idx="929">
                  <c:v>1.9699999999999999E-2</c:v>
                </c:pt>
                <c:pt idx="930">
                  <c:v>2.0729999999999998E-2</c:v>
                </c:pt>
                <c:pt idx="931">
                  <c:v>2.0740000000000001E-2</c:v>
                </c:pt>
                <c:pt idx="932">
                  <c:v>1.9879999999999998E-2</c:v>
                </c:pt>
                <c:pt idx="933">
                  <c:v>2.061E-2</c:v>
                </c:pt>
                <c:pt idx="934">
                  <c:v>2.179E-2</c:v>
                </c:pt>
                <c:pt idx="935">
                  <c:v>2.1989999999999999E-2</c:v>
                </c:pt>
                <c:pt idx="936">
                  <c:v>2.3310000000000001E-2</c:v>
                </c:pt>
                <c:pt idx="937">
                  <c:v>2.333E-2</c:v>
                </c:pt>
                <c:pt idx="938">
                  <c:v>2.061E-2</c:v>
                </c:pt>
                <c:pt idx="939">
                  <c:v>2.179E-2</c:v>
                </c:pt>
                <c:pt idx="940">
                  <c:v>2.1989999999999999E-2</c:v>
                </c:pt>
                <c:pt idx="941">
                  <c:v>2.3310000000000001E-2</c:v>
                </c:pt>
                <c:pt idx="942">
                  <c:v>2.333E-2</c:v>
                </c:pt>
                <c:pt idx="943">
                  <c:v>2.4420000000000001E-2</c:v>
                </c:pt>
                <c:pt idx="944">
                  <c:v>2.5080000000000002E-2</c:v>
                </c:pt>
                <c:pt idx="945">
                  <c:v>2.4539999999999999E-2</c:v>
                </c:pt>
                <c:pt idx="946">
                  <c:v>2.5389999999999999E-2</c:v>
                </c:pt>
                <c:pt idx="947">
                  <c:v>2.6419999999999999E-2</c:v>
                </c:pt>
                <c:pt idx="948">
                  <c:v>2.6550000000000001E-2</c:v>
                </c:pt>
                <c:pt idx="949">
                  <c:v>2.6769999999999999E-2</c:v>
                </c:pt>
                <c:pt idx="950">
                  <c:v>2.7089999999999999E-2</c:v>
                </c:pt>
                <c:pt idx="951">
                  <c:v>2.6839999999999999E-2</c:v>
                </c:pt>
                <c:pt idx="952">
                  <c:v>2.7140000000000001E-2</c:v>
                </c:pt>
                <c:pt idx="953">
                  <c:v>2.751E-2</c:v>
                </c:pt>
                <c:pt idx="954">
                  <c:v>2.682E-2</c:v>
                </c:pt>
                <c:pt idx="955">
                  <c:v>2.792E-2</c:v>
                </c:pt>
                <c:pt idx="956">
                  <c:v>2.8080000000000001E-2</c:v>
                </c:pt>
                <c:pt idx="957">
                  <c:v>2.7629999999999998E-2</c:v>
                </c:pt>
                <c:pt idx="958">
                  <c:v>2.828E-2</c:v>
                </c:pt>
                <c:pt idx="959">
                  <c:v>2.8209999999999999E-2</c:v>
                </c:pt>
                <c:pt idx="960">
                  <c:v>2.86E-2</c:v>
                </c:pt>
                <c:pt idx="961">
                  <c:v>2.8500000000000001E-2</c:v>
                </c:pt>
                <c:pt idx="962">
                  <c:v>2.9100000000000001E-2</c:v>
                </c:pt>
                <c:pt idx="963">
                  <c:v>3.1210000000000002E-2</c:v>
                </c:pt>
                <c:pt idx="964">
                  <c:v>3.0550000000000001E-2</c:v>
                </c:pt>
                <c:pt idx="965">
                  <c:v>3.125E-2</c:v>
                </c:pt>
                <c:pt idx="966">
                  <c:v>3.2000000000000001E-2</c:v>
                </c:pt>
                <c:pt idx="967">
                  <c:v>3.3300000000000003E-2</c:v>
                </c:pt>
                <c:pt idx="968">
                  <c:v>3.465E-2</c:v>
                </c:pt>
                <c:pt idx="969">
                  <c:v>3.4029999999999998E-2</c:v>
                </c:pt>
                <c:pt idx="970">
                  <c:v>3.4709999999999998E-2</c:v>
                </c:pt>
                <c:pt idx="971">
                  <c:v>3.3579999999999999E-2</c:v>
                </c:pt>
                <c:pt idx="972">
                  <c:v>3.1449999999999999E-2</c:v>
                </c:pt>
                <c:pt idx="973">
                  <c:v>3.108E-2</c:v>
                </c:pt>
                <c:pt idx="974">
                  <c:v>3.2899999999999999E-2</c:v>
                </c:pt>
                <c:pt idx="975">
                  <c:v>3.3489999999999999E-2</c:v>
                </c:pt>
                <c:pt idx="976">
                  <c:v>3.4750000000000003E-2</c:v>
                </c:pt>
                <c:pt idx="977">
                  <c:v>3.5950000000000003E-2</c:v>
                </c:pt>
                <c:pt idx="978">
                  <c:v>3.5680000000000003E-2</c:v>
                </c:pt>
                <c:pt idx="979">
                  <c:v>3.5999999999999997E-2</c:v>
                </c:pt>
                <c:pt idx="980">
                  <c:v>3.56E-2</c:v>
                </c:pt>
                <c:pt idx="981">
                  <c:v>3.6310000000000002E-2</c:v>
                </c:pt>
                <c:pt idx="982">
                  <c:v>3.5589999999999997E-2</c:v>
                </c:pt>
                <c:pt idx="983">
                  <c:v>3.5569999999999997E-2</c:v>
                </c:pt>
                <c:pt idx="984">
                  <c:v>3.6519999999999997E-2</c:v>
                </c:pt>
                <c:pt idx="985">
                  <c:v>3.6740000000000002E-2</c:v>
                </c:pt>
                <c:pt idx="986">
                  <c:v>3.7650000000000003E-2</c:v>
                </c:pt>
                <c:pt idx="987">
                  <c:v>3.6729999999999999E-2</c:v>
                </c:pt>
                <c:pt idx="988">
                  <c:v>3.5569999999999997E-2</c:v>
                </c:pt>
                <c:pt idx="989">
                  <c:v>3.5349999999999999E-2</c:v>
                </c:pt>
                <c:pt idx="990">
                  <c:v>3.3550000000000003E-2</c:v>
                </c:pt>
                <c:pt idx="991">
                  <c:v>3.5139999999999998E-2</c:v>
                </c:pt>
                <c:pt idx="992">
                  <c:v>3.5819999999999998E-2</c:v>
                </c:pt>
                <c:pt idx="993">
                  <c:v>3.585E-2</c:v>
                </c:pt>
                <c:pt idx="994">
                  <c:v>3.5929999999999997E-2</c:v>
                </c:pt>
                <c:pt idx="995">
                  <c:v>3.6970000000000003E-2</c:v>
                </c:pt>
                <c:pt idx="996">
                  <c:v>3.7530000000000001E-2</c:v>
                </c:pt>
                <c:pt idx="997">
                  <c:v>3.764E-2</c:v>
                </c:pt>
                <c:pt idx="998">
                  <c:v>3.6830000000000002E-2</c:v>
                </c:pt>
                <c:pt idx="999">
                  <c:v>3.5810000000000002E-2</c:v>
                </c:pt>
                <c:pt idx="1000">
                  <c:v>3.3779999999999998E-2</c:v>
                </c:pt>
                <c:pt idx="1001">
                  <c:v>3.5540000000000002E-2</c:v>
                </c:pt>
                <c:pt idx="1002">
                  <c:v>3.542E-2</c:v>
                </c:pt>
                <c:pt idx="1003">
                  <c:v>3.4810000000000001E-2</c:v>
                </c:pt>
                <c:pt idx="1004">
                  <c:v>3.3239999999999999E-2</c:v>
                </c:pt>
                <c:pt idx="1005">
                  <c:v>3.2579999999999998E-2</c:v>
                </c:pt>
                <c:pt idx="1006">
                  <c:v>3.2489999999999998E-2</c:v>
                </c:pt>
                <c:pt idx="1007">
                  <c:v>3.236E-2</c:v>
                </c:pt>
                <c:pt idx="1008">
                  <c:v>3.2379999999999999E-2</c:v>
                </c:pt>
                <c:pt idx="1009">
                  <c:v>3.1789999999999999E-2</c:v>
                </c:pt>
                <c:pt idx="1010">
                  <c:v>3.0779999999999998E-2</c:v>
                </c:pt>
                <c:pt idx="1011">
                  <c:v>3.2099999999999997E-2</c:v>
                </c:pt>
                <c:pt idx="1012">
                  <c:v>3.218E-2</c:v>
                </c:pt>
                <c:pt idx="1013">
                  <c:v>3.1809999999999998E-2</c:v>
                </c:pt>
                <c:pt idx="1014">
                  <c:v>3.1890000000000002E-2</c:v>
                </c:pt>
                <c:pt idx="1015">
                  <c:v>3.0530000000000002E-2</c:v>
                </c:pt>
                <c:pt idx="1016">
                  <c:v>3.083E-2</c:v>
                </c:pt>
                <c:pt idx="1017">
                  <c:v>3.0980000000000001E-2</c:v>
                </c:pt>
                <c:pt idx="1018">
                  <c:v>3.0470000000000001E-2</c:v>
                </c:pt>
                <c:pt idx="1019">
                  <c:v>3.024E-2</c:v>
                </c:pt>
                <c:pt idx="1020">
                  <c:v>3.056E-2</c:v>
                </c:pt>
                <c:pt idx="1021">
                  <c:v>3.1710000000000002E-2</c:v>
                </c:pt>
                <c:pt idx="1022">
                  <c:v>3.1730000000000001E-2</c:v>
                </c:pt>
                <c:pt idx="1023">
                  <c:v>3.168E-2</c:v>
                </c:pt>
                <c:pt idx="1024">
                  <c:v>3.193E-2</c:v>
                </c:pt>
                <c:pt idx="1025">
                  <c:v>3.363E-2</c:v>
                </c:pt>
                <c:pt idx="1026">
                  <c:v>3.4660000000000003E-2</c:v>
                </c:pt>
                <c:pt idx="1027">
                  <c:v>3.4909999999999997E-2</c:v>
                </c:pt>
                <c:pt idx="1028">
                  <c:v>3.6049999999999999E-2</c:v>
                </c:pt>
                <c:pt idx="1029">
                  <c:v>3.6110000000000003E-2</c:v>
                </c:pt>
                <c:pt idx="1030">
                  <c:v>3.6700000000000003E-2</c:v>
                </c:pt>
                <c:pt idx="1031">
                  <c:v>3.7139999999999999E-2</c:v>
                </c:pt>
                <c:pt idx="1032">
                  <c:v>3.8030000000000001E-2</c:v>
                </c:pt>
                <c:pt idx="1033">
                  <c:v>3.7580000000000002E-2</c:v>
                </c:pt>
                <c:pt idx="1034">
                  <c:v>3.6819999999999999E-2</c:v>
                </c:pt>
                <c:pt idx="1035">
                  <c:v>3.8210000000000001E-2</c:v>
                </c:pt>
                <c:pt idx="1036">
                  <c:v>3.705E-2</c:v>
                </c:pt>
                <c:pt idx="1037">
                  <c:v>3.6600000000000001E-2</c:v>
                </c:pt>
                <c:pt idx="1038">
                  <c:v>3.5720000000000002E-2</c:v>
                </c:pt>
                <c:pt idx="1039">
                  <c:v>3.5790000000000002E-2</c:v>
                </c:pt>
                <c:pt idx="1040">
                  <c:v>3.5180000000000003E-2</c:v>
                </c:pt>
                <c:pt idx="1041">
                  <c:v>3.5090000000000003E-2</c:v>
                </c:pt>
                <c:pt idx="1042">
                  <c:v>3.5549999999999998E-2</c:v>
                </c:pt>
                <c:pt idx="1043">
                  <c:v>3.363E-2</c:v>
                </c:pt>
                <c:pt idx="1044">
                  <c:v>3.2689999999999997E-2</c:v>
                </c:pt>
                <c:pt idx="1045">
                  <c:v>3.2770000000000001E-2</c:v>
                </c:pt>
                <c:pt idx="1046">
                  <c:v>3.2840000000000001E-2</c:v>
                </c:pt>
                <c:pt idx="1047">
                  <c:v>3.1649999999999998E-2</c:v>
                </c:pt>
                <c:pt idx="1048">
                  <c:v>3.065E-2</c:v>
                </c:pt>
                <c:pt idx="1049">
                  <c:v>3.1029999999999999E-2</c:v>
                </c:pt>
                <c:pt idx="1050">
                  <c:v>3.2390000000000002E-2</c:v>
                </c:pt>
                <c:pt idx="1051">
                  <c:v>3.3070000000000002E-2</c:v>
                </c:pt>
                <c:pt idx="1052">
                  <c:v>3.2579999999999998E-2</c:v>
                </c:pt>
                <c:pt idx="1053">
                  <c:v>3.2840000000000001E-2</c:v>
                </c:pt>
                <c:pt idx="1054">
                  <c:v>3.3739999999999999E-2</c:v>
                </c:pt>
                <c:pt idx="1055">
                  <c:v>3.4180000000000002E-2</c:v>
                </c:pt>
                <c:pt idx="1056">
                  <c:v>3.5200000000000002E-2</c:v>
                </c:pt>
                <c:pt idx="1057">
                  <c:v>3.5090000000000003E-2</c:v>
                </c:pt>
                <c:pt idx="1058">
                  <c:v>3.4209999999999997E-2</c:v>
                </c:pt>
                <c:pt idx="1059">
                  <c:v>3.1309999999999998E-2</c:v>
                </c:pt>
                <c:pt idx="1060">
                  <c:v>3.3119999999999997E-2</c:v>
                </c:pt>
                <c:pt idx="1061">
                  <c:v>3.3989999999999999E-2</c:v>
                </c:pt>
                <c:pt idx="1062">
                  <c:v>3.431E-2</c:v>
                </c:pt>
                <c:pt idx="1063">
                  <c:v>3.4540000000000001E-2</c:v>
                </c:pt>
                <c:pt idx="1064">
                  <c:v>3.4009999999999999E-2</c:v>
                </c:pt>
                <c:pt idx="1065">
                  <c:v>3.4880000000000001E-2</c:v>
                </c:pt>
                <c:pt idx="1066">
                  <c:v>3.4790000000000001E-2</c:v>
                </c:pt>
                <c:pt idx="1067">
                  <c:v>3.5720000000000002E-2</c:v>
                </c:pt>
                <c:pt idx="1068">
                  <c:v>3.6269999999999997E-2</c:v>
                </c:pt>
                <c:pt idx="1069">
                  <c:v>3.6510000000000001E-2</c:v>
                </c:pt>
                <c:pt idx="1070">
                  <c:v>3.6049999999999999E-2</c:v>
                </c:pt>
                <c:pt idx="1071">
                  <c:v>3.637E-2</c:v>
                </c:pt>
                <c:pt idx="1072">
                  <c:v>3.7249999999999998E-2</c:v>
                </c:pt>
                <c:pt idx="1073">
                  <c:v>3.7190000000000001E-2</c:v>
                </c:pt>
                <c:pt idx="1074">
                  <c:v>3.6749999999999998E-2</c:v>
                </c:pt>
                <c:pt idx="1075">
                  <c:v>3.7350000000000001E-2</c:v>
                </c:pt>
                <c:pt idx="1076">
                  <c:v>3.7830000000000003E-2</c:v>
                </c:pt>
                <c:pt idx="1077">
                  <c:v>3.8260000000000002E-2</c:v>
                </c:pt>
                <c:pt idx="1078">
                  <c:v>3.8710000000000001E-2</c:v>
                </c:pt>
                <c:pt idx="1079">
                  <c:v>3.8949999999999999E-2</c:v>
                </c:pt>
                <c:pt idx="1080">
                  <c:v>3.8510000000000003E-2</c:v>
                </c:pt>
                <c:pt idx="1081">
                  <c:v>3.8809999999999997E-2</c:v>
                </c:pt>
                <c:pt idx="1082">
                  <c:v>3.8150000000000003E-2</c:v>
                </c:pt>
                <c:pt idx="1083">
                  <c:v>3.7560000000000003E-2</c:v>
                </c:pt>
                <c:pt idx="1084">
                  <c:v>3.7100000000000001E-2</c:v>
                </c:pt>
                <c:pt idx="1085">
                  <c:v>3.5729999999999998E-2</c:v>
                </c:pt>
                <c:pt idx="1086">
                  <c:v>3.3660000000000002E-2</c:v>
                </c:pt>
                <c:pt idx="1087">
                  <c:v>3.5099999999999999E-2</c:v>
                </c:pt>
                <c:pt idx="1088">
                  <c:v>3.2770000000000001E-2</c:v>
                </c:pt>
                <c:pt idx="1089">
                  <c:v>3.4549999999999997E-2</c:v>
                </c:pt>
                <c:pt idx="1090">
                  <c:v>3.2739999999999998E-2</c:v>
                </c:pt>
                <c:pt idx="1091">
                  <c:v>3.2770000000000001E-2</c:v>
                </c:pt>
                <c:pt idx="1092">
                  <c:v>3.4090000000000002E-2</c:v>
                </c:pt>
                <c:pt idx="1093">
                  <c:v>3.4639999999999997E-2</c:v>
                </c:pt>
                <c:pt idx="1094">
                  <c:v>3.3169999999999998E-2</c:v>
                </c:pt>
                <c:pt idx="1095">
                  <c:v>3.2259999999999997E-2</c:v>
                </c:pt>
                <c:pt idx="1096">
                  <c:v>3.3340000000000002E-2</c:v>
                </c:pt>
                <c:pt idx="1097">
                  <c:v>3.3590000000000002E-2</c:v>
                </c:pt>
                <c:pt idx="1098">
                  <c:v>3.3930000000000002E-2</c:v>
                </c:pt>
                <c:pt idx="1099">
                  <c:v>3.4000000000000002E-2</c:v>
                </c:pt>
                <c:pt idx="1100">
                  <c:v>3.3029999999999997E-2</c:v>
                </c:pt>
                <c:pt idx="1101">
                  <c:v>3.2460000000000003E-2</c:v>
                </c:pt>
                <c:pt idx="1102">
                  <c:v>3.2559999999999999E-2</c:v>
                </c:pt>
                <c:pt idx="1103">
                  <c:v>3.1489999999999997E-2</c:v>
                </c:pt>
                <c:pt idx="1104">
                  <c:v>3.1699999999999999E-2</c:v>
                </c:pt>
                <c:pt idx="1105">
                  <c:v>3.2890000000000003E-2</c:v>
                </c:pt>
                <c:pt idx="1106">
                  <c:v>3.304E-2</c:v>
                </c:pt>
                <c:pt idx="1107">
                  <c:v>3.2939999999999997E-2</c:v>
                </c:pt>
                <c:pt idx="1108">
                  <c:v>3.347E-2</c:v>
                </c:pt>
                <c:pt idx="1109">
                  <c:v>3.3689999999999998E-2</c:v>
                </c:pt>
                <c:pt idx="1110">
                  <c:v>3.372E-2</c:v>
                </c:pt>
                <c:pt idx="1111">
                  <c:v>3.4130000000000001E-2</c:v>
                </c:pt>
                <c:pt idx="1112">
                  <c:v>3.3360000000000001E-2</c:v>
                </c:pt>
                <c:pt idx="1113">
                  <c:v>3.3919999999999999E-2</c:v>
                </c:pt>
                <c:pt idx="1114">
                  <c:v>3.4180000000000002E-2</c:v>
                </c:pt>
                <c:pt idx="1115">
                  <c:v>3.2809999999999999E-2</c:v>
                </c:pt>
                <c:pt idx="1116">
                  <c:v>3.2849999999999997E-2</c:v>
                </c:pt>
                <c:pt idx="1117">
                  <c:v>3.3160000000000002E-2</c:v>
                </c:pt>
                <c:pt idx="1118">
                  <c:v>3.168E-2</c:v>
                </c:pt>
                <c:pt idx="1119">
                  <c:v>3.1609999999999999E-2</c:v>
                </c:pt>
                <c:pt idx="1120">
                  <c:v>3.1440000000000003E-2</c:v>
                </c:pt>
                <c:pt idx="1121">
                  <c:v>3.09E-2</c:v>
                </c:pt>
                <c:pt idx="1122">
                  <c:v>3.177E-2</c:v>
                </c:pt>
                <c:pt idx="1123">
                  <c:v>3.236E-2</c:v>
                </c:pt>
                <c:pt idx="1124">
                  <c:v>3.2439999999999997E-2</c:v>
                </c:pt>
                <c:pt idx="1125">
                  <c:v>3.1960000000000002E-2</c:v>
                </c:pt>
                <c:pt idx="1126">
                  <c:v>3.1280000000000002E-2</c:v>
                </c:pt>
                <c:pt idx="1127">
                  <c:v>3.1980000000000001E-2</c:v>
                </c:pt>
                <c:pt idx="1128">
                  <c:v>3.2079999999999997E-2</c:v>
                </c:pt>
                <c:pt idx="1129">
                  <c:v>3.2439999999999997E-2</c:v>
                </c:pt>
                <c:pt idx="1130">
                  <c:v>3.243E-2</c:v>
                </c:pt>
                <c:pt idx="1131">
                  <c:v>3.3939999999999998E-2</c:v>
                </c:pt>
                <c:pt idx="1132">
                  <c:v>3.3579999999999999E-2</c:v>
                </c:pt>
                <c:pt idx="1133">
                  <c:v>3.3779999999999998E-2</c:v>
                </c:pt>
                <c:pt idx="1134">
                  <c:v>3.3950000000000001E-2</c:v>
                </c:pt>
                <c:pt idx="1135">
                  <c:v>3.3759999999999998E-2</c:v>
                </c:pt>
                <c:pt idx="1136">
                  <c:v>3.4270000000000002E-2</c:v>
                </c:pt>
                <c:pt idx="1137">
                  <c:v>3.4500000000000003E-2</c:v>
                </c:pt>
                <c:pt idx="1138">
                  <c:v>3.3430000000000001E-2</c:v>
                </c:pt>
                <c:pt idx="1139">
                  <c:v>3.2750000000000001E-2</c:v>
                </c:pt>
                <c:pt idx="1140">
                  <c:v>3.2320000000000002E-2</c:v>
                </c:pt>
                <c:pt idx="1141">
                  <c:v>3.1899999999999998E-2</c:v>
                </c:pt>
                <c:pt idx="1142">
                  <c:v>3.245E-2</c:v>
                </c:pt>
                <c:pt idx="1143">
                  <c:v>3.304E-2</c:v>
                </c:pt>
                <c:pt idx="1144">
                  <c:v>3.2980000000000002E-2</c:v>
                </c:pt>
                <c:pt idx="1145">
                  <c:v>3.4020000000000002E-2</c:v>
                </c:pt>
                <c:pt idx="1146">
                  <c:v>3.3410000000000002E-2</c:v>
                </c:pt>
                <c:pt idx="1147">
                  <c:v>3.3140000000000003E-2</c:v>
                </c:pt>
                <c:pt idx="1148">
                  <c:v>3.3070000000000002E-2</c:v>
                </c:pt>
                <c:pt idx="1149">
                  <c:v>3.3550000000000003E-2</c:v>
                </c:pt>
                <c:pt idx="1150">
                  <c:v>3.4040000000000001E-2</c:v>
                </c:pt>
                <c:pt idx="1151">
                  <c:v>3.5159999999999997E-2</c:v>
                </c:pt>
                <c:pt idx="1152">
                  <c:v>3.4750000000000003E-2</c:v>
                </c:pt>
                <c:pt idx="1153">
                  <c:v>3.6020000000000003E-2</c:v>
                </c:pt>
                <c:pt idx="1154">
                  <c:v>3.4590000000000003E-2</c:v>
                </c:pt>
                <c:pt idx="1155">
                  <c:v>3.4619999999999998E-2</c:v>
                </c:pt>
                <c:pt idx="1156">
                  <c:v>3.4479999999999997E-2</c:v>
                </c:pt>
                <c:pt idx="1157">
                  <c:v>3.2770000000000001E-2</c:v>
                </c:pt>
                <c:pt idx="1158">
                  <c:v>3.2259999999999997E-2</c:v>
                </c:pt>
                <c:pt idx="1159">
                  <c:v>3.2719999999999999E-2</c:v>
                </c:pt>
                <c:pt idx="1160">
                  <c:v>3.2320000000000002E-2</c:v>
                </c:pt>
                <c:pt idx="1161">
                  <c:v>3.3160000000000002E-2</c:v>
                </c:pt>
                <c:pt idx="1162">
                  <c:v>3.2770000000000001E-2</c:v>
                </c:pt>
                <c:pt idx="1163">
                  <c:v>3.3210000000000003E-2</c:v>
                </c:pt>
                <c:pt idx="1164">
                  <c:v>3.347E-2</c:v>
                </c:pt>
                <c:pt idx="1165">
                  <c:v>3.372E-2</c:v>
                </c:pt>
                <c:pt idx="1166">
                  <c:v>3.5249999999999997E-2</c:v>
                </c:pt>
                <c:pt idx="1167">
                  <c:v>3.5200000000000002E-2</c:v>
                </c:pt>
                <c:pt idx="1168">
                  <c:v>3.5220000000000001E-2</c:v>
                </c:pt>
                <c:pt idx="1169">
                  <c:v>3.5439999999999999E-2</c:v>
                </c:pt>
                <c:pt idx="1170">
                  <c:v>3.4340000000000002E-2</c:v>
                </c:pt>
                <c:pt idx="1171">
                  <c:v>3.3399999999999999E-2</c:v>
                </c:pt>
                <c:pt idx="1172">
                  <c:v>3.456E-2</c:v>
                </c:pt>
                <c:pt idx="1173">
                  <c:v>3.4029999999999998E-2</c:v>
                </c:pt>
                <c:pt idx="1174">
                  <c:v>3.3090000000000001E-2</c:v>
                </c:pt>
                <c:pt idx="1175">
                  <c:v>3.3439999999999998E-2</c:v>
                </c:pt>
                <c:pt idx="1176">
                  <c:v>3.4139999999999997E-2</c:v>
                </c:pt>
                <c:pt idx="1177">
                  <c:v>3.3790000000000001E-2</c:v>
                </c:pt>
                <c:pt idx="1178">
                  <c:v>3.3369999999999997E-2</c:v>
                </c:pt>
                <c:pt idx="1179">
                  <c:v>3.3320000000000002E-2</c:v>
                </c:pt>
                <c:pt idx="1180">
                  <c:v>3.3739999999999999E-2</c:v>
                </c:pt>
                <c:pt idx="1181">
                  <c:v>3.3520000000000001E-2</c:v>
                </c:pt>
                <c:pt idx="1182">
                  <c:v>3.3759999999999998E-2</c:v>
                </c:pt>
                <c:pt idx="1183">
                  <c:v>3.3649999999999999E-2</c:v>
                </c:pt>
                <c:pt idx="1184">
                  <c:v>3.4689999999999999E-2</c:v>
                </c:pt>
                <c:pt idx="1185">
                  <c:v>3.4459999999999998E-2</c:v>
                </c:pt>
                <c:pt idx="1186">
                  <c:v>3.517E-2</c:v>
                </c:pt>
                <c:pt idx="1187">
                  <c:v>3.4889999999999997E-2</c:v>
                </c:pt>
                <c:pt idx="1188">
                  <c:v>3.5290000000000002E-2</c:v>
                </c:pt>
                <c:pt idx="1189">
                  <c:v>3.4410000000000003E-2</c:v>
                </c:pt>
                <c:pt idx="1190">
                  <c:v>3.4720000000000001E-2</c:v>
                </c:pt>
                <c:pt idx="1191">
                  <c:v>3.4880000000000001E-2</c:v>
                </c:pt>
                <c:pt idx="1192">
                  <c:v>3.576E-2</c:v>
                </c:pt>
                <c:pt idx="1193">
                  <c:v>3.5920000000000001E-2</c:v>
                </c:pt>
                <c:pt idx="1194">
                  <c:v>3.6479999999999999E-2</c:v>
                </c:pt>
                <c:pt idx="1195">
                  <c:v>3.6229999999999998E-2</c:v>
                </c:pt>
                <c:pt idx="1196">
                  <c:v>3.687E-2</c:v>
                </c:pt>
                <c:pt idx="1197">
                  <c:v>3.601E-2</c:v>
                </c:pt>
                <c:pt idx="1198">
                  <c:v>3.6760000000000001E-2</c:v>
                </c:pt>
                <c:pt idx="1199">
                  <c:v>3.6130000000000002E-2</c:v>
                </c:pt>
                <c:pt idx="1200">
                  <c:v>3.4869999999999998E-2</c:v>
                </c:pt>
                <c:pt idx="1201">
                  <c:v>3.4849999999999999E-2</c:v>
                </c:pt>
                <c:pt idx="1202">
                  <c:v>3.5400000000000001E-2</c:v>
                </c:pt>
                <c:pt idx="1203">
                  <c:v>3.5529999999999999E-2</c:v>
                </c:pt>
                <c:pt idx="1204">
                  <c:v>3.4869999999999998E-2</c:v>
                </c:pt>
                <c:pt idx="1205">
                  <c:v>3.5409999999999997E-2</c:v>
                </c:pt>
                <c:pt idx="1206">
                  <c:v>3.4360000000000002E-2</c:v>
                </c:pt>
                <c:pt idx="1207">
                  <c:v>3.431E-2</c:v>
                </c:pt>
                <c:pt idx="1208">
                  <c:v>3.4720000000000001E-2</c:v>
                </c:pt>
                <c:pt idx="1209">
                  <c:v>3.5150000000000001E-2</c:v>
                </c:pt>
                <c:pt idx="1210">
                  <c:v>3.5659999999999997E-2</c:v>
                </c:pt>
                <c:pt idx="1211">
                  <c:v>3.5209999999999998E-2</c:v>
                </c:pt>
                <c:pt idx="1212">
                  <c:v>3.5249999999999997E-2</c:v>
                </c:pt>
                <c:pt idx="1213">
                  <c:v>3.5520000000000003E-2</c:v>
                </c:pt>
                <c:pt idx="1214">
                  <c:v>3.5560000000000001E-2</c:v>
                </c:pt>
                <c:pt idx="1215">
                  <c:v>3.5740000000000001E-2</c:v>
                </c:pt>
                <c:pt idx="1216">
                  <c:v>3.508E-2</c:v>
                </c:pt>
                <c:pt idx="1217">
                  <c:v>3.6069999999999998E-2</c:v>
                </c:pt>
                <c:pt idx="1218">
                  <c:v>3.6420000000000001E-2</c:v>
                </c:pt>
                <c:pt idx="1219">
                  <c:v>3.6679999999999997E-2</c:v>
                </c:pt>
                <c:pt idx="1220">
                  <c:v>3.6249999999999998E-2</c:v>
                </c:pt>
                <c:pt idx="1221">
                  <c:v>3.6610000000000004E-2</c:v>
                </c:pt>
                <c:pt idx="1222">
                  <c:v>3.6799999999999999E-2</c:v>
                </c:pt>
                <c:pt idx="1223">
                  <c:v>3.737E-2</c:v>
                </c:pt>
                <c:pt idx="1224">
                  <c:v>3.7559999999999996E-2</c:v>
                </c:pt>
              </c:numCache>
            </c:numRef>
          </c:val>
          <c:smooth val="0"/>
          <c:extLst>
            <c:ext xmlns:c16="http://schemas.microsoft.com/office/drawing/2014/chart" uri="{C3380CC4-5D6E-409C-BE32-E72D297353CC}">
              <c16:uniqueId val="{00000001-C402-47E0-91B1-CC5F1ADD356C}"/>
            </c:ext>
          </c:extLst>
        </c:ser>
        <c:dLbls>
          <c:showLegendKey val="0"/>
          <c:showVal val="0"/>
          <c:showCatName val="0"/>
          <c:showSerName val="0"/>
          <c:showPercent val="0"/>
          <c:showBubbleSize val="0"/>
        </c:dLbls>
        <c:marker val="1"/>
        <c:smooth val="0"/>
        <c:axId val="215320448"/>
        <c:axId val="215321984"/>
      </c:lineChart>
      <c:dateAx>
        <c:axId val="215320448"/>
        <c:scaling>
          <c:orientation val="minMax"/>
          <c:min val="43466"/>
        </c:scaling>
        <c:delete val="0"/>
        <c:axPos val="b"/>
        <c:numFmt formatCode="dd/mm/yyyy;@" sourceLinked="1"/>
        <c:majorTickMark val="out"/>
        <c:minorTickMark val="none"/>
        <c:tickLblPos val="nextTo"/>
        <c:txPr>
          <a:bodyPr rot="-5400000" vert="horz"/>
          <a:lstStyle/>
          <a:p>
            <a:pPr>
              <a:defRPr/>
            </a:pPr>
            <a:endParaRPr lang="en-US"/>
          </a:p>
        </c:txPr>
        <c:crossAx val="215321984"/>
        <c:crossesAt val="-1.0000000000000002E-2"/>
        <c:auto val="0"/>
        <c:lblOffset val="100"/>
        <c:baseTimeUnit val="days"/>
        <c:majorUnit val="2"/>
        <c:majorTimeUnit val="months"/>
      </c:dateAx>
      <c:valAx>
        <c:axId val="215321984"/>
        <c:scaling>
          <c:orientation val="minMax"/>
        </c:scaling>
        <c:delete val="0"/>
        <c:axPos val="l"/>
        <c:majorGridlines>
          <c:spPr>
            <a:ln w="6350">
              <a:prstDash val="dash"/>
            </a:ln>
          </c:spPr>
        </c:majorGridlines>
        <c:title>
          <c:tx>
            <c:rich>
              <a:bodyPr rot="0" vert="horz"/>
              <a:lstStyle/>
              <a:p>
                <a:pPr>
                  <a:defRPr sz="1000" b="0"/>
                </a:pPr>
                <a:r>
                  <a:rPr lang="sl-SI" sz="1000" b="0" dirty="0"/>
                  <a:t>%</a:t>
                </a:r>
              </a:p>
            </c:rich>
          </c:tx>
          <c:layout>
            <c:manualLayout>
              <c:xMode val="edge"/>
              <c:yMode val="edge"/>
              <c:x val="9.692364843283478E-3"/>
              <c:y val="1.1014545372030225E-2"/>
            </c:manualLayout>
          </c:layout>
          <c:overlay val="0"/>
        </c:title>
        <c:numFmt formatCode="0.0%" sourceLinked="0"/>
        <c:majorTickMark val="out"/>
        <c:minorTickMark val="none"/>
        <c:tickLblPos val="nextTo"/>
        <c:crossAx val="215320448"/>
        <c:crosses val="autoZero"/>
        <c:crossBetween val="between"/>
      </c:valAx>
      <c:valAx>
        <c:axId val="215324160"/>
        <c:scaling>
          <c:orientation val="minMax"/>
          <c:max val="140"/>
        </c:scaling>
        <c:delete val="0"/>
        <c:axPos val="r"/>
        <c:title>
          <c:tx>
            <c:rich>
              <a:bodyPr rot="0" vert="horz"/>
              <a:lstStyle/>
              <a:p>
                <a:pPr>
                  <a:defRPr b="0"/>
                </a:pPr>
                <a:r>
                  <a:rPr lang="sl-SI" sz="1000" b="0" dirty="0" err="1"/>
                  <a:t>bt</a:t>
                </a:r>
                <a:endParaRPr lang="sl-SI" sz="1000" b="0" dirty="0"/>
              </a:p>
            </c:rich>
          </c:tx>
          <c:layout>
            <c:manualLayout>
              <c:xMode val="edge"/>
              <c:yMode val="edge"/>
              <c:x val="0.96177248677248661"/>
              <c:y val="1.8699463719772779E-2"/>
            </c:manualLayout>
          </c:layout>
          <c:overlay val="0"/>
        </c:title>
        <c:numFmt formatCode="0" sourceLinked="0"/>
        <c:majorTickMark val="out"/>
        <c:minorTickMark val="none"/>
        <c:tickLblPos val="nextTo"/>
        <c:crossAx val="215326080"/>
        <c:crosses val="max"/>
        <c:crossBetween val="between"/>
      </c:valAx>
      <c:dateAx>
        <c:axId val="215326080"/>
        <c:scaling>
          <c:orientation val="minMax"/>
        </c:scaling>
        <c:delete val="1"/>
        <c:axPos val="b"/>
        <c:numFmt formatCode="dd/mm/yyyy;@" sourceLinked="1"/>
        <c:majorTickMark val="out"/>
        <c:minorTickMark val="none"/>
        <c:tickLblPos val="nextTo"/>
        <c:crossAx val="215324160"/>
        <c:crosses val="autoZero"/>
        <c:auto val="1"/>
        <c:lblOffset val="100"/>
        <c:baseTimeUnit val="days"/>
        <c:majorUnit val="1"/>
        <c:minorUnit val="1"/>
      </c:dateAx>
    </c:plotArea>
    <c:legend>
      <c:legendPos val="r"/>
      <c:layout>
        <c:manualLayout>
          <c:xMode val="edge"/>
          <c:yMode val="edge"/>
          <c:x val="2.9113548306461696E-2"/>
          <c:y val="0.92423789965735548"/>
          <c:w val="0.90870984876890393"/>
          <c:h val="7.4607181152453336E-2"/>
        </c:manualLayout>
      </c:layout>
      <c:overlay val="1"/>
      <c:spPr>
        <a:noFill/>
      </c:spPr>
      <c:txPr>
        <a:bodyPr/>
        <a:lstStyle/>
        <a:p>
          <a:pPr>
            <a:defRPr sz="1000"/>
          </a:pPr>
          <a:endParaRPr lang="en-US"/>
        </a:p>
      </c:txPr>
    </c:legend>
    <c:plotVisOnly val="1"/>
    <c:dispBlanksAs val="gap"/>
    <c:showDLblsOverMax val="0"/>
  </c:chart>
  <c:spPr>
    <a:solidFill>
      <a:schemeClr val="bg1"/>
    </a:solidFill>
    <a:ln>
      <a:noFill/>
    </a:ln>
  </c:spPr>
  <c:txPr>
    <a:bodyPr/>
    <a:lstStyle/>
    <a:p>
      <a:pPr>
        <a:defRPr sz="800">
          <a:solidFill>
            <a:sysClr val="windowText" lastClr="000000"/>
          </a:solidFill>
          <a:latin typeface="Arial" panose="020B0604020202020204" pitchFamily="34" charset="0"/>
          <a:cs typeface="Arial" panose="020B0604020202020204" pitchFamily="34" charset="0"/>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brezposelni!$A$22</c:f>
              <c:strCache>
                <c:ptCount val="1"/>
                <c:pt idx="0">
                  <c:v>Brezposelni po ADS (v tisoč)</c:v>
                </c:pt>
              </c:strCache>
            </c:strRef>
          </c:tx>
          <c:spPr>
            <a:ln w="28575" cap="rnd">
              <a:solidFill>
                <a:schemeClr val="accent1"/>
              </a:solidFill>
              <a:prstDash val="sysDot"/>
              <a:round/>
            </a:ln>
            <a:effectLst/>
          </c:spPr>
          <c:marker>
            <c:symbol val="none"/>
          </c:marker>
          <c:dPt>
            <c:idx val="0"/>
            <c:marker>
              <c:symbol val="none"/>
            </c:marker>
            <c:bubble3D val="0"/>
            <c:spPr>
              <a:ln w="28575" cap="rnd">
                <a:solidFill>
                  <a:schemeClr val="accent1"/>
                </a:solidFill>
                <a:prstDash val="solid"/>
                <a:round/>
              </a:ln>
              <a:effectLst/>
            </c:spPr>
            <c:extLst>
              <c:ext xmlns:c16="http://schemas.microsoft.com/office/drawing/2014/chart" uri="{C3380CC4-5D6E-409C-BE32-E72D297353CC}">
                <c16:uniqueId val="{00000001-4BDC-418D-A316-974BF1479BCD}"/>
              </c:ext>
            </c:extLst>
          </c:dPt>
          <c:dPt>
            <c:idx val="1"/>
            <c:marker>
              <c:symbol val="none"/>
            </c:marker>
            <c:bubble3D val="0"/>
            <c:spPr>
              <a:ln w="28575" cap="rnd">
                <a:solidFill>
                  <a:schemeClr val="accent1"/>
                </a:solidFill>
                <a:prstDash val="solid"/>
                <a:round/>
              </a:ln>
              <a:effectLst/>
            </c:spPr>
            <c:extLst>
              <c:ext xmlns:c16="http://schemas.microsoft.com/office/drawing/2014/chart" uri="{C3380CC4-5D6E-409C-BE32-E72D297353CC}">
                <c16:uniqueId val="{00000003-4BDC-418D-A316-974BF1479BCD}"/>
              </c:ext>
            </c:extLst>
          </c:dPt>
          <c:dPt>
            <c:idx val="2"/>
            <c:marker>
              <c:symbol val="none"/>
            </c:marker>
            <c:bubble3D val="0"/>
            <c:spPr>
              <a:ln w="28575" cap="rnd">
                <a:solidFill>
                  <a:schemeClr val="accent1"/>
                </a:solidFill>
                <a:prstDash val="solid"/>
                <a:round/>
              </a:ln>
              <a:effectLst/>
            </c:spPr>
            <c:extLst>
              <c:ext xmlns:c16="http://schemas.microsoft.com/office/drawing/2014/chart" uri="{C3380CC4-5D6E-409C-BE32-E72D297353CC}">
                <c16:uniqueId val="{00000005-4BDC-418D-A316-974BF1479BCD}"/>
              </c:ext>
            </c:extLst>
          </c:dPt>
          <c:dPt>
            <c:idx val="3"/>
            <c:marker>
              <c:symbol val="none"/>
            </c:marker>
            <c:bubble3D val="0"/>
            <c:spPr>
              <a:ln w="28575" cap="rnd">
                <a:solidFill>
                  <a:schemeClr val="accent1"/>
                </a:solidFill>
                <a:prstDash val="solid"/>
                <a:round/>
              </a:ln>
              <a:effectLst/>
            </c:spPr>
            <c:extLst>
              <c:ext xmlns:c16="http://schemas.microsoft.com/office/drawing/2014/chart" uri="{C3380CC4-5D6E-409C-BE32-E72D297353CC}">
                <c16:uniqueId val="{00000007-4BDC-418D-A316-974BF1479BCD}"/>
              </c:ext>
            </c:extLst>
          </c:dPt>
          <c:cat>
            <c:numRef>
              <c:f>brezposelni!$K$3:$T$3</c:f>
              <c:numCache>
                <c:formatCode>0_)</c:formatCode>
                <c:ptCount val="10"/>
                <c:pt idx="0">
                  <c:v>2019</c:v>
                </c:pt>
                <c:pt idx="1">
                  <c:v>2020</c:v>
                </c:pt>
                <c:pt idx="2">
                  <c:v>2021</c:v>
                </c:pt>
                <c:pt idx="3">
                  <c:v>2022</c:v>
                </c:pt>
                <c:pt idx="4">
                  <c:v>2023</c:v>
                </c:pt>
                <c:pt idx="5">
                  <c:v>2024</c:v>
                </c:pt>
                <c:pt idx="6">
                  <c:v>2025</c:v>
                </c:pt>
                <c:pt idx="7">
                  <c:v>2026</c:v>
                </c:pt>
                <c:pt idx="8">
                  <c:v>2027</c:v>
                </c:pt>
                <c:pt idx="9">
                  <c:v>2028</c:v>
                </c:pt>
              </c:numCache>
            </c:numRef>
          </c:cat>
          <c:val>
            <c:numRef>
              <c:f>brezposelni!$K$22:$Q$22</c:f>
              <c:numCache>
                <c:formatCode>0.0</c:formatCode>
                <c:ptCount val="7"/>
                <c:pt idx="0">
                  <c:v>45.699999999999996</c:v>
                </c:pt>
                <c:pt idx="1">
                  <c:v>51.1</c:v>
                </c:pt>
                <c:pt idx="2">
                  <c:v>47.800000000000004</c:v>
                </c:pt>
                <c:pt idx="3">
                  <c:v>40.200000000000003</c:v>
                </c:pt>
                <c:pt idx="4">
                  <c:v>37.414425894309254</c:v>
                </c:pt>
                <c:pt idx="5">
                  <c:v>35.723078876943639</c:v>
                </c:pt>
                <c:pt idx="6">
                  <c:v>34.993902959757925</c:v>
                </c:pt>
              </c:numCache>
            </c:numRef>
          </c:val>
          <c:smooth val="0"/>
          <c:extLst>
            <c:ext xmlns:c16="http://schemas.microsoft.com/office/drawing/2014/chart" uri="{C3380CC4-5D6E-409C-BE32-E72D297353CC}">
              <c16:uniqueId val="{00000008-4BDC-418D-A316-974BF1479BCD}"/>
            </c:ext>
          </c:extLst>
        </c:ser>
        <c:ser>
          <c:idx val="1"/>
          <c:order val="1"/>
          <c:tx>
            <c:strRef>
              <c:f>brezposelni!$A$24</c:f>
              <c:strCache>
                <c:ptCount val="1"/>
                <c:pt idx="0">
                  <c:v>Registrirani brezposelni (v tisoč)</c:v>
                </c:pt>
              </c:strCache>
            </c:strRef>
          </c:tx>
          <c:spPr>
            <a:ln w="28575" cap="rnd">
              <a:solidFill>
                <a:schemeClr val="tx1">
                  <a:lumMod val="65000"/>
                  <a:lumOff val="35000"/>
                </a:schemeClr>
              </a:solidFill>
              <a:prstDash val="sysDot"/>
              <a:round/>
            </a:ln>
            <a:effectLst/>
          </c:spPr>
          <c:marker>
            <c:symbol val="none"/>
          </c:marker>
          <c:dPt>
            <c:idx val="0"/>
            <c:marker>
              <c:symbol val="none"/>
            </c:marker>
            <c:bubble3D val="0"/>
            <c:spPr>
              <a:ln w="28575" cap="rnd">
                <a:solidFill>
                  <a:schemeClr val="tx1">
                    <a:lumMod val="65000"/>
                    <a:lumOff val="35000"/>
                  </a:schemeClr>
                </a:solidFill>
                <a:prstDash val="solid"/>
                <a:round/>
              </a:ln>
              <a:effectLst/>
            </c:spPr>
            <c:extLst>
              <c:ext xmlns:c16="http://schemas.microsoft.com/office/drawing/2014/chart" uri="{C3380CC4-5D6E-409C-BE32-E72D297353CC}">
                <c16:uniqueId val="{0000000A-4BDC-418D-A316-974BF1479BCD}"/>
              </c:ext>
            </c:extLst>
          </c:dPt>
          <c:dPt>
            <c:idx val="1"/>
            <c:marker>
              <c:symbol val="none"/>
            </c:marker>
            <c:bubble3D val="0"/>
            <c:spPr>
              <a:ln w="28575" cap="rnd">
                <a:solidFill>
                  <a:schemeClr val="tx1">
                    <a:lumMod val="65000"/>
                    <a:lumOff val="35000"/>
                  </a:schemeClr>
                </a:solidFill>
                <a:prstDash val="solid"/>
                <a:round/>
              </a:ln>
              <a:effectLst/>
            </c:spPr>
            <c:extLst>
              <c:ext xmlns:c16="http://schemas.microsoft.com/office/drawing/2014/chart" uri="{C3380CC4-5D6E-409C-BE32-E72D297353CC}">
                <c16:uniqueId val="{0000000C-4BDC-418D-A316-974BF1479BCD}"/>
              </c:ext>
            </c:extLst>
          </c:dPt>
          <c:dPt>
            <c:idx val="2"/>
            <c:marker>
              <c:symbol val="none"/>
            </c:marker>
            <c:bubble3D val="0"/>
            <c:spPr>
              <a:ln w="28575" cap="rnd">
                <a:solidFill>
                  <a:schemeClr val="tx1">
                    <a:lumMod val="65000"/>
                    <a:lumOff val="35000"/>
                  </a:schemeClr>
                </a:solidFill>
                <a:prstDash val="solid"/>
                <a:round/>
              </a:ln>
              <a:effectLst/>
            </c:spPr>
            <c:extLst>
              <c:ext xmlns:c16="http://schemas.microsoft.com/office/drawing/2014/chart" uri="{C3380CC4-5D6E-409C-BE32-E72D297353CC}">
                <c16:uniqueId val="{0000000E-4BDC-418D-A316-974BF1479BCD}"/>
              </c:ext>
            </c:extLst>
          </c:dPt>
          <c:dPt>
            <c:idx val="3"/>
            <c:marker>
              <c:symbol val="none"/>
            </c:marker>
            <c:bubble3D val="0"/>
            <c:spPr>
              <a:ln w="28575" cap="rnd">
                <a:solidFill>
                  <a:schemeClr val="tx1">
                    <a:lumMod val="65000"/>
                    <a:lumOff val="35000"/>
                  </a:schemeClr>
                </a:solidFill>
                <a:prstDash val="solid"/>
                <a:round/>
              </a:ln>
              <a:effectLst/>
            </c:spPr>
            <c:extLst>
              <c:ext xmlns:c16="http://schemas.microsoft.com/office/drawing/2014/chart" uri="{C3380CC4-5D6E-409C-BE32-E72D297353CC}">
                <c16:uniqueId val="{00000010-4BDC-418D-A316-974BF1479BCD}"/>
              </c:ext>
            </c:extLst>
          </c:dPt>
          <c:cat>
            <c:numRef>
              <c:f>brezposelni!$K$3:$T$3</c:f>
              <c:numCache>
                <c:formatCode>0_)</c:formatCode>
                <c:ptCount val="10"/>
                <c:pt idx="0">
                  <c:v>2019</c:v>
                </c:pt>
                <c:pt idx="1">
                  <c:v>2020</c:v>
                </c:pt>
                <c:pt idx="2">
                  <c:v>2021</c:v>
                </c:pt>
                <c:pt idx="3">
                  <c:v>2022</c:v>
                </c:pt>
                <c:pt idx="4">
                  <c:v>2023</c:v>
                </c:pt>
                <c:pt idx="5">
                  <c:v>2024</c:v>
                </c:pt>
                <c:pt idx="6">
                  <c:v>2025</c:v>
                </c:pt>
                <c:pt idx="7">
                  <c:v>2026</c:v>
                </c:pt>
                <c:pt idx="8">
                  <c:v>2027</c:v>
                </c:pt>
                <c:pt idx="9">
                  <c:v>2028</c:v>
                </c:pt>
              </c:numCache>
            </c:numRef>
          </c:cat>
          <c:val>
            <c:numRef>
              <c:f>brezposelni!$K$24:$Q$24</c:f>
              <c:numCache>
                <c:formatCode>0.0</c:formatCode>
                <c:ptCount val="7"/>
                <c:pt idx="0">
                  <c:v>74.177833333333325</c:v>
                </c:pt>
                <c:pt idx="1">
                  <c:v>85.002583333333334</c:v>
                </c:pt>
                <c:pt idx="2">
                  <c:v>74.3155</c:v>
                </c:pt>
                <c:pt idx="3">
                  <c:v>56.664833333333334</c:v>
                </c:pt>
                <c:pt idx="4">
                  <c:v>48.771825038890171</c:v>
                </c:pt>
                <c:pt idx="5">
                  <c:v>46.567058325536657</c:v>
                </c:pt>
                <c:pt idx="6">
                  <c:v>44.918030308311636</c:v>
                </c:pt>
              </c:numCache>
            </c:numRef>
          </c:val>
          <c:smooth val="0"/>
          <c:extLst>
            <c:ext xmlns:c16="http://schemas.microsoft.com/office/drawing/2014/chart" uri="{C3380CC4-5D6E-409C-BE32-E72D297353CC}">
              <c16:uniqueId val="{00000011-4BDC-418D-A316-974BF1479BCD}"/>
            </c:ext>
          </c:extLst>
        </c:ser>
        <c:dLbls>
          <c:showLegendKey val="0"/>
          <c:showVal val="0"/>
          <c:showCatName val="0"/>
          <c:showSerName val="0"/>
          <c:showPercent val="0"/>
          <c:showBubbleSize val="0"/>
        </c:dLbls>
        <c:smooth val="0"/>
        <c:axId val="186578680"/>
        <c:axId val="186576712"/>
      </c:lineChart>
      <c:catAx>
        <c:axId val="186578680"/>
        <c:scaling>
          <c:orientation val="minMax"/>
        </c:scaling>
        <c:delete val="0"/>
        <c:axPos val="b"/>
        <c:numFmt formatCode="0_)"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6576712"/>
        <c:crosses val="autoZero"/>
        <c:auto val="1"/>
        <c:lblAlgn val="ctr"/>
        <c:lblOffset val="100"/>
        <c:noMultiLvlLbl val="0"/>
      </c:catAx>
      <c:valAx>
        <c:axId val="186576712"/>
        <c:scaling>
          <c:orientation val="minMax"/>
          <c:max val="100"/>
          <c:min val="3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sl-SI"/>
                  <a:t>v tisoč</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6578680"/>
        <c:crosses val="autoZero"/>
        <c:crossBetween val="between"/>
        <c:majorUnit val="1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unem_ilo!$Z$9</c:f>
              <c:strCache>
                <c:ptCount val="1"/>
                <c:pt idx="0">
                  <c:v>Brezposelnost po ADS</c:v>
                </c:pt>
              </c:strCache>
            </c:strRef>
          </c:tx>
          <c:spPr>
            <a:ln w="28575" cap="rnd">
              <a:solidFill>
                <a:schemeClr val="accent1"/>
              </a:solidFill>
              <a:round/>
            </a:ln>
            <a:effectLst/>
          </c:spPr>
          <c:marker>
            <c:symbol val="none"/>
          </c:marker>
          <c:cat>
            <c:strRef>
              <c:f>unem_ilo!$Z$11:$CE$11</c:f>
              <c:strCache>
                <c:ptCount val="58"/>
                <c:pt idx="0">
                  <c:v>2009-Q1</c:v>
                </c:pt>
                <c:pt idx="1">
                  <c:v>2009-Q2</c:v>
                </c:pt>
                <c:pt idx="2">
                  <c:v>2009-Q3</c:v>
                </c:pt>
                <c:pt idx="3">
                  <c:v>2009-Q4</c:v>
                </c:pt>
                <c:pt idx="4">
                  <c:v>2010-Q1</c:v>
                </c:pt>
                <c:pt idx="5">
                  <c:v>2010-Q2</c:v>
                </c:pt>
                <c:pt idx="6">
                  <c:v>2010-Q3</c:v>
                </c:pt>
                <c:pt idx="7">
                  <c:v>2010-Q4</c:v>
                </c:pt>
                <c:pt idx="8">
                  <c:v>2011-Q1</c:v>
                </c:pt>
                <c:pt idx="9">
                  <c:v>2011-Q2</c:v>
                </c:pt>
                <c:pt idx="10">
                  <c:v>2011-Q3</c:v>
                </c:pt>
                <c:pt idx="11">
                  <c:v>2011-Q4</c:v>
                </c:pt>
                <c:pt idx="12">
                  <c:v>2012-Q1</c:v>
                </c:pt>
                <c:pt idx="13">
                  <c:v>2012-Q2</c:v>
                </c:pt>
                <c:pt idx="14">
                  <c:v>2012-Q3</c:v>
                </c:pt>
                <c:pt idx="15">
                  <c:v>2012-Q4</c:v>
                </c:pt>
                <c:pt idx="16">
                  <c:v>2013-Q1</c:v>
                </c:pt>
                <c:pt idx="17">
                  <c:v>2013-Q2</c:v>
                </c:pt>
                <c:pt idx="18">
                  <c:v>2013-Q3</c:v>
                </c:pt>
                <c:pt idx="19">
                  <c:v>2013-Q4</c:v>
                </c:pt>
                <c:pt idx="20">
                  <c:v>2014-Q1</c:v>
                </c:pt>
                <c:pt idx="21">
                  <c:v>2014-Q2</c:v>
                </c:pt>
                <c:pt idx="22">
                  <c:v>2014-Q3</c:v>
                </c:pt>
                <c:pt idx="23">
                  <c:v>2014-Q4</c:v>
                </c:pt>
                <c:pt idx="24">
                  <c:v>2015-Q1</c:v>
                </c:pt>
                <c:pt idx="25">
                  <c:v>2015-Q2</c:v>
                </c:pt>
                <c:pt idx="26">
                  <c:v>2015-Q3</c:v>
                </c:pt>
                <c:pt idx="27">
                  <c:v>2015-Q4</c:v>
                </c:pt>
                <c:pt idx="28">
                  <c:v>2016-Q1</c:v>
                </c:pt>
                <c:pt idx="29">
                  <c:v>2016-Q2</c:v>
                </c:pt>
                <c:pt idx="30">
                  <c:v>2016-Q3</c:v>
                </c:pt>
                <c:pt idx="31">
                  <c:v>2016-Q4</c:v>
                </c:pt>
                <c:pt idx="32">
                  <c:v>2017-Q1</c:v>
                </c:pt>
                <c:pt idx="33">
                  <c:v>2017-Q2</c:v>
                </c:pt>
                <c:pt idx="34">
                  <c:v>2017-Q3</c:v>
                </c:pt>
                <c:pt idx="35">
                  <c:v>2017-Q4</c:v>
                </c:pt>
                <c:pt idx="36">
                  <c:v>2018-Q1</c:v>
                </c:pt>
                <c:pt idx="37">
                  <c:v>2018-Q2</c:v>
                </c:pt>
                <c:pt idx="38">
                  <c:v>2018-Q3</c:v>
                </c:pt>
                <c:pt idx="39">
                  <c:v>2018-Q4</c:v>
                </c:pt>
                <c:pt idx="40">
                  <c:v>2019-Q1</c:v>
                </c:pt>
                <c:pt idx="41">
                  <c:v>2019-Q2</c:v>
                </c:pt>
                <c:pt idx="42">
                  <c:v>2019-Q3</c:v>
                </c:pt>
                <c:pt idx="43">
                  <c:v>2019-Q4</c:v>
                </c:pt>
                <c:pt idx="44">
                  <c:v>2020-Q1</c:v>
                </c:pt>
                <c:pt idx="45">
                  <c:v>2020-Q2</c:v>
                </c:pt>
                <c:pt idx="46">
                  <c:v>2020-Q3</c:v>
                </c:pt>
                <c:pt idx="47">
                  <c:v>2020-Q4</c:v>
                </c:pt>
                <c:pt idx="48">
                  <c:v>2021-Q1</c:v>
                </c:pt>
                <c:pt idx="49">
                  <c:v>2021-Q2</c:v>
                </c:pt>
                <c:pt idx="50">
                  <c:v>2021-Q3</c:v>
                </c:pt>
                <c:pt idx="51">
                  <c:v>2021-Q4</c:v>
                </c:pt>
                <c:pt idx="52">
                  <c:v>2022-Q1</c:v>
                </c:pt>
                <c:pt idx="53">
                  <c:v>2022-Q2</c:v>
                </c:pt>
                <c:pt idx="54">
                  <c:v>2022-Q3</c:v>
                </c:pt>
                <c:pt idx="55">
                  <c:v>2022-Q4</c:v>
                </c:pt>
                <c:pt idx="56">
                  <c:v>2023-Q1</c:v>
                </c:pt>
                <c:pt idx="57">
                  <c:v>2023-Q2</c:v>
                </c:pt>
              </c:strCache>
            </c:strRef>
          </c:cat>
          <c:val>
            <c:numRef>
              <c:f>unem_ilo!$Z$12:$CE$12</c:f>
              <c:numCache>
                <c:formatCode>#,##0.##########</c:formatCode>
                <c:ptCount val="58"/>
                <c:pt idx="0">
                  <c:v>5.0999999999999996</c:v>
                </c:pt>
                <c:pt idx="1">
                  <c:v>5.6</c:v>
                </c:pt>
                <c:pt idx="2">
                  <c:v>6.3</c:v>
                </c:pt>
                <c:pt idx="3">
                  <c:v>6.5</c:v>
                </c:pt>
                <c:pt idx="4">
                  <c:v>6.8</c:v>
                </c:pt>
                <c:pt idx="5">
                  <c:v>7.1</c:v>
                </c:pt>
                <c:pt idx="6">
                  <c:v>7.2</c:v>
                </c:pt>
                <c:pt idx="7">
                  <c:v>7.8</c:v>
                </c:pt>
                <c:pt idx="8">
                  <c:v>8.1</c:v>
                </c:pt>
                <c:pt idx="9">
                  <c:v>7.8</c:v>
                </c:pt>
                <c:pt idx="10">
                  <c:v>8.1</c:v>
                </c:pt>
                <c:pt idx="11">
                  <c:v>8.8000000000000007</c:v>
                </c:pt>
                <c:pt idx="12">
                  <c:v>8.1</c:v>
                </c:pt>
                <c:pt idx="13">
                  <c:v>8.3000000000000007</c:v>
                </c:pt>
                <c:pt idx="14">
                  <c:v>9.5</c:v>
                </c:pt>
                <c:pt idx="15">
                  <c:v>9.6</c:v>
                </c:pt>
                <c:pt idx="16">
                  <c:v>10.6</c:v>
                </c:pt>
                <c:pt idx="17">
                  <c:v>10.4</c:v>
                </c:pt>
                <c:pt idx="18">
                  <c:v>9.8000000000000007</c:v>
                </c:pt>
                <c:pt idx="19">
                  <c:v>9.6999999999999993</c:v>
                </c:pt>
                <c:pt idx="20">
                  <c:v>10.199999999999999</c:v>
                </c:pt>
                <c:pt idx="21">
                  <c:v>9.4</c:v>
                </c:pt>
                <c:pt idx="22">
                  <c:v>9.6</c:v>
                </c:pt>
                <c:pt idx="23">
                  <c:v>9.6</c:v>
                </c:pt>
                <c:pt idx="24">
                  <c:v>9.3000000000000007</c:v>
                </c:pt>
                <c:pt idx="25">
                  <c:v>9.3000000000000007</c:v>
                </c:pt>
                <c:pt idx="26">
                  <c:v>8.9</c:v>
                </c:pt>
                <c:pt idx="27">
                  <c:v>8.5</c:v>
                </c:pt>
                <c:pt idx="28">
                  <c:v>8.4</c:v>
                </c:pt>
                <c:pt idx="29">
                  <c:v>7.9</c:v>
                </c:pt>
                <c:pt idx="30">
                  <c:v>7.6</c:v>
                </c:pt>
                <c:pt idx="31">
                  <c:v>8.1</c:v>
                </c:pt>
                <c:pt idx="32">
                  <c:v>7.4</c:v>
                </c:pt>
                <c:pt idx="33">
                  <c:v>6.6</c:v>
                </c:pt>
                <c:pt idx="34">
                  <c:v>6.5</c:v>
                </c:pt>
                <c:pt idx="35">
                  <c:v>5.8</c:v>
                </c:pt>
                <c:pt idx="36">
                  <c:v>5.6</c:v>
                </c:pt>
                <c:pt idx="37">
                  <c:v>5.3</c:v>
                </c:pt>
                <c:pt idx="38">
                  <c:v>5.0999999999999996</c:v>
                </c:pt>
                <c:pt idx="39">
                  <c:v>4.5</c:v>
                </c:pt>
                <c:pt idx="40">
                  <c:v>4.5</c:v>
                </c:pt>
                <c:pt idx="41">
                  <c:v>4.3</c:v>
                </c:pt>
                <c:pt idx="42">
                  <c:v>4.8</c:v>
                </c:pt>
                <c:pt idx="43">
                  <c:v>4.0999999999999996</c:v>
                </c:pt>
                <c:pt idx="44" formatCode="0">
                  <c:v>4.3</c:v>
                </c:pt>
                <c:pt idx="45" formatCode="0">
                  <c:v>5.3</c:v>
                </c:pt>
                <c:pt idx="46" formatCode="0">
                  <c:v>5.0999999999999996</c:v>
                </c:pt>
                <c:pt idx="47" formatCode="0">
                  <c:v>5.2</c:v>
                </c:pt>
                <c:pt idx="48" formatCode="0">
                  <c:v>5.4</c:v>
                </c:pt>
                <c:pt idx="49" formatCode="0">
                  <c:v>4.5</c:v>
                </c:pt>
                <c:pt idx="50" formatCode="0">
                  <c:v>4.5</c:v>
                </c:pt>
                <c:pt idx="51" formatCode="0">
                  <c:v>4.5999999999999996</c:v>
                </c:pt>
                <c:pt idx="52" formatCode="0">
                  <c:v>4.0999999999999996</c:v>
                </c:pt>
                <c:pt idx="53" formatCode="0">
                  <c:v>4.4000000000000004</c:v>
                </c:pt>
                <c:pt idx="54" formatCode="0">
                  <c:v>4</c:v>
                </c:pt>
                <c:pt idx="55" formatCode="0">
                  <c:v>3.6</c:v>
                </c:pt>
                <c:pt idx="56" formatCode="0">
                  <c:v>3.6</c:v>
                </c:pt>
                <c:pt idx="57" formatCode="0">
                  <c:v>3.7</c:v>
                </c:pt>
              </c:numCache>
            </c:numRef>
          </c:val>
          <c:smooth val="0"/>
          <c:extLst>
            <c:ext xmlns:c16="http://schemas.microsoft.com/office/drawing/2014/chart" uri="{C3380CC4-5D6E-409C-BE32-E72D297353CC}">
              <c16:uniqueId val="{00000000-3798-4F56-A2A5-0D71621B4694}"/>
            </c:ext>
          </c:extLst>
        </c:ser>
        <c:dLbls>
          <c:showLegendKey val="0"/>
          <c:showVal val="0"/>
          <c:showCatName val="0"/>
          <c:showSerName val="0"/>
          <c:showPercent val="0"/>
          <c:showBubbleSize val="0"/>
        </c:dLbls>
        <c:smooth val="0"/>
        <c:axId val="567366248"/>
        <c:axId val="567363624"/>
      </c:lineChart>
      <c:catAx>
        <c:axId val="5673662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7363624"/>
        <c:crosses val="autoZero"/>
        <c:auto val="1"/>
        <c:lblAlgn val="ctr"/>
        <c:lblOffset val="100"/>
        <c:noMultiLvlLbl val="0"/>
      </c:catAx>
      <c:valAx>
        <c:axId val="567363624"/>
        <c:scaling>
          <c:orientation val="minMax"/>
          <c:max val="12"/>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sl-SI"/>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73662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graf!$B$1</c:f>
              <c:strCache>
                <c:ptCount val="1"/>
                <c:pt idx="0">
                  <c:v>Povprečna letna stopnja bruto varčevanja gospodinjstev</c:v>
                </c:pt>
              </c:strCache>
            </c:strRef>
          </c:tx>
          <c:spPr>
            <a:solidFill>
              <a:schemeClr val="bg2">
                <a:lumMod val="75000"/>
              </a:schemeClr>
            </a:solidFill>
            <a:ln>
              <a:solidFill>
                <a:schemeClr val="bg2">
                  <a:lumMod val="75000"/>
                </a:schemeClr>
              </a:solidFill>
            </a:ln>
            <a:effectLst/>
          </c:spPr>
          <c:invertIfNegative val="0"/>
          <c:cat>
            <c:numRef>
              <c:f>graf!$A$2:$A$16</c:f>
              <c:numCache>
                <c:formatCode>General</c:formatCode>
                <c:ptCount val="15"/>
                <c:pt idx="0">
                  <c:v>2008</c:v>
                </c:pt>
                <c:pt idx="1">
                  <c:v>2009</c:v>
                </c:pt>
                <c:pt idx="2">
                  <c:v>2010</c:v>
                </c:pt>
                <c:pt idx="3">
                  <c:v>2011</c:v>
                </c:pt>
                <c:pt idx="4">
                  <c:v>2012</c:v>
                </c:pt>
                <c:pt idx="5">
                  <c:v>2014</c:v>
                </c:pt>
                <c:pt idx="6">
                  <c:v>2015</c:v>
                </c:pt>
                <c:pt idx="7">
                  <c:v>2015</c:v>
                </c:pt>
                <c:pt idx="8">
                  <c:v>2016</c:v>
                </c:pt>
                <c:pt idx="9">
                  <c:v>2017</c:v>
                </c:pt>
                <c:pt idx="10">
                  <c:v>2018</c:v>
                </c:pt>
                <c:pt idx="11">
                  <c:v>2019</c:v>
                </c:pt>
                <c:pt idx="12">
                  <c:v>2020</c:v>
                </c:pt>
                <c:pt idx="13">
                  <c:v>2021</c:v>
                </c:pt>
                <c:pt idx="14">
                  <c:v>2022</c:v>
                </c:pt>
              </c:numCache>
            </c:numRef>
          </c:cat>
          <c:val>
            <c:numRef>
              <c:f>graf!$B$2:$B$16</c:f>
              <c:numCache>
                <c:formatCode>0.0</c:formatCode>
                <c:ptCount val="15"/>
                <c:pt idx="0">
                  <c:v>15.764121309131134</c:v>
                </c:pt>
                <c:pt idx="1">
                  <c:v>13.575269396419714</c:v>
                </c:pt>
                <c:pt idx="2">
                  <c:v>12.331903199127023</c:v>
                </c:pt>
                <c:pt idx="3">
                  <c:v>11.187276155570846</c:v>
                </c:pt>
                <c:pt idx="4">
                  <c:v>8.9901041712081415</c:v>
                </c:pt>
                <c:pt idx="5">
                  <c:v>11.193523101293536</c:v>
                </c:pt>
                <c:pt idx="6">
                  <c:v>11.27319059290858</c:v>
                </c:pt>
                <c:pt idx="7">
                  <c:v>11.755015659485569</c:v>
                </c:pt>
                <c:pt idx="8">
                  <c:v>11.850092477435808</c:v>
                </c:pt>
                <c:pt idx="9">
                  <c:v>13.125067113874206</c:v>
                </c:pt>
                <c:pt idx="10">
                  <c:v>13.772849944859248</c:v>
                </c:pt>
                <c:pt idx="11">
                  <c:v>13.351709815711541</c:v>
                </c:pt>
                <c:pt idx="12">
                  <c:v>22.598989355883582</c:v>
                </c:pt>
                <c:pt idx="13">
                  <c:v>18.912131138110286</c:v>
                </c:pt>
                <c:pt idx="14">
                  <c:v>9.2714298002849791</c:v>
                </c:pt>
              </c:numCache>
            </c:numRef>
          </c:val>
          <c:extLst>
            <c:ext xmlns:c16="http://schemas.microsoft.com/office/drawing/2014/chart" uri="{C3380CC4-5D6E-409C-BE32-E72D297353CC}">
              <c16:uniqueId val="{00000000-07FC-41CE-8879-E8167C50205E}"/>
            </c:ext>
          </c:extLst>
        </c:ser>
        <c:dLbls>
          <c:showLegendKey val="0"/>
          <c:showVal val="0"/>
          <c:showCatName val="0"/>
          <c:showSerName val="0"/>
          <c:showPercent val="0"/>
          <c:showBubbleSize val="0"/>
        </c:dLbls>
        <c:gapWidth val="219"/>
        <c:overlap val="-27"/>
        <c:axId val="512846480"/>
        <c:axId val="1970495904"/>
      </c:barChart>
      <c:lineChart>
        <c:grouping val="standard"/>
        <c:varyColors val="0"/>
        <c:ser>
          <c:idx val="1"/>
          <c:order val="1"/>
          <c:tx>
            <c:strRef>
              <c:f>graf!$C$1</c:f>
              <c:strCache>
                <c:ptCount val="1"/>
                <c:pt idx="0">
                  <c:v>Povprečni ekvivalentni dohodek na člana gospodinjstva (nominalno)</c:v>
                </c:pt>
              </c:strCache>
            </c:strRef>
          </c:tx>
          <c:spPr>
            <a:ln w="28575" cap="rnd">
              <a:solidFill>
                <a:schemeClr val="accent1"/>
              </a:solidFill>
              <a:round/>
            </a:ln>
            <a:effectLst/>
          </c:spPr>
          <c:marker>
            <c:symbol val="none"/>
          </c:marker>
          <c:cat>
            <c:numRef>
              <c:f>graf!$A$2:$A$16</c:f>
              <c:numCache>
                <c:formatCode>General</c:formatCode>
                <c:ptCount val="15"/>
                <c:pt idx="0">
                  <c:v>2008</c:v>
                </c:pt>
                <c:pt idx="1">
                  <c:v>2009</c:v>
                </c:pt>
                <c:pt idx="2">
                  <c:v>2010</c:v>
                </c:pt>
                <c:pt idx="3">
                  <c:v>2011</c:v>
                </c:pt>
                <c:pt idx="4">
                  <c:v>2012</c:v>
                </c:pt>
                <c:pt idx="5">
                  <c:v>2014</c:v>
                </c:pt>
                <c:pt idx="6">
                  <c:v>2015</c:v>
                </c:pt>
                <c:pt idx="7">
                  <c:v>2015</c:v>
                </c:pt>
                <c:pt idx="8">
                  <c:v>2016</c:v>
                </c:pt>
                <c:pt idx="9">
                  <c:v>2017</c:v>
                </c:pt>
                <c:pt idx="10">
                  <c:v>2018</c:v>
                </c:pt>
                <c:pt idx="11">
                  <c:v>2019</c:v>
                </c:pt>
                <c:pt idx="12">
                  <c:v>2020</c:v>
                </c:pt>
                <c:pt idx="13">
                  <c:v>2021</c:v>
                </c:pt>
                <c:pt idx="14">
                  <c:v>2022</c:v>
                </c:pt>
              </c:numCache>
            </c:numRef>
          </c:cat>
          <c:val>
            <c:numRef>
              <c:f>graf!$C$2:$C$16</c:f>
              <c:numCache>
                <c:formatCode>#,##0</c:formatCode>
                <c:ptCount val="15"/>
                <c:pt idx="0">
                  <c:v>11709</c:v>
                </c:pt>
                <c:pt idx="1">
                  <c:v>12743</c:v>
                </c:pt>
                <c:pt idx="2">
                  <c:v>12653</c:v>
                </c:pt>
                <c:pt idx="3">
                  <c:v>12885</c:v>
                </c:pt>
                <c:pt idx="4">
                  <c:v>12972</c:v>
                </c:pt>
                <c:pt idx="5">
                  <c:v>12706</c:v>
                </c:pt>
                <c:pt idx="6">
                  <c:v>12843</c:v>
                </c:pt>
                <c:pt idx="7">
                  <c:v>13211</c:v>
                </c:pt>
                <c:pt idx="8">
                  <c:v>13193</c:v>
                </c:pt>
                <c:pt idx="9">
                  <c:v>13585</c:v>
                </c:pt>
                <c:pt idx="10">
                  <c:v>14127</c:v>
                </c:pt>
                <c:pt idx="11">
                  <c:v>15236</c:v>
                </c:pt>
                <c:pt idx="12">
                  <c:v>15836</c:v>
                </c:pt>
                <c:pt idx="13">
                  <c:v>16597</c:v>
                </c:pt>
                <c:pt idx="14">
                  <c:v>17727</c:v>
                </c:pt>
              </c:numCache>
            </c:numRef>
          </c:val>
          <c:smooth val="0"/>
          <c:extLst>
            <c:ext xmlns:c16="http://schemas.microsoft.com/office/drawing/2014/chart" uri="{C3380CC4-5D6E-409C-BE32-E72D297353CC}">
              <c16:uniqueId val="{00000001-07FC-41CE-8879-E8167C50205E}"/>
            </c:ext>
          </c:extLst>
        </c:ser>
        <c:ser>
          <c:idx val="2"/>
          <c:order val="2"/>
          <c:tx>
            <c:strRef>
              <c:f>graf!$D$1</c:f>
              <c:strCache>
                <c:ptCount val="1"/>
                <c:pt idx="0">
                  <c:v>Povprečni ekvivalentni dohodek na člana gospodinjstva (realno)</c:v>
                </c:pt>
              </c:strCache>
            </c:strRef>
          </c:tx>
          <c:spPr>
            <a:ln w="28575" cap="rnd">
              <a:solidFill>
                <a:srgbClr val="002060"/>
              </a:solidFill>
              <a:round/>
            </a:ln>
            <a:effectLst/>
          </c:spPr>
          <c:marker>
            <c:symbol val="none"/>
          </c:marker>
          <c:cat>
            <c:numRef>
              <c:f>graf!$A$2:$A$16</c:f>
              <c:numCache>
                <c:formatCode>General</c:formatCode>
                <c:ptCount val="15"/>
                <c:pt idx="0">
                  <c:v>2008</c:v>
                </c:pt>
                <c:pt idx="1">
                  <c:v>2009</c:v>
                </c:pt>
                <c:pt idx="2">
                  <c:v>2010</c:v>
                </c:pt>
                <c:pt idx="3">
                  <c:v>2011</c:v>
                </c:pt>
                <c:pt idx="4">
                  <c:v>2012</c:v>
                </c:pt>
                <c:pt idx="5">
                  <c:v>2014</c:v>
                </c:pt>
                <c:pt idx="6">
                  <c:v>2015</c:v>
                </c:pt>
                <c:pt idx="7">
                  <c:v>2015</c:v>
                </c:pt>
                <c:pt idx="8">
                  <c:v>2016</c:v>
                </c:pt>
                <c:pt idx="9">
                  <c:v>2017</c:v>
                </c:pt>
                <c:pt idx="10">
                  <c:v>2018</c:v>
                </c:pt>
                <c:pt idx="11">
                  <c:v>2019</c:v>
                </c:pt>
                <c:pt idx="12">
                  <c:v>2020</c:v>
                </c:pt>
                <c:pt idx="13">
                  <c:v>2021</c:v>
                </c:pt>
                <c:pt idx="14">
                  <c:v>2022</c:v>
                </c:pt>
              </c:numCache>
            </c:numRef>
          </c:cat>
          <c:val>
            <c:numRef>
              <c:f>graf!$D$2:$D$16</c:f>
              <c:numCache>
                <c:formatCode>#,##0</c:formatCode>
                <c:ptCount val="15"/>
                <c:pt idx="0">
                  <c:v>11077.578051087985</c:v>
                </c:pt>
                <c:pt idx="1">
                  <c:v>12629.335976214075</c:v>
                </c:pt>
                <c:pt idx="2">
                  <c:v>12429.273084479371</c:v>
                </c:pt>
                <c:pt idx="3">
                  <c:v>12657.170923379175</c:v>
                </c:pt>
                <c:pt idx="4">
                  <c:v>12643.274853801169</c:v>
                </c:pt>
                <c:pt idx="5">
                  <c:v>12481.335952848724</c:v>
                </c:pt>
                <c:pt idx="6">
                  <c:v>12817.365269461077</c:v>
                </c:pt>
                <c:pt idx="7">
                  <c:v>13277.386934673366</c:v>
                </c:pt>
                <c:pt idx="8">
                  <c:v>13206.206206206207</c:v>
                </c:pt>
                <c:pt idx="9">
                  <c:v>13397.435897435897</c:v>
                </c:pt>
                <c:pt idx="10">
                  <c:v>13890.855457227141</c:v>
                </c:pt>
                <c:pt idx="11">
                  <c:v>14996.062992125984</c:v>
                </c:pt>
                <c:pt idx="12">
                  <c:v>15851.851851851852</c:v>
                </c:pt>
                <c:pt idx="13">
                  <c:v>16287.536800785085</c:v>
                </c:pt>
                <c:pt idx="14">
                  <c:v>16293.198529411764</c:v>
                </c:pt>
              </c:numCache>
            </c:numRef>
          </c:val>
          <c:smooth val="0"/>
          <c:extLst>
            <c:ext xmlns:c16="http://schemas.microsoft.com/office/drawing/2014/chart" uri="{C3380CC4-5D6E-409C-BE32-E72D297353CC}">
              <c16:uniqueId val="{00000002-07FC-41CE-8879-E8167C50205E}"/>
            </c:ext>
          </c:extLst>
        </c:ser>
        <c:dLbls>
          <c:showLegendKey val="0"/>
          <c:showVal val="0"/>
          <c:showCatName val="0"/>
          <c:showSerName val="0"/>
          <c:showPercent val="0"/>
          <c:showBubbleSize val="0"/>
        </c:dLbls>
        <c:marker val="1"/>
        <c:smooth val="0"/>
        <c:axId val="512839984"/>
        <c:axId val="2102162288"/>
      </c:lineChart>
      <c:catAx>
        <c:axId val="5128399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2102162288"/>
        <c:crosses val="autoZero"/>
        <c:auto val="1"/>
        <c:lblAlgn val="ctr"/>
        <c:lblOffset val="100"/>
        <c:noMultiLvlLbl val="0"/>
      </c:catAx>
      <c:valAx>
        <c:axId val="2102162288"/>
        <c:scaling>
          <c:orientation val="minMax"/>
          <c:max val="18000"/>
          <c:min val="10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sl-SI"/>
                  <a:t>EUR</a:t>
                </a:r>
                <a:endParaRPr lang="en-US"/>
              </a:p>
            </c:rich>
          </c:tx>
          <c:layout>
            <c:manualLayout>
              <c:xMode val="edge"/>
              <c:yMode val="edge"/>
              <c:x val="1.3888888888888888E-2"/>
              <c:y val="0.28479812363880047"/>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512839984"/>
        <c:crosses val="autoZero"/>
        <c:crossBetween val="between"/>
      </c:valAx>
      <c:valAx>
        <c:axId val="1970495904"/>
        <c:scaling>
          <c:orientation val="minMax"/>
        </c:scaling>
        <c:delete val="0"/>
        <c:axPos val="r"/>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sl-SI"/>
                  <a:t>%</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512846480"/>
        <c:crosses val="max"/>
        <c:crossBetween val="between"/>
      </c:valAx>
      <c:catAx>
        <c:axId val="512846480"/>
        <c:scaling>
          <c:orientation val="minMax"/>
        </c:scaling>
        <c:delete val="1"/>
        <c:axPos val="b"/>
        <c:numFmt formatCode="General" sourceLinked="1"/>
        <c:majorTickMark val="out"/>
        <c:minorTickMark val="none"/>
        <c:tickLblPos val="nextTo"/>
        <c:crossAx val="197049590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solidFill>
            <a:sysClr val="windowText" lastClr="000000"/>
          </a:solidFill>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470822927606289"/>
          <c:y val="3.4835775879494248E-2"/>
          <c:w val="0.83235382384085355"/>
          <c:h val="0.66403494865155288"/>
        </c:manualLayout>
      </c:layout>
      <c:lineChart>
        <c:grouping val="standard"/>
        <c:varyColors val="0"/>
        <c:ser>
          <c:idx val="0"/>
          <c:order val="0"/>
          <c:tx>
            <c:strRef>
              <c:f>'graph si DBP2024 graf'!$B$2</c:f>
              <c:strCache>
                <c:ptCount val="1"/>
                <c:pt idx="0">
                  <c:v>Razmerje med cenami stanovanjskih nepremičnin in razpoložljivim dohodkom</c:v>
                </c:pt>
              </c:strCache>
            </c:strRef>
          </c:tx>
          <c:spPr>
            <a:ln w="28575" cap="rnd">
              <a:solidFill>
                <a:srgbClr val="002060"/>
              </a:solidFill>
              <a:round/>
            </a:ln>
            <a:effectLst/>
          </c:spPr>
          <c:marker>
            <c:symbol val="none"/>
          </c:marker>
          <c:cat>
            <c:strRef>
              <c:f>'graph si DBP2024 graf'!$A$3:$A$17</c:f>
              <c:strCache>
                <c:ptCount val="15"/>
                <c:pt idx="0">
                  <c:v>2008</c:v>
                </c:pt>
                <c:pt idx="1">
                  <c:v>2009</c:v>
                </c:pt>
                <c:pt idx="2">
                  <c:v>2010</c:v>
                </c:pt>
                <c:pt idx="3">
                  <c:v>2011</c:v>
                </c:pt>
                <c:pt idx="4">
                  <c:v>2012</c:v>
                </c:pt>
                <c:pt idx="5">
                  <c:v>2013</c:v>
                </c:pt>
                <c:pt idx="6">
                  <c:v>2014</c:v>
                </c:pt>
                <c:pt idx="7">
                  <c:v>2015</c:v>
                </c:pt>
                <c:pt idx="8">
                  <c:v>2016</c:v>
                </c:pt>
                <c:pt idx="9">
                  <c:v>2017</c:v>
                </c:pt>
                <c:pt idx="10">
                  <c:v>2018</c:v>
                </c:pt>
                <c:pt idx="11">
                  <c:v>2019</c:v>
                </c:pt>
                <c:pt idx="12">
                  <c:v>2020</c:v>
                </c:pt>
                <c:pt idx="13">
                  <c:v>2021</c:v>
                </c:pt>
                <c:pt idx="14">
                  <c:v>2022</c:v>
                </c:pt>
              </c:strCache>
            </c:strRef>
          </c:cat>
          <c:val>
            <c:numRef>
              <c:f>'graph si DBP2024 graf'!$B$3:$B$17</c:f>
              <c:numCache>
                <c:formatCode>0.0</c:formatCode>
                <c:ptCount val="15"/>
                <c:pt idx="0">
                  <c:v>25.704444977909159</c:v>
                </c:pt>
                <c:pt idx="1">
                  <c:v>4.5623091958744366</c:v>
                </c:pt>
                <c:pt idx="2">
                  <c:v>5.4409929437825522</c:v>
                </c:pt>
                <c:pt idx="3">
                  <c:v>6.3516716781001126</c:v>
                </c:pt>
                <c:pt idx="4">
                  <c:v>-1.6445888229880135</c:v>
                </c:pt>
                <c:pt idx="5">
                  <c:v>-4.8530465520375765</c:v>
                </c:pt>
                <c:pt idx="6">
                  <c:v>-12.080842296682704</c:v>
                </c:pt>
                <c:pt idx="7">
                  <c:v>-13.840605825812924</c:v>
                </c:pt>
                <c:pt idx="8">
                  <c:v>-10.919052640087234</c:v>
                </c:pt>
                <c:pt idx="9">
                  <c:v>-6.3340715113070489</c:v>
                </c:pt>
                <c:pt idx="10">
                  <c:v>-2.0637778759136416</c:v>
                </c:pt>
                <c:pt idx="11">
                  <c:v>-3.1111379022845886</c:v>
                </c:pt>
                <c:pt idx="12">
                  <c:v>-2.4910120750206821</c:v>
                </c:pt>
                <c:pt idx="13">
                  <c:v>3.777945281540207</c:v>
                </c:pt>
                <c:pt idx="14">
                  <c:v>11.500771424928047</c:v>
                </c:pt>
              </c:numCache>
            </c:numRef>
          </c:val>
          <c:smooth val="0"/>
          <c:extLst>
            <c:ext xmlns:c16="http://schemas.microsoft.com/office/drawing/2014/chart" uri="{C3380CC4-5D6E-409C-BE32-E72D297353CC}">
              <c16:uniqueId val="{00000000-D5E4-4148-B700-D9AC4B35EF2F}"/>
            </c:ext>
          </c:extLst>
        </c:ser>
        <c:ser>
          <c:idx val="1"/>
          <c:order val="1"/>
          <c:tx>
            <c:strRef>
              <c:f>'graph si DBP2024 graf'!$C$2</c:f>
              <c:strCache>
                <c:ptCount val="1"/>
                <c:pt idx="0">
                  <c:v>Razmerje med cenami stanovanjskih nepremičnin in najemninami</c:v>
                </c:pt>
              </c:strCache>
            </c:strRef>
          </c:tx>
          <c:spPr>
            <a:ln w="28575" cap="rnd">
              <a:solidFill>
                <a:schemeClr val="accent1"/>
              </a:solidFill>
              <a:round/>
            </a:ln>
            <a:effectLst/>
          </c:spPr>
          <c:marker>
            <c:symbol val="none"/>
          </c:marker>
          <c:cat>
            <c:strRef>
              <c:f>'graph si DBP2024 graf'!$A$3:$A$17</c:f>
              <c:strCache>
                <c:ptCount val="15"/>
                <c:pt idx="0">
                  <c:v>2008</c:v>
                </c:pt>
                <c:pt idx="1">
                  <c:v>2009</c:v>
                </c:pt>
                <c:pt idx="2">
                  <c:v>2010</c:v>
                </c:pt>
                <c:pt idx="3">
                  <c:v>2011</c:v>
                </c:pt>
                <c:pt idx="4">
                  <c:v>2012</c:v>
                </c:pt>
                <c:pt idx="5">
                  <c:v>2013</c:v>
                </c:pt>
                <c:pt idx="6">
                  <c:v>2014</c:v>
                </c:pt>
                <c:pt idx="7">
                  <c:v>2015</c:v>
                </c:pt>
                <c:pt idx="8">
                  <c:v>2016</c:v>
                </c:pt>
                <c:pt idx="9">
                  <c:v>2017</c:v>
                </c:pt>
                <c:pt idx="10">
                  <c:v>2018</c:v>
                </c:pt>
                <c:pt idx="11">
                  <c:v>2019</c:v>
                </c:pt>
                <c:pt idx="12">
                  <c:v>2020</c:v>
                </c:pt>
                <c:pt idx="13">
                  <c:v>2021</c:v>
                </c:pt>
                <c:pt idx="14">
                  <c:v>2022</c:v>
                </c:pt>
              </c:strCache>
            </c:strRef>
          </c:cat>
          <c:val>
            <c:numRef>
              <c:f>'graph si DBP2024 graf'!$C$3:$C$17</c:f>
              <c:numCache>
                <c:formatCode>0.0</c:formatCode>
                <c:ptCount val="15"/>
                <c:pt idx="0">
                  <c:v>11.188302326944765</c:v>
                </c:pt>
                <c:pt idx="1">
                  <c:v>1.1429587883008185</c:v>
                </c:pt>
                <c:pt idx="2">
                  <c:v>2.7065208396857221</c:v>
                </c:pt>
                <c:pt idx="3">
                  <c:v>5.8966901343852074</c:v>
                </c:pt>
                <c:pt idx="4">
                  <c:v>0.23039652237366592</c:v>
                </c:pt>
                <c:pt idx="5">
                  <c:v>-4.0106840810203659</c:v>
                </c:pt>
                <c:pt idx="6">
                  <c:v>-9.6847230209955235</c:v>
                </c:pt>
                <c:pt idx="7">
                  <c:v>-10.729463404940132</c:v>
                </c:pt>
                <c:pt idx="8">
                  <c:v>-9.2983064988938828</c:v>
                </c:pt>
                <c:pt idx="9">
                  <c:v>-6.7012259154591973</c:v>
                </c:pt>
                <c:pt idx="10">
                  <c:v>-4.5053100840603548</c:v>
                </c:pt>
                <c:pt idx="11">
                  <c:v>-2.2550600541948462</c:v>
                </c:pt>
                <c:pt idx="12">
                  <c:v>4.6377748822609144</c:v>
                </c:pt>
                <c:pt idx="13">
                  <c:v>12.639608317013229</c:v>
                </c:pt>
                <c:pt idx="14">
                  <c:v>8.7425212486001094</c:v>
                </c:pt>
              </c:numCache>
            </c:numRef>
          </c:val>
          <c:smooth val="0"/>
          <c:extLst>
            <c:ext xmlns:c16="http://schemas.microsoft.com/office/drawing/2014/chart" uri="{C3380CC4-5D6E-409C-BE32-E72D297353CC}">
              <c16:uniqueId val="{00000001-D5E4-4148-B700-D9AC4B35EF2F}"/>
            </c:ext>
          </c:extLst>
        </c:ser>
        <c:ser>
          <c:idx val="2"/>
          <c:order val="2"/>
          <c:tx>
            <c:strRef>
              <c:f>'graph si DBP2024 graf'!$D$2</c:f>
              <c:strCache>
                <c:ptCount val="1"/>
                <c:pt idx="0">
                  <c:v>Povprečje 2008-2021 (normalizirano na 0) </c:v>
                </c:pt>
              </c:strCache>
            </c:strRef>
          </c:tx>
          <c:spPr>
            <a:ln w="28575" cap="rnd">
              <a:solidFill>
                <a:srgbClr val="FF0000"/>
              </a:solidFill>
              <a:prstDash val="dash"/>
              <a:round/>
            </a:ln>
            <a:effectLst/>
          </c:spPr>
          <c:marker>
            <c:symbol val="none"/>
          </c:marker>
          <c:cat>
            <c:strRef>
              <c:f>'graph si DBP2024 graf'!$A$3:$A$17</c:f>
              <c:strCache>
                <c:ptCount val="15"/>
                <c:pt idx="0">
                  <c:v>2008</c:v>
                </c:pt>
                <c:pt idx="1">
                  <c:v>2009</c:v>
                </c:pt>
                <c:pt idx="2">
                  <c:v>2010</c:v>
                </c:pt>
                <c:pt idx="3">
                  <c:v>2011</c:v>
                </c:pt>
                <c:pt idx="4">
                  <c:v>2012</c:v>
                </c:pt>
                <c:pt idx="5">
                  <c:v>2013</c:v>
                </c:pt>
                <c:pt idx="6">
                  <c:v>2014</c:v>
                </c:pt>
                <c:pt idx="7">
                  <c:v>2015</c:v>
                </c:pt>
                <c:pt idx="8">
                  <c:v>2016</c:v>
                </c:pt>
                <c:pt idx="9">
                  <c:v>2017</c:v>
                </c:pt>
                <c:pt idx="10">
                  <c:v>2018</c:v>
                </c:pt>
                <c:pt idx="11">
                  <c:v>2019</c:v>
                </c:pt>
                <c:pt idx="12">
                  <c:v>2020</c:v>
                </c:pt>
                <c:pt idx="13">
                  <c:v>2021</c:v>
                </c:pt>
                <c:pt idx="14">
                  <c:v>2022</c:v>
                </c:pt>
              </c:strCache>
            </c:strRef>
          </c:cat>
          <c:val>
            <c:numRef>
              <c:f>'graph si DBP2024 graf'!$D$3:$D$17</c:f>
              <c:numCache>
                <c:formatCode>General</c:formatCode>
                <c:ptCount val="15"/>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numCache>
            </c:numRef>
          </c:val>
          <c:smooth val="0"/>
          <c:extLst>
            <c:ext xmlns:c16="http://schemas.microsoft.com/office/drawing/2014/chart" uri="{C3380CC4-5D6E-409C-BE32-E72D297353CC}">
              <c16:uniqueId val="{00000002-D5E4-4148-B700-D9AC4B35EF2F}"/>
            </c:ext>
          </c:extLst>
        </c:ser>
        <c:dLbls>
          <c:showLegendKey val="0"/>
          <c:showVal val="0"/>
          <c:showCatName val="0"/>
          <c:showSerName val="0"/>
          <c:showPercent val="0"/>
          <c:showBubbleSize val="0"/>
        </c:dLbls>
        <c:smooth val="0"/>
        <c:axId val="679922360"/>
        <c:axId val="679920392"/>
      </c:lineChart>
      <c:catAx>
        <c:axId val="679922360"/>
        <c:scaling>
          <c:orientation val="minMax"/>
        </c:scaling>
        <c:delete val="0"/>
        <c:axPos val="b"/>
        <c:numFmt formatCode="General" sourceLinked="1"/>
        <c:majorTickMark val="none"/>
        <c:minorTickMark val="none"/>
        <c:tickLblPos val="low"/>
        <c:spPr>
          <a:noFill/>
          <a:ln w="28575" cap="flat" cmpd="sng" algn="ctr">
            <a:noFill/>
            <a:prstDash val="dash"/>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679920392"/>
        <c:crosses val="autoZero"/>
        <c:auto val="1"/>
        <c:lblAlgn val="ctr"/>
        <c:lblOffset val="100"/>
        <c:noMultiLvlLbl val="0"/>
      </c:catAx>
      <c:valAx>
        <c:axId val="679920392"/>
        <c:scaling>
          <c:orientation val="minMax"/>
          <c:min val="-1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sl-SI">
                    <a:solidFill>
                      <a:sysClr val="windowText" lastClr="000000"/>
                    </a:solidFill>
                  </a:rPr>
                  <a:t>odstopanje od dolgoročnega povprečja v %</a:t>
                </a:r>
              </a:p>
            </c:rich>
          </c:tx>
          <c:layout>
            <c:manualLayout>
              <c:xMode val="edge"/>
              <c:yMode val="edge"/>
              <c:x val="1.0194312820023213E-2"/>
              <c:y val="1.2644929450932724E-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679922360"/>
        <c:crosses val="autoZero"/>
        <c:crossBetween val="between"/>
      </c:valAx>
      <c:spPr>
        <a:noFill/>
        <a:ln>
          <a:noFill/>
        </a:ln>
        <a:effectLst/>
      </c:spPr>
    </c:plotArea>
    <c:legend>
      <c:legendPos val="b"/>
      <c:layout>
        <c:manualLayout>
          <c:xMode val="edge"/>
          <c:yMode val="edge"/>
          <c:x val="4.3930684572650223E-2"/>
          <c:y val="0.80155014180274442"/>
          <c:w val="0.92743499796751028"/>
          <c:h val="0.17775088516619986"/>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1300075977344937"/>
          <c:y val="2.6018567906392089E-2"/>
          <c:w val="0.7387536261914629"/>
          <c:h val="0.63654605440134404"/>
        </c:manualLayout>
      </c:layout>
      <c:lineChart>
        <c:grouping val="standard"/>
        <c:varyColors val="0"/>
        <c:ser>
          <c:idx val="0"/>
          <c:order val="0"/>
          <c:tx>
            <c:strRef>
              <c:f>deflatorji!$A$6</c:f>
              <c:strCache>
                <c:ptCount val="1"/>
                <c:pt idx="0">
                  <c:v>BDP deflator</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deflatorji!$G$3:$P$3</c:f>
              <c:numCache>
                <c:formatCode>General</c:formatCode>
                <c:ptCount val="10"/>
                <c:pt idx="0">
                  <c:v>2015</c:v>
                </c:pt>
                <c:pt idx="1">
                  <c:v>2016</c:v>
                </c:pt>
                <c:pt idx="2">
                  <c:v>2017</c:v>
                </c:pt>
                <c:pt idx="3">
                  <c:v>2018</c:v>
                </c:pt>
                <c:pt idx="4">
                  <c:v>2019</c:v>
                </c:pt>
                <c:pt idx="5">
                  <c:v>2020</c:v>
                </c:pt>
                <c:pt idx="6">
                  <c:v>2021</c:v>
                </c:pt>
                <c:pt idx="7">
                  <c:v>2022</c:v>
                </c:pt>
                <c:pt idx="8">
                  <c:v>2023</c:v>
                </c:pt>
                <c:pt idx="9">
                  <c:v>2024</c:v>
                </c:pt>
              </c:numCache>
            </c:numRef>
          </c:cat>
          <c:val>
            <c:numRef>
              <c:f>deflatorji!$G$6:$P$6</c:f>
              <c:numCache>
                <c:formatCode>0.0</c:formatCode>
                <c:ptCount val="10"/>
                <c:pt idx="0">
                  <c:v>101</c:v>
                </c:pt>
                <c:pt idx="1">
                  <c:v>100.9</c:v>
                </c:pt>
                <c:pt idx="2">
                  <c:v>101.5</c:v>
                </c:pt>
                <c:pt idx="3">
                  <c:v>102.1</c:v>
                </c:pt>
                <c:pt idx="4">
                  <c:v>102.3</c:v>
                </c:pt>
                <c:pt idx="5">
                  <c:v>101.1</c:v>
                </c:pt>
                <c:pt idx="6">
                  <c:v>102.7</c:v>
                </c:pt>
                <c:pt idx="7">
                  <c:v>106.5</c:v>
                </c:pt>
                <c:pt idx="8">
                  <c:v>108.7</c:v>
                </c:pt>
                <c:pt idx="9">
                  <c:v>104</c:v>
                </c:pt>
              </c:numCache>
            </c:numRef>
          </c:val>
          <c:smooth val="0"/>
          <c:extLst>
            <c:ext xmlns:c16="http://schemas.microsoft.com/office/drawing/2014/chart" uri="{C3380CC4-5D6E-409C-BE32-E72D297353CC}">
              <c16:uniqueId val="{00000000-2793-40AD-B694-E5C511E40E96}"/>
            </c:ext>
          </c:extLst>
        </c:ser>
        <c:ser>
          <c:idx val="1"/>
          <c:order val="1"/>
          <c:tx>
            <c:strRef>
              <c:f>deflatorji!$A$8</c:f>
              <c:strCache>
                <c:ptCount val="1"/>
                <c:pt idx="0">
                  <c:v>Deflator uvoza</c:v>
                </c:pt>
              </c:strCache>
            </c:strRef>
          </c:tx>
          <c:spPr>
            <a:ln w="28575" cap="rnd">
              <a:solidFill>
                <a:schemeClr val="tx1">
                  <a:lumMod val="50000"/>
                  <a:lumOff val="50000"/>
                </a:schemeClr>
              </a:solidFill>
              <a:round/>
            </a:ln>
            <a:effectLst/>
          </c:spPr>
          <c:marker>
            <c:symbol val="none"/>
          </c:marker>
          <c:cat>
            <c:numRef>
              <c:f>deflatorji!$G$3:$P$3</c:f>
              <c:numCache>
                <c:formatCode>General</c:formatCode>
                <c:ptCount val="10"/>
                <c:pt idx="0">
                  <c:v>2015</c:v>
                </c:pt>
                <c:pt idx="1">
                  <c:v>2016</c:v>
                </c:pt>
                <c:pt idx="2">
                  <c:v>2017</c:v>
                </c:pt>
                <c:pt idx="3">
                  <c:v>2018</c:v>
                </c:pt>
                <c:pt idx="4">
                  <c:v>2019</c:v>
                </c:pt>
                <c:pt idx="5">
                  <c:v>2020</c:v>
                </c:pt>
                <c:pt idx="6">
                  <c:v>2021</c:v>
                </c:pt>
                <c:pt idx="7">
                  <c:v>2022</c:v>
                </c:pt>
                <c:pt idx="8">
                  <c:v>2023</c:v>
                </c:pt>
                <c:pt idx="9">
                  <c:v>2024</c:v>
                </c:pt>
              </c:numCache>
            </c:numRef>
          </c:cat>
          <c:val>
            <c:numRef>
              <c:f>deflatorji!$G$8:$P$8</c:f>
              <c:numCache>
                <c:formatCode>0.0</c:formatCode>
                <c:ptCount val="10"/>
                <c:pt idx="0">
                  <c:v>98.6</c:v>
                </c:pt>
                <c:pt idx="1">
                  <c:v>97.8</c:v>
                </c:pt>
                <c:pt idx="2">
                  <c:v>103.2</c:v>
                </c:pt>
                <c:pt idx="3">
                  <c:v>102.6</c:v>
                </c:pt>
                <c:pt idx="4">
                  <c:v>99.4</c:v>
                </c:pt>
                <c:pt idx="5">
                  <c:v>97.7</c:v>
                </c:pt>
                <c:pt idx="6">
                  <c:v>106.5</c:v>
                </c:pt>
                <c:pt idx="7">
                  <c:v>118.3</c:v>
                </c:pt>
                <c:pt idx="8">
                  <c:v>99.5</c:v>
                </c:pt>
                <c:pt idx="9">
                  <c:v>100.6</c:v>
                </c:pt>
              </c:numCache>
            </c:numRef>
          </c:val>
          <c:smooth val="0"/>
          <c:extLst>
            <c:ext xmlns:c16="http://schemas.microsoft.com/office/drawing/2014/chart" uri="{C3380CC4-5D6E-409C-BE32-E72D297353CC}">
              <c16:uniqueId val="{00000001-2793-40AD-B694-E5C511E40E96}"/>
            </c:ext>
          </c:extLst>
        </c:ser>
        <c:ser>
          <c:idx val="2"/>
          <c:order val="2"/>
          <c:tx>
            <c:strRef>
              <c:f>deflatorji!$A$10</c:f>
              <c:strCache>
                <c:ptCount val="1"/>
                <c:pt idx="0">
                  <c:v>Deflator domače potrošnje</c:v>
                </c:pt>
              </c:strCache>
            </c:strRef>
          </c:tx>
          <c:spPr>
            <a:ln w="28575" cap="rnd">
              <a:solidFill>
                <a:srgbClr val="002060"/>
              </a:solidFill>
              <a:prstDash val="sysDash"/>
              <a:round/>
            </a:ln>
            <a:effectLst/>
          </c:spPr>
          <c:marker>
            <c:symbol val="none"/>
          </c:marker>
          <c:cat>
            <c:numRef>
              <c:f>deflatorji!$G$3:$P$3</c:f>
              <c:numCache>
                <c:formatCode>General</c:formatCode>
                <c:ptCount val="10"/>
                <c:pt idx="0">
                  <c:v>2015</c:v>
                </c:pt>
                <c:pt idx="1">
                  <c:v>2016</c:v>
                </c:pt>
                <c:pt idx="2">
                  <c:v>2017</c:v>
                </c:pt>
                <c:pt idx="3">
                  <c:v>2018</c:v>
                </c:pt>
                <c:pt idx="4">
                  <c:v>2019</c:v>
                </c:pt>
                <c:pt idx="5">
                  <c:v>2020</c:v>
                </c:pt>
                <c:pt idx="6">
                  <c:v>2021</c:v>
                </c:pt>
                <c:pt idx="7">
                  <c:v>2022</c:v>
                </c:pt>
                <c:pt idx="8">
                  <c:v>2023</c:v>
                </c:pt>
                <c:pt idx="9">
                  <c:v>2024</c:v>
                </c:pt>
              </c:numCache>
            </c:numRef>
          </c:cat>
          <c:val>
            <c:numRef>
              <c:f>deflatorji!$G$10:$P$10</c:f>
              <c:numCache>
                <c:formatCode>0.0</c:formatCode>
                <c:ptCount val="10"/>
                <c:pt idx="0">
                  <c:v>100.1</c:v>
                </c:pt>
                <c:pt idx="1">
                  <c:v>100.4</c:v>
                </c:pt>
                <c:pt idx="2">
                  <c:v>101.8</c:v>
                </c:pt>
                <c:pt idx="3">
                  <c:v>102.1</c:v>
                </c:pt>
                <c:pt idx="4">
                  <c:v>102.1</c:v>
                </c:pt>
                <c:pt idx="5">
                  <c:v>100.8</c:v>
                </c:pt>
                <c:pt idx="6">
                  <c:v>104.3</c:v>
                </c:pt>
                <c:pt idx="7">
                  <c:v>109.2</c:v>
                </c:pt>
                <c:pt idx="8">
                  <c:v>107.1</c:v>
                </c:pt>
                <c:pt idx="9">
                  <c:v>103.8</c:v>
                </c:pt>
              </c:numCache>
            </c:numRef>
          </c:val>
          <c:smooth val="0"/>
          <c:extLst>
            <c:ext xmlns:c16="http://schemas.microsoft.com/office/drawing/2014/chart" uri="{C3380CC4-5D6E-409C-BE32-E72D297353CC}">
              <c16:uniqueId val="{00000002-2793-40AD-B694-E5C511E40E96}"/>
            </c:ext>
          </c:extLst>
        </c:ser>
        <c:dLbls>
          <c:showLegendKey val="0"/>
          <c:showVal val="0"/>
          <c:showCatName val="0"/>
          <c:showSerName val="0"/>
          <c:showPercent val="0"/>
          <c:showBubbleSize val="0"/>
        </c:dLbls>
        <c:marker val="1"/>
        <c:smooth val="0"/>
        <c:axId val="1976881568"/>
        <c:axId val="263713264"/>
      </c:lineChart>
      <c:catAx>
        <c:axId val="19768815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63713264"/>
        <c:crosses val="autoZero"/>
        <c:auto val="1"/>
        <c:lblAlgn val="ctr"/>
        <c:lblOffset val="100"/>
        <c:noMultiLvlLbl val="0"/>
      </c:catAx>
      <c:valAx>
        <c:axId val="263713264"/>
        <c:scaling>
          <c:orientation val="minMax"/>
          <c:min val="9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sl-SI"/>
                  <a:t>indeks</a:t>
                </a:r>
                <a:endParaRPr lang="en-US"/>
              </a:p>
            </c:rich>
          </c:tx>
          <c:layout>
            <c:manualLayout>
              <c:xMode val="edge"/>
              <c:yMode val="edge"/>
              <c:x val="7.3123726667033765E-4"/>
              <c:y val="0.26388348469886275"/>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976881568"/>
        <c:crosses val="autoZero"/>
        <c:crossBetween val="between"/>
      </c:valAx>
      <c:spPr>
        <a:noFill/>
        <a:ln>
          <a:noFill/>
        </a:ln>
        <a:effectLst/>
      </c:spPr>
    </c:plotArea>
    <c:legend>
      <c:legendPos val="b"/>
      <c:layout>
        <c:manualLayout>
          <c:xMode val="edge"/>
          <c:yMode val="edge"/>
          <c:x val="0.1083248314890871"/>
          <c:y val="0.8257787293404999"/>
          <c:w val="0.81300302578456762"/>
          <c:h val="0.14419892799994033"/>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050992371772924"/>
          <c:y val="2.3818385451168128E-2"/>
          <c:w val="0.77455876543860092"/>
          <c:h val="0.67624307694408969"/>
        </c:manualLayout>
      </c:layout>
      <c:barChart>
        <c:barDir val="col"/>
        <c:grouping val="stacked"/>
        <c:varyColors val="0"/>
        <c:ser>
          <c:idx val="0"/>
          <c:order val="0"/>
          <c:tx>
            <c:strRef>
              <c:f>'prispevki BDP deflatorju poprav'!$A$48</c:f>
              <c:strCache>
                <c:ptCount val="1"/>
                <c:pt idx="0">
                  <c:v>Stroški dela</c:v>
                </c:pt>
              </c:strCache>
            </c:strRef>
          </c:tx>
          <c:spPr>
            <a:solidFill>
              <a:schemeClr val="tx1">
                <a:lumMod val="50000"/>
                <a:lumOff val="50000"/>
              </a:schemeClr>
            </a:solidFill>
            <a:ln>
              <a:solidFill>
                <a:schemeClr val="bg2">
                  <a:lumMod val="50000"/>
                </a:schemeClr>
              </a:solidFill>
            </a:ln>
            <a:effectLst/>
          </c:spPr>
          <c:invertIfNegative val="0"/>
          <c:cat>
            <c:strRef>
              <c:f>'prispevki BDP deflatorju poprav'!$J$47:$S$47</c:f>
              <c:strCache>
                <c:ptCount val="10"/>
                <c:pt idx="0">
                  <c:v>2015</c:v>
                </c:pt>
                <c:pt idx="1">
                  <c:v>2016</c:v>
                </c:pt>
                <c:pt idx="2">
                  <c:v>2017</c:v>
                </c:pt>
                <c:pt idx="3">
                  <c:v>2018</c:v>
                </c:pt>
                <c:pt idx="4">
                  <c:v>2019</c:v>
                </c:pt>
                <c:pt idx="5">
                  <c:v>2020</c:v>
                </c:pt>
                <c:pt idx="6">
                  <c:v>2021</c:v>
                </c:pt>
                <c:pt idx="7">
                  <c:v>2022</c:v>
                </c:pt>
                <c:pt idx="8">
                  <c:v>2023</c:v>
                </c:pt>
                <c:pt idx="9">
                  <c:v>2024</c:v>
                </c:pt>
              </c:strCache>
            </c:strRef>
          </c:cat>
          <c:val>
            <c:numRef>
              <c:f>'prispevki BDP deflatorju poprav'!$J$48:$S$48</c:f>
              <c:numCache>
                <c:formatCode>0.0</c:formatCode>
                <c:ptCount val="10"/>
                <c:pt idx="0">
                  <c:v>0.31296277805966327</c:v>
                </c:pt>
                <c:pt idx="1">
                  <c:v>1.0634484400856712</c:v>
                </c:pt>
                <c:pt idx="2">
                  <c:v>0.75151054012383212</c:v>
                </c:pt>
                <c:pt idx="3">
                  <c:v>1.3927186685999682</c:v>
                </c:pt>
                <c:pt idx="4">
                  <c:v>2.0194602721185948</c:v>
                </c:pt>
                <c:pt idx="5">
                  <c:v>3.5892608069500271</c:v>
                </c:pt>
                <c:pt idx="6">
                  <c:v>0.53590448139046531</c:v>
                </c:pt>
                <c:pt idx="7">
                  <c:v>2.6840047692473461</c:v>
                </c:pt>
                <c:pt idx="8">
                  <c:v>5.0689436150091165</c:v>
                </c:pt>
                <c:pt idx="9">
                  <c:v>2.4532236657416404</c:v>
                </c:pt>
              </c:numCache>
            </c:numRef>
          </c:val>
          <c:extLst>
            <c:ext xmlns:c16="http://schemas.microsoft.com/office/drawing/2014/chart" uri="{C3380CC4-5D6E-409C-BE32-E72D297353CC}">
              <c16:uniqueId val="{00000000-CFEB-4CDE-8F5E-392896BE86FE}"/>
            </c:ext>
          </c:extLst>
        </c:ser>
        <c:ser>
          <c:idx val="1"/>
          <c:order val="1"/>
          <c:tx>
            <c:strRef>
              <c:f>'prispevki BDP deflatorju poprav'!$A$51</c:f>
              <c:strCache>
                <c:ptCount val="1"/>
                <c:pt idx="0">
                  <c:v>Davki </c:v>
                </c:pt>
              </c:strCache>
            </c:strRef>
          </c:tx>
          <c:spPr>
            <a:solidFill>
              <a:schemeClr val="accent1">
                <a:lumMod val="40000"/>
                <a:lumOff val="60000"/>
              </a:schemeClr>
            </a:solidFill>
            <a:ln>
              <a:solidFill>
                <a:schemeClr val="accent1">
                  <a:lumMod val="20000"/>
                  <a:lumOff val="80000"/>
                </a:schemeClr>
              </a:solidFill>
            </a:ln>
            <a:effectLst/>
          </c:spPr>
          <c:invertIfNegative val="0"/>
          <c:cat>
            <c:strRef>
              <c:f>'prispevki BDP deflatorju poprav'!$J$47:$S$47</c:f>
              <c:strCache>
                <c:ptCount val="10"/>
                <c:pt idx="0">
                  <c:v>2015</c:v>
                </c:pt>
                <c:pt idx="1">
                  <c:v>2016</c:v>
                </c:pt>
                <c:pt idx="2">
                  <c:v>2017</c:v>
                </c:pt>
                <c:pt idx="3">
                  <c:v>2018</c:v>
                </c:pt>
                <c:pt idx="4">
                  <c:v>2019</c:v>
                </c:pt>
                <c:pt idx="5">
                  <c:v>2020</c:v>
                </c:pt>
                <c:pt idx="6">
                  <c:v>2021</c:v>
                </c:pt>
                <c:pt idx="7">
                  <c:v>2022</c:v>
                </c:pt>
                <c:pt idx="8">
                  <c:v>2023</c:v>
                </c:pt>
                <c:pt idx="9">
                  <c:v>2024</c:v>
                </c:pt>
              </c:strCache>
            </c:strRef>
          </c:cat>
          <c:val>
            <c:numRef>
              <c:f>'prispevki BDP deflatorju poprav'!$J$51:$S$51</c:f>
              <c:numCache>
                <c:formatCode>0.0</c:formatCode>
                <c:ptCount val="10"/>
                <c:pt idx="0">
                  <c:v>0.26745868520227589</c:v>
                </c:pt>
                <c:pt idx="1">
                  <c:v>-6.8040017859487989E-2</c:v>
                </c:pt>
                <c:pt idx="2">
                  <c:v>-0.14196396533684111</c:v>
                </c:pt>
                <c:pt idx="3">
                  <c:v>5.9137987909287551E-2</c:v>
                </c:pt>
                <c:pt idx="4">
                  <c:v>0.2591992469771241</c:v>
                </c:pt>
                <c:pt idx="5">
                  <c:v>-4.2594586119895839</c:v>
                </c:pt>
                <c:pt idx="6">
                  <c:v>2.3413780781976858</c:v>
                </c:pt>
                <c:pt idx="7">
                  <c:v>2.0518442734695661</c:v>
                </c:pt>
                <c:pt idx="8">
                  <c:v>-0.54775275975543203</c:v>
                </c:pt>
                <c:pt idx="9">
                  <c:v>1.8223980608864085</c:v>
                </c:pt>
              </c:numCache>
            </c:numRef>
          </c:val>
          <c:extLst>
            <c:ext xmlns:c16="http://schemas.microsoft.com/office/drawing/2014/chart" uri="{C3380CC4-5D6E-409C-BE32-E72D297353CC}">
              <c16:uniqueId val="{00000001-CFEB-4CDE-8F5E-392896BE86FE}"/>
            </c:ext>
          </c:extLst>
        </c:ser>
        <c:ser>
          <c:idx val="2"/>
          <c:order val="2"/>
          <c:tx>
            <c:strRef>
              <c:f>'prispevki BDP deflatorju poprav'!$A$52</c:f>
              <c:strCache>
                <c:ptCount val="1"/>
                <c:pt idx="0">
                  <c:v>Poslovni presežek</c:v>
                </c:pt>
              </c:strCache>
            </c:strRef>
          </c:tx>
          <c:spPr>
            <a:solidFill>
              <a:srgbClr val="002060"/>
            </a:solidFill>
            <a:ln>
              <a:solidFill>
                <a:srgbClr val="002060"/>
              </a:solidFill>
            </a:ln>
            <a:effectLst/>
          </c:spPr>
          <c:invertIfNegative val="0"/>
          <c:cat>
            <c:strRef>
              <c:f>'prispevki BDP deflatorju poprav'!$J$47:$S$47</c:f>
              <c:strCache>
                <c:ptCount val="10"/>
                <c:pt idx="0">
                  <c:v>2015</c:v>
                </c:pt>
                <c:pt idx="1">
                  <c:v>2016</c:v>
                </c:pt>
                <c:pt idx="2">
                  <c:v>2017</c:v>
                </c:pt>
                <c:pt idx="3">
                  <c:v>2018</c:v>
                </c:pt>
                <c:pt idx="4">
                  <c:v>2019</c:v>
                </c:pt>
                <c:pt idx="5">
                  <c:v>2020</c:v>
                </c:pt>
                <c:pt idx="6">
                  <c:v>2021</c:v>
                </c:pt>
                <c:pt idx="7">
                  <c:v>2022</c:v>
                </c:pt>
                <c:pt idx="8">
                  <c:v>2023</c:v>
                </c:pt>
                <c:pt idx="9">
                  <c:v>2024</c:v>
                </c:pt>
              </c:strCache>
            </c:strRef>
          </c:cat>
          <c:val>
            <c:numRef>
              <c:f>'prispevki BDP deflatorju poprav'!$J$52:$S$52</c:f>
              <c:numCache>
                <c:formatCode>0.0</c:formatCode>
                <c:ptCount val="10"/>
                <c:pt idx="0">
                  <c:v>0.42593383961654535</c:v>
                </c:pt>
                <c:pt idx="1">
                  <c:v>-0.11981333808807565</c:v>
                </c:pt>
                <c:pt idx="2">
                  <c:v>0.85600324463828203</c:v>
                </c:pt>
                <c:pt idx="3">
                  <c:v>0.66064766797431496</c:v>
                </c:pt>
                <c:pt idx="4">
                  <c:v>1.5043646779754649E-2</c:v>
                </c:pt>
                <c:pt idx="5">
                  <c:v>1.7934767039123751</c:v>
                </c:pt>
                <c:pt idx="6">
                  <c:v>-0.20032330739354584</c:v>
                </c:pt>
                <c:pt idx="7">
                  <c:v>1.7474699689282052</c:v>
                </c:pt>
                <c:pt idx="8">
                  <c:v>4.1401088063194669</c:v>
                </c:pt>
                <c:pt idx="9">
                  <c:v>-0.2814322778281293</c:v>
                </c:pt>
              </c:numCache>
            </c:numRef>
          </c:val>
          <c:extLst>
            <c:ext xmlns:c16="http://schemas.microsoft.com/office/drawing/2014/chart" uri="{C3380CC4-5D6E-409C-BE32-E72D297353CC}">
              <c16:uniqueId val="{00000002-CFEB-4CDE-8F5E-392896BE86FE}"/>
            </c:ext>
          </c:extLst>
        </c:ser>
        <c:dLbls>
          <c:showLegendKey val="0"/>
          <c:showVal val="0"/>
          <c:showCatName val="0"/>
          <c:showSerName val="0"/>
          <c:showPercent val="0"/>
          <c:showBubbleSize val="0"/>
        </c:dLbls>
        <c:gapWidth val="219"/>
        <c:overlap val="100"/>
        <c:axId val="228761632"/>
        <c:axId val="472525312"/>
      </c:barChart>
      <c:lineChart>
        <c:grouping val="standard"/>
        <c:varyColors val="0"/>
        <c:ser>
          <c:idx val="3"/>
          <c:order val="3"/>
          <c:tx>
            <c:strRef>
              <c:f>'prispevki BDP deflatorju poprav'!$A$53</c:f>
              <c:strCache>
                <c:ptCount val="1"/>
                <c:pt idx="0">
                  <c:v>BDP deflator</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'prispevki BDP deflatorju poprav'!$J$47:$S$47</c:f>
              <c:strCache>
                <c:ptCount val="10"/>
                <c:pt idx="0">
                  <c:v>2015</c:v>
                </c:pt>
                <c:pt idx="1">
                  <c:v>2016</c:v>
                </c:pt>
                <c:pt idx="2">
                  <c:v>2017</c:v>
                </c:pt>
                <c:pt idx="3">
                  <c:v>2018</c:v>
                </c:pt>
                <c:pt idx="4">
                  <c:v>2019</c:v>
                </c:pt>
                <c:pt idx="5">
                  <c:v>2020</c:v>
                </c:pt>
                <c:pt idx="6">
                  <c:v>2021</c:v>
                </c:pt>
                <c:pt idx="7">
                  <c:v>2022</c:v>
                </c:pt>
                <c:pt idx="8">
                  <c:v>2023</c:v>
                </c:pt>
                <c:pt idx="9">
                  <c:v>2024</c:v>
                </c:pt>
              </c:strCache>
            </c:strRef>
          </c:cat>
          <c:val>
            <c:numRef>
              <c:f>'prispevki BDP deflatorju poprav'!$J$53:$S$53</c:f>
              <c:numCache>
                <c:formatCode>0.0</c:formatCode>
                <c:ptCount val="10"/>
                <c:pt idx="0">
                  <c:v>1.0001836222537963</c:v>
                </c:pt>
                <c:pt idx="1">
                  <c:v>0.87512798359770527</c:v>
                </c:pt>
                <c:pt idx="2">
                  <c:v>1.4649693220851734</c:v>
                </c:pt>
                <c:pt idx="3">
                  <c:v>2.1119242538792311</c:v>
                </c:pt>
                <c:pt idx="4">
                  <c:v>2.2924845725706016</c:v>
                </c:pt>
                <c:pt idx="5">
                  <c:v>1.1232788988728171</c:v>
                </c:pt>
                <c:pt idx="6">
                  <c:v>2.6769592521946071</c:v>
                </c:pt>
                <c:pt idx="7">
                  <c:v>6.4833190116451167</c:v>
                </c:pt>
                <c:pt idx="8">
                  <c:v>8.6612996615731497</c:v>
                </c:pt>
                <c:pt idx="9">
                  <c:v>3.9941894487999212</c:v>
                </c:pt>
              </c:numCache>
            </c:numRef>
          </c:val>
          <c:smooth val="0"/>
          <c:extLst>
            <c:ext xmlns:c16="http://schemas.microsoft.com/office/drawing/2014/chart" uri="{C3380CC4-5D6E-409C-BE32-E72D297353CC}">
              <c16:uniqueId val="{00000003-CFEB-4CDE-8F5E-392896BE86FE}"/>
            </c:ext>
          </c:extLst>
        </c:ser>
        <c:dLbls>
          <c:showLegendKey val="0"/>
          <c:showVal val="0"/>
          <c:showCatName val="0"/>
          <c:showSerName val="0"/>
          <c:showPercent val="0"/>
          <c:showBubbleSize val="0"/>
        </c:dLbls>
        <c:marker val="1"/>
        <c:smooth val="0"/>
        <c:axId val="228761632"/>
        <c:axId val="472525312"/>
      </c:lineChart>
      <c:catAx>
        <c:axId val="228761632"/>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472525312"/>
        <c:crosses val="autoZero"/>
        <c:auto val="1"/>
        <c:lblAlgn val="ctr"/>
        <c:lblOffset val="100"/>
        <c:noMultiLvlLbl val="0"/>
      </c:catAx>
      <c:valAx>
        <c:axId val="4725253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sl-SI"/>
                  <a:t>%, o.t.</a:t>
                </a:r>
                <a:endParaRPr lang="en-US"/>
              </a:p>
            </c:rich>
          </c:tx>
          <c:layout>
            <c:manualLayout>
              <c:xMode val="edge"/>
              <c:yMode val="edge"/>
              <c:x val="1.2795905310300703E-2"/>
              <c:y val="0.30028586252755751"/>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28761632"/>
        <c:crosses val="autoZero"/>
        <c:crossBetween val="between"/>
      </c:valAx>
      <c:spPr>
        <a:noFill/>
        <a:ln>
          <a:noFill/>
        </a:ln>
        <a:effectLst/>
      </c:spPr>
    </c:plotArea>
    <c:legend>
      <c:legendPos val="b"/>
      <c:layout>
        <c:manualLayout>
          <c:xMode val="edge"/>
          <c:yMode val="edge"/>
          <c:x val="0.12624584134341066"/>
          <c:y val="0.85915787668722254"/>
          <c:w val="0.87375415865658934"/>
          <c:h val="0.12190571807370536"/>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2"/>
          <c:order val="2"/>
          <c:tx>
            <c:strRef>
              <c:f>'Primerjava OG'!$K$1</c:f>
              <c:strCache>
                <c:ptCount val="1"/>
                <c:pt idx="0">
                  <c:v>Realna rast BDP</c:v>
                </c:pt>
              </c:strCache>
            </c:strRef>
          </c:tx>
          <c:spPr>
            <a:solidFill>
              <a:schemeClr val="accent3"/>
            </a:solidFill>
            <a:ln>
              <a:noFill/>
            </a:ln>
            <a:effectLst/>
          </c:spPr>
          <c:invertIfNegative val="0"/>
          <c:cat>
            <c:numRef>
              <c:f>'Primerjava OG'!$A$2:$A$30</c:f>
              <c:numCache>
                <c:formatCode>General</c:formatCode>
                <c:ptCount val="29"/>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pt idx="21">
                  <c:v>2021</c:v>
                </c:pt>
                <c:pt idx="22">
                  <c:v>2022</c:v>
                </c:pt>
                <c:pt idx="23">
                  <c:v>2023</c:v>
                </c:pt>
                <c:pt idx="24">
                  <c:v>2024</c:v>
                </c:pt>
                <c:pt idx="25">
                  <c:v>2025</c:v>
                </c:pt>
                <c:pt idx="26">
                  <c:v>2026</c:v>
                </c:pt>
                <c:pt idx="27">
                  <c:v>2027</c:v>
                </c:pt>
                <c:pt idx="28">
                  <c:v>2028</c:v>
                </c:pt>
              </c:numCache>
            </c:numRef>
          </c:cat>
          <c:val>
            <c:numRef>
              <c:f>'Primerjava OG'!$K$2:$K$30</c:f>
              <c:numCache>
                <c:formatCode>0.0</c:formatCode>
                <c:ptCount val="29"/>
                <c:pt idx="0">
                  <c:v>3.6725627436510848</c:v>
                </c:pt>
                <c:pt idx="1">
                  <c:v>3.2164015990336736</c:v>
                </c:pt>
                <c:pt idx="2">
                  <c:v>3.5055639726242021</c:v>
                </c:pt>
                <c:pt idx="3">
                  <c:v>2.9601588263005567</c:v>
                </c:pt>
                <c:pt idx="4">
                  <c:v>4.3594779999803706</c:v>
                </c:pt>
                <c:pt idx="5">
                  <c:v>3.7978053088476855</c:v>
                </c:pt>
                <c:pt idx="6">
                  <c:v>5.7463877650153989</c:v>
                </c:pt>
                <c:pt idx="7">
                  <c:v>6.9802475969288622</c:v>
                </c:pt>
                <c:pt idx="8">
                  <c:v>3.5097638643673719</c:v>
                </c:pt>
                <c:pt idx="9">
                  <c:v>-7.5485553213746641</c:v>
                </c:pt>
                <c:pt idx="10">
                  <c:v>1.3438605194291426</c:v>
                </c:pt>
                <c:pt idx="11">
                  <c:v>0.86129375562026667</c:v>
                </c:pt>
                <c:pt idx="12">
                  <c:v>-2.6392490136897351</c:v>
                </c:pt>
                <c:pt idx="13">
                  <c:v>-1.029429473159496</c:v>
                </c:pt>
                <c:pt idx="14">
                  <c:v>2.7681337803998218</c:v>
                </c:pt>
                <c:pt idx="15">
                  <c:v>2.2100892626060613</c:v>
                </c:pt>
                <c:pt idx="16">
                  <c:v>3.191864772038528</c:v>
                </c:pt>
                <c:pt idx="17">
                  <c:v>4.8155186726324359</c:v>
                </c:pt>
                <c:pt idx="18">
                  <c:v>4.4543124768069475</c:v>
                </c:pt>
                <c:pt idx="19">
                  <c:v>3.5226010119073123</c:v>
                </c:pt>
                <c:pt idx="20">
                  <c:v>-4.2408678428301698</c:v>
                </c:pt>
                <c:pt idx="21">
                  <c:v>8.228406775910571</c:v>
                </c:pt>
                <c:pt idx="22">
                  <c:v>2.4607869718074937</c:v>
                </c:pt>
                <c:pt idx="23">
                  <c:v>1.5649988896992824</c:v>
                </c:pt>
                <c:pt idx="24">
                  <c:v>2.8424835244073847</c:v>
                </c:pt>
                <c:pt idx="25">
                  <c:v>2.4911184522172078</c:v>
                </c:pt>
                <c:pt idx="26">
                  <c:v>2.6009879015341824</c:v>
                </c:pt>
                <c:pt idx="27">
                  <c:v>2.536974537318045</c:v>
                </c:pt>
                <c:pt idx="28">
                  <c:v>2.549922190923354</c:v>
                </c:pt>
              </c:numCache>
            </c:numRef>
          </c:val>
          <c:extLst>
            <c:ext xmlns:c16="http://schemas.microsoft.com/office/drawing/2014/chart" uri="{C3380CC4-5D6E-409C-BE32-E72D297353CC}">
              <c16:uniqueId val="{00000000-1F8E-43A6-B6EF-0F8F8E866BFA}"/>
            </c:ext>
          </c:extLst>
        </c:ser>
        <c:dLbls>
          <c:showLegendKey val="0"/>
          <c:showVal val="0"/>
          <c:showCatName val="0"/>
          <c:showSerName val="0"/>
          <c:showPercent val="0"/>
          <c:showBubbleSize val="0"/>
        </c:dLbls>
        <c:gapWidth val="219"/>
        <c:axId val="512898448"/>
        <c:axId val="1969896896"/>
      </c:barChart>
      <c:lineChart>
        <c:grouping val="standard"/>
        <c:varyColors val="0"/>
        <c:ser>
          <c:idx val="0"/>
          <c:order val="0"/>
          <c:tx>
            <c:strRef>
              <c:f>'Primerjava OG'!$D$1</c:f>
              <c:strCache>
                <c:ptCount val="1"/>
                <c:pt idx="0">
                  <c:v>Proizvodna vrzel MF OPN 2024 </c:v>
                </c:pt>
              </c:strCache>
            </c:strRef>
          </c:tx>
          <c:spPr>
            <a:ln w="28575" cap="rnd">
              <a:solidFill>
                <a:srgbClr val="002060"/>
              </a:solidFill>
              <a:round/>
            </a:ln>
            <a:effectLst/>
          </c:spPr>
          <c:marker>
            <c:symbol val="none"/>
          </c:marker>
          <c:cat>
            <c:numRef>
              <c:f>'Primerjava OG'!$A$2:$A$30</c:f>
              <c:numCache>
                <c:formatCode>General</c:formatCode>
                <c:ptCount val="29"/>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pt idx="21">
                  <c:v>2021</c:v>
                </c:pt>
                <c:pt idx="22">
                  <c:v>2022</c:v>
                </c:pt>
                <c:pt idx="23">
                  <c:v>2023</c:v>
                </c:pt>
                <c:pt idx="24">
                  <c:v>2024</c:v>
                </c:pt>
                <c:pt idx="25">
                  <c:v>2025</c:v>
                </c:pt>
                <c:pt idx="26">
                  <c:v>2026</c:v>
                </c:pt>
                <c:pt idx="27">
                  <c:v>2027</c:v>
                </c:pt>
                <c:pt idx="28">
                  <c:v>2028</c:v>
                </c:pt>
              </c:numCache>
            </c:numRef>
          </c:cat>
          <c:val>
            <c:numRef>
              <c:f>'Primerjava OG'!$D$2:$D$30</c:f>
              <c:numCache>
                <c:formatCode>0.0</c:formatCode>
                <c:ptCount val="29"/>
                <c:pt idx="0">
                  <c:v>-0.81588392022617917</c:v>
                </c:pt>
                <c:pt idx="1">
                  <c:v>-1.014621144829309</c:v>
                </c:pt>
                <c:pt idx="2">
                  <c:v>-0.61927186135862788</c:v>
                </c:pt>
                <c:pt idx="3">
                  <c:v>-0.69643061574035103</c:v>
                </c:pt>
                <c:pt idx="4">
                  <c:v>0.54712718713993969</c:v>
                </c:pt>
                <c:pt idx="5">
                  <c:v>1.4487448471084849</c:v>
                </c:pt>
                <c:pt idx="6">
                  <c:v>3.8811523470361649</c:v>
                </c:pt>
                <c:pt idx="7">
                  <c:v>7.3863957620157183</c:v>
                </c:pt>
                <c:pt idx="8">
                  <c:v>7.1977563219463034</c:v>
                </c:pt>
                <c:pt idx="9">
                  <c:v>-3.1565875135675552</c:v>
                </c:pt>
                <c:pt idx="10">
                  <c:v>-3.137270887160692</c:v>
                </c:pt>
                <c:pt idx="11">
                  <c:v>-3.1656235735844529</c:v>
                </c:pt>
                <c:pt idx="12">
                  <c:v>-6.3924806247247279</c:v>
                </c:pt>
                <c:pt idx="13">
                  <c:v>-8.120648198591784</c:v>
                </c:pt>
                <c:pt idx="14">
                  <c:v>-6.5778012871599572</c:v>
                </c:pt>
                <c:pt idx="15">
                  <c:v>-5.5459285385716761</c:v>
                </c:pt>
                <c:pt idx="16">
                  <c:v>-3.534878603733171</c:v>
                </c:pt>
                <c:pt idx="17">
                  <c:v>-0.28227505363146438</c:v>
                </c:pt>
                <c:pt idx="18">
                  <c:v>2.1909413892807761</c:v>
                </c:pt>
                <c:pt idx="19">
                  <c:v>3.2159718025506212</c:v>
                </c:pt>
                <c:pt idx="20">
                  <c:v>-3.3569559974225842</c:v>
                </c:pt>
                <c:pt idx="21">
                  <c:v>1.951410671017451</c:v>
                </c:pt>
                <c:pt idx="22">
                  <c:v>1.906952822688379</c:v>
                </c:pt>
                <c:pt idx="23">
                  <c:v>0.72428789927552195</c:v>
                </c:pt>
                <c:pt idx="24">
                  <c:v>0.69246440237165086</c:v>
                </c:pt>
                <c:pt idx="25">
                  <c:v>0.53410673092655347</c:v>
                </c:pt>
                <c:pt idx="26">
                  <c:v>0.57917787068053617</c:v>
                </c:pt>
                <c:pt idx="27">
                  <c:v>0.63039916024516529</c:v>
                </c:pt>
                <c:pt idx="28">
                  <c:v>0.75308259188382465</c:v>
                </c:pt>
              </c:numCache>
            </c:numRef>
          </c:val>
          <c:smooth val="0"/>
          <c:extLst>
            <c:ext xmlns:c16="http://schemas.microsoft.com/office/drawing/2014/chart" uri="{C3380CC4-5D6E-409C-BE32-E72D297353CC}">
              <c16:uniqueId val="{00000001-1F8E-43A6-B6EF-0F8F8E866BFA}"/>
            </c:ext>
          </c:extLst>
        </c:ser>
        <c:ser>
          <c:idx val="1"/>
          <c:order val="1"/>
          <c:tx>
            <c:strRef>
              <c:f>'Primerjava OG'!$E$1</c:f>
              <c:strCache>
                <c:ptCount val="1"/>
                <c:pt idx="0">
                  <c:v>Proizvodna vrzel MF PS 2023</c:v>
                </c:pt>
              </c:strCache>
            </c:strRef>
          </c:tx>
          <c:spPr>
            <a:ln w="28575" cap="rnd">
              <a:solidFill>
                <a:schemeClr val="accent1"/>
              </a:solidFill>
              <a:round/>
            </a:ln>
            <a:effectLst/>
          </c:spPr>
          <c:marker>
            <c:symbol val="none"/>
          </c:marker>
          <c:cat>
            <c:numRef>
              <c:f>'Primerjava OG'!$A$2:$A$30</c:f>
              <c:numCache>
                <c:formatCode>General</c:formatCode>
                <c:ptCount val="29"/>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pt idx="21">
                  <c:v>2021</c:v>
                </c:pt>
                <c:pt idx="22">
                  <c:v>2022</c:v>
                </c:pt>
                <c:pt idx="23">
                  <c:v>2023</c:v>
                </c:pt>
                <c:pt idx="24">
                  <c:v>2024</c:v>
                </c:pt>
                <c:pt idx="25">
                  <c:v>2025</c:v>
                </c:pt>
                <c:pt idx="26">
                  <c:v>2026</c:v>
                </c:pt>
                <c:pt idx="27">
                  <c:v>2027</c:v>
                </c:pt>
                <c:pt idx="28">
                  <c:v>2028</c:v>
                </c:pt>
              </c:numCache>
            </c:numRef>
          </c:cat>
          <c:val>
            <c:numRef>
              <c:f>'Primerjava OG'!$E$2:$E$30</c:f>
              <c:numCache>
                <c:formatCode>0.0</c:formatCode>
                <c:ptCount val="29"/>
                <c:pt idx="0">
                  <c:v>-0.10584454219699781</c:v>
                </c:pt>
                <c:pt idx="1">
                  <c:v>-0.45115824418492378</c:v>
                </c:pt>
                <c:pt idx="2">
                  <c:v>-0.17932122359619609</c:v>
                </c:pt>
                <c:pt idx="3">
                  <c:v>-0.38454510840819628</c:v>
                </c:pt>
                <c:pt idx="4">
                  <c:v>0.72839033591980407</c:v>
                </c:pt>
                <c:pt idx="5">
                  <c:v>1.5148096772761299</c:v>
                </c:pt>
                <c:pt idx="6">
                  <c:v>3.864803881976608</c:v>
                </c:pt>
                <c:pt idx="7">
                  <c:v>7.3160988570505792</c:v>
                </c:pt>
                <c:pt idx="8">
                  <c:v>7.1183454810411328</c:v>
                </c:pt>
                <c:pt idx="9">
                  <c:v>-3.199627817443373</c:v>
                </c:pt>
                <c:pt idx="10">
                  <c:v>-3.1556411566247222</c:v>
                </c:pt>
                <c:pt idx="11">
                  <c:v>-3.1273535371445278</c:v>
                </c:pt>
                <c:pt idx="12">
                  <c:v>-6.3795107302442764</c:v>
                </c:pt>
                <c:pt idx="13">
                  <c:v>-8.1092288782347755</c:v>
                </c:pt>
                <c:pt idx="14">
                  <c:v>-6.63586957877349</c:v>
                </c:pt>
                <c:pt idx="15">
                  <c:v>-5.5952237122982584</c:v>
                </c:pt>
                <c:pt idx="16">
                  <c:v>-3.6313238147310472</c:v>
                </c:pt>
                <c:pt idx="17">
                  <c:v>-0.4378357909673225</c:v>
                </c:pt>
                <c:pt idx="18">
                  <c:v>1.9411122277583239</c:v>
                </c:pt>
                <c:pt idx="19">
                  <c:v>2.7901536304840051</c:v>
                </c:pt>
                <c:pt idx="20">
                  <c:v>-4.0657193901214583</c:v>
                </c:pt>
                <c:pt idx="21">
                  <c:v>0.83136005294284221</c:v>
                </c:pt>
                <c:pt idx="22">
                  <c:v>3.1368368583542421</c:v>
                </c:pt>
                <c:pt idx="23">
                  <c:v>1.9013343765978961</c:v>
                </c:pt>
                <c:pt idx="24">
                  <c:v>1.432107429724327</c:v>
                </c:pt>
                <c:pt idx="25">
                  <c:v>1.2135554121577741</c:v>
                </c:pt>
                <c:pt idx="26">
                  <c:v>1.048148161639451</c:v>
                </c:pt>
                <c:pt idx="27">
                  <c:v>0.9938749813835468</c:v>
                </c:pt>
                <c:pt idx="28">
                  <c:v>1.0043831846956901</c:v>
                </c:pt>
              </c:numCache>
            </c:numRef>
          </c:val>
          <c:smooth val="0"/>
          <c:extLst>
            <c:ext xmlns:c16="http://schemas.microsoft.com/office/drawing/2014/chart" uri="{C3380CC4-5D6E-409C-BE32-E72D297353CC}">
              <c16:uniqueId val="{00000002-1F8E-43A6-B6EF-0F8F8E866BFA}"/>
            </c:ext>
          </c:extLst>
        </c:ser>
        <c:dLbls>
          <c:showLegendKey val="0"/>
          <c:showVal val="0"/>
          <c:showCatName val="0"/>
          <c:showSerName val="0"/>
          <c:showPercent val="0"/>
          <c:showBubbleSize val="0"/>
        </c:dLbls>
        <c:marker val="1"/>
        <c:smooth val="0"/>
        <c:axId val="512898448"/>
        <c:axId val="1969896896"/>
      </c:lineChart>
      <c:catAx>
        <c:axId val="512898448"/>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969896896"/>
        <c:crosses val="autoZero"/>
        <c:auto val="1"/>
        <c:lblAlgn val="ctr"/>
        <c:lblOffset val="100"/>
        <c:noMultiLvlLbl val="0"/>
      </c:catAx>
      <c:valAx>
        <c:axId val="19698968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sl-SI"/>
                  <a:t>v % in  % potencialniega BDP</a:t>
                </a:r>
                <a:endParaRPr lang="en-US"/>
              </a:p>
            </c:rich>
          </c:tx>
          <c:layout>
            <c:manualLayout>
              <c:xMode val="edge"/>
              <c:yMode val="edge"/>
              <c:x val="2.2222222222222223E-2"/>
              <c:y val="0.1702241435768640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5128984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99">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styleClr val="auto"/>
    </cs:lnRef>
    <cs:fillRef idx="0">
      <cs:styleClr val="auto"/>
    </cs:fillRef>
    <cs:effectRef idx="0"/>
    <cs:fontRef idx="minor">
      <a:schemeClr val="tx1"/>
    </cs:fontRef>
    <cs:spPr>
      <a:pattFill prst="ltDnDiag">
        <a:fgClr>
          <a:schemeClr val="phClr"/>
        </a:fgClr>
        <a:bgClr>
          <a:schemeClr val="phClr">
            <a:lumMod val="20000"/>
            <a:lumOff val="80000"/>
          </a:schemeClr>
        </a:bgClr>
      </a:pattFill>
      <a:ln>
        <a:solidFill>
          <a:schemeClr val="phClr"/>
        </a:solidFill>
      </a:ln>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spPr>
      <a:ln w="19050" cap="flat" cmpd="sng" algn="ctr">
        <a:solidFill>
          <a:schemeClr val="tx1">
            <a:lumMod val="25000"/>
            <a:lumOff val="75000"/>
          </a:schemeClr>
        </a:solidFill>
        <a:round/>
      </a:ln>
    </cs:spPr>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8.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_rels/drawing2.xml.rels><?xml version="1.0" encoding="UTF-8" standalone="yes"?>
<Relationships xmlns="http://schemas.openxmlformats.org/package/2006/relationships"><Relationship Id="rId1" Type="http://schemas.openxmlformats.org/officeDocument/2006/relationships/image" Target="../media/image2.png"/></Relationships>
</file>

<file path=word/drawings/drawing1.xml><?xml version="1.0" encoding="utf-8"?>
<c:userShapes xmlns:c="http://schemas.openxmlformats.org/drawingml/2006/chart">
  <cdr:relSizeAnchor xmlns:cdr="http://schemas.openxmlformats.org/drawingml/2006/chartDrawing">
    <cdr:from>
      <cdr:x>0.89926</cdr:x>
      <cdr:y>0.66286</cdr:y>
    </cdr:from>
    <cdr:to>
      <cdr:x>0.98945</cdr:x>
      <cdr:y>0.71991</cdr:y>
    </cdr:to>
    <cdr:sp macro="" textlink="">
      <cdr:nvSpPr>
        <cdr:cNvPr id="8" name="TextBox 3">
          <a:extLst xmlns:a="http://schemas.openxmlformats.org/drawingml/2006/main">
            <a:ext uri="{FF2B5EF4-FFF2-40B4-BE49-F238E27FC236}">
              <a16:creationId xmlns:a16="http://schemas.microsoft.com/office/drawing/2014/main" id="{AAAD0C28-61C0-46F9-BD41-B4AECDDAE595}"/>
            </a:ext>
          </a:extLst>
        </cdr:cNvPr>
        <cdr:cNvSpPr txBox="1"/>
      </cdr:nvSpPr>
      <cdr:spPr>
        <a:xfrm xmlns:a="http://schemas.openxmlformats.org/drawingml/2006/main">
          <a:off x="5413360" y="3098784"/>
          <a:ext cx="542926" cy="266702"/>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sl-SI" sz="900"/>
            <a:t>97,6</a:t>
          </a:r>
        </a:p>
      </cdr:txBody>
    </cdr:sp>
  </cdr:relSizeAnchor>
  <cdr:relSizeAnchor xmlns:cdr="http://schemas.openxmlformats.org/drawingml/2006/chartDrawing">
    <cdr:from>
      <cdr:x>0.88133</cdr:x>
      <cdr:y>0.15349</cdr:y>
    </cdr:from>
    <cdr:to>
      <cdr:x>0.97946</cdr:x>
      <cdr:y>0.21015</cdr:y>
    </cdr:to>
    <cdr:sp macro="" textlink="">
      <cdr:nvSpPr>
        <cdr:cNvPr id="15" name="TextBox 3">
          <a:extLst xmlns:a="http://schemas.openxmlformats.org/drawingml/2006/main">
            <a:ext uri="{FF2B5EF4-FFF2-40B4-BE49-F238E27FC236}">
              <a16:creationId xmlns:a16="http://schemas.microsoft.com/office/drawing/2014/main" id="{4076FCA1-9171-4249-B3B8-E8F9F920A3F7}"/>
            </a:ext>
          </a:extLst>
        </cdr:cNvPr>
        <cdr:cNvSpPr txBox="1"/>
      </cdr:nvSpPr>
      <cdr:spPr>
        <a:xfrm xmlns:a="http://schemas.openxmlformats.org/drawingml/2006/main">
          <a:off x="4711646" y="548151"/>
          <a:ext cx="524587" cy="202348"/>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sl-SI" sz="900"/>
            <a:t>102,4</a:t>
          </a:r>
        </a:p>
      </cdr:txBody>
    </cdr:sp>
  </cdr:relSizeAnchor>
  <cdr:relSizeAnchor xmlns:cdr="http://schemas.openxmlformats.org/drawingml/2006/chartDrawing">
    <cdr:from>
      <cdr:x>0.62711</cdr:x>
      <cdr:y>0.55691</cdr:y>
    </cdr:from>
    <cdr:to>
      <cdr:x>0.7173</cdr:x>
      <cdr:y>0.61396</cdr:y>
    </cdr:to>
    <cdr:sp macro="" textlink="">
      <cdr:nvSpPr>
        <cdr:cNvPr id="16" name="TextBox 3">
          <a:extLst xmlns:a="http://schemas.openxmlformats.org/drawingml/2006/main">
            <a:ext uri="{FF2B5EF4-FFF2-40B4-BE49-F238E27FC236}">
              <a16:creationId xmlns:a16="http://schemas.microsoft.com/office/drawing/2014/main" id="{BFC4E299-86DE-4ABB-A0DD-E825A9A60426}"/>
            </a:ext>
          </a:extLst>
        </cdr:cNvPr>
        <cdr:cNvSpPr txBox="1"/>
      </cdr:nvSpPr>
      <cdr:spPr>
        <a:xfrm xmlns:a="http://schemas.openxmlformats.org/drawingml/2006/main">
          <a:off x="3775075" y="2603500"/>
          <a:ext cx="542926" cy="266702"/>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sl-SI" sz="900"/>
            <a:t>98,8</a:t>
          </a:r>
        </a:p>
      </cdr:txBody>
    </cdr:sp>
  </cdr:relSizeAnchor>
  <cdr:relSizeAnchor xmlns:cdr="http://schemas.openxmlformats.org/drawingml/2006/chartDrawing">
    <cdr:from>
      <cdr:x>0.62236</cdr:x>
      <cdr:y>0.27574</cdr:y>
    </cdr:from>
    <cdr:to>
      <cdr:x>0.72612</cdr:x>
      <cdr:y>0.32851</cdr:y>
    </cdr:to>
    <cdr:sp macro="" textlink="">
      <cdr:nvSpPr>
        <cdr:cNvPr id="17" name="TextBox 3">
          <a:extLst xmlns:a="http://schemas.openxmlformats.org/drawingml/2006/main">
            <a:ext uri="{FF2B5EF4-FFF2-40B4-BE49-F238E27FC236}">
              <a16:creationId xmlns:a16="http://schemas.microsoft.com/office/drawing/2014/main" id="{BFC4E299-86DE-4ABB-A0DD-E825A9A60426}"/>
            </a:ext>
          </a:extLst>
        </cdr:cNvPr>
        <cdr:cNvSpPr txBox="1"/>
      </cdr:nvSpPr>
      <cdr:spPr>
        <a:xfrm xmlns:a="http://schemas.openxmlformats.org/drawingml/2006/main">
          <a:off x="3327177" y="984734"/>
          <a:ext cx="554710" cy="188459"/>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sl-SI" sz="900"/>
            <a:t>101,2</a:t>
          </a:r>
        </a:p>
      </cdr:txBody>
    </cdr:sp>
  </cdr:relSizeAnchor>
</c:userShapes>
</file>

<file path=word/drawings/drawing2.xml><?xml version="1.0" encoding="utf-8"?>
<c:userShapes xmlns:c="http://schemas.openxmlformats.org/drawingml/2006/chart">
  <cdr:relSizeAnchor xmlns:cdr="http://schemas.openxmlformats.org/drawingml/2006/chartDrawing">
    <cdr:from>
      <cdr:x>0</cdr:x>
      <cdr:y>0.09196</cdr:y>
    </cdr:from>
    <cdr:to>
      <cdr:x>0.15023</cdr:x>
      <cdr:y>0.75671</cdr:y>
    </cdr:to>
    <cdr:pic>
      <cdr:nvPicPr>
        <cdr:cNvPr id="5" name="chart"/>
        <cdr:cNvPicPr>
          <a:picLocks xmlns:a="http://schemas.openxmlformats.org/drawingml/2006/main" noChangeAspect="1"/>
        </cdr:cNvPicPr>
      </cdr:nvPicPr>
      <cdr:blipFill rotWithShape="1">
        <a:blip xmlns:a="http://schemas.openxmlformats.org/drawingml/2006/main" xmlns:r="http://schemas.openxmlformats.org/officeDocument/2006/relationships" r:embed="rId1"/>
        <a:srcRect xmlns:a="http://schemas.openxmlformats.org/drawingml/2006/main" l="27553"/>
        <a:stretch xmlns:a="http://schemas.openxmlformats.org/drawingml/2006/main"/>
      </cdr:blipFill>
      <cdr:spPr>
        <a:xfrm xmlns:a="http://schemas.openxmlformats.org/drawingml/2006/main">
          <a:off x="0" y="275681"/>
          <a:ext cx="785873" cy="1992811"/>
        </a:xfrm>
        <a:prstGeom xmlns:a="http://schemas.openxmlformats.org/drawingml/2006/main" prst="rect">
          <a:avLst/>
        </a:prstGeom>
      </cdr:spPr>
    </cdr:pic>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Pisarna">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isar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5CBC214-A685-4EB2-BC4F-1F80138ADF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62</Pages>
  <Words>18501</Words>
  <Characters>105462</Characters>
  <Application>Microsoft Office Word</Application>
  <DocSecurity>0</DocSecurity>
  <Lines>878</Lines>
  <Paragraphs>247</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123716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2023-10-09T10:33:00Z</dcterms:created>
  <dcterms:modified xsi:type="dcterms:W3CDTF">2023-10-09T10:57:00Z</dcterms:modified>
</cp:coreProperties>
</file>