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639B" w14:textId="77777777" w:rsidR="002C4FD2" w:rsidRDefault="002C4FD2">
      <w:pPr>
        <w:spacing w:after="0" w:line="260" w:lineRule="auto"/>
        <w:rPr>
          <w:rFonts w:cs="Arial"/>
        </w:rPr>
      </w:pPr>
    </w:p>
    <w:p w14:paraId="6FB9EB9A" w14:textId="77777777" w:rsidR="002C4FD2" w:rsidRDefault="002C4FD2">
      <w:pPr>
        <w:spacing w:after="0" w:line="260" w:lineRule="auto"/>
        <w:rPr>
          <w:rFonts w:cs="Arial"/>
        </w:rPr>
      </w:pPr>
    </w:p>
    <w:p w14:paraId="4A9058EC" w14:textId="77777777" w:rsidR="002C4FD2" w:rsidRDefault="002C4FD2">
      <w:pPr>
        <w:spacing w:after="0" w:line="260" w:lineRule="auto"/>
        <w:rPr>
          <w:rFonts w:cs="Arial"/>
        </w:rPr>
      </w:pPr>
    </w:p>
    <w:p w14:paraId="1EB0435B" w14:textId="77777777" w:rsidR="002C4FD2" w:rsidRDefault="002C4FD2">
      <w:pPr>
        <w:spacing w:after="0" w:line="260" w:lineRule="auto"/>
        <w:rPr>
          <w:rFonts w:cs="Arial"/>
        </w:rPr>
      </w:pPr>
    </w:p>
    <w:p w14:paraId="6B14C9EE" w14:textId="77777777" w:rsidR="002C4FD2" w:rsidRDefault="00330C05">
      <w:pPr>
        <w:pStyle w:val="Odebeljeno"/>
        <w:spacing w:line="260" w:lineRule="auto"/>
      </w:pPr>
      <w:r>
        <w:t>GENERALNI SEKRETARIAT VLADE</w:t>
      </w:r>
    </w:p>
    <w:p w14:paraId="1793A16E" w14:textId="77777777" w:rsidR="002C4FD2" w:rsidRDefault="00330C05">
      <w:pPr>
        <w:pStyle w:val="Odebeljeno"/>
        <w:spacing w:line="260" w:lineRule="auto"/>
      </w:pPr>
      <w:r>
        <w:t>REPUBLIKE SLOVENIJE</w:t>
      </w:r>
    </w:p>
    <w:p w14:paraId="15A4B714" w14:textId="77777777" w:rsidR="002C4FD2" w:rsidRDefault="00330C05">
      <w:pPr>
        <w:pStyle w:val="Odebeljeno"/>
        <w:spacing w:line="260" w:lineRule="auto"/>
      </w:pPr>
      <w:r>
        <w:t>gp.gs@gov.si</w:t>
      </w:r>
    </w:p>
    <w:p w14:paraId="6B1043FE" w14:textId="77777777" w:rsidR="002C4FD2" w:rsidRDefault="002C4FD2">
      <w:pPr>
        <w:spacing w:after="0" w:line="260" w:lineRule="auto"/>
        <w:rPr>
          <w:rFonts w:cs="Arial"/>
        </w:rPr>
      </w:pPr>
    </w:p>
    <w:p w14:paraId="6A0D5D49" w14:textId="77777777" w:rsidR="002C4FD2" w:rsidRDefault="002C4FD2">
      <w:pPr>
        <w:spacing w:after="0" w:line="260" w:lineRule="auto"/>
        <w:rPr>
          <w:rFonts w:cs="Arial"/>
        </w:rPr>
      </w:pPr>
    </w:p>
    <w:p w14:paraId="1DC096A8" w14:textId="77777777" w:rsidR="002C4FD2" w:rsidRDefault="002C4FD2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2C4FD2" w14:paraId="3401C552" w14:textId="77777777">
        <w:tc>
          <w:tcPr>
            <w:tcW w:w="1500" w:type="dxa"/>
          </w:tcPr>
          <w:p w14:paraId="00607C68" w14:textId="77777777" w:rsidR="002C4FD2" w:rsidRDefault="00330C05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10915F4D" w14:textId="2B2EF310" w:rsidR="002C4FD2" w:rsidRDefault="001F39EA">
            <w:pPr>
              <w:spacing w:after="0" w:line="260" w:lineRule="auto"/>
            </w:pPr>
            <w:r>
              <w:t>007-402/2026</w:t>
            </w:r>
          </w:p>
        </w:tc>
      </w:tr>
      <w:tr w:rsidR="002C4FD2" w14:paraId="2AF7BB88" w14:textId="77777777">
        <w:tc>
          <w:tcPr>
            <w:tcW w:w="1500" w:type="dxa"/>
          </w:tcPr>
          <w:p w14:paraId="42FBB369" w14:textId="77777777" w:rsidR="002C4FD2" w:rsidRDefault="00330C05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4D1EA048" w14:textId="6E177A0E" w:rsidR="002C4FD2" w:rsidRDefault="00734FB2">
            <w:pPr>
              <w:spacing w:after="0" w:line="260" w:lineRule="auto"/>
            </w:pPr>
            <w:r>
              <w:t>30</w:t>
            </w:r>
            <w:r w:rsidR="00330C05">
              <w:t>. 03. 2026</w:t>
            </w:r>
          </w:p>
        </w:tc>
      </w:tr>
      <w:tr w:rsidR="002C4FD2" w14:paraId="48A0E0AB" w14:textId="77777777">
        <w:tc>
          <w:tcPr>
            <w:tcW w:w="1500" w:type="dxa"/>
          </w:tcPr>
          <w:p w14:paraId="7CE20DEB" w14:textId="77777777" w:rsidR="002C4FD2" w:rsidRDefault="00330C05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073CF573" w14:textId="77777777" w:rsidR="002C4FD2" w:rsidRDefault="00330C05">
            <w:pPr>
              <w:spacing w:after="0" w:line="260" w:lineRule="auto"/>
            </w:pPr>
            <w:r>
              <w:t>2025-2330-0094</w:t>
            </w:r>
          </w:p>
        </w:tc>
      </w:tr>
    </w:tbl>
    <w:p w14:paraId="5ED7DA2F" w14:textId="77777777" w:rsidR="002C4FD2" w:rsidRDefault="002C4FD2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2C4FD2" w14:paraId="0A539E04" w14:textId="77777777">
        <w:tc>
          <w:tcPr>
            <w:tcW w:w="1500" w:type="dxa"/>
          </w:tcPr>
          <w:p w14:paraId="19DA23A7" w14:textId="77777777" w:rsidR="002C4FD2" w:rsidRDefault="00330C05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60968AB1" w14:textId="77777777" w:rsidR="002C4FD2" w:rsidRDefault="00330C05">
            <w:pPr>
              <w:pStyle w:val="Odebeljeno"/>
              <w:spacing w:line="260" w:lineRule="auto"/>
            </w:pPr>
            <w:r>
              <w:t>Uredba o spremembah in dopolnitvah Uredbe o izvajanju intervencije naložbe v dvig produktivnosti in tehnološki razvoj, vključno z digitalizacijo kmetijskih gospodarstev, ter intervencije naložbe v prilagoditev na podnebne spremembe pri trajnih nasadih iz strateškega načrta skupne kmetijske politike 2023–2027 – predlog za obravnavo</w:t>
            </w:r>
          </w:p>
        </w:tc>
      </w:tr>
    </w:tbl>
    <w:p w14:paraId="44E1C0A4" w14:textId="77777777" w:rsidR="002C4FD2" w:rsidRDefault="002C4FD2">
      <w:pPr>
        <w:spacing w:after="0" w:line="260" w:lineRule="auto"/>
        <w:rPr>
          <w:rFonts w:cs="Arial"/>
        </w:rPr>
      </w:pPr>
    </w:p>
    <w:p w14:paraId="23A82E78" w14:textId="77777777" w:rsidR="002C4FD2" w:rsidRDefault="002C4FD2">
      <w:pPr>
        <w:spacing w:after="0" w:line="260" w:lineRule="auto"/>
        <w:rPr>
          <w:rFonts w:cs="Arial"/>
        </w:rPr>
      </w:pPr>
    </w:p>
    <w:p w14:paraId="060B71BC" w14:textId="77777777" w:rsidR="002C4FD2" w:rsidRDefault="00330C05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0016FF5C" w14:textId="77777777" w:rsidR="002C4FD2" w:rsidRDefault="002C4FD2">
      <w:pPr>
        <w:spacing w:after="0" w:line="260" w:lineRule="auto"/>
        <w:rPr>
          <w:rFonts w:cs="Arial"/>
        </w:rPr>
      </w:pPr>
    </w:p>
    <w:p w14:paraId="0D4F1988" w14:textId="77777777" w:rsidR="002C4FD2" w:rsidRDefault="00330C05">
      <w:pPr>
        <w:spacing w:after="0" w:line="240" w:lineRule="auto"/>
      </w:pPr>
      <w:r>
        <w:t>Na podlagi šestega odstavka 21. člena Zakona o Vladi Republike Slovenije (Uradni list RS, št. 24/05 – uradno prečiščeno besedilo, 109/08, 38/10 – ZUKN, 8/12, 21/13, 47/13 – ZDU-1G, 65/14, 55/17, 163/22 in 57/25 – ZF) je Vlada Republike Slovenije na …..…… seji dne ………... sprejela naslednji</w:t>
      </w:r>
    </w:p>
    <w:p w14:paraId="2E933739" w14:textId="77777777" w:rsidR="002C4FD2" w:rsidRDefault="00330C05">
      <w:pPr>
        <w:spacing w:after="0" w:line="240" w:lineRule="auto"/>
      </w:pPr>
      <w:r>
        <w:t xml:space="preserve"> </w:t>
      </w:r>
    </w:p>
    <w:p w14:paraId="60BA4B68" w14:textId="77777777" w:rsidR="002C4FD2" w:rsidRDefault="00330C05">
      <w:pPr>
        <w:spacing w:after="0" w:line="240" w:lineRule="auto"/>
        <w:jc w:val="center"/>
      </w:pPr>
      <w:r>
        <w:t>SKLEP</w:t>
      </w:r>
    </w:p>
    <w:p w14:paraId="65EBCA44" w14:textId="77777777" w:rsidR="002C4FD2" w:rsidRDefault="00330C05">
      <w:pPr>
        <w:spacing w:after="0" w:line="240" w:lineRule="auto"/>
      </w:pPr>
      <w:r>
        <w:t xml:space="preserve"> </w:t>
      </w:r>
    </w:p>
    <w:p w14:paraId="21BB8BB7" w14:textId="77777777" w:rsidR="002C4FD2" w:rsidRDefault="00330C05">
      <w:pPr>
        <w:spacing w:after="0" w:line="240" w:lineRule="auto"/>
      </w:pPr>
      <w:r>
        <w:t>Vlada Republike Slovenije je izdala Uredbo o spremembah in dopolnitvah Uredbe o izvajanju intervencije naložbe v dvig produktivnosti in tehnološki razvoj, vključno z digitalizacijo kmetijskih gospodarstev, ter intervencije naložbe v prilagoditev na podnebne spremembe pri trajnih nasadih iz strateškega načrta skupne kmetijske politike 2023–2027 in jo objavi v Uradnem listu Republike Slovenije.</w:t>
      </w:r>
    </w:p>
    <w:p w14:paraId="32EBAC5F" w14:textId="77777777" w:rsidR="002C4FD2" w:rsidRDefault="00330C05">
      <w:pPr>
        <w:spacing w:after="0" w:line="240" w:lineRule="auto"/>
      </w:pPr>
      <w:r>
        <w:t xml:space="preserve"> </w:t>
      </w:r>
    </w:p>
    <w:p w14:paraId="16407787" w14:textId="77777777" w:rsidR="002C4FD2" w:rsidRDefault="00330C05">
      <w:pPr>
        <w:spacing w:after="0" w:line="240" w:lineRule="auto"/>
        <w:jc w:val="center"/>
      </w:pPr>
      <w:r>
        <w:t xml:space="preserve">Barbara Kolenko </w:t>
      </w:r>
      <w:proofErr w:type="spellStart"/>
      <w:r>
        <w:t>Helbl</w:t>
      </w:r>
      <w:proofErr w:type="spellEnd"/>
    </w:p>
    <w:p w14:paraId="423646AA" w14:textId="77777777" w:rsidR="002C4FD2" w:rsidRDefault="00330C05">
      <w:pPr>
        <w:spacing w:after="0" w:line="240" w:lineRule="auto"/>
        <w:jc w:val="center"/>
      </w:pPr>
      <w:r>
        <w:t>GENERALNA SEKRETARKA</w:t>
      </w:r>
    </w:p>
    <w:p w14:paraId="3741D2AE" w14:textId="77777777" w:rsidR="002C4FD2" w:rsidRDefault="002C4FD2">
      <w:pPr>
        <w:spacing w:after="0" w:line="260" w:lineRule="auto"/>
        <w:rPr>
          <w:rFonts w:cs="Arial"/>
        </w:rPr>
      </w:pPr>
    </w:p>
    <w:p w14:paraId="733C3EC4" w14:textId="77777777" w:rsidR="002C4FD2" w:rsidRDefault="00330C05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6940D212" w14:textId="77777777" w:rsidR="002C4FD2" w:rsidRDefault="002C4FD2">
      <w:pPr>
        <w:spacing w:after="0" w:line="260" w:lineRule="auto"/>
        <w:rPr>
          <w:rFonts w:cs="Arial"/>
        </w:rPr>
      </w:pPr>
    </w:p>
    <w:p w14:paraId="76C7F9E4" w14:textId="77777777" w:rsidR="002C4FD2" w:rsidRDefault="00330C05">
      <w:pPr>
        <w:spacing w:after="0" w:line="260" w:lineRule="auto"/>
      </w:pPr>
      <w:r>
        <w:t>/</w:t>
      </w:r>
    </w:p>
    <w:p w14:paraId="70CA9B9B" w14:textId="77777777" w:rsidR="002C4FD2" w:rsidRDefault="002C4FD2">
      <w:pPr>
        <w:spacing w:after="0" w:line="260" w:lineRule="auto"/>
        <w:rPr>
          <w:rFonts w:cs="Arial"/>
        </w:rPr>
      </w:pPr>
    </w:p>
    <w:p w14:paraId="27C08C36" w14:textId="77777777" w:rsidR="002C4FD2" w:rsidRDefault="00330C05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20CFB3AF" w14:textId="77777777" w:rsidR="002C4FD2" w:rsidRDefault="002C4FD2">
      <w:pPr>
        <w:spacing w:after="0" w:line="260" w:lineRule="auto"/>
        <w:rPr>
          <w:rFonts w:cs="Arial"/>
        </w:rPr>
      </w:pPr>
    </w:p>
    <w:p w14:paraId="5B2CFFAA" w14:textId="77777777" w:rsidR="002C4FD2" w:rsidRDefault="00330C05">
      <w:pPr>
        <w:spacing w:after="0" w:line="240" w:lineRule="auto"/>
      </w:pPr>
      <w:r>
        <w:t>– mag. Boštjan Ključevšek, v. d. generalnega direktorja Direktorata za kmetijstvo,</w:t>
      </w:r>
    </w:p>
    <w:p w14:paraId="6858F459" w14:textId="77777777" w:rsidR="002C4FD2" w:rsidRDefault="00330C05">
      <w:pPr>
        <w:spacing w:after="0" w:line="240" w:lineRule="auto"/>
      </w:pPr>
      <w:r>
        <w:t>– Andrej Hafner, vodja Sektorja za pravno sistemske zadeve v kmetijstvu,</w:t>
      </w:r>
    </w:p>
    <w:p w14:paraId="37A2E122" w14:textId="77777777" w:rsidR="002C4FD2" w:rsidRDefault="00330C05">
      <w:pPr>
        <w:spacing w:after="0" w:line="240" w:lineRule="auto"/>
      </w:pPr>
      <w:r>
        <w:t xml:space="preserve">– mag. Andreja Komel, vodja Sektorja za strukturno politiko in razvoj podeželja. </w:t>
      </w:r>
    </w:p>
    <w:p w14:paraId="7EA3B748" w14:textId="77777777" w:rsidR="002C4FD2" w:rsidRDefault="002C4FD2">
      <w:pPr>
        <w:spacing w:after="0" w:line="260" w:lineRule="auto"/>
        <w:rPr>
          <w:rFonts w:cs="Arial"/>
        </w:rPr>
      </w:pPr>
    </w:p>
    <w:p w14:paraId="69BB2E81" w14:textId="77777777" w:rsidR="002C4FD2" w:rsidRDefault="00330C05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4CF3F3B0" w14:textId="77777777" w:rsidR="002C4FD2" w:rsidRDefault="002C4FD2">
      <w:pPr>
        <w:spacing w:after="0" w:line="260" w:lineRule="auto"/>
        <w:rPr>
          <w:rFonts w:cs="Arial"/>
        </w:rPr>
      </w:pPr>
    </w:p>
    <w:p w14:paraId="45D88532" w14:textId="77777777" w:rsidR="002C4FD2" w:rsidRDefault="00330C05">
      <w:pPr>
        <w:spacing w:after="0" w:line="240" w:lineRule="auto"/>
      </w:pPr>
      <w:r>
        <w:t>Pri pripravi predpisa ni sodeloval zunanji strokovnjak oziroma pravna oseba.</w:t>
      </w:r>
    </w:p>
    <w:p w14:paraId="1E7ABC56" w14:textId="77777777" w:rsidR="002C4FD2" w:rsidRDefault="002C4FD2">
      <w:pPr>
        <w:spacing w:after="0" w:line="260" w:lineRule="auto"/>
        <w:rPr>
          <w:rFonts w:cs="Arial"/>
        </w:rPr>
      </w:pPr>
    </w:p>
    <w:p w14:paraId="6597FBAB" w14:textId="77777777" w:rsidR="002C4FD2" w:rsidRDefault="00330C05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129EB374" w14:textId="77777777" w:rsidR="002C4FD2" w:rsidRDefault="002C4FD2">
      <w:pPr>
        <w:spacing w:after="0" w:line="260" w:lineRule="auto"/>
        <w:rPr>
          <w:rFonts w:cs="Arial"/>
        </w:rPr>
      </w:pPr>
    </w:p>
    <w:p w14:paraId="6D5724EE" w14:textId="77777777" w:rsidR="002C4FD2" w:rsidRDefault="00330C05">
      <w:pPr>
        <w:spacing w:after="0" w:line="260" w:lineRule="auto"/>
      </w:pPr>
      <w:r>
        <w:t>/</w:t>
      </w:r>
    </w:p>
    <w:p w14:paraId="4330BCB7" w14:textId="77777777" w:rsidR="002C4FD2" w:rsidRDefault="002C4FD2">
      <w:pPr>
        <w:spacing w:after="0" w:line="260" w:lineRule="auto"/>
        <w:rPr>
          <w:rFonts w:cs="Arial"/>
        </w:rPr>
      </w:pPr>
    </w:p>
    <w:p w14:paraId="3FC494DE" w14:textId="77777777" w:rsidR="002C4FD2" w:rsidRDefault="00330C05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738FE110" w14:textId="77777777" w:rsidR="002C4FD2" w:rsidRDefault="002C4FD2">
      <w:pPr>
        <w:spacing w:after="0" w:line="260" w:lineRule="auto"/>
        <w:rPr>
          <w:rFonts w:cs="Arial"/>
        </w:rPr>
      </w:pPr>
    </w:p>
    <w:p w14:paraId="71BA0989" w14:textId="0330332B" w:rsidR="002C4FD2" w:rsidRDefault="00330C05">
      <w:pPr>
        <w:spacing w:after="0" w:line="240" w:lineRule="auto"/>
      </w:pPr>
      <w:r>
        <w:t>Uredba o spremembah in dopolnitvah Uredbe o izvajanju intervencije naložbe v dvig produktivnosti in tehnološki razvoj, vključno z digitalizacijo kmetijskih gospodarstev, ter intervencije naložbe v prilagoditev na podnebne spremembe pri trajnih nasadih iz strateškega načrta skupne kmetijske politike 2023–2027 se sprejema zaradi 4. spremembe Strateškega načrta skupne kmetijske politike 2023–2027 (v nadaljnjem besedilu: SN SKP) in Zakona o kmetijstvu (Uradni list RS, št. 100/25; v nadaljnjem besedilu: ZKme-2).</w:t>
      </w:r>
    </w:p>
    <w:p w14:paraId="090CCE2D" w14:textId="10986E7E" w:rsidR="002C4FD2" w:rsidRDefault="00330C05">
      <w:pPr>
        <w:spacing w:after="0" w:line="240" w:lineRule="auto"/>
      </w:pPr>
      <w:r>
        <w:t xml:space="preserve">Pri intervenciji naložbe v dvig produktivnosti in tehnološki razvoj, vključno z digitalizacijo kmetijskih gospodarstev, se za naložbe v preventivne mehanizme za zmanjšanje negativnih vplivov podnebnih sprememb pri trajnih nasadih, kot so nakup in postavitev mreže proti toči, nakup kmetijske mehanizacije, namenjene </w:t>
      </w:r>
      <w:proofErr w:type="spellStart"/>
      <w:r>
        <w:t>protislanski</w:t>
      </w:r>
      <w:proofErr w:type="spellEnd"/>
      <w:r>
        <w:t xml:space="preserve"> zaščiti, izgradnja namakalnih sistemov ter nakup in postavitev namakalne opreme oziroma opreme za </w:t>
      </w:r>
      <w:proofErr w:type="spellStart"/>
      <w:r>
        <w:t>oroševanje</w:t>
      </w:r>
      <w:proofErr w:type="spellEnd"/>
      <w:r>
        <w:t xml:space="preserve"> trajnih nasadov, določa stopnja podpore v višini 75 % upravičenih stroškov naložbe. Poleg tega se omogoča, da je naložba v nakup kmetijske mehanizacije, namenjene </w:t>
      </w:r>
      <w:proofErr w:type="spellStart"/>
      <w:r>
        <w:t>protislanski</w:t>
      </w:r>
      <w:proofErr w:type="spellEnd"/>
      <w:r>
        <w:t xml:space="preserve"> zaščiti, lahko tudi samostojna naložba in ne zgolj v povezavi z naložbo v ureditev trajnega nasada. Za vlagatelje, ki imajo najmanj 50 % standardnega prihodka iz reje drobnice</w:t>
      </w:r>
      <w:r w:rsidR="001F39EA">
        <w:t>,</w:t>
      </w:r>
      <w:r>
        <w:t xml:space="preserve"> se določa, da se jim lahko odobri največ 300.000 eurov javne podpore za naložbe</w:t>
      </w:r>
      <w:r w:rsidR="001F39EA">
        <w:t>,</w:t>
      </w:r>
      <w:r>
        <w:t xml:space="preserve"> namenjene prilagoditvi kmetovanja na gorskih območjih.</w:t>
      </w:r>
    </w:p>
    <w:p w14:paraId="4B4E3C22" w14:textId="77777777" w:rsidR="002C4FD2" w:rsidRDefault="00330C05">
      <w:pPr>
        <w:spacing w:after="0" w:line="240" w:lineRule="auto"/>
      </w:pPr>
      <w:r>
        <w:t>Pri intervenciji naložbe v prilagoditev na podnebne spremembe pri trajnih nasadih se spreminja stopnja javne podpore, ki sedaj znaša od 50 % do 75 %, na enotno stopnjo javne podpore v višini 75 % upravičenih stroškov naložbe.</w:t>
      </w:r>
    </w:p>
    <w:p w14:paraId="1365CF81" w14:textId="77777777" w:rsidR="002C4FD2" w:rsidRDefault="00330C05">
      <w:pPr>
        <w:spacing w:after="0" w:line="240" w:lineRule="auto"/>
      </w:pPr>
      <w:r>
        <w:t>V skladu z ZKme-2 se na novo določajo učinki prenosa družinske kmetije zaradi smrti njenega nosilca na pravice in obveznosti iz odločbe o pravici do sredstev. Novemu nosilcu družinske kmetije ni treba izpolnjevati vseh pogojev oziroma obveznosti iz intervencij, ampak le tiste, ki so določene z uredbo.</w:t>
      </w:r>
    </w:p>
    <w:p w14:paraId="43D63199" w14:textId="77777777" w:rsidR="002C4FD2" w:rsidRDefault="00330C05">
      <w:pPr>
        <w:spacing w:after="0" w:line="240" w:lineRule="auto"/>
      </w:pPr>
      <w:r>
        <w:t xml:space="preserve">Druge spremembe uredbe so predvsem tehnične narave, njihov cilj je povečati jasnost in skladnost besedila uredbe, popraviti sklice in uskladiti izraze v uredbi oziroma odpraviti pomanjkljivosti, ugotovljene pri obravnavi vlog, vloženih na javne razpise. </w:t>
      </w:r>
    </w:p>
    <w:p w14:paraId="0B399B18" w14:textId="77777777" w:rsidR="002C4FD2" w:rsidRDefault="002C4FD2">
      <w:pPr>
        <w:spacing w:after="0" w:line="260" w:lineRule="auto"/>
        <w:rPr>
          <w:rFonts w:cs="Arial"/>
        </w:rPr>
      </w:pPr>
    </w:p>
    <w:p w14:paraId="3BFF9966" w14:textId="77777777" w:rsidR="002C4FD2" w:rsidRDefault="00330C05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57ACA1F0" w14:textId="77777777" w:rsidR="002C4FD2" w:rsidRDefault="002C4FD2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2C4FD2" w14:paraId="035D148B" w14:textId="77777777" w:rsidTr="00734FB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63C2" w14:textId="77777777" w:rsidR="002C4FD2" w:rsidRDefault="00330C05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CEB6" w14:textId="77777777" w:rsidR="002C4FD2" w:rsidRDefault="00330C05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FAB" w14:textId="77777777" w:rsidR="002C4FD2" w:rsidRDefault="00330C05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2C4FD2" w14:paraId="141DA0AF" w14:textId="77777777" w:rsidTr="00734FB2">
        <w:tc>
          <w:tcPr>
            <w:tcW w:w="1276" w:type="dxa"/>
            <w:tcBorders>
              <w:top w:val="single" w:sz="4" w:space="0" w:color="auto"/>
            </w:tcBorders>
          </w:tcPr>
          <w:p w14:paraId="24E9CC6C" w14:textId="77777777" w:rsidR="002C4FD2" w:rsidRDefault="00330C0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3854205B" w14:textId="77777777" w:rsidR="002C4FD2" w:rsidRDefault="00330C05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E6A03BA" w14:textId="77777777" w:rsidR="002C4FD2" w:rsidRDefault="00330C05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2C4FD2" w14:paraId="26EDCD5F" w14:textId="77777777">
        <w:tc>
          <w:tcPr>
            <w:tcW w:w="1276" w:type="dxa"/>
          </w:tcPr>
          <w:p w14:paraId="4FAA1032" w14:textId="77777777" w:rsidR="002C4FD2" w:rsidRDefault="00330C0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4A3C37F6" w14:textId="77777777" w:rsidR="002C4FD2" w:rsidRDefault="00330C05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033BC47E" w14:textId="77777777" w:rsidR="002C4FD2" w:rsidRDefault="00330C05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2C4FD2" w14:paraId="076D9DAE" w14:textId="77777777">
        <w:tc>
          <w:tcPr>
            <w:tcW w:w="1276" w:type="dxa"/>
          </w:tcPr>
          <w:p w14:paraId="0BEC86D1" w14:textId="77777777" w:rsidR="002C4FD2" w:rsidRDefault="00330C0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0BFCA71E" w14:textId="77777777" w:rsidR="002C4FD2" w:rsidRDefault="00330C05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76A3DD4C" w14:textId="77777777" w:rsidR="002C4FD2" w:rsidRDefault="00330C05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2C4FD2" w14:paraId="1BC8742E" w14:textId="77777777">
        <w:tc>
          <w:tcPr>
            <w:tcW w:w="1276" w:type="dxa"/>
          </w:tcPr>
          <w:p w14:paraId="1346D370" w14:textId="77777777" w:rsidR="002C4FD2" w:rsidRDefault="00330C0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1F2A1E25" w14:textId="77777777" w:rsidR="002C4FD2" w:rsidRDefault="00330C05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2DD33C99" w14:textId="77777777" w:rsidR="002C4FD2" w:rsidRDefault="00330C05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2C4FD2" w14:paraId="79E64CFF" w14:textId="77777777">
        <w:tc>
          <w:tcPr>
            <w:tcW w:w="1276" w:type="dxa"/>
          </w:tcPr>
          <w:p w14:paraId="741DBDD5" w14:textId="77777777" w:rsidR="002C4FD2" w:rsidRDefault="00330C0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34088C44" w14:textId="77777777" w:rsidR="002C4FD2" w:rsidRDefault="00330C05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46F9D828" w14:textId="77777777" w:rsidR="002C4FD2" w:rsidRDefault="00330C05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2C4FD2" w14:paraId="3712B38B" w14:textId="77777777">
        <w:tc>
          <w:tcPr>
            <w:tcW w:w="1276" w:type="dxa"/>
          </w:tcPr>
          <w:p w14:paraId="1324C402" w14:textId="77777777" w:rsidR="002C4FD2" w:rsidRDefault="00330C0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04802D76" w14:textId="77777777" w:rsidR="002C4FD2" w:rsidRDefault="00330C05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445CCC34" w14:textId="77777777" w:rsidR="002C4FD2" w:rsidRDefault="00330C05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637EAE5D" w14:textId="77777777" w:rsidR="002C4FD2" w:rsidRDefault="002C4FD2">
      <w:pPr>
        <w:spacing w:after="0" w:line="260" w:lineRule="auto"/>
        <w:rPr>
          <w:rFonts w:cs="Arial"/>
        </w:rPr>
      </w:pPr>
    </w:p>
    <w:p w14:paraId="0DF421F2" w14:textId="77777777" w:rsidR="002C4FD2" w:rsidRDefault="00330C05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69C6F390" w14:textId="77777777" w:rsidR="002C4FD2" w:rsidRDefault="002C4FD2">
      <w:pPr>
        <w:spacing w:after="0" w:line="260" w:lineRule="auto"/>
        <w:rPr>
          <w:rFonts w:cs="Arial"/>
        </w:rPr>
      </w:pPr>
    </w:p>
    <w:p w14:paraId="107AD36D" w14:textId="77777777" w:rsidR="002C4FD2" w:rsidRDefault="002C4FD2">
      <w:pPr>
        <w:spacing w:after="0" w:line="260" w:lineRule="auto"/>
        <w:rPr>
          <w:rFonts w:cs="Arial"/>
        </w:rPr>
      </w:pPr>
    </w:p>
    <w:p w14:paraId="530DB697" w14:textId="77777777" w:rsidR="002C4FD2" w:rsidRDefault="00330C05">
      <w:pPr>
        <w:pStyle w:val="Odebeljeno"/>
        <w:spacing w:line="260" w:lineRule="auto"/>
      </w:pPr>
      <w:r>
        <w:t>I.</w:t>
      </w:r>
      <w:r>
        <w:tab/>
        <w:t>Ocena finančnih posledic, ki niso načrtovane v sprejetem proračunu</w:t>
      </w:r>
    </w:p>
    <w:p w14:paraId="5022AF52" w14:textId="77777777" w:rsidR="002C4FD2" w:rsidRDefault="002C4FD2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086"/>
        <w:gridCol w:w="945"/>
        <w:gridCol w:w="1496"/>
        <w:gridCol w:w="1496"/>
        <w:gridCol w:w="1496"/>
      </w:tblGrid>
      <w:tr w:rsidR="002C4FD2" w14:paraId="0163A0CA" w14:textId="77777777">
        <w:tc>
          <w:tcPr>
            <w:tcW w:w="2270" w:type="dxa"/>
            <w:vAlign w:val="center"/>
          </w:tcPr>
          <w:p w14:paraId="5DACCF47" w14:textId="77777777" w:rsidR="002C4FD2" w:rsidRDefault="00330C05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Predvideno povečanje (+) ali zmanjšanje (-)</w:t>
            </w:r>
          </w:p>
        </w:tc>
        <w:tc>
          <w:tcPr>
            <w:tcW w:w="1247" w:type="dxa"/>
            <w:vAlign w:val="center"/>
          </w:tcPr>
          <w:p w14:paraId="4998C59D" w14:textId="77777777" w:rsidR="002C4FD2" w:rsidRDefault="00330C05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247" w:type="dxa"/>
            <w:vAlign w:val="center"/>
          </w:tcPr>
          <w:p w14:paraId="04E1E451" w14:textId="77777777" w:rsidR="002C4FD2" w:rsidRDefault="00330C05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247" w:type="dxa"/>
            <w:vAlign w:val="center"/>
          </w:tcPr>
          <w:p w14:paraId="6900A774" w14:textId="77777777" w:rsidR="002C4FD2" w:rsidRDefault="00330C05">
            <w:pPr>
              <w:pStyle w:val="Odebeljeno"/>
              <w:spacing w:line="260" w:lineRule="exact"/>
              <w:jc w:val="center"/>
            </w:pPr>
            <w:r>
              <w:t>t + 2</w:t>
            </w:r>
          </w:p>
        </w:tc>
        <w:tc>
          <w:tcPr>
            <w:tcW w:w="1247" w:type="dxa"/>
            <w:vAlign w:val="center"/>
          </w:tcPr>
          <w:p w14:paraId="5924F78A" w14:textId="77777777" w:rsidR="002C4FD2" w:rsidRDefault="00330C05">
            <w:pPr>
              <w:pStyle w:val="Odebeljeno"/>
              <w:spacing w:line="260" w:lineRule="exact"/>
              <w:jc w:val="center"/>
            </w:pPr>
            <w:r>
              <w:t>t + 3</w:t>
            </w:r>
          </w:p>
        </w:tc>
        <w:tc>
          <w:tcPr>
            <w:tcW w:w="1247" w:type="dxa"/>
            <w:vAlign w:val="center"/>
          </w:tcPr>
          <w:p w14:paraId="7A394045" w14:textId="77777777" w:rsidR="002C4FD2" w:rsidRDefault="00330C05">
            <w:pPr>
              <w:pStyle w:val="Odebeljeno"/>
              <w:spacing w:line="260" w:lineRule="exact"/>
              <w:jc w:val="center"/>
            </w:pPr>
            <w:r>
              <w:t>Skupaj (v EUR)</w:t>
            </w:r>
          </w:p>
        </w:tc>
      </w:tr>
      <w:tr w:rsidR="002C4FD2" w14:paraId="0B5AE225" w14:textId="77777777">
        <w:tc>
          <w:tcPr>
            <w:tcW w:w="0" w:type="dxa"/>
            <w:vAlign w:val="center"/>
          </w:tcPr>
          <w:p w14:paraId="661C1376" w14:textId="77777777" w:rsidR="002C4FD2" w:rsidRDefault="00330C05">
            <w:pPr>
              <w:spacing w:after="0" w:line="260" w:lineRule="exact"/>
              <w:jc w:val="center"/>
            </w:pPr>
            <w:r>
              <w:lastRenderedPageBreak/>
              <w:t>prihodkov državnega proračuna</w:t>
            </w:r>
          </w:p>
        </w:tc>
        <w:tc>
          <w:tcPr>
            <w:tcW w:w="0" w:type="dxa"/>
            <w:vAlign w:val="center"/>
          </w:tcPr>
          <w:p w14:paraId="5E238AE8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494C0F3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9BAD583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F9DD502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501A66F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2C4FD2" w14:paraId="6F5DEDE1" w14:textId="77777777">
        <w:tc>
          <w:tcPr>
            <w:tcW w:w="0" w:type="dxa"/>
            <w:vAlign w:val="center"/>
          </w:tcPr>
          <w:p w14:paraId="38A2558C" w14:textId="77777777" w:rsidR="002C4FD2" w:rsidRDefault="00330C05">
            <w:pPr>
              <w:spacing w:after="0" w:line="260" w:lineRule="exact"/>
              <w:jc w:val="center"/>
            </w:pPr>
            <w:r>
              <w:t>prihodkov občinskih proračunov</w:t>
            </w:r>
          </w:p>
        </w:tc>
        <w:tc>
          <w:tcPr>
            <w:tcW w:w="0" w:type="dxa"/>
            <w:vAlign w:val="center"/>
          </w:tcPr>
          <w:p w14:paraId="46B8A6DD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4E63F4F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0177712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F3F97F3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5B517C6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2C4FD2" w14:paraId="559051B6" w14:textId="77777777">
        <w:tc>
          <w:tcPr>
            <w:tcW w:w="0" w:type="dxa"/>
            <w:vAlign w:val="center"/>
          </w:tcPr>
          <w:p w14:paraId="017BC09C" w14:textId="77777777" w:rsidR="002C4FD2" w:rsidRDefault="00330C05">
            <w:pPr>
              <w:spacing w:after="0" w:line="260" w:lineRule="exact"/>
              <w:jc w:val="center"/>
            </w:pPr>
            <w:r>
              <w:t>odhodkov državnega proračuna</w:t>
            </w:r>
          </w:p>
        </w:tc>
        <w:tc>
          <w:tcPr>
            <w:tcW w:w="0" w:type="dxa"/>
            <w:vAlign w:val="center"/>
          </w:tcPr>
          <w:p w14:paraId="0398DB7F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A293ACE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AC1C17E" w14:textId="77777777" w:rsidR="002C4FD2" w:rsidRDefault="00330C05">
            <w:pPr>
              <w:spacing w:after="0" w:line="260" w:lineRule="exact"/>
              <w:jc w:val="center"/>
            </w:pPr>
            <w:r>
              <w:t>34.415.993,00</w:t>
            </w:r>
          </w:p>
        </w:tc>
        <w:tc>
          <w:tcPr>
            <w:tcW w:w="0" w:type="dxa"/>
            <w:vAlign w:val="center"/>
          </w:tcPr>
          <w:p w14:paraId="3628D260" w14:textId="77777777" w:rsidR="002C4FD2" w:rsidRDefault="00330C05">
            <w:pPr>
              <w:spacing w:after="0" w:line="260" w:lineRule="exact"/>
              <w:jc w:val="center"/>
            </w:pPr>
            <w:r>
              <w:t>35.000.000,00</w:t>
            </w:r>
          </w:p>
        </w:tc>
        <w:tc>
          <w:tcPr>
            <w:tcW w:w="0" w:type="dxa"/>
            <w:vAlign w:val="center"/>
          </w:tcPr>
          <w:p w14:paraId="571B837E" w14:textId="77777777" w:rsidR="002C4FD2" w:rsidRDefault="00330C05">
            <w:pPr>
              <w:spacing w:after="0" w:line="260" w:lineRule="exact"/>
              <w:jc w:val="center"/>
            </w:pPr>
            <w:r>
              <w:t>69.415.993,00</w:t>
            </w:r>
          </w:p>
        </w:tc>
      </w:tr>
      <w:tr w:rsidR="002C4FD2" w14:paraId="57094C35" w14:textId="77777777">
        <w:tc>
          <w:tcPr>
            <w:tcW w:w="0" w:type="dxa"/>
            <w:vAlign w:val="center"/>
          </w:tcPr>
          <w:p w14:paraId="1C9BA443" w14:textId="77777777" w:rsidR="002C4FD2" w:rsidRDefault="00330C05">
            <w:pPr>
              <w:spacing w:after="0" w:line="260" w:lineRule="exact"/>
              <w:jc w:val="center"/>
            </w:pPr>
            <w:r>
              <w:t>odhodkov občinskih proračunov</w:t>
            </w:r>
          </w:p>
        </w:tc>
        <w:tc>
          <w:tcPr>
            <w:tcW w:w="0" w:type="dxa"/>
            <w:vAlign w:val="center"/>
          </w:tcPr>
          <w:p w14:paraId="19F95C75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E5CBE3D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6FAD373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F8E997A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CA2A7BA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2C4FD2" w14:paraId="37B6F30F" w14:textId="77777777">
        <w:tc>
          <w:tcPr>
            <w:tcW w:w="0" w:type="dxa"/>
            <w:vAlign w:val="center"/>
          </w:tcPr>
          <w:p w14:paraId="1ABD6B97" w14:textId="77777777" w:rsidR="002C4FD2" w:rsidRDefault="00330C05">
            <w:pPr>
              <w:spacing w:after="0" w:line="260" w:lineRule="exact"/>
              <w:jc w:val="center"/>
            </w:pPr>
            <w:r>
              <w:t>obveznosti za druga javnofinančna sredstva</w:t>
            </w:r>
          </w:p>
        </w:tc>
        <w:tc>
          <w:tcPr>
            <w:tcW w:w="0" w:type="dxa"/>
            <w:vAlign w:val="center"/>
          </w:tcPr>
          <w:p w14:paraId="6FD54DA1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5100828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315CB50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6257B4D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6F81E80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00976922" w14:textId="77777777" w:rsidR="002C4FD2" w:rsidRDefault="002C4FD2">
      <w:pPr>
        <w:spacing w:after="0" w:line="260" w:lineRule="auto"/>
        <w:rPr>
          <w:rFonts w:cs="Arial"/>
        </w:rPr>
      </w:pPr>
    </w:p>
    <w:p w14:paraId="4BA8F94B" w14:textId="77777777" w:rsidR="002C4FD2" w:rsidRDefault="00330C05">
      <w:pPr>
        <w:pStyle w:val="Odebeljeno"/>
        <w:spacing w:line="260" w:lineRule="auto"/>
      </w:pPr>
      <w:r>
        <w:t>II.</w:t>
      </w:r>
      <w:r>
        <w:tab/>
        <w:t>Finančne posledice za državni proračun</w:t>
      </w:r>
    </w:p>
    <w:p w14:paraId="2C709814" w14:textId="77777777" w:rsidR="002C4FD2" w:rsidRDefault="002C4FD2">
      <w:pPr>
        <w:spacing w:after="0" w:line="260" w:lineRule="auto"/>
        <w:rPr>
          <w:rFonts w:cs="Arial"/>
        </w:rPr>
      </w:pPr>
    </w:p>
    <w:p w14:paraId="7686F06F" w14:textId="77777777" w:rsidR="002C4FD2" w:rsidRDefault="00330C05">
      <w:pPr>
        <w:pStyle w:val="Odebeljeno"/>
        <w:spacing w:line="260" w:lineRule="auto"/>
      </w:pPr>
      <w:r>
        <w:t>a)</w:t>
      </w:r>
      <w:r>
        <w:tab/>
        <w:t>Pravice porabe za izvedbo predlaganih rešitev so zagotovljene:</w:t>
      </w:r>
    </w:p>
    <w:p w14:paraId="31C2C2DE" w14:textId="77777777" w:rsidR="002C4FD2" w:rsidRDefault="002C4FD2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1616"/>
        <w:gridCol w:w="1646"/>
        <w:gridCol w:w="1607"/>
        <w:gridCol w:w="1625"/>
      </w:tblGrid>
      <w:tr w:rsidR="002C4FD2" w14:paraId="4A2C56DA" w14:textId="77777777">
        <w:tc>
          <w:tcPr>
            <w:tcW w:w="1701" w:type="dxa"/>
            <w:vAlign w:val="center"/>
          </w:tcPr>
          <w:p w14:paraId="17BA91E6" w14:textId="77777777" w:rsidR="002C4FD2" w:rsidRDefault="00330C05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6B7BD076" w14:textId="77777777" w:rsidR="002C4FD2" w:rsidRDefault="00330C05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07F929A5" w14:textId="77777777" w:rsidR="002C4FD2" w:rsidRDefault="00330C05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7CBF4C45" w14:textId="77777777" w:rsidR="002C4FD2" w:rsidRDefault="00330C05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51DDEF26" w14:textId="77777777" w:rsidR="002C4FD2" w:rsidRDefault="00330C05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2C4FD2" w14:paraId="1E594673" w14:textId="77777777">
        <w:tc>
          <w:tcPr>
            <w:tcW w:w="0" w:type="dxa"/>
            <w:vAlign w:val="center"/>
          </w:tcPr>
          <w:p w14:paraId="220CBF11" w14:textId="77777777" w:rsidR="002C4FD2" w:rsidRDefault="00330C05">
            <w:pPr>
              <w:spacing w:after="0" w:line="260" w:lineRule="exact"/>
              <w:jc w:val="center"/>
            </w:pPr>
            <w:r>
              <w:t>Ministrstvo za kmetijstvo, gozdarstvo in prehrano</w:t>
            </w:r>
          </w:p>
        </w:tc>
        <w:tc>
          <w:tcPr>
            <w:tcW w:w="0" w:type="dxa"/>
            <w:vAlign w:val="center"/>
          </w:tcPr>
          <w:p w14:paraId="5E0AA8CB" w14:textId="77777777" w:rsidR="002C4FD2" w:rsidRDefault="00330C05">
            <w:pPr>
              <w:spacing w:after="0" w:line="260" w:lineRule="exact"/>
              <w:jc w:val="center"/>
            </w:pPr>
            <w:r>
              <w:t>2.779.800,00</w:t>
            </w:r>
          </w:p>
        </w:tc>
        <w:tc>
          <w:tcPr>
            <w:tcW w:w="0" w:type="dxa"/>
            <w:vAlign w:val="center"/>
          </w:tcPr>
          <w:p w14:paraId="59FA67BC" w14:textId="77777777" w:rsidR="002C4FD2" w:rsidRDefault="00330C05">
            <w:pPr>
              <w:spacing w:after="0" w:line="260" w:lineRule="exact"/>
              <w:jc w:val="center"/>
            </w:pPr>
            <w:r>
              <w:t>5.763.000,00</w:t>
            </w:r>
          </w:p>
        </w:tc>
        <w:tc>
          <w:tcPr>
            <w:tcW w:w="0" w:type="dxa"/>
            <w:vAlign w:val="center"/>
          </w:tcPr>
          <w:p w14:paraId="766A7807" w14:textId="77777777" w:rsidR="002C4FD2" w:rsidRDefault="00330C05">
            <w:pPr>
              <w:spacing w:after="0" w:line="260" w:lineRule="exact"/>
              <w:jc w:val="center"/>
            </w:pPr>
            <w:r>
              <w:t>2330-24-0004 »Intervencije za pridelavo in predelavo SN 23–27«</w:t>
            </w:r>
          </w:p>
        </w:tc>
        <w:tc>
          <w:tcPr>
            <w:tcW w:w="0" w:type="dxa"/>
            <w:vAlign w:val="center"/>
          </w:tcPr>
          <w:p w14:paraId="6D8B917C" w14:textId="77777777" w:rsidR="002C4FD2" w:rsidRDefault="00330C05">
            <w:pPr>
              <w:spacing w:after="0" w:line="260" w:lineRule="exact"/>
              <w:jc w:val="center"/>
            </w:pPr>
            <w:r>
              <w:t>221064 Skupni strateški načrt 2023–2027 – EKSRP – EU</w:t>
            </w:r>
          </w:p>
        </w:tc>
      </w:tr>
      <w:tr w:rsidR="002C4FD2" w14:paraId="488ECC0D" w14:textId="77777777">
        <w:tc>
          <w:tcPr>
            <w:tcW w:w="0" w:type="dxa"/>
            <w:vAlign w:val="center"/>
          </w:tcPr>
          <w:p w14:paraId="61F05BC1" w14:textId="77777777" w:rsidR="002C4FD2" w:rsidRDefault="00330C05">
            <w:pPr>
              <w:spacing w:after="0" w:line="260" w:lineRule="exact"/>
              <w:jc w:val="center"/>
            </w:pPr>
            <w:r>
              <w:t>Ministrstvo za kmetijstvo, gozdarstvo in prehrano</w:t>
            </w:r>
          </w:p>
        </w:tc>
        <w:tc>
          <w:tcPr>
            <w:tcW w:w="0" w:type="dxa"/>
            <w:vAlign w:val="center"/>
          </w:tcPr>
          <w:p w14:paraId="5CFCDADF" w14:textId="77777777" w:rsidR="002C4FD2" w:rsidRDefault="00330C05">
            <w:pPr>
              <w:spacing w:after="0" w:line="260" w:lineRule="exact"/>
              <w:jc w:val="center"/>
            </w:pPr>
            <w:r>
              <w:t>5.420.200,00</w:t>
            </w:r>
          </w:p>
        </w:tc>
        <w:tc>
          <w:tcPr>
            <w:tcW w:w="0" w:type="dxa"/>
            <w:vAlign w:val="center"/>
          </w:tcPr>
          <w:p w14:paraId="6B657C18" w14:textId="77777777" w:rsidR="002C4FD2" w:rsidRDefault="00330C05">
            <w:pPr>
              <w:spacing w:after="0" w:line="260" w:lineRule="exact"/>
              <w:jc w:val="center"/>
            </w:pPr>
            <w:r>
              <w:t>11.237.000,00</w:t>
            </w:r>
          </w:p>
        </w:tc>
        <w:tc>
          <w:tcPr>
            <w:tcW w:w="0" w:type="dxa"/>
            <w:vAlign w:val="center"/>
          </w:tcPr>
          <w:p w14:paraId="2F5691D1" w14:textId="77777777" w:rsidR="002C4FD2" w:rsidRDefault="00330C05">
            <w:pPr>
              <w:spacing w:after="0" w:line="260" w:lineRule="exact"/>
              <w:jc w:val="center"/>
            </w:pPr>
            <w:r>
              <w:t>2330-24-0004 »Intervencije za pridelavo in predelavo SN 23–27«</w:t>
            </w:r>
          </w:p>
        </w:tc>
        <w:tc>
          <w:tcPr>
            <w:tcW w:w="0" w:type="dxa"/>
            <w:vAlign w:val="center"/>
          </w:tcPr>
          <w:p w14:paraId="2724C463" w14:textId="77777777" w:rsidR="002C4FD2" w:rsidRDefault="00330C05">
            <w:pPr>
              <w:spacing w:after="0" w:line="260" w:lineRule="exact"/>
              <w:jc w:val="center"/>
            </w:pPr>
            <w:r>
              <w:t>221065 Skupni strateški načrt 2023–2027 – EKSRP – slovenska udeležba</w:t>
            </w:r>
          </w:p>
        </w:tc>
      </w:tr>
      <w:tr w:rsidR="002C4FD2" w14:paraId="7432B666" w14:textId="77777777">
        <w:tc>
          <w:tcPr>
            <w:tcW w:w="0" w:type="dxa"/>
            <w:vAlign w:val="center"/>
          </w:tcPr>
          <w:p w14:paraId="2936F081" w14:textId="77777777" w:rsidR="002C4FD2" w:rsidRDefault="00330C05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3BB56047" w14:textId="77777777" w:rsidR="002C4FD2" w:rsidRDefault="00330C05">
            <w:pPr>
              <w:spacing w:after="0" w:line="260" w:lineRule="exact"/>
              <w:jc w:val="center"/>
            </w:pPr>
            <w:r>
              <w:t>8.200.000,00</w:t>
            </w:r>
          </w:p>
        </w:tc>
        <w:tc>
          <w:tcPr>
            <w:tcW w:w="0" w:type="dxa"/>
            <w:vAlign w:val="center"/>
          </w:tcPr>
          <w:p w14:paraId="383B4E59" w14:textId="77777777" w:rsidR="002C4FD2" w:rsidRDefault="00330C05">
            <w:pPr>
              <w:spacing w:after="0" w:line="260" w:lineRule="exact"/>
              <w:jc w:val="center"/>
            </w:pPr>
            <w:r>
              <w:t>17.000.000,00</w:t>
            </w:r>
          </w:p>
        </w:tc>
        <w:tc>
          <w:tcPr>
            <w:tcW w:w="0" w:type="dxa"/>
            <w:vAlign w:val="center"/>
          </w:tcPr>
          <w:p w14:paraId="56397BE8" w14:textId="77777777" w:rsidR="002C4FD2" w:rsidRDefault="002C4FD2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7653495F" w14:textId="77777777" w:rsidR="002C4FD2" w:rsidRDefault="002C4FD2">
            <w:pPr>
              <w:spacing w:after="0" w:line="260" w:lineRule="exact"/>
              <w:jc w:val="center"/>
            </w:pPr>
          </w:p>
        </w:tc>
      </w:tr>
    </w:tbl>
    <w:p w14:paraId="588C4EAE" w14:textId="77777777" w:rsidR="002C4FD2" w:rsidRDefault="002C4FD2">
      <w:pPr>
        <w:spacing w:after="0" w:line="260" w:lineRule="auto"/>
        <w:rPr>
          <w:rFonts w:cs="Arial"/>
        </w:rPr>
      </w:pPr>
    </w:p>
    <w:p w14:paraId="19B34B25" w14:textId="77777777" w:rsidR="002C4FD2" w:rsidRDefault="00330C05">
      <w:pPr>
        <w:pStyle w:val="Odebeljeno"/>
        <w:spacing w:line="260" w:lineRule="auto"/>
      </w:pPr>
      <w:r>
        <w:t>b)</w:t>
      </w:r>
      <w:r>
        <w:tab/>
        <w:t>Manjkajoče pravice porabe bodo zagotovljene s prerazporeditvijo:</w:t>
      </w:r>
    </w:p>
    <w:p w14:paraId="0E568D6E" w14:textId="77777777" w:rsidR="002C4FD2" w:rsidRDefault="002C4FD2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15"/>
        <w:gridCol w:w="1584"/>
        <w:gridCol w:w="1625"/>
        <w:gridCol w:w="1671"/>
      </w:tblGrid>
      <w:tr w:rsidR="002C4FD2" w14:paraId="0D72A42C" w14:textId="77777777">
        <w:tc>
          <w:tcPr>
            <w:tcW w:w="1701" w:type="dxa"/>
            <w:vAlign w:val="center"/>
          </w:tcPr>
          <w:p w14:paraId="297C7746" w14:textId="77777777" w:rsidR="002C4FD2" w:rsidRDefault="00330C05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26F888C1" w14:textId="77777777" w:rsidR="002C4FD2" w:rsidRDefault="00330C05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27A3232A" w14:textId="77777777" w:rsidR="002C4FD2" w:rsidRDefault="00330C05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3888CDF0" w14:textId="77777777" w:rsidR="002C4FD2" w:rsidRDefault="00330C05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73513532" w14:textId="77777777" w:rsidR="002C4FD2" w:rsidRDefault="00330C05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2C4FD2" w14:paraId="435E9CCB" w14:textId="77777777">
        <w:tc>
          <w:tcPr>
            <w:tcW w:w="0" w:type="dxa"/>
            <w:vAlign w:val="center"/>
          </w:tcPr>
          <w:p w14:paraId="0210D9C5" w14:textId="77777777" w:rsidR="002C4FD2" w:rsidRDefault="00330C05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5B7F0D5E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430AED6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AB0107F" w14:textId="77777777" w:rsidR="002C4FD2" w:rsidRDefault="002C4FD2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5F75C049" w14:textId="77777777" w:rsidR="002C4FD2" w:rsidRDefault="002C4FD2">
            <w:pPr>
              <w:spacing w:after="0" w:line="260" w:lineRule="exact"/>
              <w:jc w:val="center"/>
            </w:pPr>
          </w:p>
        </w:tc>
      </w:tr>
    </w:tbl>
    <w:p w14:paraId="1FB1DD48" w14:textId="77777777" w:rsidR="002C4FD2" w:rsidRDefault="002C4FD2">
      <w:pPr>
        <w:spacing w:after="0" w:line="260" w:lineRule="auto"/>
        <w:rPr>
          <w:rFonts w:cs="Arial"/>
        </w:rPr>
      </w:pPr>
    </w:p>
    <w:p w14:paraId="0582DC37" w14:textId="77777777" w:rsidR="002C4FD2" w:rsidRDefault="00330C05">
      <w:pPr>
        <w:pStyle w:val="Odebeljeno"/>
        <w:spacing w:line="260" w:lineRule="auto"/>
      </w:pPr>
      <w:r>
        <w:t>III.</w:t>
      </w:r>
      <w:r>
        <w:tab/>
        <w:t>Načrtovana nadomestitev zmanjšanih prihodkov oziroma povečanih odhodkov proračuna</w:t>
      </w:r>
    </w:p>
    <w:p w14:paraId="0846E148" w14:textId="77777777" w:rsidR="002C4FD2" w:rsidRDefault="002C4FD2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2C4FD2" w14:paraId="1874160A" w14:textId="77777777">
        <w:tc>
          <w:tcPr>
            <w:tcW w:w="2835" w:type="dxa"/>
            <w:vAlign w:val="center"/>
          </w:tcPr>
          <w:p w14:paraId="223D3C95" w14:textId="77777777" w:rsidR="002C4FD2" w:rsidRDefault="00330C05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Novi prihodki</w:t>
            </w:r>
          </w:p>
        </w:tc>
        <w:tc>
          <w:tcPr>
            <w:tcW w:w="2835" w:type="dxa"/>
            <w:vAlign w:val="center"/>
          </w:tcPr>
          <w:p w14:paraId="2249E72A" w14:textId="77777777" w:rsidR="002C4FD2" w:rsidRDefault="00330C05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2835" w:type="dxa"/>
            <w:vAlign w:val="center"/>
          </w:tcPr>
          <w:p w14:paraId="0835F13B" w14:textId="77777777" w:rsidR="002C4FD2" w:rsidRDefault="00330C05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</w:tr>
      <w:tr w:rsidR="002C4FD2" w14:paraId="70A58AB1" w14:textId="77777777">
        <w:tc>
          <w:tcPr>
            <w:tcW w:w="0" w:type="dxa"/>
            <w:vAlign w:val="center"/>
          </w:tcPr>
          <w:p w14:paraId="387E3A8D" w14:textId="77777777" w:rsidR="002C4FD2" w:rsidRDefault="00330C05">
            <w:pPr>
              <w:spacing w:after="0" w:line="260" w:lineRule="exact"/>
              <w:jc w:val="center"/>
            </w:pPr>
            <w:r>
              <w:t>SKUPAJ</w:t>
            </w:r>
          </w:p>
        </w:tc>
        <w:tc>
          <w:tcPr>
            <w:tcW w:w="0" w:type="dxa"/>
            <w:vAlign w:val="center"/>
          </w:tcPr>
          <w:p w14:paraId="5D99008C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1B6E615" w14:textId="77777777" w:rsidR="002C4FD2" w:rsidRDefault="00330C05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19C6AB0E" w14:textId="77777777" w:rsidR="002C4FD2" w:rsidRDefault="002C4FD2">
      <w:pPr>
        <w:spacing w:after="0" w:line="260" w:lineRule="auto"/>
        <w:rPr>
          <w:rFonts w:cs="Arial"/>
        </w:rPr>
      </w:pPr>
    </w:p>
    <w:p w14:paraId="759CEA36" w14:textId="77777777" w:rsidR="002C4FD2" w:rsidRDefault="00330C05">
      <w:pPr>
        <w:pStyle w:val="Odebeljeno"/>
        <w:spacing w:line="260" w:lineRule="auto"/>
      </w:pPr>
      <w:r>
        <w:t>Obrazložitev finančnih posledic</w:t>
      </w:r>
    </w:p>
    <w:p w14:paraId="1FD20751" w14:textId="77777777" w:rsidR="002C4FD2" w:rsidRDefault="002C4FD2">
      <w:pPr>
        <w:spacing w:after="0" w:line="260" w:lineRule="auto"/>
        <w:rPr>
          <w:rFonts w:cs="Arial"/>
        </w:rPr>
      </w:pPr>
    </w:p>
    <w:p w14:paraId="576F5EE7" w14:textId="42D381E2" w:rsidR="002C4FD2" w:rsidRDefault="00330C05">
      <w:pPr>
        <w:spacing w:after="0" w:line="240" w:lineRule="auto"/>
      </w:pPr>
      <w:r>
        <w:t>V okviru SN SKP je za intervencijo naložbe v dvig produktivnosti in tehnološki razvoj, vključno z digitalizacijo kmetijskih gospodarstev, razpoložljivih 59.889.693 EUR</w:t>
      </w:r>
      <w:r w:rsidR="001F39EA">
        <w:t>,</w:t>
      </w:r>
      <w:r>
        <w:t xml:space="preserve"> in za intervencijo naložbe v prilagoditev na podnebne spremembe pri trajnih nasadih 34.726.300 EUR. Skupaj je razpoložljivih 94.615.993 EUR.</w:t>
      </w:r>
    </w:p>
    <w:p w14:paraId="6698B1C3" w14:textId="77777777" w:rsidR="002C4FD2" w:rsidRDefault="00330C05">
      <w:pPr>
        <w:spacing w:after="0" w:line="240" w:lineRule="auto"/>
      </w:pPr>
      <w:r>
        <w:lastRenderedPageBreak/>
        <w:t xml:space="preserve"> </w:t>
      </w:r>
    </w:p>
    <w:p w14:paraId="0AE86A9F" w14:textId="77777777" w:rsidR="002C4FD2" w:rsidRDefault="00330C05">
      <w:pPr>
        <w:spacing w:after="0" w:line="240" w:lineRule="auto"/>
      </w:pPr>
      <w:r>
        <w:t xml:space="preserve">Izplačila se bodo izvajala še v letih 2028 in 2029, in sicer v skupni višini 69.415.993 EUR, saj mora upravičenec zadnji zahtevek za izplačilo sredstev vložiti najpozneje v treh letih od datuma vložitve vloge na javni razpis oziroma najpozneje do 30. 6. 2029. Izplačila iz SN SKP se bodo izvajala do konca leta 2029. Sredstva v predvideni višini 34.415.993 EUR za leto 2028 in sredstva v predvideni višini 35.000.000 EUR za leto 2029 bodo zagotovljena ob pripravi proračunov za leti 2028 in 2029 znotraj finančnega načrta Ministrstva za kmetijstvo, gozdarstvo in prehrano (v nadaljnjem besedilu: ministrstvo). </w:t>
      </w:r>
    </w:p>
    <w:p w14:paraId="114F1501" w14:textId="77777777" w:rsidR="002C4FD2" w:rsidRDefault="002C4FD2">
      <w:pPr>
        <w:spacing w:after="0" w:line="260" w:lineRule="auto"/>
      </w:pPr>
    </w:p>
    <w:p w14:paraId="21E58688" w14:textId="77777777" w:rsidR="002C4FD2" w:rsidRDefault="00330C05">
      <w:pPr>
        <w:pStyle w:val="Odebeljeno"/>
        <w:spacing w:line="260" w:lineRule="auto"/>
      </w:pPr>
      <w:r>
        <w:t>Navedba o zagotovitvi sredstev</w:t>
      </w:r>
    </w:p>
    <w:p w14:paraId="7D66C799" w14:textId="77777777" w:rsidR="002C4FD2" w:rsidRDefault="002C4FD2">
      <w:pPr>
        <w:spacing w:after="0" w:line="260" w:lineRule="auto"/>
        <w:rPr>
          <w:rFonts w:cs="Arial"/>
        </w:rPr>
      </w:pPr>
    </w:p>
    <w:p w14:paraId="6B0441A0" w14:textId="77777777" w:rsidR="002C4FD2" w:rsidRDefault="00330C05">
      <w:pPr>
        <w:spacing w:after="0" w:line="240" w:lineRule="auto"/>
      </w:pPr>
      <w:r>
        <w:t>Sredstva za izplačila so zagotovljena v projektu 2330-24-0004 Intervencije za pridelavo in predelavo SN 23–27 na proračunskih postavkah PP221064 – Skupni strateški načrt 2023–2027 – EKSRP – EU in PP221065 – Skupni strateški načrt 2023–2027 – EKSRP – slovenska udeležba. Delež sofinanciranja iz EKSRP je 33,90 %, delež sofinanciranja iz nacionalnega proračuna pa 66,10 %.</w:t>
      </w:r>
    </w:p>
    <w:p w14:paraId="1D567982" w14:textId="77777777" w:rsidR="002C4FD2" w:rsidRDefault="00330C05">
      <w:pPr>
        <w:spacing w:after="0" w:line="240" w:lineRule="auto"/>
      </w:pPr>
      <w:r>
        <w:t xml:space="preserve"> </w:t>
      </w:r>
    </w:p>
    <w:p w14:paraId="198036BD" w14:textId="77777777" w:rsidR="002C4FD2" w:rsidRDefault="00330C05">
      <w:pPr>
        <w:spacing w:after="0" w:line="240" w:lineRule="auto"/>
      </w:pPr>
      <w:r>
        <w:t xml:space="preserve">Sredstva za leti 2028 in 2029 bodo zagotovljena ob pripravi proračunov za leti 2028 in 2029 znotraj finančnega načrta ministrstva. </w:t>
      </w:r>
    </w:p>
    <w:p w14:paraId="66C0A136" w14:textId="77777777" w:rsidR="002C4FD2" w:rsidRDefault="002C4FD2">
      <w:pPr>
        <w:spacing w:after="0" w:line="260" w:lineRule="auto"/>
      </w:pPr>
    </w:p>
    <w:p w14:paraId="06F5896F" w14:textId="77777777" w:rsidR="002C4FD2" w:rsidRDefault="002C4FD2">
      <w:pPr>
        <w:spacing w:after="0" w:line="260" w:lineRule="auto"/>
        <w:rPr>
          <w:rFonts w:cs="Arial"/>
        </w:rPr>
      </w:pPr>
    </w:p>
    <w:p w14:paraId="14A6219F" w14:textId="77777777" w:rsidR="002C4FD2" w:rsidRDefault="002C4FD2">
      <w:pPr>
        <w:spacing w:after="0" w:line="260" w:lineRule="auto"/>
        <w:rPr>
          <w:rFonts w:cs="Arial"/>
        </w:rPr>
      </w:pPr>
    </w:p>
    <w:p w14:paraId="44649060" w14:textId="77777777" w:rsidR="002C4FD2" w:rsidRDefault="00330C05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610394E1" w14:textId="77777777" w:rsidR="002C4FD2" w:rsidRDefault="002C4FD2">
      <w:pPr>
        <w:spacing w:after="0" w:line="260" w:lineRule="auto"/>
        <w:rPr>
          <w:rFonts w:cs="Arial"/>
        </w:rPr>
      </w:pPr>
    </w:p>
    <w:p w14:paraId="61736C0E" w14:textId="77777777" w:rsidR="002C4FD2" w:rsidRDefault="00330C05">
      <w:pPr>
        <w:spacing w:after="0" w:line="260" w:lineRule="auto"/>
      </w:pPr>
      <w:r>
        <w:t>Vsebina gradiva ne vpliva pristojnosti, delovanje oziroma financiranje občin.</w:t>
      </w:r>
    </w:p>
    <w:p w14:paraId="240539A4" w14:textId="77777777" w:rsidR="002C4FD2" w:rsidRDefault="002C4FD2">
      <w:pPr>
        <w:spacing w:after="0" w:line="260" w:lineRule="auto"/>
        <w:rPr>
          <w:rFonts w:cs="Arial"/>
        </w:rPr>
      </w:pPr>
    </w:p>
    <w:p w14:paraId="77811946" w14:textId="77777777" w:rsidR="002C4FD2" w:rsidRDefault="00330C05">
      <w:pPr>
        <w:spacing w:after="0" w:line="260" w:lineRule="auto"/>
      </w:pPr>
      <w:r>
        <w:t>Gradivo ni bilo poslano v mnenje Skupnosti občin Slovenije (SOS).</w:t>
      </w:r>
    </w:p>
    <w:p w14:paraId="2EB38452" w14:textId="77777777" w:rsidR="002C4FD2" w:rsidRDefault="002C4FD2">
      <w:pPr>
        <w:spacing w:after="0" w:line="260" w:lineRule="auto"/>
        <w:rPr>
          <w:rFonts w:cs="Arial"/>
        </w:rPr>
      </w:pPr>
    </w:p>
    <w:p w14:paraId="37E81B3A" w14:textId="77777777" w:rsidR="002C4FD2" w:rsidRDefault="00330C05">
      <w:pPr>
        <w:spacing w:after="0" w:line="260" w:lineRule="auto"/>
      </w:pPr>
      <w:r>
        <w:t>Gradivo ni bilo poslano v mnenje Združenju občin Slovenije (ZOS).</w:t>
      </w:r>
    </w:p>
    <w:p w14:paraId="5E6946F3" w14:textId="77777777" w:rsidR="002C4FD2" w:rsidRDefault="002C4FD2">
      <w:pPr>
        <w:spacing w:after="0" w:line="260" w:lineRule="auto"/>
        <w:rPr>
          <w:rFonts w:cs="Arial"/>
        </w:rPr>
      </w:pPr>
    </w:p>
    <w:p w14:paraId="07D3D20A" w14:textId="77777777" w:rsidR="002C4FD2" w:rsidRDefault="00330C05">
      <w:pPr>
        <w:spacing w:after="0" w:line="260" w:lineRule="auto"/>
      </w:pPr>
      <w:r>
        <w:t>Gradivo ni bilo poslano v mnenje Združenju mestnih občin Slovenije (ZMOS).</w:t>
      </w:r>
    </w:p>
    <w:p w14:paraId="642D837A" w14:textId="77777777" w:rsidR="002C4FD2" w:rsidRDefault="002C4FD2">
      <w:pPr>
        <w:spacing w:after="0" w:line="260" w:lineRule="auto"/>
        <w:rPr>
          <w:rFonts w:cs="Arial"/>
        </w:rPr>
      </w:pPr>
    </w:p>
    <w:p w14:paraId="4119C1DA" w14:textId="77777777" w:rsidR="002C4FD2" w:rsidRDefault="00330C05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142E9C91" w14:textId="77777777" w:rsidR="002C4FD2" w:rsidRDefault="002C4FD2">
      <w:pPr>
        <w:spacing w:after="0" w:line="260" w:lineRule="auto"/>
        <w:rPr>
          <w:rFonts w:cs="Arial"/>
        </w:rPr>
      </w:pPr>
    </w:p>
    <w:p w14:paraId="5B392E61" w14:textId="77777777" w:rsidR="002C4FD2" w:rsidRDefault="00330C05">
      <w:pPr>
        <w:spacing w:after="0" w:line="260" w:lineRule="auto"/>
      </w:pPr>
      <w:r>
        <w:t>Gradivo je bilo predmet sodelovanja z javnostjo.</w:t>
      </w:r>
    </w:p>
    <w:p w14:paraId="3BB538EC" w14:textId="77777777" w:rsidR="002C4FD2" w:rsidRDefault="002C4FD2">
      <w:pPr>
        <w:spacing w:after="0" w:line="260" w:lineRule="auto"/>
        <w:rPr>
          <w:rFonts w:cs="Arial"/>
        </w:rPr>
      </w:pPr>
    </w:p>
    <w:p w14:paraId="32558EFA" w14:textId="77777777" w:rsidR="002C4FD2" w:rsidRDefault="00330C05">
      <w:pPr>
        <w:spacing w:after="0" w:line="260" w:lineRule="auto"/>
      </w:pPr>
      <w:r>
        <w:t>Datum objave na spletni strani:</w:t>
      </w:r>
    </w:p>
    <w:p w14:paraId="175ACD1D" w14:textId="77777777" w:rsidR="002C4FD2" w:rsidRDefault="00330C05">
      <w:pPr>
        <w:spacing w:after="0" w:line="260" w:lineRule="auto"/>
      </w:pPr>
      <w:r>
        <w:t>12. 11. 2025</w:t>
      </w:r>
    </w:p>
    <w:p w14:paraId="117B7F2B" w14:textId="77777777" w:rsidR="002C4FD2" w:rsidRDefault="002C4FD2">
      <w:pPr>
        <w:spacing w:after="0" w:line="260" w:lineRule="auto"/>
        <w:rPr>
          <w:rFonts w:cs="Arial"/>
        </w:rPr>
      </w:pPr>
    </w:p>
    <w:p w14:paraId="49CA5FD9" w14:textId="77777777" w:rsidR="002C4FD2" w:rsidRDefault="00330C05">
      <w:pPr>
        <w:spacing w:after="0" w:line="260" w:lineRule="auto"/>
      </w:pPr>
      <w:r>
        <w:t>Na gradivo so bila podana mnenja, predlogi in pripombe.</w:t>
      </w:r>
    </w:p>
    <w:p w14:paraId="73CBEFC1" w14:textId="77777777" w:rsidR="002C4FD2" w:rsidRDefault="002C4FD2">
      <w:pPr>
        <w:spacing w:after="0" w:line="260" w:lineRule="auto"/>
        <w:rPr>
          <w:rFonts w:cs="Arial"/>
        </w:rPr>
      </w:pPr>
    </w:p>
    <w:p w14:paraId="71B9BCD7" w14:textId="77777777" w:rsidR="002C4FD2" w:rsidRDefault="00330C05">
      <w:pPr>
        <w:spacing w:after="0" w:line="260" w:lineRule="auto"/>
      </w:pPr>
      <w:r>
        <w:t>V razpravo vključeni subjekti:</w:t>
      </w:r>
    </w:p>
    <w:p w14:paraId="7D8E7C83" w14:textId="77777777" w:rsidR="002C4FD2" w:rsidRDefault="00330C05">
      <w:pPr>
        <w:spacing w:after="0" w:line="240" w:lineRule="auto"/>
      </w:pPr>
      <w:r>
        <w:t>Kmetijsko gozdarska zbornica, Gospodarska zbornica Slovenije</w:t>
      </w:r>
    </w:p>
    <w:p w14:paraId="5E4BA9E5" w14:textId="77777777" w:rsidR="002C4FD2" w:rsidRDefault="002C4FD2">
      <w:pPr>
        <w:spacing w:after="0" w:line="260" w:lineRule="auto"/>
        <w:rPr>
          <w:rFonts w:cs="Arial"/>
        </w:rPr>
      </w:pPr>
    </w:p>
    <w:p w14:paraId="17C19D38" w14:textId="77777777" w:rsidR="002C4FD2" w:rsidRDefault="00330C05">
      <w:pPr>
        <w:spacing w:after="0" w:line="260" w:lineRule="auto"/>
      </w:pPr>
      <w:r>
        <w:t>Obrazložitev upoštevanja mnenj, predlogov in pripomb v razpravo vključenih subjektov:</w:t>
      </w:r>
    </w:p>
    <w:p w14:paraId="79B93DD0" w14:textId="77777777" w:rsidR="002C4FD2" w:rsidRDefault="00330C05">
      <w:pPr>
        <w:spacing w:after="0" w:line="240" w:lineRule="auto"/>
      </w:pPr>
      <w:r>
        <w:t xml:space="preserve">Predlogi so bili upoštevani delno. Niso upoštevani predlogi, ki so v nasprotju s SN SKP in predpisi EU s področja skupne kmetijske politike. </w:t>
      </w:r>
    </w:p>
    <w:p w14:paraId="528557E9" w14:textId="77777777" w:rsidR="002C4FD2" w:rsidRDefault="002C4FD2">
      <w:pPr>
        <w:spacing w:after="0" w:line="260" w:lineRule="auto"/>
        <w:rPr>
          <w:rFonts w:cs="Arial"/>
        </w:rPr>
      </w:pPr>
    </w:p>
    <w:p w14:paraId="608A6F84" w14:textId="77777777" w:rsidR="002C4FD2" w:rsidRDefault="00330C05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39E50E0B" w14:textId="77777777" w:rsidR="002C4FD2" w:rsidRDefault="002C4FD2">
      <w:pPr>
        <w:spacing w:after="0" w:line="260" w:lineRule="auto"/>
        <w:rPr>
          <w:rFonts w:cs="Arial"/>
        </w:rPr>
      </w:pPr>
    </w:p>
    <w:p w14:paraId="235895D6" w14:textId="77777777" w:rsidR="002C4FD2" w:rsidRDefault="00330C05">
      <w:pPr>
        <w:spacing w:after="0" w:line="260" w:lineRule="auto"/>
      </w:pPr>
      <w:r>
        <w:t>Pri pripravi gradiva so bile upoštevane zahteve iz Resolucije o normativni dejavnosti.</w:t>
      </w:r>
    </w:p>
    <w:p w14:paraId="1879046B" w14:textId="77777777" w:rsidR="002C4FD2" w:rsidRDefault="002C4FD2">
      <w:pPr>
        <w:spacing w:after="0" w:line="260" w:lineRule="auto"/>
        <w:rPr>
          <w:rFonts w:cs="Arial"/>
        </w:rPr>
      </w:pPr>
    </w:p>
    <w:p w14:paraId="435958C8" w14:textId="7EDB0921" w:rsidR="002C4FD2" w:rsidRDefault="00330C05" w:rsidP="00330C05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55AFBC68" w14:textId="77777777" w:rsidR="002C4FD2" w:rsidRDefault="00330C05">
      <w:pPr>
        <w:spacing w:after="0" w:line="260" w:lineRule="auto"/>
      </w:pPr>
      <w:r>
        <w:t>Predlog predpisa, ki je predmet gradiva, ni vključen v okvirni načrt normativne dejavnosti.</w:t>
      </w:r>
    </w:p>
    <w:p w14:paraId="51DBD41F" w14:textId="77777777" w:rsidR="002C4FD2" w:rsidRDefault="002C4FD2">
      <w:pPr>
        <w:spacing w:after="0" w:line="260" w:lineRule="auto"/>
        <w:rPr>
          <w:rFonts w:cs="Arial"/>
        </w:rPr>
      </w:pPr>
    </w:p>
    <w:p w14:paraId="68939002" w14:textId="3AC3A699" w:rsidR="002C4FD2" w:rsidRDefault="00330C05" w:rsidP="00330C05">
      <w:pPr>
        <w:widowControl w:val="0"/>
        <w:spacing w:after="0" w:line="260" w:lineRule="exact"/>
        <w:ind w:left="3969"/>
        <w:jc w:val="center"/>
      </w:pPr>
      <w:r>
        <w:t xml:space="preserve">Mateja </w:t>
      </w:r>
      <w:proofErr w:type="spellStart"/>
      <w:r>
        <w:t>Čalušić</w:t>
      </w:r>
      <w:proofErr w:type="spellEnd"/>
    </w:p>
    <w:p w14:paraId="212144C1" w14:textId="32B403A6" w:rsidR="00330C05" w:rsidRDefault="00330C05" w:rsidP="00330C05">
      <w:pPr>
        <w:widowControl w:val="0"/>
        <w:spacing w:after="0" w:line="260" w:lineRule="exact"/>
        <w:ind w:left="3969"/>
        <w:jc w:val="center"/>
      </w:pPr>
      <w:r>
        <w:t>ministrica</w:t>
      </w:r>
    </w:p>
    <w:sectPr w:rsidR="00330C05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BEF2" w14:textId="77777777" w:rsidR="000752BD" w:rsidRDefault="000752BD">
      <w:pPr>
        <w:spacing w:after="0" w:line="240" w:lineRule="auto"/>
      </w:pPr>
      <w:r>
        <w:separator/>
      </w:r>
    </w:p>
  </w:endnote>
  <w:endnote w:type="continuationSeparator" w:id="0">
    <w:p w14:paraId="17B2CAB7" w14:textId="77777777" w:rsidR="000752BD" w:rsidRDefault="0007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214F" w14:textId="77777777" w:rsidR="002C4FD2" w:rsidRDefault="00330C05">
    <w:r>
      <w:rPr>
        <w:i/>
        <w:sz w:val="16"/>
      </w:rPr>
      <w:t>Ustvarjeno v MOPED-DOCS, 16. 03. 2026 14:20:06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EA44" w14:textId="77777777" w:rsidR="000752BD" w:rsidRDefault="000752BD">
      <w:pPr>
        <w:spacing w:after="0" w:line="240" w:lineRule="auto"/>
      </w:pPr>
      <w:r>
        <w:separator/>
      </w:r>
    </w:p>
  </w:footnote>
  <w:footnote w:type="continuationSeparator" w:id="0">
    <w:p w14:paraId="13847B81" w14:textId="77777777" w:rsidR="000752BD" w:rsidRDefault="0007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41EE" w14:textId="77777777" w:rsidR="00945425" w:rsidRPr="000E33E4" w:rsidRDefault="00330C05">
    <w:pPr>
      <w:pStyle w:val="Glava"/>
      <w:rPr>
        <w:sz w:val="24"/>
        <w:szCs w:val="24"/>
      </w:rPr>
    </w:pPr>
    <w:r w:rsidRPr="000E33E4">
      <w:rPr>
        <w:noProof/>
        <w:sz w:val="24"/>
        <w:szCs w:val="24"/>
        <w:lang w:eastAsia="sl-SI"/>
      </w:rPr>
      <w:drawing>
        <wp:anchor distT="0" distB="0" distL="114300" distR="114300" simplePos="0" relativeHeight="251658240" behindDoc="1" locked="0" layoutInCell="1" allowOverlap="1" wp14:anchorId="41991CFE" wp14:editId="29FA1644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6AF026FE" w14:textId="77777777" w:rsidR="000E33E4" w:rsidRPr="000E33E4" w:rsidRDefault="00330C05">
    <w:pPr>
      <w:pStyle w:val="Glava"/>
      <w:jc w:val="left"/>
      <w:rPr>
        <w:b/>
      </w:rPr>
    </w:pPr>
    <w:r w:rsidRPr="000E33E4">
      <w:rPr>
        <w:b/>
      </w:rPr>
      <w:t>MINISTRSTVO ZA KMETIJSTVO,</w:t>
    </w:r>
    <w:r w:rsidRPr="000E33E4">
      <w:rPr>
        <w:b/>
      </w:rPr>
      <w:br/>
      <w:t>GOZDARSTVO IN PREHRANO</w:t>
    </w:r>
  </w:p>
  <w:p w14:paraId="1A14CED2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2C4FD2" w14:paraId="78C0933D" w14:textId="77777777" w:rsidTr="000E33E4">
      <w:tc>
        <w:tcPr>
          <w:tcW w:w="5102" w:type="dxa"/>
        </w:tcPr>
        <w:p w14:paraId="2B4EFB2C" w14:textId="77777777" w:rsidR="000E33E4" w:rsidRDefault="00330C05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Dunajska cesta 22 1000 Ljubljana</w:t>
          </w:r>
        </w:p>
      </w:tc>
      <w:tc>
        <w:tcPr>
          <w:tcW w:w="3826" w:type="dxa"/>
        </w:tcPr>
        <w:p w14:paraId="10069942" w14:textId="77777777" w:rsidR="000E33E4" w:rsidRDefault="00330C05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90 00</w:t>
          </w:r>
        </w:p>
        <w:p w14:paraId="68323D62" w14:textId="77777777" w:rsidR="000E33E4" w:rsidRDefault="00330C05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gp.mkgp@gov.si</w:t>
            </w:r>
          </w:hyperlink>
        </w:p>
        <w:p w14:paraId="6A69D295" w14:textId="77777777" w:rsidR="000E33E4" w:rsidRDefault="00330C05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https://www.gov.si/drzavni-organi/ministrstva/ministrstvo-za-kmetijstvo-gozdarstvo-in-prehrano/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D2"/>
    <w:rsid w:val="000752BD"/>
    <w:rsid w:val="00081742"/>
    <w:rsid w:val="000E33E4"/>
    <w:rsid w:val="001C566E"/>
    <w:rsid w:val="001F39EA"/>
    <w:rsid w:val="002C4FD2"/>
    <w:rsid w:val="00330C05"/>
    <w:rsid w:val="00734FB2"/>
    <w:rsid w:val="00945425"/>
    <w:rsid w:val="0096422C"/>
    <w:rsid w:val="00F5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266C"/>
  <w15:docId w15:val="{00EFD0AA-2639-4635-8384-28CCA675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39EA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734F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&lt;MKGP&gt;</cp:lastModifiedBy>
  <cp:revision>6</cp:revision>
  <dcterms:created xsi:type="dcterms:W3CDTF">2019-02-01T07:54:00Z</dcterms:created>
  <dcterms:modified xsi:type="dcterms:W3CDTF">2026-03-30T12:36:00Z</dcterms:modified>
</cp:coreProperties>
</file>