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4BDE9" w14:textId="77777777" w:rsidR="002F46D8" w:rsidRPr="00724B28" w:rsidRDefault="002F46D8" w:rsidP="002F46D8">
      <w:pPr>
        <w:suppressAutoHyphens/>
        <w:overflowPunct w:val="0"/>
        <w:autoSpaceDE w:val="0"/>
        <w:autoSpaceDN w:val="0"/>
        <w:adjustRightInd w:val="0"/>
        <w:spacing w:after="0"/>
        <w:textAlignment w:val="baseline"/>
        <w:rPr>
          <w:rFonts w:eastAsia="Times New Roman" w:cs="Arial"/>
          <w:b/>
          <w:szCs w:val="20"/>
          <w:lang w:eastAsia="sl-SI"/>
        </w:rPr>
      </w:pPr>
    </w:p>
    <w:p w14:paraId="29168C81" w14:textId="77777777" w:rsidR="002F46D8" w:rsidRPr="00724B28" w:rsidRDefault="002F46D8" w:rsidP="002F46D8">
      <w:pPr>
        <w:spacing w:after="0"/>
        <w:rPr>
          <w:rFonts w:cs="Arial"/>
          <w:szCs w:val="20"/>
        </w:rPr>
      </w:pPr>
    </w:p>
    <w:p w14:paraId="61190A40" w14:textId="77777777" w:rsidR="002F46D8" w:rsidRPr="00724B28" w:rsidRDefault="002F46D8" w:rsidP="002F46D8">
      <w:pPr>
        <w:suppressAutoHyphens/>
        <w:overflowPunct w:val="0"/>
        <w:autoSpaceDE w:val="0"/>
        <w:autoSpaceDN w:val="0"/>
        <w:adjustRightInd w:val="0"/>
        <w:spacing w:after="0"/>
        <w:textAlignment w:val="baseline"/>
        <w:rPr>
          <w:rFonts w:eastAsia="Times New Roman" w:cs="Arial"/>
          <w:lang w:eastAsia="sl-SI"/>
        </w:rPr>
      </w:pPr>
      <w:r w:rsidRPr="00724B28">
        <w:rPr>
          <w:rFonts w:eastAsia="Times New Roman" w:cs="Arial"/>
          <w:lang w:eastAsia="sl-SI"/>
        </w:rPr>
        <w:t>VLADA REPUBLIKE SLOVENIJE</w:t>
      </w:r>
    </w:p>
    <w:p w14:paraId="18AB2DD7" w14:textId="77777777" w:rsidR="002F46D8" w:rsidRPr="00724B28" w:rsidRDefault="002F46D8" w:rsidP="002F46D8">
      <w:pPr>
        <w:suppressAutoHyphens/>
        <w:overflowPunct w:val="0"/>
        <w:autoSpaceDE w:val="0"/>
        <w:autoSpaceDN w:val="0"/>
        <w:adjustRightInd w:val="0"/>
        <w:spacing w:after="0"/>
        <w:textAlignment w:val="baseline"/>
        <w:rPr>
          <w:rFonts w:eastAsia="Times New Roman" w:cs="Arial"/>
          <w:lang w:eastAsia="sl-SI"/>
        </w:rPr>
      </w:pPr>
    </w:p>
    <w:p w14:paraId="7A0A5CDB" w14:textId="77777777" w:rsidR="002F46D8" w:rsidRPr="00724B28" w:rsidRDefault="002F46D8" w:rsidP="002F46D8">
      <w:pPr>
        <w:suppressAutoHyphens/>
        <w:overflowPunct w:val="0"/>
        <w:autoSpaceDE w:val="0"/>
        <w:autoSpaceDN w:val="0"/>
        <w:adjustRightInd w:val="0"/>
        <w:spacing w:after="0"/>
        <w:textAlignment w:val="baseline"/>
        <w:rPr>
          <w:rFonts w:eastAsia="Times New Roman" w:cs="Arial"/>
          <w:lang w:eastAsia="sl-SI"/>
        </w:rPr>
      </w:pPr>
      <w:r w:rsidRPr="00724B28">
        <w:rPr>
          <w:rFonts w:eastAsia="Times New Roman" w:cs="Arial"/>
          <w:lang w:eastAsia="sl-SI"/>
        </w:rPr>
        <w:t xml:space="preserve">Številka: </w:t>
      </w:r>
    </w:p>
    <w:p w14:paraId="7A992FE5" w14:textId="77777777" w:rsidR="002F46D8" w:rsidRPr="00724B28" w:rsidRDefault="002F46D8" w:rsidP="002F46D8">
      <w:pPr>
        <w:suppressAutoHyphens/>
        <w:overflowPunct w:val="0"/>
        <w:autoSpaceDE w:val="0"/>
        <w:autoSpaceDN w:val="0"/>
        <w:adjustRightInd w:val="0"/>
        <w:spacing w:after="0"/>
        <w:textAlignment w:val="baseline"/>
        <w:rPr>
          <w:rFonts w:eastAsia="Times New Roman" w:cs="Arial"/>
          <w:lang w:eastAsia="sl-SI"/>
        </w:rPr>
      </w:pPr>
      <w:r w:rsidRPr="00724B28">
        <w:rPr>
          <w:rFonts w:eastAsia="Times New Roman" w:cs="Arial"/>
          <w:lang w:eastAsia="sl-SI"/>
        </w:rPr>
        <w:t>Ljubljana, dne ______________</w:t>
      </w:r>
    </w:p>
    <w:p w14:paraId="61CF6B96" w14:textId="77777777" w:rsidR="002F46D8" w:rsidRPr="00724B28" w:rsidRDefault="002F46D8" w:rsidP="002F46D8">
      <w:pPr>
        <w:suppressAutoHyphens/>
        <w:overflowPunct w:val="0"/>
        <w:autoSpaceDE w:val="0"/>
        <w:autoSpaceDN w:val="0"/>
        <w:adjustRightInd w:val="0"/>
        <w:spacing w:after="0"/>
        <w:textAlignment w:val="baseline"/>
        <w:rPr>
          <w:rFonts w:eastAsia="Times New Roman" w:cs="Arial"/>
          <w:lang w:eastAsia="sl-SI"/>
        </w:rPr>
      </w:pPr>
    </w:p>
    <w:p w14:paraId="6D5F3C05" w14:textId="77777777" w:rsidR="002F46D8" w:rsidRPr="00724B28" w:rsidRDefault="002F46D8" w:rsidP="002F46D8">
      <w:pPr>
        <w:suppressAutoHyphens/>
        <w:overflowPunct w:val="0"/>
        <w:autoSpaceDE w:val="0"/>
        <w:autoSpaceDN w:val="0"/>
        <w:adjustRightInd w:val="0"/>
        <w:spacing w:after="0"/>
        <w:textAlignment w:val="baseline"/>
        <w:rPr>
          <w:rFonts w:eastAsia="Times New Roman" w:cs="Arial"/>
          <w:lang w:eastAsia="sl-SI"/>
        </w:rPr>
      </w:pPr>
    </w:p>
    <w:p w14:paraId="798E868C" w14:textId="77777777" w:rsidR="002F46D8" w:rsidRPr="00724B28" w:rsidRDefault="002F46D8" w:rsidP="002F46D8">
      <w:pPr>
        <w:suppressAutoHyphens/>
        <w:overflowPunct w:val="0"/>
        <w:autoSpaceDE w:val="0"/>
        <w:autoSpaceDN w:val="0"/>
        <w:adjustRightInd w:val="0"/>
        <w:spacing w:after="0"/>
        <w:jc w:val="right"/>
        <w:textAlignment w:val="baseline"/>
        <w:rPr>
          <w:rFonts w:eastAsia="Times New Roman" w:cs="Arial"/>
          <w:lang w:eastAsia="sl-SI"/>
        </w:rPr>
      </w:pPr>
      <w:r w:rsidRPr="00724B28">
        <w:rPr>
          <w:rFonts w:eastAsia="Times New Roman" w:cs="Arial"/>
          <w:lang w:eastAsia="sl-SI"/>
        </w:rPr>
        <w:t>PREDLOG</w:t>
      </w:r>
    </w:p>
    <w:p w14:paraId="6BCC9714" w14:textId="77777777" w:rsidR="002F46D8" w:rsidRPr="00724B28" w:rsidRDefault="002F46D8" w:rsidP="002F46D8">
      <w:pPr>
        <w:suppressAutoHyphens/>
        <w:overflowPunct w:val="0"/>
        <w:autoSpaceDE w:val="0"/>
        <w:autoSpaceDN w:val="0"/>
        <w:adjustRightInd w:val="0"/>
        <w:spacing w:after="0"/>
        <w:textAlignment w:val="baseline"/>
        <w:rPr>
          <w:rFonts w:eastAsia="Times New Roman" w:cs="Arial"/>
          <w:lang w:eastAsia="sl-SI"/>
        </w:rPr>
      </w:pPr>
    </w:p>
    <w:p w14:paraId="22CCBB99" w14:textId="77777777" w:rsidR="002F46D8" w:rsidRPr="00724B28" w:rsidRDefault="002F46D8" w:rsidP="002F46D8">
      <w:pPr>
        <w:suppressAutoHyphens/>
        <w:overflowPunct w:val="0"/>
        <w:autoSpaceDE w:val="0"/>
        <w:autoSpaceDN w:val="0"/>
        <w:adjustRightInd w:val="0"/>
        <w:spacing w:after="0"/>
        <w:textAlignment w:val="baseline"/>
        <w:rPr>
          <w:rFonts w:eastAsia="Times New Roman" w:cs="Arial"/>
          <w:b/>
          <w:lang w:eastAsia="sl-SI"/>
        </w:rPr>
      </w:pPr>
    </w:p>
    <w:p w14:paraId="2345B4A0" w14:textId="77777777" w:rsidR="002F46D8" w:rsidRPr="00724B28" w:rsidRDefault="002F46D8" w:rsidP="002F46D8">
      <w:pPr>
        <w:overflowPunct w:val="0"/>
        <w:autoSpaceDE w:val="0"/>
        <w:autoSpaceDN w:val="0"/>
        <w:adjustRightInd w:val="0"/>
        <w:spacing w:before="60" w:after="60"/>
        <w:textAlignment w:val="baseline"/>
        <w:rPr>
          <w:rFonts w:eastAsia="Times New Roman" w:cs="Arial"/>
          <w:iCs/>
          <w:szCs w:val="20"/>
          <w:lang w:eastAsia="sl-SI"/>
        </w:rPr>
      </w:pPr>
    </w:p>
    <w:p w14:paraId="442F2203" w14:textId="77777777" w:rsidR="002F46D8" w:rsidRPr="00724B28" w:rsidRDefault="002F46D8" w:rsidP="002F46D8">
      <w:pPr>
        <w:rPr>
          <w:szCs w:val="20"/>
        </w:rPr>
      </w:pPr>
    </w:p>
    <w:p w14:paraId="5F38964B" w14:textId="77777777" w:rsidR="002F46D8" w:rsidRPr="00724B28" w:rsidRDefault="002F46D8" w:rsidP="002F46D8">
      <w:pPr>
        <w:rPr>
          <w:szCs w:val="20"/>
        </w:rPr>
      </w:pPr>
    </w:p>
    <w:p w14:paraId="18EAA6D9" w14:textId="77777777" w:rsidR="002F46D8" w:rsidRPr="00724B28" w:rsidRDefault="002F46D8" w:rsidP="002F46D8">
      <w:pPr>
        <w:rPr>
          <w:szCs w:val="20"/>
        </w:rPr>
      </w:pPr>
    </w:p>
    <w:p w14:paraId="7D0F8003" w14:textId="77777777" w:rsidR="002F46D8" w:rsidRPr="00724B28" w:rsidRDefault="002F46D8" w:rsidP="002F46D8">
      <w:pPr>
        <w:spacing w:line="360" w:lineRule="auto"/>
        <w:rPr>
          <w:rFonts w:asciiTheme="minorHAnsi" w:hAnsiTheme="minorHAnsi" w:cstheme="minorHAnsi"/>
          <w:b/>
          <w:bCs/>
          <w:szCs w:val="20"/>
        </w:rPr>
      </w:pPr>
    </w:p>
    <w:p w14:paraId="56AEE13C" w14:textId="77777777" w:rsidR="002F46D8" w:rsidRPr="00724B28" w:rsidRDefault="002F46D8" w:rsidP="002F46D8">
      <w:pPr>
        <w:spacing w:after="0" w:line="240" w:lineRule="auto"/>
        <w:jc w:val="center"/>
        <w:rPr>
          <w:rFonts w:cs="Arial"/>
          <w:b/>
          <w:bCs/>
          <w:sz w:val="36"/>
          <w:szCs w:val="44"/>
        </w:rPr>
      </w:pPr>
      <w:r w:rsidRPr="00724B28">
        <w:rPr>
          <w:rFonts w:cs="Arial"/>
          <w:b/>
          <w:bCs/>
          <w:sz w:val="36"/>
          <w:szCs w:val="44"/>
        </w:rPr>
        <w:t xml:space="preserve">Vesoljski program Republike Slovenije </w:t>
      </w:r>
    </w:p>
    <w:p w14:paraId="0E03953D" w14:textId="77777777" w:rsidR="002F46D8" w:rsidRPr="00724B28" w:rsidRDefault="002F46D8" w:rsidP="002F46D8">
      <w:pPr>
        <w:spacing w:after="0" w:line="240" w:lineRule="auto"/>
        <w:jc w:val="center"/>
        <w:rPr>
          <w:rFonts w:eastAsia="Times New Roman" w:cs="Arial"/>
          <w:b/>
          <w:color w:val="000000" w:themeColor="text1"/>
          <w:szCs w:val="20"/>
          <w:lang w:eastAsia="sl-SI"/>
        </w:rPr>
      </w:pPr>
      <w:r w:rsidRPr="00724B28">
        <w:rPr>
          <w:rFonts w:cs="Arial"/>
          <w:b/>
          <w:bCs/>
          <w:sz w:val="36"/>
          <w:szCs w:val="44"/>
        </w:rPr>
        <w:t>za področje nacionalne varnosti</w:t>
      </w:r>
    </w:p>
    <w:p w14:paraId="3A8101DA" w14:textId="77777777" w:rsidR="002F46D8" w:rsidRPr="00131B28" w:rsidRDefault="002F46D8" w:rsidP="002F46D8">
      <w:pPr>
        <w:pStyle w:val="Naslovpredpisa"/>
        <w:spacing w:before="0" w:after="0" w:line="260" w:lineRule="exact"/>
        <w:jc w:val="both"/>
        <w:rPr>
          <w:szCs w:val="20"/>
        </w:rPr>
      </w:pPr>
    </w:p>
    <w:p w14:paraId="0230E6FC" w14:textId="77777777" w:rsidR="002F46D8" w:rsidRPr="00131B28" w:rsidRDefault="002F46D8" w:rsidP="002F46D8">
      <w:pPr>
        <w:pStyle w:val="Naslovpredpisa"/>
        <w:spacing w:before="0" w:after="0" w:line="260" w:lineRule="exact"/>
        <w:jc w:val="both"/>
        <w:rPr>
          <w:szCs w:val="20"/>
        </w:rPr>
      </w:pPr>
    </w:p>
    <w:p w14:paraId="2919FC68" w14:textId="77777777" w:rsidR="002F46D8" w:rsidRDefault="002F46D8" w:rsidP="002F46D8">
      <w:pPr>
        <w:pStyle w:val="Naslovpredpisa"/>
        <w:spacing w:before="0" w:after="0" w:line="260" w:lineRule="exact"/>
        <w:jc w:val="both"/>
        <w:rPr>
          <w:szCs w:val="20"/>
        </w:rPr>
      </w:pPr>
    </w:p>
    <w:p w14:paraId="64F4F7B9" w14:textId="77777777" w:rsidR="002F46D8" w:rsidRDefault="002F46D8" w:rsidP="002F46D8">
      <w:pPr>
        <w:pStyle w:val="Naslovpredpisa"/>
        <w:spacing w:before="0" w:after="0" w:line="260" w:lineRule="exact"/>
        <w:jc w:val="both"/>
        <w:rPr>
          <w:szCs w:val="20"/>
        </w:rPr>
      </w:pPr>
    </w:p>
    <w:p w14:paraId="24D0722A" w14:textId="77777777" w:rsidR="002F46D8" w:rsidRDefault="002F46D8" w:rsidP="002F46D8">
      <w:pPr>
        <w:pStyle w:val="Naslovpredpisa"/>
        <w:spacing w:before="0" w:after="0" w:line="260" w:lineRule="exact"/>
        <w:jc w:val="both"/>
        <w:rPr>
          <w:szCs w:val="20"/>
        </w:rPr>
      </w:pPr>
    </w:p>
    <w:p w14:paraId="6BB875B2" w14:textId="77777777" w:rsidR="002F46D8" w:rsidRDefault="002F46D8" w:rsidP="002F46D8">
      <w:pPr>
        <w:pStyle w:val="Naslovpredpisa"/>
        <w:spacing w:before="0" w:after="0" w:line="260" w:lineRule="exact"/>
        <w:jc w:val="both"/>
        <w:rPr>
          <w:szCs w:val="20"/>
        </w:rPr>
      </w:pPr>
    </w:p>
    <w:p w14:paraId="13D72AB0" w14:textId="77777777" w:rsidR="00DA2609" w:rsidRDefault="00DA2609" w:rsidP="002F46D8">
      <w:pPr>
        <w:spacing w:after="0" w:line="240" w:lineRule="auto"/>
        <w:rPr>
          <w:rFonts w:eastAsia="Times New Roman" w:cs="Arial"/>
          <w:b/>
          <w:szCs w:val="20"/>
          <w:lang w:eastAsia="sl-SI"/>
        </w:rPr>
        <w:sectPr w:rsidR="00DA2609" w:rsidSect="00210E2F">
          <w:pgSz w:w="11906" w:h="16838"/>
          <w:pgMar w:top="1417" w:right="1417" w:bottom="1417" w:left="1417" w:header="708" w:footer="708" w:gutter="0"/>
          <w:cols w:space="708"/>
          <w:docGrid w:linePitch="360"/>
        </w:sectPr>
      </w:pPr>
    </w:p>
    <w:p w14:paraId="1E880F99" w14:textId="693E3DD6" w:rsidR="002F46D8" w:rsidRDefault="002F46D8" w:rsidP="002F46D8">
      <w:pPr>
        <w:spacing w:after="0" w:line="240" w:lineRule="auto"/>
        <w:rPr>
          <w:rFonts w:eastAsia="Times New Roman" w:cs="Arial"/>
          <w:b/>
          <w:szCs w:val="20"/>
          <w:lang w:eastAsia="sl-SI"/>
        </w:rPr>
      </w:pPr>
    </w:p>
    <w:p w14:paraId="64CB23A4" w14:textId="77777777" w:rsidR="002F46D8" w:rsidRDefault="002F46D8" w:rsidP="002F46D8">
      <w:pPr>
        <w:pStyle w:val="Naslovpredpisa"/>
        <w:spacing w:before="0" w:after="0" w:line="240" w:lineRule="auto"/>
        <w:jc w:val="both"/>
        <w:rPr>
          <w:b w:val="0"/>
          <w:bCs/>
          <w:sz w:val="32"/>
          <w:szCs w:val="32"/>
        </w:rPr>
      </w:pPr>
      <w:r w:rsidRPr="00724B28">
        <w:rPr>
          <w:b w:val="0"/>
          <w:bCs/>
          <w:sz w:val="32"/>
          <w:szCs w:val="32"/>
        </w:rPr>
        <w:t>Vsebina</w:t>
      </w:r>
    </w:p>
    <w:p w14:paraId="60233A38" w14:textId="77777777" w:rsidR="002F46D8" w:rsidRDefault="002F46D8" w:rsidP="002F46D8">
      <w:pPr>
        <w:pStyle w:val="Naslovpredpisa"/>
        <w:spacing w:before="0" w:after="0" w:line="260" w:lineRule="exact"/>
        <w:jc w:val="both"/>
        <w:rPr>
          <w:b w:val="0"/>
          <w:bCs/>
          <w:sz w:val="32"/>
          <w:szCs w:val="32"/>
        </w:rPr>
      </w:pPr>
    </w:p>
    <w:p w14:paraId="3631AEF6" w14:textId="0C9B242B" w:rsidR="00F26EFB" w:rsidRDefault="002F46D8">
      <w:pPr>
        <w:pStyle w:val="Kazalovsebine1"/>
        <w:tabs>
          <w:tab w:val="left" w:pos="440"/>
          <w:tab w:val="right" w:leader="dot" w:pos="9062"/>
        </w:tabs>
        <w:rPr>
          <w:rFonts w:asciiTheme="minorHAnsi" w:eastAsiaTheme="minorEastAsia" w:hAnsiTheme="minorHAnsi" w:cstheme="minorBidi"/>
          <w:noProof/>
          <w:sz w:val="22"/>
          <w:lang w:eastAsia="sl-SI"/>
        </w:rPr>
      </w:pPr>
      <w:r>
        <w:rPr>
          <w:b/>
          <w:bCs/>
          <w:sz w:val="32"/>
          <w:szCs w:val="32"/>
        </w:rPr>
        <w:fldChar w:fldCharType="begin"/>
      </w:r>
      <w:r>
        <w:rPr>
          <w:b/>
          <w:bCs/>
          <w:sz w:val="32"/>
          <w:szCs w:val="32"/>
        </w:rPr>
        <w:instrText xml:space="preserve"> TOC \h \z \t "Naslov1 strategija;1" </w:instrText>
      </w:r>
      <w:r>
        <w:rPr>
          <w:b/>
          <w:bCs/>
          <w:sz w:val="32"/>
          <w:szCs w:val="32"/>
        </w:rPr>
        <w:fldChar w:fldCharType="separate"/>
      </w:r>
      <w:hyperlink w:anchor="_Toc221785751" w:history="1">
        <w:r w:rsidR="00F26EFB" w:rsidRPr="00F16FEA">
          <w:rPr>
            <w:rStyle w:val="Hiperpovezava"/>
            <w:noProof/>
            <w:lang w:eastAsia="sl-SI"/>
          </w:rPr>
          <w:t>1</w:t>
        </w:r>
        <w:r w:rsidR="00F26EFB">
          <w:rPr>
            <w:rFonts w:asciiTheme="minorHAnsi" w:eastAsiaTheme="minorEastAsia" w:hAnsiTheme="minorHAnsi" w:cstheme="minorBidi"/>
            <w:noProof/>
            <w:sz w:val="22"/>
            <w:lang w:eastAsia="sl-SI"/>
          </w:rPr>
          <w:tab/>
        </w:r>
        <w:r w:rsidR="00F26EFB" w:rsidRPr="00F16FEA">
          <w:rPr>
            <w:rStyle w:val="Hiperpovezava"/>
            <w:noProof/>
            <w:lang w:eastAsia="sl-SI"/>
          </w:rPr>
          <w:t>Uvod</w:t>
        </w:r>
        <w:r w:rsidR="00F26EFB">
          <w:rPr>
            <w:noProof/>
            <w:webHidden/>
          </w:rPr>
          <w:tab/>
        </w:r>
        <w:r w:rsidR="00F26EFB">
          <w:rPr>
            <w:noProof/>
            <w:webHidden/>
          </w:rPr>
          <w:fldChar w:fldCharType="begin"/>
        </w:r>
        <w:r w:rsidR="00F26EFB">
          <w:rPr>
            <w:noProof/>
            <w:webHidden/>
          </w:rPr>
          <w:instrText xml:space="preserve"> PAGEREF _Toc221785751 \h </w:instrText>
        </w:r>
        <w:r w:rsidR="00F26EFB">
          <w:rPr>
            <w:noProof/>
            <w:webHidden/>
          </w:rPr>
        </w:r>
        <w:r w:rsidR="00F26EFB">
          <w:rPr>
            <w:noProof/>
            <w:webHidden/>
          </w:rPr>
          <w:fldChar w:fldCharType="separate"/>
        </w:r>
        <w:r w:rsidR="00F26EFB">
          <w:rPr>
            <w:noProof/>
            <w:webHidden/>
          </w:rPr>
          <w:t>1</w:t>
        </w:r>
        <w:r w:rsidR="00F26EFB">
          <w:rPr>
            <w:noProof/>
            <w:webHidden/>
          </w:rPr>
          <w:fldChar w:fldCharType="end"/>
        </w:r>
      </w:hyperlink>
    </w:p>
    <w:p w14:paraId="2B11F560" w14:textId="09E55D77" w:rsidR="00F26EFB" w:rsidRDefault="00784290">
      <w:pPr>
        <w:pStyle w:val="Kazalovsebine1"/>
        <w:tabs>
          <w:tab w:val="left" w:pos="440"/>
          <w:tab w:val="right" w:leader="dot" w:pos="9062"/>
        </w:tabs>
        <w:rPr>
          <w:rFonts w:asciiTheme="minorHAnsi" w:eastAsiaTheme="minorEastAsia" w:hAnsiTheme="minorHAnsi" w:cstheme="minorBidi"/>
          <w:noProof/>
          <w:sz w:val="22"/>
          <w:lang w:eastAsia="sl-SI"/>
        </w:rPr>
      </w:pPr>
      <w:hyperlink w:anchor="_Toc221785752" w:history="1">
        <w:r w:rsidR="00F26EFB" w:rsidRPr="00F16FEA">
          <w:rPr>
            <w:rStyle w:val="Hiperpovezava"/>
            <w:noProof/>
          </w:rPr>
          <w:t>2</w:t>
        </w:r>
        <w:r w:rsidR="00F26EFB">
          <w:rPr>
            <w:rFonts w:asciiTheme="minorHAnsi" w:eastAsiaTheme="minorEastAsia" w:hAnsiTheme="minorHAnsi" w:cstheme="minorBidi"/>
            <w:noProof/>
            <w:sz w:val="22"/>
            <w:lang w:eastAsia="sl-SI"/>
          </w:rPr>
          <w:tab/>
        </w:r>
        <w:r w:rsidR="00F26EFB" w:rsidRPr="00F16FEA">
          <w:rPr>
            <w:rStyle w:val="Hiperpovezava"/>
            <w:noProof/>
          </w:rPr>
          <w:t>Vizija</w:t>
        </w:r>
        <w:r w:rsidR="00F26EFB">
          <w:rPr>
            <w:noProof/>
            <w:webHidden/>
          </w:rPr>
          <w:tab/>
        </w:r>
        <w:r w:rsidR="00F26EFB">
          <w:rPr>
            <w:noProof/>
            <w:webHidden/>
          </w:rPr>
          <w:fldChar w:fldCharType="begin"/>
        </w:r>
        <w:r w:rsidR="00F26EFB">
          <w:rPr>
            <w:noProof/>
            <w:webHidden/>
          </w:rPr>
          <w:instrText xml:space="preserve"> PAGEREF _Toc221785752 \h </w:instrText>
        </w:r>
        <w:r w:rsidR="00F26EFB">
          <w:rPr>
            <w:noProof/>
            <w:webHidden/>
          </w:rPr>
        </w:r>
        <w:r w:rsidR="00F26EFB">
          <w:rPr>
            <w:noProof/>
            <w:webHidden/>
          </w:rPr>
          <w:fldChar w:fldCharType="separate"/>
        </w:r>
        <w:r w:rsidR="00F26EFB">
          <w:rPr>
            <w:noProof/>
            <w:webHidden/>
          </w:rPr>
          <w:t>2</w:t>
        </w:r>
        <w:r w:rsidR="00F26EFB">
          <w:rPr>
            <w:noProof/>
            <w:webHidden/>
          </w:rPr>
          <w:fldChar w:fldCharType="end"/>
        </w:r>
      </w:hyperlink>
    </w:p>
    <w:p w14:paraId="6AFF2DD4" w14:textId="7F508E7D" w:rsidR="00F26EFB" w:rsidRDefault="00784290">
      <w:pPr>
        <w:pStyle w:val="Kazalovsebine1"/>
        <w:tabs>
          <w:tab w:val="left" w:pos="440"/>
          <w:tab w:val="right" w:leader="dot" w:pos="9062"/>
        </w:tabs>
        <w:rPr>
          <w:rFonts w:asciiTheme="minorHAnsi" w:eastAsiaTheme="minorEastAsia" w:hAnsiTheme="minorHAnsi" w:cstheme="minorBidi"/>
          <w:noProof/>
          <w:sz w:val="22"/>
          <w:lang w:eastAsia="sl-SI"/>
        </w:rPr>
      </w:pPr>
      <w:hyperlink w:anchor="_Toc221785753" w:history="1">
        <w:r w:rsidR="00F26EFB" w:rsidRPr="00F16FEA">
          <w:rPr>
            <w:rStyle w:val="Hiperpovezava"/>
            <w:noProof/>
          </w:rPr>
          <w:t>3</w:t>
        </w:r>
        <w:r w:rsidR="00F26EFB">
          <w:rPr>
            <w:rFonts w:asciiTheme="minorHAnsi" w:eastAsiaTheme="minorEastAsia" w:hAnsiTheme="minorHAnsi" w:cstheme="minorBidi"/>
            <w:noProof/>
            <w:sz w:val="22"/>
            <w:lang w:eastAsia="sl-SI"/>
          </w:rPr>
          <w:tab/>
        </w:r>
        <w:r w:rsidR="00F26EFB" w:rsidRPr="00F16FEA">
          <w:rPr>
            <w:rStyle w:val="Hiperpovezava"/>
            <w:noProof/>
          </w:rPr>
          <w:t>Ocena stanja</w:t>
        </w:r>
        <w:r w:rsidR="00F26EFB">
          <w:rPr>
            <w:noProof/>
            <w:webHidden/>
          </w:rPr>
          <w:tab/>
        </w:r>
        <w:r w:rsidR="00F26EFB">
          <w:rPr>
            <w:noProof/>
            <w:webHidden/>
          </w:rPr>
          <w:fldChar w:fldCharType="begin"/>
        </w:r>
        <w:r w:rsidR="00F26EFB">
          <w:rPr>
            <w:noProof/>
            <w:webHidden/>
          </w:rPr>
          <w:instrText xml:space="preserve"> PAGEREF _Toc221785753 \h </w:instrText>
        </w:r>
        <w:r w:rsidR="00F26EFB">
          <w:rPr>
            <w:noProof/>
            <w:webHidden/>
          </w:rPr>
        </w:r>
        <w:r w:rsidR="00F26EFB">
          <w:rPr>
            <w:noProof/>
            <w:webHidden/>
          </w:rPr>
          <w:fldChar w:fldCharType="separate"/>
        </w:r>
        <w:r w:rsidR="00F26EFB">
          <w:rPr>
            <w:noProof/>
            <w:webHidden/>
          </w:rPr>
          <w:t>2</w:t>
        </w:r>
        <w:r w:rsidR="00F26EFB">
          <w:rPr>
            <w:noProof/>
            <w:webHidden/>
          </w:rPr>
          <w:fldChar w:fldCharType="end"/>
        </w:r>
      </w:hyperlink>
    </w:p>
    <w:p w14:paraId="5A8E0291" w14:textId="26F2F52D" w:rsidR="00F26EFB" w:rsidRDefault="00784290">
      <w:pPr>
        <w:pStyle w:val="Kazalovsebine1"/>
        <w:tabs>
          <w:tab w:val="left" w:pos="440"/>
          <w:tab w:val="right" w:leader="dot" w:pos="9062"/>
        </w:tabs>
        <w:rPr>
          <w:rFonts w:asciiTheme="minorHAnsi" w:eastAsiaTheme="minorEastAsia" w:hAnsiTheme="minorHAnsi" w:cstheme="minorBidi"/>
          <w:noProof/>
          <w:sz w:val="22"/>
          <w:lang w:eastAsia="sl-SI"/>
        </w:rPr>
      </w:pPr>
      <w:hyperlink w:anchor="_Toc221785754" w:history="1">
        <w:r w:rsidR="00F26EFB" w:rsidRPr="00F16FEA">
          <w:rPr>
            <w:rStyle w:val="Hiperpovezava"/>
            <w:noProof/>
          </w:rPr>
          <w:t>4</w:t>
        </w:r>
        <w:r w:rsidR="00F26EFB">
          <w:rPr>
            <w:rFonts w:asciiTheme="minorHAnsi" w:eastAsiaTheme="minorEastAsia" w:hAnsiTheme="minorHAnsi" w:cstheme="minorBidi"/>
            <w:noProof/>
            <w:sz w:val="22"/>
            <w:lang w:eastAsia="sl-SI"/>
          </w:rPr>
          <w:tab/>
        </w:r>
        <w:r w:rsidR="00F26EFB" w:rsidRPr="00F16FEA">
          <w:rPr>
            <w:rStyle w:val="Hiperpovezava"/>
            <w:noProof/>
          </w:rPr>
          <w:t>Cilji</w:t>
        </w:r>
        <w:r w:rsidR="00F26EFB">
          <w:rPr>
            <w:noProof/>
            <w:webHidden/>
          </w:rPr>
          <w:tab/>
        </w:r>
        <w:r w:rsidR="00F26EFB">
          <w:rPr>
            <w:noProof/>
            <w:webHidden/>
          </w:rPr>
          <w:fldChar w:fldCharType="begin"/>
        </w:r>
        <w:r w:rsidR="00F26EFB">
          <w:rPr>
            <w:noProof/>
            <w:webHidden/>
          </w:rPr>
          <w:instrText xml:space="preserve"> PAGEREF _Toc221785754 \h </w:instrText>
        </w:r>
        <w:r w:rsidR="00F26EFB">
          <w:rPr>
            <w:noProof/>
            <w:webHidden/>
          </w:rPr>
        </w:r>
        <w:r w:rsidR="00F26EFB">
          <w:rPr>
            <w:noProof/>
            <w:webHidden/>
          </w:rPr>
          <w:fldChar w:fldCharType="separate"/>
        </w:r>
        <w:r w:rsidR="00F26EFB">
          <w:rPr>
            <w:noProof/>
            <w:webHidden/>
          </w:rPr>
          <w:t>4</w:t>
        </w:r>
        <w:r w:rsidR="00F26EFB">
          <w:rPr>
            <w:noProof/>
            <w:webHidden/>
          </w:rPr>
          <w:fldChar w:fldCharType="end"/>
        </w:r>
      </w:hyperlink>
    </w:p>
    <w:p w14:paraId="15056BE4" w14:textId="57F58487" w:rsidR="00F26EFB" w:rsidRDefault="00784290">
      <w:pPr>
        <w:pStyle w:val="Kazalovsebine1"/>
        <w:tabs>
          <w:tab w:val="left" w:pos="440"/>
          <w:tab w:val="right" w:leader="dot" w:pos="9062"/>
        </w:tabs>
        <w:rPr>
          <w:rFonts w:asciiTheme="minorHAnsi" w:eastAsiaTheme="minorEastAsia" w:hAnsiTheme="minorHAnsi" w:cstheme="minorBidi"/>
          <w:noProof/>
          <w:sz w:val="22"/>
          <w:lang w:eastAsia="sl-SI"/>
        </w:rPr>
      </w:pPr>
      <w:hyperlink w:anchor="_Toc221785755" w:history="1">
        <w:r w:rsidR="00F26EFB" w:rsidRPr="00F16FEA">
          <w:rPr>
            <w:rStyle w:val="Hiperpovezava"/>
            <w:noProof/>
          </w:rPr>
          <w:t>5</w:t>
        </w:r>
        <w:r w:rsidR="00F26EFB">
          <w:rPr>
            <w:rFonts w:asciiTheme="minorHAnsi" w:eastAsiaTheme="minorEastAsia" w:hAnsiTheme="minorHAnsi" w:cstheme="minorBidi"/>
            <w:noProof/>
            <w:sz w:val="22"/>
            <w:lang w:eastAsia="sl-SI"/>
          </w:rPr>
          <w:tab/>
        </w:r>
        <w:r w:rsidR="00F26EFB" w:rsidRPr="00F16FEA">
          <w:rPr>
            <w:rStyle w:val="Hiperpovezava"/>
            <w:noProof/>
          </w:rPr>
          <w:t>Izvedba</w:t>
        </w:r>
        <w:r w:rsidR="00F26EFB">
          <w:rPr>
            <w:noProof/>
            <w:webHidden/>
          </w:rPr>
          <w:tab/>
        </w:r>
        <w:r w:rsidR="00F26EFB">
          <w:rPr>
            <w:noProof/>
            <w:webHidden/>
          </w:rPr>
          <w:fldChar w:fldCharType="begin"/>
        </w:r>
        <w:r w:rsidR="00F26EFB">
          <w:rPr>
            <w:noProof/>
            <w:webHidden/>
          </w:rPr>
          <w:instrText xml:space="preserve"> PAGEREF _Toc221785755 \h </w:instrText>
        </w:r>
        <w:r w:rsidR="00F26EFB">
          <w:rPr>
            <w:noProof/>
            <w:webHidden/>
          </w:rPr>
        </w:r>
        <w:r w:rsidR="00F26EFB">
          <w:rPr>
            <w:noProof/>
            <w:webHidden/>
          </w:rPr>
          <w:fldChar w:fldCharType="separate"/>
        </w:r>
        <w:r w:rsidR="00F26EFB">
          <w:rPr>
            <w:noProof/>
            <w:webHidden/>
          </w:rPr>
          <w:t>6</w:t>
        </w:r>
        <w:r w:rsidR="00F26EFB">
          <w:rPr>
            <w:noProof/>
            <w:webHidden/>
          </w:rPr>
          <w:fldChar w:fldCharType="end"/>
        </w:r>
      </w:hyperlink>
    </w:p>
    <w:p w14:paraId="0C08BCEF" w14:textId="57436C15" w:rsidR="00F26EFB" w:rsidRDefault="00784290">
      <w:pPr>
        <w:pStyle w:val="Kazalovsebine1"/>
        <w:tabs>
          <w:tab w:val="left" w:pos="440"/>
          <w:tab w:val="right" w:leader="dot" w:pos="9062"/>
        </w:tabs>
        <w:rPr>
          <w:rFonts w:asciiTheme="minorHAnsi" w:eastAsiaTheme="minorEastAsia" w:hAnsiTheme="minorHAnsi" w:cstheme="minorBidi"/>
          <w:noProof/>
          <w:sz w:val="22"/>
          <w:lang w:eastAsia="sl-SI"/>
        </w:rPr>
      </w:pPr>
      <w:hyperlink w:anchor="_Toc221785756" w:history="1">
        <w:r w:rsidR="00F26EFB" w:rsidRPr="00F16FEA">
          <w:rPr>
            <w:rStyle w:val="Hiperpovezava"/>
            <w:noProof/>
          </w:rPr>
          <w:t>6</w:t>
        </w:r>
        <w:r w:rsidR="00F26EFB">
          <w:rPr>
            <w:rFonts w:asciiTheme="minorHAnsi" w:eastAsiaTheme="minorEastAsia" w:hAnsiTheme="minorHAnsi" w:cstheme="minorBidi"/>
            <w:noProof/>
            <w:sz w:val="22"/>
            <w:lang w:eastAsia="sl-SI"/>
          </w:rPr>
          <w:tab/>
        </w:r>
        <w:r w:rsidR="00F26EFB" w:rsidRPr="00F16FEA">
          <w:rPr>
            <w:rStyle w:val="Hiperpovezava"/>
            <w:noProof/>
          </w:rPr>
          <w:t>Zaključek</w:t>
        </w:r>
        <w:r w:rsidR="00F26EFB">
          <w:rPr>
            <w:noProof/>
            <w:webHidden/>
          </w:rPr>
          <w:tab/>
        </w:r>
        <w:r w:rsidR="00F26EFB">
          <w:rPr>
            <w:noProof/>
            <w:webHidden/>
          </w:rPr>
          <w:fldChar w:fldCharType="begin"/>
        </w:r>
        <w:r w:rsidR="00F26EFB">
          <w:rPr>
            <w:noProof/>
            <w:webHidden/>
          </w:rPr>
          <w:instrText xml:space="preserve"> PAGEREF _Toc221785756 \h </w:instrText>
        </w:r>
        <w:r w:rsidR="00F26EFB">
          <w:rPr>
            <w:noProof/>
            <w:webHidden/>
          </w:rPr>
        </w:r>
        <w:r w:rsidR="00F26EFB">
          <w:rPr>
            <w:noProof/>
            <w:webHidden/>
          </w:rPr>
          <w:fldChar w:fldCharType="separate"/>
        </w:r>
        <w:r w:rsidR="00F26EFB">
          <w:rPr>
            <w:noProof/>
            <w:webHidden/>
          </w:rPr>
          <w:t>9</w:t>
        </w:r>
        <w:r w:rsidR="00F26EFB">
          <w:rPr>
            <w:noProof/>
            <w:webHidden/>
          </w:rPr>
          <w:fldChar w:fldCharType="end"/>
        </w:r>
      </w:hyperlink>
    </w:p>
    <w:p w14:paraId="0B34BC9C" w14:textId="4644CBA8" w:rsidR="00DA2609" w:rsidRDefault="002F46D8" w:rsidP="002F46D8">
      <w:pPr>
        <w:pStyle w:val="Naslovpredpisa"/>
        <w:spacing w:before="0" w:after="0" w:line="260" w:lineRule="exact"/>
        <w:jc w:val="both"/>
        <w:rPr>
          <w:b w:val="0"/>
          <w:bCs/>
          <w:sz w:val="32"/>
          <w:szCs w:val="32"/>
        </w:rPr>
        <w:sectPr w:rsidR="00DA2609" w:rsidSect="00210E2F">
          <w:footerReference w:type="default" r:id="rId12"/>
          <w:pgSz w:w="11906" w:h="16838"/>
          <w:pgMar w:top="1417" w:right="1417" w:bottom="1417" w:left="1417" w:header="708" w:footer="708" w:gutter="0"/>
          <w:cols w:space="708"/>
          <w:docGrid w:linePitch="360"/>
        </w:sectPr>
      </w:pPr>
      <w:r>
        <w:rPr>
          <w:b w:val="0"/>
          <w:bCs/>
          <w:sz w:val="32"/>
          <w:szCs w:val="32"/>
        </w:rPr>
        <w:fldChar w:fldCharType="end"/>
      </w:r>
    </w:p>
    <w:p w14:paraId="39EDFBD0" w14:textId="77777777" w:rsidR="002F46D8" w:rsidRPr="003B5376" w:rsidRDefault="002F46D8" w:rsidP="00D864D4">
      <w:pPr>
        <w:pStyle w:val="Naslov1strategija"/>
        <w:rPr>
          <w:lang w:eastAsia="sl-SI"/>
        </w:rPr>
      </w:pPr>
      <w:bookmarkStart w:id="0" w:name="_Toc221785751"/>
      <w:bookmarkStart w:id="1" w:name="_Hlk212388280"/>
      <w:r w:rsidRPr="00227D2A">
        <w:rPr>
          <w:lang w:eastAsia="sl-SI"/>
        </w:rPr>
        <w:lastRenderedPageBreak/>
        <w:t>Uvod</w:t>
      </w:r>
      <w:bookmarkEnd w:id="0"/>
    </w:p>
    <w:p w14:paraId="79E21B86" w14:textId="77777777" w:rsidR="002F46D8" w:rsidRPr="003B5376" w:rsidRDefault="002F46D8" w:rsidP="002F46D8">
      <w:r w:rsidRPr="003B5376">
        <w:rPr>
          <w:rFonts w:eastAsia="Times New Roman"/>
          <w:lang w:eastAsia="sl-SI"/>
        </w:rPr>
        <w:t>Vesoljski program Republike Slovenije za področje nacionalne varnosti</w:t>
      </w:r>
      <w:r w:rsidRPr="003B5376">
        <w:t xml:space="preserve"> </w:t>
      </w:r>
      <w:bookmarkEnd w:id="1"/>
      <w:r w:rsidRPr="003B5376">
        <w:t>(v nadaljnjem besedilu: vesoljski program) je strateški usmerjevalni in razvojni dokument, ki opredeljuje vizijo in cilje za razvoj področja vesolja z vidika nacionalne varnosti. Zagotavljanje nacionalne varnosti Republike Slovenije (v nadaljnjem besedilu: RS) temelji na delovanju obrambnega sistema, sistema notranje varnosti ter sistema varstva pred naravnimi in drugimi nesrečami kot podsistemov sistema nacionalne varnosti, vključuje pa tudi zunanje politične, gospodarske, informacijske in druge dejavnosti, ki neposredno vplivajo na nacionalno varnost.</w:t>
      </w:r>
      <w:r w:rsidRPr="003B5376">
        <w:rPr>
          <w:rStyle w:val="Sprotnaopomba-sklic"/>
          <w:sz w:val="22"/>
        </w:rPr>
        <w:footnoteReference w:id="1"/>
      </w:r>
      <w:r w:rsidRPr="003B5376">
        <w:t xml:space="preserve"> Nosilci podsistemov nacionalne varnosti so ministrstva, pristojna za obrambo, varstvo pred naravnimi in drugimi nesrečami, notranje zadeve, in obveščevalno-varnostna skupnost. Pri tem se še posebej izpostavlja pomen in vidike obrambe, varnosti in odpornosti. Vesoljski program z zagotavljanjem ključnih, pravočasnih in celovitih informacij ter storitev nosilcem </w:t>
      </w:r>
      <w:proofErr w:type="spellStart"/>
      <w:r w:rsidRPr="003B5376">
        <w:t>nacionalnovarnostnega</w:t>
      </w:r>
      <w:proofErr w:type="spellEnd"/>
      <w:r w:rsidRPr="003B5376">
        <w:t xml:space="preserve"> sistema v podporo pri procesih odločanja krepi povezanost na področju vesolja med deležniki, ki so neposredno ali posredno vključeni v zagotavljanje nacionalne varnosti ter avtonomije RS. Upošteva načelo celovitosti, povezljivosti in mednarodnega sodelovanja ter stremi k učinkoviti uporabi virov.</w:t>
      </w:r>
    </w:p>
    <w:p w14:paraId="7246D006" w14:textId="77777777" w:rsidR="002F46D8" w:rsidRPr="003B5376" w:rsidRDefault="002F46D8" w:rsidP="002F46D8">
      <w:pPr>
        <w:rPr>
          <w:rFonts w:cs="Arial"/>
          <w:szCs w:val="20"/>
        </w:rPr>
      </w:pPr>
      <w:bookmarkStart w:id="2" w:name="_Hlk212381392"/>
      <w:r w:rsidRPr="003B5376">
        <w:rPr>
          <w:rFonts w:cs="Arial"/>
          <w:szCs w:val="20"/>
        </w:rPr>
        <w:t xml:space="preserve">Vesoljski program vsebinsko popolnjuje vrzel med najvišjimi strateškimi usmerjevalnimi dokumenti RS na področju nacionalne varnosti in strateškimi dokumenti na področju vesolja ter drugih, z vesoljem povezanih področjih. </w:t>
      </w:r>
    </w:p>
    <w:p w14:paraId="21A76932" w14:textId="77777777" w:rsidR="002F46D8" w:rsidRPr="003B5376" w:rsidRDefault="002F46D8" w:rsidP="002F46D8">
      <w:r w:rsidRPr="003B5376">
        <w:t>Temelji na izhodiščih najvišjih strateških usmerjevalnih dokumentov RS na področju nacionalne varnosti</w:t>
      </w:r>
      <w:r w:rsidRPr="003B5376">
        <w:rPr>
          <w:vertAlign w:val="superscript"/>
        </w:rPr>
        <w:footnoteReference w:id="2"/>
      </w:r>
      <w:r w:rsidRPr="003B5376">
        <w:t xml:space="preserve"> kot tudi ključnih strateških dokumentov Evropske unije (EU) in Nata s področja varnosti in obrambe, ki prepoznavajo vesolje kot samostojno operativno domeno ter poudarjajo pomen vesolja za zagotavljanje obrambe, varnosti in odpornosti. Pri tem upošteva hitro spreminjajoče se geopolitične razmere in naraščajoče grožnje, ki izhajajo iz vesolja, kot tudi tehnološki napredek, ki omogoča uporabo vesoljskih zmogljivosti za te namene.</w:t>
      </w:r>
    </w:p>
    <w:p w14:paraId="2E7B761C" w14:textId="77777777" w:rsidR="002F46D8" w:rsidRPr="00F91FDF" w:rsidRDefault="002F46D8" w:rsidP="002F46D8">
      <w:pPr>
        <w:rPr>
          <w:rFonts w:cs="Arial"/>
          <w:szCs w:val="20"/>
        </w:rPr>
      </w:pPr>
      <w:r w:rsidRPr="00F91FDF">
        <w:rPr>
          <w:rFonts w:cs="Arial"/>
          <w:szCs w:val="20"/>
        </w:rPr>
        <w:t>Slovenska vesoljska strategija</w:t>
      </w:r>
      <w:r>
        <w:rPr>
          <w:rFonts w:cs="Arial"/>
          <w:szCs w:val="20"/>
        </w:rPr>
        <w:t xml:space="preserve"> </w:t>
      </w:r>
      <w:r w:rsidRPr="00F91FDF">
        <w:rPr>
          <w:rFonts w:cs="Arial"/>
          <w:szCs w:val="20"/>
        </w:rPr>
        <w:t xml:space="preserve">2030 </w:t>
      </w:r>
      <w:r>
        <w:rPr>
          <w:rFonts w:cs="Arial"/>
          <w:szCs w:val="20"/>
        </w:rPr>
        <w:t>(</w:t>
      </w:r>
      <w:r w:rsidRPr="003B5376">
        <w:rPr>
          <w:rFonts w:cs="Arial"/>
          <w:szCs w:val="20"/>
        </w:rPr>
        <w:t>Vlada RS</w:t>
      </w:r>
      <w:r w:rsidRPr="00E85FD7">
        <w:rPr>
          <w:rFonts w:cs="Arial"/>
          <w:iCs/>
          <w:szCs w:val="20"/>
        </w:rPr>
        <w:t>, št. 30000-5/2023/2 z dne 3. 11. 2023</w:t>
      </w:r>
      <w:r>
        <w:rPr>
          <w:rFonts w:cs="Arial"/>
          <w:iCs/>
          <w:szCs w:val="20"/>
        </w:rPr>
        <w:t xml:space="preserve">) </w:t>
      </w:r>
      <w:r w:rsidRPr="00F91FDF">
        <w:rPr>
          <w:rFonts w:cs="Arial"/>
          <w:szCs w:val="20"/>
        </w:rPr>
        <w:t>določa usmeritve in aktivnosti za povečanje konkurenčnosti slovenske vesoljske industrije, opredeljuje vizijo slovenskega vesoljskega sektorja ter cilje in ukrepe za njihovo uresničevanje. Vendar omenjena strategija, ki je bila pripravljena na podlagi zaveze RS na Svetu Evropske vesoljske agencije (</w:t>
      </w:r>
      <w:proofErr w:type="spellStart"/>
      <w:r w:rsidRPr="00F91FDF">
        <w:rPr>
          <w:rFonts w:cs="Arial"/>
          <w:szCs w:val="20"/>
        </w:rPr>
        <w:t>European</w:t>
      </w:r>
      <w:proofErr w:type="spellEnd"/>
      <w:r w:rsidRPr="00F91FDF">
        <w:rPr>
          <w:rFonts w:cs="Arial"/>
          <w:szCs w:val="20"/>
        </w:rPr>
        <w:t xml:space="preserve"> Space </w:t>
      </w:r>
      <w:proofErr w:type="spellStart"/>
      <w:r w:rsidRPr="00F91FDF">
        <w:rPr>
          <w:rFonts w:cs="Arial"/>
          <w:szCs w:val="20"/>
        </w:rPr>
        <w:t>Agency</w:t>
      </w:r>
      <w:proofErr w:type="spellEnd"/>
      <w:r w:rsidRPr="00F91FDF">
        <w:rPr>
          <w:rFonts w:cs="Arial"/>
          <w:szCs w:val="20"/>
        </w:rPr>
        <w:t xml:space="preserve">, ESA) leta 2022, ne naslavlja področja </w:t>
      </w:r>
      <w:r>
        <w:rPr>
          <w:rFonts w:cs="Arial"/>
          <w:szCs w:val="20"/>
        </w:rPr>
        <w:t>vesolja z vidika</w:t>
      </w:r>
      <w:r w:rsidRPr="00F91FDF">
        <w:rPr>
          <w:rFonts w:cs="Arial"/>
          <w:szCs w:val="20"/>
        </w:rPr>
        <w:t xml:space="preserve"> obrambe, varnosti in odpornosti.</w:t>
      </w:r>
    </w:p>
    <w:bookmarkEnd w:id="2"/>
    <w:p w14:paraId="516EECEF" w14:textId="77777777" w:rsidR="002F46D8" w:rsidRPr="00F91FDF" w:rsidRDefault="002F46D8" w:rsidP="002F46D8">
      <w:pPr>
        <w:rPr>
          <w:rFonts w:cs="Arial"/>
          <w:szCs w:val="20"/>
        </w:rPr>
      </w:pPr>
      <w:r w:rsidRPr="00F91FDF">
        <w:rPr>
          <w:rFonts w:cs="Arial"/>
          <w:szCs w:val="20"/>
        </w:rPr>
        <w:t>Na nacionalni ravni so bile v letu 2024 sprejete strategije s področja obrambe, ki v različnem obsegu izpostavljajo vlogo vesolja in vesoljskih tehnologij za krepitev obrambnih zmogljivosti RS. Vesolje prepoznavajo kot novo operativno domeno, poudarjajo pomen sodelovanja z zavezniki in priložnosti razvoja novih tehnologij, hkrati pa opozarjajo na potencialne varnostne grožnje, ki izhajajo iz vesolja. Področje vesolja je vključeno tudi v nov nabor Ciljev zmogljivosti Nata za RS (2025), kot</w:t>
      </w:r>
      <w:r>
        <w:rPr>
          <w:rFonts w:cs="Arial"/>
          <w:szCs w:val="20"/>
        </w:rPr>
        <w:t xml:space="preserve"> eno izmed ključnih mednarodnih</w:t>
      </w:r>
      <w:r w:rsidRPr="00F91FDF">
        <w:rPr>
          <w:rFonts w:cs="Arial"/>
          <w:szCs w:val="20"/>
        </w:rPr>
        <w:t xml:space="preserve"> zmogljivostnih zavez RS na obrambnem področju.</w:t>
      </w:r>
    </w:p>
    <w:p w14:paraId="278461B8" w14:textId="77777777" w:rsidR="002F46D8" w:rsidRPr="00F91FDF" w:rsidRDefault="002F46D8" w:rsidP="002F46D8">
      <w:pPr>
        <w:spacing w:after="0"/>
        <w:rPr>
          <w:rFonts w:cs="Arial"/>
          <w:szCs w:val="20"/>
        </w:rPr>
      </w:pPr>
      <w:bookmarkStart w:id="3" w:name="_Hlk212381457"/>
      <w:r w:rsidRPr="00F91FDF">
        <w:rPr>
          <w:rFonts w:cs="Arial"/>
          <w:szCs w:val="20"/>
        </w:rPr>
        <w:t>V tem okviru RS prepoznava nujnost ustrezne</w:t>
      </w:r>
      <w:r>
        <w:rPr>
          <w:rFonts w:cs="Arial"/>
          <w:szCs w:val="20"/>
        </w:rPr>
        <w:t>ga</w:t>
      </w:r>
      <w:r w:rsidRPr="00F91FDF">
        <w:rPr>
          <w:rFonts w:cs="Arial"/>
          <w:szCs w:val="20"/>
        </w:rPr>
        <w:t xml:space="preserve"> vesoljske</w:t>
      </w:r>
      <w:r>
        <w:rPr>
          <w:rFonts w:cs="Arial"/>
          <w:szCs w:val="20"/>
        </w:rPr>
        <w:t>ga</w:t>
      </w:r>
      <w:r w:rsidRPr="00F91FDF">
        <w:rPr>
          <w:rFonts w:cs="Arial"/>
          <w:szCs w:val="20"/>
        </w:rPr>
        <w:t xml:space="preserve"> </w:t>
      </w:r>
      <w:r>
        <w:rPr>
          <w:rFonts w:cs="Arial"/>
          <w:szCs w:val="20"/>
        </w:rPr>
        <w:t>programa</w:t>
      </w:r>
      <w:r w:rsidRPr="00F91FDF">
        <w:rPr>
          <w:rFonts w:cs="Arial"/>
          <w:szCs w:val="20"/>
        </w:rPr>
        <w:t xml:space="preserve"> za področje</w:t>
      </w:r>
      <w:r>
        <w:rPr>
          <w:rFonts w:cs="Arial"/>
          <w:szCs w:val="20"/>
        </w:rPr>
        <w:t xml:space="preserve"> nacionalne varnosti, ki bo vključeval tudi področje</w:t>
      </w:r>
      <w:r w:rsidRPr="00F91FDF">
        <w:rPr>
          <w:rFonts w:cs="Arial"/>
          <w:szCs w:val="20"/>
        </w:rPr>
        <w:t xml:space="preserve"> varnosti in obrambe</w:t>
      </w:r>
      <w:r>
        <w:rPr>
          <w:rFonts w:cs="Arial"/>
          <w:szCs w:val="20"/>
        </w:rPr>
        <w:t xml:space="preserve"> in bo</w:t>
      </w:r>
      <w:r w:rsidRPr="00F91FDF">
        <w:rPr>
          <w:rFonts w:cs="Arial"/>
          <w:szCs w:val="20"/>
        </w:rPr>
        <w:t xml:space="preserve"> v skladu s smernicami EU za varnost in obrambo </w:t>
      </w:r>
      <w:r>
        <w:rPr>
          <w:rFonts w:cs="Arial"/>
          <w:szCs w:val="20"/>
        </w:rPr>
        <w:t>ter</w:t>
      </w:r>
      <w:r w:rsidRPr="00F91FDF">
        <w:rPr>
          <w:rFonts w:cs="Arial"/>
          <w:szCs w:val="20"/>
        </w:rPr>
        <w:t xml:space="preserve"> Nat</w:t>
      </w:r>
      <w:r>
        <w:rPr>
          <w:rFonts w:cs="Arial"/>
          <w:szCs w:val="20"/>
        </w:rPr>
        <w:t>ovimi</w:t>
      </w:r>
      <w:r w:rsidRPr="00F91FDF">
        <w:rPr>
          <w:rFonts w:cs="Arial"/>
          <w:szCs w:val="20"/>
        </w:rPr>
        <w:t xml:space="preserve"> smernicami omogočal izpolnjevanje sprejetih mednarodnih obveznosti, hkrati pa bo omogočil učinkovito zaščito nacionalnih interesov.</w:t>
      </w:r>
      <w:bookmarkEnd w:id="3"/>
    </w:p>
    <w:p w14:paraId="1CA5A1F8" w14:textId="77777777" w:rsidR="002F46D8" w:rsidRPr="00F91FDF" w:rsidRDefault="002F46D8" w:rsidP="002F46D8">
      <w:pPr>
        <w:spacing w:after="0"/>
        <w:rPr>
          <w:rFonts w:cs="Arial"/>
          <w:szCs w:val="20"/>
        </w:rPr>
      </w:pPr>
    </w:p>
    <w:p w14:paraId="19435D92" w14:textId="77777777" w:rsidR="002F46D8" w:rsidRDefault="002F46D8" w:rsidP="002F46D8">
      <w:r w:rsidRPr="00724B28">
        <w:lastRenderedPageBreak/>
        <w:t>Osnovni cilj vesoljskega programa je spodbujati sodelovanje med različnimi institucijami in uporabniki, krepiti trajnostno upravljanje vesoljskih zmogljivosti, krepiti mednarodno sodelovanje na področju</w:t>
      </w:r>
      <w:r>
        <w:t xml:space="preserve"> </w:t>
      </w:r>
      <w:r w:rsidRPr="00724B28">
        <w:t xml:space="preserve">vesolja ter podpirati razvoj tehnologij in rešitev, ki temeljijo na informacijah, pridobljenih s pomočjo vesoljskih sistemov. Z uresničevanjem vesoljskega programa si prizadevamo za vzpostavitev učinkovitih, povezanih in uporabniku prijaznih rešitev, ki bodo služile kot temelj za razvoj trajnostne, podatkovno podprte prihodnosti RS ter učinkovito implementacijo operativne domene vesolje v </w:t>
      </w:r>
      <w:proofErr w:type="spellStart"/>
      <w:r w:rsidRPr="00724B28">
        <w:t>nacionalnovarnostni</w:t>
      </w:r>
      <w:proofErr w:type="spellEnd"/>
      <w:r w:rsidRPr="00724B28">
        <w:t xml:space="preserve"> sistem.</w:t>
      </w:r>
    </w:p>
    <w:p w14:paraId="48695F8A" w14:textId="77777777" w:rsidR="002F46D8" w:rsidRDefault="002F46D8" w:rsidP="00D864D4">
      <w:pPr>
        <w:pStyle w:val="Naslov1strategija"/>
      </w:pPr>
      <w:bookmarkStart w:id="4" w:name="_Toc221785752"/>
      <w:r w:rsidRPr="00D85DEC">
        <w:t>Vizija</w:t>
      </w:r>
      <w:bookmarkEnd w:id="4"/>
    </w:p>
    <w:p w14:paraId="0D82FF23" w14:textId="77777777" w:rsidR="002F46D8" w:rsidRDefault="002F46D8" w:rsidP="002F46D8">
      <w:r w:rsidRPr="00F91FDF">
        <w:t xml:space="preserve">Vizija RS je trajnostno in varno vključevanje vesoljskih zmogljivosti v sistem nacionalne varnosti, izgradnja vesoljskih zmogljivosti za dvojno rabo, tako da bodo prispevale k zavezniški in evropski obrambni zmogljivosti </w:t>
      </w:r>
      <w:r>
        <w:t>ter</w:t>
      </w:r>
      <w:r w:rsidRPr="00F91FDF">
        <w:t xml:space="preserve"> podpirale globalno stabilnost v skladu z načeli miroljubne in trajnostne uporabe vesolja, ob tem pa v čim večji meri izkoristiti zmogljivosti in iskati nove priložnosti za slovensko vesoljsko industrijo, zlasti v okviru polnopravnega članstva RS v ESA. V središču vizije je preplet obrambe, varnosti in odpornosti z namenom zagotavljanja dolgoročne stabilnosti, obrambne pripravljenosti in tehnološke suverenosti RS.</w:t>
      </w:r>
    </w:p>
    <w:p w14:paraId="7582988F" w14:textId="77777777" w:rsidR="002F46D8" w:rsidRDefault="002F46D8" w:rsidP="002F46D8">
      <w:pPr>
        <w:pStyle w:val="Naslov1strategija"/>
      </w:pPr>
      <w:bookmarkStart w:id="5" w:name="_Toc221785753"/>
      <w:r>
        <w:t xml:space="preserve">Ocena </w:t>
      </w:r>
      <w:r w:rsidRPr="00D85DEC">
        <w:t>stanja</w:t>
      </w:r>
      <w:bookmarkEnd w:id="5"/>
    </w:p>
    <w:p w14:paraId="2E23A4A8" w14:textId="77777777" w:rsidR="002F46D8" w:rsidRPr="00F91FDF" w:rsidRDefault="002F46D8" w:rsidP="002F46D8">
      <w:r w:rsidRPr="00F91FDF">
        <w:t>Področje vesolja vključuje vse elemente, ki so pomembni za delovanje vesoljskih sistemov in zagotavljanje vesoljskih storitev. Glavni funkcionalni deli vesoljskih sistemov so vesoljski del</w:t>
      </w:r>
      <w:r>
        <w:rPr>
          <w:vertAlign w:val="superscript"/>
        </w:rPr>
        <w:footnoteReference w:id="3"/>
      </w:r>
      <w:r w:rsidRPr="00F91FDF">
        <w:t xml:space="preserve">, </w:t>
      </w:r>
      <w:r w:rsidRPr="008766E9">
        <w:t>zemeljski/uporabniški</w:t>
      </w:r>
      <w:r w:rsidRPr="00F91FDF">
        <w:t xml:space="preserve"> del</w:t>
      </w:r>
      <w:r>
        <w:rPr>
          <w:vertAlign w:val="superscript"/>
        </w:rPr>
        <w:footnoteReference w:id="4"/>
      </w:r>
      <w:r w:rsidRPr="00F91FDF">
        <w:t xml:space="preserve"> in povezave</w:t>
      </w:r>
      <w:r>
        <w:rPr>
          <w:vertAlign w:val="superscript"/>
        </w:rPr>
        <w:footnoteReference w:id="5"/>
      </w:r>
      <w:r w:rsidRPr="00F91FDF">
        <w:t>. Vključuje tudi temeljni industrijski sektor vesolja.</w:t>
      </w:r>
    </w:p>
    <w:p w14:paraId="28707A81" w14:textId="77777777" w:rsidR="002F46D8" w:rsidRPr="00F91FDF" w:rsidRDefault="002F46D8" w:rsidP="002F46D8">
      <w:r w:rsidRPr="00F91FDF">
        <w:t>Vesolje postaja ključni dejavnik v sodobni varnosti in obrambi, saj so vesoljski sistemi, kot so sateliti za komunikacijo, navigacijo, opazovanje Zemlje in meteorološke napovedi</w:t>
      </w:r>
      <w:r>
        <w:t>,</w:t>
      </w:r>
      <w:r w:rsidRPr="00F91FDF">
        <w:t xml:space="preserve"> nepogrešljivi v vsakodnevnem življenju ter pri zagotavljanju nacionalne in mednarodne varnosti.</w:t>
      </w:r>
    </w:p>
    <w:p w14:paraId="7E18668D" w14:textId="77777777" w:rsidR="002F46D8" w:rsidRPr="00F91FDF" w:rsidRDefault="002F46D8" w:rsidP="002F46D8">
      <w:r w:rsidRPr="00F91FDF">
        <w:t xml:space="preserve">Negotovost mednarodnega varnostnega okolja, </w:t>
      </w:r>
      <w:r>
        <w:t>spoprijemanje</w:t>
      </w:r>
      <w:r w:rsidRPr="00F91FDF">
        <w:t xml:space="preserve"> s sodobnimi varnostnimi izzivi in stopnjevanjem groženj zahtevata proaktivno vesoljsko politiko, ki bo </w:t>
      </w:r>
      <w:bookmarkStart w:id="6" w:name="_Hlk183507454"/>
      <w:r w:rsidRPr="00F91FDF">
        <w:t>spodbujala k investicijam v napredne zaščitne tehnologije, razvoj sistemov za hitro odzivanje v primeru vojaških ali drugih groženj</w:t>
      </w:r>
      <w:r>
        <w:t xml:space="preserve"> in tveganj zaradi naravnih in drugih nesreč</w:t>
      </w:r>
      <w:r w:rsidRPr="00F91FDF">
        <w:t xml:space="preserve"> </w:t>
      </w:r>
      <w:r>
        <w:t>ter</w:t>
      </w:r>
      <w:r w:rsidRPr="00F91FDF">
        <w:t xml:space="preserve"> krepitvi mednarodnega sodelovanja za zaščito vesoljske infrastrukture.</w:t>
      </w:r>
      <w:bookmarkEnd w:id="6"/>
    </w:p>
    <w:p w14:paraId="09231833" w14:textId="77777777" w:rsidR="002F46D8" w:rsidRPr="006E4135" w:rsidRDefault="002F46D8" w:rsidP="002F46D8">
      <w:pPr>
        <w:rPr>
          <w:rFonts w:cs="Arial"/>
          <w:szCs w:val="20"/>
        </w:rPr>
      </w:pPr>
      <w:r w:rsidRPr="006E4135">
        <w:rPr>
          <w:rFonts w:cs="Arial"/>
          <w:szCs w:val="20"/>
        </w:rPr>
        <w:t>EU je v Strateškem kompasu za varnost in obrambo (</w:t>
      </w:r>
      <w:proofErr w:type="spellStart"/>
      <w:r w:rsidRPr="006E4135">
        <w:rPr>
          <w:rFonts w:cs="Arial"/>
          <w:szCs w:val="20"/>
        </w:rPr>
        <w:t>Strategic</w:t>
      </w:r>
      <w:proofErr w:type="spellEnd"/>
      <w:r w:rsidRPr="006E4135">
        <w:rPr>
          <w:rFonts w:cs="Arial"/>
          <w:szCs w:val="20"/>
        </w:rPr>
        <w:t xml:space="preserve"> </w:t>
      </w:r>
      <w:proofErr w:type="spellStart"/>
      <w:r w:rsidRPr="006E4135">
        <w:rPr>
          <w:rFonts w:cs="Arial"/>
          <w:szCs w:val="20"/>
        </w:rPr>
        <w:t>Compass</w:t>
      </w:r>
      <w:proofErr w:type="spellEnd"/>
      <w:r w:rsidRPr="006E4135">
        <w:rPr>
          <w:rFonts w:cs="Arial"/>
          <w:szCs w:val="20"/>
        </w:rPr>
        <w:t xml:space="preserve"> </w:t>
      </w:r>
      <w:proofErr w:type="spellStart"/>
      <w:r w:rsidRPr="006E4135">
        <w:rPr>
          <w:rFonts w:cs="Arial"/>
          <w:szCs w:val="20"/>
        </w:rPr>
        <w:t>for</w:t>
      </w:r>
      <w:proofErr w:type="spellEnd"/>
      <w:r w:rsidRPr="006E4135">
        <w:rPr>
          <w:rFonts w:cs="Arial"/>
          <w:szCs w:val="20"/>
        </w:rPr>
        <w:t xml:space="preserve"> </w:t>
      </w:r>
      <w:proofErr w:type="spellStart"/>
      <w:r w:rsidRPr="006E4135">
        <w:rPr>
          <w:rFonts w:cs="Arial"/>
          <w:szCs w:val="20"/>
        </w:rPr>
        <w:t>Security</w:t>
      </w:r>
      <w:proofErr w:type="spellEnd"/>
      <w:r w:rsidRPr="006E4135">
        <w:rPr>
          <w:rFonts w:cs="Arial"/>
          <w:szCs w:val="20"/>
        </w:rPr>
        <w:t xml:space="preserve"> </w:t>
      </w:r>
      <w:proofErr w:type="spellStart"/>
      <w:r w:rsidRPr="006E4135">
        <w:rPr>
          <w:rFonts w:cs="Arial"/>
          <w:szCs w:val="20"/>
        </w:rPr>
        <w:t>and</w:t>
      </w:r>
      <w:proofErr w:type="spellEnd"/>
      <w:r w:rsidRPr="006E4135">
        <w:rPr>
          <w:rFonts w:cs="Arial"/>
          <w:szCs w:val="20"/>
        </w:rPr>
        <w:t xml:space="preserve"> Defence, 2022) vesolje opredelila za strateško področje, ki </w:t>
      </w:r>
      <w:r>
        <w:rPr>
          <w:rFonts w:cs="Arial"/>
          <w:szCs w:val="20"/>
        </w:rPr>
        <w:t>po</w:t>
      </w:r>
      <w:r w:rsidRPr="006E4135">
        <w:rPr>
          <w:rFonts w:cs="Arial"/>
          <w:szCs w:val="20"/>
        </w:rPr>
        <w:t xml:space="preserve"> eni strani predstavlja prostor za tehnološki napredek in inovacije, po drugi strani pa grožnjo kritični vesoljski infrastrukturi. Vesoljska strategija EU za varnost in obrambo (EU Space </w:t>
      </w:r>
      <w:proofErr w:type="spellStart"/>
      <w:r w:rsidRPr="006E4135">
        <w:rPr>
          <w:rFonts w:cs="Arial"/>
          <w:szCs w:val="20"/>
        </w:rPr>
        <w:t>Strategy</w:t>
      </w:r>
      <w:proofErr w:type="spellEnd"/>
      <w:r w:rsidRPr="006E4135">
        <w:rPr>
          <w:rFonts w:cs="Arial"/>
          <w:szCs w:val="20"/>
        </w:rPr>
        <w:t xml:space="preserve"> </w:t>
      </w:r>
      <w:proofErr w:type="spellStart"/>
      <w:r w:rsidRPr="006E4135">
        <w:rPr>
          <w:rFonts w:cs="Arial"/>
          <w:szCs w:val="20"/>
        </w:rPr>
        <w:t>for</w:t>
      </w:r>
      <w:proofErr w:type="spellEnd"/>
      <w:r w:rsidRPr="006E4135">
        <w:rPr>
          <w:rFonts w:cs="Arial"/>
          <w:szCs w:val="20"/>
        </w:rPr>
        <w:t xml:space="preserve"> </w:t>
      </w:r>
      <w:proofErr w:type="spellStart"/>
      <w:r w:rsidRPr="006E4135">
        <w:rPr>
          <w:rFonts w:cs="Arial"/>
          <w:szCs w:val="20"/>
        </w:rPr>
        <w:t>Security</w:t>
      </w:r>
      <w:proofErr w:type="spellEnd"/>
      <w:r w:rsidRPr="006E4135">
        <w:rPr>
          <w:rFonts w:cs="Arial"/>
          <w:szCs w:val="20"/>
        </w:rPr>
        <w:t xml:space="preserve"> </w:t>
      </w:r>
      <w:proofErr w:type="spellStart"/>
      <w:r w:rsidRPr="006E4135">
        <w:rPr>
          <w:rFonts w:cs="Arial"/>
          <w:szCs w:val="20"/>
        </w:rPr>
        <w:t>and</w:t>
      </w:r>
      <w:proofErr w:type="spellEnd"/>
      <w:r w:rsidRPr="006E4135">
        <w:rPr>
          <w:rFonts w:cs="Arial"/>
          <w:szCs w:val="20"/>
        </w:rPr>
        <w:t xml:space="preserve"> Defence, 2023) opredeljuje ukrepe za zaščito vesoljskih sredstev, odvračanje sovražnih dejavnosti ter krepitev svoje strateške drže in avtonomije</w:t>
      </w:r>
      <w:r w:rsidRPr="00AA559F">
        <w:rPr>
          <w:rFonts w:cs="Arial"/>
          <w:szCs w:val="20"/>
        </w:rPr>
        <w:t xml:space="preserve">. Načrt EU za krepitev obrambne pripravljenosti 2030 (Defence </w:t>
      </w:r>
      <w:proofErr w:type="spellStart"/>
      <w:r w:rsidRPr="00AA559F">
        <w:rPr>
          <w:rFonts w:cs="Arial"/>
          <w:szCs w:val="20"/>
        </w:rPr>
        <w:t>Readiness</w:t>
      </w:r>
      <w:proofErr w:type="spellEnd"/>
      <w:r w:rsidRPr="00AA559F">
        <w:rPr>
          <w:rFonts w:cs="Arial"/>
          <w:szCs w:val="20"/>
        </w:rPr>
        <w:t xml:space="preserve"> </w:t>
      </w:r>
      <w:proofErr w:type="spellStart"/>
      <w:r w:rsidRPr="00AA559F">
        <w:rPr>
          <w:rFonts w:cs="Arial"/>
          <w:szCs w:val="20"/>
        </w:rPr>
        <w:t>Roadmap</w:t>
      </w:r>
      <w:proofErr w:type="spellEnd"/>
      <w:r w:rsidRPr="00AA559F">
        <w:rPr>
          <w:rFonts w:cs="Arial"/>
          <w:szCs w:val="20"/>
        </w:rPr>
        <w:t xml:space="preserve"> 2030) kot enega izmed štirih evropskih vodilnih projektov (</w:t>
      </w:r>
      <w:r>
        <w:rPr>
          <w:rFonts w:cs="Arial"/>
          <w:szCs w:val="20"/>
        </w:rPr>
        <w:t>angl.</w:t>
      </w:r>
      <w:r w:rsidRPr="00AA559F">
        <w:rPr>
          <w:rFonts w:cs="Arial"/>
          <w:szCs w:val="20"/>
        </w:rPr>
        <w:t xml:space="preserve"> </w:t>
      </w:r>
      <w:proofErr w:type="spellStart"/>
      <w:r w:rsidRPr="000028F2">
        <w:rPr>
          <w:rFonts w:cs="Arial"/>
          <w:i/>
          <w:iCs/>
          <w:szCs w:val="20"/>
        </w:rPr>
        <w:t>flagship</w:t>
      </w:r>
      <w:proofErr w:type="spellEnd"/>
      <w:r w:rsidRPr="00AA559F">
        <w:rPr>
          <w:rFonts w:cs="Arial"/>
          <w:szCs w:val="20"/>
        </w:rPr>
        <w:t xml:space="preserve">) izpostavlja vzpostavitev evropskega </w:t>
      </w:r>
      <w:r>
        <w:rPr>
          <w:rFonts w:cs="Arial"/>
          <w:szCs w:val="20"/>
        </w:rPr>
        <w:t>v</w:t>
      </w:r>
      <w:r w:rsidRPr="00AA559F">
        <w:rPr>
          <w:rFonts w:cs="Arial"/>
          <w:szCs w:val="20"/>
        </w:rPr>
        <w:t>esoljskega obrambnega ščita (</w:t>
      </w:r>
      <w:r>
        <w:rPr>
          <w:rFonts w:cs="Arial"/>
          <w:szCs w:val="20"/>
        </w:rPr>
        <w:t xml:space="preserve">angl. </w:t>
      </w:r>
      <w:proofErr w:type="spellStart"/>
      <w:r w:rsidRPr="000028F2">
        <w:rPr>
          <w:rFonts w:cs="Arial"/>
          <w:i/>
          <w:iCs/>
          <w:szCs w:val="20"/>
        </w:rPr>
        <w:t>defence</w:t>
      </w:r>
      <w:proofErr w:type="spellEnd"/>
      <w:r w:rsidRPr="000028F2">
        <w:rPr>
          <w:rFonts w:cs="Arial"/>
          <w:i/>
          <w:iCs/>
          <w:szCs w:val="20"/>
        </w:rPr>
        <w:t xml:space="preserve"> </w:t>
      </w:r>
      <w:proofErr w:type="spellStart"/>
      <w:r w:rsidRPr="000028F2">
        <w:rPr>
          <w:rFonts w:cs="Arial"/>
          <w:i/>
          <w:iCs/>
          <w:szCs w:val="20"/>
        </w:rPr>
        <w:t>space</w:t>
      </w:r>
      <w:proofErr w:type="spellEnd"/>
      <w:r w:rsidRPr="000028F2">
        <w:rPr>
          <w:rFonts w:cs="Arial"/>
          <w:i/>
          <w:iCs/>
          <w:szCs w:val="20"/>
        </w:rPr>
        <w:t xml:space="preserve"> </w:t>
      </w:r>
      <w:proofErr w:type="spellStart"/>
      <w:r w:rsidRPr="000028F2">
        <w:rPr>
          <w:rFonts w:cs="Arial"/>
          <w:i/>
          <w:iCs/>
          <w:szCs w:val="20"/>
        </w:rPr>
        <w:t>shield</w:t>
      </w:r>
      <w:proofErr w:type="spellEnd"/>
      <w:r w:rsidRPr="00AA559F">
        <w:rPr>
          <w:rFonts w:cs="Arial"/>
          <w:szCs w:val="20"/>
        </w:rPr>
        <w:t>), ki b</w:t>
      </w:r>
      <w:r>
        <w:rPr>
          <w:rFonts w:cs="Arial"/>
          <w:szCs w:val="20"/>
        </w:rPr>
        <w:t>o</w:t>
      </w:r>
      <w:r w:rsidRPr="00AA559F">
        <w:rPr>
          <w:rFonts w:cs="Arial"/>
          <w:szCs w:val="20"/>
        </w:rPr>
        <w:t xml:space="preserve"> zagotavljal zaščito in odpornost vesoljskih sredstev </w:t>
      </w:r>
      <w:r>
        <w:rPr>
          <w:rFonts w:cs="Arial"/>
          <w:szCs w:val="20"/>
        </w:rPr>
        <w:t>in</w:t>
      </w:r>
      <w:r w:rsidRPr="00AA559F">
        <w:rPr>
          <w:rFonts w:cs="Arial"/>
          <w:szCs w:val="20"/>
        </w:rPr>
        <w:t xml:space="preserve"> storitev ter poudarja pomen vključevanja v koalicije prednostnih zmogljivosti na tem področju.</w:t>
      </w:r>
    </w:p>
    <w:p w14:paraId="22642270" w14:textId="77777777" w:rsidR="002F46D8" w:rsidRPr="00F91FDF" w:rsidRDefault="002F46D8" w:rsidP="002F46D8">
      <w:pPr>
        <w:rPr>
          <w:rFonts w:cs="Arial"/>
          <w:szCs w:val="20"/>
        </w:rPr>
      </w:pPr>
      <w:r w:rsidRPr="00F91FDF">
        <w:rPr>
          <w:rFonts w:cs="Arial"/>
          <w:szCs w:val="20"/>
        </w:rPr>
        <w:t xml:space="preserve">Pomembnost vesolja izpostavlja tudi Nato, ki je leta 2019 vesolje razglasil za peto operativno domeno poleg zraka, morja, kopnega in kibernetskega prostora. </w:t>
      </w:r>
      <w:r>
        <w:rPr>
          <w:rFonts w:cs="Arial"/>
          <w:szCs w:val="20"/>
        </w:rPr>
        <w:t xml:space="preserve">V tem kontekstu je torej vesolje posebno </w:t>
      </w:r>
      <w:r>
        <w:rPr>
          <w:rFonts w:cs="Arial"/>
          <w:szCs w:val="20"/>
        </w:rPr>
        <w:lastRenderedPageBreak/>
        <w:t xml:space="preserve">področje delovanja v smislu specifične sfere zmogljivosti in dejavnosti, v katerem Nato načrtuje, izvaja in usmerja vojaške aktivnosti za doseganje operativnih ciljev. Takšno je prav tako izhodišče </w:t>
      </w:r>
      <w:r w:rsidRPr="00F91FDF">
        <w:rPr>
          <w:rFonts w:cs="Arial"/>
          <w:szCs w:val="20"/>
        </w:rPr>
        <w:t>Natov</w:t>
      </w:r>
      <w:r>
        <w:rPr>
          <w:rFonts w:cs="Arial"/>
          <w:szCs w:val="20"/>
        </w:rPr>
        <w:t>e</w:t>
      </w:r>
      <w:r w:rsidRPr="00F91FDF">
        <w:rPr>
          <w:rFonts w:cs="Arial"/>
          <w:szCs w:val="20"/>
        </w:rPr>
        <w:t xml:space="preserve"> krovn</w:t>
      </w:r>
      <w:r>
        <w:rPr>
          <w:rFonts w:cs="Arial"/>
          <w:szCs w:val="20"/>
        </w:rPr>
        <w:t>e</w:t>
      </w:r>
      <w:r w:rsidRPr="00F91FDF">
        <w:rPr>
          <w:rFonts w:cs="Arial"/>
          <w:szCs w:val="20"/>
        </w:rPr>
        <w:t xml:space="preserve"> vesoljsk</w:t>
      </w:r>
      <w:r>
        <w:rPr>
          <w:rFonts w:cs="Arial"/>
          <w:szCs w:val="20"/>
        </w:rPr>
        <w:t>e</w:t>
      </w:r>
      <w:r w:rsidRPr="00F91FDF">
        <w:rPr>
          <w:rFonts w:cs="Arial"/>
          <w:szCs w:val="20"/>
        </w:rPr>
        <w:t xml:space="preserve"> politik</w:t>
      </w:r>
      <w:r>
        <w:rPr>
          <w:rFonts w:cs="Arial"/>
          <w:szCs w:val="20"/>
        </w:rPr>
        <w:t>e</w:t>
      </w:r>
      <w:r w:rsidRPr="00F91FDF">
        <w:rPr>
          <w:rFonts w:cs="Arial"/>
          <w:szCs w:val="20"/>
        </w:rPr>
        <w:t xml:space="preserve"> (</w:t>
      </w:r>
      <w:proofErr w:type="spellStart"/>
      <w:r w:rsidRPr="00F91FDF">
        <w:rPr>
          <w:rFonts w:cs="Arial"/>
          <w:szCs w:val="20"/>
        </w:rPr>
        <w:t>NATO's</w:t>
      </w:r>
      <w:proofErr w:type="spellEnd"/>
      <w:r w:rsidRPr="00F91FDF">
        <w:rPr>
          <w:rFonts w:cs="Arial"/>
          <w:szCs w:val="20"/>
        </w:rPr>
        <w:t xml:space="preserve"> </w:t>
      </w:r>
      <w:proofErr w:type="spellStart"/>
      <w:r w:rsidRPr="00F91FDF">
        <w:rPr>
          <w:rFonts w:cs="Arial"/>
          <w:szCs w:val="20"/>
        </w:rPr>
        <w:t>Overarching</w:t>
      </w:r>
      <w:proofErr w:type="spellEnd"/>
      <w:r w:rsidRPr="00F91FDF">
        <w:rPr>
          <w:rFonts w:cs="Arial"/>
          <w:szCs w:val="20"/>
        </w:rPr>
        <w:t xml:space="preserve"> Space </w:t>
      </w:r>
      <w:proofErr w:type="spellStart"/>
      <w:r w:rsidRPr="00F91FDF">
        <w:rPr>
          <w:rFonts w:cs="Arial"/>
          <w:szCs w:val="20"/>
        </w:rPr>
        <w:t>Policy</w:t>
      </w:r>
      <w:proofErr w:type="spellEnd"/>
      <w:r w:rsidRPr="00F91FDF">
        <w:rPr>
          <w:rFonts w:cs="Arial"/>
          <w:szCs w:val="20"/>
        </w:rPr>
        <w:t xml:space="preserve">, 2019), </w:t>
      </w:r>
      <w:r>
        <w:rPr>
          <w:rFonts w:cs="Arial"/>
          <w:szCs w:val="20"/>
        </w:rPr>
        <w:t>s katerim je kot članica zavezništva seznanjena tudi RS, ki</w:t>
      </w:r>
      <w:r w:rsidRPr="00F91FDF">
        <w:rPr>
          <w:rFonts w:cs="Arial"/>
          <w:szCs w:val="20"/>
        </w:rPr>
        <w:t xml:space="preserve"> zasleduje uresničevanje strateških ciljev odvračanja in obrambe, kot jih opredeljuje vodilni dokument zavezništva in načrt za prilagajanje, tj. Strateški koncept Nata (NATO </w:t>
      </w:r>
      <w:proofErr w:type="spellStart"/>
      <w:r w:rsidRPr="00F91FDF">
        <w:rPr>
          <w:rFonts w:cs="Arial"/>
          <w:szCs w:val="20"/>
        </w:rPr>
        <w:t>Strategic</w:t>
      </w:r>
      <w:proofErr w:type="spellEnd"/>
      <w:r w:rsidRPr="00F91FDF">
        <w:rPr>
          <w:rFonts w:cs="Arial"/>
          <w:szCs w:val="20"/>
        </w:rPr>
        <w:t xml:space="preserve"> </w:t>
      </w:r>
      <w:proofErr w:type="spellStart"/>
      <w:r w:rsidRPr="00F91FDF">
        <w:rPr>
          <w:rFonts w:cs="Arial"/>
          <w:szCs w:val="20"/>
        </w:rPr>
        <w:t>Concept</w:t>
      </w:r>
      <w:proofErr w:type="spellEnd"/>
      <w:r w:rsidRPr="00F91FDF">
        <w:rPr>
          <w:rFonts w:cs="Arial"/>
          <w:szCs w:val="20"/>
        </w:rPr>
        <w:t xml:space="preserve">, 2022). Vesolje je zelo pomembno za odvračanje in odpornost zavezništva. Na vrhu v Haagu je bila </w:t>
      </w:r>
      <w:r>
        <w:rPr>
          <w:rFonts w:cs="Arial"/>
          <w:szCs w:val="20"/>
        </w:rPr>
        <w:t xml:space="preserve">leta </w:t>
      </w:r>
      <w:r w:rsidRPr="00F91FDF">
        <w:rPr>
          <w:rFonts w:cs="Arial"/>
          <w:szCs w:val="20"/>
        </w:rPr>
        <w:t xml:space="preserve">2025 sprejeta tudi komercialna vesoljska strategija Nata, ki je namenjena krepitvi odnosov s komercialnim vesoljskim sektorjem in obrambno industrijo. </w:t>
      </w:r>
    </w:p>
    <w:p w14:paraId="7689E838" w14:textId="77777777" w:rsidR="002F46D8" w:rsidRPr="007024C5" w:rsidRDefault="002F46D8" w:rsidP="002F46D8">
      <w:r w:rsidRPr="007024C5">
        <w:t xml:space="preserve">Tako Nato kot EU v svojih strategijah vesoljskim sistemom pripisujeta bistveno vlogo pri zagotavljanju varnosti in obrambnih zmogljivosti. </w:t>
      </w:r>
    </w:p>
    <w:p w14:paraId="239E9BC4" w14:textId="77777777" w:rsidR="002F46D8" w:rsidRPr="007024C5" w:rsidRDefault="002F46D8" w:rsidP="002F46D8">
      <w:r w:rsidRPr="007024C5">
        <w:t>Tudi Slovenska vojska (v nadaljnjem besedilu: SV) kot instrument vojaške moči RS v svojih načrtovalnih, normativnih in operativnih dokumentih opredeljuje domeno vesolje kot nepogrešljivo za situacijsko zavedanje, zgodnje opozarjanje, podporo procesom odločanja ter delovanje sistema poveljevanja in kontrole.</w:t>
      </w:r>
    </w:p>
    <w:p w14:paraId="16CA6594" w14:textId="77777777" w:rsidR="002F46D8" w:rsidRPr="008766E9" w:rsidRDefault="002F46D8" w:rsidP="002F46D8">
      <w:pPr>
        <w:rPr>
          <w:szCs w:val="20"/>
        </w:rPr>
      </w:pPr>
      <w:r w:rsidRPr="008766E9">
        <w:rPr>
          <w:szCs w:val="20"/>
        </w:rPr>
        <w:t>Nova zakonodaja na področju kritične infrastrukture</w:t>
      </w:r>
      <w:r w:rsidRPr="008766E9">
        <w:rPr>
          <w:szCs w:val="20"/>
          <w:vertAlign w:val="superscript"/>
        </w:rPr>
        <w:footnoteReference w:id="6"/>
      </w:r>
      <w:r w:rsidRPr="008766E9">
        <w:rPr>
          <w:szCs w:val="20"/>
        </w:rPr>
        <w:t xml:space="preserve"> opredeljuje vesolje kot enega izmed sektorjev kritične infrastrukture. Na njeni podlagi bodo določeni kritični subjekti za upravljanje </w:t>
      </w:r>
      <w:r w:rsidRPr="008766E9">
        <w:rPr>
          <w:rFonts w:cs="Arial"/>
          <w:szCs w:val="20"/>
        </w:rPr>
        <w:t>vesoljske infrastrukture na površju</w:t>
      </w:r>
      <w:r w:rsidRPr="008766E9">
        <w:rPr>
          <w:szCs w:val="20"/>
          <w:vertAlign w:val="superscript"/>
        </w:rPr>
        <w:footnoteReference w:id="7"/>
      </w:r>
      <w:r w:rsidRPr="008766E9">
        <w:rPr>
          <w:szCs w:val="20"/>
        </w:rPr>
        <w:t>, ki podpira izvajanje vesoljskih storitev.</w:t>
      </w:r>
    </w:p>
    <w:p w14:paraId="6DA79B28" w14:textId="77777777" w:rsidR="002F46D8" w:rsidRPr="007024C5" w:rsidRDefault="002F46D8" w:rsidP="002F46D8">
      <w:r w:rsidRPr="007024C5">
        <w:t>Čeprav t. i. Pogodba o vesolju (</w:t>
      </w:r>
      <w:proofErr w:type="spellStart"/>
      <w:r w:rsidRPr="007024C5">
        <w:t>Outer</w:t>
      </w:r>
      <w:proofErr w:type="spellEnd"/>
      <w:r w:rsidRPr="007024C5">
        <w:t xml:space="preserve"> Space </w:t>
      </w:r>
      <w:proofErr w:type="spellStart"/>
      <w:r w:rsidRPr="007024C5">
        <w:t>Treaty</w:t>
      </w:r>
      <w:proofErr w:type="spellEnd"/>
      <w:r w:rsidRPr="007024C5">
        <w:t>)</w:t>
      </w:r>
      <w:r w:rsidRPr="007024C5">
        <w:rPr>
          <w:vertAlign w:val="superscript"/>
        </w:rPr>
        <w:footnoteReference w:id="8"/>
      </w:r>
      <w:r w:rsidRPr="007024C5">
        <w:t xml:space="preserve"> določa, da se vesolje uporablja izključno za miroljubne namene in izrecno prepoveduje nameščanje jedrskega ali drugega orožja za množično uničevanje v orbito ali na nebesna telesa, spoštovanje mednarodnega prava ter miroljubna raba vesolja kljub temu ostajata pomemben izziv. </w:t>
      </w:r>
    </w:p>
    <w:p w14:paraId="51F836CE" w14:textId="77777777" w:rsidR="002F46D8" w:rsidRPr="007024C5" w:rsidRDefault="002F46D8" w:rsidP="002F46D8">
      <w:r w:rsidRPr="007024C5">
        <w:t xml:space="preserve">Številne države razvijajo in preizkušajo </w:t>
      </w:r>
      <w:proofErr w:type="spellStart"/>
      <w:r w:rsidRPr="007024C5">
        <w:t>protisatelitske</w:t>
      </w:r>
      <w:proofErr w:type="spellEnd"/>
      <w:r w:rsidRPr="007024C5">
        <w:t xml:space="preserve"> zmogljivosti oziroma razvijajo zmogljivosti, ki omogočajo poznejše nameščanje vojaških komponent, ki bi jih lahko uporabili za napad na konkurenčne satelite. Večina vesoljskih tehnologij in storitev ima dvojno rabo, služijo tako komercialnim kot tudi obrambnim namenom, kar povečuje kompleksnost vesoljske domene. Zaradi dvojne rabe tehnologij je namreč celovita ocena vesoljskih groženj toliko bolj zahtevna in jo je zato še težje opredeliti.</w:t>
      </w:r>
    </w:p>
    <w:p w14:paraId="3A5B5E9E" w14:textId="77777777" w:rsidR="002F46D8" w:rsidRPr="007024C5" w:rsidRDefault="002F46D8" w:rsidP="002F46D8">
      <w:bookmarkStart w:id="7" w:name="_Hlk183507546"/>
      <w:r w:rsidRPr="007024C5">
        <w:t>RS v času nastajanja vesoljskega programa nima lastnih namenskih vesoljskih sistemov, zato je odvisna od zmogljivosti, do katerih lahko dostopa kot članica EU in Nata ali na podlagi sklenjenih bilateralnih oziroma multilateralnih sporazumov, ter različnih komercialnih sistemov, ki so se v zadnjem času izkazali kot pomemben oziroma strateški člen predvsem pri zagotavljanju dostopa do vesoljskih storitev v kriznih situacijah.</w:t>
      </w:r>
      <w:bookmarkEnd w:id="7"/>
    </w:p>
    <w:p w14:paraId="5E49AECF" w14:textId="77777777" w:rsidR="002F46D8" w:rsidRPr="007024C5" w:rsidRDefault="002F46D8" w:rsidP="002F46D8">
      <w:r w:rsidRPr="007024C5">
        <w:t>Tveganja, ki izhajajo iz odvisnosti od tujih vesoljskih zmogljivosti, so zelo velika, predvsem ko je na voljo le ena zmogljivost, brez kakršne koli redundance.</w:t>
      </w:r>
    </w:p>
    <w:p w14:paraId="4BC42C1E" w14:textId="7C4ECB32" w:rsidR="002F46D8" w:rsidRDefault="002F46D8" w:rsidP="002F46D8">
      <w:r w:rsidRPr="007024C5">
        <w:t>Z naraščajočo odvisnostjo od satelitskih sistemov za strateške naloge, kot so pravočasna in zanesljiva zagotovitev obveščevalnih podatkov, zagotovitev varnih komunikacijskih povezav, krizno upravljanje, zaščita kritične infrastrukture in natančno usklajevanje vojaških operacij, ter naraščajočo kompleksnostjo geopolitičnih razmer se pojavljajo novi izzivi, ki zahtevajo proaktiven in celovit pristop k zaščiti in trajnostni rabi vesoljske infrastrukture, razvoj lastnih vesoljskih obrambnih zmogljivosti pa postaja ne samo nujna, ampak tudi strateška prioriteta.</w:t>
      </w:r>
    </w:p>
    <w:p w14:paraId="75D628FC" w14:textId="77777777" w:rsidR="00C57075" w:rsidRPr="00842F3C" w:rsidRDefault="00C57075" w:rsidP="002F46D8"/>
    <w:p w14:paraId="3FDD4A79" w14:textId="77777777" w:rsidR="002F46D8" w:rsidRDefault="002F46D8" w:rsidP="002F46D8">
      <w:pPr>
        <w:pStyle w:val="Naslov1strategija"/>
      </w:pPr>
      <w:bookmarkStart w:id="8" w:name="_Toc221785754"/>
      <w:r w:rsidRPr="00D85DEC">
        <w:lastRenderedPageBreak/>
        <w:t>Cilji</w:t>
      </w:r>
      <w:bookmarkEnd w:id="8"/>
    </w:p>
    <w:p w14:paraId="277EDA0D" w14:textId="77777777" w:rsidR="002F46D8" w:rsidRDefault="002F46D8" w:rsidP="002F46D8">
      <w:r w:rsidRPr="00F91FDF">
        <w:t>Cilji</w:t>
      </w:r>
      <w:r>
        <w:t xml:space="preserve"> vesoljskega</w:t>
      </w:r>
      <w:r w:rsidRPr="00F91FDF">
        <w:t xml:space="preserve"> </w:t>
      </w:r>
      <w:r>
        <w:t>programa</w:t>
      </w:r>
      <w:r w:rsidRPr="00F91FDF">
        <w:t xml:space="preserve"> se osredinjajo na trajnostno in varno vključevanje vesoljskih zmogljivosti v </w:t>
      </w:r>
      <w:proofErr w:type="spellStart"/>
      <w:r w:rsidRPr="00F91FDF">
        <w:t>nacionalnovarnostni</w:t>
      </w:r>
      <w:proofErr w:type="spellEnd"/>
      <w:r w:rsidRPr="00F91FDF">
        <w:t xml:space="preserve"> sistem. Ključni strateški cilj je zagotoviti visoko raven pripravljenosti in odzivnosti na varnostne grožnje in tveganja, ki se pojavljajo v vesolju </w:t>
      </w:r>
      <w:r>
        <w:t>ali izhajajo iz</w:t>
      </w:r>
      <w:r w:rsidRPr="00F91FDF">
        <w:t xml:space="preserve"> vesolja</w:t>
      </w:r>
      <w:r>
        <w:t>,</w:t>
      </w:r>
      <w:r w:rsidRPr="00F91FDF">
        <w:t xml:space="preserve"> ter omogočiti uporabo vesoljskih zmogljivosti za podporo vsem podsistemom nacionalne varnosti. </w:t>
      </w:r>
    </w:p>
    <w:p w14:paraId="487FF33F" w14:textId="77777777" w:rsidR="002F46D8" w:rsidRPr="00F91FDF" w:rsidRDefault="002F46D8" w:rsidP="002F46D8">
      <w:r w:rsidRPr="00F91FDF">
        <w:t>RS bo za zagotovitev večje odpornosti krepila lastne vesoljske zmogljivosti z namenom zmanjšanja strateške odvisnosti in krepitve suverenosti na področju vesoljskih tehnologij. Z določitvijo prioritet in ukrepov bo krepila odpornost subjektov v sektorju kritične infrastrukture vesolje. Povečanje odpornosti z dostopom do različnih vesoljskih zmogljivosti ali izboljšanje njihove zaščite bo zagotovilo kontinuiteto in nemoteno delovanje države v kriznih situacijah</w:t>
      </w:r>
      <w:r w:rsidRPr="00846E78">
        <w:t>, s celovitim medresorskim pristopom, vključujoč vseh 13 področij nacionalne odpornosti</w:t>
      </w:r>
      <w:r w:rsidRPr="00846E78">
        <w:rPr>
          <w:rStyle w:val="Sprotnaopomba-sklic"/>
          <w:szCs w:val="20"/>
        </w:rPr>
        <w:footnoteReference w:id="9"/>
      </w:r>
      <w:r w:rsidRPr="00846E78">
        <w:t xml:space="preserve">. </w:t>
      </w:r>
    </w:p>
    <w:p w14:paraId="6FA39F83" w14:textId="77777777" w:rsidR="002F46D8" w:rsidRPr="00F91FDF" w:rsidRDefault="002F46D8" w:rsidP="002F46D8">
      <w:r w:rsidRPr="00F91FDF">
        <w:t xml:space="preserve">Z vidika obrambe, varnosti in odpornosti je bistvenega pomena razvoj vesoljskih zmogljivosti, vključno z razvojem lastnih satelitskih zmogljivosti, izboljšanje zaščite vesoljskih sistemov pred potencialnimi grožnjami, kot so kibernetski napadi ali </w:t>
      </w:r>
      <w:proofErr w:type="spellStart"/>
      <w:r w:rsidRPr="00F91FDF">
        <w:t>protisatelitske</w:t>
      </w:r>
      <w:proofErr w:type="spellEnd"/>
      <w:r w:rsidRPr="00F91FDF">
        <w:t xml:space="preserve"> dejavnosti, ter krepitev sodelovanja z mednarodnimi partnerji za boljše usklajevanje in skupno zaščito vesoljskih virov.</w:t>
      </w:r>
    </w:p>
    <w:p w14:paraId="732B4672" w14:textId="77777777" w:rsidR="002F46D8" w:rsidRPr="00846E78" w:rsidRDefault="002F46D8" w:rsidP="002F46D8">
      <w:r w:rsidRPr="00846E78">
        <w:t>V nadaljevanju so navedeni</w:t>
      </w:r>
      <w:bookmarkStart w:id="9" w:name="_Toc206368373"/>
      <w:r w:rsidRPr="00846E78">
        <w:t xml:space="preserve"> ključni cilji</w:t>
      </w:r>
      <w:bookmarkEnd w:id="9"/>
      <w:r w:rsidRPr="00846E78">
        <w:t>.</w:t>
      </w:r>
    </w:p>
    <w:p w14:paraId="5E3A65F1" w14:textId="77777777" w:rsidR="002F46D8" w:rsidRPr="00D85DEC" w:rsidRDefault="002F46D8" w:rsidP="002F46D8">
      <w:pPr>
        <w:pStyle w:val="Naslov2strategija"/>
      </w:pPr>
      <w:bookmarkStart w:id="10" w:name="_Toc206368374"/>
      <w:bookmarkStart w:id="11" w:name="_Toc209424790"/>
      <w:r w:rsidRPr="00D85DEC">
        <w:t>V sodelovanju z ministrstvom, pristojnim za vesolje, vzpostaviti učinkovit normativni in organizacijski okvir za področje vesolja</w:t>
      </w:r>
      <w:bookmarkEnd w:id="10"/>
      <w:r w:rsidRPr="00D85DEC">
        <w:t xml:space="preserve"> s sprejetjem ustreznih predpisov in izvedbenih dokumentov za ureditev pristojnosti in postopkov za učinkovito in usklajeno delovanje države na področju vesolja, vključno z ureditvijo vesolja kot samostojne operativne domene.</w:t>
      </w:r>
      <w:bookmarkEnd w:id="11"/>
    </w:p>
    <w:p w14:paraId="0165C95D" w14:textId="77777777" w:rsidR="002F46D8" w:rsidRPr="00724B28" w:rsidRDefault="002F46D8" w:rsidP="002F46D8">
      <w:pPr>
        <w:pStyle w:val="Naslov2strategija"/>
      </w:pPr>
      <w:bookmarkStart w:id="12" w:name="_Toc209424791"/>
      <w:bookmarkStart w:id="13" w:name="_Toc206368375"/>
      <w:r w:rsidRPr="00724B28">
        <w:t>Krepiti tehnološko suverenost za povečanje strateške neodvisnosti RS prek:</w:t>
      </w:r>
      <w:bookmarkEnd w:id="12"/>
      <w:r w:rsidRPr="00724B28">
        <w:t xml:space="preserve"> </w:t>
      </w:r>
    </w:p>
    <w:p w14:paraId="38EA9D19" w14:textId="77777777" w:rsidR="002F46D8" w:rsidRDefault="002F46D8" w:rsidP="002F46D8">
      <w:pPr>
        <w:pStyle w:val="Odstavekseznama"/>
        <w:numPr>
          <w:ilvl w:val="1"/>
          <w:numId w:val="1"/>
        </w:numPr>
      </w:pPr>
      <w:r w:rsidRPr="00846E78">
        <w:t xml:space="preserve">razvoja in proizvodnje lastnih vesoljskih sistemov (vesoljski del, zemeljski/uporabniški del in povezave), tudi za dvojno rabo, varovanje tajnih podatkov in </w:t>
      </w:r>
      <w:proofErr w:type="spellStart"/>
      <w:r w:rsidRPr="00846E78">
        <w:t>postkvantno</w:t>
      </w:r>
      <w:proofErr w:type="spellEnd"/>
      <w:r w:rsidRPr="00846E78">
        <w:t xml:space="preserve"> kriptografijo</w:t>
      </w:r>
      <w:r w:rsidRPr="00846E78">
        <w:rPr>
          <w:rStyle w:val="Sprotnaopomba-sklic"/>
          <w:szCs w:val="20"/>
        </w:rPr>
        <w:footnoteReference w:id="10"/>
      </w:r>
      <w:r w:rsidRPr="00846E78">
        <w:t xml:space="preserve">; </w:t>
      </w:r>
    </w:p>
    <w:p w14:paraId="1B999749" w14:textId="77777777" w:rsidR="002F46D8" w:rsidRDefault="002F46D8" w:rsidP="002F46D8">
      <w:pPr>
        <w:pStyle w:val="Odstavekseznama"/>
        <w:numPr>
          <w:ilvl w:val="1"/>
          <w:numId w:val="1"/>
        </w:numPr>
      </w:pPr>
      <w:r w:rsidRPr="00F91FDF">
        <w:t>učinkovitega povezovanja vseh slovenskih deležnikov (znanstvene, raziskovalne, gospodarske sfere ter uporabnikov);</w:t>
      </w:r>
    </w:p>
    <w:p w14:paraId="6E4D8A3B" w14:textId="77777777" w:rsidR="002F46D8" w:rsidRDefault="002F46D8" w:rsidP="002F46D8">
      <w:pPr>
        <w:pStyle w:val="Odstavekseznama"/>
        <w:numPr>
          <w:ilvl w:val="1"/>
          <w:numId w:val="1"/>
        </w:numPr>
      </w:pPr>
      <w:r w:rsidRPr="00F91FDF">
        <w:t>vključevanja v mednarodne pobude s področja vesolja, vključno z mednarodnimi sistemi dvojne rabe</w:t>
      </w:r>
      <w:bookmarkEnd w:id="13"/>
      <w:r w:rsidRPr="00F91FDF">
        <w:t>;</w:t>
      </w:r>
    </w:p>
    <w:p w14:paraId="2FBCFAE9" w14:textId="77777777" w:rsidR="002F46D8" w:rsidRDefault="002F46D8" w:rsidP="002F46D8">
      <w:pPr>
        <w:pStyle w:val="Odstavekseznama"/>
        <w:numPr>
          <w:ilvl w:val="1"/>
          <w:numId w:val="1"/>
        </w:numPr>
      </w:pPr>
      <w:r w:rsidRPr="00F91FDF">
        <w:t xml:space="preserve">zagotavljanja vzdržljivega in neomejenega dostopa do kritičnih tehnologij, pomembnih za nacionalno varnost; </w:t>
      </w:r>
    </w:p>
    <w:p w14:paraId="7FF291AF" w14:textId="77777777" w:rsidR="002F46D8" w:rsidRPr="00F91FDF" w:rsidRDefault="002F46D8" w:rsidP="002F46D8">
      <w:pPr>
        <w:pStyle w:val="Odstavekseznama"/>
        <w:numPr>
          <w:ilvl w:val="1"/>
          <w:numId w:val="1"/>
        </w:numPr>
      </w:pPr>
      <w:r w:rsidRPr="00F91FDF">
        <w:t>uporabe prebojnih tehnologij za pridobivanje strateške prednosti na obrambnem področju.</w:t>
      </w:r>
    </w:p>
    <w:p w14:paraId="17CBED00" w14:textId="7349274D" w:rsidR="002F46D8" w:rsidRPr="000F2E99" w:rsidRDefault="002F46D8" w:rsidP="002F46D8">
      <w:pPr>
        <w:pStyle w:val="Naslov2strategija"/>
      </w:pPr>
      <w:r w:rsidRPr="000F2E99">
        <w:t>Z izgradnjo nacionalnega vozlišča za dostop do vesoljskih zmogljivosti kot integrirane platforme vzpostaviti celovit nacionalni sistem za učinkovit in avtonomen dostop do vesoljskih zmogljivosti v podporo nacionalni varnosti, s poudarkom na kibernetski varnosti, podatkovni suverenosti, uporabi umetne inteligence in strateški uporabi vseh vrst vesoljskih storitev</w:t>
      </w:r>
      <w:r w:rsidR="00DF68FB">
        <w:t xml:space="preserve">, pri čemer </w:t>
      </w:r>
      <w:r w:rsidR="00B86A81">
        <w:t>bo omogočal</w:t>
      </w:r>
      <w:r w:rsidRPr="000F2E99">
        <w:t xml:space="preserve"> tudi sistemsko podporo drugim institucijam države in družbe, kjer so vesoljske zmogljivosti ključne za izvajanje njihovih nalog.</w:t>
      </w:r>
    </w:p>
    <w:p w14:paraId="054FC762" w14:textId="77777777" w:rsidR="002F46D8" w:rsidRPr="00724B28" w:rsidRDefault="002F46D8" w:rsidP="002F46D8">
      <w:pPr>
        <w:pStyle w:val="Naslov2strategija"/>
      </w:pPr>
      <w:r w:rsidRPr="00724B28">
        <w:lastRenderedPageBreak/>
        <w:t>Spodbujati razvojno-raziskovalne in inovacijske dejavnosti</w:t>
      </w:r>
      <w:bookmarkStart w:id="14" w:name="_Toc209424793"/>
      <w:r w:rsidRPr="00724B28">
        <w:t xml:space="preserve"> z vlaganji v raziskovanje in razvoj lastnih vesoljskih zmogljivosti za krepitev obrambe, varnosti in odpornosti po naslednjih razvojno-raziskovalnih sklopih:</w:t>
      </w:r>
      <w:bookmarkEnd w:id="14"/>
    </w:p>
    <w:p w14:paraId="60A0BEC9" w14:textId="77777777" w:rsidR="002F46D8" w:rsidRPr="00F91FDF" w:rsidRDefault="002F46D8" w:rsidP="002F46D8">
      <w:pPr>
        <w:pStyle w:val="Odstavekseznama"/>
        <w:numPr>
          <w:ilvl w:val="1"/>
          <w:numId w:val="1"/>
        </w:numPr>
      </w:pPr>
      <w:r w:rsidRPr="00F91FDF">
        <w:t xml:space="preserve">vesoljski del: lastna konstelacija satelitov za opazovanje Zemlje, </w:t>
      </w:r>
      <w:proofErr w:type="spellStart"/>
      <w:r w:rsidRPr="00F91FDF">
        <w:t>interoperabilna</w:t>
      </w:r>
      <w:proofErr w:type="spellEnd"/>
      <w:r w:rsidRPr="00F91FDF">
        <w:t xml:space="preserve"> za povezovanje </w:t>
      </w:r>
      <w:r>
        <w:t>s konstelacijami drugih zavezniških in partnerskih držav</w:t>
      </w:r>
      <w:r w:rsidRPr="00F91FDF">
        <w:t xml:space="preserve">; </w:t>
      </w:r>
    </w:p>
    <w:p w14:paraId="11C40A1A" w14:textId="77777777" w:rsidR="002F46D8" w:rsidRPr="00F91FDF" w:rsidRDefault="002F46D8" w:rsidP="002F46D8">
      <w:pPr>
        <w:pStyle w:val="Odstavekseznama"/>
        <w:numPr>
          <w:ilvl w:val="1"/>
          <w:numId w:val="1"/>
        </w:numPr>
      </w:pPr>
      <w:r w:rsidRPr="00F91FDF">
        <w:t>zemeljski/uporabniški del: zemeljska infrastruktura za upravljanje konstelacij</w:t>
      </w:r>
      <w:r>
        <w:t>e</w:t>
      </w:r>
      <w:r w:rsidRPr="00F91FDF">
        <w:t xml:space="preserve">, nacionalno vozlišče za dostop do vesoljskih zmogljivosti ter različne aplikativne rešitve; </w:t>
      </w:r>
    </w:p>
    <w:p w14:paraId="28C43C32" w14:textId="77777777" w:rsidR="002F46D8" w:rsidRPr="00811665" w:rsidRDefault="002F46D8" w:rsidP="002F46D8">
      <w:pPr>
        <w:pStyle w:val="Odstavekseznama"/>
        <w:numPr>
          <w:ilvl w:val="1"/>
          <w:numId w:val="1"/>
        </w:numPr>
      </w:pPr>
      <w:r w:rsidRPr="00811665">
        <w:t xml:space="preserve">povezave: komunikacijski sistemi za povezave med vesoljskim in zemeljskim delom, tudi za varovanje tajnih </w:t>
      </w:r>
      <w:r w:rsidRPr="00846E78">
        <w:t xml:space="preserve">podatkov in </w:t>
      </w:r>
      <w:proofErr w:type="spellStart"/>
      <w:r w:rsidRPr="00846E78">
        <w:t>postkvantno</w:t>
      </w:r>
      <w:proofErr w:type="spellEnd"/>
      <w:r w:rsidRPr="00846E78">
        <w:t xml:space="preserve"> kriptografijo;</w:t>
      </w:r>
    </w:p>
    <w:p w14:paraId="0B461F36" w14:textId="77777777" w:rsidR="002F46D8" w:rsidRPr="00F91FDF" w:rsidRDefault="002F46D8" w:rsidP="002F46D8">
      <w:pPr>
        <w:pStyle w:val="Odstavekseznama"/>
        <w:numPr>
          <w:ilvl w:val="1"/>
          <w:numId w:val="1"/>
        </w:numPr>
      </w:pPr>
      <w:r w:rsidRPr="00F91FDF">
        <w:t>alternativne možnosti za določanje položaja, navigacijo in merjenje časa (</w:t>
      </w:r>
      <w:r>
        <w:t xml:space="preserve">angl. </w:t>
      </w:r>
      <w:proofErr w:type="spellStart"/>
      <w:r w:rsidRPr="001B545A">
        <w:rPr>
          <w:i/>
          <w:iCs/>
        </w:rPr>
        <w:t>positioning</w:t>
      </w:r>
      <w:proofErr w:type="spellEnd"/>
      <w:r w:rsidRPr="001B545A">
        <w:rPr>
          <w:i/>
          <w:iCs/>
        </w:rPr>
        <w:t xml:space="preserve">, </w:t>
      </w:r>
      <w:proofErr w:type="spellStart"/>
      <w:r w:rsidRPr="001B545A">
        <w:rPr>
          <w:i/>
          <w:iCs/>
        </w:rPr>
        <w:t>navigation</w:t>
      </w:r>
      <w:proofErr w:type="spellEnd"/>
      <w:r w:rsidRPr="001B545A">
        <w:rPr>
          <w:i/>
          <w:iCs/>
        </w:rPr>
        <w:t xml:space="preserve"> </w:t>
      </w:r>
      <w:proofErr w:type="spellStart"/>
      <w:r w:rsidRPr="001B545A">
        <w:rPr>
          <w:i/>
          <w:iCs/>
        </w:rPr>
        <w:t>and</w:t>
      </w:r>
      <w:proofErr w:type="spellEnd"/>
      <w:r w:rsidRPr="001B545A">
        <w:rPr>
          <w:i/>
          <w:iCs/>
        </w:rPr>
        <w:t xml:space="preserve"> </w:t>
      </w:r>
      <w:proofErr w:type="spellStart"/>
      <w:r w:rsidRPr="001B545A">
        <w:rPr>
          <w:i/>
          <w:iCs/>
        </w:rPr>
        <w:t>timing</w:t>
      </w:r>
      <w:proofErr w:type="spellEnd"/>
      <w:r w:rsidRPr="001B545A">
        <w:rPr>
          <w:i/>
          <w:iCs/>
        </w:rPr>
        <w:t>, PNT</w:t>
      </w:r>
      <w:r w:rsidRPr="00F91FDF">
        <w:t>);</w:t>
      </w:r>
    </w:p>
    <w:p w14:paraId="1C281451" w14:textId="77777777" w:rsidR="002F46D8" w:rsidRPr="00F91FDF" w:rsidRDefault="002F46D8" w:rsidP="002F46D8">
      <w:pPr>
        <w:pStyle w:val="Odstavekseznama"/>
        <w:numPr>
          <w:ilvl w:val="1"/>
          <w:numId w:val="1"/>
        </w:numPr>
      </w:pPr>
      <w:r w:rsidRPr="00F91FDF">
        <w:t>raziskave nižjih stopenj tehnološke pripravljenosti (an</w:t>
      </w:r>
      <w:r>
        <w:t xml:space="preserve">gl. </w:t>
      </w:r>
      <w:proofErr w:type="spellStart"/>
      <w:r w:rsidRPr="001B545A">
        <w:rPr>
          <w:i/>
          <w:iCs/>
        </w:rPr>
        <w:t>technology</w:t>
      </w:r>
      <w:proofErr w:type="spellEnd"/>
      <w:r w:rsidRPr="001B545A">
        <w:rPr>
          <w:i/>
          <w:iCs/>
        </w:rPr>
        <w:t xml:space="preserve"> </w:t>
      </w:r>
      <w:proofErr w:type="spellStart"/>
      <w:r w:rsidRPr="001B545A">
        <w:rPr>
          <w:i/>
          <w:iCs/>
        </w:rPr>
        <w:t>readiness</w:t>
      </w:r>
      <w:proofErr w:type="spellEnd"/>
      <w:r w:rsidRPr="001B545A">
        <w:rPr>
          <w:i/>
          <w:iCs/>
        </w:rPr>
        <w:t xml:space="preserve"> </w:t>
      </w:r>
      <w:proofErr w:type="spellStart"/>
      <w:r w:rsidRPr="001B545A">
        <w:rPr>
          <w:i/>
          <w:iCs/>
        </w:rPr>
        <w:t>levels</w:t>
      </w:r>
      <w:proofErr w:type="spellEnd"/>
      <w:r w:rsidRPr="001B545A">
        <w:rPr>
          <w:i/>
          <w:iCs/>
        </w:rPr>
        <w:t>, TRL</w:t>
      </w:r>
      <w:r w:rsidRPr="00F91FDF">
        <w:t>).</w:t>
      </w:r>
    </w:p>
    <w:p w14:paraId="48A015A8" w14:textId="77777777" w:rsidR="002F46D8" w:rsidRPr="00724B28" w:rsidRDefault="002F46D8" w:rsidP="002F46D8">
      <w:pPr>
        <w:pStyle w:val="Naslov2strategija"/>
      </w:pPr>
      <w:bookmarkStart w:id="15" w:name="_Toc206368378"/>
      <w:bookmarkStart w:id="16" w:name="_Toc209424794"/>
      <w:r w:rsidRPr="00724B28">
        <w:t xml:space="preserve">Razvijati znanje o pomenu in uporabi vesoljskih zmogljivosti in tehnologij, kadrovske vire in domačo tehnološko bazo na področju vesolja ter omogočiti ohranjanje znanja in visokotehnoloških kadrov v </w:t>
      </w:r>
      <w:bookmarkEnd w:id="15"/>
      <w:r w:rsidRPr="00724B28">
        <w:t>RS prek:</w:t>
      </w:r>
      <w:bookmarkEnd w:id="16"/>
    </w:p>
    <w:p w14:paraId="406BAAA5" w14:textId="77777777" w:rsidR="002F46D8" w:rsidRDefault="002F46D8" w:rsidP="002F46D8">
      <w:pPr>
        <w:pStyle w:val="Odstavekseznama"/>
        <w:numPr>
          <w:ilvl w:val="1"/>
          <w:numId w:val="1"/>
        </w:numPr>
      </w:pPr>
      <w:r w:rsidRPr="00F91FDF">
        <w:t>razvijanja znanja in veščin;</w:t>
      </w:r>
    </w:p>
    <w:p w14:paraId="7D7E42E5" w14:textId="77777777" w:rsidR="002F46D8" w:rsidRDefault="002F46D8" w:rsidP="002F46D8">
      <w:pPr>
        <w:pStyle w:val="Odstavekseznama"/>
        <w:numPr>
          <w:ilvl w:val="1"/>
          <w:numId w:val="1"/>
        </w:numPr>
      </w:pPr>
      <w:r>
        <w:t>s</w:t>
      </w:r>
      <w:r w:rsidRPr="00F91FDF">
        <w:t>podbujanja in vključevanja slovenske znanstvene, raziskovalne in gospodarske sfere v vesoljske projekte za krepitev obrambe, varnosti in odpornosti;</w:t>
      </w:r>
    </w:p>
    <w:p w14:paraId="6FD94BEA" w14:textId="77777777" w:rsidR="002F46D8" w:rsidRPr="00F91FDF" w:rsidRDefault="002F46D8" w:rsidP="002F46D8">
      <w:pPr>
        <w:pStyle w:val="Odstavekseznama"/>
        <w:numPr>
          <w:ilvl w:val="1"/>
          <w:numId w:val="1"/>
        </w:numPr>
      </w:pPr>
      <w:r w:rsidRPr="00F91FDF">
        <w:t>načrtnega izobraževanja in usposabljanja kadra ter pridobivanje in prenos izkušenj v zavezniških in partnerskih državah ter institucijah.</w:t>
      </w:r>
    </w:p>
    <w:p w14:paraId="7E42529B" w14:textId="77777777" w:rsidR="002F46D8" w:rsidRPr="00724B28" w:rsidRDefault="002F46D8" w:rsidP="002F46D8">
      <w:pPr>
        <w:pStyle w:val="Naslov2strategija"/>
      </w:pPr>
      <w:r w:rsidRPr="00724B28">
        <w:t>Cilji na področju mednarodnega sodelovanja so:</w:t>
      </w:r>
    </w:p>
    <w:p w14:paraId="5167F53A" w14:textId="77777777" w:rsidR="002F46D8" w:rsidRPr="00F91FDF" w:rsidRDefault="002F46D8" w:rsidP="002F46D8">
      <w:pPr>
        <w:pStyle w:val="Odstavekseznama"/>
        <w:numPr>
          <w:ilvl w:val="1"/>
          <w:numId w:val="1"/>
        </w:numPr>
      </w:pPr>
      <w:bookmarkStart w:id="17" w:name="_Toc206368380"/>
      <w:r w:rsidRPr="00F91FDF">
        <w:t>krepiti sodelovanje v projektih in programih EU, povezanih z vesoljem, zlasti v okviru Evropske obrambne agencije (</w:t>
      </w:r>
      <w:proofErr w:type="spellStart"/>
      <w:r w:rsidRPr="00F91FDF">
        <w:t>European</w:t>
      </w:r>
      <w:proofErr w:type="spellEnd"/>
      <w:r w:rsidRPr="00F91FDF">
        <w:t xml:space="preserve"> Defence </w:t>
      </w:r>
      <w:proofErr w:type="spellStart"/>
      <w:r w:rsidRPr="00F91FDF">
        <w:t>Agency</w:t>
      </w:r>
      <w:proofErr w:type="spellEnd"/>
      <w:r>
        <w:t>,</w:t>
      </w:r>
      <w:r w:rsidRPr="00F91FDF">
        <w:t xml:space="preserve"> EDA), Evropskega obrambnega sklada (</w:t>
      </w:r>
      <w:proofErr w:type="spellStart"/>
      <w:r w:rsidRPr="00F91FDF">
        <w:t>European</w:t>
      </w:r>
      <w:proofErr w:type="spellEnd"/>
      <w:r w:rsidRPr="00F91FDF">
        <w:t xml:space="preserve"> Defence Fund</w:t>
      </w:r>
      <w:r>
        <w:t>,</w:t>
      </w:r>
      <w:r w:rsidRPr="00F91FDF">
        <w:t xml:space="preserve"> EDF) in Evropskega obrambnega naložbenega programa (</w:t>
      </w:r>
      <w:proofErr w:type="spellStart"/>
      <w:r w:rsidRPr="00F91FDF">
        <w:t>European</w:t>
      </w:r>
      <w:proofErr w:type="spellEnd"/>
      <w:r w:rsidRPr="00F91FDF">
        <w:t xml:space="preserve"> Defence </w:t>
      </w:r>
      <w:proofErr w:type="spellStart"/>
      <w:r w:rsidRPr="00F91FDF">
        <w:t>Investment</w:t>
      </w:r>
      <w:proofErr w:type="spellEnd"/>
      <w:r w:rsidRPr="00F91FDF">
        <w:t xml:space="preserve"> </w:t>
      </w:r>
      <w:proofErr w:type="spellStart"/>
      <w:r w:rsidRPr="00F91FDF">
        <w:t>Programme</w:t>
      </w:r>
      <w:proofErr w:type="spellEnd"/>
      <w:r>
        <w:t>,</w:t>
      </w:r>
      <w:r w:rsidRPr="00F91FDF">
        <w:t xml:space="preserve"> EDIP);</w:t>
      </w:r>
    </w:p>
    <w:p w14:paraId="1C3781B9" w14:textId="77777777" w:rsidR="002F46D8" w:rsidRDefault="002F46D8" w:rsidP="002F46D8">
      <w:pPr>
        <w:pStyle w:val="Odstavekseznama"/>
        <w:numPr>
          <w:ilvl w:val="1"/>
          <w:numId w:val="1"/>
        </w:numPr>
      </w:pPr>
      <w:r w:rsidRPr="00F91FDF">
        <w:t>zagotoviti dostop do vesoljskih sistemov in storitev EU</w:t>
      </w:r>
      <w:bookmarkEnd w:id="17"/>
      <w:r w:rsidRPr="00F91FDF">
        <w:t>, zlasti prek programov Agencije Evropske unije za vesoljski program (</w:t>
      </w:r>
      <w:proofErr w:type="spellStart"/>
      <w:r w:rsidRPr="00F91FDF">
        <w:t>European</w:t>
      </w:r>
      <w:proofErr w:type="spellEnd"/>
      <w:r w:rsidRPr="00F91FDF">
        <w:t xml:space="preserve"> Union Space </w:t>
      </w:r>
      <w:proofErr w:type="spellStart"/>
      <w:r w:rsidRPr="00F91FDF">
        <w:t>Programme</w:t>
      </w:r>
      <w:proofErr w:type="spellEnd"/>
      <w:r w:rsidRPr="00F91FDF">
        <w:t xml:space="preserve"> </w:t>
      </w:r>
      <w:proofErr w:type="spellStart"/>
      <w:r w:rsidRPr="00F91FDF">
        <w:t>Agency</w:t>
      </w:r>
      <w:proofErr w:type="spellEnd"/>
      <w:r>
        <w:t>,</w:t>
      </w:r>
      <w:r w:rsidRPr="00F91FDF">
        <w:t xml:space="preserve"> EUSPA), ki vključujejo sisteme za določanje položaja, navigacijo in merjenje časa, PNT</w:t>
      </w:r>
      <w:r>
        <w:rPr>
          <w:vertAlign w:val="superscript"/>
        </w:rPr>
        <w:footnoteReference w:id="11"/>
      </w:r>
      <w:r w:rsidRPr="00F91FDF">
        <w:t>, opazovanje Zemlje</w:t>
      </w:r>
      <w:r>
        <w:rPr>
          <w:vertAlign w:val="superscript"/>
        </w:rPr>
        <w:footnoteReference w:id="12"/>
      </w:r>
      <w:r w:rsidRPr="00F91FDF">
        <w:t xml:space="preserve"> (</w:t>
      </w:r>
      <w:r>
        <w:t xml:space="preserve">angl. </w:t>
      </w:r>
      <w:proofErr w:type="spellStart"/>
      <w:r w:rsidRPr="001B545A">
        <w:rPr>
          <w:i/>
          <w:iCs/>
        </w:rPr>
        <w:t>Earth</w:t>
      </w:r>
      <w:proofErr w:type="spellEnd"/>
      <w:r w:rsidRPr="001B545A">
        <w:rPr>
          <w:i/>
          <w:iCs/>
        </w:rPr>
        <w:t xml:space="preserve"> </w:t>
      </w:r>
      <w:proofErr w:type="spellStart"/>
      <w:r w:rsidRPr="001B545A">
        <w:rPr>
          <w:i/>
          <w:iCs/>
        </w:rPr>
        <w:t>observation</w:t>
      </w:r>
      <w:proofErr w:type="spellEnd"/>
      <w:r w:rsidRPr="001B545A">
        <w:rPr>
          <w:i/>
          <w:iCs/>
        </w:rPr>
        <w:t>, EO</w:t>
      </w:r>
      <w:r w:rsidRPr="00F91FDF">
        <w:t>), satelitske komunikacije</w:t>
      </w:r>
      <w:r>
        <w:rPr>
          <w:vertAlign w:val="superscript"/>
        </w:rPr>
        <w:footnoteReference w:id="13"/>
      </w:r>
      <w:r w:rsidRPr="001B545A">
        <w:rPr>
          <w:vertAlign w:val="superscript"/>
        </w:rPr>
        <w:t xml:space="preserve"> </w:t>
      </w:r>
      <w:r w:rsidRPr="00F91FDF">
        <w:t>(</w:t>
      </w:r>
      <w:r>
        <w:t xml:space="preserve">angl. </w:t>
      </w:r>
      <w:proofErr w:type="spellStart"/>
      <w:r w:rsidRPr="001B545A">
        <w:rPr>
          <w:i/>
          <w:iCs/>
        </w:rPr>
        <w:t>satellite</w:t>
      </w:r>
      <w:proofErr w:type="spellEnd"/>
      <w:r w:rsidRPr="001B545A">
        <w:rPr>
          <w:i/>
          <w:iCs/>
        </w:rPr>
        <w:t xml:space="preserve"> </w:t>
      </w:r>
      <w:proofErr w:type="spellStart"/>
      <w:r w:rsidRPr="001B545A">
        <w:rPr>
          <w:i/>
          <w:iCs/>
        </w:rPr>
        <w:t>communication</w:t>
      </w:r>
      <w:proofErr w:type="spellEnd"/>
      <w:r w:rsidRPr="001B545A">
        <w:rPr>
          <w:i/>
          <w:iCs/>
        </w:rPr>
        <w:t>, SATCOM</w:t>
      </w:r>
      <w:r w:rsidRPr="00F91FDF">
        <w:t>) in zaščit</w:t>
      </w:r>
      <w:r>
        <w:t>o pred vesoljskimi nevarnostmi, ter</w:t>
      </w:r>
      <w:r w:rsidRPr="00F91FDF">
        <w:t xml:space="preserve"> vključiti </w:t>
      </w:r>
      <w:r w:rsidRPr="00846E78">
        <w:t>razpoložljive podatke v lastne aplikacije;</w:t>
      </w:r>
    </w:p>
    <w:p w14:paraId="18784CE8" w14:textId="77777777" w:rsidR="002F46D8" w:rsidRDefault="002F46D8" w:rsidP="002F46D8">
      <w:pPr>
        <w:pStyle w:val="Odstavekseznama"/>
        <w:numPr>
          <w:ilvl w:val="1"/>
          <w:numId w:val="1"/>
        </w:numPr>
      </w:pPr>
      <w:r w:rsidRPr="00846E78">
        <w:t>krepiti sodelovanje v mednarodnih projektih, delovnih skupinah in programih</w:t>
      </w:r>
      <w:r>
        <w:t>,</w:t>
      </w:r>
      <w:r w:rsidRPr="00846E78">
        <w:t xml:space="preserve"> povezanih z varnostjo in vesoljem v okviru EU </w:t>
      </w:r>
      <w:proofErr w:type="spellStart"/>
      <w:r w:rsidRPr="00846E78">
        <w:t>Horizon</w:t>
      </w:r>
      <w:proofErr w:type="spellEnd"/>
      <w:r w:rsidRPr="00846E78">
        <w:t xml:space="preserve">, Europol, </w:t>
      </w:r>
      <w:proofErr w:type="spellStart"/>
      <w:r w:rsidRPr="00846E78">
        <w:t>Frontex</w:t>
      </w:r>
      <w:proofErr w:type="spellEnd"/>
      <w:r w:rsidRPr="00846E78">
        <w:t>, Interpol ipd.;</w:t>
      </w:r>
    </w:p>
    <w:p w14:paraId="5A2B2AAF" w14:textId="77777777" w:rsidR="002F46D8" w:rsidRPr="00846E78" w:rsidRDefault="002F46D8" w:rsidP="002F46D8">
      <w:pPr>
        <w:pStyle w:val="Odstavekseznama"/>
        <w:numPr>
          <w:ilvl w:val="1"/>
          <w:numId w:val="1"/>
        </w:numPr>
      </w:pPr>
      <w:r w:rsidRPr="00846E78">
        <w:t xml:space="preserve">izkoristiti možnosti v okviru polnopravnega članstva v ESA prek učinkovitega financiranja, ki omogoča izgradnjo zmogljivosti za dvojno rabo ter izkoriščanje vseh </w:t>
      </w:r>
      <w:r>
        <w:t>drugih</w:t>
      </w:r>
      <w:r w:rsidRPr="00846E78">
        <w:t xml:space="preserve"> možnosti, vključno s programom za izstrelitev (</w:t>
      </w:r>
      <w:r>
        <w:t xml:space="preserve">angl. </w:t>
      </w:r>
      <w:proofErr w:type="spellStart"/>
      <w:r w:rsidRPr="001B545A">
        <w:rPr>
          <w:i/>
          <w:iCs/>
        </w:rPr>
        <w:t>launch</w:t>
      </w:r>
      <w:proofErr w:type="spellEnd"/>
      <w:r w:rsidRPr="001B545A">
        <w:rPr>
          <w:i/>
          <w:iCs/>
        </w:rPr>
        <w:t xml:space="preserve"> </w:t>
      </w:r>
      <w:proofErr w:type="spellStart"/>
      <w:r w:rsidRPr="001B545A">
        <w:rPr>
          <w:i/>
          <w:iCs/>
        </w:rPr>
        <w:t>programme</w:t>
      </w:r>
      <w:proofErr w:type="spellEnd"/>
      <w:r w:rsidRPr="00846E78">
        <w:t>)</w:t>
      </w:r>
      <w:r w:rsidRPr="00846E78">
        <w:rPr>
          <w:rStyle w:val="Sprotnaopomba-sklic"/>
          <w:szCs w:val="20"/>
        </w:rPr>
        <w:footnoteReference w:id="14"/>
      </w:r>
      <w:r>
        <w:t>;</w:t>
      </w:r>
    </w:p>
    <w:p w14:paraId="45116393" w14:textId="77777777" w:rsidR="002F46D8" w:rsidRPr="008007A4" w:rsidRDefault="002F46D8" w:rsidP="002F46D8">
      <w:pPr>
        <w:pStyle w:val="Odstavekseznama"/>
        <w:numPr>
          <w:ilvl w:val="1"/>
          <w:numId w:val="1"/>
        </w:numPr>
      </w:pPr>
      <w:r w:rsidRPr="008007A4">
        <w:t>aktivneje sodelovati v mednarodnih forumih</w:t>
      </w:r>
      <w:r>
        <w:t>,</w:t>
      </w:r>
      <w:r w:rsidRPr="008007A4">
        <w:t xml:space="preserve"> kot sta delovna skupina za preprečevanje oboroževalne tekme v vesolju </w:t>
      </w:r>
      <w:r>
        <w:t>(</w:t>
      </w:r>
      <w:proofErr w:type="spellStart"/>
      <w:r w:rsidRPr="008007A4">
        <w:t>Prevention</w:t>
      </w:r>
      <w:proofErr w:type="spellEnd"/>
      <w:r w:rsidRPr="008007A4">
        <w:t xml:space="preserve"> </w:t>
      </w:r>
      <w:proofErr w:type="spellStart"/>
      <w:r w:rsidRPr="008007A4">
        <w:t>of</w:t>
      </w:r>
      <w:proofErr w:type="spellEnd"/>
      <w:r w:rsidRPr="008007A4">
        <w:t xml:space="preserve"> </w:t>
      </w:r>
      <w:proofErr w:type="spellStart"/>
      <w:r w:rsidRPr="008007A4">
        <w:t>Arms</w:t>
      </w:r>
      <w:proofErr w:type="spellEnd"/>
      <w:r w:rsidRPr="008007A4">
        <w:t xml:space="preserve"> Race in </w:t>
      </w:r>
      <w:proofErr w:type="spellStart"/>
      <w:r w:rsidRPr="008007A4">
        <w:t>Outer</w:t>
      </w:r>
      <w:proofErr w:type="spellEnd"/>
      <w:r w:rsidRPr="008007A4">
        <w:t xml:space="preserve"> Space</w:t>
      </w:r>
      <w:r>
        <w:t xml:space="preserve">, </w:t>
      </w:r>
      <w:r w:rsidRPr="008007A4">
        <w:t>PAROS) in odbor ZN za miroljubno uporabo vesolja (</w:t>
      </w:r>
      <w:proofErr w:type="spellStart"/>
      <w:r w:rsidRPr="008007A4">
        <w:t>Committee</w:t>
      </w:r>
      <w:proofErr w:type="spellEnd"/>
      <w:r w:rsidRPr="008007A4">
        <w:t xml:space="preserve"> on </w:t>
      </w:r>
      <w:proofErr w:type="spellStart"/>
      <w:r w:rsidRPr="008007A4">
        <w:t>the</w:t>
      </w:r>
      <w:proofErr w:type="spellEnd"/>
      <w:r w:rsidRPr="008007A4">
        <w:t xml:space="preserve"> </w:t>
      </w:r>
      <w:proofErr w:type="spellStart"/>
      <w:r w:rsidRPr="008007A4">
        <w:t>Peaceful</w:t>
      </w:r>
      <w:proofErr w:type="spellEnd"/>
      <w:r w:rsidRPr="008007A4">
        <w:t xml:space="preserve"> </w:t>
      </w:r>
      <w:proofErr w:type="spellStart"/>
      <w:r w:rsidRPr="008007A4">
        <w:t>Uses</w:t>
      </w:r>
      <w:proofErr w:type="spellEnd"/>
      <w:r w:rsidRPr="008007A4">
        <w:t xml:space="preserve"> </w:t>
      </w:r>
      <w:proofErr w:type="spellStart"/>
      <w:r w:rsidRPr="008007A4">
        <w:t>of</w:t>
      </w:r>
      <w:proofErr w:type="spellEnd"/>
      <w:r w:rsidRPr="008007A4">
        <w:t xml:space="preserve"> </w:t>
      </w:r>
      <w:proofErr w:type="spellStart"/>
      <w:r w:rsidRPr="008007A4">
        <w:t>Outer</w:t>
      </w:r>
      <w:proofErr w:type="spellEnd"/>
      <w:r w:rsidRPr="008007A4">
        <w:t xml:space="preserve"> Space</w:t>
      </w:r>
      <w:r>
        <w:t xml:space="preserve">, </w:t>
      </w:r>
      <w:r w:rsidRPr="008007A4">
        <w:t>COPUOS)</w:t>
      </w:r>
      <w:r>
        <w:t>;</w:t>
      </w:r>
    </w:p>
    <w:p w14:paraId="4725DCBD" w14:textId="77777777" w:rsidR="002F46D8" w:rsidRPr="00F91FDF" w:rsidRDefault="002F46D8" w:rsidP="002F46D8">
      <w:pPr>
        <w:pStyle w:val="Odstavekseznama"/>
        <w:numPr>
          <w:ilvl w:val="1"/>
          <w:numId w:val="1"/>
        </w:numPr>
      </w:pPr>
      <w:r w:rsidRPr="00F91FDF">
        <w:t xml:space="preserve">sodelovati in zagotoviti dostop do vesoljskih sistemov in storitev Nata, ki so za RS nujne pri odzivanju na krizne situacije, za podporo kontingentom SV v operacijah in </w:t>
      </w:r>
      <w:r>
        <w:t xml:space="preserve">na </w:t>
      </w:r>
      <w:r w:rsidRPr="00F91FDF">
        <w:t>misijah pod vodstvom Nata, za potrebe vojaških vaj in usposabljanj ter za potrebe delovanja na območju RS;</w:t>
      </w:r>
    </w:p>
    <w:p w14:paraId="12920C70" w14:textId="77777777" w:rsidR="002F46D8" w:rsidRPr="00F91FDF" w:rsidRDefault="002F46D8" w:rsidP="002F46D8">
      <w:pPr>
        <w:pStyle w:val="Odstavekseznama"/>
        <w:numPr>
          <w:ilvl w:val="1"/>
          <w:numId w:val="1"/>
        </w:numPr>
      </w:pPr>
      <w:r w:rsidRPr="00F91FDF">
        <w:lastRenderedPageBreak/>
        <w:t xml:space="preserve">krepiti sodelovanje z Natovim poveljstvom za vesolje (Nato </w:t>
      </w:r>
      <w:proofErr w:type="spellStart"/>
      <w:r w:rsidRPr="00F91FDF">
        <w:t>Combined</w:t>
      </w:r>
      <w:proofErr w:type="spellEnd"/>
      <w:r w:rsidRPr="00F91FDF">
        <w:t xml:space="preserve"> </w:t>
      </w:r>
      <w:proofErr w:type="spellStart"/>
      <w:r w:rsidRPr="00F91FDF">
        <w:t>Force</w:t>
      </w:r>
      <w:proofErr w:type="spellEnd"/>
      <w:r w:rsidRPr="00F91FDF">
        <w:t xml:space="preserve"> Space </w:t>
      </w:r>
      <w:proofErr w:type="spellStart"/>
      <w:r w:rsidRPr="00F91FDF">
        <w:t>Component</w:t>
      </w:r>
      <w:proofErr w:type="spellEnd"/>
      <w:r w:rsidRPr="00F91FDF">
        <w:t xml:space="preserve"> </w:t>
      </w:r>
      <w:proofErr w:type="spellStart"/>
      <w:r w:rsidRPr="00F91FDF">
        <w:t>Command</w:t>
      </w:r>
      <w:proofErr w:type="spellEnd"/>
      <w:r>
        <w:t>,</w:t>
      </w:r>
      <w:r w:rsidRPr="00F91FDF">
        <w:t xml:space="preserve"> </w:t>
      </w:r>
      <w:proofErr w:type="spellStart"/>
      <w:r w:rsidRPr="00F91FDF">
        <w:t>CFSpCC</w:t>
      </w:r>
      <w:proofErr w:type="spellEnd"/>
      <w:r w:rsidRPr="00F91FDF">
        <w:t>) z namenom vzpostavitve in izboljšanja koordinacije in izmenjave podatkov z operativno ravnijo SV, ki omogočajo boljše situacijsko zavedanje in operativno načrtovanje</w:t>
      </w:r>
      <w:r>
        <w:t>,</w:t>
      </w:r>
      <w:r w:rsidRPr="00F91FDF">
        <w:t xml:space="preserve"> ter sodelovanje v okviru Natovega centra odličnosti za vesolje v Toulousu</w:t>
      </w:r>
      <w:r>
        <w:t xml:space="preserve"> v</w:t>
      </w:r>
      <w:r w:rsidRPr="00F91FDF">
        <w:t xml:space="preserve"> Francij</w:t>
      </w:r>
      <w:r>
        <w:t>i</w:t>
      </w:r>
      <w:r w:rsidRPr="00F91FDF">
        <w:t xml:space="preserve"> ter drugimi iniciativami v zavezništvu;</w:t>
      </w:r>
    </w:p>
    <w:p w14:paraId="07F3ECFF" w14:textId="77777777" w:rsidR="002F46D8" w:rsidRPr="00F91FDF" w:rsidRDefault="002F46D8" w:rsidP="002F46D8">
      <w:pPr>
        <w:pStyle w:val="Odstavekseznama"/>
        <w:numPr>
          <w:ilvl w:val="1"/>
          <w:numId w:val="1"/>
        </w:numPr>
      </w:pPr>
      <w:r>
        <w:t>krepiti sodelovanje z zavezniškimi državami</w:t>
      </w:r>
      <w:r w:rsidRPr="00F91FDF">
        <w:t xml:space="preserve"> pri implementaciji Ciljev zmogljivosti Nata v domeni vesolja; </w:t>
      </w:r>
    </w:p>
    <w:p w14:paraId="33D7B0FA" w14:textId="77777777" w:rsidR="002F46D8" w:rsidRDefault="002F46D8" w:rsidP="002F46D8">
      <w:pPr>
        <w:pStyle w:val="Odstavekseznama"/>
        <w:numPr>
          <w:ilvl w:val="1"/>
          <w:numId w:val="1"/>
        </w:numPr>
      </w:pPr>
      <w:r w:rsidRPr="001728B9">
        <w:t>sodelovati z zavezniškimi in partnerskimi državami na podlagi bilateralnih in multilateralnih sporazumov ter različnih mednarodnih pobud s področja vesolja;</w:t>
      </w:r>
    </w:p>
    <w:p w14:paraId="74AD4574" w14:textId="77777777" w:rsidR="002F46D8" w:rsidRPr="008C6C4D" w:rsidRDefault="002F46D8" w:rsidP="002F46D8">
      <w:pPr>
        <w:pStyle w:val="Odstavekseznama"/>
        <w:numPr>
          <w:ilvl w:val="1"/>
          <w:numId w:val="1"/>
        </w:numPr>
      </w:pPr>
      <w:r w:rsidRPr="001728B9">
        <w:t>vzpostaviti strateška partnerstva s komercialnimi partnerji</w:t>
      </w:r>
      <w:r>
        <w:rPr>
          <w:vertAlign w:val="superscript"/>
        </w:rPr>
        <w:footnoteReference w:id="15"/>
      </w:r>
      <w:r w:rsidRPr="001728B9">
        <w:t xml:space="preserve"> s ciljem razširitve sodelovanja pri skupnih raziskovalnih in razvojnih projektih, izmenjave znanja in tehnologij ter skupne izgradnje sodobnih vesoljskih sistemov, do katerih bi imeli dostop vsi partnerji. </w:t>
      </w:r>
    </w:p>
    <w:p w14:paraId="364E5CCA" w14:textId="77777777" w:rsidR="002F46D8" w:rsidRDefault="002F46D8" w:rsidP="002F46D8">
      <w:pPr>
        <w:pStyle w:val="Naslov1strategija"/>
      </w:pPr>
      <w:bookmarkStart w:id="18" w:name="_Toc221785755"/>
      <w:r w:rsidRPr="003E69FD">
        <w:t>Izvedba</w:t>
      </w:r>
      <w:bookmarkEnd w:id="18"/>
    </w:p>
    <w:p w14:paraId="774A8FB7" w14:textId="77777777" w:rsidR="002F46D8" w:rsidRPr="00F91FDF" w:rsidRDefault="002F46D8" w:rsidP="002F46D8">
      <w:r w:rsidRPr="00F91FDF">
        <w:t xml:space="preserve">Ob hitrem razvoju in številnih prednostih vesoljskih zmogljivosti se pojavlja vedno več </w:t>
      </w:r>
      <w:r w:rsidRPr="00F91FDF">
        <w:rPr>
          <w:color w:val="000000" w:themeColor="text1"/>
        </w:rPr>
        <w:t xml:space="preserve">dejavnosti in novih tehnologij, </w:t>
      </w:r>
      <w:r w:rsidRPr="00F91FDF">
        <w:t>pri katerih so vesoljske zmogljivosti ključne za delovanje države. Hkrati te tehnologije predstavljajo nove priložnosti za razvoj znanosti in gospodarstva v RS.</w:t>
      </w:r>
    </w:p>
    <w:p w14:paraId="027853A0" w14:textId="77777777" w:rsidR="002F46D8" w:rsidRPr="00B20105" w:rsidRDefault="002F46D8" w:rsidP="002F46D8">
      <w:r w:rsidRPr="00F91FDF">
        <w:t>Ključni vesoljski sistemi, ki igrajo pomembno vlogo tako v sodobnih vojaških operacijah kot na drugih področjih zagotavljanja obrambe, varnosti in odpornosti ter delovanja države in družbe, so zlasti</w:t>
      </w:r>
      <w:r>
        <w:t>:</w:t>
      </w:r>
    </w:p>
    <w:p w14:paraId="5D2CC337" w14:textId="77777777" w:rsidR="002F46D8" w:rsidRDefault="002F46D8" w:rsidP="002F46D8">
      <w:pPr>
        <w:pStyle w:val="Odstavekseznama"/>
        <w:numPr>
          <w:ilvl w:val="1"/>
          <w:numId w:val="1"/>
        </w:numPr>
      </w:pPr>
      <w:r w:rsidRPr="008D1CEE">
        <w:t>sistemi za zagotavljanje satelitske komunikacije (SATCOM);</w:t>
      </w:r>
    </w:p>
    <w:p w14:paraId="194A07A0" w14:textId="77777777" w:rsidR="002F46D8" w:rsidRPr="008F483F" w:rsidRDefault="002F46D8" w:rsidP="002F46D8">
      <w:pPr>
        <w:pStyle w:val="Odstavekseznama"/>
        <w:numPr>
          <w:ilvl w:val="1"/>
          <w:numId w:val="1"/>
        </w:numPr>
      </w:pPr>
      <w:r w:rsidRPr="008F483F">
        <w:t>vesoljski sistemi za opazovanje Zemlje (EO);</w:t>
      </w:r>
    </w:p>
    <w:p w14:paraId="48134C28" w14:textId="77777777" w:rsidR="002F46D8" w:rsidRDefault="002F46D8" w:rsidP="002F46D8">
      <w:pPr>
        <w:pStyle w:val="Odstavekseznama"/>
        <w:numPr>
          <w:ilvl w:val="1"/>
          <w:numId w:val="1"/>
        </w:numPr>
      </w:pPr>
      <w:r w:rsidRPr="008D1CEE">
        <w:t>sistemi za določanje položaja, navigacijo in merjenje časa (PNT);</w:t>
      </w:r>
    </w:p>
    <w:p w14:paraId="275D7BDD" w14:textId="77777777" w:rsidR="002F46D8" w:rsidRDefault="002F46D8" w:rsidP="002F46D8">
      <w:pPr>
        <w:pStyle w:val="Odstavekseznama"/>
        <w:numPr>
          <w:ilvl w:val="1"/>
          <w:numId w:val="1"/>
        </w:numPr>
      </w:pPr>
      <w:r w:rsidRPr="008D1CEE">
        <w:t>sistemi za situacijsko zavedanje v vesolju (</w:t>
      </w:r>
      <w:r>
        <w:t xml:space="preserve">angl. </w:t>
      </w:r>
      <w:proofErr w:type="spellStart"/>
      <w:r w:rsidRPr="001B545A">
        <w:rPr>
          <w:i/>
          <w:iCs/>
        </w:rPr>
        <w:t>space</w:t>
      </w:r>
      <w:proofErr w:type="spellEnd"/>
      <w:r w:rsidRPr="001B545A">
        <w:rPr>
          <w:i/>
          <w:iCs/>
        </w:rPr>
        <w:t xml:space="preserve"> </w:t>
      </w:r>
      <w:proofErr w:type="spellStart"/>
      <w:r w:rsidRPr="001B545A">
        <w:rPr>
          <w:i/>
          <w:iCs/>
        </w:rPr>
        <w:t>situational</w:t>
      </w:r>
      <w:proofErr w:type="spellEnd"/>
      <w:r w:rsidRPr="001B545A">
        <w:rPr>
          <w:i/>
          <w:iCs/>
        </w:rPr>
        <w:t xml:space="preserve"> </w:t>
      </w:r>
      <w:proofErr w:type="spellStart"/>
      <w:r w:rsidRPr="001B545A">
        <w:rPr>
          <w:i/>
          <w:iCs/>
        </w:rPr>
        <w:t>awareness</w:t>
      </w:r>
      <w:proofErr w:type="spellEnd"/>
      <w:r w:rsidRPr="001B545A">
        <w:rPr>
          <w:i/>
          <w:iCs/>
        </w:rPr>
        <w:t>, SSA</w:t>
      </w:r>
      <w:r w:rsidRPr="008D1CEE">
        <w:t xml:space="preserve">). </w:t>
      </w:r>
    </w:p>
    <w:p w14:paraId="4865A540" w14:textId="77777777" w:rsidR="002F46D8" w:rsidRDefault="002F46D8" w:rsidP="002F46D8">
      <w:pPr>
        <w:rPr>
          <w:bCs/>
          <w:iCs/>
          <w:lang w:eastAsia="sl-SI"/>
        </w:rPr>
      </w:pPr>
      <w:r w:rsidRPr="00F91FDF">
        <w:t xml:space="preserve">Za pregledno, usklajeno in celovito delovanje države na področju vesolja bodo </w:t>
      </w:r>
      <w:r w:rsidRPr="00F91FDF">
        <w:rPr>
          <w:iCs/>
          <w:lang w:eastAsia="sl-SI"/>
        </w:rPr>
        <w:t>določene ključne dejavnosti na področju vesolja</w:t>
      </w:r>
      <w:r>
        <w:rPr>
          <w:iCs/>
          <w:vertAlign w:val="superscript"/>
          <w:lang w:eastAsia="sl-SI"/>
        </w:rPr>
        <w:footnoteReference w:id="16"/>
      </w:r>
      <w:r w:rsidRPr="00F91FDF">
        <w:rPr>
          <w:bCs/>
          <w:iCs/>
          <w:lang w:eastAsia="sl-SI"/>
        </w:rPr>
        <w:t>, nosilci dejavnosti in z njimi sodelujoči državni organi. Določen bo način njihovega delovanja ter vzpostavljen sistem upravljanja nacionalnih vesoljskih zmogljivosti.</w:t>
      </w:r>
    </w:p>
    <w:p w14:paraId="7E816B87" w14:textId="77777777" w:rsidR="002F46D8" w:rsidRPr="00F91FDF" w:rsidRDefault="002F46D8" w:rsidP="002F46D8">
      <w:pPr>
        <w:rPr>
          <w:lang w:eastAsia="sl-SI"/>
        </w:rPr>
      </w:pPr>
      <w:r w:rsidRPr="00F91FDF">
        <w:rPr>
          <w:lang w:eastAsia="sl-SI"/>
        </w:rPr>
        <w:t xml:space="preserve">Z vzpostavitvijo nacionalnega vozlišča za dostop do vesoljskih zmogljivosti bo omogočen </w:t>
      </w:r>
      <w:r>
        <w:rPr>
          <w:lang w:eastAsia="sl-SI"/>
        </w:rPr>
        <w:t>preprost</w:t>
      </w:r>
      <w:r w:rsidRPr="00F91FDF">
        <w:rPr>
          <w:lang w:eastAsia="sl-SI"/>
        </w:rPr>
        <w:t xml:space="preserve">, učinkovit dostop do vesoljskih podatkov, storitev in produktov, tudi najvišjih stopenj tajnosti, za nosilce </w:t>
      </w:r>
      <w:proofErr w:type="spellStart"/>
      <w:r w:rsidRPr="00F91FDF">
        <w:rPr>
          <w:lang w:eastAsia="sl-SI"/>
        </w:rPr>
        <w:t>nacionalnovarnostnega</w:t>
      </w:r>
      <w:proofErr w:type="spellEnd"/>
      <w:r w:rsidRPr="00F91FDF">
        <w:rPr>
          <w:lang w:eastAsia="sl-SI"/>
        </w:rPr>
        <w:t xml:space="preserve"> sistema in druge uporabnike v RS ter s tem združitev vseh prizadevanj na nacionalni ravni tako z organizacijskega, kadrovskega, materialnega, tehnološkega, razvojno-raziskovalnega </w:t>
      </w:r>
      <w:r>
        <w:rPr>
          <w:lang w:eastAsia="sl-SI"/>
        </w:rPr>
        <w:t>kot tudi</w:t>
      </w:r>
      <w:r w:rsidRPr="00F91FDF">
        <w:rPr>
          <w:lang w:eastAsia="sl-SI"/>
        </w:rPr>
        <w:t xml:space="preserve"> gospodarskega vidika. </w:t>
      </w:r>
    </w:p>
    <w:p w14:paraId="46070DBB" w14:textId="77777777" w:rsidR="002F46D8" w:rsidRPr="00F91FDF" w:rsidRDefault="002F46D8" w:rsidP="002F46D8">
      <w:pPr>
        <w:rPr>
          <w:lang w:eastAsia="sl-SI"/>
        </w:rPr>
      </w:pPr>
      <w:r w:rsidRPr="00F91FDF">
        <w:t>Z lastno konstelacijo satelitov za opazovanje Zemlje, z možnostjo povezave v širše sisteme</w:t>
      </w:r>
      <w:r>
        <w:t>,</w:t>
      </w:r>
      <w:r w:rsidRPr="00F91FDF">
        <w:t xml:space="preserve"> bo RS pridobila suverenost in odpornost tako na področju nacionalne varnosti kot </w:t>
      </w:r>
      <w:r>
        <w:t xml:space="preserve">tudi </w:t>
      </w:r>
      <w:r w:rsidRPr="00F91FDF">
        <w:t>drugih področjih</w:t>
      </w:r>
      <w:r>
        <w:t>,</w:t>
      </w:r>
      <w:r w:rsidRPr="00F91FDF">
        <w:t xml:space="preserve"> pomembnih za delovanje držav</w:t>
      </w:r>
      <w:r>
        <w:t>nih</w:t>
      </w:r>
      <w:r w:rsidRPr="00F91FDF">
        <w:t xml:space="preserve"> in družbe</w:t>
      </w:r>
      <w:r>
        <w:t>nih</w:t>
      </w:r>
      <w:r w:rsidRPr="003F150F">
        <w:t xml:space="preserve"> </w:t>
      </w:r>
      <w:r w:rsidRPr="00F91FDF">
        <w:t>institucij.</w:t>
      </w:r>
    </w:p>
    <w:p w14:paraId="17A6AA29" w14:textId="4F53FF12" w:rsidR="002F46D8" w:rsidRDefault="002F46D8" w:rsidP="002F46D8">
      <w:pPr>
        <w:rPr>
          <w:lang w:eastAsia="sl-SI"/>
        </w:rPr>
      </w:pPr>
      <w:r w:rsidRPr="00F91FDF">
        <w:rPr>
          <w:lang w:eastAsia="sl-SI"/>
        </w:rPr>
        <w:t>Predvsem prek polnopravnega članstva v ESA se bodo nacionalne vesoljske zmogljivosti izgrajevale smiselno in tako, da bodo namenjene dvojni rabi, obrambne vesoljske zmogljivosti pa bodo prispevale k skupni varnosti ter avtonomiji EU in trdnosti evroatlantskega zavezništva.</w:t>
      </w:r>
      <w:r>
        <w:rPr>
          <w:lang w:eastAsia="sl-SI"/>
        </w:rPr>
        <w:t xml:space="preserve"> </w:t>
      </w:r>
    </w:p>
    <w:p w14:paraId="646D37C5" w14:textId="77777777" w:rsidR="00872ED2" w:rsidRDefault="00872ED2" w:rsidP="002F46D8">
      <w:pPr>
        <w:rPr>
          <w:lang w:eastAsia="sl-SI"/>
        </w:rPr>
      </w:pPr>
    </w:p>
    <w:p w14:paraId="6FDA9798" w14:textId="77777777" w:rsidR="002F46D8" w:rsidRPr="00842F3C" w:rsidRDefault="002F46D8" w:rsidP="002F46D8">
      <w:pPr>
        <w:pStyle w:val="Naslov2strategija"/>
      </w:pPr>
      <w:bookmarkStart w:id="19" w:name="_Toc209424797"/>
      <w:bookmarkStart w:id="20" w:name="_Toc206368384"/>
      <w:r w:rsidRPr="00F91FDF">
        <w:lastRenderedPageBreak/>
        <w:t xml:space="preserve">Organiziranost </w:t>
      </w:r>
      <w:r w:rsidRPr="006E2735">
        <w:t>podsistemov</w:t>
      </w:r>
      <w:r w:rsidRPr="00F91FDF">
        <w:t xml:space="preserve"> nacionalne varnosti na področju vesolja</w:t>
      </w:r>
      <w:bookmarkEnd w:id="19"/>
      <w:r w:rsidRPr="00F91FDF">
        <w:t xml:space="preserve"> </w:t>
      </w:r>
    </w:p>
    <w:p w14:paraId="2FF6A4F8" w14:textId="77777777" w:rsidR="002F46D8" w:rsidRDefault="002F46D8" w:rsidP="002F46D8">
      <w:pPr>
        <w:rPr>
          <w:color w:val="000000" w:themeColor="text1"/>
        </w:rPr>
      </w:pPr>
      <w:r w:rsidRPr="00F91FDF">
        <w:rPr>
          <w:rFonts w:cs="Arial"/>
          <w:szCs w:val="20"/>
        </w:rPr>
        <w:t xml:space="preserve">Nosilci podsistemov sistema nacionalne varnosti (obrambni sistem, sistem </w:t>
      </w:r>
      <w:r>
        <w:rPr>
          <w:rFonts w:cs="Arial"/>
          <w:szCs w:val="20"/>
        </w:rPr>
        <w:t>notranje varnosti ter</w:t>
      </w:r>
      <w:r w:rsidRPr="00F91FDF">
        <w:rPr>
          <w:rFonts w:cs="Arial"/>
          <w:szCs w:val="20"/>
        </w:rPr>
        <w:t xml:space="preserve"> sistem varstva pred naravnimi in drugimi nesrečami) </w:t>
      </w:r>
      <w:r>
        <w:rPr>
          <w:rFonts w:cs="Arial"/>
          <w:szCs w:val="20"/>
        </w:rPr>
        <w:t>in</w:t>
      </w:r>
      <w:r w:rsidRPr="00F91FDF">
        <w:rPr>
          <w:rFonts w:cs="Arial"/>
          <w:szCs w:val="20"/>
        </w:rPr>
        <w:t xml:space="preserve"> pristojni resorji skladno z določitvijo ključnih dejavnosti, nosilcev dejavnosti in z njimi sodelujočih državnih organov na področju vesolja načrtujejo in izvajajo svoje postopke in načine delovanja, tako da bodo učinkovito opredeljevali svoje uporabniške zahteve, zagotovili učinkovito uporabo vesoljskih zmogljivosti, razvijali znanje, kadrovske vire ter prispevali k učinkoviti organiziranosti in medsebojni povezljivosti z namenom učinkovite izrabe virov.</w:t>
      </w:r>
    </w:p>
    <w:p w14:paraId="24239696" w14:textId="77777777" w:rsidR="002F46D8" w:rsidRPr="00A47956" w:rsidRDefault="002F46D8" w:rsidP="002F46D8">
      <w:pPr>
        <w:rPr>
          <w:lang w:eastAsia="sl-SI"/>
        </w:rPr>
      </w:pPr>
      <w:r>
        <w:rPr>
          <w:color w:val="000000" w:themeColor="text1"/>
        </w:rPr>
        <w:t>V vseh podsistemih nacionalne varnosti se bo n</w:t>
      </w:r>
      <w:r w:rsidRPr="0076568F">
        <w:rPr>
          <w:color w:val="000000" w:themeColor="text1"/>
        </w:rPr>
        <w:t>ačrtno izvajalo usposabljanje, izobraževanje in ozaveščanje o naši odvisnosti od podatkov, produktov in storitev, pridobljenih iz vesoljskih sistemov, ter izkoriščanja možnosti, ki jih ponuja vesolje</w:t>
      </w:r>
      <w:r>
        <w:rPr>
          <w:color w:val="000000" w:themeColor="text1"/>
        </w:rPr>
        <w:t>.</w:t>
      </w:r>
    </w:p>
    <w:p w14:paraId="0454BFD4" w14:textId="77777777" w:rsidR="002F46D8" w:rsidRPr="00F91FDF" w:rsidRDefault="002F46D8" w:rsidP="002F46D8">
      <w:pPr>
        <w:pStyle w:val="Naslov3strategija"/>
      </w:pPr>
      <w:r w:rsidRPr="00F91FDF">
        <w:t>Obrambni sistem</w:t>
      </w:r>
    </w:p>
    <w:p w14:paraId="424FD87F" w14:textId="77777777" w:rsidR="002F46D8" w:rsidRPr="00F91FDF" w:rsidRDefault="002F46D8" w:rsidP="002F46D8">
      <w:r w:rsidRPr="00F91FDF">
        <w:t>Ministrstvo</w:t>
      </w:r>
      <w:r>
        <w:t xml:space="preserve">, pristojno za </w:t>
      </w:r>
      <w:r w:rsidRPr="00F91FDF">
        <w:t>obrambo</w:t>
      </w:r>
      <w:r>
        <w:t xml:space="preserve">, </w:t>
      </w:r>
      <w:r w:rsidRPr="00F91FDF">
        <w:t xml:space="preserve">bo nosilec koordinacije področja vesolja v okviru </w:t>
      </w:r>
      <w:proofErr w:type="spellStart"/>
      <w:r w:rsidRPr="00F91FDF">
        <w:t>nacionalnovarnostnega</w:t>
      </w:r>
      <w:proofErr w:type="spellEnd"/>
      <w:r w:rsidRPr="00F91FDF">
        <w:t xml:space="preserve"> sistema. </w:t>
      </w:r>
    </w:p>
    <w:p w14:paraId="0C31479F" w14:textId="77777777" w:rsidR="002F46D8" w:rsidRPr="00F91FDF" w:rsidRDefault="002F46D8" w:rsidP="002F46D8">
      <w:pPr>
        <w:rPr>
          <w:lang w:eastAsia="sl-SI"/>
        </w:rPr>
      </w:pPr>
      <w:r w:rsidRPr="00F91FDF">
        <w:rPr>
          <w:lang w:eastAsia="sl-SI"/>
        </w:rPr>
        <w:t>Vizija r</w:t>
      </w:r>
      <w:r>
        <w:rPr>
          <w:lang w:eastAsia="sl-SI"/>
        </w:rPr>
        <w:t>azvoja operativne domene vesolje</w:t>
      </w:r>
      <w:r w:rsidRPr="00F91FDF">
        <w:rPr>
          <w:lang w:eastAsia="sl-SI"/>
        </w:rPr>
        <w:t xml:space="preserve"> na </w:t>
      </w:r>
      <w:r>
        <w:rPr>
          <w:lang w:eastAsia="sl-SI"/>
        </w:rPr>
        <w:t>ministrstvu, pristojnem za obrambo</w:t>
      </w:r>
      <w:r w:rsidRPr="00F91FDF">
        <w:rPr>
          <w:lang w:eastAsia="sl-SI"/>
        </w:rPr>
        <w:t xml:space="preserve">, ki predvideva usklajeno delovanje deležnikov v RS z </w:t>
      </w:r>
      <w:r>
        <w:rPr>
          <w:lang w:eastAsia="sl-SI"/>
        </w:rPr>
        <w:t>ministrstvom, pristojnim za obrambo</w:t>
      </w:r>
      <w:r w:rsidRPr="00F91FDF">
        <w:rPr>
          <w:lang w:eastAsia="sl-SI"/>
        </w:rPr>
        <w:t xml:space="preserve">, se osredinja na uporabo vesoljskih tehnologij za potrebe obrambe, varnosti ter varstva pred naravnimi in drugimi nesrečami. Izhodišče urejanja področja vesolja na </w:t>
      </w:r>
      <w:r>
        <w:rPr>
          <w:lang w:eastAsia="sl-SI"/>
        </w:rPr>
        <w:t>ministrstvu, pristojnem za obrambo,</w:t>
      </w:r>
      <w:r w:rsidRPr="00F91FDF">
        <w:rPr>
          <w:lang w:eastAsia="sl-SI"/>
        </w:rPr>
        <w:t xml:space="preserve"> </w:t>
      </w:r>
      <w:r>
        <w:rPr>
          <w:lang w:eastAsia="sl-SI"/>
        </w:rPr>
        <w:t>obsega</w:t>
      </w:r>
      <w:r w:rsidRPr="00F91FDF">
        <w:rPr>
          <w:lang w:eastAsia="sl-SI"/>
        </w:rPr>
        <w:t xml:space="preserve"> potrebe: </w:t>
      </w:r>
    </w:p>
    <w:p w14:paraId="59955D2D" w14:textId="77777777" w:rsidR="002F46D8" w:rsidRDefault="002F46D8" w:rsidP="002F46D8">
      <w:pPr>
        <w:pStyle w:val="Odstavekseznama"/>
        <w:numPr>
          <w:ilvl w:val="1"/>
          <w:numId w:val="1"/>
        </w:numPr>
        <w:rPr>
          <w:lang w:eastAsia="sl-SI"/>
        </w:rPr>
      </w:pPr>
      <w:r w:rsidRPr="00F91FDF">
        <w:rPr>
          <w:lang w:eastAsia="sl-SI"/>
        </w:rPr>
        <w:t xml:space="preserve">Slovenske vojske po celovitem razvoju operativne domene vesolja, </w:t>
      </w:r>
    </w:p>
    <w:p w14:paraId="52246CF3" w14:textId="77777777" w:rsidR="002F46D8" w:rsidRDefault="002F46D8" w:rsidP="002F46D8">
      <w:pPr>
        <w:pStyle w:val="Odstavekseznama"/>
        <w:numPr>
          <w:ilvl w:val="1"/>
          <w:numId w:val="1"/>
        </w:numPr>
        <w:rPr>
          <w:lang w:eastAsia="sl-SI"/>
        </w:rPr>
      </w:pPr>
      <w:r w:rsidRPr="00F91FDF">
        <w:rPr>
          <w:lang w:eastAsia="sl-SI"/>
        </w:rPr>
        <w:t>sistema varstva pred naravnimi i</w:t>
      </w:r>
      <w:r>
        <w:rPr>
          <w:lang w:eastAsia="sl-SI"/>
        </w:rPr>
        <w:t>n</w:t>
      </w:r>
      <w:r w:rsidRPr="00F91FDF">
        <w:rPr>
          <w:lang w:eastAsia="sl-SI"/>
        </w:rPr>
        <w:t xml:space="preserve"> drugimi nesrečami ter </w:t>
      </w:r>
    </w:p>
    <w:p w14:paraId="5A748BCE" w14:textId="77777777" w:rsidR="002F46D8" w:rsidRPr="00F91FDF" w:rsidRDefault="002F46D8" w:rsidP="002F46D8">
      <w:pPr>
        <w:pStyle w:val="Odstavekseznama"/>
        <w:numPr>
          <w:ilvl w:val="1"/>
          <w:numId w:val="1"/>
        </w:numPr>
        <w:rPr>
          <w:lang w:eastAsia="sl-SI"/>
        </w:rPr>
      </w:pPr>
      <w:r w:rsidRPr="00F91FDF">
        <w:rPr>
          <w:lang w:eastAsia="sl-SI"/>
        </w:rPr>
        <w:t xml:space="preserve">zagotavljanja podpore procesom obrambnega načrtovanja ter kriznega upravljanja in vodenja. </w:t>
      </w:r>
    </w:p>
    <w:p w14:paraId="44243C65" w14:textId="77777777" w:rsidR="002F46D8" w:rsidRPr="0078104A" w:rsidRDefault="002F46D8" w:rsidP="002F46D8">
      <w:r w:rsidRPr="00F91FDF">
        <w:t xml:space="preserve">Na obrambnem področju bo poudarek na razvoju vesoljskih tehnologij, ki bodo namenjene za </w:t>
      </w:r>
      <w:r w:rsidRPr="0078104A">
        <w:t xml:space="preserve">opazovanje Zemlje, tudi za potrebe </w:t>
      </w:r>
      <w:r>
        <w:t>drugih državnih</w:t>
      </w:r>
      <w:r w:rsidRPr="0078104A">
        <w:t xml:space="preserve"> institucij, ter situacijskem zavedanju v vesolju. </w:t>
      </w:r>
    </w:p>
    <w:p w14:paraId="3D2DD15F" w14:textId="77777777" w:rsidR="002F46D8" w:rsidRPr="0078104A" w:rsidRDefault="002F46D8" w:rsidP="002F46D8">
      <w:pPr>
        <w:pStyle w:val="Naslov3strategija"/>
        <w:rPr>
          <w:lang w:eastAsia="sl-SI"/>
        </w:rPr>
      </w:pPr>
      <w:r w:rsidRPr="0078104A">
        <w:rPr>
          <w:lang w:eastAsia="sl-SI"/>
        </w:rPr>
        <w:t>Sistem notranje varnosti</w:t>
      </w:r>
    </w:p>
    <w:p w14:paraId="21C60BD2" w14:textId="77777777" w:rsidR="002F46D8" w:rsidRPr="0078104A" w:rsidRDefault="002F46D8" w:rsidP="002F46D8">
      <w:r w:rsidRPr="0078104A">
        <w:t>Na varnostnem področju bo poudarek na razvoju vesoljskih tehnologij, ki bodo namenjene določanju položaja, navigaciji in merjenju časa, satelitskim komunikacijam in opazovanju Zemlje, še zlasti pri izvajanju najzahtevnejših oblik dela</w:t>
      </w:r>
      <w:r>
        <w:t xml:space="preserve"> za zagotavljanje notranje varnosti.</w:t>
      </w:r>
    </w:p>
    <w:p w14:paraId="45C036C1" w14:textId="77777777" w:rsidR="002F46D8" w:rsidRPr="0078104A" w:rsidRDefault="002F46D8" w:rsidP="002F46D8">
      <w:r w:rsidRPr="0078104A">
        <w:t>Prednostna področja so:</w:t>
      </w:r>
    </w:p>
    <w:p w14:paraId="7A015E2E" w14:textId="77777777" w:rsidR="002F46D8" w:rsidRDefault="002F46D8" w:rsidP="002F46D8">
      <w:pPr>
        <w:pStyle w:val="Odstavekseznama"/>
        <w:numPr>
          <w:ilvl w:val="1"/>
          <w:numId w:val="1"/>
        </w:numPr>
        <w:rPr>
          <w:rFonts w:eastAsia="Times New Roman" w:cs="Arial"/>
          <w:szCs w:val="20"/>
          <w:lang w:eastAsia="sl-SI"/>
        </w:rPr>
      </w:pPr>
      <w:r w:rsidRPr="001B545A">
        <w:rPr>
          <w:rFonts w:eastAsia="Times New Roman" w:cs="Arial"/>
          <w:szCs w:val="20"/>
          <w:lang w:eastAsia="sl-SI"/>
        </w:rPr>
        <w:t xml:space="preserve">Uporaba </w:t>
      </w:r>
      <w:proofErr w:type="spellStart"/>
      <w:r w:rsidRPr="001B545A">
        <w:rPr>
          <w:rFonts w:eastAsia="Times New Roman" w:cs="Arial"/>
          <w:szCs w:val="20"/>
          <w:lang w:eastAsia="sl-SI"/>
        </w:rPr>
        <w:t>visokoločljivih</w:t>
      </w:r>
      <w:proofErr w:type="spellEnd"/>
      <w:r w:rsidRPr="001B545A">
        <w:rPr>
          <w:rFonts w:eastAsia="Times New Roman" w:cs="Arial"/>
          <w:szCs w:val="20"/>
          <w:lang w:eastAsia="sl-SI"/>
        </w:rPr>
        <w:t xml:space="preserve"> satelitskih podatkov ter integracija z zemeljskimi sistemi za spremljanje stanja, zgodnje opozarjanje, napovedovanje varnostnih tveganj in podporo odločanju ter izvajanje nalog na področju notranje varnosti, zlasti javne varnosti in policije ter migracij.</w:t>
      </w:r>
    </w:p>
    <w:p w14:paraId="21870346" w14:textId="77777777" w:rsidR="002F46D8" w:rsidRDefault="002F46D8" w:rsidP="002F46D8">
      <w:pPr>
        <w:pStyle w:val="Odstavekseznama"/>
        <w:numPr>
          <w:ilvl w:val="1"/>
          <w:numId w:val="1"/>
        </w:numPr>
        <w:rPr>
          <w:rFonts w:eastAsia="Times New Roman" w:cs="Arial"/>
          <w:szCs w:val="20"/>
          <w:lang w:eastAsia="sl-SI"/>
        </w:rPr>
      </w:pPr>
      <w:r w:rsidRPr="001B545A">
        <w:rPr>
          <w:rFonts w:eastAsia="Times New Roman" w:cs="Arial"/>
          <w:szCs w:val="20"/>
          <w:lang w:eastAsia="sl-SI"/>
        </w:rPr>
        <w:t xml:space="preserve">Zagotavljanje varnih, šifriranih satelitskih komunikacij med organi sistema nacionalne varnosti. </w:t>
      </w:r>
    </w:p>
    <w:p w14:paraId="539551F2" w14:textId="77777777" w:rsidR="002F46D8" w:rsidRPr="001B545A" w:rsidRDefault="002F46D8" w:rsidP="002F46D8">
      <w:pPr>
        <w:pStyle w:val="Odstavekseznama"/>
        <w:numPr>
          <w:ilvl w:val="1"/>
          <w:numId w:val="1"/>
        </w:numPr>
        <w:rPr>
          <w:rFonts w:eastAsia="Times New Roman" w:cs="Arial"/>
          <w:szCs w:val="20"/>
          <w:lang w:eastAsia="sl-SI"/>
        </w:rPr>
      </w:pPr>
      <w:r w:rsidRPr="001B545A">
        <w:rPr>
          <w:rFonts w:eastAsia="Times New Roman" w:cs="Arial"/>
          <w:szCs w:val="20"/>
          <w:lang w:eastAsia="sl-SI"/>
        </w:rPr>
        <w:t>Povezovanje z evropskimi vesoljskimi, varnostnimi in policijskimi agencijami za izmenjavo podatkov, skupne operacije in standardizacijo postopkov.</w:t>
      </w:r>
    </w:p>
    <w:p w14:paraId="22758FA0" w14:textId="77777777" w:rsidR="002F46D8" w:rsidRPr="00F91FDF" w:rsidRDefault="002F46D8" w:rsidP="002F46D8">
      <w:pPr>
        <w:pStyle w:val="Naslov3strategija"/>
        <w:rPr>
          <w:lang w:eastAsia="sl-SI"/>
        </w:rPr>
      </w:pPr>
      <w:r w:rsidRPr="0078104A">
        <w:rPr>
          <w:lang w:eastAsia="sl-SI"/>
        </w:rPr>
        <w:t>Sistem varstva pred naravnimi in drugimi nesrečami</w:t>
      </w:r>
    </w:p>
    <w:p w14:paraId="1313B762" w14:textId="77777777" w:rsidR="002F46D8" w:rsidRDefault="002F46D8" w:rsidP="002F46D8">
      <w:pPr>
        <w:rPr>
          <w:rFonts w:eastAsia="Times New Roman" w:cs="Arial"/>
          <w:szCs w:val="20"/>
          <w:lang w:eastAsia="sl-SI"/>
        </w:rPr>
      </w:pPr>
      <w:r w:rsidRPr="00F91FDF">
        <w:rPr>
          <w:rFonts w:eastAsia="Times New Roman" w:cs="Arial"/>
          <w:szCs w:val="20"/>
          <w:lang w:eastAsia="sl-SI"/>
        </w:rPr>
        <w:t>Vesoljske zmogljivosti so postale pomemben instrument, ki lahko pripomore k učinkoviti zaščiti, reševanju in pomoči v primeru naravnih in drugih nesreč. V svetu, kjer so naravne nesreče, kot so poplave, potresi, orkani in požari, vse pogostejše in intenzivnejše, je pravočasna in natančna informacija ključnega pomena za zmanjšanje škode, ohranjanje človeških življenj in hitro obnovo prizadetih območij. Sateliti, napredne komunikacijske tehnologije ter sistemi za spremljanje in napovedovanje omogočajo izboljšano obvladovanje kriznih situacij in učinkovitejšo koordinacijo med reševalnimi službami, vladami in mednarodnimi organizacijami.</w:t>
      </w:r>
    </w:p>
    <w:p w14:paraId="766EDE4D" w14:textId="56258A8A" w:rsidR="002F46D8" w:rsidRPr="00116D78" w:rsidRDefault="002F46D8" w:rsidP="002F46D8">
      <w:pPr>
        <w:rPr>
          <w:lang w:eastAsia="sl-SI"/>
        </w:rPr>
      </w:pPr>
      <w:r w:rsidRPr="00116D78">
        <w:rPr>
          <w:lang w:eastAsia="sl-SI"/>
        </w:rPr>
        <w:lastRenderedPageBreak/>
        <w:t>Cilji na področju sistema varstva pred naravnimi in drugimi nesrečami so:</w:t>
      </w:r>
    </w:p>
    <w:p w14:paraId="1653168D" w14:textId="77777777" w:rsidR="002F46D8" w:rsidRDefault="002F46D8" w:rsidP="002F46D8">
      <w:pPr>
        <w:pStyle w:val="Odstavekseznama"/>
        <w:numPr>
          <w:ilvl w:val="1"/>
          <w:numId w:val="1"/>
        </w:numPr>
        <w:rPr>
          <w:lang w:eastAsia="sl-SI"/>
        </w:rPr>
      </w:pPr>
      <w:r w:rsidRPr="00116D78">
        <w:rPr>
          <w:lang w:eastAsia="sl-SI"/>
        </w:rPr>
        <w:t>krepitev zmogljivosti zgodnjega opozarjanja in alarmiranja z uporabo satelitskih opazovalnih sistemov za pravočasno zaznavanje nevarnosti, kot so poplave, požari, suše, plazovi, potresi in ekstremni vremenski pojavi, asteroidi ipd.;</w:t>
      </w:r>
    </w:p>
    <w:p w14:paraId="0C94EC54" w14:textId="77777777" w:rsidR="002F46D8" w:rsidRDefault="002F46D8" w:rsidP="002F46D8">
      <w:pPr>
        <w:pStyle w:val="Odstavekseznama"/>
        <w:numPr>
          <w:ilvl w:val="1"/>
          <w:numId w:val="1"/>
        </w:numPr>
        <w:rPr>
          <w:lang w:eastAsia="sl-SI"/>
        </w:rPr>
      </w:pPr>
      <w:r w:rsidRPr="00116D78">
        <w:rPr>
          <w:lang w:eastAsia="sl-SI"/>
        </w:rPr>
        <w:t>podpora odločanju in operativnemu vodenju – odzivanje na nesreče in obvladovanje nesreč;</w:t>
      </w:r>
    </w:p>
    <w:p w14:paraId="483B0278" w14:textId="77777777" w:rsidR="002F46D8" w:rsidRPr="00116D78" w:rsidRDefault="002F46D8" w:rsidP="002F46D8">
      <w:pPr>
        <w:pStyle w:val="Odstavekseznama"/>
        <w:numPr>
          <w:ilvl w:val="1"/>
          <w:numId w:val="1"/>
        </w:numPr>
        <w:rPr>
          <w:lang w:eastAsia="sl-SI"/>
        </w:rPr>
      </w:pPr>
      <w:r w:rsidRPr="00116D78">
        <w:rPr>
          <w:lang w:eastAsia="sl-SI"/>
        </w:rPr>
        <w:t>zagotavljanje komunikacijske odpornosti z uporabo satelitskih komunikacij kot alternativne komunikacije v primeru izpada zemeljskih omrežij.</w:t>
      </w:r>
    </w:p>
    <w:p w14:paraId="1ADA9907" w14:textId="77777777" w:rsidR="002F46D8" w:rsidRPr="00CB44E5" w:rsidRDefault="002F46D8" w:rsidP="002F46D8">
      <w:pPr>
        <w:pStyle w:val="Naslov2strategija"/>
      </w:pPr>
      <w:bookmarkStart w:id="21" w:name="_Toc209424798"/>
      <w:r w:rsidRPr="00F91FDF">
        <w:t xml:space="preserve">Viri za delovanje, razvoj in izvajanje </w:t>
      </w:r>
      <w:bookmarkEnd w:id="20"/>
      <w:bookmarkEnd w:id="21"/>
      <w:r>
        <w:t>vesoljskega programa</w:t>
      </w:r>
    </w:p>
    <w:p w14:paraId="4F2D5671" w14:textId="77777777" w:rsidR="002F46D8" w:rsidRPr="00F91FDF" w:rsidRDefault="002F46D8" w:rsidP="002F46D8">
      <w:pPr>
        <w:pStyle w:val="Naslov3strategija"/>
        <w:numPr>
          <w:ilvl w:val="2"/>
          <w:numId w:val="3"/>
        </w:numPr>
      </w:pPr>
      <w:r w:rsidRPr="00F91FDF">
        <w:t>Kadrovski viri</w:t>
      </w:r>
    </w:p>
    <w:p w14:paraId="195A1009" w14:textId="77777777" w:rsidR="002F46D8" w:rsidRPr="00F91FDF" w:rsidRDefault="002F46D8" w:rsidP="002F46D8">
      <w:r w:rsidRPr="00F91FDF">
        <w:t>Kompetence v domeni vesolja in vesoljskih tehnologij so nujno potrebne za obvladovanje prihodnjih izzivov in zagotavljanje varnosti in obrambe v sodobnem svetu. V tem kontekstu je potreba po dodatnem, strokovno usposobljenem kadru za področje vesolja postala pomembna za uspešno vzpostavitev, upravljanje in zaščito vesoljskih sistemov in storitev ter za razvoj novih rešitev, ki bodo podpirale nacionalne interese na področju varnosti in obrambe ter hkrati krepile razvoj na gospodarskem področju.</w:t>
      </w:r>
    </w:p>
    <w:p w14:paraId="2F25DAB9" w14:textId="77777777" w:rsidR="002F46D8" w:rsidRPr="00F91FDF" w:rsidRDefault="002F46D8" w:rsidP="002F46D8">
      <w:r w:rsidRPr="00F91FDF">
        <w:t>Za zagotovitev strokovno usposobljenega kadra je treba oblikovati celovit pristop, ki vključuje izobraževalne programe in različna usposabljanja, spodbujanje raziskovalne dejavnosti, finančne spodbude, promocijo poklicev na področju vesolja, sodelovanje z vesoljsko industrijo in njeno promocijo ter krepitev mednarodnega povezovanja.</w:t>
      </w:r>
    </w:p>
    <w:p w14:paraId="5A44C08D" w14:textId="77777777" w:rsidR="002F46D8" w:rsidRPr="00F91FDF" w:rsidRDefault="002F46D8" w:rsidP="002F46D8">
      <w:pPr>
        <w:pStyle w:val="Naslov3strategija"/>
      </w:pPr>
      <w:r w:rsidRPr="00F91FDF">
        <w:rPr>
          <w:lang w:eastAsia="sl-SI"/>
        </w:rPr>
        <w:t>Finančni viri</w:t>
      </w:r>
    </w:p>
    <w:p w14:paraId="1A9BB6CB" w14:textId="77777777" w:rsidR="002F46D8" w:rsidRPr="00F91FDF" w:rsidRDefault="002F46D8" w:rsidP="002F46D8">
      <w:r w:rsidRPr="00F91FDF">
        <w:t>Zagotovljeni bodo finančni viri za jedrne obrambne potrebe in zahteve, s poudarkom na sprejetih mednarodnih obveznostih RS, ter za razvoj, vzpostavitev in delovanje vojaških zmogljivosti SV in izgradnjo vesoljskih zmogljivosti za dvojno rabo. Načrtovalo in zagotavljalo se bo tudi finančne vire s ciljem krepitve širše nacionalne odpornosti, zagotavljanja civilne pripravljeno</w:t>
      </w:r>
      <w:r>
        <w:t>sti ter spodbujanja inovacij in</w:t>
      </w:r>
      <w:r w:rsidRPr="00F91FDF">
        <w:t xml:space="preserve"> krepitv</w:t>
      </w:r>
      <w:r>
        <w:t>e</w:t>
      </w:r>
      <w:r w:rsidRPr="00F91FDF">
        <w:t xml:space="preserve"> obrambne industrijske baze. </w:t>
      </w:r>
    </w:p>
    <w:p w14:paraId="62C04DDB" w14:textId="77777777" w:rsidR="002F46D8" w:rsidRPr="00F91FDF" w:rsidRDefault="002F46D8" w:rsidP="002F46D8">
      <w:r w:rsidRPr="00F91FDF">
        <w:t>Finančn</w:t>
      </w:r>
      <w:r>
        <w:t>e</w:t>
      </w:r>
      <w:r w:rsidRPr="00F91FDF">
        <w:t xml:space="preserve"> vir</w:t>
      </w:r>
      <w:r>
        <w:t>e</w:t>
      </w:r>
      <w:r w:rsidRPr="00F91FDF">
        <w:t xml:space="preserve"> za razvoj in vzpostavitev vesoljskih zmogljivosti bodo zagotovi</w:t>
      </w:r>
      <w:r>
        <w:t>li</w:t>
      </w:r>
      <w:r w:rsidRPr="00F91FDF">
        <w:t xml:space="preserve"> vs</w:t>
      </w:r>
      <w:r>
        <w:t>i</w:t>
      </w:r>
      <w:r w:rsidRPr="00F91FDF">
        <w:t xml:space="preserve"> nosilc</w:t>
      </w:r>
      <w:r>
        <w:t>i</w:t>
      </w:r>
      <w:r w:rsidRPr="00F91FDF">
        <w:t xml:space="preserve"> posameznega podsistema nacional</w:t>
      </w:r>
      <w:r>
        <w:t>ne varnosti ter drugih resorjev –</w:t>
      </w:r>
      <w:r w:rsidRPr="00F91FDF">
        <w:t xml:space="preserve"> za razvoj vesoljskih zmogljivosti na nacionalni ravni, ki bodo namenjene uporabnikom </w:t>
      </w:r>
      <w:r>
        <w:t>zunaj</w:t>
      </w:r>
      <w:r w:rsidRPr="00F91FDF">
        <w:t xml:space="preserve"> </w:t>
      </w:r>
      <w:proofErr w:type="spellStart"/>
      <w:r w:rsidRPr="00F91FDF">
        <w:t>nacionalnovarnostnega</w:t>
      </w:r>
      <w:proofErr w:type="spellEnd"/>
      <w:r w:rsidRPr="00F91FDF">
        <w:t xml:space="preserve"> sistema.</w:t>
      </w:r>
    </w:p>
    <w:p w14:paraId="0677A8AC" w14:textId="4410E8AD" w:rsidR="002F46D8" w:rsidRPr="00F91FDF" w:rsidRDefault="002F46D8" w:rsidP="002F46D8">
      <w:r w:rsidRPr="00F91FDF">
        <w:t>Zagotavljanje virov in način</w:t>
      </w:r>
      <w:r>
        <w:t>e</w:t>
      </w:r>
      <w:r w:rsidRPr="00F91FDF">
        <w:t xml:space="preserve"> </w:t>
      </w:r>
      <w:r>
        <w:t xml:space="preserve">za </w:t>
      </w:r>
      <w:r w:rsidRPr="00F91FDF">
        <w:t>uresničevanje ciljev se bo dosegalo tudi prek mehanizmov, ki jih določa Strategija razvoja obrambne industrije in tehnološke baze v Republiki Sloveniji (V</w:t>
      </w:r>
      <w:r w:rsidR="00784290">
        <w:t xml:space="preserve">lada </w:t>
      </w:r>
      <w:bookmarkStart w:id="22" w:name="_GoBack"/>
      <w:bookmarkEnd w:id="22"/>
      <w:r w:rsidRPr="00F91FDF">
        <w:t xml:space="preserve">RS, št. 88000-2/2025/6 z dne 23. 7. 2025). </w:t>
      </w:r>
    </w:p>
    <w:p w14:paraId="378E875B" w14:textId="77777777" w:rsidR="002F46D8" w:rsidRDefault="002F46D8" w:rsidP="002F46D8">
      <w:bookmarkStart w:id="23" w:name="_Toc206368385"/>
      <w:r w:rsidRPr="00F91FDF">
        <w:t xml:space="preserve">Polnopravno članstvo v ESA ne le povečuje možnosti RS za sodelovanje s podjetji držav članic ESA in drugih držav in odpira vrata za enakopravno sodelovanje z drugimi članicami ESA pri sprejemanju ključnih odločitev, temveč </w:t>
      </w:r>
      <w:r>
        <w:t>odpira</w:t>
      </w:r>
      <w:r w:rsidRPr="00F91FDF">
        <w:t xml:space="preserve"> številne možnosti sodelovanja v programih, v katerih slovenski vesoljski sektor do </w:t>
      </w:r>
      <w:r>
        <w:t>z</w:t>
      </w:r>
      <w:r w:rsidRPr="00F91FDF">
        <w:t xml:space="preserve">daj še ni mogel sodelovati. </w:t>
      </w:r>
      <w:r w:rsidRPr="00135A72">
        <w:t>S premišljenim financiranjem programov ESA se finančna vplačila v programe ESA v več kot 90 odstotkih povrnejo sodelujočim podjetjem in raziskovalnim institucijam v obliki projektov (koncept t. i. geografskega povračila),</w:t>
      </w:r>
      <w:r w:rsidRPr="00F91FDF">
        <w:t xml:space="preserve"> s čimer se lahko krepi slovensko gospod</w:t>
      </w:r>
      <w:bookmarkEnd w:id="23"/>
      <w:r w:rsidRPr="00F91FDF">
        <w:t>arstvo. Nacionalno vozlišče za dostop do vesoljskih zmogljivo</w:t>
      </w:r>
      <w:r>
        <w:t>sti se bo financiralo tudi prek</w:t>
      </w:r>
      <w:r w:rsidRPr="00F91FDF">
        <w:t xml:space="preserve"> programa ESA </w:t>
      </w:r>
      <w:r>
        <w:t>Civilna varnost iz vesolja (</w:t>
      </w:r>
      <w:r w:rsidRPr="00F91FDF">
        <w:t xml:space="preserve">Civil </w:t>
      </w:r>
      <w:proofErr w:type="spellStart"/>
      <w:r w:rsidRPr="00F91FDF">
        <w:t>Security</w:t>
      </w:r>
      <w:proofErr w:type="spellEnd"/>
      <w:r w:rsidRPr="00F91FDF">
        <w:t xml:space="preserve"> </w:t>
      </w:r>
      <w:proofErr w:type="spellStart"/>
      <w:r w:rsidRPr="00F91FDF">
        <w:t>from</w:t>
      </w:r>
      <w:proofErr w:type="spellEnd"/>
      <w:r w:rsidRPr="00F91FDF">
        <w:t xml:space="preserve"> Space</w:t>
      </w:r>
      <w:r>
        <w:t>, CSS) oziroma prek</w:t>
      </w:r>
      <w:r w:rsidRPr="00F91FDF">
        <w:t xml:space="preserve"> Elementa 2 novega programa ESA </w:t>
      </w:r>
      <w:r>
        <w:t>Evropska odpornost iz vesolja (</w:t>
      </w:r>
      <w:proofErr w:type="spellStart"/>
      <w:r w:rsidRPr="00F91FDF">
        <w:t>European</w:t>
      </w:r>
      <w:proofErr w:type="spellEnd"/>
      <w:r w:rsidRPr="00F91FDF">
        <w:t xml:space="preserve"> </w:t>
      </w:r>
      <w:proofErr w:type="spellStart"/>
      <w:r w:rsidRPr="00F91FDF">
        <w:t>Resilience</w:t>
      </w:r>
      <w:proofErr w:type="spellEnd"/>
      <w:r w:rsidRPr="00F91FDF">
        <w:t xml:space="preserve"> </w:t>
      </w:r>
      <w:proofErr w:type="spellStart"/>
      <w:r w:rsidRPr="00F91FDF">
        <w:t>from</w:t>
      </w:r>
      <w:proofErr w:type="spellEnd"/>
      <w:r w:rsidRPr="00F91FDF">
        <w:t xml:space="preserve"> Space</w:t>
      </w:r>
      <w:r>
        <w:t>, ERS)</w:t>
      </w:r>
      <w:r w:rsidRPr="00F91FDF">
        <w:t>.</w:t>
      </w:r>
    </w:p>
    <w:p w14:paraId="71EB82BA" w14:textId="77777777" w:rsidR="002F46D8" w:rsidRPr="00CB44E5" w:rsidRDefault="002F46D8" w:rsidP="002F46D8">
      <w:pPr>
        <w:pStyle w:val="Naslov2strategija"/>
      </w:pPr>
      <w:bookmarkStart w:id="24" w:name="_Toc209424799"/>
      <w:r w:rsidRPr="00F91FDF">
        <w:t>Akcijski načrt za izvajanje</w:t>
      </w:r>
      <w:r>
        <w:t xml:space="preserve"> vesoljskega</w:t>
      </w:r>
      <w:r w:rsidRPr="00F91FDF">
        <w:t xml:space="preserve"> </w:t>
      </w:r>
      <w:bookmarkEnd w:id="24"/>
      <w:r>
        <w:t>programa</w:t>
      </w:r>
    </w:p>
    <w:p w14:paraId="7302FD26" w14:textId="77777777" w:rsidR="002F46D8" w:rsidRPr="00F91FDF" w:rsidRDefault="002F46D8" w:rsidP="002F46D8">
      <w:r>
        <w:t>Vesoljski program</w:t>
      </w:r>
      <w:r w:rsidRPr="00F91FDF">
        <w:t xml:space="preserve"> se bo uresničeval dolgoročno, skladno s finančnimi, materialnimi in kadrovskimi viri ter ustreznim normativnim okvirjem.</w:t>
      </w:r>
    </w:p>
    <w:p w14:paraId="54B68414" w14:textId="77777777" w:rsidR="002F46D8" w:rsidRPr="00F91FDF" w:rsidRDefault="002F46D8" w:rsidP="002F46D8">
      <w:r w:rsidRPr="00F91FDF">
        <w:lastRenderedPageBreak/>
        <w:t xml:space="preserve">Za izvajanje in spremljanje doseganja ciljev </w:t>
      </w:r>
      <w:r>
        <w:t>vesoljskega programa</w:t>
      </w:r>
      <w:r w:rsidRPr="00F91FDF">
        <w:t xml:space="preserve"> bo </w:t>
      </w:r>
      <w:r>
        <w:t>ministrstvo, pristojno za obrambo,</w:t>
      </w:r>
      <w:r w:rsidRPr="00F91FDF">
        <w:t xml:space="preserve"> v sodelovanju z </w:t>
      </w:r>
      <w:r>
        <w:t>m</w:t>
      </w:r>
      <w:r w:rsidRPr="00F91FDF">
        <w:t>inistrstvom</w:t>
      </w:r>
      <w:r>
        <w:t>, pristojnim za vesolje</w:t>
      </w:r>
      <w:r w:rsidRPr="00F91FDF">
        <w:t xml:space="preserve">, deležniki v </w:t>
      </w:r>
      <w:proofErr w:type="spellStart"/>
      <w:r w:rsidRPr="00F91FDF">
        <w:t>nacionalnovarnostnem</w:t>
      </w:r>
      <w:proofErr w:type="spellEnd"/>
      <w:r w:rsidRPr="00F91FDF">
        <w:t xml:space="preserve"> sistemu ter drugimi pristojnimi organi pripravilo akcijski načrt, ki bo orodje za zagotovitev usklajenega sodelovanj</w:t>
      </w:r>
      <w:r>
        <w:t>a</w:t>
      </w:r>
      <w:r w:rsidRPr="00F91FDF">
        <w:t xml:space="preserve"> med vsemi deležniki – ministrstvi, vladnimi službami in drugimi pristojnimi organi, industrijo, akademskimi institucijami in raziskovalnimi centri. Načrt bo opredelil način za doseganje v </w:t>
      </w:r>
      <w:r>
        <w:t>vesoljskem programu</w:t>
      </w:r>
      <w:r w:rsidRPr="00F91FDF">
        <w:t xml:space="preserve"> zastavljenih ciljev, posamezne ukrepe in kazalnike za spremljanje njihovega pričakovanega učinka, potrebne kadrovske, finančne in materialne vire ter časovnico za doseganje ciljev</w:t>
      </w:r>
      <w:r>
        <w:t xml:space="preserve"> kot tudi način upravljanja in upravljavsko strukturo nacionalnega vozlišča in drugih vesoljskih zmogljivosti.</w:t>
      </w:r>
    </w:p>
    <w:p w14:paraId="78F5D50B" w14:textId="77777777" w:rsidR="002F46D8" w:rsidRPr="00F91FDF" w:rsidRDefault="002F46D8" w:rsidP="002F46D8">
      <w:r w:rsidRPr="00F91FDF">
        <w:t xml:space="preserve">RS bo dosegla cilje, ki jih je dolgoročno začrtal </w:t>
      </w:r>
      <w:r>
        <w:t>vesoljski program</w:t>
      </w:r>
      <w:r w:rsidRPr="00F91FDF">
        <w:t>, s pomočjo uspešno razvite slovenske vesoljske industrije in raziskovalnih ustanov, ki delujejo v različnih delih vesoljske vrednostne verige, od proizvodnje visokotehnoloških komponent, izkoriščanja vesoljskih podatkov z različnimi programskimi rešitvami, tako za vesoljski, zemeljski kot uporabniški del, do kompleksnih satelitskih sistemov.</w:t>
      </w:r>
    </w:p>
    <w:p w14:paraId="09FB08C7" w14:textId="77777777" w:rsidR="002F46D8" w:rsidRDefault="002F46D8" w:rsidP="002F46D8">
      <w:r w:rsidRPr="00F91FDF">
        <w:t xml:space="preserve">Implementacija zahteva tudi krepitev mednarodnega sodelovanja tako na področju poglobljenih bilateralnih in multilateralnih sporazumov ter mednarodnih pobud na področju vesolja kot </w:t>
      </w:r>
      <w:r>
        <w:t xml:space="preserve">tudi </w:t>
      </w:r>
      <w:r w:rsidRPr="00F91FDF">
        <w:t>s pospešenim izkoriščanjem že obstoječih mehanizmov EU in Nata.</w:t>
      </w:r>
    </w:p>
    <w:p w14:paraId="7E8C5E7B" w14:textId="77777777" w:rsidR="002F46D8" w:rsidRDefault="002F46D8" w:rsidP="002F46D8">
      <w:pPr>
        <w:pStyle w:val="Naslov1strategija"/>
      </w:pPr>
      <w:bookmarkStart w:id="25" w:name="_Toc221785756"/>
      <w:r>
        <w:t>Zaključek</w:t>
      </w:r>
      <w:bookmarkEnd w:id="25"/>
    </w:p>
    <w:p w14:paraId="6A118A9E" w14:textId="77777777" w:rsidR="002F46D8" w:rsidRPr="00F91FDF" w:rsidRDefault="002F46D8" w:rsidP="002F46D8">
      <w:pPr>
        <w:rPr>
          <w:rFonts w:eastAsia="Times New Roman"/>
          <w:color w:val="000000" w:themeColor="text1"/>
          <w:lang w:eastAsia="sl-SI"/>
        </w:rPr>
      </w:pPr>
      <w:r w:rsidRPr="00F91FDF">
        <w:rPr>
          <w:rFonts w:eastAsia="Times New Roman"/>
          <w:color w:val="000000" w:themeColor="text1"/>
          <w:lang w:eastAsia="sl-SI"/>
        </w:rPr>
        <w:t>Vesolje postaja vse pomembnejša domena za globalno varnost, gospodarsko rast in tehnološki napredek. Z naraščajočo odvisnostjo od vesoljskih sistemov v vsakdanjem življenju, kot so komunikacije, navigacija in opazovanje Zemlje, postaja zagotavljanje zaščite</w:t>
      </w:r>
      <w:r>
        <w:rPr>
          <w:rFonts w:eastAsia="Times New Roman"/>
          <w:color w:val="000000" w:themeColor="text1"/>
          <w:lang w:eastAsia="sl-SI"/>
        </w:rPr>
        <w:t xml:space="preserve"> teh sistemov</w:t>
      </w:r>
      <w:r w:rsidRPr="00F91FDF">
        <w:rPr>
          <w:rFonts w:eastAsia="Times New Roman"/>
          <w:color w:val="000000" w:themeColor="text1"/>
          <w:lang w:eastAsia="sl-SI"/>
        </w:rPr>
        <w:t xml:space="preserve"> ključno za nacionalno in mednarodno varnost. </w:t>
      </w:r>
    </w:p>
    <w:p w14:paraId="3DFFCC01" w14:textId="77777777" w:rsidR="002F46D8" w:rsidRPr="00F91FDF" w:rsidRDefault="002F46D8" w:rsidP="002F46D8">
      <w:pPr>
        <w:rPr>
          <w:rFonts w:eastAsiaTheme="minorHAnsi"/>
        </w:rPr>
      </w:pPr>
      <w:r>
        <w:rPr>
          <w:rFonts w:eastAsiaTheme="minorHAnsi"/>
        </w:rPr>
        <w:t>Vesoljski program</w:t>
      </w:r>
      <w:r w:rsidRPr="00F91FDF">
        <w:rPr>
          <w:rFonts w:eastAsiaTheme="minorHAnsi"/>
        </w:rPr>
        <w:t xml:space="preserve"> opredeljuje </w:t>
      </w:r>
      <w:r w:rsidRPr="00F91FDF">
        <w:rPr>
          <w:rFonts w:eastAsiaTheme="minorHAnsi"/>
          <w:color w:val="000000"/>
        </w:rPr>
        <w:t xml:space="preserve">strateške cilje za razvoj in uporabo vesoljskih zmogljivosti RS </w:t>
      </w:r>
      <w:r w:rsidRPr="00F91FDF">
        <w:rPr>
          <w:rFonts w:eastAsiaTheme="minorHAnsi"/>
        </w:rPr>
        <w:t xml:space="preserve">na področju nacionalne varnosti ter predvideva ukrepe za njihovo uresničevanje v okviru akcijskega načrta in skladno s strateškimi usmeritvami in odločitvami Nata in EU ter usmerja k izboljšani </w:t>
      </w:r>
      <w:proofErr w:type="spellStart"/>
      <w:r w:rsidRPr="00F91FDF">
        <w:rPr>
          <w:rFonts w:eastAsiaTheme="minorHAnsi"/>
        </w:rPr>
        <w:t>interoperabilnosti</w:t>
      </w:r>
      <w:proofErr w:type="spellEnd"/>
      <w:r w:rsidRPr="00F91FDF">
        <w:rPr>
          <w:rFonts w:eastAsiaTheme="minorHAnsi"/>
        </w:rPr>
        <w:t xml:space="preserve"> in krepitvi odpornosti države. </w:t>
      </w:r>
    </w:p>
    <w:p w14:paraId="19421ED4" w14:textId="77777777" w:rsidR="002F46D8" w:rsidRPr="00F91FDF" w:rsidRDefault="002F46D8" w:rsidP="002F46D8">
      <w:pPr>
        <w:rPr>
          <w:rFonts w:eastAsiaTheme="minorHAnsi"/>
        </w:rPr>
      </w:pPr>
      <w:r w:rsidRPr="00F91FDF">
        <w:rPr>
          <w:rFonts w:eastAsiaTheme="minorHAnsi"/>
        </w:rPr>
        <w:t xml:space="preserve">Prepoznava </w:t>
      </w:r>
      <w:r w:rsidRPr="00F91FDF">
        <w:rPr>
          <w:rFonts w:eastAsiaTheme="minorHAnsi"/>
          <w:color w:val="000000"/>
        </w:rPr>
        <w:t>ključno vlogo vesolja pri zagotavljanju zmogljivosti, ki omogočajo pravočasno zaznavanje groženj, koordinacijo zavezniških sil ter vzdrževanje strateške prednosti ter so temelj za odvračanje in obrambo v miru, krizi in konfliktu oziroma temelj obrambe, varnosti in odpornosti.</w:t>
      </w:r>
    </w:p>
    <w:p w14:paraId="18A5640A" w14:textId="77777777" w:rsidR="002F46D8" w:rsidRPr="00F91FDF" w:rsidRDefault="002F46D8" w:rsidP="002F46D8">
      <w:pPr>
        <w:rPr>
          <w:rFonts w:eastAsiaTheme="minorHAnsi"/>
        </w:rPr>
      </w:pPr>
      <w:r w:rsidRPr="00F91FDF">
        <w:rPr>
          <w:rFonts w:eastAsiaTheme="minorHAnsi"/>
        </w:rPr>
        <w:t>Spodbuja raziskave in inovacije na področju vesoljskih tehnologij, razvoj lastnih vesoljskih zmogljivosti, vključno z razvojem lastnih satelitov</w:t>
      </w:r>
      <w:r w:rsidRPr="00F91FDF">
        <w:rPr>
          <w:rFonts w:eastAsiaTheme="minorHAnsi"/>
          <w:color w:val="000000"/>
        </w:rPr>
        <w:t>, in razvoj komercialnih sistemov za dvojno rabo, pri čemer so v ospredju interesi nacionalne varnosti</w:t>
      </w:r>
      <w:r w:rsidRPr="00F91FDF">
        <w:rPr>
          <w:rFonts w:eastAsiaTheme="minorHAnsi"/>
        </w:rPr>
        <w:t>, ter spodbuja izobraževanje in usposabljanje kadrov za delo na področju vesolja.</w:t>
      </w:r>
    </w:p>
    <w:p w14:paraId="1BFB8FE1" w14:textId="77777777" w:rsidR="002F46D8" w:rsidRPr="00F91FDF" w:rsidRDefault="002F46D8" w:rsidP="002F46D8">
      <w:pPr>
        <w:rPr>
          <w:rFonts w:eastAsia="Times New Roman"/>
          <w:lang w:eastAsia="sl-SI"/>
        </w:rPr>
      </w:pPr>
      <w:r w:rsidRPr="00F91FDF">
        <w:rPr>
          <w:rFonts w:eastAsia="Times New Roman"/>
          <w:lang w:eastAsia="sl-SI"/>
        </w:rPr>
        <w:t>RS bo sodelovala v različnih mednarodnih pobudah za varnost in zaščito vesoljskih virov, vključno z obvladovanjem vesoljskih odpadkov ter spoštovanjem mednarodnih pravnih okvirjev.</w:t>
      </w:r>
    </w:p>
    <w:p w14:paraId="1CCB5FB7" w14:textId="77777777" w:rsidR="002F46D8" w:rsidRPr="00CB44E5" w:rsidRDefault="002F46D8" w:rsidP="002F46D8">
      <w:pPr>
        <w:rPr>
          <w:rFonts w:eastAsia="Times New Roman"/>
          <w:lang w:eastAsia="sl-SI"/>
        </w:rPr>
      </w:pPr>
      <w:r w:rsidRPr="00F91FDF">
        <w:rPr>
          <w:rFonts w:eastAsia="Times New Roman"/>
          <w:lang w:eastAsia="sl-SI"/>
        </w:rPr>
        <w:t xml:space="preserve">Zanos slovenskega pionirja </w:t>
      </w:r>
      <w:proofErr w:type="spellStart"/>
      <w:r w:rsidRPr="00F91FDF">
        <w:rPr>
          <w:rFonts w:eastAsia="Times New Roman"/>
          <w:lang w:eastAsia="sl-SI"/>
        </w:rPr>
        <w:t>kozmonavtike</w:t>
      </w:r>
      <w:proofErr w:type="spellEnd"/>
      <w:r w:rsidRPr="00F91FDF">
        <w:rPr>
          <w:rFonts w:eastAsia="Times New Roman"/>
          <w:lang w:eastAsia="sl-SI"/>
        </w:rPr>
        <w:t xml:space="preserve"> Hermana Potočnika in neverjeten tehnološki napredek na področju vesoljskih tehnologij spodbujata, da tudi v RS področje vesolja operacionaliziramo tudi z vidika obrambe, varnosti in odpornosti, njegove komponente in razdrobljenost po posameznih segmentih pa s krovnim strateškim dokumentom združimo pod okrilje domene, ki jo vesolje v obrambnem smislu predstavlja</w:t>
      </w:r>
      <w:r>
        <w:rPr>
          <w:rFonts w:eastAsia="Times New Roman"/>
          <w:lang w:eastAsia="sl-SI"/>
        </w:rPr>
        <w:t>.</w:t>
      </w:r>
    </w:p>
    <w:p w14:paraId="1145C424" w14:textId="3E45305B" w:rsidR="00A45126" w:rsidRPr="002F46D8" w:rsidRDefault="00A45126" w:rsidP="002F46D8">
      <w:pPr>
        <w:spacing w:after="0" w:line="240" w:lineRule="auto"/>
        <w:jc w:val="left"/>
        <w:rPr>
          <w:rFonts w:cs="Arial"/>
          <w:b/>
          <w:bCs/>
          <w:szCs w:val="20"/>
        </w:rPr>
      </w:pPr>
    </w:p>
    <w:sectPr w:rsidR="00A45126" w:rsidRPr="002F46D8" w:rsidSect="00DA2609">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FA9A6" w14:textId="77777777" w:rsidR="00DD17F9" w:rsidRDefault="00DD17F9" w:rsidP="002F46D8">
      <w:pPr>
        <w:spacing w:after="0" w:line="240" w:lineRule="auto"/>
      </w:pPr>
      <w:r>
        <w:separator/>
      </w:r>
    </w:p>
  </w:endnote>
  <w:endnote w:type="continuationSeparator" w:id="0">
    <w:p w14:paraId="3D1597C8" w14:textId="77777777" w:rsidR="00DD17F9" w:rsidRDefault="00DD17F9" w:rsidP="002F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41C1A" w14:textId="623CECF3" w:rsidR="00DA2609" w:rsidRDefault="00DA260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284837"/>
      <w:docPartObj>
        <w:docPartGallery w:val="Page Numbers (Bottom of Page)"/>
        <w:docPartUnique/>
      </w:docPartObj>
    </w:sdtPr>
    <w:sdtEndPr/>
    <w:sdtContent>
      <w:p w14:paraId="22AE6007" w14:textId="70196DC0" w:rsidR="00DA2609" w:rsidRDefault="00DA2609">
        <w:pPr>
          <w:pStyle w:val="Noga"/>
          <w:jc w:val="center"/>
        </w:pPr>
        <w:r>
          <w:fldChar w:fldCharType="begin"/>
        </w:r>
        <w:r>
          <w:instrText>PAGE   \* MERGEFORMAT</w:instrText>
        </w:r>
        <w:r>
          <w:fldChar w:fldCharType="separate"/>
        </w:r>
        <w:r w:rsidR="00784290">
          <w:rPr>
            <w:noProof/>
          </w:rPr>
          <w:t>9</w:t>
        </w:r>
        <w:r>
          <w:fldChar w:fldCharType="end"/>
        </w:r>
      </w:p>
    </w:sdtContent>
  </w:sdt>
  <w:p w14:paraId="01089174" w14:textId="77777777" w:rsidR="00DA2609" w:rsidRDefault="00DA260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D4ED4" w14:textId="77777777" w:rsidR="00DD17F9" w:rsidRDefault="00DD17F9" w:rsidP="002F46D8">
      <w:pPr>
        <w:spacing w:after="0" w:line="240" w:lineRule="auto"/>
      </w:pPr>
      <w:r>
        <w:separator/>
      </w:r>
    </w:p>
  </w:footnote>
  <w:footnote w:type="continuationSeparator" w:id="0">
    <w:p w14:paraId="4B5FA8A7" w14:textId="77777777" w:rsidR="00DD17F9" w:rsidRDefault="00DD17F9" w:rsidP="002F46D8">
      <w:pPr>
        <w:spacing w:after="0" w:line="240" w:lineRule="auto"/>
      </w:pPr>
      <w:r>
        <w:continuationSeparator/>
      </w:r>
    </w:p>
  </w:footnote>
  <w:footnote w:id="1">
    <w:p w14:paraId="119966E0" w14:textId="77777777" w:rsidR="002F46D8" w:rsidRPr="00FA7155" w:rsidRDefault="002F46D8" w:rsidP="002F46D8">
      <w:pPr>
        <w:pStyle w:val="Sprotnaopomba-besedilo"/>
        <w:rPr>
          <w:rFonts w:ascii="Arial" w:hAnsi="Arial" w:cs="Arial"/>
          <w:sz w:val="18"/>
          <w:szCs w:val="18"/>
        </w:rPr>
      </w:pPr>
      <w:r w:rsidRPr="00FA7155">
        <w:rPr>
          <w:rStyle w:val="Sprotnaopomba-sklic"/>
          <w:rFonts w:ascii="Arial" w:eastAsia="Calibri" w:hAnsi="Arial" w:cs="Arial"/>
          <w:sz w:val="18"/>
          <w:szCs w:val="18"/>
        </w:rPr>
        <w:footnoteRef/>
      </w:r>
      <w:r w:rsidRPr="00FA7155">
        <w:rPr>
          <w:rFonts w:ascii="Arial" w:hAnsi="Arial" w:cs="Arial"/>
          <w:sz w:val="18"/>
          <w:szCs w:val="18"/>
        </w:rPr>
        <w:t xml:space="preserve"> Resolucija o strategiji nacionalne varnosti Republike Slovenije (Uradni list RS, št. 59/19).</w:t>
      </w:r>
    </w:p>
  </w:footnote>
  <w:footnote w:id="2">
    <w:p w14:paraId="450C4EBB" w14:textId="77777777" w:rsidR="002F46D8" w:rsidRPr="001D5FA5" w:rsidRDefault="002F46D8" w:rsidP="002F46D8">
      <w:pPr>
        <w:pStyle w:val="Sprotnaopomba-besedilo"/>
        <w:spacing w:line="260" w:lineRule="exact"/>
        <w:rPr>
          <w:rFonts w:ascii="Arial" w:hAnsi="Arial" w:cs="Arial"/>
          <w:sz w:val="18"/>
          <w:szCs w:val="18"/>
        </w:rPr>
      </w:pPr>
      <w:r w:rsidRPr="00A36ED3">
        <w:rPr>
          <w:rStyle w:val="Sprotnaopomba-sklic"/>
          <w:rFonts w:ascii="Arial" w:eastAsia="Calibri" w:hAnsi="Arial" w:cs="Arial"/>
          <w:sz w:val="18"/>
          <w:szCs w:val="18"/>
        </w:rPr>
        <w:footnoteRef/>
      </w:r>
      <w:r w:rsidRPr="00D80935">
        <w:rPr>
          <w:rFonts w:ascii="Arial" w:hAnsi="Arial" w:cs="Arial"/>
          <w:sz w:val="18"/>
          <w:szCs w:val="18"/>
        </w:rPr>
        <w:t xml:space="preserve"> Resolucija o strategiji nacionalne varnosti Republike Slovenije (Uradni list RS, št. 59/19), Obrambna strategija Republike Slovenije (VRS, št. 80100-1/2024/7 z dne 24. 4. 2024), Vojaška strategija Republike Slovenije (VRS, št. 800000-2/2024/4 z dne 24. 4. 2024), Strategija civilne obrambe Republike Slovenije (VRS, št. 80100-1/2024/7 z dne 24. 4. 2024) ter Resolucija o splošnem dolgoročnem programu razvoja in opremljanja Slovenske vojske do leta 2040 (Uradni list RS, št. 43/25).</w:t>
      </w:r>
    </w:p>
  </w:footnote>
  <w:footnote w:id="3">
    <w:p w14:paraId="04352DFC" w14:textId="77777777" w:rsidR="002F46D8" w:rsidRPr="001D5FA5" w:rsidRDefault="002F46D8" w:rsidP="002F46D8">
      <w:pPr>
        <w:spacing w:after="0" w:line="240" w:lineRule="auto"/>
        <w:rPr>
          <w:rFonts w:cs="Arial"/>
          <w:sz w:val="18"/>
          <w:szCs w:val="18"/>
        </w:rPr>
      </w:pPr>
      <w:r w:rsidRPr="001D5FA5">
        <w:rPr>
          <w:rStyle w:val="Sprotnaopomba-sklic"/>
          <w:rFonts w:cs="Arial"/>
          <w:sz w:val="18"/>
          <w:szCs w:val="18"/>
        </w:rPr>
        <w:footnoteRef/>
      </w:r>
      <w:r w:rsidRPr="001D5FA5">
        <w:rPr>
          <w:rFonts w:cs="Arial"/>
          <w:sz w:val="18"/>
          <w:szCs w:val="18"/>
        </w:rPr>
        <w:t xml:space="preserve"> Vsa aktivna vesoljska sredstva, ki so nameščena v orbiti okoli Zemlje ali drugih nebesnih teles.</w:t>
      </w:r>
    </w:p>
  </w:footnote>
  <w:footnote w:id="4">
    <w:p w14:paraId="0731CC0E" w14:textId="77777777" w:rsidR="002F46D8" w:rsidRPr="001D5FA5" w:rsidRDefault="002F46D8" w:rsidP="002F46D8">
      <w:pPr>
        <w:pStyle w:val="Sprotnaopomba-besedilo"/>
        <w:rPr>
          <w:rFonts w:ascii="Arial" w:hAnsi="Arial" w:cs="Arial"/>
          <w:sz w:val="18"/>
          <w:szCs w:val="18"/>
        </w:rPr>
      </w:pPr>
      <w:r w:rsidRPr="001D5FA5">
        <w:rPr>
          <w:rStyle w:val="Sprotnaopomba-sklic"/>
          <w:rFonts w:ascii="Arial" w:eastAsia="Calibri" w:hAnsi="Arial" w:cs="Arial"/>
          <w:sz w:val="18"/>
          <w:szCs w:val="18"/>
        </w:rPr>
        <w:footnoteRef/>
      </w:r>
      <w:r w:rsidRPr="001D5FA5">
        <w:rPr>
          <w:rFonts w:ascii="Arial" w:hAnsi="Arial" w:cs="Arial"/>
          <w:sz w:val="18"/>
          <w:szCs w:val="18"/>
        </w:rPr>
        <w:t xml:space="preserve"> Sestavljen je iz zemeljske (talne) infrastrukture, ki omogoča nadzor in upravljanje vesoljskih sredstev (npr. kontrolni centri, antene), ter uporabniških terminalov, ki sprejemajo in obdelujejo podatke, pridobljene s satelitskimi senzorji.</w:t>
      </w:r>
      <w:r>
        <w:rPr>
          <w:rFonts w:ascii="Arial" w:hAnsi="Arial" w:cs="Arial"/>
          <w:sz w:val="18"/>
          <w:szCs w:val="18"/>
        </w:rPr>
        <w:t xml:space="preserve"> </w:t>
      </w:r>
      <w:r w:rsidRPr="008766E9">
        <w:rPr>
          <w:rFonts w:ascii="Arial" w:hAnsi="Arial" w:cs="Arial"/>
          <w:sz w:val="18"/>
          <w:szCs w:val="18"/>
        </w:rPr>
        <w:t>V zadnjem času se v slovenskem besedišču uporablja termin vesoljska infrastruktura na površju ali na tleh.</w:t>
      </w:r>
    </w:p>
  </w:footnote>
  <w:footnote w:id="5">
    <w:p w14:paraId="1C6DEEB5" w14:textId="77777777" w:rsidR="002F46D8" w:rsidRPr="00EE3086" w:rsidRDefault="002F46D8" w:rsidP="002F46D8">
      <w:pPr>
        <w:pStyle w:val="Sprotnaopomba-besedilo"/>
        <w:rPr>
          <w:rFonts w:ascii="Arial" w:hAnsi="Arial" w:cs="Arial"/>
        </w:rPr>
      </w:pPr>
      <w:r w:rsidRPr="001D5FA5">
        <w:rPr>
          <w:rStyle w:val="Sprotnaopomba-sklic"/>
          <w:rFonts w:ascii="Arial" w:eastAsia="Calibri" w:hAnsi="Arial" w:cs="Arial"/>
          <w:sz w:val="18"/>
          <w:szCs w:val="18"/>
        </w:rPr>
        <w:footnoteRef/>
      </w:r>
      <w:r w:rsidRPr="001D5FA5">
        <w:rPr>
          <w:rFonts w:ascii="Arial" w:hAnsi="Arial" w:cs="Arial"/>
          <w:sz w:val="18"/>
          <w:szCs w:val="18"/>
        </w:rPr>
        <w:t xml:space="preserve"> Sestavljajo jih komunikacijski kanali, ki omogočajo prenos podatkov in ukazov med vesoljskim in zemeljskim </w:t>
      </w:r>
      <w:r w:rsidRPr="008766E9">
        <w:rPr>
          <w:rFonts w:ascii="Arial" w:hAnsi="Arial" w:cs="Arial"/>
          <w:sz w:val="18"/>
          <w:szCs w:val="18"/>
        </w:rPr>
        <w:t xml:space="preserve">delom. To vključuje oddajne (angl. </w:t>
      </w:r>
      <w:proofErr w:type="spellStart"/>
      <w:r w:rsidRPr="008766E9">
        <w:rPr>
          <w:rFonts w:ascii="Arial" w:hAnsi="Arial" w:cs="Arial"/>
          <w:i/>
          <w:iCs/>
          <w:sz w:val="18"/>
          <w:szCs w:val="18"/>
        </w:rPr>
        <w:t>uplink</w:t>
      </w:r>
      <w:proofErr w:type="spellEnd"/>
      <w:r w:rsidRPr="008766E9">
        <w:rPr>
          <w:rFonts w:ascii="Arial" w:hAnsi="Arial" w:cs="Arial"/>
          <w:sz w:val="18"/>
          <w:szCs w:val="18"/>
        </w:rPr>
        <w:t xml:space="preserve">) in sprejemne (angl. </w:t>
      </w:r>
      <w:proofErr w:type="spellStart"/>
      <w:r w:rsidRPr="008766E9">
        <w:rPr>
          <w:rFonts w:ascii="Arial" w:hAnsi="Arial" w:cs="Arial"/>
          <w:i/>
          <w:iCs/>
          <w:sz w:val="18"/>
          <w:szCs w:val="18"/>
        </w:rPr>
        <w:t>downlink</w:t>
      </w:r>
      <w:proofErr w:type="spellEnd"/>
      <w:r w:rsidRPr="008766E9">
        <w:rPr>
          <w:rFonts w:ascii="Arial" w:hAnsi="Arial" w:cs="Arial"/>
          <w:sz w:val="18"/>
          <w:szCs w:val="18"/>
        </w:rPr>
        <w:t xml:space="preserve">) povezave med zemeljskimi postajami in sateliti ter navzkrižne povezave (angl. </w:t>
      </w:r>
      <w:proofErr w:type="spellStart"/>
      <w:r w:rsidRPr="008766E9">
        <w:rPr>
          <w:rFonts w:ascii="Arial" w:hAnsi="Arial" w:cs="Arial"/>
          <w:i/>
          <w:iCs/>
          <w:sz w:val="18"/>
          <w:szCs w:val="18"/>
        </w:rPr>
        <w:t>crosslink</w:t>
      </w:r>
      <w:proofErr w:type="spellEnd"/>
      <w:r w:rsidRPr="008766E9">
        <w:rPr>
          <w:rFonts w:ascii="Arial" w:hAnsi="Arial" w:cs="Arial"/>
          <w:sz w:val="18"/>
          <w:szCs w:val="18"/>
        </w:rPr>
        <w:t>) med sateliti.</w:t>
      </w:r>
    </w:p>
  </w:footnote>
  <w:footnote w:id="6">
    <w:p w14:paraId="406B6361" w14:textId="77777777" w:rsidR="002F46D8" w:rsidRPr="001D5FA5" w:rsidRDefault="002F46D8" w:rsidP="002F46D8">
      <w:pPr>
        <w:pStyle w:val="Sprotnaopomba-besedilo"/>
        <w:rPr>
          <w:rFonts w:ascii="Arial" w:hAnsi="Arial" w:cs="Arial"/>
          <w:sz w:val="18"/>
          <w:szCs w:val="18"/>
        </w:rPr>
      </w:pPr>
      <w:r w:rsidRPr="001D5FA5">
        <w:rPr>
          <w:rStyle w:val="Sprotnaopomba-sklic"/>
          <w:rFonts w:ascii="Arial" w:eastAsia="Calibri" w:hAnsi="Arial" w:cs="Arial"/>
          <w:sz w:val="18"/>
          <w:szCs w:val="18"/>
        </w:rPr>
        <w:footnoteRef/>
      </w:r>
      <w:r w:rsidRPr="001D5FA5">
        <w:rPr>
          <w:rFonts w:ascii="Arial" w:hAnsi="Arial" w:cs="Arial"/>
          <w:sz w:val="18"/>
          <w:szCs w:val="18"/>
        </w:rPr>
        <w:t xml:space="preserve"> Zakon o kritični infrastrukturi (Uradni list RS, št. 102/24).</w:t>
      </w:r>
    </w:p>
  </w:footnote>
  <w:footnote w:id="7">
    <w:p w14:paraId="72D060F8" w14:textId="77777777" w:rsidR="002F46D8" w:rsidRPr="001D5FA5" w:rsidRDefault="002F46D8" w:rsidP="002F46D8">
      <w:pPr>
        <w:pStyle w:val="Sprotnaopomba-besedilo"/>
        <w:rPr>
          <w:rFonts w:ascii="Arial" w:hAnsi="Arial" w:cs="Arial"/>
          <w:sz w:val="18"/>
          <w:szCs w:val="18"/>
        </w:rPr>
      </w:pPr>
      <w:r w:rsidRPr="008766E9">
        <w:rPr>
          <w:rStyle w:val="Sprotnaopomba-sklic"/>
          <w:rFonts w:ascii="Arial" w:eastAsia="Calibri" w:hAnsi="Arial" w:cs="Arial"/>
          <w:sz w:val="18"/>
          <w:szCs w:val="18"/>
        </w:rPr>
        <w:footnoteRef/>
      </w:r>
      <w:r w:rsidRPr="008766E9">
        <w:rPr>
          <w:rFonts w:ascii="Arial" w:hAnsi="Arial" w:cs="Arial"/>
          <w:sz w:val="18"/>
          <w:szCs w:val="18"/>
        </w:rPr>
        <w:t xml:space="preserve"> V Zakonu o kritični infrastrukturi: talna infrastruktura (angl. </w:t>
      </w:r>
      <w:proofErr w:type="spellStart"/>
      <w:r w:rsidRPr="008766E9">
        <w:rPr>
          <w:rFonts w:ascii="Arial" w:hAnsi="Arial" w:cs="Arial"/>
          <w:i/>
          <w:iCs/>
          <w:sz w:val="18"/>
          <w:szCs w:val="18"/>
        </w:rPr>
        <w:t>ground</w:t>
      </w:r>
      <w:proofErr w:type="spellEnd"/>
      <w:r w:rsidRPr="008766E9">
        <w:rPr>
          <w:rFonts w:ascii="Arial" w:hAnsi="Arial" w:cs="Arial"/>
          <w:i/>
          <w:iCs/>
          <w:sz w:val="18"/>
          <w:szCs w:val="18"/>
        </w:rPr>
        <w:t xml:space="preserve"> </w:t>
      </w:r>
      <w:proofErr w:type="spellStart"/>
      <w:r w:rsidRPr="008766E9">
        <w:rPr>
          <w:rFonts w:ascii="Arial" w:hAnsi="Arial" w:cs="Arial"/>
          <w:i/>
          <w:iCs/>
          <w:sz w:val="18"/>
          <w:szCs w:val="18"/>
        </w:rPr>
        <w:t>based</w:t>
      </w:r>
      <w:proofErr w:type="spellEnd"/>
      <w:r w:rsidRPr="008766E9">
        <w:rPr>
          <w:rFonts w:ascii="Arial" w:hAnsi="Arial" w:cs="Arial"/>
          <w:i/>
          <w:iCs/>
          <w:sz w:val="18"/>
          <w:szCs w:val="18"/>
        </w:rPr>
        <w:t xml:space="preserve"> </w:t>
      </w:r>
      <w:proofErr w:type="spellStart"/>
      <w:r w:rsidRPr="008766E9">
        <w:rPr>
          <w:rFonts w:ascii="Arial" w:hAnsi="Arial" w:cs="Arial"/>
          <w:i/>
          <w:iCs/>
          <w:sz w:val="18"/>
          <w:szCs w:val="18"/>
        </w:rPr>
        <w:t>space</w:t>
      </w:r>
      <w:proofErr w:type="spellEnd"/>
      <w:r w:rsidRPr="008766E9">
        <w:rPr>
          <w:rFonts w:ascii="Arial" w:hAnsi="Arial" w:cs="Arial"/>
          <w:i/>
          <w:iCs/>
          <w:sz w:val="18"/>
          <w:szCs w:val="18"/>
        </w:rPr>
        <w:t xml:space="preserve"> </w:t>
      </w:r>
      <w:proofErr w:type="spellStart"/>
      <w:r w:rsidRPr="008766E9">
        <w:rPr>
          <w:rFonts w:ascii="Arial" w:hAnsi="Arial" w:cs="Arial"/>
          <w:i/>
          <w:iCs/>
          <w:sz w:val="18"/>
          <w:szCs w:val="18"/>
        </w:rPr>
        <w:t>infrastructure</w:t>
      </w:r>
      <w:proofErr w:type="spellEnd"/>
      <w:r w:rsidRPr="008766E9">
        <w:rPr>
          <w:rFonts w:ascii="Arial" w:hAnsi="Arial" w:cs="Arial"/>
          <w:sz w:val="18"/>
          <w:szCs w:val="18"/>
        </w:rPr>
        <w:t>).</w:t>
      </w:r>
      <w:r w:rsidRPr="008766E9">
        <w:t xml:space="preserve"> </w:t>
      </w:r>
      <w:r w:rsidRPr="008766E9">
        <w:rPr>
          <w:rFonts w:ascii="Arial" w:hAnsi="Arial" w:cs="Arial"/>
          <w:sz w:val="18"/>
          <w:szCs w:val="18"/>
        </w:rPr>
        <w:t>V zadnjem času se v slovenskem besedišču uporablja termin vesoljska infrastruktura na površju ali na tleh.</w:t>
      </w:r>
    </w:p>
  </w:footnote>
  <w:footnote w:id="8">
    <w:p w14:paraId="3F24F70A" w14:textId="77777777" w:rsidR="002F46D8" w:rsidRPr="00EE3086" w:rsidRDefault="002F46D8" w:rsidP="002F46D8">
      <w:pPr>
        <w:pStyle w:val="Sprotnaopomba-besedilo"/>
        <w:rPr>
          <w:rFonts w:ascii="Arial" w:hAnsi="Arial" w:cs="Arial"/>
        </w:rPr>
      </w:pPr>
      <w:r w:rsidRPr="001D5FA5">
        <w:rPr>
          <w:rStyle w:val="Sprotnaopomba-sklic"/>
          <w:rFonts w:ascii="Arial" w:eastAsia="Calibri" w:hAnsi="Arial" w:cs="Arial"/>
          <w:sz w:val="18"/>
          <w:szCs w:val="18"/>
        </w:rPr>
        <w:footnoteRef/>
      </w:r>
      <w:r w:rsidRPr="001D5FA5">
        <w:rPr>
          <w:rFonts w:ascii="Arial" w:hAnsi="Arial" w:cs="Arial"/>
          <w:sz w:val="18"/>
          <w:szCs w:val="18"/>
        </w:rPr>
        <w:t xml:space="preserve"> Pogodba o načelih, ki urejajo dejavnosti držav pri raziskovanju in uporabi vesolja, vključno z Luno in drugimi nebesnimi telesi (Uradni list RS – Mednarodne pogodbe, št. 1/19).</w:t>
      </w:r>
    </w:p>
  </w:footnote>
  <w:footnote w:id="9">
    <w:p w14:paraId="082618AC" w14:textId="77777777" w:rsidR="002F46D8" w:rsidRPr="00846E78" w:rsidRDefault="002F46D8" w:rsidP="002F46D8">
      <w:pPr>
        <w:pStyle w:val="Sprotnaopomba-besedilo"/>
        <w:rPr>
          <w:rFonts w:ascii="Arial" w:hAnsi="Arial" w:cs="Arial"/>
          <w:sz w:val="18"/>
          <w:szCs w:val="18"/>
        </w:rPr>
      </w:pPr>
      <w:r w:rsidRPr="00846E78">
        <w:rPr>
          <w:rStyle w:val="Sprotnaopomba-sklic"/>
          <w:rFonts w:ascii="Arial" w:eastAsia="Calibri" w:hAnsi="Arial" w:cs="Arial"/>
          <w:sz w:val="18"/>
          <w:szCs w:val="18"/>
        </w:rPr>
        <w:footnoteRef/>
      </w:r>
      <w:r w:rsidRPr="00846E78">
        <w:rPr>
          <w:rFonts w:ascii="Arial" w:hAnsi="Arial" w:cs="Arial"/>
          <w:sz w:val="18"/>
          <w:szCs w:val="18"/>
        </w:rPr>
        <w:t xml:space="preserve"> Vlada Republike Slovenije je s sklepom št. 80100-2/2025/2 z dne 13. 3. 2025 določila 13 področij nacionalne odpornosti ter nosilce področij in z njimi sodelujoče državne organe. Ta so: 1. </w:t>
      </w:r>
      <w:proofErr w:type="spellStart"/>
      <w:r w:rsidRPr="00846E78">
        <w:rPr>
          <w:rFonts w:ascii="Arial" w:hAnsi="Arial" w:cs="Arial"/>
          <w:sz w:val="18"/>
          <w:szCs w:val="18"/>
        </w:rPr>
        <w:t>nacionalnovarnostni</w:t>
      </w:r>
      <w:proofErr w:type="spellEnd"/>
      <w:r w:rsidRPr="00846E78">
        <w:rPr>
          <w:rFonts w:ascii="Arial" w:hAnsi="Arial" w:cs="Arial"/>
          <w:sz w:val="18"/>
          <w:szCs w:val="18"/>
        </w:rPr>
        <w:t xml:space="preserve"> sistem in neprekinjeno delovanje države, 2. energetika, 3. pitna voda, 4. preskrba s hrano, 5. finančni sistem in bančništvo,</w:t>
      </w:r>
    </w:p>
    <w:p w14:paraId="388D3063" w14:textId="77777777" w:rsidR="002F46D8" w:rsidRPr="00846E78" w:rsidRDefault="002F46D8" w:rsidP="002F46D8">
      <w:pPr>
        <w:pStyle w:val="Sprotnaopomba-besedilo"/>
        <w:rPr>
          <w:rFonts w:ascii="Arial" w:hAnsi="Arial" w:cs="Arial"/>
          <w:sz w:val="18"/>
          <w:szCs w:val="18"/>
        </w:rPr>
      </w:pPr>
      <w:r w:rsidRPr="00846E78">
        <w:rPr>
          <w:rFonts w:ascii="Arial" w:hAnsi="Arial" w:cs="Arial"/>
          <w:sz w:val="18"/>
          <w:szCs w:val="18"/>
        </w:rPr>
        <w:t>6. gospodarstvo,</w:t>
      </w:r>
      <w:r>
        <w:rPr>
          <w:rFonts w:ascii="Arial" w:hAnsi="Arial" w:cs="Arial"/>
          <w:sz w:val="18"/>
          <w:szCs w:val="18"/>
        </w:rPr>
        <w:t xml:space="preserve"> </w:t>
      </w:r>
      <w:r w:rsidRPr="00846E78">
        <w:rPr>
          <w:rFonts w:ascii="Arial" w:hAnsi="Arial" w:cs="Arial"/>
          <w:sz w:val="18"/>
          <w:szCs w:val="18"/>
        </w:rPr>
        <w:t>7. zdravje,</w:t>
      </w:r>
      <w:r>
        <w:rPr>
          <w:rFonts w:ascii="Arial" w:hAnsi="Arial" w:cs="Arial"/>
          <w:sz w:val="18"/>
          <w:szCs w:val="18"/>
        </w:rPr>
        <w:t xml:space="preserve"> </w:t>
      </w:r>
      <w:r w:rsidRPr="00846E78">
        <w:rPr>
          <w:rFonts w:ascii="Arial" w:hAnsi="Arial" w:cs="Arial"/>
          <w:sz w:val="18"/>
          <w:szCs w:val="18"/>
        </w:rPr>
        <w:t>8. informacijsko-komunikacijski sistemi in omrežja, 9. promet, 10. družbena odpornost,</w:t>
      </w:r>
    </w:p>
    <w:p w14:paraId="1B861EC2" w14:textId="77777777" w:rsidR="002F46D8" w:rsidRPr="00846E78" w:rsidRDefault="002F46D8" w:rsidP="002F46D8">
      <w:pPr>
        <w:pStyle w:val="Sprotnaopomba-besedilo"/>
        <w:rPr>
          <w:rFonts w:ascii="Arial" w:hAnsi="Arial" w:cs="Arial"/>
          <w:sz w:val="18"/>
          <w:szCs w:val="18"/>
        </w:rPr>
      </w:pPr>
      <w:r w:rsidRPr="00846E78">
        <w:rPr>
          <w:rFonts w:ascii="Arial" w:hAnsi="Arial" w:cs="Arial"/>
          <w:sz w:val="18"/>
          <w:szCs w:val="18"/>
        </w:rPr>
        <w:t>11. okolje, prostor in naravni viri, 12. strateško komuniciranje, 13. vesolje in nove tehnologije.</w:t>
      </w:r>
    </w:p>
  </w:footnote>
  <w:footnote w:id="10">
    <w:p w14:paraId="0356B553" w14:textId="77777777" w:rsidR="002F46D8" w:rsidRPr="0013350D" w:rsidRDefault="002F46D8" w:rsidP="002F46D8">
      <w:pPr>
        <w:pStyle w:val="Sprotnaopomba-besedilo"/>
        <w:rPr>
          <w:rFonts w:ascii="Arial" w:hAnsi="Arial" w:cs="Arial"/>
          <w:sz w:val="18"/>
          <w:szCs w:val="18"/>
        </w:rPr>
      </w:pPr>
      <w:r w:rsidRPr="00846E78">
        <w:rPr>
          <w:rStyle w:val="Sprotnaopomba-sklic"/>
          <w:rFonts w:ascii="Arial" w:eastAsia="Calibri" w:hAnsi="Arial" w:cs="Arial"/>
          <w:sz w:val="18"/>
          <w:szCs w:val="18"/>
        </w:rPr>
        <w:footnoteRef/>
      </w:r>
      <w:r w:rsidRPr="00846E78">
        <w:rPr>
          <w:rFonts w:ascii="Arial" w:hAnsi="Arial" w:cs="Arial"/>
          <w:sz w:val="18"/>
          <w:szCs w:val="18"/>
        </w:rPr>
        <w:t xml:space="preserve"> </w:t>
      </w:r>
      <w:proofErr w:type="spellStart"/>
      <w:r w:rsidRPr="00846E78">
        <w:rPr>
          <w:rFonts w:ascii="Arial" w:hAnsi="Arial" w:cs="Arial"/>
          <w:sz w:val="18"/>
          <w:szCs w:val="18"/>
        </w:rPr>
        <w:t>Postkvantna</w:t>
      </w:r>
      <w:proofErr w:type="spellEnd"/>
      <w:r w:rsidRPr="00846E78">
        <w:rPr>
          <w:rFonts w:ascii="Arial" w:hAnsi="Arial" w:cs="Arial"/>
          <w:sz w:val="18"/>
          <w:szCs w:val="18"/>
        </w:rPr>
        <w:t xml:space="preserve"> kriptografija (angl. </w:t>
      </w:r>
      <w:r w:rsidRPr="000028F2">
        <w:rPr>
          <w:rFonts w:ascii="Arial" w:hAnsi="Arial" w:cs="Arial"/>
          <w:i/>
          <w:iCs/>
          <w:sz w:val="18"/>
          <w:szCs w:val="18"/>
        </w:rPr>
        <w:t>post-</w:t>
      </w:r>
      <w:proofErr w:type="spellStart"/>
      <w:r w:rsidRPr="000028F2">
        <w:rPr>
          <w:rFonts w:ascii="Arial" w:hAnsi="Arial" w:cs="Arial"/>
          <w:i/>
          <w:iCs/>
          <w:sz w:val="18"/>
          <w:szCs w:val="18"/>
        </w:rPr>
        <w:t>quantum</w:t>
      </w:r>
      <w:proofErr w:type="spellEnd"/>
      <w:r w:rsidRPr="000028F2">
        <w:rPr>
          <w:rFonts w:ascii="Arial" w:hAnsi="Arial" w:cs="Arial"/>
          <w:i/>
          <w:iCs/>
          <w:sz w:val="18"/>
          <w:szCs w:val="18"/>
        </w:rPr>
        <w:t xml:space="preserve"> </w:t>
      </w:r>
      <w:proofErr w:type="spellStart"/>
      <w:r w:rsidRPr="000028F2">
        <w:rPr>
          <w:rFonts w:ascii="Arial" w:hAnsi="Arial" w:cs="Arial"/>
          <w:i/>
          <w:iCs/>
          <w:sz w:val="18"/>
          <w:szCs w:val="18"/>
        </w:rPr>
        <w:t>cryptography</w:t>
      </w:r>
      <w:proofErr w:type="spellEnd"/>
      <w:r w:rsidRPr="000028F2">
        <w:rPr>
          <w:rFonts w:ascii="Arial" w:hAnsi="Arial" w:cs="Arial"/>
          <w:i/>
          <w:iCs/>
          <w:sz w:val="18"/>
          <w:szCs w:val="18"/>
        </w:rPr>
        <w:t>, PQC</w:t>
      </w:r>
      <w:r w:rsidRPr="00846E78">
        <w:rPr>
          <w:rFonts w:ascii="Arial" w:hAnsi="Arial" w:cs="Arial"/>
          <w:sz w:val="18"/>
          <w:szCs w:val="18"/>
        </w:rPr>
        <w:t xml:space="preserve">) je veja kriptografije, ki razvija šifrirne algoritme, odporne </w:t>
      </w:r>
      <w:r>
        <w:rPr>
          <w:rFonts w:ascii="Arial" w:hAnsi="Arial" w:cs="Arial"/>
          <w:sz w:val="18"/>
          <w:szCs w:val="18"/>
        </w:rPr>
        <w:t>proti</w:t>
      </w:r>
      <w:r w:rsidRPr="00846E78">
        <w:rPr>
          <w:rFonts w:ascii="Arial" w:hAnsi="Arial" w:cs="Arial"/>
          <w:sz w:val="18"/>
          <w:szCs w:val="18"/>
        </w:rPr>
        <w:t xml:space="preserve"> kvantn</w:t>
      </w:r>
      <w:r>
        <w:rPr>
          <w:rFonts w:ascii="Arial" w:hAnsi="Arial" w:cs="Arial"/>
          <w:sz w:val="18"/>
          <w:szCs w:val="18"/>
        </w:rPr>
        <w:t>im</w:t>
      </w:r>
      <w:r w:rsidRPr="00846E78">
        <w:rPr>
          <w:rFonts w:ascii="Arial" w:hAnsi="Arial" w:cs="Arial"/>
          <w:sz w:val="18"/>
          <w:szCs w:val="18"/>
        </w:rPr>
        <w:t xml:space="preserve"> računalnik</w:t>
      </w:r>
      <w:r>
        <w:rPr>
          <w:rFonts w:ascii="Arial" w:hAnsi="Arial" w:cs="Arial"/>
          <w:sz w:val="18"/>
          <w:szCs w:val="18"/>
        </w:rPr>
        <w:t>om</w:t>
      </w:r>
      <w:r w:rsidRPr="00846E78">
        <w:rPr>
          <w:rFonts w:ascii="Arial" w:hAnsi="Arial" w:cs="Arial"/>
          <w:sz w:val="18"/>
          <w:szCs w:val="18"/>
        </w:rPr>
        <w:t>.</w:t>
      </w:r>
    </w:p>
  </w:footnote>
  <w:footnote w:id="11">
    <w:p w14:paraId="3076D126" w14:textId="77777777" w:rsidR="002F46D8" w:rsidRPr="003A14E8" w:rsidRDefault="002F46D8" w:rsidP="002F46D8">
      <w:pPr>
        <w:pStyle w:val="Sprotnaopomba-besedilo"/>
        <w:rPr>
          <w:rFonts w:ascii="Arial" w:hAnsi="Arial" w:cs="Arial"/>
          <w:sz w:val="18"/>
          <w:szCs w:val="18"/>
        </w:rPr>
      </w:pPr>
      <w:r w:rsidRPr="003A14E8">
        <w:rPr>
          <w:rStyle w:val="Sprotnaopomba-sklic"/>
          <w:rFonts w:ascii="Arial" w:eastAsia="Calibri" w:hAnsi="Arial" w:cs="Arial"/>
          <w:sz w:val="18"/>
          <w:szCs w:val="18"/>
        </w:rPr>
        <w:footnoteRef/>
      </w:r>
      <w:r w:rsidRPr="003A14E8">
        <w:rPr>
          <w:rFonts w:ascii="Arial" w:hAnsi="Arial" w:cs="Arial"/>
          <w:sz w:val="18"/>
          <w:szCs w:val="18"/>
        </w:rPr>
        <w:t xml:space="preserve"> PRS GALILEO – javno regulirana storitev EU za določanje položaja, navigacijo in merjenje časa.</w:t>
      </w:r>
    </w:p>
  </w:footnote>
  <w:footnote w:id="12">
    <w:p w14:paraId="594267C9" w14:textId="77777777" w:rsidR="002F46D8" w:rsidRPr="003A14E8" w:rsidRDefault="002F46D8" w:rsidP="002F46D8">
      <w:pPr>
        <w:pStyle w:val="Sprotnaopomba-besedilo"/>
        <w:rPr>
          <w:rFonts w:ascii="Arial" w:hAnsi="Arial" w:cs="Arial"/>
          <w:sz w:val="18"/>
          <w:szCs w:val="18"/>
        </w:rPr>
      </w:pPr>
      <w:r w:rsidRPr="003A14E8">
        <w:rPr>
          <w:rStyle w:val="Sprotnaopomba-sklic"/>
          <w:rFonts w:ascii="Arial" w:eastAsia="Calibri" w:hAnsi="Arial" w:cs="Arial"/>
          <w:sz w:val="18"/>
          <w:szCs w:val="18"/>
        </w:rPr>
        <w:footnoteRef/>
      </w:r>
      <w:r w:rsidRPr="003A14E8">
        <w:rPr>
          <w:rFonts w:ascii="Arial" w:hAnsi="Arial" w:cs="Arial"/>
          <w:sz w:val="18"/>
          <w:szCs w:val="18"/>
        </w:rPr>
        <w:t xml:space="preserve"> COPERNICUS in EOGS – </w:t>
      </w:r>
      <w:proofErr w:type="spellStart"/>
      <w:r w:rsidRPr="003A14E8">
        <w:rPr>
          <w:rFonts w:ascii="Arial" w:hAnsi="Arial" w:cs="Arial"/>
          <w:sz w:val="18"/>
          <w:szCs w:val="18"/>
        </w:rPr>
        <w:t>Earth</w:t>
      </w:r>
      <w:proofErr w:type="spellEnd"/>
      <w:r w:rsidRPr="003A14E8">
        <w:rPr>
          <w:rFonts w:ascii="Arial" w:hAnsi="Arial" w:cs="Arial"/>
          <w:sz w:val="18"/>
          <w:szCs w:val="18"/>
        </w:rPr>
        <w:t xml:space="preserve"> </w:t>
      </w:r>
      <w:proofErr w:type="spellStart"/>
      <w:r w:rsidRPr="003A14E8">
        <w:rPr>
          <w:rFonts w:ascii="Arial" w:hAnsi="Arial" w:cs="Arial"/>
          <w:sz w:val="18"/>
          <w:szCs w:val="18"/>
        </w:rPr>
        <w:t>Observation</w:t>
      </w:r>
      <w:proofErr w:type="spellEnd"/>
      <w:r w:rsidRPr="003A14E8">
        <w:rPr>
          <w:rFonts w:ascii="Arial" w:hAnsi="Arial" w:cs="Arial"/>
          <w:sz w:val="18"/>
          <w:szCs w:val="18"/>
        </w:rPr>
        <w:t xml:space="preserve"> </w:t>
      </w:r>
      <w:proofErr w:type="spellStart"/>
      <w:r w:rsidRPr="003A14E8">
        <w:rPr>
          <w:rFonts w:ascii="Arial" w:hAnsi="Arial" w:cs="Arial"/>
          <w:sz w:val="18"/>
          <w:szCs w:val="18"/>
        </w:rPr>
        <w:t>Govermental</w:t>
      </w:r>
      <w:proofErr w:type="spellEnd"/>
      <w:r w:rsidRPr="003A14E8">
        <w:rPr>
          <w:rFonts w:ascii="Arial" w:hAnsi="Arial" w:cs="Arial"/>
          <w:sz w:val="18"/>
          <w:szCs w:val="18"/>
        </w:rPr>
        <w:t xml:space="preserve"> </w:t>
      </w:r>
      <w:proofErr w:type="spellStart"/>
      <w:r w:rsidRPr="003A14E8">
        <w:rPr>
          <w:rFonts w:ascii="Arial" w:hAnsi="Arial" w:cs="Arial"/>
          <w:sz w:val="18"/>
          <w:szCs w:val="18"/>
        </w:rPr>
        <w:t>Service</w:t>
      </w:r>
      <w:proofErr w:type="spellEnd"/>
      <w:r w:rsidRPr="003A14E8">
        <w:rPr>
          <w:rFonts w:ascii="Arial" w:hAnsi="Arial" w:cs="Arial"/>
          <w:sz w:val="18"/>
          <w:szCs w:val="18"/>
        </w:rPr>
        <w:t>.</w:t>
      </w:r>
    </w:p>
  </w:footnote>
  <w:footnote w:id="13">
    <w:p w14:paraId="639460B6" w14:textId="77777777" w:rsidR="002F46D8" w:rsidRPr="003A14E8" w:rsidRDefault="002F46D8" w:rsidP="002F46D8">
      <w:pPr>
        <w:pStyle w:val="Sprotnaopomba-besedilo"/>
        <w:rPr>
          <w:rFonts w:ascii="Arial" w:hAnsi="Arial" w:cs="Arial"/>
          <w:sz w:val="18"/>
          <w:szCs w:val="18"/>
        </w:rPr>
      </w:pPr>
      <w:r w:rsidRPr="003A14E8">
        <w:rPr>
          <w:rStyle w:val="Sprotnaopomba-sklic"/>
          <w:rFonts w:ascii="Arial" w:eastAsia="Calibri" w:hAnsi="Arial" w:cs="Arial"/>
          <w:sz w:val="18"/>
          <w:szCs w:val="18"/>
        </w:rPr>
        <w:footnoteRef/>
      </w:r>
      <w:r w:rsidRPr="003A14E8">
        <w:rPr>
          <w:rFonts w:ascii="Arial" w:hAnsi="Arial" w:cs="Arial"/>
          <w:sz w:val="18"/>
          <w:szCs w:val="18"/>
        </w:rPr>
        <w:t xml:space="preserve"> Vladna satelitska komunikacija (</w:t>
      </w:r>
      <w:r>
        <w:rPr>
          <w:rFonts w:ascii="Arial" w:hAnsi="Arial" w:cs="Arial"/>
          <w:sz w:val="18"/>
          <w:szCs w:val="18"/>
        </w:rPr>
        <w:t xml:space="preserve">angl. </w:t>
      </w:r>
      <w:proofErr w:type="spellStart"/>
      <w:r w:rsidRPr="005A3062">
        <w:rPr>
          <w:rFonts w:ascii="Arial" w:hAnsi="Arial" w:cs="Arial"/>
          <w:i/>
          <w:iCs/>
          <w:sz w:val="18"/>
          <w:szCs w:val="18"/>
        </w:rPr>
        <w:t>governmental</w:t>
      </w:r>
      <w:proofErr w:type="spellEnd"/>
      <w:r w:rsidRPr="005A3062">
        <w:rPr>
          <w:rFonts w:ascii="Arial" w:hAnsi="Arial" w:cs="Arial"/>
          <w:i/>
          <w:iCs/>
          <w:sz w:val="18"/>
          <w:szCs w:val="18"/>
        </w:rPr>
        <w:t xml:space="preserve"> </w:t>
      </w:r>
      <w:proofErr w:type="spellStart"/>
      <w:r w:rsidRPr="005A3062">
        <w:rPr>
          <w:rFonts w:ascii="Arial" w:hAnsi="Arial" w:cs="Arial"/>
          <w:i/>
          <w:iCs/>
          <w:sz w:val="18"/>
          <w:szCs w:val="18"/>
        </w:rPr>
        <w:t>satellite</w:t>
      </w:r>
      <w:proofErr w:type="spellEnd"/>
      <w:r w:rsidRPr="005A3062">
        <w:rPr>
          <w:rFonts w:ascii="Arial" w:hAnsi="Arial" w:cs="Arial"/>
          <w:i/>
          <w:iCs/>
          <w:sz w:val="18"/>
          <w:szCs w:val="18"/>
        </w:rPr>
        <w:t xml:space="preserve"> </w:t>
      </w:r>
      <w:proofErr w:type="spellStart"/>
      <w:r w:rsidRPr="005A3062">
        <w:rPr>
          <w:rFonts w:ascii="Arial" w:hAnsi="Arial" w:cs="Arial"/>
          <w:i/>
          <w:iCs/>
          <w:sz w:val="18"/>
          <w:szCs w:val="18"/>
        </w:rPr>
        <w:t>communications</w:t>
      </w:r>
      <w:proofErr w:type="spellEnd"/>
      <w:r w:rsidRPr="005A3062">
        <w:rPr>
          <w:rFonts w:ascii="Arial" w:hAnsi="Arial" w:cs="Arial"/>
          <w:i/>
          <w:iCs/>
          <w:sz w:val="18"/>
          <w:szCs w:val="18"/>
        </w:rPr>
        <w:t>, GOVSATCOM</w:t>
      </w:r>
      <w:r w:rsidRPr="003A14E8">
        <w:rPr>
          <w:rFonts w:ascii="Arial" w:hAnsi="Arial" w:cs="Arial"/>
          <w:sz w:val="18"/>
          <w:szCs w:val="18"/>
        </w:rPr>
        <w:t>) in Infrastruktura za odpornost, medsebojno povezljivost in varnost prek satelitov (</w:t>
      </w:r>
      <w:r>
        <w:rPr>
          <w:rFonts w:ascii="Arial" w:hAnsi="Arial" w:cs="Arial"/>
          <w:sz w:val="18"/>
          <w:szCs w:val="18"/>
        </w:rPr>
        <w:t xml:space="preserve">angl. </w:t>
      </w:r>
      <w:proofErr w:type="spellStart"/>
      <w:r w:rsidRPr="005A3062">
        <w:rPr>
          <w:rFonts w:ascii="Arial" w:hAnsi="Arial" w:cs="Arial"/>
          <w:i/>
          <w:iCs/>
          <w:sz w:val="18"/>
          <w:szCs w:val="18"/>
        </w:rPr>
        <w:t>infrastructure</w:t>
      </w:r>
      <w:proofErr w:type="spellEnd"/>
      <w:r w:rsidRPr="005A3062">
        <w:rPr>
          <w:rFonts w:ascii="Arial" w:hAnsi="Arial" w:cs="Arial"/>
          <w:i/>
          <w:iCs/>
          <w:sz w:val="18"/>
          <w:szCs w:val="18"/>
        </w:rPr>
        <w:t xml:space="preserve"> </w:t>
      </w:r>
      <w:proofErr w:type="spellStart"/>
      <w:r w:rsidRPr="005A3062">
        <w:rPr>
          <w:rFonts w:ascii="Arial" w:hAnsi="Arial" w:cs="Arial"/>
          <w:i/>
          <w:iCs/>
          <w:sz w:val="18"/>
          <w:szCs w:val="18"/>
        </w:rPr>
        <w:t>for</w:t>
      </w:r>
      <w:proofErr w:type="spellEnd"/>
      <w:r w:rsidRPr="005A3062">
        <w:rPr>
          <w:rFonts w:ascii="Arial" w:hAnsi="Arial" w:cs="Arial"/>
          <w:i/>
          <w:iCs/>
          <w:sz w:val="18"/>
          <w:szCs w:val="18"/>
        </w:rPr>
        <w:t xml:space="preserve"> </w:t>
      </w:r>
      <w:proofErr w:type="spellStart"/>
      <w:r w:rsidRPr="005A3062">
        <w:rPr>
          <w:rFonts w:ascii="Arial" w:hAnsi="Arial" w:cs="Arial"/>
          <w:i/>
          <w:iCs/>
          <w:sz w:val="18"/>
          <w:szCs w:val="18"/>
        </w:rPr>
        <w:t>resilience</w:t>
      </w:r>
      <w:proofErr w:type="spellEnd"/>
      <w:r w:rsidRPr="005A3062">
        <w:rPr>
          <w:rFonts w:ascii="Arial" w:hAnsi="Arial" w:cs="Arial"/>
          <w:i/>
          <w:iCs/>
          <w:sz w:val="18"/>
          <w:szCs w:val="18"/>
        </w:rPr>
        <w:t xml:space="preserve">, </w:t>
      </w:r>
      <w:proofErr w:type="spellStart"/>
      <w:r w:rsidRPr="005A3062">
        <w:rPr>
          <w:rFonts w:ascii="Arial" w:hAnsi="Arial" w:cs="Arial"/>
          <w:i/>
          <w:iCs/>
          <w:sz w:val="18"/>
          <w:szCs w:val="18"/>
        </w:rPr>
        <w:t>interconnectivity</w:t>
      </w:r>
      <w:proofErr w:type="spellEnd"/>
      <w:r w:rsidRPr="005A3062">
        <w:rPr>
          <w:rFonts w:ascii="Arial" w:hAnsi="Arial" w:cs="Arial"/>
          <w:i/>
          <w:iCs/>
          <w:sz w:val="18"/>
          <w:szCs w:val="18"/>
        </w:rPr>
        <w:t xml:space="preserve"> </w:t>
      </w:r>
      <w:proofErr w:type="spellStart"/>
      <w:r w:rsidRPr="005A3062">
        <w:rPr>
          <w:rFonts w:ascii="Arial" w:hAnsi="Arial" w:cs="Arial"/>
          <w:i/>
          <w:iCs/>
          <w:sz w:val="18"/>
          <w:szCs w:val="18"/>
        </w:rPr>
        <w:t>and</w:t>
      </w:r>
      <w:proofErr w:type="spellEnd"/>
      <w:r w:rsidRPr="005A3062">
        <w:rPr>
          <w:rFonts w:ascii="Arial" w:hAnsi="Arial" w:cs="Arial"/>
          <w:i/>
          <w:iCs/>
          <w:sz w:val="18"/>
          <w:szCs w:val="18"/>
        </w:rPr>
        <w:t xml:space="preserve"> </w:t>
      </w:r>
      <w:proofErr w:type="spellStart"/>
      <w:r w:rsidRPr="005A3062">
        <w:rPr>
          <w:rFonts w:ascii="Arial" w:hAnsi="Arial" w:cs="Arial"/>
          <w:i/>
          <w:iCs/>
          <w:sz w:val="18"/>
          <w:szCs w:val="18"/>
        </w:rPr>
        <w:t>security</w:t>
      </w:r>
      <w:proofErr w:type="spellEnd"/>
      <w:r w:rsidRPr="005A3062">
        <w:rPr>
          <w:rFonts w:ascii="Arial" w:hAnsi="Arial" w:cs="Arial"/>
          <w:i/>
          <w:iCs/>
          <w:sz w:val="18"/>
          <w:szCs w:val="18"/>
        </w:rPr>
        <w:t xml:space="preserve"> </w:t>
      </w:r>
      <w:proofErr w:type="spellStart"/>
      <w:r w:rsidRPr="005A3062">
        <w:rPr>
          <w:rFonts w:ascii="Arial" w:hAnsi="Arial" w:cs="Arial"/>
          <w:i/>
          <w:iCs/>
          <w:sz w:val="18"/>
          <w:szCs w:val="18"/>
        </w:rPr>
        <w:t>by</w:t>
      </w:r>
      <w:proofErr w:type="spellEnd"/>
      <w:r w:rsidRPr="005A3062">
        <w:rPr>
          <w:rFonts w:ascii="Arial" w:hAnsi="Arial" w:cs="Arial"/>
          <w:i/>
          <w:iCs/>
          <w:sz w:val="18"/>
          <w:szCs w:val="18"/>
        </w:rPr>
        <w:t xml:space="preserve"> </w:t>
      </w:r>
      <w:proofErr w:type="spellStart"/>
      <w:r w:rsidRPr="005A3062">
        <w:rPr>
          <w:rFonts w:ascii="Arial" w:hAnsi="Arial" w:cs="Arial"/>
          <w:i/>
          <w:iCs/>
          <w:sz w:val="18"/>
          <w:szCs w:val="18"/>
        </w:rPr>
        <w:t>satellite</w:t>
      </w:r>
      <w:proofErr w:type="spellEnd"/>
      <w:r w:rsidRPr="005A3062">
        <w:rPr>
          <w:rFonts w:ascii="Arial" w:hAnsi="Arial" w:cs="Arial"/>
          <w:i/>
          <w:iCs/>
          <w:sz w:val="18"/>
          <w:szCs w:val="18"/>
        </w:rPr>
        <w:t>, IRIS</w:t>
      </w:r>
      <w:r w:rsidRPr="005A3062">
        <w:rPr>
          <w:rFonts w:ascii="Arial" w:hAnsi="Arial" w:cs="Arial"/>
          <w:i/>
          <w:iCs/>
          <w:sz w:val="18"/>
          <w:szCs w:val="18"/>
          <w:vertAlign w:val="superscript"/>
        </w:rPr>
        <w:t>2</w:t>
      </w:r>
      <w:r w:rsidRPr="003A14E8">
        <w:rPr>
          <w:rFonts w:ascii="Arial" w:hAnsi="Arial" w:cs="Arial"/>
          <w:sz w:val="18"/>
          <w:szCs w:val="18"/>
        </w:rPr>
        <w:t>)</w:t>
      </w:r>
    </w:p>
  </w:footnote>
  <w:footnote w:id="14">
    <w:p w14:paraId="4E4F0606" w14:textId="77777777" w:rsidR="002F46D8" w:rsidRDefault="002F46D8" w:rsidP="002F46D8">
      <w:pPr>
        <w:pStyle w:val="Sprotnaopomba-besedilo"/>
      </w:pPr>
      <w:r w:rsidRPr="00846E78">
        <w:rPr>
          <w:rStyle w:val="Sprotnaopomba-sklic"/>
          <w:rFonts w:ascii="Arial" w:eastAsia="Calibri" w:hAnsi="Arial" w:cs="Arial"/>
          <w:sz w:val="18"/>
          <w:szCs w:val="18"/>
        </w:rPr>
        <w:footnoteRef/>
      </w:r>
      <w:r w:rsidRPr="00846E78">
        <w:rPr>
          <w:rFonts w:ascii="Arial" w:hAnsi="Arial" w:cs="Arial"/>
          <w:sz w:val="18"/>
          <w:szCs w:val="18"/>
        </w:rPr>
        <w:t xml:space="preserve"> ESA </w:t>
      </w:r>
      <w:proofErr w:type="spellStart"/>
      <w:r w:rsidRPr="00846E78">
        <w:rPr>
          <w:rFonts w:ascii="Arial" w:hAnsi="Arial" w:cs="Arial"/>
          <w:sz w:val="18"/>
          <w:szCs w:val="18"/>
        </w:rPr>
        <w:t>Launch</w:t>
      </w:r>
      <w:proofErr w:type="spellEnd"/>
      <w:r w:rsidRPr="00846E78">
        <w:rPr>
          <w:rFonts w:ascii="Arial" w:hAnsi="Arial" w:cs="Arial"/>
          <w:sz w:val="18"/>
          <w:szCs w:val="18"/>
        </w:rPr>
        <w:t xml:space="preserve"> </w:t>
      </w:r>
      <w:proofErr w:type="spellStart"/>
      <w:r w:rsidRPr="00846E78">
        <w:rPr>
          <w:rFonts w:ascii="Arial" w:hAnsi="Arial" w:cs="Arial"/>
          <w:sz w:val="18"/>
          <w:szCs w:val="18"/>
        </w:rPr>
        <w:t>Programme</w:t>
      </w:r>
      <w:proofErr w:type="spellEnd"/>
      <w:r w:rsidRPr="00846E78">
        <w:rPr>
          <w:rFonts w:ascii="Arial" w:hAnsi="Arial" w:cs="Arial"/>
          <w:sz w:val="18"/>
          <w:szCs w:val="18"/>
        </w:rPr>
        <w:t xml:space="preserve"> ključno prispeva k zagotavljanju neodvisnega dostopa do vesolja za EU. ESA </w:t>
      </w:r>
      <w:r>
        <w:rPr>
          <w:rFonts w:ascii="Arial" w:hAnsi="Arial" w:cs="Arial"/>
          <w:sz w:val="18"/>
          <w:szCs w:val="18"/>
        </w:rPr>
        <w:t>ima</w:t>
      </w:r>
      <w:r w:rsidRPr="00846E78">
        <w:rPr>
          <w:rFonts w:ascii="Arial" w:hAnsi="Arial" w:cs="Arial"/>
          <w:sz w:val="18"/>
          <w:szCs w:val="18"/>
        </w:rPr>
        <w:t xml:space="preserve"> ključno vlogo pri razvoju kapacitet za izstrelitev za vse razrede koristnega tovora (ang</w:t>
      </w:r>
      <w:r>
        <w:rPr>
          <w:rFonts w:ascii="Arial" w:hAnsi="Arial" w:cs="Arial"/>
          <w:sz w:val="18"/>
          <w:szCs w:val="18"/>
        </w:rPr>
        <w:t>l</w:t>
      </w:r>
      <w:r w:rsidRPr="00846E78">
        <w:rPr>
          <w:rFonts w:ascii="Arial" w:hAnsi="Arial" w:cs="Arial"/>
          <w:sz w:val="18"/>
          <w:szCs w:val="18"/>
        </w:rPr>
        <w:t xml:space="preserve">. </w:t>
      </w:r>
      <w:proofErr w:type="spellStart"/>
      <w:r w:rsidRPr="005A3062">
        <w:rPr>
          <w:rFonts w:ascii="Arial" w:hAnsi="Arial" w:cs="Arial"/>
          <w:i/>
          <w:iCs/>
          <w:sz w:val="18"/>
          <w:szCs w:val="18"/>
        </w:rPr>
        <w:t>payload</w:t>
      </w:r>
      <w:proofErr w:type="spellEnd"/>
      <w:r w:rsidRPr="00846E78">
        <w:rPr>
          <w:rFonts w:ascii="Arial" w:hAnsi="Arial" w:cs="Arial"/>
          <w:sz w:val="18"/>
          <w:szCs w:val="18"/>
        </w:rPr>
        <w:t xml:space="preserve">) skozi </w:t>
      </w:r>
      <w:proofErr w:type="spellStart"/>
      <w:r w:rsidRPr="00846E78">
        <w:rPr>
          <w:rFonts w:ascii="Arial" w:hAnsi="Arial" w:cs="Arial"/>
          <w:sz w:val="18"/>
          <w:szCs w:val="18"/>
        </w:rPr>
        <w:t>European</w:t>
      </w:r>
      <w:proofErr w:type="spellEnd"/>
      <w:r w:rsidRPr="00846E78">
        <w:rPr>
          <w:rFonts w:ascii="Arial" w:hAnsi="Arial" w:cs="Arial"/>
          <w:sz w:val="18"/>
          <w:szCs w:val="18"/>
        </w:rPr>
        <w:t xml:space="preserve"> </w:t>
      </w:r>
      <w:proofErr w:type="spellStart"/>
      <w:r w:rsidRPr="00846E78">
        <w:rPr>
          <w:rFonts w:ascii="Arial" w:hAnsi="Arial" w:cs="Arial"/>
          <w:sz w:val="18"/>
          <w:szCs w:val="18"/>
        </w:rPr>
        <w:t>Launcher</w:t>
      </w:r>
      <w:proofErr w:type="spellEnd"/>
      <w:r w:rsidRPr="00846E78">
        <w:rPr>
          <w:rFonts w:ascii="Arial" w:hAnsi="Arial" w:cs="Arial"/>
          <w:sz w:val="18"/>
          <w:szCs w:val="18"/>
        </w:rPr>
        <w:t xml:space="preserve"> </w:t>
      </w:r>
      <w:proofErr w:type="spellStart"/>
      <w:r w:rsidRPr="00846E78">
        <w:rPr>
          <w:rFonts w:ascii="Arial" w:hAnsi="Arial" w:cs="Arial"/>
          <w:sz w:val="18"/>
          <w:szCs w:val="18"/>
        </w:rPr>
        <w:t>Challenge</w:t>
      </w:r>
      <w:proofErr w:type="spellEnd"/>
      <w:r w:rsidRPr="00846E78">
        <w:rPr>
          <w:rFonts w:ascii="Arial" w:hAnsi="Arial" w:cs="Arial"/>
          <w:sz w:val="18"/>
          <w:szCs w:val="18"/>
        </w:rPr>
        <w:t>, ki podpira tudi cilj pod točko 3.2.</w:t>
      </w:r>
    </w:p>
  </w:footnote>
  <w:footnote w:id="15">
    <w:p w14:paraId="48A70133" w14:textId="77777777" w:rsidR="002F46D8" w:rsidRPr="00EE3086" w:rsidRDefault="002F46D8" w:rsidP="002F46D8">
      <w:pPr>
        <w:spacing w:after="0"/>
        <w:rPr>
          <w:rFonts w:cs="Arial"/>
          <w:szCs w:val="20"/>
        </w:rPr>
      </w:pPr>
      <w:r w:rsidRPr="001D5FA5">
        <w:rPr>
          <w:rStyle w:val="Sprotnaopomba-sklic"/>
          <w:rFonts w:cs="Arial"/>
          <w:sz w:val="18"/>
          <w:szCs w:val="18"/>
        </w:rPr>
        <w:footnoteRef/>
      </w:r>
      <w:r w:rsidRPr="001D5FA5">
        <w:rPr>
          <w:rFonts w:cs="Arial"/>
          <w:sz w:val="18"/>
          <w:szCs w:val="18"/>
        </w:rPr>
        <w:t xml:space="preserve"> Koncept t. i. novega vesolja (</w:t>
      </w:r>
      <w:r>
        <w:rPr>
          <w:rFonts w:cs="Arial"/>
          <w:sz w:val="18"/>
          <w:szCs w:val="18"/>
        </w:rPr>
        <w:t xml:space="preserve">angl. </w:t>
      </w:r>
      <w:proofErr w:type="spellStart"/>
      <w:r w:rsidRPr="005A3062">
        <w:rPr>
          <w:rFonts w:cs="Arial"/>
          <w:i/>
          <w:iCs/>
          <w:sz w:val="18"/>
          <w:szCs w:val="18"/>
        </w:rPr>
        <w:t>new</w:t>
      </w:r>
      <w:proofErr w:type="spellEnd"/>
      <w:r w:rsidRPr="005A3062">
        <w:rPr>
          <w:rFonts w:cs="Arial"/>
          <w:i/>
          <w:iCs/>
          <w:sz w:val="18"/>
          <w:szCs w:val="18"/>
        </w:rPr>
        <w:t xml:space="preserve"> </w:t>
      </w:r>
      <w:proofErr w:type="spellStart"/>
      <w:r w:rsidRPr="005A3062">
        <w:rPr>
          <w:rFonts w:cs="Arial"/>
          <w:i/>
          <w:iCs/>
          <w:sz w:val="18"/>
          <w:szCs w:val="18"/>
        </w:rPr>
        <w:t>space</w:t>
      </w:r>
      <w:proofErr w:type="spellEnd"/>
      <w:r w:rsidRPr="001D5FA5">
        <w:rPr>
          <w:rFonts w:cs="Arial"/>
          <w:sz w:val="18"/>
          <w:szCs w:val="18"/>
        </w:rPr>
        <w:t xml:space="preserve">) </w:t>
      </w:r>
      <w:r>
        <w:rPr>
          <w:rFonts w:cs="Arial"/>
          <w:sz w:val="18"/>
          <w:szCs w:val="18"/>
        </w:rPr>
        <w:t>pomeni</w:t>
      </w:r>
      <w:r w:rsidRPr="001D5FA5">
        <w:rPr>
          <w:rFonts w:cs="Arial"/>
          <w:sz w:val="18"/>
          <w:szCs w:val="18"/>
        </w:rPr>
        <w:t xml:space="preserve"> nov val razvoja v vesoljski industriji, </w:t>
      </w:r>
      <w:r>
        <w:rPr>
          <w:rFonts w:cs="Arial"/>
          <w:sz w:val="18"/>
          <w:szCs w:val="18"/>
        </w:rPr>
        <w:t>v kateri</w:t>
      </w:r>
      <w:r w:rsidRPr="001D5FA5">
        <w:rPr>
          <w:rFonts w:cs="Arial"/>
          <w:sz w:val="18"/>
          <w:szCs w:val="18"/>
        </w:rPr>
        <w:t xml:space="preserve"> glavno vlogo prevzemajo zasebna podjetja, ki pospešeno uvajajo nove inovativne tehnologije ter agilne in učinkovite poslovne modele, ki zmanjšujejo stroške in pospešujejo razvoj. Nato v Komercialni vesoljski strategiji (</w:t>
      </w:r>
      <w:proofErr w:type="spellStart"/>
      <w:r w:rsidRPr="001D5FA5">
        <w:rPr>
          <w:rFonts w:cs="Arial"/>
          <w:sz w:val="18"/>
          <w:szCs w:val="18"/>
        </w:rPr>
        <w:t>Nato's</w:t>
      </w:r>
      <w:proofErr w:type="spellEnd"/>
      <w:r w:rsidRPr="001D5FA5">
        <w:rPr>
          <w:rFonts w:cs="Arial"/>
          <w:sz w:val="18"/>
          <w:szCs w:val="18"/>
        </w:rPr>
        <w:t xml:space="preserve"> </w:t>
      </w:r>
      <w:proofErr w:type="spellStart"/>
      <w:r w:rsidRPr="001D5FA5">
        <w:rPr>
          <w:rFonts w:cs="Arial"/>
          <w:sz w:val="18"/>
          <w:szCs w:val="18"/>
        </w:rPr>
        <w:t>Commercial</w:t>
      </w:r>
      <w:proofErr w:type="spellEnd"/>
      <w:r w:rsidRPr="001D5FA5">
        <w:rPr>
          <w:rFonts w:cs="Arial"/>
          <w:sz w:val="18"/>
          <w:szCs w:val="18"/>
        </w:rPr>
        <w:t xml:space="preserve"> Space </w:t>
      </w:r>
      <w:proofErr w:type="spellStart"/>
      <w:r w:rsidRPr="001D5FA5">
        <w:rPr>
          <w:rFonts w:cs="Arial"/>
          <w:sz w:val="18"/>
          <w:szCs w:val="18"/>
        </w:rPr>
        <w:t>Strategy</w:t>
      </w:r>
      <w:proofErr w:type="spellEnd"/>
      <w:r w:rsidRPr="001D5FA5">
        <w:rPr>
          <w:rFonts w:cs="Arial"/>
          <w:sz w:val="18"/>
          <w:szCs w:val="18"/>
        </w:rPr>
        <w:t xml:space="preserve">, 2025) izpostavlja pomen komercialnega vesoljskega sektorja, ki se </w:t>
      </w:r>
      <w:r>
        <w:rPr>
          <w:rFonts w:cs="Arial"/>
          <w:sz w:val="18"/>
          <w:szCs w:val="18"/>
        </w:rPr>
        <w:t xml:space="preserve">ga </w:t>
      </w:r>
      <w:r w:rsidRPr="001D5FA5">
        <w:rPr>
          <w:rFonts w:cs="Arial"/>
          <w:sz w:val="18"/>
          <w:szCs w:val="18"/>
        </w:rPr>
        <w:t xml:space="preserve">ne </w:t>
      </w:r>
      <w:r>
        <w:rPr>
          <w:rFonts w:cs="Arial"/>
          <w:sz w:val="18"/>
          <w:szCs w:val="18"/>
        </w:rPr>
        <w:t>razume</w:t>
      </w:r>
      <w:r w:rsidRPr="001D5FA5">
        <w:rPr>
          <w:rFonts w:cs="Arial"/>
          <w:sz w:val="18"/>
          <w:szCs w:val="18"/>
        </w:rPr>
        <w:t xml:space="preserve"> več le kot zunanj</w:t>
      </w:r>
      <w:r>
        <w:rPr>
          <w:rFonts w:cs="Arial"/>
          <w:sz w:val="18"/>
          <w:szCs w:val="18"/>
        </w:rPr>
        <w:t>ega</w:t>
      </w:r>
      <w:r w:rsidRPr="001D5FA5">
        <w:rPr>
          <w:rFonts w:cs="Arial"/>
          <w:sz w:val="18"/>
          <w:szCs w:val="18"/>
        </w:rPr>
        <w:t xml:space="preserve"> izvajalc</w:t>
      </w:r>
      <w:r>
        <w:rPr>
          <w:rFonts w:cs="Arial"/>
          <w:sz w:val="18"/>
          <w:szCs w:val="18"/>
        </w:rPr>
        <w:t>a</w:t>
      </w:r>
      <w:r w:rsidRPr="001D5FA5">
        <w:rPr>
          <w:rFonts w:cs="Arial"/>
          <w:sz w:val="18"/>
          <w:szCs w:val="18"/>
        </w:rPr>
        <w:t>, temveč kot stratešk</w:t>
      </w:r>
      <w:r>
        <w:rPr>
          <w:rFonts w:cs="Arial"/>
          <w:sz w:val="18"/>
          <w:szCs w:val="18"/>
        </w:rPr>
        <w:t>o</w:t>
      </w:r>
      <w:r w:rsidRPr="001D5FA5">
        <w:rPr>
          <w:rFonts w:cs="Arial"/>
          <w:sz w:val="18"/>
          <w:szCs w:val="18"/>
        </w:rPr>
        <w:t xml:space="preserve"> prednost.</w:t>
      </w:r>
    </w:p>
  </w:footnote>
  <w:footnote w:id="16">
    <w:p w14:paraId="49E5E661" w14:textId="77777777" w:rsidR="002F46D8" w:rsidRPr="001D5FA5" w:rsidRDefault="002F46D8" w:rsidP="002F46D8">
      <w:pPr>
        <w:pStyle w:val="Sprotnaopomba-besedilo"/>
        <w:spacing w:line="260" w:lineRule="exact"/>
        <w:rPr>
          <w:rFonts w:ascii="Arial" w:hAnsi="Arial" w:cs="Arial"/>
          <w:sz w:val="18"/>
          <w:szCs w:val="18"/>
        </w:rPr>
      </w:pPr>
      <w:r w:rsidRPr="001D5FA5">
        <w:rPr>
          <w:rStyle w:val="Sprotnaopomba-sklic"/>
          <w:rFonts w:ascii="Arial" w:eastAsia="Calibri" w:hAnsi="Arial" w:cs="Arial"/>
          <w:sz w:val="18"/>
          <w:szCs w:val="18"/>
        </w:rPr>
        <w:footnoteRef/>
      </w:r>
      <w:r w:rsidRPr="001D5FA5">
        <w:rPr>
          <w:rFonts w:ascii="Arial" w:hAnsi="Arial" w:cs="Arial"/>
          <w:sz w:val="18"/>
          <w:szCs w:val="18"/>
        </w:rPr>
        <w:t xml:space="preserve"> Npr. koordinacija področja vesolja, opazovanje Zemlje, satelitska komunikacija, določanje položaja, navigacija in merjenje časa, situacijsko zavedanje v vesolju, vesoljsko pravo, gospodarstvo in razvoj znanja.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B5C20"/>
    <w:multiLevelType w:val="multilevel"/>
    <w:tmpl w:val="BE6A9906"/>
    <w:lvl w:ilvl="0">
      <w:start w:val="1"/>
      <w:numFmt w:val="decimal"/>
      <w:pStyle w:val="Naslov1strategija"/>
      <w:lvlText w:val="%1"/>
      <w:lvlJc w:val="left"/>
      <w:pPr>
        <w:tabs>
          <w:tab w:val="num" w:pos="357"/>
        </w:tabs>
        <w:ind w:left="360" w:hanging="360"/>
      </w:pPr>
      <w:rPr>
        <w:rFonts w:hint="default"/>
      </w:rPr>
    </w:lvl>
    <w:lvl w:ilvl="1">
      <w:start w:val="1"/>
      <w:numFmt w:val="decimal"/>
      <w:pStyle w:val="Naslov2strategija"/>
      <w:lvlText w:val="%1.%2"/>
      <w:lvlJc w:val="left"/>
      <w:pPr>
        <w:tabs>
          <w:tab w:val="num" w:pos="720"/>
        </w:tabs>
        <w:ind w:left="720" w:hanging="360"/>
      </w:pPr>
      <w:rPr>
        <w:rFonts w:hint="default"/>
      </w:rPr>
    </w:lvl>
    <w:lvl w:ilvl="2">
      <w:start w:val="1"/>
      <w:numFmt w:val="decimal"/>
      <w:lvlRestart w:val="0"/>
      <w:pStyle w:val="Naslov3strategija"/>
      <w:lvlText w:val="%1.%2.%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7C300D9"/>
    <w:multiLevelType w:val="hybridMultilevel"/>
    <w:tmpl w:val="26D404DC"/>
    <w:lvl w:ilvl="0" w:tplc="BF6E70A0">
      <w:start w:val="49"/>
      <w:numFmt w:val="bullet"/>
      <w:lvlText w:val=""/>
      <w:lvlJc w:val="left"/>
      <w:pPr>
        <w:ind w:left="720" w:hanging="360"/>
      </w:pPr>
      <w:rPr>
        <w:rFonts w:ascii="Symbol" w:eastAsia="Times New Roman" w:hAnsi="Symbol" w:cs="Times New Roman" w:hint="default"/>
      </w:rPr>
    </w:lvl>
    <w:lvl w:ilvl="1" w:tplc="361087EA">
      <w:numFmt w:val="bullet"/>
      <w:lvlText w:val="-"/>
      <w:lvlJc w:val="left"/>
      <w:pPr>
        <w:ind w:left="1440" w:hanging="360"/>
      </w:pPr>
      <w:rPr>
        <w:rFonts w:ascii="Arial" w:eastAsia="Times New Roman" w:hAnsi="Arial" w:cs="Arial" w:hint="default"/>
      </w:rPr>
    </w:lvl>
    <w:lvl w:ilvl="2" w:tplc="9CB8DC4A" w:tentative="1">
      <w:start w:val="1"/>
      <w:numFmt w:val="bullet"/>
      <w:lvlText w:val=""/>
      <w:lvlJc w:val="left"/>
      <w:pPr>
        <w:ind w:left="2160" w:hanging="360"/>
      </w:pPr>
      <w:rPr>
        <w:rFonts w:ascii="Wingdings" w:hAnsi="Wingdings" w:hint="default"/>
      </w:rPr>
    </w:lvl>
    <w:lvl w:ilvl="3" w:tplc="A4FA9E50" w:tentative="1">
      <w:start w:val="1"/>
      <w:numFmt w:val="bullet"/>
      <w:lvlText w:val=""/>
      <w:lvlJc w:val="left"/>
      <w:pPr>
        <w:ind w:left="2880" w:hanging="360"/>
      </w:pPr>
      <w:rPr>
        <w:rFonts w:ascii="Symbol" w:hAnsi="Symbol" w:hint="default"/>
      </w:rPr>
    </w:lvl>
    <w:lvl w:ilvl="4" w:tplc="F58C7DA6" w:tentative="1">
      <w:start w:val="1"/>
      <w:numFmt w:val="bullet"/>
      <w:lvlText w:val="o"/>
      <w:lvlJc w:val="left"/>
      <w:pPr>
        <w:ind w:left="3600" w:hanging="360"/>
      </w:pPr>
      <w:rPr>
        <w:rFonts w:ascii="Courier New" w:hAnsi="Courier New" w:cs="Courier New" w:hint="default"/>
      </w:rPr>
    </w:lvl>
    <w:lvl w:ilvl="5" w:tplc="B08C5F7C" w:tentative="1">
      <w:start w:val="1"/>
      <w:numFmt w:val="bullet"/>
      <w:lvlText w:val=""/>
      <w:lvlJc w:val="left"/>
      <w:pPr>
        <w:ind w:left="4320" w:hanging="360"/>
      </w:pPr>
      <w:rPr>
        <w:rFonts w:ascii="Wingdings" w:hAnsi="Wingdings" w:hint="default"/>
      </w:rPr>
    </w:lvl>
    <w:lvl w:ilvl="6" w:tplc="96B4E45A" w:tentative="1">
      <w:start w:val="1"/>
      <w:numFmt w:val="bullet"/>
      <w:lvlText w:val=""/>
      <w:lvlJc w:val="left"/>
      <w:pPr>
        <w:ind w:left="5040" w:hanging="360"/>
      </w:pPr>
      <w:rPr>
        <w:rFonts w:ascii="Symbol" w:hAnsi="Symbol" w:hint="default"/>
      </w:rPr>
    </w:lvl>
    <w:lvl w:ilvl="7" w:tplc="D820EA6E" w:tentative="1">
      <w:start w:val="1"/>
      <w:numFmt w:val="bullet"/>
      <w:lvlText w:val="o"/>
      <w:lvlJc w:val="left"/>
      <w:pPr>
        <w:ind w:left="5760" w:hanging="360"/>
      </w:pPr>
      <w:rPr>
        <w:rFonts w:ascii="Courier New" w:hAnsi="Courier New" w:cs="Courier New" w:hint="default"/>
      </w:rPr>
    </w:lvl>
    <w:lvl w:ilvl="8" w:tplc="11648A06"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E3"/>
    <w:rsid w:val="00210E2F"/>
    <w:rsid w:val="002F46D8"/>
    <w:rsid w:val="00784290"/>
    <w:rsid w:val="008170E3"/>
    <w:rsid w:val="00872ED2"/>
    <w:rsid w:val="008A1D20"/>
    <w:rsid w:val="00A45126"/>
    <w:rsid w:val="00B86A81"/>
    <w:rsid w:val="00C57075"/>
    <w:rsid w:val="00D864D4"/>
    <w:rsid w:val="00DA2609"/>
    <w:rsid w:val="00DD17F9"/>
    <w:rsid w:val="00DF68FB"/>
    <w:rsid w:val="00EF73A8"/>
    <w:rsid w:val="00F26E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1BC5DC"/>
  <w15:chartTrackingRefBased/>
  <w15:docId w15:val="{EACE28D9-51F5-44BF-A8A3-DCE73900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F46D8"/>
    <w:pPr>
      <w:spacing w:after="200" w:line="260" w:lineRule="exact"/>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2F46D8"/>
    <w:rPr>
      <w:color w:val="0000FF"/>
      <w:u w:val="single"/>
    </w:rPr>
  </w:style>
  <w:style w:type="paragraph" w:customStyle="1" w:styleId="Naslovpredpisa">
    <w:name w:val="Naslov_predpisa"/>
    <w:basedOn w:val="Navaden"/>
    <w:link w:val="NaslovpredpisaZnak"/>
    <w:qFormat/>
    <w:rsid w:val="002F46D8"/>
    <w:pPr>
      <w:suppressAutoHyphens/>
      <w:overflowPunct w:val="0"/>
      <w:autoSpaceDE w:val="0"/>
      <w:autoSpaceDN w:val="0"/>
      <w:adjustRightInd w:val="0"/>
      <w:spacing w:before="120" w:after="160" w:line="200" w:lineRule="exact"/>
      <w:jc w:val="center"/>
      <w:textAlignment w:val="baseline"/>
    </w:pPr>
    <w:rPr>
      <w:rFonts w:eastAsia="Times New Roman" w:cs="Arial"/>
      <w:b/>
      <w:lang w:eastAsia="sl-SI"/>
    </w:rPr>
  </w:style>
  <w:style w:type="character" w:customStyle="1" w:styleId="NaslovpredpisaZnak">
    <w:name w:val="Naslov_predpisa Znak"/>
    <w:link w:val="Naslovpredpisa"/>
    <w:rsid w:val="002F46D8"/>
    <w:rPr>
      <w:rFonts w:ascii="Arial" w:eastAsia="Times New Roman" w:hAnsi="Arial" w:cs="Arial"/>
      <w:b/>
      <w:sz w:val="20"/>
      <w:lang w:eastAsia="sl-SI"/>
    </w:rPr>
  </w:style>
  <w:style w:type="paragraph" w:styleId="Odstavekseznama">
    <w:name w:val="List Paragraph"/>
    <w:aliases w:val="Fünf,Paragrafo elenco,Akapit z listą BS"/>
    <w:basedOn w:val="Navaden"/>
    <w:link w:val="OdstavekseznamaZnak"/>
    <w:uiPriority w:val="34"/>
    <w:qFormat/>
    <w:rsid w:val="002F46D8"/>
    <w:pPr>
      <w:spacing w:after="160" w:line="256" w:lineRule="auto"/>
      <w:ind w:left="720"/>
      <w:contextualSpacing/>
    </w:pPr>
  </w:style>
  <w:style w:type="paragraph" w:styleId="Sprotnaopomba-besedilo">
    <w:name w:val="footnote text"/>
    <w:basedOn w:val="Navaden"/>
    <w:link w:val="Sprotnaopomba-besediloZnak"/>
    <w:uiPriority w:val="99"/>
    <w:unhideWhenUsed/>
    <w:rsid w:val="002F46D8"/>
    <w:pPr>
      <w:spacing w:after="0" w:line="240" w:lineRule="auto"/>
    </w:pPr>
    <w:rPr>
      <w:rFonts w:asciiTheme="minorHAnsi" w:eastAsia="Times New Roman" w:hAnsiTheme="minorHAnsi"/>
      <w:szCs w:val="20"/>
    </w:rPr>
  </w:style>
  <w:style w:type="character" w:customStyle="1" w:styleId="Sprotnaopomba-besediloZnak">
    <w:name w:val="Sprotna opomba - besedilo Znak"/>
    <w:basedOn w:val="Privzetapisavaodstavka"/>
    <w:link w:val="Sprotnaopomba-besedilo"/>
    <w:uiPriority w:val="99"/>
    <w:rsid w:val="002F46D8"/>
    <w:rPr>
      <w:rFonts w:eastAsia="Times New Roman" w:cs="Times New Roman"/>
      <w:sz w:val="20"/>
      <w:szCs w:val="20"/>
    </w:rPr>
  </w:style>
  <w:style w:type="character" w:styleId="Sprotnaopomba-sklic">
    <w:name w:val="footnote reference"/>
    <w:basedOn w:val="Privzetapisavaodstavka"/>
    <w:uiPriority w:val="99"/>
    <w:unhideWhenUsed/>
    <w:rsid w:val="002F46D8"/>
    <w:rPr>
      <w:rFonts w:cs="Times New Roman"/>
      <w:vertAlign w:val="superscript"/>
    </w:rPr>
  </w:style>
  <w:style w:type="character" w:customStyle="1" w:styleId="OdstavekseznamaZnak">
    <w:name w:val="Odstavek seznama Znak"/>
    <w:aliases w:val="Fünf Znak,Paragrafo elenco Znak,Akapit z listą BS Znak"/>
    <w:link w:val="Odstavekseznama"/>
    <w:uiPriority w:val="34"/>
    <w:locked/>
    <w:rsid w:val="002F46D8"/>
    <w:rPr>
      <w:rFonts w:ascii="Arial" w:eastAsia="Calibri" w:hAnsi="Arial" w:cs="Times New Roman"/>
      <w:sz w:val="20"/>
    </w:rPr>
  </w:style>
  <w:style w:type="paragraph" w:customStyle="1" w:styleId="Naslov1strategija">
    <w:name w:val="Naslov1 strategija"/>
    <w:basedOn w:val="Navaden"/>
    <w:next w:val="Navaden"/>
    <w:link w:val="Naslov1strategijaZnak"/>
    <w:qFormat/>
    <w:rsid w:val="002F46D8"/>
    <w:pPr>
      <w:numPr>
        <w:numId w:val="2"/>
      </w:numPr>
      <w:spacing w:before="240" w:after="0" w:line="360" w:lineRule="auto"/>
    </w:pPr>
    <w:rPr>
      <w:b/>
      <w:sz w:val="28"/>
    </w:rPr>
  </w:style>
  <w:style w:type="paragraph" w:customStyle="1" w:styleId="Naslov2strategija">
    <w:name w:val="Naslov2 strategija"/>
    <w:basedOn w:val="Navaden"/>
    <w:next w:val="Navaden"/>
    <w:link w:val="Naslov2strategijaZnak"/>
    <w:qFormat/>
    <w:rsid w:val="002F46D8"/>
    <w:pPr>
      <w:numPr>
        <w:ilvl w:val="1"/>
        <w:numId w:val="2"/>
      </w:numPr>
    </w:pPr>
  </w:style>
  <w:style w:type="character" w:customStyle="1" w:styleId="Naslov1strategijaZnak">
    <w:name w:val="Naslov1 strategija Znak"/>
    <w:basedOn w:val="Privzetapisavaodstavka"/>
    <w:link w:val="Naslov1strategija"/>
    <w:rsid w:val="002F46D8"/>
    <w:rPr>
      <w:rFonts w:ascii="Arial" w:eastAsia="Calibri" w:hAnsi="Arial" w:cs="Times New Roman"/>
      <w:b/>
      <w:sz w:val="28"/>
    </w:rPr>
  </w:style>
  <w:style w:type="paragraph" w:customStyle="1" w:styleId="Naslov3strategija">
    <w:name w:val="Naslov3 strategija"/>
    <w:basedOn w:val="Navaden"/>
    <w:next w:val="Navaden"/>
    <w:link w:val="Naslov3strategijaZnak"/>
    <w:qFormat/>
    <w:rsid w:val="002F46D8"/>
    <w:pPr>
      <w:numPr>
        <w:ilvl w:val="2"/>
        <w:numId w:val="2"/>
      </w:numPr>
    </w:pPr>
  </w:style>
  <w:style w:type="character" w:customStyle="1" w:styleId="Naslov2strategijaZnak">
    <w:name w:val="Naslov2 strategija Znak"/>
    <w:basedOn w:val="Privzetapisavaodstavka"/>
    <w:link w:val="Naslov2strategija"/>
    <w:rsid w:val="002F46D8"/>
    <w:rPr>
      <w:rFonts w:ascii="Arial" w:eastAsia="Calibri" w:hAnsi="Arial" w:cs="Times New Roman"/>
      <w:sz w:val="20"/>
    </w:rPr>
  </w:style>
  <w:style w:type="paragraph" w:styleId="Kazalovsebine1">
    <w:name w:val="toc 1"/>
    <w:basedOn w:val="Navaden"/>
    <w:next w:val="Navaden"/>
    <w:autoRedefine/>
    <w:uiPriority w:val="39"/>
    <w:rsid w:val="002F46D8"/>
    <w:pPr>
      <w:spacing w:after="100"/>
    </w:pPr>
  </w:style>
  <w:style w:type="character" w:customStyle="1" w:styleId="Naslov3strategijaZnak">
    <w:name w:val="Naslov3 strategija Znak"/>
    <w:basedOn w:val="Naslov2strategijaZnak"/>
    <w:link w:val="Naslov3strategija"/>
    <w:rsid w:val="002F46D8"/>
    <w:rPr>
      <w:rFonts w:ascii="Arial" w:eastAsia="Calibri" w:hAnsi="Arial" w:cs="Times New Roman"/>
      <w:sz w:val="20"/>
    </w:rPr>
  </w:style>
  <w:style w:type="paragraph" w:styleId="Glava">
    <w:name w:val="header"/>
    <w:basedOn w:val="Navaden"/>
    <w:link w:val="GlavaZnak"/>
    <w:uiPriority w:val="99"/>
    <w:unhideWhenUsed/>
    <w:rsid w:val="00EF73A8"/>
    <w:pPr>
      <w:tabs>
        <w:tab w:val="center" w:pos="4536"/>
        <w:tab w:val="right" w:pos="9072"/>
      </w:tabs>
      <w:spacing w:after="0" w:line="240" w:lineRule="auto"/>
    </w:pPr>
  </w:style>
  <w:style w:type="character" w:customStyle="1" w:styleId="GlavaZnak">
    <w:name w:val="Glava Znak"/>
    <w:basedOn w:val="Privzetapisavaodstavka"/>
    <w:link w:val="Glava"/>
    <w:uiPriority w:val="99"/>
    <w:rsid w:val="00EF73A8"/>
    <w:rPr>
      <w:rFonts w:ascii="Arial" w:eastAsia="Calibri" w:hAnsi="Arial" w:cs="Times New Roman"/>
      <w:sz w:val="20"/>
    </w:rPr>
  </w:style>
  <w:style w:type="paragraph" w:styleId="Noga">
    <w:name w:val="footer"/>
    <w:basedOn w:val="Navaden"/>
    <w:link w:val="NogaZnak"/>
    <w:uiPriority w:val="99"/>
    <w:unhideWhenUsed/>
    <w:rsid w:val="00EF73A8"/>
    <w:pPr>
      <w:tabs>
        <w:tab w:val="center" w:pos="4536"/>
        <w:tab w:val="right" w:pos="9072"/>
      </w:tabs>
      <w:spacing w:after="0" w:line="240" w:lineRule="auto"/>
    </w:pPr>
  </w:style>
  <w:style w:type="character" w:customStyle="1" w:styleId="NogaZnak">
    <w:name w:val="Noga Znak"/>
    <w:basedOn w:val="Privzetapisavaodstavka"/>
    <w:link w:val="Noga"/>
    <w:uiPriority w:val="99"/>
    <w:rsid w:val="00EF73A8"/>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466E022AF478F419BBFBC1CDAA6E739" ma:contentTypeVersion="7" ma:contentTypeDescription="Ustvari nov dokument." ma:contentTypeScope="" ma:versionID="d59de0931a4186acf98f5f0b161d6119">
  <xsd:schema xmlns:xsd="http://www.w3.org/2001/XMLSchema" xmlns:xs="http://www.w3.org/2001/XMLSchema" xmlns:p="http://schemas.microsoft.com/office/2006/metadata/properties" xmlns:ns2="f06e84b7-6470-486a-91dd-42e64c5e52f7" xmlns:ns3="9540e5b8-86b2-4d3b-a787-61ab1f4e82b2" xmlns:ns4="0ccf832e-01ff-4af4-83d7-28be79bd5076" targetNamespace="http://schemas.microsoft.com/office/2006/metadata/properties" ma:root="true" ma:fieldsID="237cc1b6de0febd48b46b31e815a64fc" ns2:_="" ns3:_="" ns4:_="">
    <xsd:import namespace="f06e84b7-6470-486a-91dd-42e64c5e52f7"/>
    <xsd:import namespace="9540e5b8-86b2-4d3b-a787-61ab1f4e82b2"/>
    <xsd:import namespace="0ccf832e-01ff-4af4-83d7-28be79bd507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AVTOR" minOccurs="0"/>
                <xsd:element ref="ns4:datum_x0020_zapisa" minOccurs="0"/>
                <xsd:element ref="ns4:zadeva" minOccurs="0"/>
                <xsd:element ref="ns4:Ugotovitev" minOccurs="0"/>
                <xsd:element ref="ns4:Predlog_x0020_ukrep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e84b7-6470-486a-91dd-42e64c5e52f7"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0e5b8-86b2-4d3b-a787-61ab1f4e82b2"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f832e-01ff-4af4-83d7-28be79bd5076" elementFormDefault="qualified">
    <xsd:import namespace="http://schemas.microsoft.com/office/2006/documentManagement/types"/>
    <xsd:import namespace="http://schemas.microsoft.com/office/infopath/2007/PartnerControls"/>
    <xsd:element name="AVTOR" ma:index="13" nillable="true" ma:displayName="AVTOR" ma:description="Oseba, ki je zapisala oažanja" ma:list="UserInfo" ma:SharePointGroup="0" ma:internalName="AV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_x0020_zapisa" ma:index="14" nillable="true" ma:displayName="datum zapisa" ma:format="DateOnly" ma:internalName="datum_x0020_zapisa">
      <xsd:simpleType>
        <xsd:restriction base="dms:DateTime"/>
      </xsd:simpleType>
    </xsd:element>
    <xsd:element name="zadeva" ma:index="15" nillable="true" ma:displayName="zadeva" ma:internalName="zadeva">
      <xsd:simpleType>
        <xsd:restriction base="dms:Text">
          <xsd:maxLength value="255"/>
        </xsd:restriction>
      </xsd:simpleType>
    </xsd:element>
    <xsd:element name="Ugotovitev" ma:index="16" nillable="true" ma:displayName="Ugotovitev" ma:description="Kratek opis izkušnje" ma:internalName="Ugotovitev">
      <xsd:simpleType>
        <xsd:restriction base="dms:Note">
          <xsd:maxLength value="255"/>
        </xsd:restriction>
      </xsd:simpleType>
    </xsd:element>
    <xsd:element name="Predlog_x0020_ukrepa" ma:index="17" nillable="true" ma:displayName="Predlog ukrepa" ma:description="kratek opis predlaganega ukrepa oz. rešitev za zaznano ugotovitev oz. pomanjkljivost" ma:internalName="Predlog_x0020_ukrep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06e84b7-6470-486a-91dd-42e64c5e52f7">MUNFMAQCCSTC-924715411-13774</_dlc_DocId>
    <_dlc_DocIdUrl xmlns="f06e84b7-6470-486a-91dd-42e64c5e52f7">
      <Url>https://portal.mors.si/UDMO/DOZ/skupni/ssvi/OGPV/_layouts/15/DocIdRedir.aspx?ID=MUNFMAQCCSTC-924715411-13774</Url>
      <Description>MUNFMAQCCSTC-924715411-13774</Description>
    </_dlc_DocIdUrl>
    <AVTOR xmlns="0ccf832e-01ff-4af4-83d7-28be79bd5076">
      <UserInfo>
        <DisplayName/>
        <AccountId xsi:nil="true"/>
        <AccountType/>
      </UserInfo>
    </AVTOR>
    <Predlog_x0020_ukrepa xmlns="0ccf832e-01ff-4af4-83d7-28be79bd5076" xsi:nil="true"/>
    <datum_x0020_zapisa xmlns="0ccf832e-01ff-4af4-83d7-28be79bd5076" xsi:nil="true"/>
    <Ugotovitev xmlns="0ccf832e-01ff-4af4-83d7-28be79bd5076" xsi:nil="true"/>
    <zadeva xmlns="0ccf832e-01ff-4af4-83d7-28be79bd507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C9870F6-D50D-49BD-92D9-85A20811877B}">
  <ds:schemaRefs>
    <ds:schemaRef ds:uri="http://schemas.microsoft.com/sharepoint/v3/contenttype/forms"/>
  </ds:schemaRefs>
</ds:datastoreItem>
</file>

<file path=customXml/itemProps2.xml><?xml version="1.0" encoding="utf-8"?>
<ds:datastoreItem xmlns:ds="http://schemas.openxmlformats.org/officeDocument/2006/customXml" ds:itemID="{9F7B5100-99BF-4DF7-A809-424EB0B3BFF9}">
  <ds:schemaRefs>
    <ds:schemaRef ds:uri="http://schemas.microsoft.com/sharepoint/events"/>
  </ds:schemaRefs>
</ds:datastoreItem>
</file>

<file path=customXml/itemProps3.xml><?xml version="1.0" encoding="utf-8"?>
<ds:datastoreItem xmlns:ds="http://schemas.openxmlformats.org/officeDocument/2006/customXml" ds:itemID="{2A83B5E5-DBFD-4807-BA67-6A0785B27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e84b7-6470-486a-91dd-42e64c5e52f7"/>
    <ds:schemaRef ds:uri="9540e5b8-86b2-4d3b-a787-61ab1f4e82b2"/>
    <ds:schemaRef ds:uri="0ccf832e-01ff-4af4-83d7-28be79bd5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96144-930E-4AEE-8B2F-AD84678EE01E}">
  <ds:schemaRefs>
    <ds:schemaRef ds:uri="http://purl.org/dc/terms/"/>
    <ds:schemaRef ds:uri="f06e84b7-6470-486a-91dd-42e64c5e52f7"/>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ccf832e-01ff-4af4-83d7-28be79bd5076"/>
    <ds:schemaRef ds:uri="9540e5b8-86b2-4d3b-a787-61ab1f4e82b2"/>
    <ds:schemaRef ds:uri="http://www.w3.org/XML/1998/namespace"/>
  </ds:schemaRefs>
</ds:datastoreItem>
</file>

<file path=customXml/itemProps5.xml><?xml version="1.0" encoding="utf-8"?>
<ds:datastoreItem xmlns:ds="http://schemas.openxmlformats.org/officeDocument/2006/customXml" ds:itemID="{E50E6FBA-4D3F-4EBA-B81F-2A4B6C49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4519</Words>
  <Characters>25759</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CGPVZ_AJ</dc:creator>
  <cp:keywords/>
  <dc:description/>
  <cp:lastModifiedBy>SSVI</cp:lastModifiedBy>
  <cp:revision>8</cp:revision>
  <dcterms:created xsi:type="dcterms:W3CDTF">2026-02-12T10:10:00Z</dcterms:created>
  <dcterms:modified xsi:type="dcterms:W3CDTF">2026-02-15T17:11:00Z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0x0101005466E022AF478F419BBFBC1CDAA6E739</vt:lpwstr>
  </property>
  <property fmtid="{D5CDD505-2E9C-101B-9397-08002B2CF9AE}" pid="3" name="_dlc_DocIdItemGuid">
    <vt:lpwstr>f077aa75-2594-43ba-b137-902fc2cb091c</vt:lpwstr>
  </property>
</Properties>
</file>